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F4" w:rsidRDefault="0008568F" w:rsidP="002F076F">
      <w:pPr>
        <w:pStyle w:val="Heading1"/>
        <w:spacing w:before="0"/>
      </w:pPr>
      <w:r>
        <w:rPr>
          <w:noProof/>
        </w:rPr>
        <mc:AlternateContent>
          <mc:Choice Requires="wps">
            <w:drawing>
              <wp:anchor distT="0" distB="0" distL="114300" distR="114300" simplePos="0" relativeHeight="251662336" behindDoc="0" locked="0" layoutInCell="1" allowOverlap="1" wp14:anchorId="228C2D49" wp14:editId="76B20D40">
                <wp:simplePos x="0" y="0"/>
                <wp:positionH relativeFrom="column">
                  <wp:posOffset>20320</wp:posOffset>
                </wp:positionH>
                <wp:positionV relativeFrom="paragraph">
                  <wp:posOffset>1831975</wp:posOffset>
                </wp:positionV>
                <wp:extent cx="5313872" cy="1"/>
                <wp:effectExtent l="0" t="0" r="20320" b="19050"/>
                <wp:wrapNone/>
                <wp:docPr id="5" name="Straight Connector 5"/>
                <wp:cNvGraphicFramePr/>
                <a:graphic xmlns:a="http://schemas.openxmlformats.org/drawingml/2006/main">
                  <a:graphicData uri="http://schemas.microsoft.com/office/word/2010/wordprocessingShape">
                    <wps:wsp>
                      <wps:cNvCnPr/>
                      <wps:spPr>
                        <a:xfrm flipV="1">
                          <a:off x="0" y="0"/>
                          <a:ext cx="5313872"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44.25pt" to="420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" strokecolor="#4579b8 [3044]"/>
            </w:pict>
          </mc:Fallback>
        </mc:AlternateContent>
      </w:r>
      <w:r w:rsidR="00A36968">
        <w:t>Developing Researche</w:t>
      </w:r>
      <w:r w:rsidR="000E1CF2">
        <w:t>r</w:t>
      </w:r>
      <w:r w:rsidR="00835EB8">
        <w:t xml:space="preserve"> Skills</w:t>
      </w:r>
      <w:r w:rsidR="00A36968">
        <w:t xml:space="preserve"> in Research</w:t>
      </w:r>
      <w:r w:rsidR="00A6020A">
        <w:t xml:space="preserve"> Data Management</w:t>
      </w:r>
      <w:r w:rsidR="00B94CB0">
        <w:t xml:space="preserve">: </w:t>
      </w:r>
      <w:r w:rsidR="00835EB8">
        <w:t xml:space="preserve">Training for the future - a </w:t>
      </w:r>
      <w:r w:rsidR="004A0C30">
        <w:t xml:space="preserve">DataPool project </w:t>
      </w:r>
      <w:r w:rsidR="00B94CB0">
        <w:t>report</w:t>
      </w:r>
    </w:p>
    <w:p w:rsidR="0008568F" w:rsidRPr="00172234" w:rsidRDefault="0008568F" w:rsidP="0008568F">
      <w:r>
        <w:rPr>
          <w:b/>
          <w:bCs/>
        </w:rPr>
        <w:t xml:space="preserve">Dorothy Byatt, </w:t>
      </w:r>
      <w:r>
        <w:t>JISC DataPool Project, University of Southampton Library, University of Southampton, UK</w:t>
      </w:r>
      <w:r w:rsidR="00172234">
        <w:t xml:space="preserve">, </w:t>
      </w:r>
      <w:r w:rsidR="00172234">
        <w:rPr>
          <w:b/>
          <w:bCs/>
        </w:rPr>
        <w:t xml:space="preserve">Mark Scott, </w:t>
      </w:r>
      <w:r w:rsidR="00172234">
        <w:t xml:space="preserve">Faculty of Engineering and Environment, University of Southampton, </w:t>
      </w:r>
      <w:r w:rsidR="00172234">
        <w:rPr>
          <w:b/>
          <w:bCs/>
        </w:rPr>
        <w:t xml:space="preserve">Gareth Beale, </w:t>
      </w:r>
      <w:r w:rsidR="00172234">
        <w:t xml:space="preserve">Faculty of Humanities, University of Southampton, </w:t>
      </w:r>
      <w:r w:rsidR="00172234">
        <w:rPr>
          <w:b/>
          <w:bCs/>
        </w:rPr>
        <w:t xml:space="preserve">Simon J Cox, </w:t>
      </w:r>
      <w:r w:rsidR="00172234">
        <w:t>Co-Investigator, JISC DataPool Project, Faculty of Engineering and Environment</w:t>
      </w:r>
      <w:r w:rsidR="00CF0DA4">
        <w:t xml:space="preserve">, </w:t>
      </w:r>
      <w:r w:rsidR="00CF0DA4" w:rsidRPr="00DB1995">
        <w:rPr>
          <w:b/>
          <w:bCs/>
        </w:rPr>
        <w:t>Wendy White</w:t>
      </w:r>
      <w:r w:rsidR="00CF0DA4">
        <w:t>, Principal Investigator, JIS</w:t>
      </w:r>
      <w:bookmarkStart w:id="0" w:name="_GoBack"/>
      <w:bookmarkEnd w:id="0"/>
      <w:r w:rsidR="00CF0DA4">
        <w:t>C DataPool Project, University of Southampton Library, University of Southampton</w:t>
      </w:r>
    </w:p>
    <w:p w:rsidR="003E7145" w:rsidRDefault="003E7145" w:rsidP="00C40BA2">
      <w:pPr>
        <w:pStyle w:val="Heading2"/>
      </w:pPr>
      <w:r>
        <w:t>Introduction</w:t>
      </w:r>
    </w:p>
    <w:p w:rsidR="001335A0" w:rsidRDefault="003E7145" w:rsidP="00FD3FA6">
      <w:r>
        <w:t xml:space="preserve">There has been considerable work done in recent years on identifying the skills </w:t>
      </w:r>
      <w:r w:rsidR="0044006F">
        <w:t xml:space="preserve">and attributes </w:t>
      </w:r>
      <w:r>
        <w:t xml:space="preserve">required by the researcher, much of which has been encapsulated in the </w:t>
      </w:r>
      <w:r w:rsidRPr="009D77D4">
        <w:rPr>
          <w:i/>
          <w:iCs/>
        </w:rPr>
        <w:t>Vitae Researcher Development Framework</w:t>
      </w:r>
      <w:r>
        <w:t xml:space="preserve"> </w:t>
      </w:r>
      <w:r w:rsidR="009D77D4">
        <w:t xml:space="preserve">(Vitae, 2010) and the subsequent </w:t>
      </w:r>
      <w:r w:rsidR="009D77D4">
        <w:rPr>
          <w:i/>
          <w:iCs/>
        </w:rPr>
        <w:t xml:space="preserve">Information literacy lens on the Vitae Researcher </w:t>
      </w:r>
      <w:r w:rsidR="009D77D4" w:rsidRPr="009D77D4">
        <w:t>Framework</w:t>
      </w:r>
      <w:r w:rsidR="009D77D4">
        <w:t xml:space="preserve"> (</w:t>
      </w:r>
      <w:r w:rsidR="00D13E0C">
        <w:t>Vitae,</w:t>
      </w:r>
      <w:r w:rsidR="009D77D4">
        <w:t>2012).  Many of the principles identified apply equally in the area of researcher’s data management skills.  With the increasing emphasis on data as an output of resear</w:t>
      </w:r>
      <w:r w:rsidR="001335A0">
        <w:t>ch</w:t>
      </w:r>
      <w:r w:rsidR="003D29C4">
        <w:t>,</w:t>
      </w:r>
      <w:r w:rsidR="001335A0">
        <w:t xml:space="preserve"> and on releasing the full potential of the information </w:t>
      </w:r>
      <w:r w:rsidR="003D29C4">
        <w:t xml:space="preserve">that </w:t>
      </w:r>
      <w:r w:rsidR="001335A0">
        <w:t>it contains</w:t>
      </w:r>
      <w:r w:rsidR="003D29C4">
        <w:t>,</w:t>
      </w:r>
      <w:r w:rsidR="001335A0">
        <w:t xml:space="preserve"> the importance </w:t>
      </w:r>
      <w:r w:rsidR="00D13E0C">
        <w:t>of</w:t>
      </w:r>
      <w:r w:rsidR="001335A0">
        <w:t xml:space="preserve"> ensuring that </w:t>
      </w:r>
      <w:r w:rsidR="006177BD">
        <w:t>researcher’s</w:t>
      </w:r>
      <w:r w:rsidR="001335A0">
        <w:t xml:space="preserve"> gain the relevant </w:t>
      </w:r>
      <w:r w:rsidR="00FD3FA6">
        <w:t xml:space="preserve">awareness, attributes and </w:t>
      </w:r>
      <w:r w:rsidR="001335A0">
        <w:t>skill</w:t>
      </w:r>
      <w:r w:rsidR="00FD3FA6">
        <w:t>s</w:t>
      </w:r>
      <w:r w:rsidR="001335A0">
        <w:t xml:space="preserve"> has also increased.  At the University of Southampton, under the auspices of the JISC DataPool project, work has been undertaken to improve these skills in a variety of ways.  This report will look into these.</w:t>
      </w:r>
    </w:p>
    <w:p w:rsidR="00984EEB" w:rsidRDefault="001335A0" w:rsidP="00984EEB">
      <w:r>
        <w:t xml:space="preserve">Training for researchers was not developed in isolation. </w:t>
      </w:r>
      <w:r w:rsidR="003B3078">
        <w:t xml:space="preserve">A review of existing resources and teaching materials, including Edinburgh University’s MANTRA and Digital Curation Centre (DCC) outputs, was done and influenced the topics covered.  </w:t>
      </w:r>
      <w:r>
        <w:t xml:space="preserve"> Work </w:t>
      </w:r>
      <w:r w:rsidR="003B3078">
        <w:t xml:space="preserve">also included </w:t>
      </w:r>
      <w:r>
        <w:t xml:space="preserve">looking at the </w:t>
      </w:r>
      <w:r>
        <w:rPr>
          <w:i/>
          <w:iCs/>
        </w:rPr>
        <w:t xml:space="preserve">Information Literacy </w:t>
      </w:r>
      <w:r w:rsidR="001D7D9E">
        <w:rPr>
          <w:i/>
          <w:iCs/>
        </w:rPr>
        <w:t>L</w:t>
      </w:r>
      <w:r>
        <w:rPr>
          <w:i/>
          <w:iCs/>
        </w:rPr>
        <w:t>en</w:t>
      </w:r>
      <w:r w:rsidR="001D7D9E">
        <w:rPr>
          <w:i/>
          <w:iCs/>
        </w:rPr>
        <w:t>s</w:t>
      </w:r>
      <w:r>
        <w:t xml:space="preserve"> (Vitae, 2012) shortly after its publication and seeing how it might be translated for data.  This scoping work underpinned the development of </w:t>
      </w:r>
      <w:r w:rsidR="00BE244F">
        <w:t>staff training (Byatt, 2013</w:t>
      </w:r>
      <w:r w:rsidR="00B56C32">
        <w:t>a</w:t>
      </w:r>
      <w:r w:rsidR="00BE244F">
        <w:t xml:space="preserve">) but also informed researcher training.  </w:t>
      </w:r>
    </w:p>
    <w:p w:rsidR="00984EEB" w:rsidRPr="00984EEB" w:rsidRDefault="00984EEB" w:rsidP="00DE1B65">
      <w:r w:rsidRPr="00984EEB">
        <w:t xml:space="preserve">Another essential element was the worked carried out by Mark Scott and others (2012) on his </w:t>
      </w:r>
      <w:r w:rsidRPr="00984EEB">
        <w:rPr>
          <w:i/>
          <w:iCs/>
        </w:rPr>
        <w:t>Introducing Research Data</w:t>
      </w:r>
      <w:r w:rsidRPr="00984EEB">
        <w:t xml:space="preserve"> guide.  This work developed as part of the University engagement and strategy facilitated by the Professional Development Unit (PDU) and linked </w:t>
      </w:r>
      <w:r w:rsidR="00A6664C">
        <w:t xml:space="preserve">in particular </w:t>
      </w:r>
      <w:r w:rsidRPr="00984EEB">
        <w:t>to the Researcher Development &amp; Graduate Centre (RDGC)</w:t>
      </w:r>
      <w:r w:rsidR="00DE1B65">
        <w:t xml:space="preserve"> aims</w:t>
      </w:r>
      <w:r w:rsidRPr="00984EEB">
        <w:t xml:space="preserve"> to:</w:t>
      </w:r>
    </w:p>
    <w:p w:rsidR="00984EEB" w:rsidRPr="00984EEB" w:rsidRDefault="00984EEB" w:rsidP="00984EEB">
      <w:pPr>
        <w:pStyle w:val="ListBullet2"/>
      </w:pPr>
      <w:r w:rsidRPr="00984EEB">
        <w:t xml:space="preserve">enhance the research-centred learning and personal development of postgraduate students, through promotion of shared opportunities for </w:t>
      </w:r>
      <w:r w:rsidRPr="00984EEB">
        <w:lastRenderedPageBreak/>
        <w:t>learning and generic skills training, to meet current needs and prepare for future careers;</w:t>
      </w:r>
    </w:p>
    <w:p w:rsidR="00984EEB" w:rsidRPr="00984EEB" w:rsidRDefault="00984EEB" w:rsidP="00984EEB">
      <w:pPr>
        <w:pStyle w:val="ListBullet2"/>
      </w:pPr>
      <w:r w:rsidRPr="00984EEB">
        <w:t>foster best practice and to provide a focus for dissemination, debate and engagement in local, national and international developments in postgraduate research (RDGC, 2013)</w:t>
      </w:r>
    </w:p>
    <w:p w:rsidR="00984EEB" w:rsidRPr="00984EEB" w:rsidRDefault="00984EEB" w:rsidP="002B64CE">
      <w:r w:rsidRPr="00984EEB">
        <w:t xml:space="preserve">The </w:t>
      </w:r>
      <w:r w:rsidR="002B64CE">
        <w:t xml:space="preserve">aim of the </w:t>
      </w:r>
      <w:r w:rsidRPr="00984EEB">
        <w:t xml:space="preserve">guide was to provide </w:t>
      </w:r>
      <w:r w:rsidR="002B64CE">
        <w:t xml:space="preserve">an introduction for </w:t>
      </w:r>
      <w:r w:rsidRPr="00984EEB">
        <w:t xml:space="preserve">new researchers </w:t>
      </w:r>
      <w:r w:rsidR="002B64CE">
        <w:t xml:space="preserve">to research data, its forms and its management, </w:t>
      </w:r>
      <w:r w:rsidRPr="00984EEB">
        <w:t>and to put these into a multidisciplinary context.</w:t>
      </w:r>
      <w:r w:rsidR="002B64CE">
        <w:t xml:space="preserve">  </w:t>
      </w:r>
      <w:r w:rsidRPr="00984EEB">
        <w:t xml:space="preserve">  In his work to develop the case studies, Mark Scott engaged with both researchers and students</w:t>
      </w:r>
      <w:r w:rsidR="002B64CE">
        <w:t>,</w:t>
      </w:r>
      <w:r w:rsidRPr="00984EEB">
        <w:t xml:space="preserve"> with his interviews becoming a mechanism to raise awareness of the issues as well as that of information gathering.  The guide is viewed as an iterative document and further case studies will be added to broaden the multidisciplinary benefits. This work has been documented previously in our poster (Hitchcock and others, 2012) presented at the JISC Progress event in Nottingham and Scott’s (2013a) presentation given at the International Digital Curation Conference (IDCC) in Amsterdam in January 2013 and subsequent paper (Scott, 2013b).  Feedback from the initial use of the guide for training has helped inform the development of an overarching model for training across the institution.</w:t>
      </w:r>
    </w:p>
    <w:p w:rsidR="007C1AE2" w:rsidRDefault="007C1AE2" w:rsidP="00C40BA2">
      <w:r>
        <w:t xml:space="preserve">The </w:t>
      </w:r>
      <w:r w:rsidR="00C40BA2">
        <w:t xml:space="preserve">following </w:t>
      </w:r>
      <w:r>
        <w:t xml:space="preserve">diagram </w:t>
      </w:r>
      <w:r w:rsidR="00C40BA2">
        <w:t xml:space="preserve">(fig.1) </w:t>
      </w:r>
      <w:r>
        <w:t xml:space="preserve">illustrates the approach taken to engage with the various groups involved with research data management from the </w:t>
      </w:r>
      <w:r w:rsidR="00EA07B4">
        <w:t xml:space="preserve">new postgraduate researcher to the experienced principal investigator.  </w:t>
      </w:r>
      <w:r w:rsidR="00C40BA2">
        <w:t>It shows where the events would sit, the type of events offered, who the intended audience is and who would present the material.</w:t>
      </w:r>
    </w:p>
    <w:p w:rsidR="00732C59" w:rsidRDefault="007C1AE2" w:rsidP="006C40FC">
      <w:pPr>
        <w:rPr>
          <w:b/>
          <w:bCs/>
        </w:rPr>
      </w:pPr>
      <w:r>
        <w:rPr>
          <w:noProof/>
        </w:rPr>
        <w:drawing>
          <wp:inline distT="0" distB="0" distL="0" distR="0" wp14:anchorId="07027BE8" wp14:editId="05583A9E">
            <wp:extent cx="5348378" cy="3295291"/>
            <wp:effectExtent l="0" t="0" r="24130" b="1968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32C59">
        <w:rPr>
          <w:b/>
          <w:bCs/>
        </w:rPr>
        <w:t>Fig. 1</w:t>
      </w:r>
      <w:r w:rsidR="006C40FC">
        <w:rPr>
          <w:b/>
          <w:bCs/>
        </w:rPr>
        <w:t xml:space="preserve"> Three-tiered Training Model</w:t>
      </w:r>
    </w:p>
    <w:p w:rsidR="00732C59" w:rsidRDefault="00732C59" w:rsidP="00732C59">
      <w:r>
        <w:t xml:space="preserve">One of the key elements of this is co-delivery.  Although it would be possible to offer these events facilitated by one group or another, there are benefits in co-delivery.  This facilitates wider discussion and a better understanding not just of the principles </w:t>
      </w:r>
      <w:r>
        <w:lastRenderedPageBreak/>
        <w:t>but also of real practice.  In the following sections the implementation of these training events is discussed.</w:t>
      </w:r>
    </w:p>
    <w:p w:rsidR="003E7145" w:rsidRDefault="00893AD0" w:rsidP="004D7A4D">
      <w:pPr>
        <w:pStyle w:val="Heading2"/>
      </w:pPr>
      <w:r>
        <w:t xml:space="preserve">Engaging with the Institution-wide </w:t>
      </w:r>
      <w:r w:rsidR="00256BEE">
        <w:t>Post</w:t>
      </w:r>
      <w:r>
        <w:t>g</w:t>
      </w:r>
      <w:r w:rsidR="00256BEE">
        <w:t xml:space="preserve">raduate </w:t>
      </w:r>
      <w:r>
        <w:t>Researcher Training Programme (</w:t>
      </w:r>
      <w:r w:rsidR="001D7D9E">
        <w:t>P</w:t>
      </w:r>
      <w:r w:rsidR="004D7A4D">
        <w:t>GR</w:t>
      </w:r>
      <w:r w:rsidR="001D7D9E">
        <w:t xml:space="preserve"> </w:t>
      </w:r>
      <w:r w:rsidR="00256BEE">
        <w:t>and Early Career Researchers</w:t>
      </w:r>
      <w:r>
        <w:t>)</w:t>
      </w:r>
    </w:p>
    <w:p w:rsidR="00470C36" w:rsidRPr="00470C36" w:rsidRDefault="00D413AF" w:rsidP="00D413AF">
      <w:pPr>
        <w:pStyle w:val="Heading3"/>
      </w:pPr>
      <w:r>
        <w:t>Researcher Development &amp; Graduate Centre</w:t>
      </w:r>
      <w:r w:rsidR="00984EEB">
        <w:t xml:space="preserve"> (RDGC)</w:t>
      </w:r>
    </w:p>
    <w:p w:rsidR="003E7145" w:rsidRDefault="001D7D9E" w:rsidP="00AC1130">
      <w:r>
        <w:t>In the University of Southampton the training of postgraduate</w:t>
      </w:r>
      <w:r w:rsidR="004D7A4D">
        <w:t xml:space="preserve"> (PGR)</w:t>
      </w:r>
      <w:r>
        <w:t xml:space="preserve"> and early career researchers (ECR) is co-ordinated through the Researcher Development &amp; Graduate Centre</w:t>
      </w:r>
      <w:r w:rsidR="00355213">
        <w:t xml:space="preserve"> (</w:t>
      </w:r>
      <w:r w:rsidR="00AC1130">
        <w:t>RDGC, 2013</w:t>
      </w:r>
      <w:r w:rsidR="00355213">
        <w:t>)</w:t>
      </w:r>
      <w:r w:rsidR="004D7A4D">
        <w:t xml:space="preserve"> part of the Professional Development Unit (PDU)</w:t>
      </w:r>
      <w:r>
        <w:t>.  This enables the researcher to identify areas where they might lack expertise that they require to develop and find suitable training in the one place</w:t>
      </w:r>
      <w:r w:rsidR="00C73F79">
        <w:t xml:space="preserve">.  </w:t>
      </w:r>
      <w:r>
        <w:t>The basic level training</w:t>
      </w:r>
      <w:r w:rsidR="006D5798">
        <w:t xml:space="preserve"> session,</w:t>
      </w:r>
      <w:r w:rsidR="00267201">
        <w:t xml:space="preserve"> “</w:t>
      </w:r>
      <w:r w:rsidR="006D5798">
        <w:t>An introduction</w:t>
      </w:r>
      <w:r w:rsidR="00267201">
        <w:t xml:space="preserve"> to managing your research data”</w:t>
      </w:r>
      <w:r w:rsidR="006D5798">
        <w:t>,</w:t>
      </w:r>
      <w:r w:rsidR="00C6388D">
        <w:t xml:space="preserve"> will sit within this framework</w:t>
      </w:r>
      <w:r>
        <w:t>.</w:t>
      </w:r>
      <w:r w:rsidR="002B52C2">
        <w:t xml:space="preserve"> The </w:t>
      </w:r>
      <w:r w:rsidR="00C6388D">
        <w:t xml:space="preserve">pilot </w:t>
      </w:r>
      <w:r w:rsidR="002B52C2">
        <w:t>course took the form of a 90 minute workshop</w:t>
      </w:r>
      <w:r w:rsidR="00AA7FB4">
        <w:t xml:space="preserve">, co-presented by a researcher and a member of library </w:t>
      </w:r>
      <w:r w:rsidR="00B90C78">
        <w:t>staff and</w:t>
      </w:r>
      <w:r w:rsidR="002B52C2">
        <w:t xml:space="preserve"> </w:t>
      </w:r>
      <w:r w:rsidR="00414E54">
        <w:t>was open to researchers from any discipline</w:t>
      </w:r>
      <w:r w:rsidR="00C6388D">
        <w:t xml:space="preserve"> at any stage</w:t>
      </w:r>
      <w:r w:rsidR="00414E54">
        <w:t>.</w:t>
      </w:r>
      <w:r w:rsidR="00C6388D">
        <w:t xml:space="preserve">  Those who attended came from disciplines areas such as Geography, Computing, Management, Engineering and Social Sciences. </w:t>
      </w:r>
      <w:r w:rsidR="00414E54">
        <w:t xml:space="preserve"> It co</w:t>
      </w:r>
      <w:r w:rsidR="002B52C2">
        <w:t>vered the principles behi</w:t>
      </w:r>
      <w:r w:rsidR="00414E54">
        <w:t xml:space="preserve">nd the need for </w:t>
      </w:r>
      <w:r w:rsidR="002A23FA">
        <w:t xml:space="preserve">good </w:t>
      </w:r>
      <w:r w:rsidR="00414E54">
        <w:t>data management mentioning research integrity, Funder</w:t>
      </w:r>
      <w:r w:rsidR="00AD6FE9">
        <w:t xml:space="preserve"> and Research Councils</w:t>
      </w:r>
      <w:r w:rsidR="00414E54">
        <w:t xml:space="preserve"> </w:t>
      </w:r>
      <w:r w:rsidR="00C6388D">
        <w:t xml:space="preserve">requirements </w:t>
      </w:r>
      <w:r w:rsidR="00414E54">
        <w:t>and Research Council UK (RCUK) and University policy</w:t>
      </w:r>
      <w:r w:rsidR="00AA7FB4">
        <w:t>, presented by the library</w:t>
      </w:r>
      <w:r w:rsidR="00414E54">
        <w:t>.  This was followed by a section</w:t>
      </w:r>
      <w:r w:rsidR="00FA3E32">
        <w:t xml:space="preserve"> on types and formats for data</w:t>
      </w:r>
      <w:r w:rsidR="00C6388D">
        <w:t>, presented by Mark Scott, and based on his previous work</w:t>
      </w:r>
      <w:r w:rsidR="00FA3E32">
        <w:t>.  The final section looked</w:t>
      </w:r>
      <w:r w:rsidR="00D06148">
        <w:t xml:space="preserve"> briefly</w:t>
      </w:r>
      <w:r w:rsidR="00FA3E32">
        <w:t xml:space="preserve"> at </w:t>
      </w:r>
      <w:r w:rsidR="00267201">
        <w:t xml:space="preserve">options for longer term deposit, including the use of ePrints </w:t>
      </w:r>
      <w:r w:rsidR="00770149">
        <w:t>data app developed by the University of Essex and adapted for use for the University of Southampton (</w:t>
      </w:r>
      <w:r w:rsidR="00AD6FE9">
        <w:t>Hitch</w:t>
      </w:r>
      <w:r w:rsidR="00770149">
        <w:t>cock</w:t>
      </w:r>
      <w:r w:rsidR="00AD6FE9">
        <w:t>, 2013)</w:t>
      </w:r>
      <w:r w:rsidR="00267201">
        <w:t>.</w:t>
      </w:r>
      <w:r w:rsidR="00AA7FB4">
        <w:t xml:space="preserve"> </w:t>
      </w:r>
      <w:r w:rsidR="00D06148">
        <w:t xml:space="preserve"> </w:t>
      </w:r>
      <w:r w:rsidR="00AA7FB4">
        <w:t>All section</w:t>
      </w:r>
      <w:r w:rsidR="009D432A">
        <w:t>s</w:t>
      </w:r>
      <w:r w:rsidR="00AA7FB4">
        <w:t xml:space="preserve"> allowed for discussion, although this mostly took place in the latter two sections.</w:t>
      </w:r>
    </w:p>
    <w:p w:rsidR="00F404D5" w:rsidRDefault="00F404D5" w:rsidP="004D7A4D">
      <w:r>
        <w:t>The advantage of a session open to any discip</w:t>
      </w:r>
      <w:r w:rsidR="009D5089">
        <w:t>line was the opportunity for those with some experience to share this so that good practice might be transferred from one discipline</w:t>
      </w:r>
      <w:r w:rsidR="007F25B0">
        <w:t xml:space="preserve"> to another.</w:t>
      </w:r>
      <w:r w:rsidR="00541A4E">
        <w:t xml:space="preserve"> </w:t>
      </w:r>
      <w:r w:rsidR="00EA7135">
        <w:t xml:space="preserve"> </w:t>
      </w:r>
      <w:r w:rsidR="00541A4E">
        <w:t>An example of this</w:t>
      </w:r>
      <w:r w:rsidR="00EA7135">
        <w:t xml:space="preserve"> was</w:t>
      </w:r>
      <w:r w:rsidR="00541A4E">
        <w:t xml:space="preserve"> hearing about data originally collected in the 1980’s on a BBC micro being saved in ASCI</w:t>
      </w:r>
      <w:r w:rsidR="000B2DBC">
        <w:t xml:space="preserve">I text, transferred as formats changed </w:t>
      </w:r>
      <w:r w:rsidR="00541A4E">
        <w:t>so that it was still usable and able to be incorporated into a current PhD.</w:t>
      </w:r>
      <w:r w:rsidR="007F25B0">
        <w:t xml:space="preserve">  It also provides</w:t>
      </w:r>
      <w:r w:rsidR="009D5089">
        <w:t xml:space="preserve"> an opportunity to discuss problems encountered and possible solutions</w:t>
      </w:r>
      <w:r w:rsidR="009208F7">
        <w:t xml:space="preserve">. </w:t>
      </w:r>
      <w:r w:rsidR="007F25B0">
        <w:t xml:space="preserve">This certainly took place in the pilot session when approaches to safe back-up were raised. </w:t>
      </w:r>
      <w:r w:rsidR="009208F7">
        <w:t xml:space="preserve"> The feedback for this session was fairly positive (see appendix 2), but </w:t>
      </w:r>
      <w:r w:rsidR="007F25B0">
        <w:t xml:space="preserve">in the qualitative comments </w:t>
      </w:r>
      <w:r w:rsidR="009208F7">
        <w:t xml:space="preserve">there was a recommendation that the session was more practical.  Although it had been promoted as an introduction it was helpful to </w:t>
      </w:r>
      <w:r w:rsidR="007F25B0">
        <w:t>receive this and we will consider changing the balance in future.  We would also consider offering more focussed training on specific aspects of data management</w:t>
      </w:r>
      <w:r w:rsidR="005A21A7">
        <w:t xml:space="preserve"> while continuing to </w:t>
      </w:r>
      <w:r w:rsidR="004D7A4D">
        <w:t>provide</w:t>
      </w:r>
      <w:r w:rsidR="005A21A7">
        <w:t xml:space="preserve"> this basic session as part of the </w:t>
      </w:r>
      <w:r w:rsidR="004D7A4D">
        <w:t>postgraduate courses offer</w:t>
      </w:r>
      <w:r w:rsidR="00BE6CA1">
        <w:t>.</w:t>
      </w:r>
    </w:p>
    <w:p w:rsidR="00470C36" w:rsidRDefault="00470C36" w:rsidP="00470C36">
      <w:pPr>
        <w:pStyle w:val="Heading3"/>
      </w:pPr>
      <w:r>
        <w:t>Faculty</w:t>
      </w:r>
    </w:p>
    <w:p w:rsidR="00FC53FB" w:rsidRPr="00EA7135" w:rsidRDefault="00BE6CA1" w:rsidP="002A11BF">
      <w:r>
        <w:t xml:space="preserve">We have also investigated the use of more discipline based </w:t>
      </w:r>
      <w:r w:rsidR="00355213">
        <w:t xml:space="preserve">workshop </w:t>
      </w:r>
      <w:r>
        <w:t>sessions</w:t>
      </w:r>
      <w:r w:rsidR="00AA7FB4">
        <w:t xml:space="preserve"> and we arranged to work with the Faculty of Humanities on the first Faculty session</w:t>
      </w:r>
      <w:r w:rsidR="00355213">
        <w:t xml:space="preserve"> of </w:t>
      </w:r>
      <w:r w:rsidR="00355213">
        <w:lastRenderedPageBreak/>
        <w:t>this type</w:t>
      </w:r>
      <w:r>
        <w:t xml:space="preserve">.  Mark Scott’s original work was </w:t>
      </w:r>
      <w:r w:rsidR="00355213">
        <w:t>p</w:t>
      </w:r>
      <w:r w:rsidR="008F203D">
        <w:t xml:space="preserve">iloted at </w:t>
      </w:r>
      <w:r w:rsidR="00355213">
        <w:t xml:space="preserve">events </w:t>
      </w:r>
      <w:r w:rsidR="00E627F7">
        <w:t xml:space="preserve">in the </w:t>
      </w:r>
      <w:r>
        <w:t xml:space="preserve">Faculty </w:t>
      </w:r>
      <w:r w:rsidR="00E627F7">
        <w:t xml:space="preserve">of Engineering </w:t>
      </w:r>
      <w:r>
        <w:t xml:space="preserve">in </w:t>
      </w:r>
      <w:r w:rsidR="00355213">
        <w:t xml:space="preserve">booklet plus </w:t>
      </w:r>
      <w:r>
        <w:t xml:space="preserve">lecture format </w:t>
      </w:r>
      <w:r w:rsidR="00355213">
        <w:t>embedded in the</w:t>
      </w:r>
      <w:r w:rsidR="00E627F7">
        <w:t>ir</w:t>
      </w:r>
      <w:r w:rsidR="00355213">
        <w:t xml:space="preserve"> postgraduate </w:t>
      </w:r>
      <w:r>
        <w:t>session</w:t>
      </w:r>
      <w:r w:rsidR="002A23FA">
        <w:t>s</w:t>
      </w:r>
      <w:r>
        <w:t xml:space="preserve">.  </w:t>
      </w:r>
      <w:r w:rsidR="00570827">
        <w:t>I</w:t>
      </w:r>
      <w:r w:rsidR="006B4CF6">
        <w:t>n Scott’s IDCC paper (2013b),</w:t>
      </w:r>
      <w:r w:rsidR="00570827">
        <w:t xml:space="preserve"> feedback </w:t>
      </w:r>
      <w:r w:rsidR="006B4CF6">
        <w:t xml:space="preserve">supports the value of providing </w:t>
      </w:r>
      <w:r w:rsidR="00570827">
        <w:t xml:space="preserve">a session </w:t>
      </w:r>
      <w:r w:rsidR="006B4CF6">
        <w:t>in this format in an engineering</w:t>
      </w:r>
      <w:r w:rsidR="0046264D">
        <w:t>-</w:t>
      </w:r>
      <w:r>
        <w:t>based environment</w:t>
      </w:r>
      <w:r w:rsidR="0046264D">
        <w:t xml:space="preserve"> and might also work in other areas </w:t>
      </w:r>
      <w:r w:rsidR="002A11BF" w:rsidRPr="002A11BF">
        <w:t>where there is a similar approach to good research data management practice</w:t>
      </w:r>
      <w:r w:rsidR="0046264D">
        <w:t xml:space="preserve">.  </w:t>
      </w:r>
      <w:r>
        <w:t>However</w:t>
      </w:r>
      <w:r w:rsidR="00AA7FB4">
        <w:t>,</w:t>
      </w:r>
      <w:r w:rsidR="00EA00E0">
        <w:t xml:space="preserve"> for some disciplines a longer introduction may be </w:t>
      </w:r>
      <w:r w:rsidR="009E47A5">
        <w:t xml:space="preserve">more beneficial, </w:t>
      </w:r>
      <w:r w:rsidR="00085EF5">
        <w:t>particularly</w:t>
      </w:r>
      <w:r w:rsidR="009E47A5">
        <w:t xml:space="preserve"> </w:t>
      </w:r>
      <w:r w:rsidR="00C44836">
        <w:t xml:space="preserve">where </w:t>
      </w:r>
      <w:r w:rsidR="00E627F7">
        <w:t xml:space="preserve">there is a </w:t>
      </w:r>
      <w:r w:rsidR="009E47A5">
        <w:t xml:space="preserve">wide </w:t>
      </w:r>
      <w:r w:rsidR="00E627F7">
        <w:t xml:space="preserve">diversity in the </w:t>
      </w:r>
      <w:r w:rsidR="009E47A5">
        <w:t xml:space="preserve">type of </w:t>
      </w:r>
      <w:r w:rsidR="00E627F7">
        <w:t>data</w:t>
      </w:r>
      <w:r w:rsidR="009E47A5">
        <w:t xml:space="preserve"> collected.  As a result</w:t>
      </w:r>
      <w:r w:rsidR="00C44836">
        <w:t xml:space="preserve"> i</w:t>
      </w:r>
      <w:r w:rsidR="00AA7FB4">
        <w:t>t was thought mo</w:t>
      </w:r>
      <w:r w:rsidR="00C44836">
        <w:t xml:space="preserve">re </w:t>
      </w:r>
      <w:r w:rsidR="00AA7FB4">
        <w:t>appropriate to offer a 2 hour workshop</w:t>
      </w:r>
      <w:r w:rsidR="00C44836" w:rsidRPr="00C44836">
        <w:t xml:space="preserve"> </w:t>
      </w:r>
      <w:r w:rsidR="00C44836">
        <w:t>for Humanities</w:t>
      </w:r>
      <w:r w:rsidR="00AA7FB4">
        <w:t xml:space="preserve">.  This was led by a researcher, Gareth Beale who had been involved </w:t>
      </w:r>
      <w:r w:rsidR="0015168D">
        <w:t xml:space="preserve">with the </w:t>
      </w:r>
      <w:r w:rsidR="00EA00E0">
        <w:t xml:space="preserve">DataPool </w:t>
      </w:r>
      <w:r w:rsidR="0015168D">
        <w:t xml:space="preserve">project (see </w:t>
      </w:r>
      <w:r w:rsidR="00697AED">
        <w:t>imaging</w:t>
      </w:r>
      <w:r w:rsidR="0015168D">
        <w:t xml:space="preserve"> case study</w:t>
      </w:r>
      <w:r w:rsidR="00697AED">
        <w:t>,</w:t>
      </w:r>
      <w:r w:rsidR="00697AED" w:rsidRPr="00697AED">
        <w:t xml:space="preserve"> </w:t>
      </w:r>
      <w:r w:rsidR="00697AED">
        <w:t>Beale and Pagi, 2013</w:t>
      </w:r>
      <w:r w:rsidR="0015168D">
        <w:t xml:space="preserve">) and supported by a member of library staff.  The </w:t>
      </w:r>
      <w:r w:rsidR="00E265D6">
        <w:t>participants</w:t>
      </w:r>
      <w:r w:rsidR="0015168D">
        <w:t xml:space="preserve"> came from a variety of disciplines within the Humanities, ranging from </w:t>
      </w:r>
      <w:r w:rsidR="00355213">
        <w:t>Modern Languages to Archaeology.</w:t>
      </w:r>
    </w:p>
    <w:p w:rsidR="00EA7135" w:rsidRDefault="00311D98" w:rsidP="009D432A">
      <w:r>
        <w:t xml:space="preserve">The starting point </w:t>
      </w:r>
      <w:r w:rsidR="00923504">
        <w:t xml:space="preserve">was to </w:t>
      </w:r>
      <w:r w:rsidR="00E265D6">
        <w:t>find out what kinds of data, if any, the participants were dealing with.</w:t>
      </w:r>
      <w:r w:rsidR="00923504">
        <w:t xml:space="preserve">  This was important with subject</w:t>
      </w:r>
      <w:r w:rsidR="0087588F">
        <w:t>s</w:t>
      </w:r>
      <w:r w:rsidR="00923504">
        <w:t xml:space="preserve"> where traditionally there has been a view that suggested many researchers didn’t consider that they had data.  The Arts and Humanities Research Council </w:t>
      </w:r>
      <w:r w:rsidR="00D62CBB">
        <w:t xml:space="preserve">(AHRC) acknowledge that this might be the case for some by only requiring a </w:t>
      </w:r>
      <w:r w:rsidR="009D432A">
        <w:t xml:space="preserve">Technical </w:t>
      </w:r>
      <w:r w:rsidR="00D62CBB">
        <w:t xml:space="preserve">Summary and Plan for research </w:t>
      </w:r>
    </w:p>
    <w:p w:rsidR="00EA7135" w:rsidRDefault="00EA7135" w:rsidP="00EA7135">
      <w:pPr>
        <w:pStyle w:val="Quote"/>
      </w:pPr>
      <w:r>
        <w:t xml:space="preserve">“… </w:t>
      </w:r>
      <w:r w:rsidRPr="00EA7135">
        <w:t>where digital outputs or digital technologies are an essential part to the planned research outcomes</w:t>
      </w:r>
      <w:r>
        <w:t>” (AHRC, 2012)</w:t>
      </w:r>
    </w:p>
    <w:p w:rsidR="00EA7135" w:rsidRDefault="00EA7135" w:rsidP="00EA00E0">
      <w:r>
        <w:t xml:space="preserve">This implies that they may fund projects where </w:t>
      </w:r>
      <w:r w:rsidR="00EA00E0">
        <w:t>digital outputs are not an essential part of the outcomes</w:t>
      </w:r>
      <w:r>
        <w:t xml:space="preserve">.  However the University policy does not only cover digital data and funders may still require non-digital research data managed appropriately.  </w:t>
      </w:r>
    </w:p>
    <w:p w:rsidR="0087588F" w:rsidRDefault="0087588F" w:rsidP="009321CB">
      <w:r>
        <w:t>Although the workshop still covered the basic issues of what is data management</w:t>
      </w:r>
      <w:r w:rsidR="00E265D6">
        <w:t>, principles and benefits</w:t>
      </w:r>
      <w:r>
        <w:t xml:space="preserve">, these were placed within the subject context focussing </w:t>
      </w:r>
      <w:r w:rsidR="00EA7135">
        <w:t>on</w:t>
      </w:r>
      <w:r>
        <w:t xml:space="preserve"> the types and forms of data relevant to the group.  Using the illustration of the </w:t>
      </w:r>
      <w:r w:rsidRPr="0087588F">
        <w:t>Domesday Project</w:t>
      </w:r>
      <w:r w:rsidR="00EA7135">
        <w:t>,</w:t>
      </w:r>
      <w:r w:rsidRPr="0087588F">
        <w:t xml:space="preserve"> </w:t>
      </w:r>
      <w:r>
        <w:t>from the mid 1980’s</w:t>
      </w:r>
      <w:r w:rsidR="00EA7135">
        <w:t>, this</w:t>
      </w:r>
      <w:r>
        <w:t xml:space="preserve"> demonstrated very effectively how important format selection can be and the cost for future researchers in re-using the data.  In this particular session it was able to draw in all participants and facilitated extremely helpful discussion.</w:t>
      </w:r>
      <w:r w:rsidR="00E265D6">
        <w:t xml:space="preserve"> The final section looked at the requirements to deposit data to comply with funder and university policies as appropriate.  Advice on options for deposit including ePrints Soton concluded the formal part of the session, with the remainder of the time given over to a data clinic.</w:t>
      </w:r>
      <w:r w:rsidR="009321CB">
        <w:t xml:space="preserve">  The data clinic was an opportunity to ask for advice on specific areas of data management relating directly to the researchers’ work, perhaps as a result of the topics covered in the workshop.  An example of this was a request for a way to add the same project metadata to a large number of MP3 files as a single operation.  Co-delivery (researcher/professional services) is particularly beneficial </w:t>
      </w:r>
      <w:r w:rsidR="006D4DAC">
        <w:t>helping to address a wider range of topics</w:t>
      </w:r>
      <w:r w:rsidR="009321CB">
        <w:t>.</w:t>
      </w:r>
    </w:p>
    <w:p w:rsidR="00FC53FB" w:rsidRDefault="00FC53FB" w:rsidP="002A23FA">
      <w:r>
        <w:t xml:space="preserve">This format facilitated good participation by those attending.  It offered opportunity for everyone to hear about different types of data from those using and creating it.  </w:t>
      </w:r>
      <w:r w:rsidR="008A47A6">
        <w:t xml:space="preserve">The formats ranged from standard print surveys, through audio files to imaging data so each session would be very different.  However the value of facilitating discussion of this nature is important and beneficial.  In future it might benefit from the inclusion of </w:t>
      </w:r>
      <w:r w:rsidR="005813F6">
        <w:t xml:space="preserve">someone with IT background as part of the presenting team so that </w:t>
      </w:r>
      <w:r w:rsidR="005813F6">
        <w:lastRenderedPageBreak/>
        <w:t>specific questions could be addressed more immediately, especially in the clinic section, but issues raised can be followed up after the event. The content was introductory and there is opportunity for some further discipline specific training in the future directly related to work being carried out by the researcher.  This might be best facilitated by the discipline or local Doctora</w:t>
      </w:r>
      <w:r w:rsidR="002A23FA">
        <w:t>l</w:t>
      </w:r>
      <w:r w:rsidR="005813F6">
        <w:t xml:space="preserve"> Training Centre and draw in expertise from the academic community.  There was also a recommendation by one participant that this should be introduced at </w:t>
      </w:r>
      <w:r w:rsidR="006D1C3A">
        <w:t>masters’</w:t>
      </w:r>
      <w:r w:rsidR="005813F6">
        <w:t xml:space="preserve"> level in a basic form.</w:t>
      </w:r>
      <w:r w:rsidR="008A47A6">
        <w:t xml:space="preserve">  </w:t>
      </w:r>
    </w:p>
    <w:p w:rsidR="00470C36" w:rsidRDefault="00470C36" w:rsidP="00470C36">
      <w:pPr>
        <w:pStyle w:val="Heading3"/>
      </w:pPr>
      <w:r>
        <w:t>Doctoral Training Centre</w:t>
      </w:r>
    </w:p>
    <w:p w:rsidR="00045AF3" w:rsidRDefault="00EA00E0" w:rsidP="00835EB8">
      <w:r>
        <w:t>A third approach to engage PhDs and ECR</w:t>
      </w:r>
      <w:r w:rsidR="00AD156A">
        <w:t>s was to offer a seminar to a Doctoral Training Centre (DTC).  The aim was to showcase the type of information being provide</w:t>
      </w:r>
      <w:r w:rsidR="00EE4C5C">
        <w:t>d</w:t>
      </w:r>
      <w:r w:rsidR="00AD156A">
        <w:t xml:space="preserve"> elsewhere as</w:t>
      </w:r>
      <w:r w:rsidR="00EE4C5C">
        <w:t xml:space="preserve"> a</w:t>
      </w:r>
      <w:r w:rsidR="00AD156A">
        <w:t xml:space="preserve"> means of </w:t>
      </w:r>
      <w:r w:rsidR="003A53D9">
        <w:t xml:space="preserve">enabling a </w:t>
      </w:r>
      <w:r w:rsidR="00532C74">
        <w:t xml:space="preserve">more in-depth </w:t>
      </w:r>
      <w:r w:rsidR="003A53D9">
        <w:t xml:space="preserve">discussion around issues associated with the sharing of data.  An event was held with the Web Science DTC at </w:t>
      </w:r>
      <w:r w:rsidR="00506630">
        <w:t xml:space="preserve">a </w:t>
      </w:r>
      <w:r w:rsidR="003A53D9">
        <w:t>point that coincided with the release of the first test version of the ePrints data app.</w:t>
      </w:r>
      <w:r w:rsidR="00506630">
        <w:t xml:space="preserve">  </w:t>
      </w:r>
      <w:r w:rsidR="00835EB8">
        <w:t>Although postponed d</w:t>
      </w:r>
      <w:r w:rsidR="00371401">
        <w:t>ue to bad weather</w:t>
      </w:r>
      <w:r w:rsidR="00506630">
        <w:t xml:space="preserve"> the </w:t>
      </w:r>
      <w:r w:rsidR="00835EB8">
        <w:t xml:space="preserve">re-arranged </w:t>
      </w:r>
      <w:r w:rsidR="00506630">
        <w:t xml:space="preserve">seminar </w:t>
      </w:r>
      <w:r w:rsidR="00532C74">
        <w:t>still proved to be a successful event</w:t>
      </w:r>
      <w:r w:rsidR="00371401">
        <w:t xml:space="preserve"> with good engagement by those attending.  </w:t>
      </w:r>
      <w:r w:rsidR="00532C74">
        <w:t>V</w:t>
      </w:r>
      <w:r w:rsidR="00506630">
        <w:t xml:space="preserve">aluable discussion </w:t>
      </w:r>
      <w:r w:rsidR="00371401">
        <w:t>took</w:t>
      </w:r>
      <w:r w:rsidR="00506630">
        <w:t xml:space="preserve"> place concerning the ePrints Soton data developments</w:t>
      </w:r>
      <w:r w:rsidR="00532C74">
        <w:t xml:space="preserve"> including whether data should be deposited with a thesis or as a separate record</w:t>
      </w:r>
      <w:r w:rsidR="00636BAF">
        <w:t>,</w:t>
      </w:r>
      <w:r w:rsidR="00506630">
        <w:t xml:space="preserve"> </w:t>
      </w:r>
      <w:r w:rsidR="00532C74">
        <w:t xml:space="preserve">University research </w:t>
      </w:r>
      <w:r w:rsidR="00F1128A">
        <w:t>data man</w:t>
      </w:r>
      <w:r w:rsidR="00636BAF">
        <w:t>a</w:t>
      </w:r>
      <w:r w:rsidR="00F1128A">
        <w:t>g</w:t>
      </w:r>
      <w:r w:rsidR="00636BAF">
        <w:t>ement policy requirements</w:t>
      </w:r>
      <w:r w:rsidR="00532C74">
        <w:t xml:space="preserve"> particularly in relation to IPR and data,</w:t>
      </w:r>
      <w:r w:rsidR="00371401">
        <w:t xml:space="preserve"> suggestion of additional formats suitable for longer-term preservation</w:t>
      </w:r>
      <w:r w:rsidR="00532C74">
        <w:t xml:space="preserve"> </w:t>
      </w:r>
      <w:r w:rsidR="00636BAF">
        <w:t xml:space="preserve">and the developments in infrastructure in the University as a result of the DataPool project.  </w:t>
      </w:r>
      <w:r w:rsidR="000D76EB">
        <w:t>Those who attended ha</w:t>
      </w:r>
      <w:r w:rsidR="00835EB8">
        <w:t>d</w:t>
      </w:r>
      <w:r w:rsidR="000D76EB">
        <w:t xml:space="preserve"> a wide range of prior experience</w:t>
      </w:r>
      <w:r w:rsidR="00835EB8">
        <w:t xml:space="preserve"> in data management and this did influence the discussions as some found</w:t>
      </w:r>
      <w:r w:rsidR="00045AF3">
        <w:t xml:space="preserve"> the session too basic while others found it beneficial.  This is a difficult balance for any such session and in future it will be important to be clear that the seminar is a more discursive, knowledge sharing than information giving event.</w:t>
      </w:r>
    </w:p>
    <w:p w:rsidR="00636BAF" w:rsidRDefault="00636BAF" w:rsidP="007B358A">
      <w:r>
        <w:t xml:space="preserve">This </w:t>
      </w:r>
      <w:r w:rsidR="00532C74">
        <w:t xml:space="preserve">type of </w:t>
      </w:r>
      <w:r>
        <w:t xml:space="preserve">session will be run in the future with </w:t>
      </w:r>
      <w:r w:rsidR="00532C74">
        <w:t>other DTCs</w:t>
      </w:r>
      <w:r w:rsidR="00835EB8">
        <w:t xml:space="preserve">.  Further sessions will also be offered to the Web Science DTC </w:t>
      </w:r>
      <w:r w:rsidR="00532C74">
        <w:t>with different emphases, both theoretical and practical</w:t>
      </w:r>
      <w:r>
        <w:t>.</w:t>
      </w:r>
      <w:r w:rsidR="008E2534">
        <w:t xml:space="preserve">  The selection of the Web Science DTC </w:t>
      </w:r>
      <w:r w:rsidR="00835EB8">
        <w:t xml:space="preserve">for this first RDM seminar </w:t>
      </w:r>
      <w:r w:rsidR="008E2534">
        <w:t xml:space="preserve">arose out of the breadth of </w:t>
      </w:r>
      <w:r w:rsidR="008658BB">
        <w:t>research area</w:t>
      </w:r>
      <w:r w:rsidR="008E2534">
        <w:t xml:space="preserve"> covered and the strong connection to ePrints and open access.</w:t>
      </w:r>
      <w:r w:rsidR="000770B2">
        <w:t xml:space="preserve"> </w:t>
      </w:r>
      <w:r w:rsidR="008E2534">
        <w:t xml:space="preserve"> The</w:t>
      </w:r>
      <w:r w:rsidR="007B358A">
        <w:t>se assumptions and the</w:t>
      </w:r>
      <w:r w:rsidR="008E2534">
        <w:t xml:space="preserve"> level of relevant IT knowledge </w:t>
      </w:r>
      <w:r w:rsidR="007B358A">
        <w:t>m</w:t>
      </w:r>
      <w:r w:rsidR="008E2534">
        <w:t>ight</w:t>
      </w:r>
      <w:r w:rsidR="00EA00E0">
        <w:t xml:space="preserve"> not be replicated in other DTC</w:t>
      </w:r>
      <w:r w:rsidR="008E2534">
        <w:t>s</w:t>
      </w:r>
      <w:r w:rsidR="007B358A">
        <w:t xml:space="preserve"> and content will need to be adjusted</w:t>
      </w:r>
      <w:r w:rsidR="008E2534">
        <w:t>.</w:t>
      </w:r>
    </w:p>
    <w:p w:rsidR="001B2D1E" w:rsidRDefault="001B2D1E" w:rsidP="001B2D1E">
      <w:pPr>
        <w:pStyle w:val="Heading2"/>
      </w:pPr>
      <w:r>
        <w:t>Engaging with the Early Career Researcher and Principal Investigators</w:t>
      </w:r>
    </w:p>
    <w:p w:rsidR="009F6B41" w:rsidRDefault="0018316E" w:rsidP="001744A2">
      <w:r>
        <w:t>In July 2012 the University of Southampton Research Data Management Policy was released on the University calendar along with related guidance web pages, housed on the library website, and a desk</w:t>
      </w:r>
      <w:r w:rsidR="00E22BF2">
        <w:t xml:space="preserve"> </w:t>
      </w:r>
      <w:r>
        <w:t>side support</w:t>
      </w:r>
      <w:r w:rsidR="00E22BF2">
        <w:t xml:space="preserve"> service</w:t>
      </w:r>
      <w:r>
        <w:t xml:space="preserve"> (Byatt, 2013</w:t>
      </w:r>
      <w:r w:rsidR="00B56C32">
        <w:t>b</w:t>
      </w:r>
      <w:r>
        <w:t>)</w:t>
      </w:r>
      <w:r w:rsidR="00E22BF2">
        <w:t xml:space="preserve"> established</w:t>
      </w:r>
      <w:r>
        <w:t xml:space="preserve">.  </w:t>
      </w:r>
      <w:r w:rsidR="00E22BF2">
        <w:t>The aim of ResearchData@Soton service is to provide</w:t>
      </w:r>
      <w:r w:rsidR="001744A2">
        <w:t xml:space="preserve"> </w:t>
      </w:r>
      <w:r w:rsidR="00E22BF2">
        <w:t xml:space="preserve">assistance to researchers in the process of preparing bids that require a data management or data sharing plan, or any other help with research data, </w:t>
      </w:r>
      <w:r w:rsidR="001744A2">
        <w:t xml:space="preserve">by providing a focal point while </w:t>
      </w:r>
      <w:r w:rsidR="00E22BF2">
        <w:t>using a network of services</w:t>
      </w:r>
      <w:r w:rsidR="001744A2">
        <w:t xml:space="preserve"> to respond</w:t>
      </w:r>
      <w:r w:rsidR="00E22BF2">
        <w:t xml:space="preserve">. </w:t>
      </w:r>
      <w:r w:rsidR="001744A2">
        <w:t xml:space="preserve"> Responses would be provided through email, phone or meeting and involve Research Innovation Services, iSolutions, Library, Legal Services, Finance as appropriate.  </w:t>
      </w:r>
      <w:r>
        <w:t xml:space="preserve">As a direct result of the requests that arose and </w:t>
      </w:r>
      <w:r>
        <w:lastRenderedPageBreak/>
        <w:t xml:space="preserve">the network of staff who responded through the </w:t>
      </w:r>
      <w:r w:rsidR="001744A2">
        <w:t>ResearchData@Soton service</w:t>
      </w:r>
      <w:r w:rsidR="00057132">
        <w:t xml:space="preserve"> an</w:t>
      </w:r>
      <w:r>
        <w:t xml:space="preserve"> opportunity was provided to organise specific </w:t>
      </w:r>
      <w:r w:rsidR="00057132">
        <w:t>data management planning training sessions focussed around particular funders.  Th</w:t>
      </w:r>
      <w:r w:rsidR="00587106">
        <w:t>rough Sandy Mackinnon,</w:t>
      </w:r>
      <w:r w:rsidR="00057132">
        <w:t xml:space="preserve"> Business Relationship Manager, iSolutions</w:t>
      </w:r>
      <w:r w:rsidR="009647B1">
        <w:t>,</w:t>
      </w:r>
      <w:r w:rsidR="00057132">
        <w:t xml:space="preserve"> it was possible to target an appropriate audience using an existing network.  Although there had always been the plan to provide this type of training, finding the mechanism to do so in a disparate institution is not always straight forward.</w:t>
      </w:r>
      <w:r w:rsidR="009F6B41">
        <w:t xml:space="preserve"> T</w:t>
      </w:r>
      <w:r w:rsidR="00587106">
        <w:t xml:space="preserve">wo sessions were planned and delivered, the first to Medicine and the second to Health Sciences.  Due to the numbers involved a further session has already been planned.  </w:t>
      </w:r>
    </w:p>
    <w:p w:rsidR="00982F63" w:rsidRDefault="009F6B41" w:rsidP="009647B1">
      <w:r>
        <w:t>The first session,</w:t>
      </w:r>
      <w:r w:rsidR="00587106">
        <w:t xml:space="preserve"> delivered to the Faculty of Medicine</w:t>
      </w:r>
      <w:r>
        <w:t>, had</w:t>
      </w:r>
      <w:r w:rsidR="00587106">
        <w:t xml:space="preserve"> attendees </w:t>
      </w:r>
      <w:r>
        <w:t>ranging</w:t>
      </w:r>
      <w:r w:rsidR="00587106">
        <w:t xml:space="preserve"> from Post Doctoral </w:t>
      </w:r>
      <w:r w:rsidR="00B90C78">
        <w:t xml:space="preserve">Researcher to Senior Lecturer.  It was held as a one hour lunchtime event </w:t>
      </w:r>
      <w:r w:rsidR="004D5222">
        <w:t>entitled</w:t>
      </w:r>
      <w:r w:rsidR="00B90C78">
        <w:t xml:space="preserve"> “Research Data Management: Managing your research data for the future”</w:t>
      </w:r>
      <w:r w:rsidR="00037E8B">
        <w:t xml:space="preserve">.  </w:t>
      </w:r>
      <w:r w:rsidR="00AC524D">
        <w:t xml:space="preserve">With </w:t>
      </w:r>
      <w:r w:rsidR="00037E8B">
        <w:t>the range of staff</w:t>
      </w:r>
      <w:r w:rsidR="00AC524D">
        <w:t xml:space="preserve"> who attended </w:t>
      </w:r>
      <w:r w:rsidR="00037E8B">
        <w:t>it was important to cover the basic</w:t>
      </w:r>
      <w:r w:rsidR="00AC524D">
        <w:t xml:space="preserve"> principles as well as more funder specific information</w:t>
      </w:r>
      <w:r w:rsidR="00037E8B">
        <w:t>.  From our early experience of support</w:t>
      </w:r>
      <w:r w:rsidR="00AC524D">
        <w:t xml:space="preserve"> for MRC proposals, through the ResearchData@Soton service</w:t>
      </w:r>
      <w:r w:rsidR="00037E8B">
        <w:t>, there was evidence that even researchers with some experience did not identify with some of the terminology used in the d</w:t>
      </w:r>
      <w:r w:rsidR="00AC524D">
        <w:t>ata management environment or w</w:t>
      </w:r>
      <w:r w:rsidR="00037E8B">
        <w:t>ere no</w:t>
      </w:r>
      <w:r w:rsidR="00C26E28">
        <w:t>t</w:t>
      </w:r>
      <w:r w:rsidR="00037E8B">
        <w:t xml:space="preserve"> aware of the </w:t>
      </w:r>
      <w:r w:rsidR="00C26E28">
        <w:t xml:space="preserve">impact that some </w:t>
      </w:r>
      <w:r w:rsidR="002A23FA">
        <w:t xml:space="preserve">of their </w:t>
      </w:r>
      <w:r w:rsidR="00C26E28">
        <w:t>choice</w:t>
      </w:r>
      <w:r w:rsidR="002A23FA">
        <w:t>s</w:t>
      </w:r>
      <w:r w:rsidR="00C26E28">
        <w:t xml:space="preserve"> might have.  By using two recent examples, Crowe (2013) </w:t>
      </w:r>
      <w:r w:rsidR="00C26E28" w:rsidRPr="00131F19">
        <w:rPr>
          <w:i/>
          <w:iCs/>
        </w:rPr>
        <w:t>The case of the missing data</w:t>
      </w:r>
      <w:r w:rsidR="004D5222">
        <w:t xml:space="preserve"> and European Biotechnologist (2013) </w:t>
      </w:r>
      <w:r w:rsidR="004D5222">
        <w:rPr>
          <w:i/>
        </w:rPr>
        <w:t>Why your PI told you NEVER to throw away old data</w:t>
      </w:r>
      <w:r w:rsidR="004D5222">
        <w:t xml:space="preserve"> it was simple to demonstrate the value of making choices that increases the visibility and discoverability of data.  The</w:t>
      </w:r>
      <w:r w:rsidR="00131F19">
        <w:t>se examples</w:t>
      </w:r>
      <w:r w:rsidR="004D5222">
        <w:t xml:space="preserve"> demonstrated the need to incorporate clear references </w:t>
      </w:r>
      <w:r w:rsidR="00131F19">
        <w:t xml:space="preserve">to data </w:t>
      </w:r>
      <w:r w:rsidR="004D5222">
        <w:t>in documents, the cost and effort required to extract data from obsolete formats</w:t>
      </w:r>
      <w:r w:rsidR="009647B1">
        <w:t>,</w:t>
      </w:r>
      <w:r w:rsidR="004D5222">
        <w:t xml:space="preserve"> and that you may not know when your data might become crucial in the future.  This was followed by </w:t>
      </w:r>
      <w:r w:rsidR="00982F63">
        <w:t xml:space="preserve">information about </w:t>
      </w:r>
      <w:r w:rsidR="004D5222">
        <w:t xml:space="preserve">the local IT </w:t>
      </w:r>
      <w:r w:rsidR="009647B1">
        <w:t>infrastructure</w:t>
      </w:r>
      <w:r w:rsidR="00982F63">
        <w:t xml:space="preserve"> and support available before some time was spent on looking at the M</w:t>
      </w:r>
      <w:r w:rsidR="00A54C75">
        <w:t xml:space="preserve">edical </w:t>
      </w:r>
      <w:r w:rsidR="00982F63">
        <w:t>R</w:t>
      </w:r>
      <w:r w:rsidR="00A54C75">
        <w:t xml:space="preserve">esearch Council </w:t>
      </w:r>
      <w:r w:rsidR="00982F63">
        <w:t>Data Management Plan template.</w:t>
      </w:r>
    </w:p>
    <w:p w:rsidR="00982F63" w:rsidRDefault="00982F63" w:rsidP="00E627F7">
      <w:r>
        <w:t xml:space="preserve">In this first iteration the balance was not quite right, with the information about formats and capturing </w:t>
      </w:r>
      <w:r w:rsidR="00112FCB">
        <w:t xml:space="preserve">metadata </w:t>
      </w:r>
      <w:r w:rsidR="00E627F7">
        <w:t xml:space="preserve">not </w:t>
      </w:r>
      <w:r w:rsidR="00112FCB">
        <w:t>presented</w:t>
      </w:r>
      <w:r w:rsidR="004C5BDC">
        <w:t xml:space="preserve"> directly in the context of the </w:t>
      </w:r>
      <w:r w:rsidR="00A54C75">
        <w:t xml:space="preserve">requirements listed on the Medical Research Council </w:t>
      </w:r>
      <w:r w:rsidR="004C5BDC">
        <w:t>template.</w:t>
      </w:r>
      <w:r w:rsidR="00764F29">
        <w:t xml:space="preserve">  </w:t>
      </w:r>
      <w:r w:rsidR="006D3C89">
        <w:t xml:space="preserve">Some had expected the time to be spent working through how to complete an </w:t>
      </w:r>
      <w:r w:rsidR="0082327D">
        <w:t xml:space="preserve">MRC </w:t>
      </w:r>
      <w:r w:rsidR="006D3C89">
        <w:t xml:space="preserve">Data Management Plan and were </w:t>
      </w:r>
      <w:r w:rsidR="00B4049E">
        <w:t>less</w:t>
      </w:r>
      <w:r w:rsidR="006D3C89">
        <w:t xml:space="preserve"> interested in the reason</w:t>
      </w:r>
      <w:r w:rsidR="00A86371">
        <w:t>s</w:t>
      </w:r>
      <w:r w:rsidR="006D3C89">
        <w:t xml:space="preserve"> behind the requirement</w:t>
      </w:r>
      <w:r w:rsidR="0082327D">
        <w:t xml:space="preserve">.  </w:t>
      </w:r>
      <w:r w:rsidR="00764F29">
        <w:t xml:space="preserve">The pressure on time for all involved means that in future it </w:t>
      </w:r>
      <w:r w:rsidR="0082327D">
        <w:t>will</w:t>
      </w:r>
      <w:r w:rsidR="00764F29">
        <w:t xml:space="preserve"> be better to clearly badge </w:t>
      </w:r>
      <w:r w:rsidR="00112FCB">
        <w:t>an</w:t>
      </w:r>
      <w:r w:rsidR="00764F29">
        <w:t xml:space="preserve"> event either as a briefing, where the focus is more general</w:t>
      </w:r>
      <w:r w:rsidR="00A86371">
        <w:t>, covering principles including good research practice, academic integrity and future re-use</w:t>
      </w:r>
      <w:r w:rsidR="00764F29">
        <w:t xml:space="preserve">, or as a workshop, with a more practical element, and market the sessions appropriately.  However the feedback for the event (see appendix </w:t>
      </w:r>
      <w:r w:rsidR="0082327D">
        <w:t xml:space="preserve">2B) </w:t>
      </w:r>
      <w:r w:rsidR="00764F29">
        <w:t>still demonstrated that it met the expectations of</w:t>
      </w:r>
      <w:r w:rsidR="006D3C89">
        <w:t xml:space="preserve"> the</w:t>
      </w:r>
      <w:r w:rsidR="00764F29">
        <w:t xml:space="preserve"> majority</w:t>
      </w:r>
      <w:r w:rsidR="0082327D">
        <w:t xml:space="preserve"> and was a valuable introduction to research data management.</w:t>
      </w:r>
    </w:p>
    <w:p w:rsidR="007114A1" w:rsidRDefault="00C51FBE" w:rsidP="00BD1129">
      <w:r>
        <w:t>The second session took place the following week and was for an audience from the Faculty of Health Sciences.  This Faculty draws it</w:t>
      </w:r>
      <w:r w:rsidR="00865DD3">
        <w:t>s</w:t>
      </w:r>
      <w:r>
        <w:t xml:space="preserve"> funding from a range of funders some of whom do not have specific requirements for data management outlined in their proposals, but still require the research the</w:t>
      </w:r>
      <w:r w:rsidR="00865DD3">
        <w:t>y</w:t>
      </w:r>
      <w:r>
        <w:t xml:space="preserve"> fund to have longer term impact and for this to be demonstrated in the bid.  They may have requirements for communicating </w:t>
      </w:r>
      <w:r w:rsidR="00BD1129">
        <w:t xml:space="preserve">or sharing </w:t>
      </w:r>
      <w:r>
        <w:t>the results, including data</w:t>
      </w:r>
      <w:r w:rsidR="00BD1129">
        <w:t>.  I</w:t>
      </w:r>
      <w:r>
        <w:t>n order to do this</w:t>
      </w:r>
      <w:r w:rsidR="00BD1129">
        <w:t xml:space="preserve"> the</w:t>
      </w:r>
      <w:r>
        <w:t xml:space="preserve"> </w:t>
      </w:r>
      <w:r>
        <w:lastRenderedPageBreak/>
        <w:t>research data need</w:t>
      </w:r>
      <w:r w:rsidR="00BD1129">
        <w:t>s</w:t>
      </w:r>
      <w:r>
        <w:t xml:space="preserve"> to be managed</w:t>
      </w:r>
      <w:r w:rsidR="00BD1129">
        <w:t xml:space="preserve"> and creation of a data management plan, even if not included with the proposal, is a helpful and valuable tool</w:t>
      </w:r>
      <w:r>
        <w:t>.  With this in mind this presentation was more general, but as the MRC template covers the key elements of a data management plan it remained the main example.  However learning from the Faculty of Medicine all sections were directly r</w:t>
      </w:r>
      <w:r w:rsidR="007114A1">
        <w:t>elated to inclusion in a D</w:t>
      </w:r>
      <w:r w:rsidR="00D959A0">
        <w:t xml:space="preserve">ata </w:t>
      </w:r>
      <w:r w:rsidR="007114A1">
        <w:t>M</w:t>
      </w:r>
      <w:r w:rsidR="00D959A0">
        <w:t xml:space="preserve">anagement </w:t>
      </w:r>
      <w:r w:rsidR="007114A1">
        <w:t>P</w:t>
      </w:r>
      <w:r w:rsidR="00D959A0">
        <w:t>lan</w:t>
      </w:r>
      <w:r w:rsidR="007114A1">
        <w:t>.</w:t>
      </w:r>
    </w:p>
    <w:p w:rsidR="001D7D9E" w:rsidRDefault="00DB3117" w:rsidP="001B6245">
      <w:r>
        <w:t>The evaluation of this session did show an improvement in the overall scores.  Comments see</w:t>
      </w:r>
      <w:r w:rsidR="001A6C95">
        <w:t xml:space="preserve">med to confirm that there was </w:t>
      </w:r>
      <w:r w:rsidR="00E361A0">
        <w:t xml:space="preserve">a need to include the basic concepts, and data management landscape.  Interestingly this was </w:t>
      </w:r>
      <w:r w:rsidR="00A86371">
        <w:t xml:space="preserve">the first </w:t>
      </w:r>
      <w:r w:rsidR="00E361A0">
        <w:t xml:space="preserve">session where the issue of print based </w:t>
      </w:r>
      <w:r w:rsidR="00A86371">
        <w:t>research data</w:t>
      </w:r>
      <w:r w:rsidR="00E361A0">
        <w:t xml:space="preserve"> management was </w:t>
      </w:r>
      <w:r w:rsidR="00A86371">
        <w:t>raised.  T</w:t>
      </w:r>
      <w:r w:rsidR="00E361A0">
        <w:t xml:space="preserve">his was valuable in emphasising that </w:t>
      </w:r>
      <w:r w:rsidR="00A86371">
        <w:t>research data management</w:t>
      </w:r>
      <w:r w:rsidR="00A545C7">
        <w:t>,</w:t>
      </w:r>
      <w:r w:rsidR="00A86371">
        <w:t xml:space="preserve"> in general</w:t>
      </w:r>
      <w:r w:rsidR="00A545C7">
        <w:t>,</w:t>
      </w:r>
      <w:r w:rsidR="00A86371">
        <w:t xml:space="preserve"> and the University policy is not only about </w:t>
      </w:r>
      <w:r w:rsidR="00E361A0">
        <w:t xml:space="preserve">digital </w:t>
      </w:r>
      <w:r w:rsidR="00A86371">
        <w:t>format but also covers the traditional forms</w:t>
      </w:r>
      <w:r w:rsidR="00E361A0">
        <w:t>.</w:t>
      </w:r>
      <w:r w:rsidR="00C74071">
        <w:t xml:space="preserve"> </w:t>
      </w:r>
      <w:r w:rsidR="00A86371">
        <w:t xml:space="preserve"> Significant emphasis has been given to the digital due to the additional issues that need to be addressed, but it will be important to retain the skills and expertise in preserving non-digital where this is necessary. </w:t>
      </w:r>
      <w:r w:rsidR="00C74071">
        <w:t xml:space="preserve"> </w:t>
      </w:r>
      <w:r w:rsidR="00A545C7">
        <w:t>This</w:t>
      </w:r>
      <w:r w:rsidR="00C74071">
        <w:t xml:space="preserve"> also allowed for a discussion </w:t>
      </w:r>
      <w:r w:rsidR="00A545C7">
        <w:t xml:space="preserve">that helped to place research data management in its wider context, in particular making links to </w:t>
      </w:r>
      <w:r w:rsidR="00C74071">
        <w:t>ethics approval</w:t>
      </w:r>
      <w:r w:rsidR="00A545C7">
        <w:t xml:space="preserve"> and</w:t>
      </w:r>
      <w:r w:rsidR="00C74071">
        <w:t xml:space="preserve"> appraisal for retention or destruction.</w:t>
      </w:r>
      <w:r w:rsidR="00E361A0">
        <w:t xml:space="preserve"> </w:t>
      </w:r>
      <w:r w:rsidR="00B937AA">
        <w:t xml:space="preserve"> While all funders recognise the need for </w:t>
      </w:r>
      <w:r w:rsidR="00D959A0">
        <w:t>compliance with</w:t>
      </w:r>
      <w:r w:rsidR="001B6245">
        <w:t>,</w:t>
      </w:r>
      <w:r w:rsidR="00D959A0">
        <w:t xml:space="preserve"> </w:t>
      </w:r>
      <w:r w:rsidR="001B6245">
        <w:t xml:space="preserve">and the importance of, </w:t>
      </w:r>
      <w:r w:rsidR="00D959A0">
        <w:t>Data Protection and</w:t>
      </w:r>
      <w:r w:rsidR="00B937AA">
        <w:t xml:space="preserve"> confidentiality, it is important that the ethics approval process</w:t>
      </w:r>
      <w:r w:rsidR="001B6245">
        <w:t>es</w:t>
      </w:r>
      <w:r w:rsidR="00B937AA">
        <w:t xml:space="preserve"> </w:t>
      </w:r>
      <w:r w:rsidR="00A545C7">
        <w:t xml:space="preserve">enable data sharing </w:t>
      </w:r>
      <w:r w:rsidR="001B6245">
        <w:t>whenever this is possible</w:t>
      </w:r>
      <w:r w:rsidR="00B937AA">
        <w:t>.</w:t>
      </w:r>
    </w:p>
    <w:p w:rsidR="00470C36" w:rsidRDefault="00470C36" w:rsidP="00470C36">
      <w:pPr>
        <w:pStyle w:val="Heading2"/>
      </w:pPr>
      <w:r>
        <w:t>Conclusion</w:t>
      </w:r>
      <w:r w:rsidR="004C12D3">
        <w:t>s</w:t>
      </w:r>
      <w:r>
        <w:t xml:space="preserve"> and further developments</w:t>
      </w:r>
    </w:p>
    <w:p w:rsidR="00A71804" w:rsidRDefault="00A71804" w:rsidP="00F710BF">
      <w:pPr>
        <w:rPr>
          <w:rFonts w:eastAsia="Verdana"/>
        </w:rPr>
      </w:pPr>
      <w:r>
        <w:rPr>
          <w:rFonts w:eastAsia="Verdana"/>
        </w:rPr>
        <w:t xml:space="preserve">By the end of the project the full </w:t>
      </w:r>
      <w:r w:rsidR="006C40FC">
        <w:rPr>
          <w:rFonts w:eastAsia="Verdana"/>
        </w:rPr>
        <w:t xml:space="preserve">three tier </w:t>
      </w:r>
      <w:r>
        <w:rPr>
          <w:rFonts w:eastAsia="Verdana"/>
        </w:rPr>
        <w:t xml:space="preserve">training model </w:t>
      </w:r>
      <w:r w:rsidR="00A21828">
        <w:rPr>
          <w:rFonts w:eastAsia="Verdana"/>
        </w:rPr>
        <w:t xml:space="preserve">(Fig.1) </w:t>
      </w:r>
      <w:r>
        <w:rPr>
          <w:rFonts w:eastAsia="Verdana"/>
        </w:rPr>
        <w:t>outlined in the introduction will have been delivered, tested and embedded across a range of disciplines and target groups</w:t>
      </w:r>
      <w:r w:rsidR="00A21828">
        <w:rPr>
          <w:rFonts w:eastAsia="Verdana"/>
        </w:rPr>
        <w:t xml:space="preserve"> via RDGC, Faculty and DTC training events</w:t>
      </w:r>
      <w:r w:rsidR="00F710BF">
        <w:rPr>
          <w:rFonts w:eastAsia="Verdana"/>
        </w:rPr>
        <w:t xml:space="preserve"> with plans for a full rollout in the near future</w:t>
      </w:r>
      <w:r>
        <w:rPr>
          <w:rFonts w:eastAsia="Verdana"/>
        </w:rPr>
        <w:t xml:space="preserve">. </w:t>
      </w:r>
      <w:r w:rsidR="00F710BF">
        <w:rPr>
          <w:rFonts w:eastAsia="Verdana"/>
        </w:rPr>
        <w:t xml:space="preserve"> </w:t>
      </w:r>
      <w:r>
        <w:rPr>
          <w:rFonts w:eastAsia="Verdana"/>
        </w:rPr>
        <w:t xml:space="preserve">The feedback from these sessions will inform the iterative development of further training that will continue to involve partnerships between PhD researchers, academic staff and Professional Services staff from the Library, iSolutions, Research and Innovation Services, and other relevant groups. The core resource “Introducing Research Data” guide will continue to be developed and new material added in this evolving process. </w:t>
      </w:r>
    </w:p>
    <w:p w:rsidR="005373EC" w:rsidRDefault="004C12D3" w:rsidP="00A71804">
      <w:r>
        <w:t xml:space="preserve">There are advantages in taking this multi-level approach.  </w:t>
      </w:r>
      <w:r w:rsidR="005373EC">
        <w:t xml:space="preserve">It </w:t>
      </w:r>
      <w:r>
        <w:t>provide</w:t>
      </w:r>
      <w:r w:rsidR="005373EC">
        <w:t>s</w:t>
      </w:r>
      <w:r>
        <w:t xml:space="preserve"> opportunities for different groups to</w:t>
      </w:r>
      <w:r w:rsidR="005373EC">
        <w:t xml:space="preserve"> be targeted but also facilitates their attending joint events.   There is value in encouraging</w:t>
      </w:r>
      <w:r w:rsidR="00F507A1">
        <w:t xml:space="preserve"> cross and multi</w:t>
      </w:r>
      <w:r w:rsidR="005373EC">
        <w:t>-disciplinary exchange of good ideas.  This was demonstrated in the discoveries identified in the report by Beale and P</w:t>
      </w:r>
      <w:r w:rsidR="00F507A1">
        <w:t>agi (2013) on imaging.</w:t>
      </w:r>
      <w:r w:rsidR="00093A0E">
        <w:t xml:space="preserve">  However it can make is slightly more difficult to meet the needs of all who attend so it is important to be clear about the </w:t>
      </w:r>
      <w:r w:rsidR="008874D8">
        <w:t>focus of the event</w:t>
      </w:r>
      <w:r w:rsidR="00A71804">
        <w:t>, its content</w:t>
      </w:r>
      <w:r w:rsidR="008874D8">
        <w:t xml:space="preserve"> </w:t>
      </w:r>
      <w:r w:rsidR="00093A0E">
        <w:t xml:space="preserve">and the </w:t>
      </w:r>
      <w:r w:rsidR="008874D8">
        <w:t xml:space="preserve">expected </w:t>
      </w:r>
      <w:r w:rsidR="00093A0E">
        <w:t>audience in advance.</w:t>
      </w:r>
    </w:p>
    <w:p w:rsidR="00C86518" w:rsidRDefault="004C12D3" w:rsidP="006E748B">
      <w:r>
        <w:t xml:space="preserve">The entry level for researchers needs to </w:t>
      </w:r>
      <w:r w:rsidR="00F507A1">
        <w:t>link to</w:t>
      </w:r>
      <w:r>
        <w:t xml:space="preserve"> the Researcher Development Framework to ensure that these skills</w:t>
      </w:r>
      <w:r w:rsidR="00C86518">
        <w:t xml:space="preserve"> become embedded in the researcher attributes.  </w:t>
      </w:r>
      <w:r w:rsidR="00B4049E">
        <w:t>Over time</w:t>
      </w:r>
      <w:r w:rsidR="00C86518">
        <w:t xml:space="preserve"> we may be able to assume a greater level of prior knowledge, but currently it is best to assume minimal prior knowledge and adapt</w:t>
      </w:r>
      <w:r w:rsidR="009538C0">
        <w:t xml:space="preserve"> when</w:t>
      </w:r>
      <w:r w:rsidR="00C86518">
        <w:t xml:space="preserve"> the participants demonstrate </w:t>
      </w:r>
      <w:r w:rsidR="00D84ABE">
        <w:t>high levels of expertise</w:t>
      </w:r>
      <w:r w:rsidR="00C86518">
        <w:t xml:space="preserve">.  In generic sessions it may be more important to provide time for discussion on the different aspects of data </w:t>
      </w:r>
      <w:r w:rsidR="00C86518">
        <w:lastRenderedPageBreak/>
        <w:t>management in order for the benefits to be demonstrated</w:t>
      </w:r>
      <w:r w:rsidR="00A21828">
        <w:t>,</w:t>
      </w:r>
      <w:r w:rsidR="005373EC">
        <w:t xml:space="preserve"> practices to be changed</w:t>
      </w:r>
      <w:r w:rsidR="00A21828">
        <w:t xml:space="preserve"> and misconceptions addressed.</w:t>
      </w:r>
    </w:p>
    <w:p w:rsidR="004C12D3" w:rsidRDefault="00C86518" w:rsidP="00A21828">
      <w:r>
        <w:t>Faculty based sessions have the advantage that they can be more bespoke and deal specifically with particular types of data, highlight discipline specific best practice</w:t>
      </w:r>
      <w:r w:rsidR="00A21828">
        <w:t xml:space="preserve"> and</w:t>
      </w:r>
      <w:r>
        <w:t xml:space="preserve"> guid</w:t>
      </w:r>
      <w:r w:rsidR="005373EC">
        <w:t>ance on</w:t>
      </w:r>
      <w:r>
        <w:t xml:space="preserve"> appropriate funder requirements.  However, even in areas where it might</w:t>
      </w:r>
      <w:r w:rsidR="005373EC">
        <w:t xml:space="preserve"> seem obvious who might be the main funder, any training session needs to be flexible </w:t>
      </w:r>
      <w:r w:rsidR="001C7D3C">
        <w:t xml:space="preserve">enough </w:t>
      </w:r>
      <w:r w:rsidR="005373EC">
        <w:t>to cover the unexpected</w:t>
      </w:r>
      <w:r w:rsidR="00F507A1">
        <w:t xml:space="preserve"> and being able to respond to this is one of the advantages of co-delivery</w:t>
      </w:r>
      <w:r w:rsidR="005373EC">
        <w:t>.</w:t>
      </w:r>
    </w:p>
    <w:p w:rsidR="005373EC" w:rsidRDefault="005373EC" w:rsidP="00B4049E">
      <w:r>
        <w:t>The structure of a Doctoral Training Centre is such that it can draw in a range of experience.  Opportunities to develop approaches to data management</w:t>
      </w:r>
      <w:r w:rsidR="008E2534">
        <w:t xml:space="preserve"> can be broached in the seminar environment</w:t>
      </w:r>
      <w:r w:rsidR="001C7D3C">
        <w:t xml:space="preserve"> and offer opportunities to explore these in more depth.  The Doctoral Training Centre sessions are an important </w:t>
      </w:r>
      <w:r w:rsidR="008E2534">
        <w:t>avenue that enables the p</w:t>
      </w:r>
      <w:r w:rsidR="00B4049E">
        <w:t>romotion of good practice while facilitating review and discussion on the core principles such as what level of metadata is required to meet different audiences.</w:t>
      </w:r>
    </w:p>
    <w:p w:rsidR="008E2534" w:rsidRDefault="00F65D2E" w:rsidP="00B07367">
      <w:r>
        <w:t>C</w:t>
      </w:r>
      <w:r w:rsidR="008E2534">
        <w:t>o-</w:t>
      </w:r>
      <w:r w:rsidR="0005593E">
        <w:t>deliver</w:t>
      </w:r>
      <w:r w:rsidR="001D6880">
        <w:t>y</w:t>
      </w:r>
      <w:r>
        <w:t xml:space="preserve"> of</w:t>
      </w:r>
      <w:r w:rsidR="0005593E">
        <w:t xml:space="preserve"> the researcher training</w:t>
      </w:r>
      <w:r>
        <w:t xml:space="preserve"> has been important</w:t>
      </w:r>
      <w:r w:rsidR="00541A4E">
        <w:t>.  W</w:t>
      </w:r>
      <w:r w:rsidR="008E2534">
        <w:t xml:space="preserve">here the sessions are aimed at </w:t>
      </w:r>
      <w:r w:rsidR="001C7D3C">
        <w:t>postgraduate</w:t>
      </w:r>
      <w:r w:rsidR="008E2534">
        <w:t xml:space="preserve"> </w:t>
      </w:r>
      <w:r w:rsidR="00541A4E">
        <w:t>or early career researchers it has been invaluable to work with an active researcher</w:t>
      </w:r>
      <w:r w:rsidR="001C7D3C">
        <w:t xml:space="preserve">.  </w:t>
      </w:r>
      <w:r w:rsidR="007F68D4">
        <w:t>Further developments in this area will need to draw on similar expertise</w:t>
      </w:r>
      <w:r w:rsidR="00BF03E9">
        <w:t xml:space="preserve"> to maintain a researcher-led approach, </w:t>
      </w:r>
      <w:r w:rsidR="007F68D4">
        <w:t>perhaps through the funding of “data champions” to ensure that</w:t>
      </w:r>
      <w:r w:rsidR="00BF03E9">
        <w:t xml:space="preserve"> theory and practice remain closely linked.</w:t>
      </w:r>
      <w:r w:rsidR="007F68D4">
        <w:t xml:space="preserve">  </w:t>
      </w:r>
      <w:r w:rsidR="001C7D3C">
        <w:t>S</w:t>
      </w:r>
      <w:r w:rsidR="00541A4E">
        <w:t>essions for those with more experience and an interest in writing proposals co-delivery with</w:t>
      </w:r>
      <w:r w:rsidR="008E2534">
        <w:t xml:space="preserve"> an expert in a related area such as IT</w:t>
      </w:r>
      <w:r w:rsidR="00541A4E">
        <w:t xml:space="preserve"> has also been beneficial</w:t>
      </w:r>
      <w:r w:rsidR="008E2534">
        <w:t>.  This adds weight to the</w:t>
      </w:r>
      <w:r w:rsidR="002D0C07">
        <w:t xml:space="preserve"> guidance and</w:t>
      </w:r>
      <w:r w:rsidR="008E2534">
        <w:t xml:space="preserve"> information provided</w:t>
      </w:r>
      <w:r w:rsidR="002D0C07">
        <w:t xml:space="preserve"> as well as</w:t>
      </w:r>
      <w:r w:rsidR="008E2534">
        <w:t xml:space="preserve"> facilitat</w:t>
      </w:r>
      <w:r w:rsidR="002D0C07">
        <w:t>ing</w:t>
      </w:r>
      <w:r w:rsidR="008E2534">
        <w:t xml:space="preserve"> networking</w:t>
      </w:r>
      <w:r w:rsidR="002D0C07">
        <w:t xml:space="preserve"> and </w:t>
      </w:r>
      <w:r w:rsidR="008E2534">
        <w:t>knowledge transfer</w:t>
      </w:r>
      <w:r w:rsidR="00886D44">
        <w:t xml:space="preserve">. </w:t>
      </w:r>
      <w:r w:rsidR="007F68D4">
        <w:t xml:space="preserve"> </w:t>
      </w:r>
      <w:r w:rsidR="00BF03E9">
        <w:t xml:space="preserve">Future work will benefit from the links established through this project and </w:t>
      </w:r>
      <w:r w:rsidR="001D6880">
        <w:t xml:space="preserve">will </w:t>
      </w:r>
      <w:r w:rsidR="00BF03E9">
        <w:t xml:space="preserve">be further developed as training </w:t>
      </w:r>
      <w:r w:rsidR="00B07367">
        <w:t>responding to the results of the Professional Services training needs analysis (Byatt, 2013</w:t>
      </w:r>
      <w:r w:rsidR="00827567">
        <w:t>a</w:t>
      </w:r>
      <w:r w:rsidR="00B07367">
        <w:t xml:space="preserve">) </w:t>
      </w:r>
      <w:r w:rsidR="00BF03E9">
        <w:t xml:space="preserve">is rolled out. </w:t>
      </w:r>
    </w:p>
    <w:p w:rsidR="0005593E" w:rsidRDefault="0005593E" w:rsidP="000B3419">
      <w:r>
        <w:t>All the sessions so far have led to an improved understanding of the data management landscape.  Examples of good practices have been discovered and shared, while issues over commonly used</w:t>
      </w:r>
      <w:r w:rsidR="00541A4E">
        <w:t xml:space="preserve"> </w:t>
      </w:r>
      <w:r>
        <w:t>services have been raised</w:t>
      </w:r>
      <w:r w:rsidR="000B3419">
        <w:t xml:space="preserve">.  Some misconceptions have been addressed, for example, why it might not be correct to consider </w:t>
      </w:r>
      <w:proofErr w:type="spellStart"/>
      <w:r w:rsidR="000B3419">
        <w:t>Dropbox</w:t>
      </w:r>
      <w:proofErr w:type="spellEnd"/>
      <w:r w:rsidR="000B3419">
        <w:t xml:space="preserve"> as a safe back-up location or why storage on a personal University area might not be as long-term as storing it on the University research drive. </w:t>
      </w:r>
      <w:r w:rsidR="00093A0E">
        <w:t xml:space="preserve"> </w:t>
      </w:r>
    </w:p>
    <w:p w:rsidR="00084076" w:rsidRDefault="005D5E46" w:rsidP="00084076">
      <w:r>
        <w:t>The</w:t>
      </w:r>
      <w:r w:rsidR="00084076">
        <w:t xml:space="preserve"> Institutional Data Management Blueprint (IDMB) 10 year roadmap that in the medium term (3-6 years) one of the core components was</w:t>
      </w:r>
    </w:p>
    <w:p w:rsidR="00084076" w:rsidRDefault="00084076" w:rsidP="00084076">
      <w:pPr>
        <w:ind w:left="720"/>
      </w:pPr>
      <w:r>
        <w:t>“</w:t>
      </w:r>
      <w:r w:rsidRPr="00084076">
        <w:t>Embedding data management training and support across the disciplines through partnership working between services and researchers</w:t>
      </w:r>
      <w:r>
        <w:t>.” (Brown</w:t>
      </w:r>
      <w:r w:rsidR="00EA0C1A">
        <w:t xml:space="preserve"> et al</w:t>
      </w:r>
      <w:r>
        <w:t>, 2011, p.7)</w:t>
      </w:r>
    </w:p>
    <w:p w:rsidR="0005593E" w:rsidRDefault="00084076" w:rsidP="002A11BF">
      <w:r>
        <w:t>The work carried out by the DataPool project has gone a long way to meeting this recommendation</w:t>
      </w:r>
      <w:r w:rsidR="002A11BF">
        <w:t xml:space="preserve">.  Further developments, including the full rollout of the three-tiered training model (fig. 1) to RDGC, all Faculties and DTCs, </w:t>
      </w:r>
      <w:r>
        <w:t xml:space="preserve">are still </w:t>
      </w:r>
      <w:r w:rsidR="005D5E46">
        <w:t xml:space="preserve">required in </w:t>
      </w:r>
      <w:r w:rsidR="005D5E46">
        <w:lastRenderedPageBreak/>
        <w:t>training</w:t>
      </w:r>
      <w:r w:rsidR="007F68D4">
        <w:t xml:space="preserve"> to </w:t>
      </w:r>
      <w:r w:rsidR="005D5E46">
        <w:t>enabl</w:t>
      </w:r>
      <w:r w:rsidR="007F68D4">
        <w:t>e</w:t>
      </w:r>
      <w:r w:rsidR="005D5E46">
        <w:t xml:space="preserve"> researcher</w:t>
      </w:r>
      <w:r w:rsidR="00AF78C3">
        <w:t>s</w:t>
      </w:r>
      <w:r w:rsidR="005D5E46">
        <w:t xml:space="preserve"> to benefit not just from the work within the institution but also those going on elsewhere</w:t>
      </w:r>
      <w:r w:rsidR="007F68D4">
        <w:t xml:space="preserve"> within the higher education environment</w:t>
      </w:r>
      <w:r w:rsidR="005D5E46">
        <w:t>.  The skills</w:t>
      </w:r>
      <w:r w:rsidR="007F68D4">
        <w:t xml:space="preserve"> and expertise</w:t>
      </w:r>
      <w:r w:rsidR="005D5E46">
        <w:t xml:space="preserve"> need to be embedded earlier in the researchers’ career to encourage good habits.  There were recommendations from some who attended sessions that it was relevant at masters</w:t>
      </w:r>
      <w:r w:rsidR="00CC2DF1">
        <w:t>’</w:t>
      </w:r>
      <w:r w:rsidR="005D5E46">
        <w:t xml:space="preserve"> level</w:t>
      </w:r>
      <w:r w:rsidR="00CC2DF1">
        <w:t>,</w:t>
      </w:r>
      <w:r w:rsidR="00B07367">
        <w:t xml:space="preserve"> and</w:t>
      </w:r>
      <w:r w:rsidR="005D5E46">
        <w:t xml:space="preserve"> possibly</w:t>
      </w:r>
      <w:r w:rsidR="00CC2DF1">
        <w:t xml:space="preserve"> also</w:t>
      </w:r>
      <w:r w:rsidR="005D5E46">
        <w:t xml:space="preserve"> for fina</w:t>
      </w:r>
      <w:r w:rsidR="00CC2DF1">
        <w:t>l year undergraduate students</w:t>
      </w:r>
      <w:r w:rsidR="00B07367">
        <w:t>.  From October a new MSc</w:t>
      </w:r>
      <w:r w:rsidR="00B07367" w:rsidRPr="00B07367">
        <w:t xml:space="preserve"> Instrumental Analytical Chemistry </w:t>
      </w:r>
      <w:r w:rsidR="00B07367">
        <w:t>will embed data management into one of the modules, using the guide (Scott, 2012) as the basis a</w:t>
      </w:r>
      <w:r w:rsidR="00CC2DF1">
        <w:t xml:space="preserve">nd </w:t>
      </w:r>
      <w:r w:rsidR="00B07367">
        <w:t xml:space="preserve">is one example of how </w:t>
      </w:r>
      <w:r w:rsidR="00CC2DF1">
        <w:t xml:space="preserve">these ideas will be taken forward through various avenues within the University. </w:t>
      </w:r>
      <w:r w:rsidR="005D5E46">
        <w:t xml:space="preserve">Greater understanding of how metadata and data can be linked together, the appraisal of data for preservation and the implications of depositing data in a repository </w:t>
      </w:r>
      <w:r w:rsidR="00CC2DF1">
        <w:t>are all areas that will be developed having been established as integral to the institution</w:t>
      </w:r>
      <w:r w:rsidR="009879BC">
        <w:t>’</w:t>
      </w:r>
      <w:r w:rsidR="00CC2DF1">
        <w:t>s offer to all researchers</w:t>
      </w:r>
      <w:r w:rsidR="002A11BF">
        <w:t>.</w:t>
      </w:r>
    </w:p>
    <w:p w:rsidR="00A71804" w:rsidRDefault="00A71804" w:rsidP="00641328">
      <w:r>
        <w:t>In conclusion, the IDMB recommended approach</w:t>
      </w:r>
      <w:r w:rsidR="00641328">
        <w:t xml:space="preserve"> of bottom-up/top-down has enabled training to be embedded within the University structure.  The multi-level approach has facilitated opportunities for cross- and multidisciplinary sharing of ideas and will continue to be a valuable means of providing research data training.  Co-delivery has been an essential element in the success of events offered and it will be important that this model is maintained for the future.  Key to the engagement with the researchers at any event requires the focus of the event to be clear in advance and the value in co-delivery is that it can facilitate the unexpected ensuring that each session is successful.</w:t>
      </w:r>
    </w:p>
    <w:p w:rsidR="009D77D4" w:rsidRDefault="009D77D4">
      <w:r>
        <w:br w:type="page"/>
      </w:r>
    </w:p>
    <w:p w:rsidR="00A36968" w:rsidRDefault="009D77D4" w:rsidP="009D77D4">
      <w:pPr>
        <w:pStyle w:val="Heading1"/>
      </w:pPr>
      <w:r>
        <w:lastRenderedPageBreak/>
        <w:t>Appendi</w:t>
      </w:r>
      <w:r w:rsidR="00003C6A">
        <w:t>ces</w:t>
      </w:r>
    </w:p>
    <w:p w:rsidR="00EE3B3F" w:rsidRDefault="00A174E6" w:rsidP="00EE3B3F">
      <w:pPr>
        <w:pStyle w:val="Heading2"/>
        <w:numPr>
          <w:ilvl w:val="0"/>
          <w:numId w:val="12"/>
        </w:numPr>
      </w:pPr>
      <w:r>
        <w:t xml:space="preserve">Selected </w:t>
      </w:r>
      <w:r w:rsidR="00EE3B3F">
        <w:t>Training Evaluations</w:t>
      </w:r>
    </w:p>
    <w:p w:rsidR="00804E34" w:rsidRPr="00804E34" w:rsidRDefault="007D7BA3" w:rsidP="00804E34">
      <w:r>
        <w:t>The following evaluations are a selected sample of events that have been offered to researchers during the DataPool project and relate some of the sessions referred to in the main report.</w:t>
      </w:r>
    </w:p>
    <w:p w:rsidR="00EE3B3F" w:rsidRDefault="00EE3B3F" w:rsidP="00EE3B3F">
      <w:pPr>
        <w:pStyle w:val="Heading3"/>
        <w:numPr>
          <w:ilvl w:val="0"/>
          <w:numId w:val="13"/>
        </w:numPr>
      </w:pPr>
      <w:r>
        <w:t>Gradbook Training event -</w:t>
      </w:r>
      <w:r w:rsidR="007D7BA3">
        <w:t xml:space="preserve"> </w:t>
      </w:r>
      <w:r>
        <w:t>Research Data Management: An introduction to managing your research data</w:t>
      </w:r>
    </w:p>
    <w:tbl>
      <w:tblPr>
        <w:tblW w:w="8287" w:type="dxa"/>
        <w:tblInd w:w="720" w:type="dxa"/>
        <w:tblLook w:val="04A0" w:firstRow="1" w:lastRow="0" w:firstColumn="1" w:lastColumn="0" w:noHBand="0" w:noVBand="1"/>
      </w:tblPr>
      <w:tblGrid>
        <w:gridCol w:w="3696"/>
        <w:gridCol w:w="2723"/>
        <w:gridCol w:w="908"/>
        <w:gridCol w:w="960"/>
      </w:tblGrid>
      <w:tr w:rsidR="00EE3B3F" w:rsidRPr="007A000C" w:rsidTr="007D7BA3">
        <w:trPr>
          <w:trHeight w:val="300"/>
        </w:trPr>
        <w:tc>
          <w:tcPr>
            <w:tcW w:w="36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Course:</w:t>
            </w:r>
          </w:p>
        </w:tc>
        <w:tc>
          <w:tcPr>
            <w:tcW w:w="4591" w:type="dxa"/>
            <w:gridSpan w:val="3"/>
            <w:tcBorders>
              <w:top w:val="nil"/>
              <w:left w:val="nil"/>
              <w:bottom w:val="nil"/>
              <w:right w:val="nil"/>
            </w:tcBorders>
            <w:shd w:val="clear" w:color="auto" w:fill="auto"/>
            <w:noWrap/>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An Introduction to managing your research data</w:t>
            </w:r>
          </w:p>
        </w:tc>
      </w:tr>
      <w:tr w:rsidR="007D7BA3" w:rsidRPr="007A000C" w:rsidTr="007D7BA3">
        <w:trPr>
          <w:trHeight w:val="285"/>
        </w:trPr>
        <w:tc>
          <w:tcPr>
            <w:tcW w:w="3696" w:type="dxa"/>
            <w:tcBorders>
              <w:top w:val="nil"/>
              <w:left w:val="nil"/>
              <w:bottom w:val="nil"/>
              <w:right w:val="nil"/>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Forms Returned</w:t>
            </w:r>
          </w:p>
        </w:tc>
        <w:tc>
          <w:tcPr>
            <w:tcW w:w="2723"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6</w:t>
            </w:r>
          </w:p>
        </w:tc>
        <w:tc>
          <w:tcPr>
            <w:tcW w:w="908"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2"/>
                <w:szCs w:val="22"/>
                <w:lang w:eastAsia="en-GB"/>
              </w:rPr>
            </w:pPr>
          </w:p>
        </w:tc>
      </w:tr>
      <w:tr w:rsidR="007D7BA3" w:rsidRPr="007A000C" w:rsidTr="007D7BA3">
        <w:trPr>
          <w:trHeight w:val="28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Number attended</w:t>
            </w:r>
          </w:p>
        </w:tc>
        <w:tc>
          <w:tcPr>
            <w:tcW w:w="2723"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8</w:t>
            </w:r>
          </w:p>
        </w:tc>
        <w:tc>
          <w:tcPr>
            <w:tcW w:w="908"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2"/>
                <w:szCs w:val="22"/>
                <w:lang w:eastAsia="en-GB"/>
              </w:rPr>
            </w:pPr>
          </w:p>
        </w:tc>
      </w:tr>
      <w:tr w:rsidR="007D7BA3" w:rsidRPr="007A000C" w:rsidTr="007D7BA3">
        <w:trPr>
          <w:trHeight w:val="285"/>
        </w:trPr>
        <w:tc>
          <w:tcPr>
            <w:tcW w:w="3696" w:type="dxa"/>
            <w:tcBorders>
              <w:top w:val="nil"/>
              <w:left w:val="nil"/>
              <w:bottom w:val="nil"/>
              <w:right w:val="nil"/>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Presenter</w:t>
            </w:r>
          </w:p>
        </w:tc>
        <w:tc>
          <w:tcPr>
            <w:tcW w:w="4591" w:type="dxa"/>
            <w:gridSpan w:val="3"/>
            <w:tcBorders>
              <w:top w:val="nil"/>
              <w:left w:val="nil"/>
              <w:bottom w:val="nil"/>
              <w:right w:val="nil"/>
            </w:tcBorders>
            <w:shd w:val="clear" w:color="auto" w:fill="auto"/>
            <w:vAlign w:val="center"/>
            <w:hideMark/>
          </w:tcPr>
          <w:p w:rsidR="007D7BA3" w:rsidRPr="007D7BA3" w:rsidRDefault="007D7BA3"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Dorothy Byatt; Mark Scott</w:t>
            </w:r>
          </w:p>
        </w:tc>
      </w:tr>
      <w:tr w:rsidR="007D7BA3" w:rsidRPr="007A000C" w:rsidTr="007D7BA3">
        <w:trPr>
          <w:trHeight w:val="756"/>
        </w:trPr>
        <w:tc>
          <w:tcPr>
            <w:tcW w:w="3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presentation and facilitation skills of the event leader(s)</w:t>
            </w:r>
          </w:p>
        </w:tc>
        <w:tc>
          <w:tcPr>
            <w:tcW w:w="2723" w:type="dxa"/>
            <w:tcBorders>
              <w:top w:val="single" w:sz="4" w:space="0" w:color="auto"/>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4.2</w:t>
            </w: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2"/>
                <w:szCs w:val="22"/>
                <w:lang w:eastAsia="en-GB"/>
              </w:rPr>
            </w:pPr>
            <w:r w:rsidRPr="007D7BA3">
              <w:rPr>
                <w:rFonts w:ascii="Lucida Sans" w:eastAsia="Times New Roman" w:hAnsi="Lucida Sans" w:cs="Lucida Sans"/>
                <w:sz w:val="22"/>
                <w:szCs w:val="22"/>
                <w:lang w:eastAsia="en-GB"/>
              </w:rPr>
              <w:t> </w:t>
            </w:r>
          </w:p>
        </w:tc>
      </w:tr>
      <w:tr w:rsidR="007D7BA3" w:rsidRPr="007A000C" w:rsidTr="007D7BA3">
        <w:trPr>
          <w:trHeight w:val="285"/>
        </w:trPr>
        <w:tc>
          <w:tcPr>
            <w:tcW w:w="36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Overall rating of the event</w:t>
            </w:r>
          </w:p>
        </w:tc>
        <w:tc>
          <w:tcPr>
            <w:tcW w:w="2723"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90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4.2</w:t>
            </w: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Lucida Sans" w:eastAsia="Times New Roman" w:hAnsi="Lucida Sans" w:cs="Lucida Sans"/>
                <w:sz w:val="22"/>
                <w:szCs w:val="22"/>
                <w:lang w:eastAsia="en-GB"/>
              </w:rPr>
            </w:pPr>
          </w:p>
        </w:tc>
      </w:tr>
      <w:tr w:rsidR="007D7BA3" w:rsidRPr="007A000C" w:rsidTr="007D7BA3">
        <w:trPr>
          <w:trHeight w:val="700"/>
        </w:trPr>
        <w:tc>
          <w:tcPr>
            <w:tcW w:w="36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administrative arrangements prior to the event</w:t>
            </w:r>
          </w:p>
        </w:tc>
        <w:tc>
          <w:tcPr>
            <w:tcW w:w="2723"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90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3.8</w:t>
            </w: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2"/>
                <w:szCs w:val="22"/>
                <w:lang w:eastAsia="en-GB"/>
              </w:rPr>
            </w:pPr>
          </w:p>
        </w:tc>
      </w:tr>
      <w:tr w:rsidR="007D7BA3" w:rsidRPr="007A000C" w:rsidTr="007D7BA3">
        <w:trPr>
          <w:trHeight w:val="570"/>
        </w:trPr>
        <w:tc>
          <w:tcPr>
            <w:tcW w:w="36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content of the event was as advertised</w:t>
            </w:r>
          </w:p>
        </w:tc>
        <w:tc>
          <w:tcPr>
            <w:tcW w:w="2723"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90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4.3</w:t>
            </w: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2"/>
                <w:szCs w:val="22"/>
                <w:lang w:eastAsia="en-GB"/>
              </w:rPr>
            </w:pPr>
          </w:p>
        </w:tc>
      </w:tr>
      <w:tr w:rsidR="007D7BA3" w:rsidRPr="007A000C" w:rsidTr="007D7BA3">
        <w:trPr>
          <w:trHeight w:val="570"/>
        </w:trPr>
        <w:tc>
          <w:tcPr>
            <w:tcW w:w="36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event addressed my needs</w:t>
            </w:r>
          </w:p>
        </w:tc>
        <w:tc>
          <w:tcPr>
            <w:tcW w:w="2723"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90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4.2</w:t>
            </w: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2"/>
                <w:szCs w:val="22"/>
                <w:lang w:eastAsia="en-GB"/>
              </w:rPr>
            </w:pPr>
          </w:p>
        </w:tc>
      </w:tr>
      <w:tr w:rsidR="007D7BA3" w:rsidRPr="007A000C" w:rsidTr="007D7BA3">
        <w:trPr>
          <w:trHeight w:val="688"/>
        </w:trPr>
        <w:tc>
          <w:tcPr>
            <w:tcW w:w="3696" w:type="dxa"/>
            <w:tcBorders>
              <w:top w:val="nil"/>
              <w:left w:val="single" w:sz="4" w:space="0" w:color="auto"/>
              <w:bottom w:val="nil"/>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Would you recommend this event to a colleague/fellow student?</w:t>
            </w:r>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Yes</w:t>
            </w:r>
          </w:p>
        </w:tc>
        <w:tc>
          <w:tcPr>
            <w:tcW w:w="90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66.7%</w:t>
            </w: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2"/>
                <w:szCs w:val="22"/>
                <w:lang w:eastAsia="en-GB"/>
              </w:rPr>
            </w:pPr>
          </w:p>
        </w:tc>
      </w:tr>
      <w:tr w:rsidR="007D7BA3" w:rsidRPr="007A000C" w:rsidTr="007D7BA3">
        <w:trPr>
          <w:trHeight w:val="285"/>
        </w:trPr>
        <w:tc>
          <w:tcPr>
            <w:tcW w:w="3696" w:type="dxa"/>
            <w:tcBorders>
              <w:top w:val="nil"/>
              <w:left w:val="single" w:sz="4" w:space="0" w:color="auto"/>
              <w:bottom w:val="nil"/>
              <w:right w:val="single" w:sz="4" w:space="0" w:color="auto"/>
            </w:tcBorders>
            <w:shd w:val="clear" w:color="auto" w:fill="auto"/>
            <w:vAlign w:val="center"/>
            <w:hideMark/>
          </w:tcPr>
          <w:p w:rsidR="007D7BA3" w:rsidRPr="007D7BA3" w:rsidRDefault="007D7BA3"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 </w:t>
            </w:r>
          </w:p>
        </w:tc>
        <w:tc>
          <w:tcPr>
            <w:tcW w:w="2723"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Maybe</w:t>
            </w:r>
          </w:p>
        </w:tc>
        <w:tc>
          <w:tcPr>
            <w:tcW w:w="90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33.3%</w:t>
            </w:r>
          </w:p>
        </w:tc>
        <w:tc>
          <w:tcPr>
            <w:tcW w:w="960" w:type="dxa"/>
            <w:tcBorders>
              <w:top w:val="nil"/>
              <w:left w:val="nil"/>
              <w:bottom w:val="nil"/>
              <w:right w:val="nil"/>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2"/>
                <w:szCs w:val="22"/>
                <w:lang w:eastAsia="en-GB"/>
              </w:rPr>
            </w:pPr>
            <w:r w:rsidRPr="007D7BA3">
              <w:rPr>
                <w:rFonts w:ascii="Lucida Sans" w:eastAsia="Times New Roman" w:hAnsi="Lucida Sans" w:cs="Lucida Sans"/>
                <w:b/>
                <w:bCs/>
                <w:sz w:val="22"/>
                <w:szCs w:val="22"/>
                <w:lang w:eastAsia="en-GB"/>
              </w:rPr>
              <w:t> </w:t>
            </w:r>
          </w:p>
        </w:tc>
      </w:tr>
      <w:tr w:rsidR="007D7BA3" w:rsidRPr="007A000C" w:rsidTr="007D7BA3">
        <w:trPr>
          <w:trHeight w:val="285"/>
        </w:trPr>
        <w:tc>
          <w:tcPr>
            <w:tcW w:w="3696" w:type="dxa"/>
            <w:tcBorders>
              <w:top w:val="nil"/>
              <w:left w:val="single" w:sz="4" w:space="0" w:color="auto"/>
              <w:bottom w:val="single" w:sz="4" w:space="0" w:color="auto"/>
              <w:right w:val="single" w:sz="4" w:space="0" w:color="auto"/>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r w:rsidRPr="007D7BA3">
              <w:rPr>
                <w:rFonts w:ascii="Arial" w:eastAsia="Times New Roman" w:hAnsi="Arial" w:cs="Arial"/>
                <w:sz w:val="20"/>
                <w:szCs w:val="20"/>
                <w:lang w:eastAsia="en-GB"/>
              </w:rPr>
              <w:t> </w:t>
            </w:r>
          </w:p>
        </w:tc>
        <w:tc>
          <w:tcPr>
            <w:tcW w:w="2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No</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0.0%</w:t>
            </w:r>
          </w:p>
        </w:tc>
        <w:tc>
          <w:tcPr>
            <w:tcW w:w="96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2"/>
                <w:szCs w:val="22"/>
                <w:lang w:eastAsia="en-GB"/>
              </w:rPr>
            </w:pPr>
          </w:p>
        </w:tc>
      </w:tr>
      <w:tr w:rsidR="00EE3B3F" w:rsidRPr="007D7BA3" w:rsidTr="007D7BA3">
        <w:trPr>
          <w:trHeight w:val="285"/>
        </w:trPr>
        <w:tc>
          <w:tcPr>
            <w:tcW w:w="8287" w:type="dxa"/>
            <w:gridSpan w:val="4"/>
            <w:tcBorders>
              <w:top w:val="nil"/>
              <w:left w:val="nil"/>
              <w:bottom w:val="nil"/>
              <w:right w:val="nil"/>
            </w:tcBorders>
            <w:shd w:val="clear" w:color="auto" w:fill="auto"/>
            <w:noWrap/>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w:t>
            </w:r>
            <w:r w:rsidRPr="007D7BA3">
              <w:rPr>
                <w:rFonts w:ascii="Lucida Sans" w:eastAsia="Times New Roman" w:hAnsi="Lucida Sans" w:cs="Lucida Sans"/>
                <w:b/>
                <w:bCs/>
                <w:sz w:val="20"/>
                <w:szCs w:val="20"/>
                <w:lang w:eastAsia="en-GB"/>
              </w:rPr>
              <w:t xml:space="preserve">Score </w:t>
            </w:r>
            <w:r w:rsidRPr="007D7BA3">
              <w:rPr>
                <w:rFonts w:ascii="Lucida Sans" w:eastAsia="Times New Roman" w:hAnsi="Lucida Sans" w:cs="Lucida Sans"/>
                <w:sz w:val="20"/>
                <w:szCs w:val="20"/>
                <w:lang w:eastAsia="en-GB"/>
              </w:rPr>
              <w:t>1= Very Unlikely / Very Poor; 5 = Very Likely / Very Good]</w:t>
            </w:r>
          </w:p>
        </w:tc>
      </w:tr>
      <w:tr w:rsidR="007D7BA3" w:rsidRPr="007A000C" w:rsidTr="007D7BA3">
        <w:trPr>
          <w:trHeight w:val="255"/>
        </w:trPr>
        <w:tc>
          <w:tcPr>
            <w:tcW w:w="3696"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r w:rsidRPr="007D7BA3">
              <w:rPr>
                <w:rFonts w:ascii="Arial" w:eastAsia="Times New Roman" w:hAnsi="Arial" w:cs="Arial"/>
                <w:noProof/>
                <w:sz w:val="22"/>
                <w:szCs w:val="22"/>
              </w:rPr>
              <w:drawing>
                <wp:anchor distT="0" distB="0" distL="114300" distR="114300" simplePos="0" relativeHeight="251664384" behindDoc="0" locked="0" layoutInCell="1" allowOverlap="1" wp14:anchorId="516DE4B8" wp14:editId="7FEC55BC">
                  <wp:simplePos x="0" y="0"/>
                  <wp:positionH relativeFrom="column">
                    <wp:posOffset>0</wp:posOffset>
                  </wp:positionH>
                  <wp:positionV relativeFrom="paragraph">
                    <wp:posOffset>38100</wp:posOffset>
                  </wp:positionV>
                  <wp:extent cx="4638675" cy="2505075"/>
                  <wp:effectExtent l="0" t="0" r="9525" b="9525"/>
                  <wp:wrapNone/>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80"/>
            </w:tblGrid>
            <w:tr w:rsidR="007D7BA3" w:rsidRPr="007D7BA3" w:rsidTr="00804E34">
              <w:trPr>
                <w:trHeight w:val="255"/>
                <w:tblCellSpacing w:w="0" w:type="dxa"/>
              </w:trPr>
              <w:tc>
                <w:tcPr>
                  <w:tcW w:w="3280"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r>
          </w:tbl>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noWrap/>
            <w:vAlign w:val="bottom"/>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vAlign w:val="center"/>
            <w:hideMark/>
          </w:tcPr>
          <w:p w:rsidR="007D7BA3" w:rsidRPr="007D7BA3" w:rsidRDefault="007D7BA3" w:rsidP="00804E34">
            <w:pPr>
              <w:spacing w:after="0"/>
              <w:jc w:val="center"/>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vAlign w:val="center"/>
            <w:hideMark/>
          </w:tcPr>
          <w:p w:rsidR="007D7BA3" w:rsidRPr="007D7BA3" w:rsidRDefault="007D7BA3" w:rsidP="00804E34">
            <w:pPr>
              <w:spacing w:after="0"/>
              <w:jc w:val="center"/>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vAlign w:val="center"/>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vAlign w:val="center"/>
            <w:hideMark/>
          </w:tcPr>
          <w:p w:rsidR="007D7BA3" w:rsidRPr="007D7BA3" w:rsidRDefault="007D7BA3" w:rsidP="00804E34">
            <w:pPr>
              <w:spacing w:after="0"/>
              <w:rPr>
                <w:rFonts w:ascii="Arial" w:eastAsia="Times New Roman" w:hAnsi="Arial" w:cs="Arial"/>
                <w:sz w:val="22"/>
                <w:szCs w:val="22"/>
                <w:lang w:eastAsia="en-GB"/>
              </w:rPr>
            </w:pPr>
          </w:p>
        </w:tc>
      </w:tr>
      <w:tr w:rsidR="007D7BA3" w:rsidRPr="007A000C" w:rsidTr="007D7BA3">
        <w:trPr>
          <w:trHeight w:val="255"/>
        </w:trPr>
        <w:tc>
          <w:tcPr>
            <w:tcW w:w="3696"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2723"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2"/>
                <w:szCs w:val="22"/>
                <w:lang w:eastAsia="en-GB"/>
              </w:rPr>
            </w:pPr>
          </w:p>
        </w:tc>
        <w:tc>
          <w:tcPr>
            <w:tcW w:w="908" w:type="dxa"/>
            <w:tcBorders>
              <w:top w:val="nil"/>
              <w:left w:val="nil"/>
              <w:bottom w:val="nil"/>
              <w:right w:val="nil"/>
            </w:tcBorders>
            <w:shd w:val="clear" w:color="auto" w:fill="auto"/>
            <w:vAlign w:val="center"/>
            <w:hideMark/>
          </w:tcPr>
          <w:p w:rsidR="007D7BA3" w:rsidRPr="007D7BA3" w:rsidRDefault="007D7BA3" w:rsidP="00804E34">
            <w:pPr>
              <w:spacing w:after="0"/>
              <w:rPr>
                <w:rFonts w:ascii="Arial" w:eastAsia="Times New Roman" w:hAnsi="Arial" w:cs="Arial"/>
                <w:sz w:val="22"/>
                <w:szCs w:val="22"/>
                <w:lang w:eastAsia="en-GB"/>
              </w:rPr>
            </w:pPr>
          </w:p>
        </w:tc>
        <w:tc>
          <w:tcPr>
            <w:tcW w:w="960" w:type="dxa"/>
            <w:tcBorders>
              <w:top w:val="nil"/>
              <w:left w:val="nil"/>
              <w:bottom w:val="nil"/>
              <w:right w:val="nil"/>
            </w:tcBorders>
            <w:shd w:val="clear" w:color="auto" w:fill="auto"/>
            <w:vAlign w:val="center"/>
            <w:hideMark/>
          </w:tcPr>
          <w:p w:rsidR="007D7BA3" w:rsidRPr="007D7BA3" w:rsidRDefault="007D7BA3" w:rsidP="00804E34">
            <w:pPr>
              <w:spacing w:after="0"/>
              <w:rPr>
                <w:rFonts w:ascii="Arial" w:eastAsia="Times New Roman" w:hAnsi="Arial" w:cs="Arial"/>
                <w:sz w:val="22"/>
                <w:szCs w:val="22"/>
                <w:lang w:eastAsia="en-GB"/>
              </w:rPr>
            </w:pPr>
          </w:p>
        </w:tc>
      </w:tr>
    </w:tbl>
    <w:p w:rsidR="00EE3B3F" w:rsidRDefault="00EE3B3F" w:rsidP="00EE3B3F">
      <w:r>
        <w:br w:type="page"/>
      </w:r>
    </w:p>
    <w:p w:rsidR="007D7BA3" w:rsidRPr="007D7BA3" w:rsidRDefault="00EE3B3F" w:rsidP="007D7BA3">
      <w:pPr>
        <w:pStyle w:val="Heading3"/>
        <w:numPr>
          <w:ilvl w:val="0"/>
          <w:numId w:val="13"/>
        </w:numPr>
      </w:pPr>
      <w:r>
        <w:lastRenderedPageBreak/>
        <w:t>Faculty of Medicine – Managing your research data of the future</w:t>
      </w:r>
    </w:p>
    <w:tbl>
      <w:tblPr>
        <w:tblW w:w="7312" w:type="dxa"/>
        <w:tblInd w:w="108" w:type="dxa"/>
        <w:tblLook w:val="04A0" w:firstRow="1" w:lastRow="0" w:firstColumn="1" w:lastColumn="0" w:noHBand="0" w:noVBand="1"/>
      </w:tblPr>
      <w:tblGrid>
        <w:gridCol w:w="3496"/>
        <w:gridCol w:w="2488"/>
        <w:gridCol w:w="880"/>
        <w:gridCol w:w="342"/>
        <w:gridCol w:w="274"/>
      </w:tblGrid>
      <w:tr w:rsidR="00EE3B3F" w:rsidRPr="00587106" w:rsidTr="00804E34">
        <w:trPr>
          <w:trHeight w:val="720"/>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p>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Course:</w:t>
            </w:r>
          </w:p>
          <w:p w:rsidR="00EE3B3F" w:rsidRPr="007D7BA3" w:rsidRDefault="00EE3B3F" w:rsidP="00804E34">
            <w:pPr>
              <w:spacing w:after="0"/>
              <w:jc w:val="center"/>
              <w:rPr>
                <w:rFonts w:ascii="Lucida Sans" w:eastAsia="Times New Roman" w:hAnsi="Lucida Sans" w:cs="Lucida Sans"/>
                <w:b/>
                <w:bCs/>
                <w:sz w:val="20"/>
                <w:szCs w:val="20"/>
                <w:lang w:eastAsia="en-GB"/>
              </w:rPr>
            </w:pPr>
          </w:p>
        </w:tc>
        <w:tc>
          <w:tcPr>
            <w:tcW w:w="3984" w:type="dxa"/>
            <w:gridSpan w:val="4"/>
            <w:tcBorders>
              <w:top w:val="nil"/>
              <w:left w:val="nil"/>
              <w:bottom w:val="nil"/>
              <w:right w:val="nil"/>
            </w:tcBorders>
            <w:shd w:val="clear" w:color="auto" w:fill="auto"/>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Managing your research data for the future</w:t>
            </w:r>
          </w:p>
        </w:tc>
      </w:tr>
      <w:tr w:rsidR="007D7BA3" w:rsidRPr="00587106" w:rsidTr="00F507A1">
        <w:trPr>
          <w:trHeight w:val="285"/>
        </w:trPr>
        <w:tc>
          <w:tcPr>
            <w:tcW w:w="3496"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p>
        </w:tc>
        <w:tc>
          <w:tcPr>
            <w:tcW w:w="880" w:type="dxa"/>
            <w:tcBorders>
              <w:top w:val="nil"/>
              <w:left w:val="nil"/>
              <w:bottom w:val="nil"/>
              <w:right w:val="nil"/>
            </w:tcBorders>
            <w:shd w:val="clear" w:color="auto" w:fill="auto"/>
            <w:noWrap/>
            <w:vAlign w:val="center"/>
            <w:hideMark/>
          </w:tcPr>
          <w:p w:rsidR="007D7BA3" w:rsidRPr="007D7BA3" w:rsidRDefault="007D7BA3" w:rsidP="00804E34">
            <w:pPr>
              <w:spacing w:after="0"/>
              <w:rPr>
                <w:rFonts w:ascii="Lucida Sans" w:eastAsia="Times New Roman" w:hAnsi="Lucida Sans" w:cs="Lucida Sans"/>
                <w:sz w:val="20"/>
                <w:szCs w:val="20"/>
                <w:lang w:eastAsia="en-GB"/>
              </w:rPr>
            </w:pPr>
          </w:p>
        </w:tc>
        <w:tc>
          <w:tcPr>
            <w:tcW w:w="616" w:type="dxa"/>
            <w:gridSpan w:val="2"/>
            <w:tcBorders>
              <w:top w:val="nil"/>
              <w:left w:val="nil"/>
              <w:bottom w:val="nil"/>
              <w:right w:val="nil"/>
            </w:tcBorders>
            <w:shd w:val="clear" w:color="auto" w:fill="auto"/>
            <w:noWrap/>
            <w:vAlign w:val="center"/>
            <w:hideMark/>
          </w:tcPr>
          <w:p w:rsidR="007D7BA3" w:rsidRPr="007D7BA3" w:rsidRDefault="007D7BA3" w:rsidP="00804E34">
            <w:pPr>
              <w:spacing w:after="0"/>
              <w:rPr>
                <w:rFonts w:ascii="Arial" w:eastAsia="Times New Roman" w:hAnsi="Arial" w:cs="Arial"/>
                <w:sz w:val="20"/>
                <w:szCs w:val="20"/>
                <w:lang w:eastAsia="en-GB"/>
              </w:rPr>
            </w:pPr>
          </w:p>
        </w:tc>
      </w:tr>
      <w:tr w:rsidR="007D7BA3" w:rsidRPr="00587106" w:rsidTr="00F507A1">
        <w:trPr>
          <w:trHeight w:val="285"/>
        </w:trPr>
        <w:tc>
          <w:tcPr>
            <w:tcW w:w="3496" w:type="dxa"/>
            <w:tcBorders>
              <w:top w:val="nil"/>
              <w:left w:val="nil"/>
              <w:bottom w:val="nil"/>
              <w:right w:val="nil"/>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Forms Returned</w:t>
            </w:r>
          </w:p>
        </w:tc>
        <w:tc>
          <w:tcPr>
            <w:tcW w:w="2488"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22</w:t>
            </w:r>
          </w:p>
        </w:tc>
        <w:tc>
          <w:tcPr>
            <w:tcW w:w="88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c>
          <w:tcPr>
            <w:tcW w:w="616" w:type="dxa"/>
            <w:gridSpan w:val="2"/>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F507A1">
        <w:trPr>
          <w:trHeight w:val="255"/>
        </w:trPr>
        <w:tc>
          <w:tcPr>
            <w:tcW w:w="3496"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r w:rsidRPr="007D7BA3">
              <w:rPr>
                <w:rFonts w:ascii="Arial" w:eastAsia="Times New Roman" w:hAnsi="Arial" w:cs="Arial"/>
                <w:sz w:val="20"/>
                <w:szCs w:val="20"/>
                <w:lang w:eastAsia="en-GB"/>
              </w:rPr>
              <w:t xml:space="preserve">Number attended </w:t>
            </w:r>
          </w:p>
        </w:tc>
        <w:tc>
          <w:tcPr>
            <w:tcW w:w="2488"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r w:rsidRPr="007D7BA3">
              <w:rPr>
                <w:rFonts w:ascii="Arial" w:eastAsia="Times New Roman" w:hAnsi="Arial" w:cs="Arial"/>
                <w:sz w:val="20"/>
                <w:szCs w:val="20"/>
                <w:lang w:eastAsia="en-GB"/>
              </w:rPr>
              <w:t>24</w:t>
            </w:r>
          </w:p>
        </w:tc>
        <w:tc>
          <w:tcPr>
            <w:tcW w:w="88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c>
          <w:tcPr>
            <w:tcW w:w="616" w:type="dxa"/>
            <w:gridSpan w:val="2"/>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F507A1">
        <w:trPr>
          <w:trHeight w:val="285"/>
        </w:trPr>
        <w:tc>
          <w:tcPr>
            <w:tcW w:w="3496" w:type="dxa"/>
            <w:tcBorders>
              <w:top w:val="nil"/>
              <w:left w:val="nil"/>
              <w:bottom w:val="nil"/>
              <w:right w:val="nil"/>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Presenter</w:t>
            </w:r>
          </w:p>
        </w:tc>
        <w:tc>
          <w:tcPr>
            <w:tcW w:w="3984" w:type="dxa"/>
            <w:gridSpan w:val="4"/>
            <w:tcBorders>
              <w:top w:val="nil"/>
              <w:left w:val="nil"/>
              <w:bottom w:val="nil"/>
              <w:right w:val="nil"/>
            </w:tcBorders>
            <w:shd w:val="clear" w:color="auto" w:fill="auto"/>
            <w:vAlign w:val="center"/>
            <w:hideMark/>
          </w:tcPr>
          <w:p w:rsidR="007D7BA3" w:rsidRPr="007D7BA3" w:rsidRDefault="007D7BA3" w:rsidP="007D7BA3">
            <w:pPr>
              <w:spacing w:after="0"/>
              <w:rPr>
                <w:rFonts w:ascii="Arial" w:eastAsia="Times New Roman" w:hAnsi="Arial" w:cs="Arial"/>
                <w:sz w:val="20"/>
                <w:szCs w:val="20"/>
                <w:lang w:eastAsia="en-GB"/>
              </w:rPr>
            </w:pPr>
            <w:r w:rsidRPr="007D7BA3">
              <w:rPr>
                <w:rFonts w:ascii="Lucida Sans" w:eastAsia="Times New Roman" w:hAnsi="Lucida Sans" w:cs="Lucida Sans"/>
                <w:sz w:val="20"/>
                <w:szCs w:val="20"/>
                <w:lang w:eastAsia="en-GB"/>
              </w:rPr>
              <w:t>D. Byatt; S. Mackinnon</w:t>
            </w:r>
          </w:p>
        </w:tc>
      </w:tr>
      <w:tr w:rsidR="007D7BA3" w:rsidRPr="00587106" w:rsidTr="00F507A1">
        <w:trPr>
          <w:trHeight w:val="285"/>
        </w:trPr>
        <w:tc>
          <w:tcPr>
            <w:tcW w:w="3496"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p>
        </w:tc>
        <w:tc>
          <w:tcPr>
            <w:tcW w:w="2488"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p>
        </w:tc>
        <w:tc>
          <w:tcPr>
            <w:tcW w:w="880" w:type="dxa"/>
            <w:tcBorders>
              <w:top w:val="nil"/>
              <w:left w:val="nil"/>
              <w:bottom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p>
        </w:tc>
        <w:tc>
          <w:tcPr>
            <w:tcW w:w="616" w:type="dxa"/>
            <w:gridSpan w:val="2"/>
            <w:vMerge w:val="restart"/>
            <w:tcBorders>
              <w:top w:val="nil"/>
              <w:left w:val="nil"/>
              <w:right w:val="nil"/>
            </w:tcBorders>
            <w:shd w:val="clear" w:color="auto" w:fill="auto"/>
            <w:noWrap/>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 </w:t>
            </w:r>
          </w:p>
          <w:p w:rsidR="007D7BA3" w:rsidRPr="007D7BA3" w:rsidRDefault="007D7BA3" w:rsidP="00804E34">
            <w:pPr>
              <w:spacing w:after="0"/>
              <w:jc w:val="center"/>
              <w:rPr>
                <w:rFonts w:ascii="Arial" w:eastAsia="Times New Roman" w:hAnsi="Arial" w:cs="Arial"/>
                <w:sz w:val="20"/>
                <w:szCs w:val="20"/>
                <w:lang w:eastAsia="en-GB"/>
              </w:rPr>
            </w:pPr>
            <w:r w:rsidRPr="007D7BA3">
              <w:rPr>
                <w:rFonts w:ascii="Lucida Sans" w:eastAsia="Times New Roman" w:hAnsi="Lucida Sans" w:cs="Lucida Sans"/>
                <w:b/>
                <w:bCs/>
                <w:sz w:val="20"/>
                <w:szCs w:val="20"/>
                <w:lang w:eastAsia="en-GB"/>
              </w:rPr>
              <w:t> </w:t>
            </w:r>
          </w:p>
        </w:tc>
      </w:tr>
      <w:tr w:rsidR="007D7BA3" w:rsidRPr="00587106" w:rsidTr="007D7BA3">
        <w:trPr>
          <w:trHeight w:val="855"/>
        </w:trPr>
        <w:tc>
          <w:tcPr>
            <w:tcW w:w="3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presentation and facilitation skills of the event leader(s)</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3.8</w:t>
            </w:r>
          </w:p>
        </w:tc>
        <w:tc>
          <w:tcPr>
            <w:tcW w:w="616" w:type="dxa"/>
            <w:gridSpan w:val="2"/>
            <w:vMerge/>
            <w:tcBorders>
              <w:left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7D7BA3">
        <w:trPr>
          <w:trHeight w:val="285"/>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Overall rating of the event</w:t>
            </w:r>
          </w:p>
        </w:tc>
        <w:tc>
          <w:tcPr>
            <w:tcW w:w="248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3.6</w:t>
            </w:r>
          </w:p>
        </w:tc>
        <w:tc>
          <w:tcPr>
            <w:tcW w:w="616" w:type="dxa"/>
            <w:gridSpan w:val="2"/>
            <w:vMerge/>
            <w:tcBorders>
              <w:left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7D7BA3">
        <w:trPr>
          <w:trHeight w:val="855"/>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administrative arrangements prior to the event</w:t>
            </w:r>
          </w:p>
        </w:tc>
        <w:tc>
          <w:tcPr>
            <w:tcW w:w="248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3.9</w:t>
            </w:r>
          </w:p>
        </w:tc>
        <w:tc>
          <w:tcPr>
            <w:tcW w:w="616" w:type="dxa"/>
            <w:gridSpan w:val="2"/>
            <w:vMerge/>
            <w:tcBorders>
              <w:left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7D7BA3">
        <w:trPr>
          <w:trHeight w:val="57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content of the event was as advertised</w:t>
            </w:r>
          </w:p>
        </w:tc>
        <w:tc>
          <w:tcPr>
            <w:tcW w:w="248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4.0</w:t>
            </w:r>
          </w:p>
        </w:tc>
        <w:tc>
          <w:tcPr>
            <w:tcW w:w="616" w:type="dxa"/>
            <w:gridSpan w:val="2"/>
            <w:vMerge/>
            <w:tcBorders>
              <w:left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7D7BA3">
        <w:trPr>
          <w:trHeight w:val="57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event addressed my needs</w:t>
            </w:r>
          </w:p>
        </w:tc>
        <w:tc>
          <w:tcPr>
            <w:tcW w:w="2488"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3.6</w:t>
            </w:r>
          </w:p>
        </w:tc>
        <w:tc>
          <w:tcPr>
            <w:tcW w:w="616" w:type="dxa"/>
            <w:gridSpan w:val="2"/>
            <w:vMerge/>
            <w:tcBorders>
              <w:left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7D7BA3">
        <w:trPr>
          <w:trHeight w:val="855"/>
        </w:trPr>
        <w:tc>
          <w:tcPr>
            <w:tcW w:w="3496" w:type="dxa"/>
            <w:tcBorders>
              <w:top w:val="nil"/>
              <w:left w:val="single" w:sz="4" w:space="0" w:color="auto"/>
              <w:bottom w:val="nil"/>
              <w:right w:val="single" w:sz="4" w:space="0" w:color="auto"/>
            </w:tcBorders>
            <w:shd w:val="clear" w:color="auto" w:fill="auto"/>
            <w:vAlign w:val="center"/>
            <w:hideMark/>
          </w:tcPr>
          <w:p w:rsidR="007D7BA3" w:rsidRPr="007D7BA3" w:rsidRDefault="007D7BA3"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Would you recommend this event to a colleague/fellow student?</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Yes</w:t>
            </w:r>
          </w:p>
        </w:tc>
        <w:tc>
          <w:tcPr>
            <w:tcW w:w="880"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54.5%</w:t>
            </w:r>
          </w:p>
        </w:tc>
        <w:tc>
          <w:tcPr>
            <w:tcW w:w="616" w:type="dxa"/>
            <w:gridSpan w:val="2"/>
            <w:vMerge/>
            <w:tcBorders>
              <w:left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7D7BA3" w:rsidRPr="00587106" w:rsidTr="00F507A1">
        <w:trPr>
          <w:trHeight w:val="285"/>
        </w:trPr>
        <w:tc>
          <w:tcPr>
            <w:tcW w:w="3496" w:type="dxa"/>
            <w:tcBorders>
              <w:top w:val="nil"/>
              <w:left w:val="single" w:sz="4" w:space="0" w:color="auto"/>
              <w:bottom w:val="nil"/>
              <w:right w:val="single" w:sz="4" w:space="0" w:color="auto"/>
            </w:tcBorders>
            <w:shd w:val="clear" w:color="auto" w:fill="auto"/>
            <w:vAlign w:val="center"/>
            <w:hideMark/>
          </w:tcPr>
          <w:p w:rsidR="007D7BA3" w:rsidRPr="007D7BA3" w:rsidRDefault="007D7BA3"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 </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Maybe</w:t>
            </w:r>
          </w:p>
        </w:tc>
        <w:tc>
          <w:tcPr>
            <w:tcW w:w="880" w:type="dxa"/>
            <w:tcBorders>
              <w:top w:val="nil"/>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40.9%</w:t>
            </w:r>
          </w:p>
        </w:tc>
        <w:tc>
          <w:tcPr>
            <w:tcW w:w="616" w:type="dxa"/>
            <w:gridSpan w:val="2"/>
            <w:vMerge/>
            <w:tcBorders>
              <w:left w:val="nil"/>
              <w:right w:val="nil"/>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p>
        </w:tc>
      </w:tr>
      <w:tr w:rsidR="007D7BA3" w:rsidRPr="00587106" w:rsidTr="00F507A1">
        <w:trPr>
          <w:trHeight w:val="285"/>
        </w:trPr>
        <w:tc>
          <w:tcPr>
            <w:tcW w:w="3496" w:type="dxa"/>
            <w:tcBorders>
              <w:top w:val="nil"/>
              <w:left w:val="single" w:sz="4" w:space="0" w:color="auto"/>
              <w:bottom w:val="single" w:sz="4" w:space="0" w:color="auto"/>
              <w:right w:val="single" w:sz="4" w:space="0" w:color="auto"/>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r w:rsidRPr="007D7BA3">
              <w:rPr>
                <w:rFonts w:ascii="Arial" w:eastAsia="Times New Roman" w:hAnsi="Arial" w:cs="Arial"/>
                <w:sz w:val="20"/>
                <w:szCs w:val="20"/>
                <w:lang w:eastAsia="en-GB"/>
              </w:rPr>
              <w:t> </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No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D7BA3" w:rsidRPr="007D7BA3" w:rsidRDefault="007D7BA3"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4.5%</w:t>
            </w:r>
          </w:p>
        </w:tc>
        <w:tc>
          <w:tcPr>
            <w:tcW w:w="616" w:type="dxa"/>
            <w:gridSpan w:val="2"/>
            <w:vMerge/>
            <w:tcBorders>
              <w:left w:val="nil"/>
              <w:bottom w:val="nil"/>
              <w:right w:val="nil"/>
            </w:tcBorders>
            <w:shd w:val="clear" w:color="auto" w:fill="auto"/>
            <w:noWrap/>
            <w:vAlign w:val="center"/>
            <w:hideMark/>
          </w:tcPr>
          <w:p w:rsidR="007D7BA3" w:rsidRPr="007D7BA3" w:rsidRDefault="007D7BA3" w:rsidP="00804E34">
            <w:pPr>
              <w:spacing w:after="0"/>
              <w:jc w:val="center"/>
              <w:rPr>
                <w:rFonts w:ascii="Arial" w:eastAsia="Times New Roman" w:hAnsi="Arial" w:cs="Arial"/>
                <w:sz w:val="20"/>
                <w:szCs w:val="20"/>
                <w:lang w:eastAsia="en-GB"/>
              </w:rPr>
            </w:pPr>
          </w:p>
        </w:tc>
      </w:tr>
      <w:tr w:rsidR="00EE3B3F" w:rsidRPr="00587106" w:rsidTr="00804E34">
        <w:trPr>
          <w:trHeight w:val="285"/>
        </w:trPr>
        <w:tc>
          <w:tcPr>
            <w:tcW w:w="7480" w:type="dxa"/>
            <w:gridSpan w:val="5"/>
            <w:tcBorders>
              <w:top w:val="nil"/>
              <w:left w:val="nil"/>
              <w:bottom w:val="nil"/>
              <w:right w:val="nil"/>
            </w:tcBorders>
            <w:shd w:val="clear" w:color="auto" w:fill="auto"/>
            <w:noWrap/>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w:t>
            </w:r>
            <w:r w:rsidRPr="007D7BA3">
              <w:rPr>
                <w:rFonts w:ascii="Lucida Sans" w:eastAsia="Times New Roman" w:hAnsi="Lucida Sans" w:cs="Lucida Sans"/>
                <w:b/>
                <w:bCs/>
                <w:sz w:val="20"/>
                <w:szCs w:val="20"/>
                <w:lang w:eastAsia="en-GB"/>
              </w:rPr>
              <w:t xml:space="preserve">Score </w:t>
            </w:r>
            <w:r w:rsidRPr="007D7BA3">
              <w:rPr>
                <w:rFonts w:ascii="Lucida Sans" w:eastAsia="Times New Roman" w:hAnsi="Lucida Sans" w:cs="Lucida Sans"/>
                <w:sz w:val="20"/>
                <w:szCs w:val="20"/>
                <w:lang w:eastAsia="en-GB"/>
              </w:rPr>
              <w:t>1= Very Unlikely / Very Poor; 5 = Very Likely / Very Good]</w:t>
            </w: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r w:rsidRPr="007D7BA3">
              <w:rPr>
                <w:rFonts w:ascii="Arial" w:eastAsia="Times New Roman" w:hAnsi="Arial" w:cs="Arial"/>
                <w:noProof/>
                <w:sz w:val="20"/>
                <w:szCs w:val="20"/>
              </w:rPr>
              <w:drawing>
                <wp:anchor distT="0" distB="0" distL="114300" distR="114300" simplePos="0" relativeHeight="251660288" behindDoc="0" locked="0" layoutInCell="1" allowOverlap="1" wp14:anchorId="6FA5CA94" wp14:editId="465977C4">
                  <wp:simplePos x="0" y="0"/>
                  <wp:positionH relativeFrom="column">
                    <wp:posOffset>-55245</wp:posOffset>
                  </wp:positionH>
                  <wp:positionV relativeFrom="paragraph">
                    <wp:posOffset>119380</wp:posOffset>
                  </wp:positionV>
                  <wp:extent cx="4638675" cy="2514600"/>
                  <wp:effectExtent l="0" t="0" r="9525" b="19050"/>
                  <wp:wrapNone/>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bl>
            <w:tblPr>
              <w:tblW w:w="0" w:type="auto"/>
              <w:tblCellSpacing w:w="0" w:type="dxa"/>
              <w:tblCellMar>
                <w:left w:w="0" w:type="dxa"/>
                <w:right w:w="0" w:type="dxa"/>
              </w:tblCellMar>
              <w:tblLook w:val="04A0" w:firstRow="1" w:lastRow="0" w:firstColumn="1" w:lastColumn="0" w:noHBand="0" w:noVBand="1"/>
            </w:tblPr>
            <w:tblGrid>
              <w:gridCol w:w="3280"/>
            </w:tblGrid>
            <w:tr w:rsidR="00EE3B3F" w:rsidRPr="007D7BA3" w:rsidTr="00804E34">
              <w:trPr>
                <w:trHeight w:val="255"/>
                <w:tblCellSpacing w:w="0" w:type="dxa"/>
              </w:trPr>
              <w:tc>
                <w:tcPr>
                  <w:tcW w:w="3280"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r>
          </w:tbl>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587106" w:rsidTr="00804E34">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342"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274"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bl>
    <w:p w:rsidR="00EE3B3F" w:rsidRDefault="00EE3B3F" w:rsidP="00EE3B3F">
      <w:pPr>
        <w:spacing w:after="0"/>
      </w:pPr>
    </w:p>
    <w:p w:rsidR="00EE3B3F" w:rsidRDefault="00EE3B3F" w:rsidP="00EE3B3F">
      <w:pPr>
        <w:spacing w:after="0"/>
      </w:pPr>
      <w:r>
        <w:br w:type="page"/>
      </w:r>
    </w:p>
    <w:p w:rsidR="009B555E" w:rsidRPr="009B555E" w:rsidRDefault="00EE3B3F" w:rsidP="009B555E">
      <w:pPr>
        <w:pStyle w:val="Heading3"/>
        <w:numPr>
          <w:ilvl w:val="0"/>
          <w:numId w:val="13"/>
        </w:numPr>
      </w:pPr>
      <w:r>
        <w:lastRenderedPageBreak/>
        <w:t>Faculty of Health Sciences</w:t>
      </w:r>
      <w:r w:rsidR="00666A37">
        <w:t xml:space="preserve"> – Managing your research data for the future</w:t>
      </w:r>
    </w:p>
    <w:tbl>
      <w:tblPr>
        <w:tblW w:w="8222" w:type="dxa"/>
        <w:tblInd w:w="108" w:type="dxa"/>
        <w:tblLook w:val="04A0" w:firstRow="1" w:lastRow="0" w:firstColumn="1" w:lastColumn="0" w:noHBand="0" w:noVBand="1"/>
      </w:tblPr>
      <w:tblGrid>
        <w:gridCol w:w="3496"/>
        <w:gridCol w:w="2488"/>
        <w:gridCol w:w="880"/>
        <w:gridCol w:w="385"/>
        <w:gridCol w:w="973"/>
      </w:tblGrid>
      <w:tr w:rsidR="00EE3B3F" w:rsidRPr="00DB3117" w:rsidTr="007D7BA3">
        <w:trPr>
          <w:trHeight w:val="300"/>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Course:</w:t>
            </w:r>
          </w:p>
        </w:tc>
        <w:tc>
          <w:tcPr>
            <w:tcW w:w="4726" w:type="dxa"/>
            <w:gridSpan w:val="4"/>
            <w:tcBorders>
              <w:top w:val="nil"/>
              <w:left w:val="nil"/>
              <w:bottom w:val="nil"/>
              <w:right w:val="nil"/>
            </w:tcBorders>
            <w:shd w:val="clear" w:color="auto" w:fill="auto"/>
            <w:noWrap/>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Managing your research data for the future</w:t>
            </w:r>
          </w:p>
        </w:tc>
      </w:tr>
      <w:tr w:rsidR="00EE3B3F" w:rsidRPr="00DB3117" w:rsidTr="007D7BA3">
        <w:trPr>
          <w:trHeight w:val="28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Lucida Sans" w:eastAsia="Times New Roman" w:hAnsi="Lucida Sans" w:cs="Lucida Sans"/>
                <w:sz w:val="20"/>
                <w:szCs w:val="20"/>
                <w:lang w:eastAsia="en-GB"/>
              </w:rPr>
            </w:pP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85"/>
        </w:trPr>
        <w:tc>
          <w:tcPr>
            <w:tcW w:w="3496" w:type="dxa"/>
            <w:tcBorders>
              <w:top w:val="nil"/>
              <w:left w:val="nil"/>
              <w:bottom w:val="nil"/>
              <w:right w:val="nil"/>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Forms Returned</w:t>
            </w: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8</w:t>
            </w: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r w:rsidRPr="007D7BA3">
              <w:rPr>
                <w:rFonts w:ascii="Arial" w:eastAsia="Times New Roman" w:hAnsi="Arial" w:cs="Arial"/>
                <w:sz w:val="20"/>
                <w:szCs w:val="20"/>
                <w:lang w:eastAsia="en-GB"/>
              </w:rPr>
              <w:t xml:space="preserve">Number attended </w:t>
            </w: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r w:rsidRPr="007D7BA3">
              <w:rPr>
                <w:rFonts w:ascii="Arial" w:eastAsia="Times New Roman" w:hAnsi="Arial" w:cs="Arial"/>
                <w:sz w:val="20"/>
                <w:szCs w:val="20"/>
                <w:lang w:eastAsia="en-GB"/>
              </w:rPr>
              <w:t>10</w:t>
            </w: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285"/>
        </w:trPr>
        <w:tc>
          <w:tcPr>
            <w:tcW w:w="3496" w:type="dxa"/>
            <w:tcBorders>
              <w:top w:val="nil"/>
              <w:left w:val="nil"/>
              <w:bottom w:val="nil"/>
              <w:right w:val="nil"/>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Presenter</w:t>
            </w:r>
          </w:p>
        </w:tc>
        <w:tc>
          <w:tcPr>
            <w:tcW w:w="3753" w:type="dxa"/>
            <w:gridSpan w:val="3"/>
            <w:tcBorders>
              <w:top w:val="nil"/>
              <w:left w:val="nil"/>
              <w:bottom w:val="nil"/>
              <w:right w:val="nil"/>
            </w:tcBorders>
            <w:shd w:val="clear" w:color="auto" w:fill="auto"/>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D. Byatt; S. Mackinnon</w:t>
            </w: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28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855"/>
        </w:trPr>
        <w:tc>
          <w:tcPr>
            <w:tcW w:w="3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B3F" w:rsidRPr="007D7BA3" w:rsidRDefault="00EE3B3F"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presentation and facilitation skills of the event leader(s)</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3.9</w:t>
            </w: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 </w:t>
            </w: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285"/>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EE3B3F" w:rsidRPr="007D7BA3" w:rsidRDefault="00EE3B3F"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Overall rating of the event</w:t>
            </w:r>
          </w:p>
        </w:tc>
        <w:tc>
          <w:tcPr>
            <w:tcW w:w="2488"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4.1</w:t>
            </w: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Lucida Sans" w:eastAsia="Times New Roman" w:hAnsi="Lucida Sans" w:cs="Lucida Sans"/>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855"/>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EE3B3F" w:rsidRPr="007D7BA3" w:rsidRDefault="00EE3B3F"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administrative arrangements prior to the event</w:t>
            </w:r>
          </w:p>
        </w:tc>
        <w:tc>
          <w:tcPr>
            <w:tcW w:w="2488"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4.3</w:t>
            </w: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57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EE3B3F" w:rsidRPr="007D7BA3" w:rsidRDefault="00EE3B3F"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content of the event was as advertised</w:t>
            </w:r>
          </w:p>
        </w:tc>
        <w:tc>
          <w:tcPr>
            <w:tcW w:w="2488"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4.6</w:t>
            </w: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57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EE3B3F" w:rsidRPr="007D7BA3" w:rsidRDefault="00EE3B3F"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The event addressed my needs</w:t>
            </w:r>
          </w:p>
        </w:tc>
        <w:tc>
          <w:tcPr>
            <w:tcW w:w="2488"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[Score]</w:t>
            </w:r>
          </w:p>
        </w:tc>
        <w:tc>
          <w:tcPr>
            <w:tcW w:w="880"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4.5</w:t>
            </w: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855"/>
        </w:trPr>
        <w:tc>
          <w:tcPr>
            <w:tcW w:w="3496" w:type="dxa"/>
            <w:tcBorders>
              <w:top w:val="nil"/>
              <w:left w:val="single" w:sz="4" w:space="0" w:color="auto"/>
              <w:bottom w:val="nil"/>
              <w:right w:val="single" w:sz="4" w:space="0" w:color="auto"/>
            </w:tcBorders>
            <w:shd w:val="clear" w:color="auto" w:fill="auto"/>
            <w:vAlign w:val="center"/>
            <w:hideMark/>
          </w:tcPr>
          <w:p w:rsidR="00EE3B3F" w:rsidRPr="007D7BA3" w:rsidRDefault="00EE3B3F" w:rsidP="007D7BA3">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Would you recommend this event to a colleague/fellow student?</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Yes</w:t>
            </w:r>
          </w:p>
        </w:tc>
        <w:tc>
          <w:tcPr>
            <w:tcW w:w="880"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75.0%</w:t>
            </w: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285"/>
        </w:trPr>
        <w:tc>
          <w:tcPr>
            <w:tcW w:w="3496" w:type="dxa"/>
            <w:tcBorders>
              <w:top w:val="nil"/>
              <w:left w:val="single" w:sz="4" w:space="0" w:color="auto"/>
              <w:bottom w:val="nil"/>
              <w:right w:val="single" w:sz="4" w:space="0" w:color="auto"/>
            </w:tcBorders>
            <w:shd w:val="clear" w:color="auto" w:fill="auto"/>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 </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Maybe</w:t>
            </w:r>
          </w:p>
        </w:tc>
        <w:tc>
          <w:tcPr>
            <w:tcW w:w="880" w:type="dxa"/>
            <w:tcBorders>
              <w:top w:val="nil"/>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25.0%</w:t>
            </w:r>
          </w:p>
        </w:tc>
        <w:tc>
          <w:tcPr>
            <w:tcW w:w="385" w:type="dxa"/>
            <w:tcBorders>
              <w:top w:val="nil"/>
              <w:left w:val="nil"/>
              <w:bottom w:val="nil"/>
              <w:right w:val="nil"/>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 </w:t>
            </w:r>
          </w:p>
        </w:tc>
        <w:tc>
          <w:tcPr>
            <w:tcW w:w="973" w:type="dxa"/>
            <w:tcBorders>
              <w:top w:val="nil"/>
              <w:left w:val="nil"/>
              <w:bottom w:val="nil"/>
              <w:right w:val="nil"/>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p>
        </w:tc>
      </w:tr>
      <w:tr w:rsidR="00EE3B3F" w:rsidRPr="00DB3117" w:rsidTr="007D7BA3">
        <w:trPr>
          <w:trHeight w:val="285"/>
        </w:trPr>
        <w:tc>
          <w:tcPr>
            <w:tcW w:w="3496" w:type="dxa"/>
            <w:tcBorders>
              <w:top w:val="nil"/>
              <w:left w:val="single" w:sz="4" w:space="0" w:color="auto"/>
              <w:bottom w:val="single" w:sz="4" w:space="0" w:color="auto"/>
              <w:right w:val="single" w:sz="4" w:space="0" w:color="auto"/>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r w:rsidRPr="007D7BA3">
              <w:rPr>
                <w:rFonts w:ascii="Arial" w:eastAsia="Times New Roman" w:hAnsi="Arial" w:cs="Arial"/>
                <w:sz w:val="20"/>
                <w:szCs w:val="20"/>
                <w:lang w:eastAsia="en-GB"/>
              </w:rPr>
              <w:t> </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b/>
                <w:bCs/>
                <w:sz w:val="20"/>
                <w:szCs w:val="20"/>
                <w:lang w:eastAsia="en-GB"/>
              </w:rPr>
            </w:pPr>
            <w:r w:rsidRPr="007D7BA3">
              <w:rPr>
                <w:rFonts w:ascii="Lucida Sans" w:eastAsia="Times New Roman" w:hAnsi="Lucida Sans" w:cs="Lucida Sans"/>
                <w:b/>
                <w:bCs/>
                <w:sz w:val="20"/>
                <w:szCs w:val="20"/>
                <w:lang w:eastAsia="en-GB"/>
              </w:rPr>
              <w:t>No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E3B3F" w:rsidRPr="007D7BA3" w:rsidRDefault="00EE3B3F" w:rsidP="00804E34">
            <w:pPr>
              <w:spacing w:after="0"/>
              <w:jc w:val="center"/>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0.0%</w:t>
            </w: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285"/>
        </w:trPr>
        <w:tc>
          <w:tcPr>
            <w:tcW w:w="8222" w:type="dxa"/>
            <w:gridSpan w:val="5"/>
            <w:tcBorders>
              <w:top w:val="nil"/>
              <w:left w:val="nil"/>
              <w:bottom w:val="nil"/>
              <w:right w:val="nil"/>
            </w:tcBorders>
            <w:shd w:val="clear" w:color="auto" w:fill="auto"/>
            <w:noWrap/>
            <w:vAlign w:val="center"/>
            <w:hideMark/>
          </w:tcPr>
          <w:p w:rsidR="00EE3B3F" w:rsidRPr="007D7BA3" w:rsidRDefault="00EE3B3F" w:rsidP="00804E34">
            <w:pPr>
              <w:spacing w:after="0"/>
              <w:rPr>
                <w:rFonts w:ascii="Lucida Sans" w:eastAsia="Times New Roman" w:hAnsi="Lucida Sans" w:cs="Lucida Sans"/>
                <w:sz w:val="20"/>
                <w:szCs w:val="20"/>
                <w:lang w:eastAsia="en-GB"/>
              </w:rPr>
            </w:pPr>
            <w:r w:rsidRPr="007D7BA3">
              <w:rPr>
                <w:rFonts w:ascii="Lucida Sans" w:eastAsia="Times New Roman" w:hAnsi="Lucida Sans" w:cs="Lucida Sans"/>
                <w:sz w:val="20"/>
                <w:szCs w:val="20"/>
                <w:lang w:eastAsia="en-GB"/>
              </w:rPr>
              <w:t>[</w:t>
            </w:r>
            <w:r w:rsidRPr="007D7BA3">
              <w:rPr>
                <w:rFonts w:ascii="Lucida Sans" w:eastAsia="Times New Roman" w:hAnsi="Lucida Sans" w:cs="Lucida Sans"/>
                <w:b/>
                <w:bCs/>
                <w:sz w:val="20"/>
                <w:szCs w:val="20"/>
                <w:lang w:eastAsia="en-GB"/>
              </w:rPr>
              <w:t xml:space="preserve">Score </w:t>
            </w:r>
            <w:r w:rsidRPr="007D7BA3">
              <w:rPr>
                <w:rFonts w:ascii="Lucida Sans" w:eastAsia="Times New Roman" w:hAnsi="Lucida Sans" w:cs="Lucida Sans"/>
                <w:sz w:val="20"/>
                <w:szCs w:val="20"/>
                <w:lang w:eastAsia="en-GB"/>
              </w:rPr>
              <w:t>1= Very Unlikely / Very Poor; 5 = Very Likely / Very Good]</w:t>
            </w: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r w:rsidRPr="007D7BA3">
              <w:rPr>
                <w:rFonts w:ascii="Arial" w:eastAsia="Times New Roman" w:hAnsi="Arial" w:cs="Arial"/>
                <w:noProof/>
                <w:sz w:val="20"/>
                <w:szCs w:val="20"/>
              </w:rPr>
              <w:drawing>
                <wp:anchor distT="0" distB="0" distL="114300" distR="114300" simplePos="0" relativeHeight="251661312" behindDoc="0" locked="0" layoutInCell="1" allowOverlap="1" wp14:anchorId="5DE8976F" wp14:editId="3F065DE8">
                  <wp:simplePos x="0" y="0"/>
                  <wp:positionH relativeFrom="column">
                    <wp:posOffset>0</wp:posOffset>
                  </wp:positionH>
                  <wp:positionV relativeFrom="paragraph">
                    <wp:posOffset>38100</wp:posOffset>
                  </wp:positionV>
                  <wp:extent cx="4638675" cy="2505075"/>
                  <wp:effectExtent l="0" t="0" r="9525" b="9525"/>
                  <wp:wrapNone/>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80"/>
            </w:tblGrid>
            <w:tr w:rsidR="00EE3B3F" w:rsidRPr="007D7BA3" w:rsidTr="00804E34">
              <w:trPr>
                <w:trHeight w:val="255"/>
                <w:tblCellSpacing w:w="0" w:type="dxa"/>
              </w:trPr>
              <w:tc>
                <w:tcPr>
                  <w:tcW w:w="3280"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r>
          </w:tbl>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bottom"/>
            <w:hideMark/>
          </w:tcPr>
          <w:p w:rsidR="00EE3B3F" w:rsidRPr="007D7BA3" w:rsidRDefault="00EE3B3F" w:rsidP="00804E34">
            <w:pPr>
              <w:spacing w:after="0"/>
              <w:rPr>
                <w:rFonts w:ascii="Arial" w:eastAsia="Times New Roman" w:hAnsi="Arial" w:cs="Arial"/>
                <w:sz w:val="20"/>
                <w:szCs w:val="20"/>
                <w:lang w:eastAsia="en-GB"/>
              </w:rPr>
            </w:pPr>
          </w:p>
        </w:tc>
      </w:tr>
      <w:tr w:rsidR="00EE3B3F" w:rsidRPr="00DB3117" w:rsidTr="007D7BA3">
        <w:trPr>
          <w:trHeight w:val="255"/>
        </w:trPr>
        <w:tc>
          <w:tcPr>
            <w:tcW w:w="3496" w:type="dxa"/>
            <w:tcBorders>
              <w:top w:val="nil"/>
              <w:left w:val="nil"/>
              <w:bottom w:val="nil"/>
              <w:right w:val="nil"/>
            </w:tcBorders>
            <w:shd w:val="clear" w:color="auto" w:fill="auto"/>
            <w:noWrap/>
            <w:vAlign w:val="center"/>
            <w:hideMark/>
          </w:tcPr>
          <w:p w:rsidR="00EE3B3F" w:rsidRPr="007D7BA3" w:rsidRDefault="00EE3B3F" w:rsidP="00804E34">
            <w:pPr>
              <w:spacing w:after="0"/>
              <w:rPr>
                <w:rFonts w:ascii="Arial" w:eastAsia="Times New Roman" w:hAnsi="Arial" w:cs="Arial"/>
                <w:sz w:val="20"/>
                <w:szCs w:val="20"/>
                <w:lang w:eastAsia="en-GB"/>
              </w:rPr>
            </w:pPr>
          </w:p>
        </w:tc>
        <w:tc>
          <w:tcPr>
            <w:tcW w:w="2488"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880"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385"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c>
          <w:tcPr>
            <w:tcW w:w="973" w:type="dxa"/>
            <w:tcBorders>
              <w:top w:val="nil"/>
              <w:left w:val="nil"/>
              <w:bottom w:val="nil"/>
              <w:right w:val="nil"/>
            </w:tcBorders>
            <w:shd w:val="clear" w:color="auto" w:fill="auto"/>
            <w:noWrap/>
            <w:vAlign w:val="center"/>
            <w:hideMark/>
          </w:tcPr>
          <w:p w:rsidR="00EE3B3F" w:rsidRPr="007D7BA3" w:rsidRDefault="00EE3B3F" w:rsidP="00804E34">
            <w:pPr>
              <w:spacing w:after="0"/>
              <w:jc w:val="center"/>
              <w:rPr>
                <w:rFonts w:ascii="Arial" w:eastAsia="Times New Roman" w:hAnsi="Arial" w:cs="Arial"/>
                <w:sz w:val="20"/>
                <w:szCs w:val="20"/>
                <w:lang w:eastAsia="en-GB"/>
              </w:rPr>
            </w:pPr>
          </w:p>
        </w:tc>
      </w:tr>
    </w:tbl>
    <w:p w:rsidR="00EE3B3F" w:rsidRPr="00DB3117" w:rsidRDefault="00EE3B3F" w:rsidP="00EE3B3F">
      <w:pPr>
        <w:spacing w:after="0"/>
      </w:pPr>
      <w:r>
        <w:br w:type="page"/>
      </w:r>
    </w:p>
    <w:p w:rsidR="009B555E" w:rsidRDefault="009B555E" w:rsidP="009B555E">
      <w:pPr>
        <w:pStyle w:val="Heading3"/>
        <w:numPr>
          <w:ilvl w:val="0"/>
          <w:numId w:val="13"/>
        </w:numPr>
      </w:pPr>
      <w:r>
        <w:lastRenderedPageBreak/>
        <w:t>Faculty of Humanities</w:t>
      </w:r>
      <w:r w:rsidR="00666A37">
        <w:t xml:space="preserve"> – Data Management for the Humanities</w:t>
      </w:r>
    </w:p>
    <w:tbl>
      <w:tblPr>
        <w:tblW w:w="8364" w:type="dxa"/>
        <w:tblInd w:w="108" w:type="dxa"/>
        <w:tblLook w:val="04A0" w:firstRow="1" w:lastRow="0" w:firstColumn="1" w:lastColumn="0" w:noHBand="0" w:noVBand="1"/>
      </w:tblPr>
      <w:tblGrid>
        <w:gridCol w:w="3496"/>
        <w:gridCol w:w="2488"/>
        <w:gridCol w:w="990"/>
        <w:gridCol w:w="413"/>
        <w:gridCol w:w="977"/>
      </w:tblGrid>
      <w:tr w:rsidR="009B555E" w:rsidRPr="009B555E" w:rsidTr="009B555E">
        <w:trPr>
          <w:trHeight w:val="300"/>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Course:</w:t>
            </w:r>
          </w:p>
        </w:tc>
        <w:tc>
          <w:tcPr>
            <w:tcW w:w="4868" w:type="dxa"/>
            <w:gridSpan w:val="4"/>
            <w:tcBorders>
              <w:top w:val="nil"/>
              <w:left w:val="nil"/>
              <w:bottom w:val="nil"/>
              <w:right w:val="nil"/>
            </w:tcBorders>
            <w:shd w:val="clear" w:color="auto" w:fill="auto"/>
            <w:noWrap/>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Data Management for the Humanities</w:t>
            </w:r>
          </w:p>
        </w:tc>
      </w:tr>
      <w:tr w:rsidR="009B555E" w:rsidRPr="009B555E" w:rsidTr="009B555E">
        <w:trPr>
          <w:trHeight w:val="28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b/>
                <w:bCs/>
                <w:sz w:val="22"/>
                <w:szCs w:val="22"/>
              </w:rPr>
            </w:pPr>
          </w:p>
        </w:tc>
        <w:tc>
          <w:tcPr>
            <w:tcW w:w="990"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Lucida Sans" w:eastAsia="Times New Roman" w:hAnsi="Lucida Sans" w:cs="Arial"/>
                <w:sz w:val="22"/>
                <w:szCs w:val="22"/>
              </w:rPr>
            </w:pP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85"/>
        </w:trPr>
        <w:tc>
          <w:tcPr>
            <w:tcW w:w="3496" w:type="dxa"/>
            <w:tcBorders>
              <w:top w:val="nil"/>
              <w:left w:val="nil"/>
              <w:bottom w:val="nil"/>
              <w:right w:val="nil"/>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Forms Returned</w:t>
            </w: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4</w:t>
            </w:r>
          </w:p>
        </w:tc>
        <w:tc>
          <w:tcPr>
            <w:tcW w:w="990"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r w:rsidRPr="009B555E">
              <w:rPr>
                <w:rFonts w:ascii="Arial" w:eastAsia="Times New Roman" w:hAnsi="Arial" w:cs="Arial"/>
                <w:sz w:val="20"/>
                <w:szCs w:val="20"/>
              </w:rPr>
              <w:t xml:space="preserve">Number attended </w:t>
            </w: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r w:rsidRPr="009B555E">
              <w:rPr>
                <w:rFonts w:ascii="Arial" w:eastAsia="Times New Roman" w:hAnsi="Arial" w:cs="Arial"/>
                <w:sz w:val="20"/>
                <w:szCs w:val="20"/>
              </w:rPr>
              <w:t>10</w:t>
            </w:r>
          </w:p>
        </w:tc>
        <w:tc>
          <w:tcPr>
            <w:tcW w:w="990"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85"/>
        </w:trPr>
        <w:tc>
          <w:tcPr>
            <w:tcW w:w="3496" w:type="dxa"/>
            <w:tcBorders>
              <w:top w:val="nil"/>
              <w:left w:val="nil"/>
              <w:bottom w:val="nil"/>
              <w:right w:val="nil"/>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Presenter</w:t>
            </w:r>
          </w:p>
        </w:tc>
        <w:tc>
          <w:tcPr>
            <w:tcW w:w="3891" w:type="dxa"/>
            <w:gridSpan w:val="3"/>
            <w:tcBorders>
              <w:top w:val="nil"/>
              <w:left w:val="nil"/>
              <w:bottom w:val="nil"/>
              <w:right w:val="nil"/>
            </w:tcBorders>
            <w:shd w:val="clear" w:color="auto" w:fill="auto"/>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G. Beale; D. Byatt</w:t>
            </w: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8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p>
        </w:tc>
        <w:tc>
          <w:tcPr>
            <w:tcW w:w="990"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855"/>
        </w:trPr>
        <w:tc>
          <w:tcPr>
            <w:tcW w:w="34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The presentation and facilitation skills of the event leader(s)</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[Score]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5.0</w:t>
            </w: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 </w:t>
            </w: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85"/>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Overall rating of the event</w:t>
            </w:r>
          </w:p>
        </w:tc>
        <w:tc>
          <w:tcPr>
            <w:tcW w:w="2488"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[Score]</w:t>
            </w:r>
          </w:p>
        </w:tc>
        <w:tc>
          <w:tcPr>
            <w:tcW w:w="990"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4.8</w:t>
            </w: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Lucida Sans" w:eastAsia="Times New Roman" w:hAnsi="Lucida Sans" w:cs="Arial"/>
                <w:sz w:val="22"/>
                <w:szCs w:val="22"/>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855"/>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The administrative arrangements prior to the event</w:t>
            </w:r>
          </w:p>
        </w:tc>
        <w:tc>
          <w:tcPr>
            <w:tcW w:w="2488"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[Score]</w:t>
            </w:r>
          </w:p>
        </w:tc>
        <w:tc>
          <w:tcPr>
            <w:tcW w:w="990"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4.8</w:t>
            </w: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57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The content of the event was as advertised</w:t>
            </w:r>
          </w:p>
        </w:tc>
        <w:tc>
          <w:tcPr>
            <w:tcW w:w="2488"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[Score]</w:t>
            </w:r>
          </w:p>
        </w:tc>
        <w:tc>
          <w:tcPr>
            <w:tcW w:w="990"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4.8</w:t>
            </w: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57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The event addressed my needs</w:t>
            </w:r>
          </w:p>
        </w:tc>
        <w:tc>
          <w:tcPr>
            <w:tcW w:w="2488"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[Score]</w:t>
            </w:r>
          </w:p>
        </w:tc>
        <w:tc>
          <w:tcPr>
            <w:tcW w:w="990"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4.8</w:t>
            </w: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Lucida Sans" w:eastAsia="Times New Roman" w:hAnsi="Lucida Sans" w:cs="Arial"/>
                <w:sz w:val="22"/>
                <w:szCs w:val="22"/>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855"/>
        </w:trPr>
        <w:tc>
          <w:tcPr>
            <w:tcW w:w="3496" w:type="dxa"/>
            <w:tcBorders>
              <w:top w:val="nil"/>
              <w:left w:val="single" w:sz="4" w:space="0" w:color="auto"/>
              <w:bottom w:val="nil"/>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Would you recommend this event to a colleague/fellow student?</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Yes</w:t>
            </w:r>
          </w:p>
        </w:tc>
        <w:tc>
          <w:tcPr>
            <w:tcW w:w="990"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100.0%</w:t>
            </w: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85"/>
        </w:trPr>
        <w:tc>
          <w:tcPr>
            <w:tcW w:w="3496" w:type="dxa"/>
            <w:tcBorders>
              <w:top w:val="nil"/>
              <w:left w:val="single" w:sz="4" w:space="0" w:color="auto"/>
              <w:bottom w:val="nil"/>
              <w:right w:val="single" w:sz="4" w:space="0" w:color="auto"/>
            </w:tcBorders>
            <w:shd w:val="clear" w:color="auto" w:fill="auto"/>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 </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Maybe</w:t>
            </w:r>
          </w:p>
        </w:tc>
        <w:tc>
          <w:tcPr>
            <w:tcW w:w="990" w:type="dxa"/>
            <w:tcBorders>
              <w:top w:val="nil"/>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0.0%</w:t>
            </w:r>
          </w:p>
        </w:tc>
        <w:tc>
          <w:tcPr>
            <w:tcW w:w="413" w:type="dxa"/>
            <w:tcBorders>
              <w:top w:val="nil"/>
              <w:left w:val="nil"/>
              <w:bottom w:val="nil"/>
              <w:right w:val="nil"/>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 </w:t>
            </w:r>
          </w:p>
        </w:tc>
        <w:tc>
          <w:tcPr>
            <w:tcW w:w="977" w:type="dxa"/>
            <w:tcBorders>
              <w:top w:val="nil"/>
              <w:left w:val="nil"/>
              <w:bottom w:val="nil"/>
              <w:right w:val="nil"/>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p>
        </w:tc>
      </w:tr>
      <w:tr w:rsidR="009B555E" w:rsidRPr="009B555E" w:rsidTr="009B555E">
        <w:trPr>
          <w:trHeight w:val="285"/>
        </w:trPr>
        <w:tc>
          <w:tcPr>
            <w:tcW w:w="3496" w:type="dxa"/>
            <w:tcBorders>
              <w:top w:val="nil"/>
              <w:left w:val="single" w:sz="4" w:space="0" w:color="auto"/>
              <w:bottom w:val="single" w:sz="4" w:space="0" w:color="auto"/>
              <w:right w:val="single" w:sz="4" w:space="0" w:color="auto"/>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r w:rsidRPr="009B555E">
              <w:rPr>
                <w:rFonts w:ascii="Arial" w:eastAsia="Times New Roman" w:hAnsi="Arial" w:cs="Arial"/>
                <w:sz w:val="20"/>
                <w:szCs w:val="20"/>
              </w:rPr>
              <w:t> </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b/>
                <w:bCs/>
                <w:sz w:val="22"/>
                <w:szCs w:val="22"/>
              </w:rPr>
            </w:pPr>
            <w:r w:rsidRPr="009B555E">
              <w:rPr>
                <w:rFonts w:ascii="Lucida Sans" w:eastAsia="Times New Roman" w:hAnsi="Lucida Sans" w:cs="Arial"/>
                <w:b/>
                <w:bCs/>
                <w:sz w:val="22"/>
                <w:szCs w:val="22"/>
              </w:rPr>
              <w:t>No</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B555E" w:rsidRPr="009B555E" w:rsidRDefault="009B555E" w:rsidP="009B555E">
            <w:pPr>
              <w:spacing w:after="0"/>
              <w:jc w:val="center"/>
              <w:rPr>
                <w:rFonts w:ascii="Lucida Sans" w:eastAsia="Times New Roman" w:hAnsi="Lucida Sans" w:cs="Arial"/>
                <w:sz w:val="22"/>
                <w:szCs w:val="22"/>
              </w:rPr>
            </w:pPr>
            <w:r w:rsidRPr="009B555E">
              <w:rPr>
                <w:rFonts w:ascii="Lucida Sans" w:eastAsia="Times New Roman" w:hAnsi="Lucida Sans" w:cs="Arial"/>
                <w:sz w:val="22"/>
                <w:szCs w:val="22"/>
              </w:rPr>
              <w:t>0.0%</w:t>
            </w: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85"/>
        </w:trPr>
        <w:tc>
          <w:tcPr>
            <w:tcW w:w="8364" w:type="dxa"/>
            <w:gridSpan w:val="5"/>
            <w:tcBorders>
              <w:top w:val="nil"/>
              <w:left w:val="nil"/>
              <w:bottom w:val="nil"/>
              <w:right w:val="nil"/>
            </w:tcBorders>
            <w:shd w:val="clear" w:color="auto" w:fill="auto"/>
            <w:noWrap/>
            <w:vAlign w:val="center"/>
            <w:hideMark/>
          </w:tcPr>
          <w:p w:rsidR="009B555E" w:rsidRPr="009B555E" w:rsidRDefault="009B555E" w:rsidP="009B555E">
            <w:pPr>
              <w:spacing w:after="0"/>
              <w:rPr>
                <w:rFonts w:ascii="Lucida Sans" w:eastAsia="Times New Roman" w:hAnsi="Lucida Sans" w:cs="Arial"/>
                <w:sz w:val="22"/>
                <w:szCs w:val="22"/>
              </w:rPr>
            </w:pPr>
            <w:r w:rsidRPr="009B555E">
              <w:rPr>
                <w:rFonts w:ascii="Lucida Sans" w:eastAsia="Times New Roman" w:hAnsi="Lucida Sans" w:cs="Arial"/>
                <w:sz w:val="22"/>
                <w:szCs w:val="22"/>
              </w:rPr>
              <w:t>[</w:t>
            </w:r>
            <w:r w:rsidRPr="009B555E">
              <w:rPr>
                <w:rFonts w:ascii="Lucida Sans" w:eastAsia="Times New Roman" w:hAnsi="Lucida Sans" w:cs="Arial"/>
                <w:b/>
                <w:bCs/>
                <w:sz w:val="22"/>
                <w:szCs w:val="22"/>
              </w:rPr>
              <w:t xml:space="preserve">Score </w:t>
            </w:r>
            <w:r w:rsidRPr="009B555E">
              <w:rPr>
                <w:rFonts w:ascii="Lucida Sans" w:eastAsia="Times New Roman" w:hAnsi="Lucida Sans" w:cs="Arial"/>
                <w:sz w:val="22"/>
                <w:szCs w:val="22"/>
              </w:rPr>
              <w:t>1= Very Unlikely / Very Poor; 5 = Very Likely / Very Good]</w:t>
            </w: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990"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413"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8480" behindDoc="0" locked="0" layoutInCell="1" allowOverlap="1" wp14:anchorId="04D5DA52" wp14:editId="1B253EC7">
                  <wp:simplePos x="0" y="0"/>
                  <wp:positionH relativeFrom="column">
                    <wp:posOffset>0</wp:posOffset>
                  </wp:positionH>
                  <wp:positionV relativeFrom="paragraph">
                    <wp:posOffset>38100</wp:posOffset>
                  </wp:positionV>
                  <wp:extent cx="4638675" cy="2505075"/>
                  <wp:effectExtent l="0" t="0" r="9525" b="9525"/>
                  <wp:wrapNone/>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80"/>
            </w:tblGrid>
            <w:tr w:rsidR="009B555E" w:rsidRPr="009B555E">
              <w:trPr>
                <w:trHeight w:val="255"/>
                <w:tblCellSpacing w:w="0" w:type="dxa"/>
              </w:trPr>
              <w:tc>
                <w:tcPr>
                  <w:tcW w:w="3280"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r>
          </w:tbl>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jc w:val="center"/>
              <w:rPr>
                <w:rFonts w:ascii="Arial" w:eastAsia="Times New Roman" w:hAnsi="Arial" w:cs="Arial"/>
                <w:sz w:val="20"/>
                <w:szCs w:val="20"/>
              </w:rPr>
            </w:pPr>
          </w:p>
        </w:tc>
        <w:tc>
          <w:tcPr>
            <w:tcW w:w="990" w:type="dxa"/>
            <w:tcBorders>
              <w:top w:val="nil"/>
              <w:left w:val="nil"/>
              <w:bottom w:val="nil"/>
              <w:right w:val="nil"/>
            </w:tcBorders>
            <w:shd w:val="clear" w:color="auto" w:fill="auto"/>
            <w:vAlign w:val="center"/>
            <w:hideMark/>
          </w:tcPr>
          <w:p w:rsidR="009B555E" w:rsidRPr="009B555E" w:rsidRDefault="009B555E" w:rsidP="009B555E">
            <w:pPr>
              <w:spacing w:after="0"/>
              <w:jc w:val="center"/>
              <w:rPr>
                <w:rFonts w:ascii="Arial" w:eastAsia="Times New Roman" w:hAnsi="Arial" w:cs="Arial"/>
                <w:sz w:val="20"/>
                <w:szCs w:val="20"/>
              </w:rPr>
            </w:pPr>
          </w:p>
        </w:tc>
        <w:tc>
          <w:tcPr>
            <w:tcW w:w="413" w:type="dxa"/>
            <w:tcBorders>
              <w:top w:val="nil"/>
              <w:left w:val="nil"/>
              <w:bottom w:val="nil"/>
              <w:right w:val="nil"/>
            </w:tcBorders>
            <w:shd w:val="clear" w:color="auto" w:fill="auto"/>
            <w:vAlign w:val="center"/>
            <w:hideMark/>
          </w:tcPr>
          <w:p w:rsidR="009B555E" w:rsidRPr="009B555E" w:rsidRDefault="009B555E" w:rsidP="009B555E">
            <w:pPr>
              <w:spacing w:after="0"/>
              <w:jc w:val="center"/>
              <w:rPr>
                <w:rFonts w:ascii="Arial" w:eastAsia="Times New Roman" w:hAnsi="Arial" w:cs="Arial"/>
                <w:sz w:val="20"/>
                <w:szCs w:val="20"/>
              </w:rPr>
            </w:pPr>
          </w:p>
        </w:tc>
        <w:tc>
          <w:tcPr>
            <w:tcW w:w="977" w:type="dxa"/>
            <w:tcBorders>
              <w:top w:val="nil"/>
              <w:left w:val="nil"/>
              <w:bottom w:val="nil"/>
              <w:right w:val="nil"/>
            </w:tcBorders>
            <w:shd w:val="clear" w:color="auto" w:fill="auto"/>
            <w:vAlign w:val="center"/>
            <w:hideMark/>
          </w:tcPr>
          <w:p w:rsidR="009B555E" w:rsidRPr="009B555E" w:rsidRDefault="009B555E" w:rsidP="009B555E">
            <w:pPr>
              <w:spacing w:after="0"/>
              <w:jc w:val="center"/>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r>
      <w:tr w:rsidR="009B555E" w:rsidRPr="009B555E" w:rsidTr="009B555E">
        <w:trPr>
          <w:trHeight w:val="255"/>
        </w:trPr>
        <w:tc>
          <w:tcPr>
            <w:tcW w:w="3496"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9B555E" w:rsidRPr="009B555E" w:rsidRDefault="009B555E" w:rsidP="009B555E">
            <w:pPr>
              <w:spacing w:after="0"/>
              <w:rPr>
                <w:rFonts w:ascii="Arial" w:eastAsia="Times New Roman" w:hAnsi="Arial" w:cs="Arial"/>
                <w:sz w:val="20"/>
                <w:szCs w:val="20"/>
              </w:rPr>
            </w:pPr>
          </w:p>
        </w:tc>
        <w:tc>
          <w:tcPr>
            <w:tcW w:w="990"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413"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c>
          <w:tcPr>
            <w:tcW w:w="977" w:type="dxa"/>
            <w:tcBorders>
              <w:top w:val="nil"/>
              <w:left w:val="nil"/>
              <w:bottom w:val="nil"/>
              <w:right w:val="nil"/>
            </w:tcBorders>
            <w:shd w:val="clear" w:color="auto" w:fill="auto"/>
            <w:vAlign w:val="center"/>
            <w:hideMark/>
          </w:tcPr>
          <w:p w:rsidR="009B555E" w:rsidRPr="009B555E" w:rsidRDefault="009B555E" w:rsidP="009B555E">
            <w:pPr>
              <w:spacing w:after="0"/>
              <w:rPr>
                <w:rFonts w:ascii="Arial" w:eastAsia="Times New Roman" w:hAnsi="Arial" w:cs="Arial"/>
                <w:sz w:val="20"/>
                <w:szCs w:val="20"/>
              </w:rPr>
            </w:pPr>
          </w:p>
        </w:tc>
      </w:tr>
    </w:tbl>
    <w:p w:rsidR="009B555E" w:rsidRDefault="009B555E">
      <w:pPr>
        <w:spacing w:after="0"/>
        <w:rPr>
          <w:rFonts w:asciiTheme="majorHAnsi" w:eastAsiaTheme="majorEastAsia" w:hAnsiTheme="majorHAnsi" w:cstheme="majorBidi"/>
          <w:b/>
          <w:bCs/>
          <w:color w:val="4F81BD" w:themeColor="accent1"/>
          <w:sz w:val="32"/>
          <w:szCs w:val="26"/>
        </w:rPr>
      </w:pPr>
      <w:r>
        <w:br w:type="page"/>
      </w:r>
    </w:p>
    <w:p w:rsidR="009D77D4" w:rsidRDefault="009D77D4" w:rsidP="009D77D4">
      <w:pPr>
        <w:pStyle w:val="Heading2"/>
        <w:numPr>
          <w:ilvl w:val="0"/>
          <w:numId w:val="12"/>
        </w:numPr>
      </w:pPr>
      <w:r>
        <w:lastRenderedPageBreak/>
        <w:t>Reference</w:t>
      </w:r>
      <w:r w:rsidR="00003C6A">
        <w:t>s</w:t>
      </w:r>
    </w:p>
    <w:p w:rsidR="00B56C32" w:rsidRDefault="00B56C32" w:rsidP="00827567">
      <w:pPr>
        <w:pStyle w:val="Bibliography"/>
        <w:rPr>
          <w:rStyle w:val="Hyperlink"/>
        </w:rPr>
      </w:pPr>
      <w:r>
        <w:t xml:space="preserve">Beale, Gareth and Pagi, Hembo (2013) </w:t>
      </w:r>
      <w:r w:rsidRPr="0080719E">
        <w:rPr>
          <w:i/>
          <w:iCs/>
        </w:rPr>
        <w:t>DataPool Imaging Case Study: Final Report</w:t>
      </w:r>
      <w:r w:rsidRPr="0080719E">
        <w:t xml:space="preserve"> </w:t>
      </w:r>
      <w:r>
        <w:t>JISC DataPool report. Southampton, GB: University of Southampton</w:t>
      </w:r>
      <w:r w:rsidR="00827567">
        <w:t xml:space="preserve"> </w:t>
      </w:r>
      <w:hyperlink r:id="rId17" w:history="1">
        <w:r w:rsidR="00827567" w:rsidRPr="009954C2">
          <w:rPr>
            <w:rStyle w:val="Hyperlink"/>
          </w:rPr>
          <w:t>http://eprints.soton.ac.uk/id/eprint/350738</w:t>
        </w:r>
      </w:hyperlink>
    </w:p>
    <w:p w:rsidR="00B6091F" w:rsidRPr="00B6091F" w:rsidRDefault="00B6091F" w:rsidP="00B6091F">
      <w:proofErr w:type="gramStart"/>
      <w:r w:rsidRPr="00B6091F">
        <w:t xml:space="preserve">Brown, Mark, Parchment, Oz and White, Wendy (2011) </w:t>
      </w:r>
      <w:r w:rsidRPr="00B6091F">
        <w:rPr>
          <w:i/>
          <w:iCs/>
        </w:rPr>
        <w:t>Institutional data management blueprint.</w:t>
      </w:r>
      <w:proofErr w:type="gramEnd"/>
      <w:r w:rsidRPr="00B6091F">
        <w:t xml:space="preserve"> Southampton, GB, University of Southampton, 21pp</w:t>
      </w:r>
      <w:r>
        <w:t xml:space="preserve"> </w:t>
      </w:r>
      <w:hyperlink r:id="rId18" w:history="1">
        <w:r w:rsidRPr="00B6091F">
          <w:rPr>
            <w:rStyle w:val="Hyperlink"/>
          </w:rPr>
          <w:t>http://eprints.soton.ac.uk/id/eprint/196241</w:t>
        </w:r>
      </w:hyperlink>
    </w:p>
    <w:p w:rsidR="00B56C32" w:rsidRDefault="00B56C32" w:rsidP="00BE18FF">
      <w:pPr>
        <w:pStyle w:val="Bibliography"/>
      </w:pPr>
      <w:r>
        <w:t xml:space="preserve">Byatt, Dorothy (2013a) </w:t>
      </w:r>
      <w:r w:rsidRPr="005B7838">
        <w:rPr>
          <w:i/>
          <w:iCs/>
        </w:rPr>
        <w:t xml:space="preserve">Supporting Researchers with their </w:t>
      </w:r>
      <w:r w:rsidR="00BE18FF">
        <w:rPr>
          <w:i/>
          <w:iCs/>
        </w:rPr>
        <w:t>Research Data Management</w:t>
      </w:r>
      <w:r>
        <w:rPr>
          <w:i/>
          <w:iCs/>
        </w:rPr>
        <w:t>: Professional Services training requirements</w:t>
      </w:r>
      <w:r>
        <w:t xml:space="preserve"> JISC DataPool report. Southampton, GB: University of Southampton</w:t>
      </w:r>
      <w:r w:rsidR="00BE18FF">
        <w:t xml:space="preserve"> [in Press]</w:t>
      </w:r>
    </w:p>
    <w:p w:rsidR="00B56C32" w:rsidRPr="006270FF" w:rsidRDefault="00B56C32" w:rsidP="00827567">
      <w:pPr>
        <w:pStyle w:val="Bibliography"/>
      </w:pPr>
      <w:r>
        <w:t xml:space="preserve">Byatt, Dorothy (2013b) </w:t>
      </w:r>
      <w:r w:rsidRPr="006270FF">
        <w:rPr>
          <w:i/>
          <w:iCs/>
        </w:rPr>
        <w:t>Research Data Management Guidance and Support</w:t>
      </w:r>
      <w:r>
        <w:t xml:space="preserve"> JISC DataPool report. Southampton, GB: University of Southampton</w:t>
      </w:r>
      <w:r w:rsidR="00827567">
        <w:t xml:space="preserve"> </w:t>
      </w:r>
      <w:hyperlink r:id="rId19" w:history="1">
        <w:r w:rsidR="00827567" w:rsidRPr="009954C2">
          <w:rPr>
            <w:rStyle w:val="Hyperlink"/>
          </w:rPr>
          <w:t>http://eprints.soton.ac.uk/id/eprint/351027</w:t>
        </w:r>
      </w:hyperlink>
    </w:p>
    <w:p w:rsidR="00B56C32" w:rsidRPr="00617FC3" w:rsidRDefault="00B56C32" w:rsidP="007B6A8A">
      <w:pPr>
        <w:pStyle w:val="Bibliography"/>
      </w:pPr>
      <w:r>
        <w:t xml:space="preserve">Crowe, Kelly (2013) </w:t>
      </w:r>
      <w:proofErr w:type="gramStart"/>
      <w:r>
        <w:rPr>
          <w:i/>
        </w:rPr>
        <w:t>The</w:t>
      </w:r>
      <w:proofErr w:type="gramEnd"/>
      <w:r>
        <w:rPr>
          <w:i/>
        </w:rPr>
        <w:t xml:space="preserve"> case of the missing data </w:t>
      </w:r>
      <w:r>
        <w:t xml:space="preserve">CBC News: Health </w:t>
      </w:r>
      <w:hyperlink r:id="rId20" w:history="1">
        <w:r w:rsidRPr="001D5123">
          <w:rPr>
            <w:rStyle w:val="Hyperlink"/>
          </w:rPr>
          <w:t>http://www.cbc.ca/news/health/story/2013/02/11/f-crowe-omega-6.html</w:t>
        </w:r>
      </w:hyperlink>
      <w:r>
        <w:t xml:space="preserve"> </w:t>
      </w:r>
      <w:r w:rsidRPr="00617FC3">
        <w:t xml:space="preserve"> </w:t>
      </w:r>
    </w:p>
    <w:p w:rsidR="00B56C32" w:rsidRDefault="00B56C32" w:rsidP="007B6A8A">
      <w:pPr>
        <w:pStyle w:val="Bibliography"/>
      </w:pPr>
      <w:r>
        <w:t xml:space="preserve">European Biotechnologist (2013) </w:t>
      </w:r>
      <w:r>
        <w:rPr>
          <w:i/>
        </w:rPr>
        <w:t xml:space="preserve">Why your PI told you NEVER to throw away old </w:t>
      </w:r>
      <w:r w:rsidR="003D29C4">
        <w:rPr>
          <w:i/>
        </w:rPr>
        <w:t>data</w:t>
      </w:r>
      <w:r w:rsidR="003D29C4">
        <w:t xml:space="preserve"> [</w:t>
      </w:r>
      <w:r>
        <w:t xml:space="preserve">Blog] 25 February 2013 </w:t>
      </w:r>
      <w:hyperlink r:id="rId21" w:history="1">
        <w:r w:rsidRPr="00637884">
          <w:rPr>
            <w:rStyle w:val="Hyperlink"/>
          </w:rPr>
          <w:t>http://www.europeanbiotechnologist.com/blog/hamartin</w:t>
        </w:r>
      </w:hyperlink>
      <w:r>
        <w:t xml:space="preserve"> </w:t>
      </w:r>
    </w:p>
    <w:p w:rsidR="00B56C32" w:rsidRPr="00AD6FE9" w:rsidRDefault="00B56C32" w:rsidP="003D29C4">
      <w:pPr>
        <w:pStyle w:val="Bibliography"/>
      </w:pPr>
      <w:r>
        <w:t>Hitchcock, Steve (2013</w:t>
      </w:r>
      <w:r w:rsidR="003D29C4">
        <w:t xml:space="preserve">) </w:t>
      </w:r>
      <w:r w:rsidR="003D29C4">
        <w:rPr>
          <w:i/>
          <w:iCs/>
        </w:rPr>
        <w:t>Towards</w:t>
      </w:r>
      <w:r>
        <w:rPr>
          <w:i/>
          <w:iCs/>
        </w:rPr>
        <w:t xml:space="preserve"> research data cataloguing at Southampton usin</w:t>
      </w:r>
      <w:r w:rsidR="003D29C4">
        <w:rPr>
          <w:i/>
          <w:iCs/>
        </w:rPr>
        <w:t>g</w:t>
      </w:r>
      <w:r>
        <w:rPr>
          <w:i/>
          <w:iCs/>
        </w:rPr>
        <w:t xml:space="preserve"> M</w:t>
      </w:r>
      <w:r w:rsidR="003D29C4">
        <w:rPr>
          <w:i/>
          <w:iCs/>
        </w:rPr>
        <w:t>S</w:t>
      </w:r>
      <w:r>
        <w:rPr>
          <w:i/>
          <w:iCs/>
        </w:rPr>
        <w:t xml:space="preserve"> Sharepoint and Eprints: a progress report</w:t>
      </w:r>
      <w:r>
        <w:t xml:space="preserve"> JISC DataPool report. Southampton, GB: University of Southampton [in press]</w:t>
      </w:r>
    </w:p>
    <w:p w:rsidR="00B56C32" w:rsidRPr="00346FB1" w:rsidRDefault="00B56C32" w:rsidP="00AF78C3">
      <w:pPr>
        <w:pStyle w:val="Bibliography"/>
      </w:pPr>
      <w:r>
        <w:t xml:space="preserve">Hitchcock, Steve, Byatt, Dorothy, White, Wendy (2012) </w:t>
      </w:r>
      <w:r>
        <w:rPr>
          <w:i/>
          <w:iCs/>
        </w:rPr>
        <w:t>DataPool: Building capacity, developing skills, supporting researchers</w:t>
      </w:r>
      <w:r>
        <w:t xml:space="preserve"> poster presented at JISC MRD Progress Workshop 24-25 October 2012 Nottingham</w:t>
      </w:r>
    </w:p>
    <w:p w:rsidR="00B56C32" w:rsidRDefault="00B56C32" w:rsidP="00861343">
      <w:pPr>
        <w:pStyle w:val="Bibliography"/>
        <w:rPr>
          <w:rStyle w:val="Hyperlink"/>
          <w:rFonts w:ascii="Arial" w:hAnsi="Arial" w:cs="Arial"/>
          <w:sz w:val="19"/>
          <w:szCs w:val="19"/>
        </w:rPr>
      </w:pPr>
      <w:r w:rsidRPr="0053338A">
        <w:t xml:space="preserve">Scott, Mark, Boardman, Richard P., Reed, Philippa A.S. and Cox, Simon J. (2012) </w:t>
      </w:r>
      <w:r w:rsidRPr="0053338A">
        <w:rPr>
          <w:i/>
          <w:iCs/>
        </w:rPr>
        <w:t>Introducing research data</w:t>
      </w:r>
      <w:r w:rsidRPr="0053338A">
        <w:t>. Southampton, GB</w:t>
      </w:r>
      <w:r w:rsidR="00861343">
        <w:t>:</w:t>
      </w:r>
      <w:r w:rsidRPr="0053338A">
        <w:t xml:space="preserve"> Univer</w:t>
      </w:r>
      <w:r>
        <w:t>s</w:t>
      </w:r>
      <w:r w:rsidRPr="0053338A">
        <w:t>ity of Southampton, 29pp</w:t>
      </w:r>
      <w:r>
        <w:t xml:space="preserve"> </w:t>
      </w:r>
      <w:hyperlink r:id="rId22" w:history="1">
        <w:r>
          <w:rPr>
            <w:rStyle w:val="Hyperlink"/>
            <w:rFonts w:ascii="Arial" w:hAnsi="Arial" w:cs="Arial"/>
            <w:sz w:val="19"/>
            <w:szCs w:val="19"/>
          </w:rPr>
          <w:t>http://eprints.soton.ac.uk/id/eprint/338816</w:t>
        </w:r>
      </w:hyperlink>
    </w:p>
    <w:p w:rsidR="00B56C32" w:rsidRDefault="00B56C32" w:rsidP="007B6A8A">
      <w:pPr>
        <w:pStyle w:val="Bibliography"/>
        <w:rPr>
          <w:lang w:val="en"/>
        </w:rPr>
      </w:pPr>
      <w:r>
        <w:rPr>
          <w:lang w:val="en"/>
        </w:rPr>
        <w:t>Scott, Mark, Boardman, Richard, Reed, Philippa, Byatt, Dorothy and Cox, Simon (2013</w:t>
      </w:r>
      <w:r w:rsidR="008E5030">
        <w:rPr>
          <w:lang w:val="en"/>
        </w:rPr>
        <w:t>a</w:t>
      </w:r>
      <w:r>
        <w:rPr>
          <w:lang w:val="en"/>
        </w:rPr>
        <w:t xml:space="preserve">) </w:t>
      </w:r>
      <w:r>
        <w:rPr>
          <w:i/>
          <w:iCs/>
          <w:lang w:val="en"/>
        </w:rPr>
        <w:t>Research Data Management Education for Future Curators</w:t>
      </w:r>
      <w:r>
        <w:rPr>
          <w:lang w:val="en"/>
        </w:rPr>
        <w:t xml:space="preserve"> 8</w:t>
      </w:r>
      <w:r w:rsidRPr="007B6A8A">
        <w:rPr>
          <w:vertAlign w:val="superscript"/>
          <w:lang w:val="en"/>
        </w:rPr>
        <w:t>th</w:t>
      </w:r>
      <w:r>
        <w:rPr>
          <w:lang w:val="en"/>
        </w:rPr>
        <w:t xml:space="preserve"> International Digital Curation Conference, 14</w:t>
      </w:r>
      <w:r w:rsidRPr="007B6A8A">
        <w:rPr>
          <w:vertAlign w:val="superscript"/>
          <w:lang w:val="en"/>
        </w:rPr>
        <w:t>th</w:t>
      </w:r>
      <w:r>
        <w:rPr>
          <w:lang w:val="en"/>
        </w:rPr>
        <w:t>-17</w:t>
      </w:r>
      <w:r w:rsidRPr="007B6A8A">
        <w:rPr>
          <w:vertAlign w:val="superscript"/>
          <w:lang w:val="en"/>
        </w:rPr>
        <w:t>th</w:t>
      </w:r>
      <w:r>
        <w:rPr>
          <w:lang w:val="en"/>
        </w:rPr>
        <w:t xml:space="preserve"> January 2013, Amsterdam </w:t>
      </w:r>
      <w:hyperlink r:id="rId23" w:history="1">
        <w:r w:rsidRPr="001D5123">
          <w:rPr>
            <w:rStyle w:val="Hyperlink"/>
            <w:lang w:val="en"/>
          </w:rPr>
          <w:t>http://www.dcc.ac.uk/webfm_send/1139</w:t>
        </w:r>
      </w:hyperlink>
      <w:r>
        <w:rPr>
          <w:lang w:val="en"/>
        </w:rPr>
        <w:t xml:space="preserve"> </w:t>
      </w:r>
    </w:p>
    <w:p w:rsidR="008E5030" w:rsidRDefault="008E5030" w:rsidP="008E5030">
      <w:pPr>
        <w:pStyle w:val="Bibliography"/>
        <w:rPr>
          <w:lang w:val="en"/>
        </w:rPr>
      </w:pPr>
      <w:r>
        <w:rPr>
          <w:lang w:val="en"/>
        </w:rPr>
        <w:t xml:space="preserve">Scott, Mark, Boardman, Richard, Reed, </w:t>
      </w:r>
      <w:proofErr w:type="spellStart"/>
      <w:r>
        <w:rPr>
          <w:lang w:val="en"/>
        </w:rPr>
        <w:t>Philippa</w:t>
      </w:r>
      <w:proofErr w:type="spellEnd"/>
      <w:r>
        <w:rPr>
          <w:lang w:val="en"/>
        </w:rPr>
        <w:t xml:space="preserve"> and Cox, Simon (2013b) </w:t>
      </w:r>
      <w:r w:rsidRPr="008E5030">
        <w:rPr>
          <w:lang w:val="en"/>
        </w:rPr>
        <w:t>Research Data Management Education for Future Curators</w:t>
      </w:r>
      <w:r>
        <w:rPr>
          <w:lang w:val="en"/>
        </w:rPr>
        <w:t xml:space="preserve"> </w:t>
      </w:r>
      <w:r w:rsidRPr="008E5030">
        <w:rPr>
          <w:i/>
          <w:iCs/>
          <w:lang w:val="en"/>
        </w:rPr>
        <w:t>International Journal of Digital Curation</w:t>
      </w:r>
      <w:r>
        <w:rPr>
          <w:lang w:val="en"/>
        </w:rPr>
        <w:t xml:space="preserve"> 8 (1): 1-6 </w:t>
      </w:r>
      <w:r w:rsidRPr="008E5030">
        <w:rPr>
          <w:lang w:val="en"/>
        </w:rPr>
        <w:t>doi:10.2218/ijdc.v8i1.0</w:t>
      </w:r>
      <w:r>
        <w:rPr>
          <w:lang w:val="en"/>
        </w:rPr>
        <w:t xml:space="preserve"> [in press]</w:t>
      </w:r>
    </w:p>
    <w:p w:rsidR="00861343" w:rsidRPr="00861343" w:rsidRDefault="00861343" w:rsidP="00861343">
      <w:pPr>
        <w:rPr>
          <w:lang w:val="en"/>
        </w:rPr>
      </w:pPr>
      <w:r>
        <w:rPr>
          <w:lang w:val="en"/>
        </w:rPr>
        <w:t xml:space="preserve">Research Development and Graduate Centre (2013) </w:t>
      </w:r>
      <w:r>
        <w:rPr>
          <w:i/>
          <w:iCs/>
          <w:lang w:val="en"/>
        </w:rPr>
        <w:t>About Us</w:t>
      </w:r>
      <w:r>
        <w:rPr>
          <w:lang w:val="en"/>
        </w:rPr>
        <w:t xml:space="preserve"> [online], available: </w:t>
      </w:r>
      <w:hyperlink r:id="rId24" w:history="1">
        <w:r w:rsidRPr="009954C2">
          <w:rPr>
            <w:rStyle w:val="Hyperlink"/>
            <w:lang w:val="en"/>
          </w:rPr>
          <w:t>http://www.southampton.ac.uk/pdu/about_pdu.html</w:t>
        </w:r>
      </w:hyperlink>
      <w:r>
        <w:rPr>
          <w:lang w:val="en"/>
        </w:rPr>
        <w:t xml:space="preserve"> Southampton, GB: University of Southampton [accessed 16/04/13]</w:t>
      </w:r>
    </w:p>
    <w:p w:rsidR="00B56C32" w:rsidRDefault="00B56C32" w:rsidP="007B6A8A">
      <w:pPr>
        <w:pStyle w:val="Bibliography"/>
        <w:rPr>
          <w:lang w:val="en"/>
        </w:rPr>
      </w:pPr>
      <w:r>
        <w:rPr>
          <w:lang w:val="en"/>
        </w:rPr>
        <w:t>Vitae (</w:t>
      </w:r>
      <w:r w:rsidRPr="009D77D4">
        <w:rPr>
          <w:lang w:val="en"/>
        </w:rPr>
        <w:t>201</w:t>
      </w:r>
      <w:r>
        <w:rPr>
          <w:lang w:val="en"/>
        </w:rPr>
        <w:t>0)</w:t>
      </w:r>
      <w:r w:rsidRPr="009D77D4">
        <w:rPr>
          <w:i/>
          <w:iCs/>
          <w:lang w:val="en"/>
        </w:rPr>
        <w:t xml:space="preserve"> </w:t>
      </w:r>
      <w:r w:rsidRPr="00BE244F">
        <w:rPr>
          <w:i/>
          <w:iCs/>
          <w:lang w:val="en"/>
        </w:rPr>
        <w:t xml:space="preserve">Vitae </w:t>
      </w:r>
      <w:r w:rsidRPr="009D77D4">
        <w:rPr>
          <w:i/>
          <w:iCs/>
          <w:lang w:val="en"/>
        </w:rPr>
        <w:t>Researcher Development Framework</w:t>
      </w:r>
      <w:r>
        <w:rPr>
          <w:lang w:val="en"/>
        </w:rPr>
        <w:t xml:space="preserve"> Careers Research and Advisory Centre (CRAC) Limited </w:t>
      </w:r>
      <w:hyperlink r:id="rId25" w:history="1">
        <w:r w:rsidRPr="009A6272">
          <w:rPr>
            <w:rStyle w:val="Hyperlink"/>
            <w:lang w:val="en"/>
          </w:rPr>
          <w:t>http://www.vitae.ac.uk/rdf</w:t>
        </w:r>
      </w:hyperlink>
      <w:r>
        <w:rPr>
          <w:lang w:val="en"/>
        </w:rPr>
        <w:t xml:space="preserve"> </w:t>
      </w:r>
    </w:p>
    <w:p w:rsidR="00B56C32" w:rsidRPr="00BE244F" w:rsidRDefault="00B56C32" w:rsidP="007B6A8A">
      <w:pPr>
        <w:pStyle w:val="Bibliography"/>
        <w:rPr>
          <w:i/>
          <w:iCs/>
          <w:lang w:val="en"/>
        </w:rPr>
      </w:pPr>
      <w:r>
        <w:rPr>
          <w:lang w:val="en"/>
        </w:rPr>
        <w:lastRenderedPageBreak/>
        <w:t xml:space="preserve">Vitae; Research Information Network; SCONUL (2012) </w:t>
      </w:r>
      <w:r>
        <w:rPr>
          <w:i/>
          <w:iCs/>
          <w:lang w:val="en"/>
        </w:rPr>
        <w:t>Information Literacy Lens on the Researcher Development Framework</w:t>
      </w:r>
      <w:r w:rsidRPr="00346FB1">
        <w:rPr>
          <w:lang w:val="en"/>
        </w:rPr>
        <w:t xml:space="preserve"> </w:t>
      </w:r>
      <w:r>
        <w:rPr>
          <w:lang w:val="en"/>
        </w:rPr>
        <w:t xml:space="preserve">Careers Research and Advisory Centre (CRAC) Limited </w:t>
      </w:r>
      <w:hyperlink r:id="rId26" w:history="1">
        <w:r w:rsidRPr="009A6272">
          <w:rPr>
            <w:rStyle w:val="Hyperlink"/>
            <w:lang w:val="en"/>
          </w:rPr>
          <w:t>http://www.vitae.ac.uk/researchers/1272-521621/Information-Literacy-Lens-on-the-Researcher-Development-Framework.html</w:t>
        </w:r>
      </w:hyperlink>
      <w:r>
        <w:rPr>
          <w:lang w:val="en"/>
        </w:rPr>
        <w:t xml:space="preserve"> </w:t>
      </w:r>
    </w:p>
    <w:p w:rsidR="00BE244F" w:rsidRDefault="00B56C32" w:rsidP="00B56C32">
      <w:pPr>
        <w:pStyle w:val="Heading2"/>
        <w:numPr>
          <w:ilvl w:val="0"/>
          <w:numId w:val="12"/>
        </w:numPr>
      </w:pPr>
      <w:r>
        <w:t>Acknowledgements</w:t>
      </w:r>
    </w:p>
    <w:p w:rsidR="00BE244F" w:rsidRDefault="00B56C32" w:rsidP="00BE244F">
      <w:r>
        <w:t xml:space="preserve">These training events could not </w:t>
      </w:r>
      <w:r w:rsidR="001A5BEC">
        <w:t xml:space="preserve">have been developed without the </w:t>
      </w:r>
      <w:r>
        <w:t>assistance of</w:t>
      </w:r>
      <w:r w:rsidR="001A5BEC">
        <w:t xml:space="preserve"> following in preparing the events and materials used:</w:t>
      </w:r>
    </w:p>
    <w:p w:rsidR="00B56C32" w:rsidRDefault="00B56C32" w:rsidP="00B56C32">
      <w:pPr>
        <w:pStyle w:val="List2"/>
      </w:pPr>
      <w:r>
        <w:t>Mark Scott, Faculty of Engineering and the Environment/iSolutions</w:t>
      </w:r>
    </w:p>
    <w:p w:rsidR="00B56C32" w:rsidRDefault="00B56C32" w:rsidP="00B56C32">
      <w:pPr>
        <w:pStyle w:val="List2"/>
      </w:pPr>
      <w:r>
        <w:t>Sandy Mackinnon, Business Relationship Manager, iSolutions</w:t>
      </w:r>
    </w:p>
    <w:p w:rsidR="00B56C32" w:rsidRDefault="00B56C32" w:rsidP="00B56C32">
      <w:pPr>
        <w:pStyle w:val="List2"/>
      </w:pPr>
      <w:r>
        <w:t>Patrick MacSweeney, iSolutions</w:t>
      </w:r>
    </w:p>
    <w:p w:rsidR="00BE244F" w:rsidRDefault="00B56C32" w:rsidP="00540DE1">
      <w:pPr>
        <w:pStyle w:val="List2"/>
      </w:pPr>
      <w:r>
        <w:t>Gareth Beale, Faculty of Humanities</w:t>
      </w:r>
    </w:p>
    <w:p w:rsidR="001A5BEC" w:rsidRDefault="001A5BEC" w:rsidP="00540DE1">
      <w:pPr>
        <w:pStyle w:val="List2"/>
      </w:pPr>
      <w:r>
        <w:t>Richard Boardman, Faculty of Engineering and the Environment</w:t>
      </w:r>
    </w:p>
    <w:p w:rsidR="001A5BEC" w:rsidRDefault="001A5BEC" w:rsidP="00540DE1">
      <w:pPr>
        <w:pStyle w:val="List2"/>
      </w:pPr>
      <w:proofErr w:type="spellStart"/>
      <w:r>
        <w:t>Philippa</w:t>
      </w:r>
      <w:proofErr w:type="spellEnd"/>
      <w:r>
        <w:t xml:space="preserve"> Reed, Faculty of Engineering and the Environment</w:t>
      </w:r>
    </w:p>
    <w:p w:rsidR="001A5BEC" w:rsidRDefault="001A5BEC" w:rsidP="00540DE1">
      <w:pPr>
        <w:pStyle w:val="List2"/>
      </w:pPr>
      <w:r>
        <w:t>Simon J Cox, Faculty of Engineering and the Environment</w:t>
      </w:r>
    </w:p>
    <w:p w:rsidR="00714152" w:rsidRDefault="00540DE1" w:rsidP="00540DE1">
      <w:pPr>
        <w:pStyle w:val="List2"/>
      </w:pPr>
      <w:r>
        <w:t xml:space="preserve">Wendy White, DataPool </w:t>
      </w:r>
      <w:r w:rsidR="003D29C4">
        <w:t>Principal</w:t>
      </w:r>
      <w:r>
        <w:t xml:space="preserve"> Investigator, University of Southampton </w:t>
      </w:r>
      <w:r w:rsidR="003D29C4">
        <w:t>Library</w:t>
      </w:r>
    </w:p>
    <w:p w:rsidR="001A5BEC" w:rsidRDefault="001A5BEC" w:rsidP="001A5BEC">
      <w:pPr>
        <w:pStyle w:val="List2"/>
        <w:ind w:left="283"/>
        <w:rPr>
          <w:rFonts w:asciiTheme="majorHAnsi" w:eastAsiaTheme="majorEastAsia" w:hAnsiTheme="majorHAnsi" w:cstheme="majorBidi"/>
          <w:b/>
          <w:bCs/>
          <w:color w:val="4F81BD" w:themeColor="accent1"/>
          <w:sz w:val="26"/>
          <w:szCs w:val="26"/>
        </w:rPr>
      </w:pPr>
    </w:p>
    <w:sectPr w:rsidR="001A5BEC">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A1" w:rsidRDefault="00F507A1" w:rsidP="0008568F">
      <w:pPr>
        <w:spacing w:after="0"/>
      </w:pPr>
      <w:r>
        <w:separator/>
      </w:r>
    </w:p>
  </w:endnote>
  <w:endnote w:type="continuationSeparator" w:id="0">
    <w:p w:rsidR="00F507A1" w:rsidRDefault="00F507A1" w:rsidP="00085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745359"/>
      <w:docPartObj>
        <w:docPartGallery w:val="Page Numbers (Bottom of Page)"/>
        <w:docPartUnique/>
      </w:docPartObj>
    </w:sdtPr>
    <w:sdtEndPr>
      <w:rPr>
        <w:noProof/>
      </w:rPr>
    </w:sdtEndPr>
    <w:sdtContent>
      <w:p w:rsidR="00F507A1" w:rsidRDefault="00F507A1">
        <w:pPr>
          <w:pStyle w:val="Footer"/>
          <w:jc w:val="right"/>
        </w:pPr>
        <w:r>
          <w:fldChar w:fldCharType="begin"/>
        </w:r>
        <w:r>
          <w:instrText xml:space="preserve"> PAGE   \* MERGEFORMAT </w:instrText>
        </w:r>
        <w:r>
          <w:fldChar w:fldCharType="separate"/>
        </w:r>
        <w:r w:rsidR="004F52F5">
          <w:rPr>
            <w:noProof/>
          </w:rPr>
          <w:t>2</w:t>
        </w:r>
        <w:r>
          <w:rPr>
            <w:noProof/>
          </w:rPr>
          <w:fldChar w:fldCharType="end"/>
        </w:r>
      </w:p>
    </w:sdtContent>
  </w:sdt>
  <w:p w:rsidR="00F507A1" w:rsidRDefault="00F50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A1" w:rsidRDefault="00F507A1" w:rsidP="0008568F">
      <w:pPr>
        <w:spacing w:after="0"/>
      </w:pPr>
      <w:r>
        <w:separator/>
      </w:r>
    </w:p>
  </w:footnote>
  <w:footnote w:type="continuationSeparator" w:id="0">
    <w:p w:rsidR="00F507A1" w:rsidRDefault="00F507A1" w:rsidP="000856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A1" w:rsidRDefault="00F507A1">
    <w:pPr>
      <w:pStyle w:val="Header"/>
    </w:pPr>
    <w:r>
      <w:t>Byatt, Developing Researcher Skills in Research Data Management, March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6" w:rsidRDefault="00371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2AF488"/>
    <w:lvl w:ilvl="0">
      <w:start w:val="1"/>
      <w:numFmt w:val="decimal"/>
      <w:lvlText w:val="%1."/>
      <w:lvlJc w:val="left"/>
      <w:pPr>
        <w:tabs>
          <w:tab w:val="num" w:pos="1492"/>
        </w:tabs>
        <w:ind w:left="1492" w:hanging="360"/>
      </w:pPr>
    </w:lvl>
  </w:abstractNum>
  <w:abstractNum w:abstractNumId="1">
    <w:nsid w:val="FFFFFF7D"/>
    <w:multiLevelType w:val="singleLevel"/>
    <w:tmpl w:val="12D02BBA"/>
    <w:lvl w:ilvl="0">
      <w:start w:val="1"/>
      <w:numFmt w:val="decimal"/>
      <w:lvlText w:val="%1."/>
      <w:lvlJc w:val="left"/>
      <w:pPr>
        <w:tabs>
          <w:tab w:val="num" w:pos="1209"/>
        </w:tabs>
        <w:ind w:left="1209" w:hanging="360"/>
      </w:pPr>
    </w:lvl>
  </w:abstractNum>
  <w:abstractNum w:abstractNumId="2">
    <w:nsid w:val="FFFFFF7E"/>
    <w:multiLevelType w:val="singleLevel"/>
    <w:tmpl w:val="CE1449DC"/>
    <w:lvl w:ilvl="0">
      <w:start w:val="1"/>
      <w:numFmt w:val="decimal"/>
      <w:lvlText w:val="%1."/>
      <w:lvlJc w:val="left"/>
      <w:pPr>
        <w:tabs>
          <w:tab w:val="num" w:pos="926"/>
        </w:tabs>
        <w:ind w:left="926" w:hanging="360"/>
      </w:pPr>
    </w:lvl>
  </w:abstractNum>
  <w:abstractNum w:abstractNumId="3">
    <w:nsid w:val="FFFFFF7F"/>
    <w:multiLevelType w:val="singleLevel"/>
    <w:tmpl w:val="D05E33E2"/>
    <w:lvl w:ilvl="0">
      <w:start w:val="1"/>
      <w:numFmt w:val="decimal"/>
      <w:lvlText w:val="%1."/>
      <w:lvlJc w:val="left"/>
      <w:pPr>
        <w:tabs>
          <w:tab w:val="num" w:pos="643"/>
        </w:tabs>
        <w:ind w:left="643" w:hanging="360"/>
      </w:pPr>
    </w:lvl>
  </w:abstractNum>
  <w:abstractNum w:abstractNumId="4">
    <w:nsid w:val="FFFFFF80"/>
    <w:multiLevelType w:val="singleLevel"/>
    <w:tmpl w:val="6DB2DD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E8F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C814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666B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8248680"/>
    <w:lvl w:ilvl="0">
      <w:start w:val="1"/>
      <w:numFmt w:val="decimal"/>
      <w:lvlText w:val="%1."/>
      <w:lvlJc w:val="left"/>
      <w:pPr>
        <w:tabs>
          <w:tab w:val="num" w:pos="360"/>
        </w:tabs>
        <w:ind w:left="360" w:hanging="360"/>
      </w:pPr>
    </w:lvl>
  </w:abstractNum>
  <w:abstractNum w:abstractNumId="9">
    <w:nsid w:val="FFFFFF89"/>
    <w:multiLevelType w:val="singleLevel"/>
    <w:tmpl w:val="3882287E"/>
    <w:lvl w:ilvl="0">
      <w:start w:val="1"/>
      <w:numFmt w:val="bullet"/>
      <w:lvlText w:val=""/>
      <w:lvlJc w:val="left"/>
      <w:pPr>
        <w:tabs>
          <w:tab w:val="num" w:pos="360"/>
        </w:tabs>
        <w:ind w:left="360" w:hanging="360"/>
      </w:pPr>
      <w:rPr>
        <w:rFonts w:ascii="Symbol" w:hAnsi="Symbol" w:hint="default"/>
      </w:rPr>
    </w:lvl>
  </w:abstractNum>
  <w:abstractNum w:abstractNumId="10">
    <w:nsid w:val="1EF95C12"/>
    <w:multiLevelType w:val="multilevel"/>
    <w:tmpl w:val="D3AC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70758"/>
    <w:multiLevelType w:val="hybridMultilevel"/>
    <w:tmpl w:val="F788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75602D"/>
    <w:multiLevelType w:val="hybridMultilevel"/>
    <w:tmpl w:val="733C4B72"/>
    <w:lvl w:ilvl="0" w:tplc="0809000F">
      <w:start w:val="1"/>
      <w:numFmt w:val="decimal"/>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4E91472"/>
    <w:multiLevelType w:val="hybridMultilevel"/>
    <w:tmpl w:val="E15E9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AA1957"/>
    <w:multiLevelType w:val="hybridMultilevel"/>
    <w:tmpl w:val="8E22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0A"/>
    <w:rsid w:val="00002F16"/>
    <w:rsid w:val="00003C6A"/>
    <w:rsid w:val="00037E8B"/>
    <w:rsid w:val="00042389"/>
    <w:rsid w:val="00045AF3"/>
    <w:rsid w:val="00047988"/>
    <w:rsid w:val="00052C7E"/>
    <w:rsid w:val="0005593E"/>
    <w:rsid w:val="00057132"/>
    <w:rsid w:val="000770B2"/>
    <w:rsid w:val="00084076"/>
    <w:rsid w:val="0008568F"/>
    <w:rsid w:val="00085EF5"/>
    <w:rsid w:val="000902A9"/>
    <w:rsid w:val="00093A0E"/>
    <w:rsid w:val="000A014D"/>
    <w:rsid w:val="000A377A"/>
    <w:rsid w:val="000A5751"/>
    <w:rsid w:val="000B2246"/>
    <w:rsid w:val="000B2B71"/>
    <w:rsid w:val="000B2DBC"/>
    <w:rsid w:val="000B3419"/>
    <w:rsid w:val="000D76EB"/>
    <w:rsid w:val="000E1CF2"/>
    <w:rsid w:val="00110899"/>
    <w:rsid w:val="00112FCB"/>
    <w:rsid w:val="00131F19"/>
    <w:rsid w:val="001335A0"/>
    <w:rsid w:val="0015168D"/>
    <w:rsid w:val="00172234"/>
    <w:rsid w:val="001744A2"/>
    <w:rsid w:val="0018316E"/>
    <w:rsid w:val="0019473F"/>
    <w:rsid w:val="001A5BEC"/>
    <w:rsid w:val="001A6C95"/>
    <w:rsid w:val="001B2D1E"/>
    <w:rsid w:val="001B6245"/>
    <w:rsid w:val="001C7D3C"/>
    <w:rsid w:val="001D6880"/>
    <w:rsid w:val="001D7D9E"/>
    <w:rsid w:val="001E1630"/>
    <w:rsid w:val="001E3341"/>
    <w:rsid w:val="001F3F63"/>
    <w:rsid w:val="00251A1B"/>
    <w:rsid w:val="00256BEE"/>
    <w:rsid w:val="00267201"/>
    <w:rsid w:val="002A11BF"/>
    <w:rsid w:val="002A23FA"/>
    <w:rsid w:val="002B52C2"/>
    <w:rsid w:val="002B64CE"/>
    <w:rsid w:val="002C6F40"/>
    <w:rsid w:val="002D0C07"/>
    <w:rsid w:val="002F076F"/>
    <w:rsid w:val="00311D98"/>
    <w:rsid w:val="00346FB1"/>
    <w:rsid w:val="00355213"/>
    <w:rsid w:val="00371401"/>
    <w:rsid w:val="00371546"/>
    <w:rsid w:val="00397037"/>
    <w:rsid w:val="003A53D9"/>
    <w:rsid w:val="003B3078"/>
    <w:rsid w:val="003D29C4"/>
    <w:rsid w:val="003E7145"/>
    <w:rsid w:val="003F330F"/>
    <w:rsid w:val="00400B5D"/>
    <w:rsid w:val="00414E54"/>
    <w:rsid w:val="00433749"/>
    <w:rsid w:val="0044006F"/>
    <w:rsid w:val="0046264D"/>
    <w:rsid w:val="00470C36"/>
    <w:rsid w:val="00486B48"/>
    <w:rsid w:val="00493CB3"/>
    <w:rsid w:val="004A0C30"/>
    <w:rsid w:val="004C12D3"/>
    <w:rsid w:val="004C5BDC"/>
    <w:rsid w:val="004D5222"/>
    <w:rsid w:val="004D7A4D"/>
    <w:rsid w:val="004F52F5"/>
    <w:rsid w:val="00506630"/>
    <w:rsid w:val="00523661"/>
    <w:rsid w:val="00526A2B"/>
    <w:rsid w:val="00532C74"/>
    <w:rsid w:val="005373EC"/>
    <w:rsid w:val="00540DE1"/>
    <w:rsid w:val="00541A4E"/>
    <w:rsid w:val="00543525"/>
    <w:rsid w:val="00570827"/>
    <w:rsid w:val="005813F6"/>
    <w:rsid w:val="00583684"/>
    <w:rsid w:val="00584DA3"/>
    <w:rsid w:val="00587106"/>
    <w:rsid w:val="005A21A7"/>
    <w:rsid w:val="005B42D9"/>
    <w:rsid w:val="005B61EC"/>
    <w:rsid w:val="005C2E97"/>
    <w:rsid w:val="005C554B"/>
    <w:rsid w:val="005D002D"/>
    <w:rsid w:val="005D340F"/>
    <w:rsid w:val="005D5E46"/>
    <w:rsid w:val="006177BD"/>
    <w:rsid w:val="00617FC3"/>
    <w:rsid w:val="006270FF"/>
    <w:rsid w:val="00636BAF"/>
    <w:rsid w:val="00641328"/>
    <w:rsid w:val="00657D9E"/>
    <w:rsid w:val="00666A37"/>
    <w:rsid w:val="00697AED"/>
    <w:rsid w:val="006A1F57"/>
    <w:rsid w:val="006B2671"/>
    <w:rsid w:val="006B4CF6"/>
    <w:rsid w:val="006C40FC"/>
    <w:rsid w:val="006D1C3A"/>
    <w:rsid w:val="006D3932"/>
    <w:rsid w:val="006D3C89"/>
    <w:rsid w:val="006D4DAC"/>
    <w:rsid w:val="006D5798"/>
    <w:rsid w:val="006E748B"/>
    <w:rsid w:val="006F75ED"/>
    <w:rsid w:val="00703B5C"/>
    <w:rsid w:val="007114A1"/>
    <w:rsid w:val="00714152"/>
    <w:rsid w:val="00732C59"/>
    <w:rsid w:val="00764F29"/>
    <w:rsid w:val="00770149"/>
    <w:rsid w:val="0077312D"/>
    <w:rsid w:val="00781319"/>
    <w:rsid w:val="0078594B"/>
    <w:rsid w:val="007B358A"/>
    <w:rsid w:val="007B3EC0"/>
    <w:rsid w:val="007B6A8A"/>
    <w:rsid w:val="007C1AE2"/>
    <w:rsid w:val="007D7BA3"/>
    <w:rsid w:val="007F25B0"/>
    <w:rsid w:val="007F2DA5"/>
    <w:rsid w:val="007F68D4"/>
    <w:rsid w:val="00804E34"/>
    <w:rsid w:val="0080719E"/>
    <w:rsid w:val="0082327D"/>
    <w:rsid w:val="00827567"/>
    <w:rsid w:val="00835EB8"/>
    <w:rsid w:val="008501E9"/>
    <w:rsid w:val="008530C4"/>
    <w:rsid w:val="00857320"/>
    <w:rsid w:val="00861343"/>
    <w:rsid w:val="00862ABC"/>
    <w:rsid w:val="008658BB"/>
    <w:rsid w:val="00865DD3"/>
    <w:rsid w:val="0087588F"/>
    <w:rsid w:val="00886D44"/>
    <w:rsid w:val="008874D8"/>
    <w:rsid w:val="00893AD0"/>
    <w:rsid w:val="008A47A6"/>
    <w:rsid w:val="008E2534"/>
    <w:rsid w:val="008E5030"/>
    <w:rsid w:val="008F203D"/>
    <w:rsid w:val="0091129B"/>
    <w:rsid w:val="00914002"/>
    <w:rsid w:val="009208F7"/>
    <w:rsid w:val="00923504"/>
    <w:rsid w:val="009321CB"/>
    <w:rsid w:val="009538C0"/>
    <w:rsid w:val="009647B1"/>
    <w:rsid w:val="009757DC"/>
    <w:rsid w:val="00982F63"/>
    <w:rsid w:val="00984EEB"/>
    <w:rsid w:val="009879BC"/>
    <w:rsid w:val="009B555E"/>
    <w:rsid w:val="009D432A"/>
    <w:rsid w:val="009D5089"/>
    <w:rsid w:val="009D77D4"/>
    <w:rsid w:val="009E47A5"/>
    <w:rsid w:val="009F6B41"/>
    <w:rsid w:val="00A0544A"/>
    <w:rsid w:val="00A174E6"/>
    <w:rsid w:val="00A21828"/>
    <w:rsid w:val="00A36968"/>
    <w:rsid w:val="00A545C7"/>
    <w:rsid w:val="00A54C75"/>
    <w:rsid w:val="00A6020A"/>
    <w:rsid w:val="00A63724"/>
    <w:rsid w:val="00A6664C"/>
    <w:rsid w:val="00A71804"/>
    <w:rsid w:val="00A86371"/>
    <w:rsid w:val="00AA7FB4"/>
    <w:rsid w:val="00AC1130"/>
    <w:rsid w:val="00AC2778"/>
    <w:rsid w:val="00AC524D"/>
    <w:rsid w:val="00AC6E4D"/>
    <w:rsid w:val="00AD156A"/>
    <w:rsid w:val="00AD6FE9"/>
    <w:rsid w:val="00AF3A94"/>
    <w:rsid w:val="00AF78C3"/>
    <w:rsid w:val="00B04595"/>
    <w:rsid w:val="00B07367"/>
    <w:rsid w:val="00B2559B"/>
    <w:rsid w:val="00B4049E"/>
    <w:rsid w:val="00B47EB3"/>
    <w:rsid w:val="00B56C32"/>
    <w:rsid w:val="00B6091F"/>
    <w:rsid w:val="00B71F2A"/>
    <w:rsid w:val="00B73A11"/>
    <w:rsid w:val="00B81335"/>
    <w:rsid w:val="00B83F2E"/>
    <w:rsid w:val="00B90C78"/>
    <w:rsid w:val="00B937AA"/>
    <w:rsid w:val="00B94CB0"/>
    <w:rsid w:val="00BD1129"/>
    <w:rsid w:val="00BE18FF"/>
    <w:rsid w:val="00BE244F"/>
    <w:rsid w:val="00BE6CA1"/>
    <w:rsid w:val="00BF03E9"/>
    <w:rsid w:val="00C02A8F"/>
    <w:rsid w:val="00C13379"/>
    <w:rsid w:val="00C26E28"/>
    <w:rsid w:val="00C344B9"/>
    <w:rsid w:val="00C40BA2"/>
    <w:rsid w:val="00C44836"/>
    <w:rsid w:val="00C44DA9"/>
    <w:rsid w:val="00C51FBE"/>
    <w:rsid w:val="00C6388D"/>
    <w:rsid w:val="00C73F79"/>
    <w:rsid w:val="00C74071"/>
    <w:rsid w:val="00C81022"/>
    <w:rsid w:val="00C86518"/>
    <w:rsid w:val="00CC2DF1"/>
    <w:rsid w:val="00CD74CF"/>
    <w:rsid w:val="00CF0DA4"/>
    <w:rsid w:val="00CF2EE0"/>
    <w:rsid w:val="00D005D2"/>
    <w:rsid w:val="00D06148"/>
    <w:rsid w:val="00D13E0C"/>
    <w:rsid w:val="00D30673"/>
    <w:rsid w:val="00D413AF"/>
    <w:rsid w:val="00D62CBB"/>
    <w:rsid w:val="00D84ABE"/>
    <w:rsid w:val="00D959A0"/>
    <w:rsid w:val="00DB3117"/>
    <w:rsid w:val="00DE1B65"/>
    <w:rsid w:val="00E22801"/>
    <w:rsid w:val="00E22BF2"/>
    <w:rsid w:val="00E265D6"/>
    <w:rsid w:val="00E361A0"/>
    <w:rsid w:val="00E54CF4"/>
    <w:rsid w:val="00E627F7"/>
    <w:rsid w:val="00EA00E0"/>
    <w:rsid w:val="00EA07B4"/>
    <w:rsid w:val="00EA0C1A"/>
    <w:rsid w:val="00EA6668"/>
    <w:rsid w:val="00EA7135"/>
    <w:rsid w:val="00EC536D"/>
    <w:rsid w:val="00EE3B3F"/>
    <w:rsid w:val="00EE4C5C"/>
    <w:rsid w:val="00EE6075"/>
    <w:rsid w:val="00EF25C4"/>
    <w:rsid w:val="00EF40F2"/>
    <w:rsid w:val="00F1128A"/>
    <w:rsid w:val="00F11CB8"/>
    <w:rsid w:val="00F1204A"/>
    <w:rsid w:val="00F2784E"/>
    <w:rsid w:val="00F404D5"/>
    <w:rsid w:val="00F431C7"/>
    <w:rsid w:val="00F503CE"/>
    <w:rsid w:val="00F507A1"/>
    <w:rsid w:val="00F65D2E"/>
    <w:rsid w:val="00F710BF"/>
    <w:rsid w:val="00F9546F"/>
    <w:rsid w:val="00FA3E32"/>
    <w:rsid w:val="00FC53FB"/>
    <w:rsid w:val="00FD3F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C7E"/>
    <w:pPr>
      <w:spacing w:after="240"/>
    </w:pPr>
    <w:rPr>
      <w:rFonts w:asciiTheme="minorHAnsi" w:hAnsiTheme="minorHAnsi"/>
      <w:sz w:val="24"/>
      <w:szCs w:val="24"/>
    </w:rPr>
  </w:style>
  <w:style w:type="paragraph" w:styleId="Heading1">
    <w:name w:val="heading 1"/>
    <w:basedOn w:val="Normal"/>
    <w:next w:val="Normal"/>
    <w:link w:val="Heading1Char"/>
    <w:uiPriority w:val="9"/>
    <w:qFormat/>
    <w:rsid w:val="00B94CB0"/>
    <w:pPr>
      <w:keepNext/>
      <w:keepLines/>
      <w:spacing w:before="480" w:line="276" w:lineRule="auto"/>
      <w:outlineLvl w:val="0"/>
    </w:pPr>
    <w:rPr>
      <w:rFonts w:asciiTheme="majorHAnsi" w:eastAsiaTheme="majorEastAsia" w:hAnsiTheme="majorHAnsi" w:cstheme="majorBidi"/>
      <w:bCs/>
      <w:color w:val="365F91" w:themeColor="accent1" w:themeShade="BF"/>
      <w:sz w:val="52"/>
      <w:szCs w:val="28"/>
    </w:rPr>
  </w:style>
  <w:style w:type="paragraph" w:styleId="Heading2">
    <w:name w:val="heading 2"/>
    <w:basedOn w:val="Normal"/>
    <w:next w:val="Normal"/>
    <w:link w:val="Heading2Char"/>
    <w:uiPriority w:val="9"/>
    <w:unhideWhenUsed/>
    <w:qFormat/>
    <w:rsid w:val="00052C7E"/>
    <w:pPr>
      <w:keepNext/>
      <w:keepLines/>
      <w:spacing w:before="20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052C7E"/>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semiHidden/>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semiHidden/>
    <w:unhideWhenUsed/>
    <w:qFormat/>
    <w:rsid w:val="00862ABC"/>
    <w:pPr>
      <w:spacing w:after="200"/>
    </w:pPr>
    <w:rPr>
      <w:rFonts w:eastAsiaTheme="minorEastAsia" w:cstheme="minorBidi"/>
      <w:b/>
      <w:bCs/>
      <w:color w:val="4F81BD" w:themeColor="accent1"/>
      <w:sz w:val="18"/>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B94CB0"/>
    <w:rPr>
      <w:rFonts w:asciiTheme="majorHAnsi" w:eastAsiaTheme="majorEastAsia" w:hAnsiTheme="majorHAnsi" w:cstheme="majorBidi"/>
      <w:bCs/>
      <w:color w:val="365F91" w:themeColor="accent1" w:themeShade="BF"/>
      <w:sz w:val="52"/>
      <w:szCs w:val="28"/>
    </w:rPr>
  </w:style>
  <w:style w:type="character" w:customStyle="1" w:styleId="Heading2Char">
    <w:name w:val="Heading 2 Char"/>
    <w:basedOn w:val="DefaultParagraphFont"/>
    <w:link w:val="Heading2"/>
    <w:uiPriority w:val="9"/>
    <w:rsid w:val="00052C7E"/>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052C7E"/>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semiHidden/>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styleId="ListBullet2">
    <w:name w:val="List Bullet 2"/>
    <w:basedOn w:val="Normal"/>
    <w:rsid w:val="00B83F2E"/>
    <w:pPr>
      <w:numPr>
        <w:numId w:val="2"/>
      </w:numPr>
      <w:contextualSpacing/>
    </w:pPr>
  </w:style>
  <w:style w:type="paragraph" w:styleId="PlainText">
    <w:name w:val="Plain Text"/>
    <w:basedOn w:val="Normal"/>
    <w:link w:val="PlainTextChar"/>
    <w:uiPriority w:val="99"/>
    <w:unhideWhenUsed/>
    <w:rsid w:val="00C02A8F"/>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C02A8F"/>
    <w:rPr>
      <w:rFonts w:ascii="Calibri" w:eastAsiaTheme="minorEastAsia" w:hAnsi="Calibri" w:cstheme="minorBidi"/>
      <w:sz w:val="22"/>
      <w:szCs w:val="21"/>
    </w:rPr>
  </w:style>
  <w:style w:type="character" w:styleId="Hyperlink">
    <w:name w:val="Hyperlink"/>
    <w:basedOn w:val="DefaultParagraphFont"/>
    <w:rsid w:val="00AC6E4D"/>
    <w:rPr>
      <w:color w:val="0000FF" w:themeColor="hyperlink"/>
      <w:u w:val="single"/>
    </w:rPr>
  </w:style>
  <w:style w:type="paragraph" w:styleId="Bibliography">
    <w:name w:val="Bibliography"/>
    <w:basedOn w:val="Normal"/>
    <w:next w:val="Normal"/>
    <w:uiPriority w:val="37"/>
    <w:unhideWhenUsed/>
    <w:rsid w:val="00BE244F"/>
    <w:pPr>
      <w:spacing w:after="120"/>
    </w:pPr>
  </w:style>
  <w:style w:type="table" w:styleId="TableGrid">
    <w:name w:val="Table Grid"/>
    <w:basedOn w:val="TableNormal"/>
    <w:rsid w:val="00714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2B71"/>
    <w:pPr>
      <w:spacing w:after="0"/>
    </w:pPr>
    <w:rPr>
      <w:rFonts w:ascii="Tahoma" w:hAnsi="Tahoma" w:cs="Tahoma"/>
      <w:sz w:val="16"/>
      <w:szCs w:val="16"/>
    </w:rPr>
  </w:style>
  <w:style w:type="character" w:customStyle="1" w:styleId="BalloonTextChar">
    <w:name w:val="Balloon Text Char"/>
    <w:basedOn w:val="DefaultParagraphFont"/>
    <w:link w:val="BalloonText"/>
    <w:rsid w:val="000B2B71"/>
    <w:rPr>
      <w:rFonts w:ascii="Tahoma" w:hAnsi="Tahoma" w:cs="Tahoma"/>
      <w:sz w:val="16"/>
      <w:szCs w:val="16"/>
    </w:rPr>
  </w:style>
  <w:style w:type="paragraph" w:styleId="NormalWeb">
    <w:name w:val="Normal (Web)"/>
    <w:basedOn w:val="Normal"/>
    <w:uiPriority w:val="99"/>
    <w:unhideWhenUsed/>
    <w:rsid w:val="0087588F"/>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rsid w:val="0008568F"/>
    <w:pPr>
      <w:tabs>
        <w:tab w:val="center" w:pos="4513"/>
        <w:tab w:val="right" w:pos="9026"/>
      </w:tabs>
      <w:spacing w:after="0"/>
    </w:pPr>
  </w:style>
  <w:style w:type="character" w:customStyle="1" w:styleId="HeaderChar">
    <w:name w:val="Header Char"/>
    <w:basedOn w:val="DefaultParagraphFont"/>
    <w:link w:val="Header"/>
    <w:rsid w:val="0008568F"/>
    <w:rPr>
      <w:rFonts w:asciiTheme="minorHAnsi" w:hAnsiTheme="minorHAnsi"/>
      <w:sz w:val="24"/>
      <w:szCs w:val="24"/>
    </w:rPr>
  </w:style>
  <w:style w:type="paragraph" w:styleId="Footer">
    <w:name w:val="footer"/>
    <w:basedOn w:val="Normal"/>
    <w:link w:val="FooterChar"/>
    <w:uiPriority w:val="99"/>
    <w:rsid w:val="0008568F"/>
    <w:pPr>
      <w:tabs>
        <w:tab w:val="center" w:pos="4513"/>
        <w:tab w:val="right" w:pos="9026"/>
      </w:tabs>
      <w:spacing w:after="0"/>
    </w:pPr>
  </w:style>
  <w:style w:type="character" w:customStyle="1" w:styleId="FooterChar">
    <w:name w:val="Footer Char"/>
    <w:basedOn w:val="DefaultParagraphFont"/>
    <w:link w:val="Footer"/>
    <w:uiPriority w:val="99"/>
    <w:rsid w:val="0008568F"/>
    <w:rPr>
      <w:rFonts w:asciiTheme="minorHAnsi" w:hAnsiTheme="minorHAnsi"/>
      <w:sz w:val="24"/>
      <w:szCs w:val="24"/>
    </w:rPr>
  </w:style>
  <w:style w:type="paragraph" w:styleId="List">
    <w:name w:val="List"/>
    <w:basedOn w:val="Normal"/>
    <w:rsid w:val="00B56C32"/>
    <w:pPr>
      <w:ind w:left="283" w:hanging="283"/>
      <w:contextualSpacing/>
    </w:pPr>
  </w:style>
  <w:style w:type="paragraph" w:styleId="List2">
    <w:name w:val="List 2"/>
    <w:basedOn w:val="Normal"/>
    <w:rsid w:val="00B56C32"/>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2C7E"/>
    <w:pPr>
      <w:spacing w:after="240"/>
    </w:pPr>
    <w:rPr>
      <w:rFonts w:asciiTheme="minorHAnsi" w:hAnsiTheme="minorHAnsi"/>
      <w:sz w:val="24"/>
      <w:szCs w:val="24"/>
    </w:rPr>
  </w:style>
  <w:style w:type="paragraph" w:styleId="Heading1">
    <w:name w:val="heading 1"/>
    <w:basedOn w:val="Normal"/>
    <w:next w:val="Normal"/>
    <w:link w:val="Heading1Char"/>
    <w:uiPriority w:val="9"/>
    <w:qFormat/>
    <w:rsid w:val="00B94CB0"/>
    <w:pPr>
      <w:keepNext/>
      <w:keepLines/>
      <w:spacing w:before="480" w:line="276" w:lineRule="auto"/>
      <w:outlineLvl w:val="0"/>
    </w:pPr>
    <w:rPr>
      <w:rFonts w:asciiTheme="majorHAnsi" w:eastAsiaTheme="majorEastAsia" w:hAnsiTheme="majorHAnsi" w:cstheme="majorBidi"/>
      <w:bCs/>
      <w:color w:val="365F91" w:themeColor="accent1" w:themeShade="BF"/>
      <w:sz w:val="52"/>
      <w:szCs w:val="28"/>
    </w:rPr>
  </w:style>
  <w:style w:type="paragraph" w:styleId="Heading2">
    <w:name w:val="heading 2"/>
    <w:basedOn w:val="Normal"/>
    <w:next w:val="Normal"/>
    <w:link w:val="Heading2Char"/>
    <w:uiPriority w:val="9"/>
    <w:unhideWhenUsed/>
    <w:qFormat/>
    <w:rsid w:val="00052C7E"/>
    <w:pPr>
      <w:keepNext/>
      <w:keepLines/>
      <w:spacing w:before="20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052C7E"/>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semiHidden/>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semiHidden/>
    <w:unhideWhenUsed/>
    <w:qFormat/>
    <w:rsid w:val="00862ABC"/>
    <w:pPr>
      <w:spacing w:after="200"/>
    </w:pPr>
    <w:rPr>
      <w:rFonts w:eastAsiaTheme="minorEastAsia" w:cstheme="minorBidi"/>
      <w:b/>
      <w:bCs/>
      <w:color w:val="4F81BD" w:themeColor="accent1"/>
      <w:sz w:val="18"/>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B94CB0"/>
    <w:rPr>
      <w:rFonts w:asciiTheme="majorHAnsi" w:eastAsiaTheme="majorEastAsia" w:hAnsiTheme="majorHAnsi" w:cstheme="majorBidi"/>
      <w:bCs/>
      <w:color w:val="365F91" w:themeColor="accent1" w:themeShade="BF"/>
      <w:sz w:val="52"/>
      <w:szCs w:val="28"/>
    </w:rPr>
  </w:style>
  <w:style w:type="character" w:customStyle="1" w:styleId="Heading2Char">
    <w:name w:val="Heading 2 Char"/>
    <w:basedOn w:val="DefaultParagraphFont"/>
    <w:link w:val="Heading2"/>
    <w:uiPriority w:val="9"/>
    <w:rsid w:val="00052C7E"/>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052C7E"/>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semiHidden/>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styleId="ListBullet2">
    <w:name w:val="List Bullet 2"/>
    <w:basedOn w:val="Normal"/>
    <w:rsid w:val="00B83F2E"/>
    <w:pPr>
      <w:numPr>
        <w:numId w:val="2"/>
      </w:numPr>
      <w:contextualSpacing/>
    </w:pPr>
  </w:style>
  <w:style w:type="paragraph" w:styleId="PlainText">
    <w:name w:val="Plain Text"/>
    <w:basedOn w:val="Normal"/>
    <w:link w:val="PlainTextChar"/>
    <w:uiPriority w:val="99"/>
    <w:unhideWhenUsed/>
    <w:rsid w:val="00C02A8F"/>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C02A8F"/>
    <w:rPr>
      <w:rFonts w:ascii="Calibri" w:eastAsiaTheme="minorEastAsia" w:hAnsi="Calibri" w:cstheme="minorBidi"/>
      <w:sz w:val="22"/>
      <w:szCs w:val="21"/>
    </w:rPr>
  </w:style>
  <w:style w:type="character" w:styleId="Hyperlink">
    <w:name w:val="Hyperlink"/>
    <w:basedOn w:val="DefaultParagraphFont"/>
    <w:rsid w:val="00AC6E4D"/>
    <w:rPr>
      <w:color w:val="0000FF" w:themeColor="hyperlink"/>
      <w:u w:val="single"/>
    </w:rPr>
  </w:style>
  <w:style w:type="paragraph" w:styleId="Bibliography">
    <w:name w:val="Bibliography"/>
    <w:basedOn w:val="Normal"/>
    <w:next w:val="Normal"/>
    <w:uiPriority w:val="37"/>
    <w:unhideWhenUsed/>
    <w:rsid w:val="00BE244F"/>
    <w:pPr>
      <w:spacing w:after="120"/>
    </w:pPr>
  </w:style>
  <w:style w:type="table" w:styleId="TableGrid">
    <w:name w:val="Table Grid"/>
    <w:basedOn w:val="TableNormal"/>
    <w:rsid w:val="00714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B2B71"/>
    <w:pPr>
      <w:spacing w:after="0"/>
    </w:pPr>
    <w:rPr>
      <w:rFonts w:ascii="Tahoma" w:hAnsi="Tahoma" w:cs="Tahoma"/>
      <w:sz w:val="16"/>
      <w:szCs w:val="16"/>
    </w:rPr>
  </w:style>
  <w:style w:type="character" w:customStyle="1" w:styleId="BalloonTextChar">
    <w:name w:val="Balloon Text Char"/>
    <w:basedOn w:val="DefaultParagraphFont"/>
    <w:link w:val="BalloonText"/>
    <w:rsid w:val="000B2B71"/>
    <w:rPr>
      <w:rFonts w:ascii="Tahoma" w:hAnsi="Tahoma" w:cs="Tahoma"/>
      <w:sz w:val="16"/>
      <w:szCs w:val="16"/>
    </w:rPr>
  </w:style>
  <w:style w:type="paragraph" w:styleId="NormalWeb">
    <w:name w:val="Normal (Web)"/>
    <w:basedOn w:val="Normal"/>
    <w:uiPriority w:val="99"/>
    <w:unhideWhenUsed/>
    <w:rsid w:val="0087588F"/>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rsid w:val="0008568F"/>
    <w:pPr>
      <w:tabs>
        <w:tab w:val="center" w:pos="4513"/>
        <w:tab w:val="right" w:pos="9026"/>
      </w:tabs>
      <w:spacing w:after="0"/>
    </w:pPr>
  </w:style>
  <w:style w:type="character" w:customStyle="1" w:styleId="HeaderChar">
    <w:name w:val="Header Char"/>
    <w:basedOn w:val="DefaultParagraphFont"/>
    <w:link w:val="Header"/>
    <w:rsid w:val="0008568F"/>
    <w:rPr>
      <w:rFonts w:asciiTheme="minorHAnsi" w:hAnsiTheme="minorHAnsi"/>
      <w:sz w:val="24"/>
      <w:szCs w:val="24"/>
    </w:rPr>
  </w:style>
  <w:style w:type="paragraph" w:styleId="Footer">
    <w:name w:val="footer"/>
    <w:basedOn w:val="Normal"/>
    <w:link w:val="FooterChar"/>
    <w:uiPriority w:val="99"/>
    <w:rsid w:val="0008568F"/>
    <w:pPr>
      <w:tabs>
        <w:tab w:val="center" w:pos="4513"/>
        <w:tab w:val="right" w:pos="9026"/>
      </w:tabs>
      <w:spacing w:after="0"/>
    </w:pPr>
  </w:style>
  <w:style w:type="character" w:customStyle="1" w:styleId="FooterChar">
    <w:name w:val="Footer Char"/>
    <w:basedOn w:val="DefaultParagraphFont"/>
    <w:link w:val="Footer"/>
    <w:uiPriority w:val="99"/>
    <w:rsid w:val="0008568F"/>
    <w:rPr>
      <w:rFonts w:asciiTheme="minorHAnsi" w:hAnsiTheme="minorHAnsi"/>
      <w:sz w:val="24"/>
      <w:szCs w:val="24"/>
    </w:rPr>
  </w:style>
  <w:style w:type="paragraph" w:styleId="List">
    <w:name w:val="List"/>
    <w:basedOn w:val="Normal"/>
    <w:rsid w:val="00B56C32"/>
    <w:pPr>
      <w:ind w:left="283" w:hanging="283"/>
      <w:contextualSpacing/>
    </w:pPr>
  </w:style>
  <w:style w:type="paragraph" w:styleId="List2">
    <w:name w:val="List 2"/>
    <w:basedOn w:val="Normal"/>
    <w:rsid w:val="00B56C32"/>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40996">
      <w:bodyDiv w:val="1"/>
      <w:marLeft w:val="0"/>
      <w:marRight w:val="0"/>
      <w:marTop w:val="0"/>
      <w:marBottom w:val="0"/>
      <w:divBdr>
        <w:top w:val="none" w:sz="0" w:space="0" w:color="auto"/>
        <w:left w:val="none" w:sz="0" w:space="0" w:color="auto"/>
        <w:bottom w:val="none" w:sz="0" w:space="0" w:color="auto"/>
        <w:right w:val="none" w:sz="0" w:space="0" w:color="auto"/>
      </w:divBdr>
    </w:div>
    <w:div w:id="470175470">
      <w:bodyDiv w:val="1"/>
      <w:marLeft w:val="0"/>
      <w:marRight w:val="0"/>
      <w:marTop w:val="0"/>
      <w:marBottom w:val="0"/>
      <w:divBdr>
        <w:top w:val="none" w:sz="0" w:space="0" w:color="auto"/>
        <w:left w:val="none" w:sz="0" w:space="0" w:color="auto"/>
        <w:bottom w:val="none" w:sz="0" w:space="0" w:color="auto"/>
        <w:right w:val="none" w:sz="0" w:space="0" w:color="auto"/>
      </w:divBdr>
    </w:div>
    <w:div w:id="949505582">
      <w:bodyDiv w:val="1"/>
      <w:marLeft w:val="0"/>
      <w:marRight w:val="0"/>
      <w:marTop w:val="0"/>
      <w:marBottom w:val="0"/>
      <w:divBdr>
        <w:top w:val="none" w:sz="0" w:space="0" w:color="auto"/>
        <w:left w:val="none" w:sz="0" w:space="0" w:color="auto"/>
        <w:bottom w:val="none" w:sz="0" w:space="0" w:color="auto"/>
        <w:right w:val="none" w:sz="0" w:space="0" w:color="auto"/>
      </w:divBdr>
    </w:div>
    <w:div w:id="1031110000">
      <w:bodyDiv w:val="1"/>
      <w:marLeft w:val="0"/>
      <w:marRight w:val="0"/>
      <w:marTop w:val="0"/>
      <w:marBottom w:val="0"/>
      <w:divBdr>
        <w:top w:val="none" w:sz="0" w:space="0" w:color="auto"/>
        <w:left w:val="none" w:sz="0" w:space="0" w:color="auto"/>
        <w:bottom w:val="none" w:sz="0" w:space="0" w:color="auto"/>
        <w:right w:val="none" w:sz="0" w:space="0" w:color="auto"/>
      </w:divBdr>
    </w:div>
    <w:div w:id="1057969474">
      <w:bodyDiv w:val="1"/>
      <w:marLeft w:val="0"/>
      <w:marRight w:val="0"/>
      <w:marTop w:val="0"/>
      <w:marBottom w:val="0"/>
      <w:divBdr>
        <w:top w:val="none" w:sz="0" w:space="0" w:color="auto"/>
        <w:left w:val="none" w:sz="0" w:space="0" w:color="auto"/>
        <w:bottom w:val="none" w:sz="0" w:space="0" w:color="auto"/>
        <w:right w:val="none" w:sz="0" w:space="0" w:color="auto"/>
      </w:divBdr>
    </w:div>
    <w:div w:id="1407386198">
      <w:bodyDiv w:val="1"/>
      <w:marLeft w:val="0"/>
      <w:marRight w:val="0"/>
      <w:marTop w:val="0"/>
      <w:marBottom w:val="0"/>
      <w:divBdr>
        <w:top w:val="none" w:sz="0" w:space="0" w:color="auto"/>
        <w:left w:val="none" w:sz="0" w:space="0" w:color="auto"/>
        <w:bottom w:val="none" w:sz="0" w:space="0" w:color="auto"/>
        <w:right w:val="none" w:sz="0" w:space="0" w:color="auto"/>
      </w:divBdr>
    </w:div>
    <w:div w:id="1521702395">
      <w:bodyDiv w:val="1"/>
      <w:marLeft w:val="0"/>
      <w:marRight w:val="0"/>
      <w:marTop w:val="0"/>
      <w:marBottom w:val="0"/>
      <w:divBdr>
        <w:top w:val="none" w:sz="0" w:space="0" w:color="auto"/>
        <w:left w:val="none" w:sz="0" w:space="0" w:color="auto"/>
        <w:bottom w:val="none" w:sz="0" w:space="0" w:color="auto"/>
        <w:right w:val="none" w:sz="0" w:space="0" w:color="auto"/>
      </w:divBdr>
    </w:div>
    <w:div w:id="1896887159">
      <w:bodyDiv w:val="1"/>
      <w:marLeft w:val="0"/>
      <w:marRight w:val="0"/>
      <w:marTop w:val="0"/>
      <w:marBottom w:val="0"/>
      <w:divBdr>
        <w:top w:val="none" w:sz="0" w:space="0" w:color="auto"/>
        <w:left w:val="none" w:sz="0" w:space="0" w:color="auto"/>
        <w:bottom w:val="none" w:sz="0" w:space="0" w:color="auto"/>
        <w:right w:val="none" w:sz="0" w:space="0" w:color="auto"/>
      </w:divBdr>
    </w:div>
    <w:div w:id="197120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eprints.soton.ac.uk/id/eprint/196241" TargetMode="External"/><Relationship Id="rId26" Type="http://schemas.openxmlformats.org/officeDocument/2006/relationships/hyperlink" Target="http://www.vitae.ac.uk/researchers/1272-521621/Information-Literacy-Lens-on-the-Researcher-Development-Framework.html" TargetMode="External"/><Relationship Id="rId3" Type="http://schemas.microsoft.com/office/2007/relationships/stylesWithEffects" Target="stylesWithEffects.xml"/><Relationship Id="rId21" Type="http://schemas.openxmlformats.org/officeDocument/2006/relationships/hyperlink" Target="http://www.europeanbiotechnologist.com/blog/hamartin"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eprints.soton.ac.uk/id/eprint/350738" TargetMode="External"/><Relationship Id="rId25" Type="http://schemas.openxmlformats.org/officeDocument/2006/relationships/hyperlink" Target="http://www.vitae.ac.uk/r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www.cbc.ca/news/health/story/2013/02/11/f-crowe-omega-6.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southampton.ac.uk/pdu/about_pdu.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www.dcc.ac.uk/webfm_send/1139" TargetMode="External"/><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hyperlink" Target="http://eprints.soton.ac.uk/id/eprint/351027"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eprints.soton.ac.uk/id/eprint/338816" TargetMode="Externa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Training\Training-Analysis\RDM-gradschool-201303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Training\Training-Analysis\RDM-Medicine-2013030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Training\Training-Analysis\RDM-HealthSciences-201303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Training\Training-Analysis\RDM-Humanities-201303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Data!$C$7</c:f>
              <c:strCache>
                <c:ptCount val="1"/>
                <c:pt idx="0">
                  <c:v>Very 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Data!$C$8:$C$12</c:f>
              <c:numCache>
                <c:formatCode>General</c:formatCode>
                <c:ptCount val="5"/>
                <c:pt idx="0">
                  <c:v>0</c:v>
                </c:pt>
                <c:pt idx="1">
                  <c:v>0</c:v>
                </c:pt>
                <c:pt idx="2">
                  <c:v>0</c:v>
                </c:pt>
                <c:pt idx="3">
                  <c:v>0</c:v>
                </c:pt>
                <c:pt idx="4">
                  <c:v>0</c:v>
                </c:pt>
              </c:numCache>
            </c:numRef>
          </c:val>
        </c:ser>
        <c:ser>
          <c:idx val="1"/>
          <c:order val="1"/>
          <c:tx>
            <c:strRef>
              <c:f>Data!$D$7</c:f>
              <c:strCache>
                <c:ptCount val="1"/>
                <c:pt idx="0">
                  <c:v>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Data!$D$8:$D$12</c:f>
              <c:numCache>
                <c:formatCode>General</c:formatCode>
                <c:ptCount val="5"/>
                <c:pt idx="0">
                  <c:v>0</c:v>
                </c:pt>
                <c:pt idx="1">
                  <c:v>0</c:v>
                </c:pt>
                <c:pt idx="2">
                  <c:v>1</c:v>
                </c:pt>
                <c:pt idx="3">
                  <c:v>0</c:v>
                </c:pt>
                <c:pt idx="4">
                  <c:v>0</c:v>
                </c:pt>
              </c:numCache>
            </c:numRef>
          </c:val>
        </c:ser>
        <c:ser>
          <c:idx val="2"/>
          <c:order val="2"/>
          <c:tx>
            <c:strRef>
              <c:f>Data!$E$7</c:f>
              <c:strCache>
                <c:ptCount val="1"/>
                <c:pt idx="0">
                  <c:v>Moderate</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Data!$E$8:$E$12</c:f>
              <c:numCache>
                <c:formatCode>General</c:formatCode>
                <c:ptCount val="5"/>
                <c:pt idx="0">
                  <c:v>0</c:v>
                </c:pt>
                <c:pt idx="1">
                  <c:v>0</c:v>
                </c:pt>
                <c:pt idx="2">
                  <c:v>0</c:v>
                </c:pt>
                <c:pt idx="3">
                  <c:v>0</c:v>
                </c:pt>
                <c:pt idx="4">
                  <c:v>0</c:v>
                </c:pt>
              </c:numCache>
            </c:numRef>
          </c:val>
        </c:ser>
        <c:ser>
          <c:idx val="3"/>
          <c:order val="3"/>
          <c:tx>
            <c:strRef>
              <c:f>Data!$F$7</c:f>
              <c:strCache>
                <c:ptCount val="1"/>
                <c:pt idx="0">
                  <c:v>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Data!$F$8:$F$12</c:f>
              <c:numCache>
                <c:formatCode>General</c:formatCode>
                <c:ptCount val="5"/>
                <c:pt idx="0">
                  <c:v>5</c:v>
                </c:pt>
                <c:pt idx="1">
                  <c:v>5</c:v>
                </c:pt>
                <c:pt idx="2">
                  <c:v>3</c:v>
                </c:pt>
                <c:pt idx="3">
                  <c:v>4</c:v>
                </c:pt>
                <c:pt idx="4">
                  <c:v>5</c:v>
                </c:pt>
              </c:numCache>
            </c:numRef>
          </c:val>
        </c:ser>
        <c:ser>
          <c:idx val="4"/>
          <c:order val="4"/>
          <c:tx>
            <c:strRef>
              <c:f>Data!$G$7</c:f>
              <c:strCache>
                <c:ptCount val="1"/>
                <c:pt idx="0">
                  <c:v>Very 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Data!$G$8:$G$12</c:f>
              <c:numCache>
                <c:formatCode>General</c:formatCode>
                <c:ptCount val="5"/>
                <c:pt idx="0">
                  <c:v>1</c:v>
                </c:pt>
                <c:pt idx="1">
                  <c:v>1</c:v>
                </c:pt>
                <c:pt idx="2">
                  <c:v>1</c:v>
                </c:pt>
                <c:pt idx="3">
                  <c:v>2</c:v>
                </c:pt>
                <c:pt idx="4">
                  <c:v>1</c:v>
                </c:pt>
              </c:numCache>
            </c:numRef>
          </c:val>
        </c:ser>
        <c:dLbls>
          <c:showLegendKey val="0"/>
          <c:showVal val="0"/>
          <c:showCatName val="0"/>
          <c:showSerName val="0"/>
          <c:showPercent val="0"/>
          <c:showBubbleSize val="0"/>
        </c:dLbls>
        <c:gapWidth val="150"/>
        <c:axId val="175058304"/>
        <c:axId val="61539456"/>
      </c:barChart>
      <c:catAx>
        <c:axId val="175058304"/>
        <c:scaling>
          <c:orientation val="minMax"/>
        </c:scaling>
        <c:delete val="0"/>
        <c:axPos val="b"/>
        <c:majorTickMark val="out"/>
        <c:minorTickMark val="none"/>
        <c:tickLblPos val="nextTo"/>
        <c:crossAx val="61539456"/>
        <c:crosses val="autoZero"/>
        <c:auto val="1"/>
        <c:lblAlgn val="ctr"/>
        <c:lblOffset val="100"/>
        <c:noMultiLvlLbl val="0"/>
      </c:catAx>
      <c:valAx>
        <c:axId val="61539456"/>
        <c:scaling>
          <c:orientation val="minMax"/>
        </c:scaling>
        <c:delete val="0"/>
        <c:axPos val="l"/>
        <c:majorGridlines/>
        <c:numFmt formatCode="General" sourceLinked="1"/>
        <c:majorTickMark val="out"/>
        <c:minorTickMark val="none"/>
        <c:tickLblPos val="nextTo"/>
        <c:crossAx val="17505830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Data!$C$7</c:f>
              <c:strCache>
                <c:ptCount val="1"/>
                <c:pt idx="0">
                  <c:v>Very 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Data!$C$8:$C$12</c:f>
              <c:numCache>
                <c:formatCode>General</c:formatCode>
                <c:ptCount val="5"/>
                <c:pt idx="0">
                  <c:v>0</c:v>
                </c:pt>
                <c:pt idx="1">
                  <c:v>0</c:v>
                </c:pt>
                <c:pt idx="2">
                  <c:v>0</c:v>
                </c:pt>
                <c:pt idx="3">
                  <c:v>0</c:v>
                </c:pt>
                <c:pt idx="4">
                  <c:v>0</c:v>
                </c:pt>
              </c:numCache>
            </c:numRef>
          </c:val>
        </c:ser>
        <c:ser>
          <c:idx val="1"/>
          <c:order val="1"/>
          <c:tx>
            <c:strRef>
              <c:f>Data!$D$7</c:f>
              <c:strCache>
                <c:ptCount val="1"/>
                <c:pt idx="0">
                  <c:v>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Data!$D$8:$D$12</c:f>
              <c:numCache>
                <c:formatCode>General</c:formatCode>
                <c:ptCount val="5"/>
                <c:pt idx="0">
                  <c:v>0</c:v>
                </c:pt>
                <c:pt idx="1">
                  <c:v>1</c:v>
                </c:pt>
                <c:pt idx="2">
                  <c:v>0</c:v>
                </c:pt>
                <c:pt idx="3">
                  <c:v>1</c:v>
                </c:pt>
                <c:pt idx="4">
                  <c:v>3</c:v>
                </c:pt>
              </c:numCache>
            </c:numRef>
          </c:val>
        </c:ser>
        <c:ser>
          <c:idx val="2"/>
          <c:order val="2"/>
          <c:tx>
            <c:strRef>
              <c:f>Data!$E$7</c:f>
              <c:strCache>
                <c:ptCount val="1"/>
                <c:pt idx="0">
                  <c:v>Moderate</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Data!$E$8:$E$12</c:f>
              <c:numCache>
                <c:formatCode>General</c:formatCode>
                <c:ptCount val="5"/>
                <c:pt idx="0">
                  <c:v>5</c:v>
                </c:pt>
                <c:pt idx="1">
                  <c:v>7</c:v>
                </c:pt>
                <c:pt idx="2">
                  <c:v>4</c:v>
                </c:pt>
                <c:pt idx="3">
                  <c:v>2</c:v>
                </c:pt>
                <c:pt idx="4">
                  <c:v>4</c:v>
                </c:pt>
              </c:numCache>
            </c:numRef>
          </c:val>
        </c:ser>
        <c:ser>
          <c:idx val="3"/>
          <c:order val="3"/>
          <c:tx>
            <c:strRef>
              <c:f>Data!$F$7</c:f>
              <c:strCache>
                <c:ptCount val="1"/>
                <c:pt idx="0">
                  <c:v>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Data!$F$8:$F$12</c:f>
              <c:numCache>
                <c:formatCode>General</c:formatCode>
                <c:ptCount val="5"/>
                <c:pt idx="0">
                  <c:v>15</c:v>
                </c:pt>
                <c:pt idx="1">
                  <c:v>13</c:v>
                </c:pt>
                <c:pt idx="2">
                  <c:v>16</c:v>
                </c:pt>
                <c:pt idx="3">
                  <c:v>14</c:v>
                </c:pt>
                <c:pt idx="4">
                  <c:v>12</c:v>
                </c:pt>
              </c:numCache>
            </c:numRef>
          </c:val>
        </c:ser>
        <c:ser>
          <c:idx val="4"/>
          <c:order val="4"/>
          <c:tx>
            <c:strRef>
              <c:f>Data!$G$7</c:f>
              <c:strCache>
                <c:ptCount val="1"/>
                <c:pt idx="0">
                  <c:v>Very 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Data!$G$8:$G$12</c:f>
              <c:numCache>
                <c:formatCode>General</c:formatCode>
                <c:ptCount val="5"/>
                <c:pt idx="0">
                  <c:v>1</c:v>
                </c:pt>
                <c:pt idx="1">
                  <c:v>1</c:v>
                </c:pt>
                <c:pt idx="2">
                  <c:v>2</c:v>
                </c:pt>
                <c:pt idx="3">
                  <c:v>5</c:v>
                </c:pt>
                <c:pt idx="4">
                  <c:v>2</c:v>
                </c:pt>
              </c:numCache>
            </c:numRef>
          </c:val>
        </c:ser>
        <c:dLbls>
          <c:showLegendKey val="0"/>
          <c:showVal val="0"/>
          <c:showCatName val="0"/>
          <c:showSerName val="0"/>
          <c:showPercent val="0"/>
          <c:showBubbleSize val="0"/>
        </c:dLbls>
        <c:gapWidth val="150"/>
        <c:axId val="61567360"/>
        <c:axId val="61568896"/>
      </c:barChart>
      <c:catAx>
        <c:axId val="61567360"/>
        <c:scaling>
          <c:orientation val="minMax"/>
        </c:scaling>
        <c:delete val="0"/>
        <c:axPos val="b"/>
        <c:majorTickMark val="out"/>
        <c:minorTickMark val="none"/>
        <c:tickLblPos val="nextTo"/>
        <c:crossAx val="61568896"/>
        <c:crosses val="autoZero"/>
        <c:auto val="1"/>
        <c:lblAlgn val="ctr"/>
        <c:lblOffset val="100"/>
        <c:noMultiLvlLbl val="0"/>
      </c:catAx>
      <c:valAx>
        <c:axId val="61568896"/>
        <c:scaling>
          <c:orientation val="minMax"/>
        </c:scaling>
        <c:delete val="0"/>
        <c:axPos val="l"/>
        <c:majorGridlines/>
        <c:numFmt formatCode="General" sourceLinked="1"/>
        <c:majorTickMark val="out"/>
        <c:minorTickMark val="none"/>
        <c:tickLblPos val="nextTo"/>
        <c:crossAx val="6156736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Data!$C$7</c:f>
              <c:strCache>
                <c:ptCount val="1"/>
                <c:pt idx="0">
                  <c:v>Very 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Data!$C$8:$C$12</c:f>
              <c:numCache>
                <c:formatCode>General</c:formatCode>
                <c:ptCount val="5"/>
                <c:pt idx="0">
                  <c:v>0</c:v>
                </c:pt>
                <c:pt idx="1">
                  <c:v>0</c:v>
                </c:pt>
                <c:pt idx="2">
                  <c:v>0</c:v>
                </c:pt>
                <c:pt idx="3">
                  <c:v>0</c:v>
                </c:pt>
                <c:pt idx="4">
                  <c:v>0</c:v>
                </c:pt>
              </c:numCache>
            </c:numRef>
          </c:val>
        </c:ser>
        <c:ser>
          <c:idx val="1"/>
          <c:order val="1"/>
          <c:tx>
            <c:strRef>
              <c:f>Data!$D$7</c:f>
              <c:strCache>
                <c:ptCount val="1"/>
                <c:pt idx="0">
                  <c:v>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Data!$D$8:$D$12</c:f>
              <c:numCache>
                <c:formatCode>General</c:formatCode>
                <c:ptCount val="5"/>
                <c:pt idx="0">
                  <c:v>0</c:v>
                </c:pt>
                <c:pt idx="1">
                  <c:v>0</c:v>
                </c:pt>
                <c:pt idx="2">
                  <c:v>0</c:v>
                </c:pt>
                <c:pt idx="3">
                  <c:v>0</c:v>
                </c:pt>
                <c:pt idx="4">
                  <c:v>0</c:v>
                </c:pt>
              </c:numCache>
            </c:numRef>
          </c:val>
        </c:ser>
        <c:ser>
          <c:idx val="2"/>
          <c:order val="2"/>
          <c:tx>
            <c:strRef>
              <c:f>Data!$E$7</c:f>
              <c:strCache>
                <c:ptCount val="1"/>
                <c:pt idx="0">
                  <c:v>Moderate</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Data!$E$8:$E$12</c:f>
              <c:numCache>
                <c:formatCode>General</c:formatCode>
                <c:ptCount val="5"/>
                <c:pt idx="0">
                  <c:v>3</c:v>
                </c:pt>
                <c:pt idx="1">
                  <c:v>1</c:v>
                </c:pt>
                <c:pt idx="2">
                  <c:v>0</c:v>
                </c:pt>
                <c:pt idx="3">
                  <c:v>0</c:v>
                </c:pt>
                <c:pt idx="4">
                  <c:v>0</c:v>
                </c:pt>
              </c:numCache>
            </c:numRef>
          </c:val>
        </c:ser>
        <c:ser>
          <c:idx val="3"/>
          <c:order val="3"/>
          <c:tx>
            <c:strRef>
              <c:f>Data!$F$7</c:f>
              <c:strCache>
                <c:ptCount val="1"/>
                <c:pt idx="0">
                  <c:v>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Data!$F$8:$F$12</c:f>
              <c:numCache>
                <c:formatCode>General</c:formatCode>
                <c:ptCount val="5"/>
                <c:pt idx="0">
                  <c:v>3</c:v>
                </c:pt>
                <c:pt idx="1">
                  <c:v>5</c:v>
                </c:pt>
                <c:pt idx="2">
                  <c:v>6</c:v>
                </c:pt>
                <c:pt idx="3">
                  <c:v>3</c:v>
                </c:pt>
                <c:pt idx="4">
                  <c:v>4</c:v>
                </c:pt>
              </c:numCache>
            </c:numRef>
          </c:val>
        </c:ser>
        <c:ser>
          <c:idx val="4"/>
          <c:order val="4"/>
          <c:tx>
            <c:strRef>
              <c:f>Data!$G$7</c:f>
              <c:strCache>
                <c:ptCount val="1"/>
                <c:pt idx="0">
                  <c:v>Very 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Data!$G$8:$G$12</c:f>
              <c:numCache>
                <c:formatCode>General</c:formatCode>
                <c:ptCount val="5"/>
                <c:pt idx="0">
                  <c:v>2</c:v>
                </c:pt>
                <c:pt idx="1">
                  <c:v>2</c:v>
                </c:pt>
                <c:pt idx="2">
                  <c:v>2</c:v>
                </c:pt>
                <c:pt idx="3">
                  <c:v>5</c:v>
                </c:pt>
                <c:pt idx="4">
                  <c:v>4</c:v>
                </c:pt>
              </c:numCache>
            </c:numRef>
          </c:val>
        </c:ser>
        <c:dLbls>
          <c:showLegendKey val="0"/>
          <c:showVal val="0"/>
          <c:showCatName val="0"/>
          <c:showSerName val="0"/>
          <c:showPercent val="0"/>
          <c:showBubbleSize val="0"/>
        </c:dLbls>
        <c:gapWidth val="150"/>
        <c:axId val="178200960"/>
        <c:axId val="178202496"/>
      </c:barChart>
      <c:catAx>
        <c:axId val="178200960"/>
        <c:scaling>
          <c:orientation val="minMax"/>
        </c:scaling>
        <c:delete val="0"/>
        <c:axPos val="b"/>
        <c:majorTickMark val="out"/>
        <c:minorTickMark val="none"/>
        <c:tickLblPos val="nextTo"/>
        <c:crossAx val="178202496"/>
        <c:crosses val="autoZero"/>
        <c:auto val="1"/>
        <c:lblAlgn val="ctr"/>
        <c:lblOffset val="100"/>
        <c:noMultiLvlLbl val="0"/>
      </c:catAx>
      <c:valAx>
        <c:axId val="178202496"/>
        <c:scaling>
          <c:orientation val="minMax"/>
        </c:scaling>
        <c:delete val="0"/>
        <c:axPos val="l"/>
        <c:majorGridlines/>
        <c:numFmt formatCode="General" sourceLinked="1"/>
        <c:majorTickMark val="out"/>
        <c:minorTickMark val="none"/>
        <c:tickLblPos val="nextTo"/>
        <c:crossAx val="178200960"/>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Data!$C$7</c:f>
              <c:strCache>
                <c:ptCount val="1"/>
                <c:pt idx="0">
                  <c:v>Very 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Data!$C$8:$C$12</c:f>
              <c:numCache>
                <c:formatCode>General</c:formatCode>
                <c:ptCount val="5"/>
                <c:pt idx="0">
                  <c:v>0</c:v>
                </c:pt>
                <c:pt idx="1">
                  <c:v>0</c:v>
                </c:pt>
                <c:pt idx="2">
                  <c:v>0</c:v>
                </c:pt>
                <c:pt idx="3">
                  <c:v>0</c:v>
                </c:pt>
                <c:pt idx="4">
                  <c:v>0</c:v>
                </c:pt>
              </c:numCache>
            </c:numRef>
          </c:val>
        </c:ser>
        <c:ser>
          <c:idx val="1"/>
          <c:order val="1"/>
          <c:tx>
            <c:strRef>
              <c:f>Data!$D$7</c:f>
              <c:strCache>
                <c:ptCount val="1"/>
                <c:pt idx="0">
                  <c:v>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Data!$D$8:$D$12</c:f>
              <c:numCache>
                <c:formatCode>General</c:formatCode>
                <c:ptCount val="5"/>
                <c:pt idx="0">
                  <c:v>0</c:v>
                </c:pt>
                <c:pt idx="1">
                  <c:v>0</c:v>
                </c:pt>
                <c:pt idx="2">
                  <c:v>0</c:v>
                </c:pt>
                <c:pt idx="3">
                  <c:v>0</c:v>
                </c:pt>
                <c:pt idx="4">
                  <c:v>0</c:v>
                </c:pt>
              </c:numCache>
            </c:numRef>
          </c:val>
        </c:ser>
        <c:ser>
          <c:idx val="2"/>
          <c:order val="2"/>
          <c:tx>
            <c:strRef>
              <c:f>Data!$E$7</c:f>
              <c:strCache>
                <c:ptCount val="1"/>
                <c:pt idx="0">
                  <c:v>Moderate</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Data!$E$8:$E$12</c:f>
              <c:numCache>
                <c:formatCode>General</c:formatCode>
                <c:ptCount val="5"/>
                <c:pt idx="0">
                  <c:v>0</c:v>
                </c:pt>
                <c:pt idx="1">
                  <c:v>0</c:v>
                </c:pt>
                <c:pt idx="2">
                  <c:v>0</c:v>
                </c:pt>
                <c:pt idx="3">
                  <c:v>0</c:v>
                </c:pt>
                <c:pt idx="4">
                  <c:v>0</c:v>
                </c:pt>
              </c:numCache>
            </c:numRef>
          </c:val>
        </c:ser>
        <c:ser>
          <c:idx val="3"/>
          <c:order val="3"/>
          <c:tx>
            <c:strRef>
              <c:f>Data!$F$7</c:f>
              <c:strCache>
                <c:ptCount val="1"/>
                <c:pt idx="0">
                  <c:v>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Data!$F$8:$F$12</c:f>
              <c:numCache>
                <c:formatCode>General</c:formatCode>
                <c:ptCount val="5"/>
                <c:pt idx="0">
                  <c:v>0</c:v>
                </c:pt>
                <c:pt idx="1">
                  <c:v>1</c:v>
                </c:pt>
                <c:pt idx="2">
                  <c:v>1</c:v>
                </c:pt>
                <c:pt idx="3">
                  <c:v>1</c:v>
                </c:pt>
                <c:pt idx="4">
                  <c:v>1</c:v>
                </c:pt>
              </c:numCache>
            </c:numRef>
          </c:val>
        </c:ser>
        <c:ser>
          <c:idx val="4"/>
          <c:order val="4"/>
          <c:tx>
            <c:strRef>
              <c:f>Data!$G$7</c:f>
              <c:strCache>
                <c:ptCount val="1"/>
                <c:pt idx="0">
                  <c:v>Very 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Data!$G$8:$G$12</c:f>
              <c:numCache>
                <c:formatCode>General</c:formatCode>
                <c:ptCount val="5"/>
                <c:pt idx="0">
                  <c:v>4</c:v>
                </c:pt>
                <c:pt idx="1">
                  <c:v>3</c:v>
                </c:pt>
                <c:pt idx="2">
                  <c:v>3</c:v>
                </c:pt>
                <c:pt idx="3">
                  <c:v>3</c:v>
                </c:pt>
                <c:pt idx="4">
                  <c:v>3</c:v>
                </c:pt>
              </c:numCache>
            </c:numRef>
          </c:val>
        </c:ser>
        <c:dLbls>
          <c:showLegendKey val="0"/>
          <c:showVal val="0"/>
          <c:showCatName val="0"/>
          <c:showSerName val="0"/>
          <c:showPercent val="0"/>
          <c:showBubbleSize val="0"/>
        </c:dLbls>
        <c:gapWidth val="150"/>
        <c:axId val="178250496"/>
        <c:axId val="178252032"/>
      </c:barChart>
      <c:catAx>
        <c:axId val="178250496"/>
        <c:scaling>
          <c:orientation val="minMax"/>
        </c:scaling>
        <c:delete val="0"/>
        <c:axPos val="b"/>
        <c:majorTickMark val="out"/>
        <c:minorTickMark val="none"/>
        <c:tickLblPos val="nextTo"/>
        <c:crossAx val="178252032"/>
        <c:crosses val="autoZero"/>
        <c:auto val="1"/>
        <c:lblAlgn val="ctr"/>
        <c:lblOffset val="100"/>
        <c:noMultiLvlLbl val="0"/>
      </c:catAx>
      <c:valAx>
        <c:axId val="178252032"/>
        <c:scaling>
          <c:orientation val="minMax"/>
        </c:scaling>
        <c:delete val="0"/>
        <c:axPos val="l"/>
        <c:majorGridlines/>
        <c:numFmt formatCode="General" sourceLinked="1"/>
        <c:majorTickMark val="out"/>
        <c:minorTickMark val="none"/>
        <c:tickLblPos val="nextTo"/>
        <c:crossAx val="178250496"/>
        <c:crosses val="autoZero"/>
        <c:crossBetween val="between"/>
      </c:valAx>
    </c:plotArea>
    <c:legend>
      <c:legendPos val="b"/>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FE83F6-F1DD-4197-BB0D-29BD110ADEA0}"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6CAC9CB1-60EF-4643-AE9D-FEEDE0C94BFA}">
      <dgm:prSet phldrT="[Text]"/>
      <dgm:spPr/>
      <dgm:t>
        <a:bodyPr/>
        <a:lstStyle/>
        <a:p>
          <a:r>
            <a:rPr lang="en-GB"/>
            <a:t>1</a:t>
          </a:r>
        </a:p>
      </dgm:t>
    </dgm:pt>
    <dgm:pt modelId="{E77E7F77-3B75-42E4-836A-60B01C846E7A}" type="parTrans" cxnId="{46C93DE0-3727-40EB-B19B-0A332C74F753}">
      <dgm:prSet/>
      <dgm:spPr/>
      <dgm:t>
        <a:bodyPr/>
        <a:lstStyle/>
        <a:p>
          <a:endParaRPr lang="en-GB"/>
        </a:p>
      </dgm:t>
    </dgm:pt>
    <dgm:pt modelId="{1F9D82ED-915C-4D48-92D5-9883A80215EC}" type="sibTrans" cxnId="{46C93DE0-3727-40EB-B19B-0A332C74F753}">
      <dgm:prSet/>
      <dgm:spPr/>
      <dgm:t>
        <a:bodyPr/>
        <a:lstStyle/>
        <a:p>
          <a:endParaRPr lang="en-GB"/>
        </a:p>
      </dgm:t>
    </dgm:pt>
    <dgm:pt modelId="{A83A9972-2EFE-4043-B360-08F202181700}">
      <dgm:prSet phldrT="[Text]"/>
      <dgm:spPr/>
      <dgm:t>
        <a:bodyPr/>
        <a:lstStyle/>
        <a:p>
          <a:r>
            <a:rPr lang="en-GB"/>
            <a:t>Researcher Development &amp; Graduate Centre (RDGC)</a:t>
          </a:r>
        </a:p>
      </dgm:t>
    </dgm:pt>
    <dgm:pt modelId="{29839DA4-1C0E-4B1B-AEF3-442C2FBAEC18}" type="parTrans" cxnId="{A119C6EC-3F69-4D9E-83B3-5D9844E4B0C2}">
      <dgm:prSet/>
      <dgm:spPr/>
      <dgm:t>
        <a:bodyPr/>
        <a:lstStyle/>
        <a:p>
          <a:endParaRPr lang="en-GB"/>
        </a:p>
      </dgm:t>
    </dgm:pt>
    <dgm:pt modelId="{03C64A13-B0B3-4D78-8D06-8E10E97B2A0E}" type="sibTrans" cxnId="{A119C6EC-3F69-4D9E-83B3-5D9844E4B0C2}">
      <dgm:prSet/>
      <dgm:spPr/>
      <dgm:t>
        <a:bodyPr/>
        <a:lstStyle/>
        <a:p>
          <a:endParaRPr lang="en-GB"/>
        </a:p>
      </dgm:t>
    </dgm:pt>
    <dgm:pt modelId="{60740CAD-5B59-4616-A996-CC2CB0A07FAC}">
      <dgm:prSet phldrT="[Text]"/>
      <dgm:spPr/>
      <dgm:t>
        <a:bodyPr/>
        <a:lstStyle/>
        <a:p>
          <a:r>
            <a:rPr lang="en-GB"/>
            <a:t>RDGC 'Gradbook' courses</a:t>
          </a:r>
        </a:p>
      </dgm:t>
    </dgm:pt>
    <dgm:pt modelId="{C800EA9D-AFF9-463D-9F1E-308FE8474A95}" type="parTrans" cxnId="{7338726A-FF3C-4C27-A204-336075691360}">
      <dgm:prSet/>
      <dgm:spPr/>
      <dgm:t>
        <a:bodyPr/>
        <a:lstStyle/>
        <a:p>
          <a:endParaRPr lang="en-GB"/>
        </a:p>
      </dgm:t>
    </dgm:pt>
    <dgm:pt modelId="{0DA9A3CA-ED4A-4609-83BA-F0BCE4FC739E}" type="sibTrans" cxnId="{7338726A-FF3C-4C27-A204-336075691360}">
      <dgm:prSet/>
      <dgm:spPr/>
      <dgm:t>
        <a:bodyPr/>
        <a:lstStyle/>
        <a:p>
          <a:endParaRPr lang="en-GB"/>
        </a:p>
      </dgm:t>
    </dgm:pt>
    <dgm:pt modelId="{294FC598-310E-4161-8A75-7906AAEC3EF3}">
      <dgm:prSet phldrT="[Text]"/>
      <dgm:spPr/>
      <dgm:t>
        <a:bodyPr/>
        <a:lstStyle/>
        <a:p>
          <a:r>
            <a:rPr lang="en-GB"/>
            <a:t>2</a:t>
          </a:r>
        </a:p>
      </dgm:t>
    </dgm:pt>
    <dgm:pt modelId="{63BD06EF-3CDC-457E-B1EF-FCA7A8DBC617}" type="parTrans" cxnId="{6833E3FA-4AB0-42C1-B28C-E5E5BFA06AC3}">
      <dgm:prSet/>
      <dgm:spPr/>
      <dgm:t>
        <a:bodyPr/>
        <a:lstStyle/>
        <a:p>
          <a:endParaRPr lang="en-GB"/>
        </a:p>
      </dgm:t>
    </dgm:pt>
    <dgm:pt modelId="{4C7B2EDD-F7BB-4A0E-A4EA-F3B57A0F8333}" type="sibTrans" cxnId="{6833E3FA-4AB0-42C1-B28C-E5E5BFA06AC3}">
      <dgm:prSet/>
      <dgm:spPr/>
      <dgm:t>
        <a:bodyPr/>
        <a:lstStyle/>
        <a:p>
          <a:endParaRPr lang="en-GB"/>
        </a:p>
      </dgm:t>
    </dgm:pt>
    <dgm:pt modelId="{468E4516-BA2A-46EF-99AE-3857D9F31227}">
      <dgm:prSet phldrT="[Text]"/>
      <dgm:spPr/>
      <dgm:t>
        <a:bodyPr/>
        <a:lstStyle/>
        <a:p>
          <a:r>
            <a:rPr lang="en-GB"/>
            <a:t>Faculty / Discipline</a:t>
          </a:r>
        </a:p>
      </dgm:t>
    </dgm:pt>
    <dgm:pt modelId="{710C78AB-C8B5-48F4-AAEC-C03E34FBA7FF}" type="parTrans" cxnId="{7CBFC780-5D68-4352-ADEE-140595ADA249}">
      <dgm:prSet/>
      <dgm:spPr/>
      <dgm:t>
        <a:bodyPr/>
        <a:lstStyle/>
        <a:p>
          <a:endParaRPr lang="en-GB"/>
        </a:p>
      </dgm:t>
    </dgm:pt>
    <dgm:pt modelId="{576BA856-ECBA-42E1-A265-030276EA6C1B}" type="sibTrans" cxnId="{7CBFC780-5D68-4352-ADEE-140595ADA249}">
      <dgm:prSet/>
      <dgm:spPr/>
      <dgm:t>
        <a:bodyPr/>
        <a:lstStyle/>
        <a:p>
          <a:endParaRPr lang="en-GB"/>
        </a:p>
      </dgm:t>
    </dgm:pt>
    <dgm:pt modelId="{BA22092E-6BE5-4C62-9F56-3437672FC070}">
      <dgm:prSet phldrT="[Text]"/>
      <dgm:spPr/>
      <dgm:t>
        <a:bodyPr/>
        <a:lstStyle/>
        <a:p>
          <a:r>
            <a:rPr lang="en-GB"/>
            <a:t>Lectures and workshops</a:t>
          </a:r>
        </a:p>
      </dgm:t>
    </dgm:pt>
    <dgm:pt modelId="{F567D2FF-AE34-41B8-9C6F-F9F54A03899E}" type="parTrans" cxnId="{72A77B06-12AE-48AE-9846-42D2562A5D02}">
      <dgm:prSet/>
      <dgm:spPr/>
      <dgm:t>
        <a:bodyPr/>
        <a:lstStyle/>
        <a:p>
          <a:endParaRPr lang="en-GB"/>
        </a:p>
      </dgm:t>
    </dgm:pt>
    <dgm:pt modelId="{3B49C0AA-34CB-473D-B5A0-3C61A489B46C}" type="sibTrans" cxnId="{72A77B06-12AE-48AE-9846-42D2562A5D02}">
      <dgm:prSet/>
      <dgm:spPr/>
      <dgm:t>
        <a:bodyPr/>
        <a:lstStyle/>
        <a:p>
          <a:endParaRPr lang="en-GB"/>
        </a:p>
      </dgm:t>
    </dgm:pt>
    <dgm:pt modelId="{3079B0A9-38FF-4F03-BBA1-84714EE721DF}">
      <dgm:prSet phldrT="[Text]"/>
      <dgm:spPr/>
      <dgm:t>
        <a:bodyPr/>
        <a:lstStyle/>
        <a:p>
          <a:r>
            <a:rPr lang="en-GB"/>
            <a:t>3</a:t>
          </a:r>
        </a:p>
      </dgm:t>
    </dgm:pt>
    <dgm:pt modelId="{47A1F3A2-8260-480F-A558-6EDF49140A72}" type="parTrans" cxnId="{292DB434-329B-4B7F-A5EE-0CE1E5C13779}">
      <dgm:prSet/>
      <dgm:spPr/>
      <dgm:t>
        <a:bodyPr/>
        <a:lstStyle/>
        <a:p>
          <a:endParaRPr lang="en-GB"/>
        </a:p>
      </dgm:t>
    </dgm:pt>
    <dgm:pt modelId="{99E0049C-81C3-4233-83FA-E31D794B1548}" type="sibTrans" cxnId="{292DB434-329B-4B7F-A5EE-0CE1E5C13779}">
      <dgm:prSet/>
      <dgm:spPr/>
      <dgm:t>
        <a:bodyPr/>
        <a:lstStyle/>
        <a:p>
          <a:endParaRPr lang="en-GB"/>
        </a:p>
      </dgm:t>
    </dgm:pt>
    <dgm:pt modelId="{AE4F96F7-C4DE-494E-A932-0A8E219871FF}">
      <dgm:prSet phldrT="[Text]"/>
      <dgm:spPr/>
      <dgm:t>
        <a:bodyPr/>
        <a:lstStyle/>
        <a:p>
          <a:r>
            <a:rPr lang="en-GB"/>
            <a:t>Doctoral Training Centre</a:t>
          </a:r>
        </a:p>
      </dgm:t>
    </dgm:pt>
    <dgm:pt modelId="{23D7BACF-595F-4D5C-8E24-80529ED34E48}" type="parTrans" cxnId="{FA472406-6CA1-49F7-8C25-67D9E872AF51}">
      <dgm:prSet/>
      <dgm:spPr/>
      <dgm:t>
        <a:bodyPr/>
        <a:lstStyle/>
        <a:p>
          <a:endParaRPr lang="en-GB"/>
        </a:p>
      </dgm:t>
    </dgm:pt>
    <dgm:pt modelId="{5692999B-62F7-4343-BC68-F5205850E3A3}" type="sibTrans" cxnId="{FA472406-6CA1-49F7-8C25-67D9E872AF51}">
      <dgm:prSet/>
      <dgm:spPr/>
      <dgm:t>
        <a:bodyPr/>
        <a:lstStyle/>
        <a:p>
          <a:endParaRPr lang="en-GB"/>
        </a:p>
      </dgm:t>
    </dgm:pt>
    <dgm:pt modelId="{BBFB537B-5121-4E1F-A3A2-81877416ED36}">
      <dgm:prSet phldrT="[Text]"/>
      <dgm:spPr/>
      <dgm:t>
        <a:bodyPr/>
        <a:lstStyle/>
        <a:p>
          <a:r>
            <a:rPr lang="en-GB"/>
            <a:t>Seminars</a:t>
          </a:r>
        </a:p>
      </dgm:t>
    </dgm:pt>
    <dgm:pt modelId="{5A3EE697-77BE-4DBF-9EFC-C95DC04067EC}" type="parTrans" cxnId="{D035842A-A8B8-42D7-A3A4-70208174C966}">
      <dgm:prSet/>
      <dgm:spPr/>
      <dgm:t>
        <a:bodyPr/>
        <a:lstStyle/>
        <a:p>
          <a:endParaRPr lang="en-GB"/>
        </a:p>
      </dgm:t>
    </dgm:pt>
    <dgm:pt modelId="{C8C09A90-810C-4628-BAF2-AE1E4730FEE6}" type="sibTrans" cxnId="{D035842A-A8B8-42D7-A3A4-70208174C966}">
      <dgm:prSet/>
      <dgm:spPr/>
      <dgm:t>
        <a:bodyPr/>
        <a:lstStyle/>
        <a:p>
          <a:endParaRPr lang="en-GB"/>
        </a:p>
      </dgm:t>
    </dgm:pt>
    <dgm:pt modelId="{B87D5186-EE35-4131-91AF-392E14D8B08B}">
      <dgm:prSet phldrT="[Text]"/>
      <dgm:spPr/>
      <dgm:t>
        <a:bodyPr/>
        <a:lstStyle/>
        <a:p>
          <a:r>
            <a:rPr lang="en-GB"/>
            <a:t>Postgraduate, Early Career Researchers, Principal &amp; Co- Investigators</a:t>
          </a:r>
        </a:p>
      </dgm:t>
    </dgm:pt>
    <dgm:pt modelId="{81E26081-6585-4A3F-94E1-0A017125D877}" type="parTrans" cxnId="{B8052010-4553-4766-B5F5-B9A7565130F3}">
      <dgm:prSet/>
      <dgm:spPr/>
      <dgm:t>
        <a:bodyPr/>
        <a:lstStyle/>
        <a:p>
          <a:endParaRPr lang="en-GB"/>
        </a:p>
      </dgm:t>
    </dgm:pt>
    <dgm:pt modelId="{D21A1F87-2EC7-4982-A632-370CEE50C1F2}" type="sibTrans" cxnId="{B8052010-4553-4766-B5F5-B9A7565130F3}">
      <dgm:prSet/>
      <dgm:spPr/>
      <dgm:t>
        <a:bodyPr/>
        <a:lstStyle/>
        <a:p>
          <a:endParaRPr lang="en-GB"/>
        </a:p>
      </dgm:t>
    </dgm:pt>
    <dgm:pt modelId="{FB349318-9CA9-40E9-B7B0-B1E8816820D1}">
      <dgm:prSet phldrT="[Text]"/>
      <dgm:spPr/>
      <dgm:t>
        <a:bodyPr/>
        <a:lstStyle/>
        <a:p>
          <a:r>
            <a:rPr lang="en-GB"/>
            <a:t>Postgraduate Researchers</a:t>
          </a:r>
        </a:p>
      </dgm:t>
    </dgm:pt>
    <dgm:pt modelId="{CA11F562-55FC-4A4E-A896-960078B03B87}" type="parTrans" cxnId="{17BC7796-9130-4E6D-B304-D34CF7136C98}">
      <dgm:prSet/>
      <dgm:spPr/>
      <dgm:t>
        <a:bodyPr/>
        <a:lstStyle/>
        <a:p>
          <a:endParaRPr lang="en-GB"/>
        </a:p>
      </dgm:t>
    </dgm:pt>
    <dgm:pt modelId="{FBF4E13B-E5AC-48A7-AD7C-F34AD029F2EB}" type="sibTrans" cxnId="{17BC7796-9130-4E6D-B304-D34CF7136C98}">
      <dgm:prSet/>
      <dgm:spPr/>
      <dgm:t>
        <a:bodyPr/>
        <a:lstStyle/>
        <a:p>
          <a:endParaRPr lang="en-GB"/>
        </a:p>
      </dgm:t>
    </dgm:pt>
    <dgm:pt modelId="{92B5198D-7BC6-46B4-9939-58F998C0AD49}">
      <dgm:prSet phldrT="[Text]"/>
      <dgm:spPr/>
      <dgm:t>
        <a:bodyPr/>
        <a:lstStyle/>
        <a:p>
          <a:r>
            <a:rPr lang="en-GB"/>
            <a:t>Postgraduate, Early Career Researchers, Principal &amp; Co- Investigators</a:t>
          </a:r>
        </a:p>
      </dgm:t>
    </dgm:pt>
    <dgm:pt modelId="{C13DCA94-C250-4F8E-A7B0-A4F3601B8D16}" type="parTrans" cxnId="{75C056F7-BCA8-446D-9D67-F0963002EE20}">
      <dgm:prSet/>
      <dgm:spPr/>
      <dgm:t>
        <a:bodyPr/>
        <a:lstStyle/>
        <a:p>
          <a:endParaRPr lang="en-GB"/>
        </a:p>
      </dgm:t>
    </dgm:pt>
    <dgm:pt modelId="{ED89FA3B-0322-4279-9D8C-B7B08111B424}" type="sibTrans" cxnId="{75C056F7-BCA8-446D-9D67-F0963002EE20}">
      <dgm:prSet/>
      <dgm:spPr/>
      <dgm:t>
        <a:bodyPr/>
        <a:lstStyle/>
        <a:p>
          <a:endParaRPr lang="en-GB"/>
        </a:p>
      </dgm:t>
    </dgm:pt>
    <dgm:pt modelId="{9011847C-A585-40FD-A553-77CBA9F22AED}">
      <dgm:prSet phldrT="[Text]"/>
      <dgm:spPr/>
      <dgm:t>
        <a:bodyPr/>
        <a:lstStyle/>
        <a:p>
          <a:r>
            <a:rPr lang="en-GB"/>
            <a:t>Co-delivery Professional Service and Researcher</a:t>
          </a:r>
        </a:p>
      </dgm:t>
    </dgm:pt>
    <dgm:pt modelId="{6818EDF9-955A-4BC5-ABBD-E98FB262EF2E}" type="parTrans" cxnId="{CDD2159F-74F8-4C36-A364-6967F478BD1C}">
      <dgm:prSet/>
      <dgm:spPr/>
      <dgm:t>
        <a:bodyPr/>
        <a:lstStyle/>
        <a:p>
          <a:endParaRPr lang="en-GB"/>
        </a:p>
      </dgm:t>
    </dgm:pt>
    <dgm:pt modelId="{BAA5F00C-ACBA-4E65-950C-628E4891274E}" type="sibTrans" cxnId="{CDD2159F-74F8-4C36-A364-6967F478BD1C}">
      <dgm:prSet/>
      <dgm:spPr/>
      <dgm:t>
        <a:bodyPr/>
        <a:lstStyle/>
        <a:p>
          <a:endParaRPr lang="en-GB"/>
        </a:p>
      </dgm:t>
    </dgm:pt>
    <dgm:pt modelId="{14523F23-38E3-4F7B-BA17-B28B8831A822}">
      <dgm:prSet phldrT="[Text]"/>
      <dgm:spPr/>
      <dgm:t>
        <a:bodyPr/>
        <a:lstStyle/>
        <a:p>
          <a:r>
            <a:rPr lang="en-GB"/>
            <a:t>Co-delivery Faculty Researcher with Professional Service(s)</a:t>
          </a:r>
        </a:p>
      </dgm:t>
    </dgm:pt>
    <dgm:pt modelId="{F750C15C-D9A1-4CA7-B229-790EF79D1E92}" type="parTrans" cxnId="{1BB5D408-3826-42CC-9DEB-5BC26576AD6F}">
      <dgm:prSet/>
      <dgm:spPr/>
      <dgm:t>
        <a:bodyPr/>
        <a:lstStyle/>
        <a:p>
          <a:endParaRPr lang="en-GB"/>
        </a:p>
      </dgm:t>
    </dgm:pt>
    <dgm:pt modelId="{E9ED4347-AD4E-47B3-AC86-E43396E4FCF8}" type="sibTrans" cxnId="{1BB5D408-3826-42CC-9DEB-5BC26576AD6F}">
      <dgm:prSet/>
      <dgm:spPr/>
      <dgm:t>
        <a:bodyPr/>
        <a:lstStyle/>
        <a:p>
          <a:endParaRPr lang="en-GB"/>
        </a:p>
      </dgm:t>
    </dgm:pt>
    <dgm:pt modelId="{9631873E-2F11-4CC4-B572-3138774B1D6A}">
      <dgm:prSet phldrT="[Text]"/>
      <dgm:spPr/>
      <dgm:t>
        <a:bodyPr/>
        <a:lstStyle/>
        <a:p>
          <a:r>
            <a:rPr lang="en-GB"/>
            <a:t>Co-delivery Researcher with Professional Service(s)</a:t>
          </a:r>
        </a:p>
      </dgm:t>
    </dgm:pt>
    <dgm:pt modelId="{D8C34FF2-1CF6-4931-9526-75B146FCB219}" type="parTrans" cxnId="{B8C23016-3C66-4F17-BA45-A00B93F390C9}">
      <dgm:prSet/>
      <dgm:spPr/>
      <dgm:t>
        <a:bodyPr/>
        <a:lstStyle/>
        <a:p>
          <a:endParaRPr lang="en-GB"/>
        </a:p>
      </dgm:t>
    </dgm:pt>
    <dgm:pt modelId="{BAC5FE93-E94D-44A6-B841-A467EC3D26BA}" type="sibTrans" cxnId="{B8C23016-3C66-4F17-BA45-A00B93F390C9}">
      <dgm:prSet/>
      <dgm:spPr/>
      <dgm:t>
        <a:bodyPr/>
        <a:lstStyle/>
        <a:p>
          <a:endParaRPr lang="en-GB"/>
        </a:p>
      </dgm:t>
    </dgm:pt>
    <dgm:pt modelId="{EC78CD51-5DAC-484C-AF0B-C1FA7054E1DF}" type="pres">
      <dgm:prSet presAssocID="{38FE83F6-F1DD-4197-BB0D-29BD110ADEA0}" presName="Name0" presStyleCnt="0">
        <dgm:presLayoutVars>
          <dgm:dir/>
          <dgm:animLvl val="lvl"/>
          <dgm:resizeHandles val="exact"/>
        </dgm:presLayoutVars>
      </dgm:prSet>
      <dgm:spPr/>
      <dgm:t>
        <a:bodyPr/>
        <a:lstStyle/>
        <a:p>
          <a:endParaRPr lang="en-GB"/>
        </a:p>
      </dgm:t>
    </dgm:pt>
    <dgm:pt modelId="{12CE764C-502A-450B-AB6B-B07A589F47D5}" type="pres">
      <dgm:prSet presAssocID="{3079B0A9-38FF-4F03-BBA1-84714EE721DF}" presName="boxAndChildren" presStyleCnt="0"/>
      <dgm:spPr/>
    </dgm:pt>
    <dgm:pt modelId="{44797DAF-1991-4876-B590-C828DEFBB5AE}" type="pres">
      <dgm:prSet presAssocID="{3079B0A9-38FF-4F03-BBA1-84714EE721DF}" presName="parentTextBox" presStyleLbl="node1" presStyleIdx="0" presStyleCnt="3"/>
      <dgm:spPr/>
      <dgm:t>
        <a:bodyPr/>
        <a:lstStyle/>
        <a:p>
          <a:endParaRPr lang="en-GB"/>
        </a:p>
      </dgm:t>
    </dgm:pt>
    <dgm:pt modelId="{B3ADF271-7F98-4EDC-B0EB-2CF9FE5FB000}" type="pres">
      <dgm:prSet presAssocID="{3079B0A9-38FF-4F03-BBA1-84714EE721DF}" presName="entireBox" presStyleLbl="node1" presStyleIdx="0" presStyleCnt="3" custScaleY="86842"/>
      <dgm:spPr/>
      <dgm:t>
        <a:bodyPr/>
        <a:lstStyle/>
        <a:p>
          <a:endParaRPr lang="en-GB"/>
        </a:p>
      </dgm:t>
    </dgm:pt>
    <dgm:pt modelId="{41D03C27-36CA-47E5-93DE-017451806031}" type="pres">
      <dgm:prSet presAssocID="{3079B0A9-38FF-4F03-BBA1-84714EE721DF}" presName="descendantBox" presStyleCnt="0"/>
      <dgm:spPr/>
    </dgm:pt>
    <dgm:pt modelId="{2960F764-403C-44EF-9CD4-272780EBFD6E}" type="pres">
      <dgm:prSet presAssocID="{AE4F96F7-C4DE-494E-A932-0A8E219871FF}" presName="childTextBox" presStyleLbl="fgAccFollowNode1" presStyleIdx="0" presStyleCnt="12">
        <dgm:presLayoutVars>
          <dgm:bulletEnabled val="1"/>
        </dgm:presLayoutVars>
      </dgm:prSet>
      <dgm:spPr/>
      <dgm:t>
        <a:bodyPr/>
        <a:lstStyle/>
        <a:p>
          <a:endParaRPr lang="en-GB"/>
        </a:p>
      </dgm:t>
    </dgm:pt>
    <dgm:pt modelId="{DEDE934C-E900-40A8-AD72-9539C0BBBED7}" type="pres">
      <dgm:prSet presAssocID="{BBFB537B-5121-4E1F-A3A2-81877416ED36}" presName="childTextBox" presStyleLbl="fgAccFollowNode1" presStyleIdx="1" presStyleCnt="12">
        <dgm:presLayoutVars>
          <dgm:bulletEnabled val="1"/>
        </dgm:presLayoutVars>
      </dgm:prSet>
      <dgm:spPr/>
      <dgm:t>
        <a:bodyPr/>
        <a:lstStyle/>
        <a:p>
          <a:endParaRPr lang="en-GB"/>
        </a:p>
      </dgm:t>
    </dgm:pt>
    <dgm:pt modelId="{DA7B7BA6-19EF-4526-AE8C-EB844F96627A}" type="pres">
      <dgm:prSet presAssocID="{92B5198D-7BC6-46B4-9939-58F998C0AD49}" presName="childTextBox" presStyleLbl="fgAccFollowNode1" presStyleIdx="2" presStyleCnt="12">
        <dgm:presLayoutVars>
          <dgm:bulletEnabled val="1"/>
        </dgm:presLayoutVars>
      </dgm:prSet>
      <dgm:spPr/>
      <dgm:t>
        <a:bodyPr/>
        <a:lstStyle/>
        <a:p>
          <a:endParaRPr lang="en-GB"/>
        </a:p>
      </dgm:t>
    </dgm:pt>
    <dgm:pt modelId="{02449303-9665-4B53-947A-AF22B4124D93}" type="pres">
      <dgm:prSet presAssocID="{9631873E-2F11-4CC4-B572-3138774B1D6A}" presName="childTextBox" presStyleLbl="fgAccFollowNode1" presStyleIdx="3" presStyleCnt="12">
        <dgm:presLayoutVars>
          <dgm:bulletEnabled val="1"/>
        </dgm:presLayoutVars>
      </dgm:prSet>
      <dgm:spPr/>
      <dgm:t>
        <a:bodyPr/>
        <a:lstStyle/>
        <a:p>
          <a:endParaRPr lang="en-GB"/>
        </a:p>
      </dgm:t>
    </dgm:pt>
    <dgm:pt modelId="{FC453C76-9EBE-4A71-8743-5F5685DEA5BA}" type="pres">
      <dgm:prSet presAssocID="{4C7B2EDD-F7BB-4A0E-A4EA-F3B57A0F8333}" presName="sp" presStyleCnt="0"/>
      <dgm:spPr/>
    </dgm:pt>
    <dgm:pt modelId="{4488EF1E-B64A-4609-9B69-B7B40A1B98A8}" type="pres">
      <dgm:prSet presAssocID="{294FC598-310E-4161-8A75-7906AAEC3EF3}" presName="arrowAndChildren" presStyleCnt="0"/>
      <dgm:spPr/>
    </dgm:pt>
    <dgm:pt modelId="{0EEEB155-0634-4709-85D0-962E3225AEF7}" type="pres">
      <dgm:prSet presAssocID="{294FC598-310E-4161-8A75-7906AAEC3EF3}" presName="parentTextArrow" presStyleLbl="node1" presStyleIdx="0" presStyleCnt="3"/>
      <dgm:spPr/>
      <dgm:t>
        <a:bodyPr/>
        <a:lstStyle/>
        <a:p>
          <a:endParaRPr lang="en-GB"/>
        </a:p>
      </dgm:t>
    </dgm:pt>
    <dgm:pt modelId="{E9667B8D-DA38-42A5-963D-8983C5D8E3DB}" type="pres">
      <dgm:prSet presAssocID="{294FC598-310E-4161-8A75-7906AAEC3EF3}" presName="arrow" presStyleLbl="node1" presStyleIdx="1" presStyleCnt="3" custScaleY="94976"/>
      <dgm:spPr/>
      <dgm:t>
        <a:bodyPr/>
        <a:lstStyle/>
        <a:p>
          <a:endParaRPr lang="en-GB"/>
        </a:p>
      </dgm:t>
    </dgm:pt>
    <dgm:pt modelId="{22A04D2B-0BEE-4E0E-8ACE-4E2AF4ED934C}" type="pres">
      <dgm:prSet presAssocID="{294FC598-310E-4161-8A75-7906AAEC3EF3}" presName="descendantArrow" presStyleCnt="0"/>
      <dgm:spPr/>
    </dgm:pt>
    <dgm:pt modelId="{9BD6D151-57B9-46DA-8E2C-B735F1E1720D}" type="pres">
      <dgm:prSet presAssocID="{468E4516-BA2A-46EF-99AE-3857D9F31227}" presName="childTextArrow" presStyleLbl="fgAccFollowNode1" presStyleIdx="4" presStyleCnt="12">
        <dgm:presLayoutVars>
          <dgm:bulletEnabled val="1"/>
        </dgm:presLayoutVars>
      </dgm:prSet>
      <dgm:spPr/>
      <dgm:t>
        <a:bodyPr/>
        <a:lstStyle/>
        <a:p>
          <a:endParaRPr lang="en-GB"/>
        </a:p>
      </dgm:t>
    </dgm:pt>
    <dgm:pt modelId="{40269C14-6916-4E49-863B-595CAEB47A90}" type="pres">
      <dgm:prSet presAssocID="{BA22092E-6BE5-4C62-9F56-3437672FC070}" presName="childTextArrow" presStyleLbl="fgAccFollowNode1" presStyleIdx="5" presStyleCnt="12">
        <dgm:presLayoutVars>
          <dgm:bulletEnabled val="1"/>
        </dgm:presLayoutVars>
      </dgm:prSet>
      <dgm:spPr/>
      <dgm:t>
        <a:bodyPr/>
        <a:lstStyle/>
        <a:p>
          <a:endParaRPr lang="en-GB"/>
        </a:p>
      </dgm:t>
    </dgm:pt>
    <dgm:pt modelId="{00D13151-A5B7-49EE-AEB1-5363B605AA78}" type="pres">
      <dgm:prSet presAssocID="{B87D5186-EE35-4131-91AF-392E14D8B08B}" presName="childTextArrow" presStyleLbl="fgAccFollowNode1" presStyleIdx="6" presStyleCnt="12">
        <dgm:presLayoutVars>
          <dgm:bulletEnabled val="1"/>
        </dgm:presLayoutVars>
      </dgm:prSet>
      <dgm:spPr/>
      <dgm:t>
        <a:bodyPr/>
        <a:lstStyle/>
        <a:p>
          <a:endParaRPr lang="en-GB"/>
        </a:p>
      </dgm:t>
    </dgm:pt>
    <dgm:pt modelId="{E995D2C6-C0CA-4505-8869-E2D7452DFA0C}" type="pres">
      <dgm:prSet presAssocID="{14523F23-38E3-4F7B-BA17-B28B8831A822}" presName="childTextArrow" presStyleLbl="fgAccFollowNode1" presStyleIdx="7" presStyleCnt="12">
        <dgm:presLayoutVars>
          <dgm:bulletEnabled val="1"/>
        </dgm:presLayoutVars>
      </dgm:prSet>
      <dgm:spPr/>
      <dgm:t>
        <a:bodyPr/>
        <a:lstStyle/>
        <a:p>
          <a:endParaRPr lang="en-GB"/>
        </a:p>
      </dgm:t>
    </dgm:pt>
    <dgm:pt modelId="{DC665B74-301D-4DAF-B875-D0FF09935D83}" type="pres">
      <dgm:prSet presAssocID="{1F9D82ED-915C-4D48-92D5-9883A80215EC}" presName="sp" presStyleCnt="0"/>
      <dgm:spPr/>
    </dgm:pt>
    <dgm:pt modelId="{71F96195-1954-4E12-BD2B-2DE9C201E81E}" type="pres">
      <dgm:prSet presAssocID="{6CAC9CB1-60EF-4643-AE9D-FEEDE0C94BFA}" presName="arrowAndChildren" presStyleCnt="0"/>
      <dgm:spPr/>
    </dgm:pt>
    <dgm:pt modelId="{EE9B7A83-7936-44BE-927F-CB58DE0B4DB3}" type="pres">
      <dgm:prSet presAssocID="{6CAC9CB1-60EF-4643-AE9D-FEEDE0C94BFA}" presName="parentTextArrow" presStyleLbl="node1" presStyleIdx="1" presStyleCnt="3"/>
      <dgm:spPr/>
      <dgm:t>
        <a:bodyPr/>
        <a:lstStyle/>
        <a:p>
          <a:endParaRPr lang="en-GB"/>
        </a:p>
      </dgm:t>
    </dgm:pt>
    <dgm:pt modelId="{CEC932CC-04F5-47EC-943D-7C2727DD1D49}" type="pres">
      <dgm:prSet presAssocID="{6CAC9CB1-60EF-4643-AE9D-FEEDE0C94BFA}" presName="arrow" presStyleLbl="node1" presStyleIdx="2" presStyleCnt="3" custScaleY="82158"/>
      <dgm:spPr/>
      <dgm:t>
        <a:bodyPr/>
        <a:lstStyle/>
        <a:p>
          <a:endParaRPr lang="en-GB"/>
        </a:p>
      </dgm:t>
    </dgm:pt>
    <dgm:pt modelId="{CAAEA014-683F-47CF-AAD9-64A2549AD1C0}" type="pres">
      <dgm:prSet presAssocID="{6CAC9CB1-60EF-4643-AE9D-FEEDE0C94BFA}" presName="descendantArrow" presStyleCnt="0"/>
      <dgm:spPr/>
    </dgm:pt>
    <dgm:pt modelId="{5D571DD0-6BB2-4043-B754-54AD12954C54}" type="pres">
      <dgm:prSet presAssocID="{A83A9972-2EFE-4043-B360-08F202181700}" presName="childTextArrow" presStyleLbl="fgAccFollowNode1" presStyleIdx="8" presStyleCnt="12">
        <dgm:presLayoutVars>
          <dgm:bulletEnabled val="1"/>
        </dgm:presLayoutVars>
      </dgm:prSet>
      <dgm:spPr/>
      <dgm:t>
        <a:bodyPr/>
        <a:lstStyle/>
        <a:p>
          <a:endParaRPr lang="en-GB"/>
        </a:p>
      </dgm:t>
    </dgm:pt>
    <dgm:pt modelId="{2F5B7F31-BBDB-4967-98C1-AD1AB20E4906}" type="pres">
      <dgm:prSet presAssocID="{60740CAD-5B59-4616-A996-CC2CB0A07FAC}" presName="childTextArrow" presStyleLbl="fgAccFollowNode1" presStyleIdx="9" presStyleCnt="12">
        <dgm:presLayoutVars>
          <dgm:bulletEnabled val="1"/>
        </dgm:presLayoutVars>
      </dgm:prSet>
      <dgm:spPr/>
      <dgm:t>
        <a:bodyPr/>
        <a:lstStyle/>
        <a:p>
          <a:endParaRPr lang="en-GB"/>
        </a:p>
      </dgm:t>
    </dgm:pt>
    <dgm:pt modelId="{7A448A09-4CCC-490A-8223-F09738D5490C}" type="pres">
      <dgm:prSet presAssocID="{FB349318-9CA9-40E9-B7B0-B1E8816820D1}" presName="childTextArrow" presStyleLbl="fgAccFollowNode1" presStyleIdx="10" presStyleCnt="12">
        <dgm:presLayoutVars>
          <dgm:bulletEnabled val="1"/>
        </dgm:presLayoutVars>
      </dgm:prSet>
      <dgm:spPr/>
      <dgm:t>
        <a:bodyPr/>
        <a:lstStyle/>
        <a:p>
          <a:endParaRPr lang="en-GB"/>
        </a:p>
      </dgm:t>
    </dgm:pt>
    <dgm:pt modelId="{E9A03273-D31C-42BB-81F8-EA88DC0841AD}" type="pres">
      <dgm:prSet presAssocID="{9011847C-A585-40FD-A553-77CBA9F22AED}" presName="childTextArrow" presStyleLbl="fgAccFollowNode1" presStyleIdx="11" presStyleCnt="12">
        <dgm:presLayoutVars>
          <dgm:bulletEnabled val="1"/>
        </dgm:presLayoutVars>
      </dgm:prSet>
      <dgm:spPr/>
      <dgm:t>
        <a:bodyPr/>
        <a:lstStyle/>
        <a:p>
          <a:endParaRPr lang="en-GB"/>
        </a:p>
      </dgm:t>
    </dgm:pt>
  </dgm:ptLst>
  <dgm:cxnLst>
    <dgm:cxn modelId="{1BF4CD6A-4473-41DA-88E6-4B28B137CA3C}" type="presOf" srcId="{3079B0A9-38FF-4F03-BBA1-84714EE721DF}" destId="{B3ADF271-7F98-4EDC-B0EB-2CF9FE5FB000}" srcOrd="1" destOrd="0" presId="urn:microsoft.com/office/officeart/2005/8/layout/process4"/>
    <dgm:cxn modelId="{3FE13660-56E7-4578-B62A-D8D72D247BBD}" type="presOf" srcId="{6CAC9CB1-60EF-4643-AE9D-FEEDE0C94BFA}" destId="{CEC932CC-04F5-47EC-943D-7C2727DD1D49}" srcOrd="1" destOrd="0" presId="urn:microsoft.com/office/officeart/2005/8/layout/process4"/>
    <dgm:cxn modelId="{CDD466CA-D8D9-4AC1-AB71-78908870A39A}" type="presOf" srcId="{AE4F96F7-C4DE-494E-A932-0A8E219871FF}" destId="{2960F764-403C-44EF-9CD4-272780EBFD6E}" srcOrd="0" destOrd="0" presId="urn:microsoft.com/office/officeart/2005/8/layout/process4"/>
    <dgm:cxn modelId="{E88946AB-18E3-456F-AC45-B6F9C21D3E48}" type="presOf" srcId="{468E4516-BA2A-46EF-99AE-3857D9F31227}" destId="{9BD6D151-57B9-46DA-8E2C-B735F1E1720D}" srcOrd="0" destOrd="0" presId="urn:microsoft.com/office/officeart/2005/8/layout/process4"/>
    <dgm:cxn modelId="{6833E3FA-4AB0-42C1-B28C-E5E5BFA06AC3}" srcId="{38FE83F6-F1DD-4197-BB0D-29BD110ADEA0}" destId="{294FC598-310E-4161-8A75-7906AAEC3EF3}" srcOrd="1" destOrd="0" parTransId="{63BD06EF-3CDC-457E-B1EF-FCA7A8DBC617}" sibTransId="{4C7B2EDD-F7BB-4A0E-A4EA-F3B57A0F8333}"/>
    <dgm:cxn modelId="{FA472406-6CA1-49F7-8C25-67D9E872AF51}" srcId="{3079B0A9-38FF-4F03-BBA1-84714EE721DF}" destId="{AE4F96F7-C4DE-494E-A932-0A8E219871FF}" srcOrd="0" destOrd="0" parTransId="{23D7BACF-595F-4D5C-8E24-80529ED34E48}" sibTransId="{5692999B-62F7-4343-BC68-F5205850E3A3}"/>
    <dgm:cxn modelId="{B8052010-4553-4766-B5F5-B9A7565130F3}" srcId="{294FC598-310E-4161-8A75-7906AAEC3EF3}" destId="{B87D5186-EE35-4131-91AF-392E14D8B08B}" srcOrd="2" destOrd="0" parTransId="{81E26081-6585-4A3F-94E1-0A017125D877}" sibTransId="{D21A1F87-2EC7-4982-A632-370CEE50C1F2}"/>
    <dgm:cxn modelId="{292DB434-329B-4B7F-A5EE-0CE1E5C13779}" srcId="{38FE83F6-F1DD-4197-BB0D-29BD110ADEA0}" destId="{3079B0A9-38FF-4F03-BBA1-84714EE721DF}" srcOrd="2" destOrd="0" parTransId="{47A1F3A2-8260-480F-A558-6EDF49140A72}" sibTransId="{99E0049C-81C3-4233-83FA-E31D794B1548}"/>
    <dgm:cxn modelId="{32D760DC-6304-4AA4-B1A4-8D42BA8075DA}" type="presOf" srcId="{60740CAD-5B59-4616-A996-CC2CB0A07FAC}" destId="{2F5B7F31-BBDB-4967-98C1-AD1AB20E4906}" srcOrd="0" destOrd="0" presId="urn:microsoft.com/office/officeart/2005/8/layout/process4"/>
    <dgm:cxn modelId="{1BB5D408-3826-42CC-9DEB-5BC26576AD6F}" srcId="{294FC598-310E-4161-8A75-7906AAEC3EF3}" destId="{14523F23-38E3-4F7B-BA17-B28B8831A822}" srcOrd="3" destOrd="0" parTransId="{F750C15C-D9A1-4CA7-B229-790EF79D1E92}" sibTransId="{E9ED4347-AD4E-47B3-AC86-E43396E4FCF8}"/>
    <dgm:cxn modelId="{61539130-37DA-4EF3-8FB1-CE9D3166FCB2}" type="presOf" srcId="{3079B0A9-38FF-4F03-BBA1-84714EE721DF}" destId="{44797DAF-1991-4876-B590-C828DEFBB5AE}" srcOrd="0" destOrd="0" presId="urn:microsoft.com/office/officeart/2005/8/layout/process4"/>
    <dgm:cxn modelId="{75C056F7-BCA8-446D-9D67-F0963002EE20}" srcId="{3079B0A9-38FF-4F03-BBA1-84714EE721DF}" destId="{92B5198D-7BC6-46B4-9939-58F998C0AD49}" srcOrd="2" destOrd="0" parTransId="{C13DCA94-C250-4F8E-A7B0-A4F3601B8D16}" sibTransId="{ED89FA3B-0322-4279-9D8C-B7B08111B424}"/>
    <dgm:cxn modelId="{CDD2159F-74F8-4C36-A364-6967F478BD1C}" srcId="{6CAC9CB1-60EF-4643-AE9D-FEEDE0C94BFA}" destId="{9011847C-A585-40FD-A553-77CBA9F22AED}" srcOrd="3" destOrd="0" parTransId="{6818EDF9-955A-4BC5-ABBD-E98FB262EF2E}" sibTransId="{BAA5F00C-ACBA-4E65-950C-628E4891274E}"/>
    <dgm:cxn modelId="{53372F7E-53A6-4367-991A-7F40C99DBCF0}" type="presOf" srcId="{A83A9972-2EFE-4043-B360-08F202181700}" destId="{5D571DD0-6BB2-4043-B754-54AD12954C54}" srcOrd="0" destOrd="0" presId="urn:microsoft.com/office/officeart/2005/8/layout/process4"/>
    <dgm:cxn modelId="{626E8C86-ABE8-4166-800A-A4E94E472700}" type="presOf" srcId="{9631873E-2F11-4CC4-B572-3138774B1D6A}" destId="{02449303-9665-4B53-947A-AF22B4124D93}" srcOrd="0" destOrd="0" presId="urn:microsoft.com/office/officeart/2005/8/layout/process4"/>
    <dgm:cxn modelId="{44537F65-FA51-47ED-84AC-2B70AA35BE10}" type="presOf" srcId="{38FE83F6-F1DD-4197-BB0D-29BD110ADEA0}" destId="{EC78CD51-5DAC-484C-AF0B-C1FA7054E1DF}" srcOrd="0" destOrd="0" presId="urn:microsoft.com/office/officeart/2005/8/layout/process4"/>
    <dgm:cxn modelId="{9F94B2FF-A596-4546-AD9B-35923745F647}" type="presOf" srcId="{BBFB537B-5121-4E1F-A3A2-81877416ED36}" destId="{DEDE934C-E900-40A8-AD72-9539C0BBBED7}" srcOrd="0" destOrd="0" presId="urn:microsoft.com/office/officeart/2005/8/layout/process4"/>
    <dgm:cxn modelId="{3E41031A-23BA-44A8-888A-BF86013BB17D}" type="presOf" srcId="{FB349318-9CA9-40E9-B7B0-B1E8816820D1}" destId="{7A448A09-4CCC-490A-8223-F09738D5490C}" srcOrd="0" destOrd="0" presId="urn:microsoft.com/office/officeart/2005/8/layout/process4"/>
    <dgm:cxn modelId="{1E5587C3-E02E-470A-A0A3-983E63E6CFE2}" type="presOf" srcId="{294FC598-310E-4161-8A75-7906AAEC3EF3}" destId="{0EEEB155-0634-4709-85D0-962E3225AEF7}" srcOrd="0" destOrd="0" presId="urn:microsoft.com/office/officeart/2005/8/layout/process4"/>
    <dgm:cxn modelId="{6B201933-C565-47DB-A1FD-01FFBA4EB1FD}" type="presOf" srcId="{294FC598-310E-4161-8A75-7906AAEC3EF3}" destId="{E9667B8D-DA38-42A5-963D-8983C5D8E3DB}" srcOrd="1" destOrd="0" presId="urn:microsoft.com/office/officeart/2005/8/layout/process4"/>
    <dgm:cxn modelId="{7AC26CEF-E0D7-4840-BDCD-032C33CAAA9A}" type="presOf" srcId="{92B5198D-7BC6-46B4-9939-58F998C0AD49}" destId="{DA7B7BA6-19EF-4526-AE8C-EB844F96627A}" srcOrd="0" destOrd="0" presId="urn:microsoft.com/office/officeart/2005/8/layout/process4"/>
    <dgm:cxn modelId="{D035842A-A8B8-42D7-A3A4-70208174C966}" srcId="{3079B0A9-38FF-4F03-BBA1-84714EE721DF}" destId="{BBFB537B-5121-4E1F-A3A2-81877416ED36}" srcOrd="1" destOrd="0" parTransId="{5A3EE697-77BE-4DBF-9EFC-C95DC04067EC}" sibTransId="{C8C09A90-810C-4628-BAF2-AE1E4730FEE6}"/>
    <dgm:cxn modelId="{7CBFC780-5D68-4352-ADEE-140595ADA249}" srcId="{294FC598-310E-4161-8A75-7906AAEC3EF3}" destId="{468E4516-BA2A-46EF-99AE-3857D9F31227}" srcOrd="0" destOrd="0" parTransId="{710C78AB-C8B5-48F4-AAEC-C03E34FBA7FF}" sibTransId="{576BA856-ECBA-42E1-A265-030276EA6C1B}"/>
    <dgm:cxn modelId="{722569AF-A1BA-41FD-9138-E11D5C4D3CC1}" type="presOf" srcId="{9011847C-A585-40FD-A553-77CBA9F22AED}" destId="{E9A03273-D31C-42BB-81F8-EA88DC0841AD}" srcOrd="0" destOrd="0" presId="urn:microsoft.com/office/officeart/2005/8/layout/process4"/>
    <dgm:cxn modelId="{72A77B06-12AE-48AE-9846-42D2562A5D02}" srcId="{294FC598-310E-4161-8A75-7906AAEC3EF3}" destId="{BA22092E-6BE5-4C62-9F56-3437672FC070}" srcOrd="1" destOrd="0" parTransId="{F567D2FF-AE34-41B8-9C6F-F9F54A03899E}" sibTransId="{3B49C0AA-34CB-473D-B5A0-3C61A489B46C}"/>
    <dgm:cxn modelId="{46C93DE0-3727-40EB-B19B-0A332C74F753}" srcId="{38FE83F6-F1DD-4197-BB0D-29BD110ADEA0}" destId="{6CAC9CB1-60EF-4643-AE9D-FEEDE0C94BFA}" srcOrd="0" destOrd="0" parTransId="{E77E7F77-3B75-42E4-836A-60B01C846E7A}" sibTransId="{1F9D82ED-915C-4D48-92D5-9883A80215EC}"/>
    <dgm:cxn modelId="{4040E2D0-8F16-4D90-8F07-7D256CD48173}" type="presOf" srcId="{14523F23-38E3-4F7B-BA17-B28B8831A822}" destId="{E995D2C6-C0CA-4505-8869-E2D7452DFA0C}" srcOrd="0" destOrd="0" presId="urn:microsoft.com/office/officeart/2005/8/layout/process4"/>
    <dgm:cxn modelId="{A119C6EC-3F69-4D9E-83B3-5D9844E4B0C2}" srcId="{6CAC9CB1-60EF-4643-AE9D-FEEDE0C94BFA}" destId="{A83A9972-2EFE-4043-B360-08F202181700}" srcOrd="0" destOrd="0" parTransId="{29839DA4-1C0E-4B1B-AEF3-442C2FBAEC18}" sibTransId="{03C64A13-B0B3-4D78-8D06-8E10E97B2A0E}"/>
    <dgm:cxn modelId="{7338726A-FF3C-4C27-A204-336075691360}" srcId="{6CAC9CB1-60EF-4643-AE9D-FEEDE0C94BFA}" destId="{60740CAD-5B59-4616-A996-CC2CB0A07FAC}" srcOrd="1" destOrd="0" parTransId="{C800EA9D-AFF9-463D-9F1E-308FE8474A95}" sibTransId="{0DA9A3CA-ED4A-4609-83BA-F0BCE4FC739E}"/>
    <dgm:cxn modelId="{BA065BB5-36AF-484D-879B-5BD9F6B2D2EA}" type="presOf" srcId="{BA22092E-6BE5-4C62-9F56-3437672FC070}" destId="{40269C14-6916-4E49-863B-595CAEB47A90}" srcOrd="0" destOrd="0" presId="urn:microsoft.com/office/officeart/2005/8/layout/process4"/>
    <dgm:cxn modelId="{B8C23016-3C66-4F17-BA45-A00B93F390C9}" srcId="{3079B0A9-38FF-4F03-BBA1-84714EE721DF}" destId="{9631873E-2F11-4CC4-B572-3138774B1D6A}" srcOrd="3" destOrd="0" parTransId="{D8C34FF2-1CF6-4931-9526-75B146FCB219}" sibTransId="{BAC5FE93-E94D-44A6-B841-A467EC3D26BA}"/>
    <dgm:cxn modelId="{17BC7796-9130-4E6D-B304-D34CF7136C98}" srcId="{6CAC9CB1-60EF-4643-AE9D-FEEDE0C94BFA}" destId="{FB349318-9CA9-40E9-B7B0-B1E8816820D1}" srcOrd="2" destOrd="0" parTransId="{CA11F562-55FC-4A4E-A896-960078B03B87}" sibTransId="{FBF4E13B-E5AC-48A7-AD7C-F34AD029F2EB}"/>
    <dgm:cxn modelId="{86D8C4BC-2304-4D63-B276-7B952A6CDC06}" type="presOf" srcId="{B87D5186-EE35-4131-91AF-392E14D8B08B}" destId="{00D13151-A5B7-49EE-AEB1-5363B605AA78}" srcOrd="0" destOrd="0" presId="urn:microsoft.com/office/officeart/2005/8/layout/process4"/>
    <dgm:cxn modelId="{DE712F1A-8BF8-4062-8E98-635284EA56D4}" type="presOf" srcId="{6CAC9CB1-60EF-4643-AE9D-FEEDE0C94BFA}" destId="{EE9B7A83-7936-44BE-927F-CB58DE0B4DB3}" srcOrd="0" destOrd="0" presId="urn:microsoft.com/office/officeart/2005/8/layout/process4"/>
    <dgm:cxn modelId="{903E4942-E2E0-4FD2-A726-C7E72886B70B}" type="presParOf" srcId="{EC78CD51-5DAC-484C-AF0B-C1FA7054E1DF}" destId="{12CE764C-502A-450B-AB6B-B07A589F47D5}" srcOrd="0" destOrd="0" presId="urn:microsoft.com/office/officeart/2005/8/layout/process4"/>
    <dgm:cxn modelId="{87920F58-D403-479E-B5BA-E47BB2A3E4ED}" type="presParOf" srcId="{12CE764C-502A-450B-AB6B-B07A589F47D5}" destId="{44797DAF-1991-4876-B590-C828DEFBB5AE}" srcOrd="0" destOrd="0" presId="urn:microsoft.com/office/officeart/2005/8/layout/process4"/>
    <dgm:cxn modelId="{644E73E9-1944-4C67-8482-2C4886C630F5}" type="presParOf" srcId="{12CE764C-502A-450B-AB6B-B07A589F47D5}" destId="{B3ADF271-7F98-4EDC-B0EB-2CF9FE5FB000}" srcOrd="1" destOrd="0" presId="urn:microsoft.com/office/officeart/2005/8/layout/process4"/>
    <dgm:cxn modelId="{6E3127FE-B2AA-4524-86F9-13C89C96EFE7}" type="presParOf" srcId="{12CE764C-502A-450B-AB6B-B07A589F47D5}" destId="{41D03C27-36CA-47E5-93DE-017451806031}" srcOrd="2" destOrd="0" presId="urn:microsoft.com/office/officeart/2005/8/layout/process4"/>
    <dgm:cxn modelId="{B9493111-925C-479D-A146-A3ADFD524137}" type="presParOf" srcId="{41D03C27-36CA-47E5-93DE-017451806031}" destId="{2960F764-403C-44EF-9CD4-272780EBFD6E}" srcOrd="0" destOrd="0" presId="urn:microsoft.com/office/officeart/2005/8/layout/process4"/>
    <dgm:cxn modelId="{B8103B7B-0646-4C43-8475-8177E949E4A6}" type="presParOf" srcId="{41D03C27-36CA-47E5-93DE-017451806031}" destId="{DEDE934C-E900-40A8-AD72-9539C0BBBED7}" srcOrd="1" destOrd="0" presId="urn:microsoft.com/office/officeart/2005/8/layout/process4"/>
    <dgm:cxn modelId="{F016F39F-841E-42B7-8CB3-39A8C1F5625C}" type="presParOf" srcId="{41D03C27-36CA-47E5-93DE-017451806031}" destId="{DA7B7BA6-19EF-4526-AE8C-EB844F96627A}" srcOrd="2" destOrd="0" presId="urn:microsoft.com/office/officeart/2005/8/layout/process4"/>
    <dgm:cxn modelId="{7128E280-5F00-4A70-9046-1ED8FF539DC2}" type="presParOf" srcId="{41D03C27-36CA-47E5-93DE-017451806031}" destId="{02449303-9665-4B53-947A-AF22B4124D93}" srcOrd="3" destOrd="0" presId="urn:microsoft.com/office/officeart/2005/8/layout/process4"/>
    <dgm:cxn modelId="{EDC6ED94-27E6-408D-B650-FA458486A72F}" type="presParOf" srcId="{EC78CD51-5DAC-484C-AF0B-C1FA7054E1DF}" destId="{FC453C76-9EBE-4A71-8743-5F5685DEA5BA}" srcOrd="1" destOrd="0" presId="urn:microsoft.com/office/officeart/2005/8/layout/process4"/>
    <dgm:cxn modelId="{8A46C9C0-121D-47F1-9CE1-AB51953977EC}" type="presParOf" srcId="{EC78CD51-5DAC-484C-AF0B-C1FA7054E1DF}" destId="{4488EF1E-B64A-4609-9B69-B7B40A1B98A8}" srcOrd="2" destOrd="0" presId="urn:microsoft.com/office/officeart/2005/8/layout/process4"/>
    <dgm:cxn modelId="{9D5C9C66-E563-43B8-9E42-C1141A0F92A4}" type="presParOf" srcId="{4488EF1E-B64A-4609-9B69-B7B40A1B98A8}" destId="{0EEEB155-0634-4709-85D0-962E3225AEF7}" srcOrd="0" destOrd="0" presId="urn:microsoft.com/office/officeart/2005/8/layout/process4"/>
    <dgm:cxn modelId="{5C961E08-5879-4DEF-B784-8392AF52F491}" type="presParOf" srcId="{4488EF1E-B64A-4609-9B69-B7B40A1B98A8}" destId="{E9667B8D-DA38-42A5-963D-8983C5D8E3DB}" srcOrd="1" destOrd="0" presId="urn:microsoft.com/office/officeart/2005/8/layout/process4"/>
    <dgm:cxn modelId="{D84F20CD-0559-47AB-BEBE-E8FEB11711EE}" type="presParOf" srcId="{4488EF1E-B64A-4609-9B69-B7B40A1B98A8}" destId="{22A04D2B-0BEE-4E0E-8ACE-4E2AF4ED934C}" srcOrd="2" destOrd="0" presId="urn:microsoft.com/office/officeart/2005/8/layout/process4"/>
    <dgm:cxn modelId="{6FC748AA-20E1-4FC8-818C-BD4AE5CD10FC}" type="presParOf" srcId="{22A04D2B-0BEE-4E0E-8ACE-4E2AF4ED934C}" destId="{9BD6D151-57B9-46DA-8E2C-B735F1E1720D}" srcOrd="0" destOrd="0" presId="urn:microsoft.com/office/officeart/2005/8/layout/process4"/>
    <dgm:cxn modelId="{BCB35C55-2AE8-4639-8E6C-0A1557CA616E}" type="presParOf" srcId="{22A04D2B-0BEE-4E0E-8ACE-4E2AF4ED934C}" destId="{40269C14-6916-4E49-863B-595CAEB47A90}" srcOrd="1" destOrd="0" presId="urn:microsoft.com/office/officeart/2005/8/layout/process4"/>
    <dgm:cxn modelId="{BD4C9726-8EF4-41E6-8FE1-74200AD0B951}" type="presParOf" srcId="{22A04D2B-0BEE-4E0E-8ACE-4E2AF4ED934C}" destId="{00D13151-A5B7-49EE-AEB1-5363B605AA78}" srcOrd="2" destOrd="0" presId="urn:microsoft.com/office/officeart/2005/8/layout/process4"/>
    <dgm:cxn modelId="{0A3DC871-C910-44AA-A544-C7CB792F58EF}" type="presParOf" srcId="{22A04D2B-0BEE-4E0E-8ACE-4E2AF4ED934C}" destId="{E995D2C6-C0CA-4505-8869-E2D7452DFA0C}" srcOrd="3" destOrd="0" presId="urn:microsoft.com/office/officeart/2005/8/layout/process4"/>
    <dgm:cxn modelId="{C98D0D79-CDF0-449F-BB58-77D747213D0F}" type="presParOf" srcId="{EC78CD51-5DAC-484C-AF0B-C1FA7054E1DF}" destId="{DC665B74-301D-4DAF-B875-D0FF09935D83}" srcOrd="3" destOrd="0" presId="urn:microsoft.com/office/officeart/2005/8/layout/process4"/>
    <dgm:cxn modelId="{797401AD-245F-4C1F-A1BB-8625D00DE909}" type="presParOf" srcId="{EC78CD51-5DAC-484C-AF0B-C1FA7054E1DF}" destId="{71F96195-1954-4E12-BD2B-2DE9C201E81E}" srcOrd="4" destOrd="0" presId="urn:microsoft.com/office/officeart/2005/8/layout/process4"/>
    <dgm:cxn modelId="{47906E22-CEC7-41F8-80CC-33315B54DC9A}" type="presParOf" srcId="{71F96195-1954-4E12-BD2B-2DE9C201E81E}" destId="{EE9B7A83-7936-44BE-927F-CB58DE0B4DB3}" srcOrd="0" destOrd="0" presId="urn:microsoft.com/office/officeart/2005/8/layout/process4"/>
    <dgm:cxn modelId="{20B03D92-014E-4329-8E1C-AF33AC164760}" type="presParOf" srcId="{71F96195-1954-4E12-BD2B-2DE9C201E81E}" destId="{CEC932CC-04F5-47EC-943D-7C2727DD1D49}" srcOrd="1" destOrd="0" presId="urn:microsoft.com/office/officeart/2005/8/layout/process4"/>
    <dgm:cxn modelId="{83E741B6-DE96-4503-B506-0BA601FEF8B0}" type="presParOf" srcId="{71F96195-1954-4E12-BD2B-2DE9C201E81E}" destId="{CAAEA014-683F-47CF-AAD9-64A2549AD1C0}" srcOrd="2" destOrd="0" presId="urn:microsoft.com/office/officeart/2005/8/layout/process4"/>
    <dgm:cxn modelId="{784B099A-35F8-4862-956E-9877A6E05095}" type="presParOf" srcId="{CAAEA014-683F-47CF-AAD9-64A2549AD1C0}" destId="{5D571DD0-6BB2-4043-B754-54AD12954C54}" srcOrd="0" destOrd="0" presId="urn:microsoft.com/office/officeart/2005/8/layout/process4"/>
    <dgm:cxn modelId="{23E53471-DD51-422F-B407-0D666FD81678}" type="presParOf" srcId="{CAAEA014-683F-47CF-AAD9-64A2549AD1C0}" destId="{2F5B7F31-BBDB-4967-98C1-AD1AB20E4906}" srcOrd="1" destOrd="0" presId="urn:microsoft.com/office/officeart/2005/8/layout/process4"/>
    <dgm:cxn modelId="{E5BFF611-28F5-46F6-9D23-A029D6D8162B}" type="presParOf" srcId="{CAAEA014-683F-47CF-AAD9-64A2549AD1C0}" destId="{7A448A09-4CCC-490A-8223-F09738D5490C}" srcOrd="2" destOrd="0" presId="urn:microsoft.com/office/officeart/2005/8/layout/process4"/>
    <dgm:cxn modelId="{8A9C9074-D9F0-4D7C-A992-9B49C0BF3CF5}" type="presParOf" srcId="{CAAEA014-683F-47CF-AAD9-64A2549AD1C0}" destId="{E9A03273-D31C-42BB-81F8-EA88DC0841AD}" srcOrd="3"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ADF271-7F98-4EDC-B0EB-2CF9FE5FB000}">
      <dsp:nvSpPr>
        <dsp:cNvPr id="0" name=""/>
        <dsp:cNvSpPr/>
      </dsp:nvSpPr>
      <dsp:spPr>
        <a:xfrm>
          <a:off x="0" y="2459660"/>
          <a:ext cx="5348377" cy="7922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t>3</a:t>
          </a:r>
        </a:p>
      </dsp:txBody>
      <dsp:txXfrm>
        <a:off x="0" y="2459660"/>
        <a:ext cx="5348377" cy="427829"/>
      </dsp:txXfrm>
    </dsp:sp>
    <dsp:sp modelId="{2960F764-403C-44EF-9CD4-272780EBFD6E}">
      <dsp:nvSpPr>
        <dsp:cNvPr id="0" name=""/>
        <dsp:cNvSpPr/>
      </dsp:nvSpPr>
      <dsp:spPr>
        <a:xfrm>
          <a:off x="0" y="2874044"/>
          <a:ext cx="1337094" cy="41966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Doctoral Training Centre</a:t>
          </a:r>
        </a:p>
      </dsp:txBody>
      <dsp:txXfrm>
        <a:off x="0" y="2874044"/>
        <a:ext cx="1337094" cy="419666"/>
      </dsp:txXfrm>
    </dsp:sp>
    <dsp:sp modelId="{DEDE934C-E900-40A8-AD72-9539C0BBBED7}">
      <dsp:nvSpPr>
        <dsp:cNvPr id="0" name=""/>
        <dsp:cNvSpPr/>
      </dsp:nvSpPr>
      <dsp:spPr>
        <a:xfrm>
          <a:off x="1337094" y="2874044"/>
          <a:ext cx="1337094" cy="41966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Seminars</a:t>
          </a:r>
        </a:p>
      </dsp:txBody>
      <dsp:txXfrm>
        <a:off x="1337094" y="2874044"/>
        <a:ext cx="1337094" cy="419666"/>
      </dsp:txXfrm>
    </dsp:sp>
    <dsp:sp modelId="{DA7B7BA6-19EF-4526-AE8C-EB844F96627A}">
      <dsp:nvSpPr>
        <dsp:cNvPr id="0" name=""/>
        <dsp:cNvSpPr/>
      </dsp:nvSpPr>
      <dsp:spPr>
        <a:xfrm>
          <a:off x="2674188" y="2874044"/>
          <a:ext cx="1337094" cy="41966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Postgraduate, Early Career Researchers, Principal &amp; Co- Investigators</a:t>
          </a:r>
        </a:p>
      </dsp:txBody>
      <dsp:txXfrm>
        <a:off x="2674188" y="2874044"/>
        <a:ext cx="1337094" cy="419666"/>
      </dsp:txXfrm>
    </dsp:sp>
    <dsp:sp modelId="{02449303-9665-4B53-947A-AF22B4124D93}">
      <dsp:nvSpPr>
        <dsp:cNvPr id="0" name=""/>
        <dsp:cNvSpPr/>
      </dsp:nvSpPr>
      <dsp:spPr>
        <a:xfrm>
          <a:off x="4011283" y="2874044"/>
          <a:ext cx="1337094" cy="41966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Co-delivery Researcher with Professional Service(s)</a:t>
          </a:r>
        </a:p>
      </dsp:txBody>
      <dsp:txXfrm>
        <a:off x="4011283" y="2874044"/>
        <a:ext cx="1337094" cy="419666"/>
      </dsp:txXfrm>
    </dsp:sp>
    <dsp:sp modelId="{E9667B8D-DA38-42A5-963D-8983C5D8E3DB}">
      <dsp:nvSpPr>
        <dsp:cNvPr id="0" name=""/>
        <dsp:cNvSpPr/>
      </dsp:nvSpPr>
      <dsp:spPr>
        <a:xfrm rot="10800000">
          <a:off x="0" y="1140692"/>
          <a:ext cx="5348377" cy="133265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t>2</a:t>
          </a:r>
        </a:p>
      </dsp:txBody>
      <dsp:txXfrm rot="-10800000">
        <a:off x="0" y="1140692"/>
        <a:ext cx="5348377" cy="467761"/>
      </dsp:txXfrm>
    </dsp:sp>
    <dsp:sp modelId="{9BD6D151-57B9-46DA-8E2C-B735F1E1720D}">
      <dsp:nvSpPr>
        <dsp:cNvPr id="0" name=""/>
        <dsp:cNvSpPr/>
      </dsp:nvSpPr>
      <dsp:spPr>
        <a:xfrm>
          <a:off x="0" y="159794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Faculty / Discipline</a:t>
          </a:r>
        </a:p>
      </dsp:txBody>
      <dsp:txXfrm>
        <a:off x="0" y="1597949"/>
        <a:ext cx="1337094" cy="419540"/>
      </dsp:txXfrm>
    </dsp:sp>
    <dsp:sp modelId="{40269C14-6916-4E49-863B-595CAEB47A90}">
      <dsp:nvSpPr>
        <dsp:cNvPr id="0" name=""/>
        <dsp:cNvSpPr/>
      </dsp:nvSpPr>
      <dsp:spPr>
        <a:xfrm>
          <a:off x="1337094" y="159794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Lectures and workshops</a:t>
          </a:r>
        </a:p>
      </dsp:txBody>
      <dsp:txXfrm>
        <a:off x="1337094" y="1597949"/>
        <a:ext cx="1337094" cy="419540"/>
      </dsp:txXfrm>
    </dsp:sp>
    <dsp:sp modelId="{00D13151-A5B7-49EE-AEB1-5363B605AA78}">
      <dsp:nvSpPr>
        <dsp:cNvPr id="0" name=""/>
        <dsp:cNvSpPr/>
      </dsp:nvSpPr>
      <dsp:spPr>
        <a:xfrm>
          <a:off x="2674188" y="159794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Postgraduate, Early Career Researchers, Principal &amp; Co- Investigators</a:t>
          </a:r>
        </a:p>
      </dsp:txBody>
      <dsp:txXfrm>
        <a:off x="2674188" y="1597949"/>
        <a:ext cx="1337094" cy="419540"/>
      </dsp:txXfrm>
    </dsp:sp>
    <dsp:sp modelId="{E995D2C6-C0CA-4505-8869-E2D7452DFA0C}">
      <dsp:nvSpPr>
        <dsp:cNvPr id="0" name=""/>
        <dsp:cNvSpPr/>
      </dsp:nvSpPr>
      <dsp:spPr>
        <a:xfrm>
          <a:off x="4011283" y="159794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Co-delivery Faculty Researcher with Professional Service(s)</a:t>
          </a:r>
        </a:p>
      </dsp:txBody>
      <dsp:txXfrm>
        <a:off x="4011283" y="1597949"/>
        <a:ext cx="1337094" cy="419540"/>
      </dsp:txXfrm>
    </dsp:sp>
    <dsp:sp modelId="{CEC932CC-04F5-47EC-943D-7C2727DD1D49}">
      <dsp:nvSpPr>
        <dsp:cNvPr id="0" name=""/>
        <dsp:cNvSpPr/>
      </dsp:nvSpPr>
      <dsp:spPr>
        <a:xfrm rot="10800000">
          <a:off x="0" y="1579"/>
          <a:ext cx="5348377" cy="1152797"/>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t>1</a:t>
          </a:r>
        </a:p>
      </dsp:txBody>
      <dsp:txXfrm rot="-10800000">
        <a:off x="0" y="1579"/>
        <a:ext cx="5348377" cy="404631"/>
      </dsp:txXfrm>
    </dsp:sp>
    <dsp:sp modelId="{5D571DD0-6BB2-4043-B754-54AD12954C54}">
      <dsp:nvSpPr>
        <dsp:cNvPr id="0" name=""/>
        <dsp:cNvSpPr/>
      </dsp:nvSpPr>
      <dsp:spPr>
        <a:xfrm>
          <a:off x="0" y="36890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Researcher Development &amp; Graduate Centre (RDGC)</a:t>
          </a:r>
        </a:p>
      </dsp:txBody>
      <dsp:txXfrm>
        <a:off x="0" y="368909"/>
        <a:ext cx="1337094" cy="419540"/>
      </dsp:txXfrm>
    </dsp:sp>
    <dsp:sp modelId="{2F5B7F31-BBDB-4967-98C1-AD1AB20E4906}">
      <dsp:nvSpPr>
        <dsp:cNvPr id="0" name=""/>
        <dsp:cNvSpPr/>
      </dsp:nvSpPr>
      <dsp:spPr>
        <a:xfrm>
          <a:off x="1337094" y="36890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RDGC 'Gradbook' courses</a:t>
          </a:r>
        </a:p>
      </dsp:txBody>
      <dsp:txXfrm>
        <a:off x="1337094" y="368909"/>
        <a:ext cx="1337094" cy="419540"/>
      </dsp:txXfrm>
    </dsp:sp>
    <dsp:sp modelId="{7A448A09-4CCC-490A-8223-F09738D5490C}">
      <dsp:nvSpPr>
        <dsp:cNvPr id="0" name=""/>
        <dsp:cNvSpPr/>
      </dsp:nvSpPr>
      <dsp:spPr>
        <a:xfrm>
          <a:off x="2674188" y="36890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Postgraduate Researchers</a:t>
          </a:r>
        </a:p>
      </dsp:txBody>
      <dsp:txXfrm>
        <a:off x="2674188" y="368909"/>
        <a:ext cx="1337094" cy="419540"/>
      </dsp:txXfrm>
    </dsp:sp>
    <dsp:sp modelId="{E9A03273-D31C-42BB-81F8-EA88DC0841AD}">
      <dsp:nvSpPr>
        <dsp:cNvPr id="0" name=""/>
        <dsp:cNvSpPr/>
      </dsp:nvSpPr>
      <dsp:spPr>
        <a:xfrm>
          <a:off x="4011283" y="368909"/>
          <a:ext cx="1337094" cy="4195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t>Co-delivery Professional Service and Researcher</a:t>
          </a:r>
        </a:p>
      </dsp:txBody>
      <dsp:txXfrm>
        <a:off x="4011283" y="368909"/>
        <a:ext cx="1337094" cy="4195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4815</Words>
  <Characters>27892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Developing Researcher Skills in Research Data Management</vt:lpstr>
    </vt:vector>
  </TitlesOfParts>
  <Company>University of Southampton</Company>
  <LinksUpToDate>false</LinksUpToDate>
  <CharactersWithSpaces>32642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Researcher Skills in Research Data Management</dc:title>
  <dc:subject>Data managemen training</dc:subject>
  <dc:creator>Byatt</dc:creator>
  <cp:keywords>DataPool; JISC; research data; data management; report</cp:keywords>
  <dc:description>This is a report for JISC on the Research training carried out under the auspices of the JISC DataPool project  October 2011- March 2013</dc:description>
  <cp:lastModifiedBy>Byatt</cp:lastModifiedBy>
  <cp:revision>5</cp:revision>
  <cp:lastPrinted>2013-03-23T14:32:00Z</cp:lastPrinted>
  <dcterms:created xsi:type="dcterms:W3CDTF">2013-04-19T13:37:00Z</dcterms:created>
  <dcterms:modified xsi:type="dcterms:W3CDTF">2013-04-19T14:03:00Z</dcterms:modified>
</cp:coreProperties>
</file>