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0FC9F" w14:textId="77777777" w:rsidR="00C97D09" w:rsidRPr="00D11DC0" w:rsidRDefault="00C97D09" w:rsidP="003B05D5">
      <w:pPr>
        <w:rPr>
          <w:rFonts w:cs="Times New Roman"/>
          <w:szCs w:val="24"/>
          <w:lang w:val="en-GB"/>
        </w:rPr>
      </w:pPr>
      <w:r w:rsidRPr="00D11DC0">
        <w:rPr>
          <w:rFonts w:cs="Times New Roman"/>
          <w:b/>
          <w:bCs/>
          <w:lang w:val="en-GB"/>
        </w:rPr>
        <w:t xml:space="preserve">Efficacy, Safety, and Immunogenicity of a Booster Regimen of Ad26.COV2.S Vaccine against </w:t>
      </w:r>
      <w:r>
        <w:rPr>
          <w:rFonts w:cs="Times New Roman"/>
          <w:b/>
          <w:bCs/>
          <w:lang w:val="en-GB"/>
        </w:rPr>
        <w:t>COVID</w:t>
      </w:r>
      <w:r w:rsidRPr="00D11DC0">
        <w:rPr>
          <w:rFonts w:cs="Times New Roman"/>
          <w:b/>
          <w:bCs/>
          <w:lang w:val="en-GB"/>
        </w:rPr>
        <w:t>-19: Results of a Randomised, Double-blind, Placebo-controlled Phase 3 Trial</w:t>
      </w:r>
    </w:p>
    <w:p w14:paraId="29B83927" w14:textId="77777777" w:rsidR="00C97D09" w:rsidRPr="00D11DC0" w:rsidRDefault="00C97D09" w:rsidP="008A3CDD">
      <w:pPr>
        <w:rPr>
          <w:lang w:val="en-GB"/>
        </w:rPr>
      </w:pPr>
      <w:r w:rsidRPr="00D11DC0">
        <w:rPr>
          <w:lang w:val="en-GB"/>
        </w:rPr>
        <w:t>Karin Hardt, PhD,</w:t>
      </w:r>
      <w:r w:rsidRPr="00D11DC0">
        <w:rPr>
          <w:vertAlign w:val="superscript"/>
          <w:lang w:val="en-GB"/>
        </w:rPr>
        <w:t>1</w:t>
      </w:r>
      <w:r w:rsidRPr="00D11DC0">
        <w:rPr>
          <w:lang w:val="en-GB"/>
        </w:rPr>
        <w:t xml:space="preserve"> An Vandebosch, PhD,</w:t>
      </w:r>
      <w:r w:rsidRPr="00D11DC0">
        <w:rPr>
          <w:vertAlign w:val="superscript"/>
          <w:lang w:val="en-GB"/>
        </w:rPr>
        <w:t>1</w:t>
      </w:r>
      <w:r w:rsidRPr="00D11DC0">
        <w:rPr>
          <w:lang w:val="en-GB"/>
        </w:rPr>
        <w:t xml:space="preserve"> Jerald Sadoff, MD,</w:t>
      </w:r>
      <w:r w:rsidRPr="00D11DC0">
        <w:rPr>
          <w:vertAlign w:val="superscript"/>
          <w:lang w:val="en-GB"/>
        </w:rPr>
        <w:t>2</w:t>
      </w:r>
      <w:r w:rsidRPr="00D11DC0">
        <w:rPr>
          <w:lang w:val="en-GB"/>
        </w:rPr>
        <w:t xml:space="preserve"> Mathieu Le Gars, PhD,</w:t>
      </w:r>
      <w:r w:rsidRPr="00D11DC0">
        <w:rPr>
          <w:vertAlign w:val="superscript"/>
          <w:lang w:val="en-GB"/>
        </w:rPr>
        <w:t>2</w:t>
      </w:r>
      <w:r w:rsidRPr="00D11DC0">
        <w:rPr>
          <w:lang w:val="en-GB"/>
        </w:rPr>
        <w:t xml:space="preserve"> Carla Truyers, PhD,</w:t>
      </w:r>
      <w:r w:rsidRPr="00D11DC0">
        <w:rPr>
          <w:vertAlign w:val="superscript"/>
          <w:lang w:val="en-GB"/>
        </w:rPr>
        <w:t>1</w:t>
      </w:r>
      <w:r w:rsidRPr="00D11DC0">
        <w:rPr>
          <w:lang w:val="en-GB"/>
        </w:rPr>
        <w:t xml:space="preserve"> David Lowson, MSc,</w:t>
      </w:r>
      <w:r w:rsidRPr="00D11DC0">
        <w:rPr>
          <w:vertAlign w:val="superscript"/>
          <w:lang w:val="en-GB"/>
        </w:rPr>
        <w:t>3</w:t>
      </w:r>
      <w:r w:rsidRPr="00D11DC0">
        <w:rPr>
          <w:lang w:val="en-GB"/>
        </w:rPr>
        <w:t xml:space="preserve"> Ilse Van Dromme, PhD</w:t>
      </w:r>
      <w:r w:rsidRPr="00D11DC0">
        <w:rPr>
          <w:vertAlign w:val="superscript"/>
          <w:lang w:val="en-GB"/>
        </w:rPr>
        <w:t>1</w:t>
      </w:r>
      <w:r w:rsidRPr="00D11DC0">
        <w:rPr>
          <w:lang w:val="en-GB"/>
        </w:rPr>
        <w:t>, Johan Vingerhoets, PhD</w:t>
      </w:r>
      <w:r w:rsidRPr="00D11DC0">
        <w:rPr>
          <w:vertAlign w:val="superscript"/>
          <w:lang w:val="en-GB"/>
        </w:rPr>
        <w:t>1</w:t>
      </w:r>
      <w:r w:rsidRPr="00D11DC0">
        <w:rPr>
          <w:lang w:val="en-GB"/>
        </w:rPr>
        <w:t>, Tobias Kamphuis, PhD,</w:t>
      </w:r>
      <w:r w:rsidRPr="00D11DC0">
        <w:rPr>
          <w:vertAlign w:val="superscript"/>
          <w:lang w:val="en-GB"/>
        </w:rPr>
        <w:t>2</w:t>
      </w:r>
      <w:r w:rsidRPr="00D11DC0">
        <w:rPr>
          <w:lang w:val="en-GB"/>
        </w:rPr>
        <w:t xml:space="preserve"> Gert Scheper, PhD,</w:t>
      </w:r>
      <w:r w:rsidRPr="00D11DC0">
        <w:rPr>
          <w:vertAlign w:val="superscript"/>
          <w:lang w:val="en-GB"/>
        </w:rPr>
        <w:t>2</w:t>
      </w:r>
      <w:r w:rsidRPr="00D11DC0">
        <w:rPr>
          <w:lang w:val="en-GB"/>
        </w:rPr>
        <w:t xml:space="preserve"> Javier Ruiz-Guiñazú, MD,</w:t>
      </w:r>
      <w:r w:rsidRPr="00D11DC0">
        <w:rPr>
          <w:vertAlign w:val="superscript"/>
          <w:lang w:val="en-GB"/>
        </w:rPr>
        <w:t>1</w:t>
      </w:r>
      <w:r w:rsidRPr="00D11DC0">
        <w:rPr>
          <w:lang w:val="en-GB"/>
        </w:rPr>
        <w:t xml:space="preserve"> Professor Saul N. Faust, FRCPCH,</w:t>
      </w:r>
      <w:r w:rsidRPr="00D11DC0">
        <w:rPr>
          <w:vertAlign w:val="superscript"/>
          <w:lang w:val="en-GB"/>
        </w:rPr>
        <w:t>4</w:t>
      </w:r>
      <w:r w:rsidRPr="00D11DC0">
        <w:rPr>
          <w:lang w:val="en-GB"/>
        </w:rPr>
        <w:t xml:space="preserve"> Professor Christoph D. Spinner, MD,</w:t>
      </w:r>
      <w:r w:rsidRPr="00D11DC0">
        <w:rPr>
          <w:vertAlign w:val="superscript"/>
          <w:lang w:val="en-GB"/>
        </w:rPr>
        <w:t>5</w:t>
      </w:r>
      <w:r w:rsidRPr="00D11DC0">
        <w:rPr>
          <w:lang w:val="en-GB"/>
        </w:rPr>
        <w:t xml:space="preserve"> Hanneke Schuitemaker, PhD,</w:t>
      </w:r>
      <w:r w:rsidRPr="00D11DC0">
        <w:rPr>
          <w:vertAlign w:val="superscript"/>
          <w:lang w:val="en-GB"/>
        </w:rPr>
        <w:t>2</w:t>
      </w:r>
      <w:r w:rsidRPr="00D11DC0">
        <w:rPr>
          <w:lang w:val="en-GB"/>
        </w:rPr>
        <w:t xml:space="preserve"> Johan Van Hoof, MD,</w:t>
      </w:r>
      <w:r w:rsidRPr="00D11DC0">
        <w:rPr>
          <w:vertAlign w:val="superscript"/>
          <w:lang w:val="en-GB"/>
        </w:rPr>
        <w:t>2</w:t>
      </w:r>
      <w:r w:rsidRPr="00D11DC0">
        <w:rPr>
          <w:lang w:val="en-GB"/>
        </w:rPr>
        <w:t xml:space="preserve"> Macaya Douoguih, MD,</w:t>
      </w:r>
      <w:r w:rsidRPr="00D11DC0">
        <w:rPr>
          <w:vertAlign w:val="superscript"/>
          <w:lang w:val="en-GB"/>
        </w:rPr>
        <w:t>2</w:t>
      </w:r>
      <w:r w:rsidRPr="00D11DC0">
        <w:rPr>
          <w:lang w:val="en-GB"/>
        </w:rPr>
        <w:t xml:space="preserve"> and Frank Struyf, MD</w:t>
      </w:r>
      <w:r w:rsidRPr="00D11DC0">
        <w:rPr>
          <w:vertAlign w:val="superscript"/>
          <w:lang w:val="en-GB"/>
        </w:rPr>
        <w:t>1</w:t>
      </w:r>
      <w:r w:rsidRPr="00D11DC0">
        <w:rPr>
          <w:lang w:val="en-GB"/>
        </w:rPr>
        <w:t xml:space="preserve"> for the ENSEMBLE2 Study Group</w:t>
      </w:r>
    </w:p>
    <w:p w14:paraId="1B755B65" w14:textId="77777777" w:rsidR="00C97D09" w:rsidRPr="00D11DC0" w:rsidRDefault="00C97D09" w:rsidP="00095709">
      <w:pPr>
        <w:rPr>
          <w:lang w:val="en-GB"/>
        </w:rPr>
      </w:pPr>
      <w:r w:rsidRPr="00D11DC0">
        <w:rPr>
          <w:vertAlign w:val="superscript"/>
          <w:lang w:val="en-GB"/>
        </w:rPr>
        <w:t>1</w:t>
      </w:r>
      <w:r w:rsidRPr="00D11DC0">
        <w:rPr>
          <w:lang w:val="en-GB"/>
        </w:rPr>
        <w:t xml:space="preserve">Janssen Research and Development, Beerse, Belgium; </w:t>
      </w:r>
      <w:r w:rsidRPr="00D11DC0">
        <w:rPr>
          <w:vertAlign w:val="superscript"/>
          <w:lang w:val="en-GB"/>
        </w:rPr>
        <w:t>2</w:t>
      </w:r>
      <w:r w:rsidRPr="00D11DC0">
        <w:rPr>
          <w:lang w:val="en-GB"/>
        </w:rPr>
        <w:t xml:space="preserve">Janssen Vaccines and Prevention, Leiden, The Netherlands; </w:t>
      </w:r>
      <w:r w:rsidRPr="00D11DC0">
        <w:rPr>
          <w:vertAlign w:val="superscript"/>
          <w:lang w:val="en-GB"/>
        </w:rPr>
        <w:t>3</w:t>
      </w:r>
      <w:r w:rsidRPr="00D11DC0">
        <w:rPr>
          <w:lang w:val="en-GB"/>
        </w:rPr>
        <w:t xml:space="preserve">Janssen Research and Development, High Wycombe, UK; </w:t>
      </w:r>
      <w:r w:rsidRPr="00D11DC0">
        <w:rPr>
          <w:vertAlign w:val="superscript"/>
          <w:lang w:val="en-GB"/>
        </w:rPr>
        <w:t>4</w:t>
      </w:r>
      <w:r w:rsidRPr="00D11DC0">
        <w:rPr>
          <w:lang w:val="en-GB"/>
        </w:rPr>
        <w:t xml:space="preserve">NIHR Southampton Clinical Research Facility and Biomedical Research Centre, Southampton, UK; Faculty of Medicine and Institute for Life Sciences, University of Southampton, Southampton, UK; </w:t>
      </w:r>
      <w:r w:rsidRPr="00D11DC0">
        <w:rPr>
          <w:vertAlign w:val="superscript"/>
          <w:lang w:val="en-GB"/>
        </w:rPr>
        <w:t>5</w:t>
      </w:r>
      <w:r w:rsidRPr="00D11DC0">
        <w:rPr>
          <w:lang w:val="en-GB"/>
        </w:rPr>
        <w:t>Technical University of Munich, Munich, Germany</w:t>
      </w:r>
    </w:p>
    <w:p w14:paraId="003FFD73" w14:textId="77777777" w:rsidR="00C97D09" w:rsidRPr="00D11DC0" w:rsidRDefault="00C97D09" w:rsidP="000B6D0F">
      <w:pPr>
        <w:spacing w:after="0"/>
        <w:rPr>
          <w:rFonts w:cs="Times New Roman"/>
          <w:b/>
          <w:szCs w:val="24"/>
          <w:lang w:val="en-GB"/>
        </w:rPr>
      </w:pPr>
    </w:p>
    <w:p w14:paraId="31EACA64" w14:textId="77777777" w:rsidR="00C97D09" w:rsidRPr="00D11DC0" w:rsidRDefault="00C97D09" w:rsidP="000B6D0F">
      <w:pPr>
        <w:spacing w:after="0"/>
        <w:rPr>
          <w:rFonts w:cs="Times New Roman"/>
          <w:szCs w:val="24"/>
          <w:lang w:val="en-GB"/>
        </w:rPr>
      </w:pPr>
      <w:r w:rsidRPr="00D11DC0">
        <w:rPr>
          <w:rFonts w:cs="Times New Roman"/>
          <w:b/>
          <w:szCs w:val="24"/>
          <w:lang w:val="en-GB"/>
        </w:rPr>
        <w:t>Corresponding Author</w:t>
      </w:r>
      <w:r w:rsidRPr="00D11DC0">
        <w:rPr>
          <w:rFonts w:cs="Times New Roman"/>
          <w:szCs w:val="24"/>
          <w:lang w:val="en-GB"/>
        </w:rPr>
        <w:t>: Frank Struyf, M.D.</w:t>
      </w:r>
    </w:p>
    <w:p w14:paraId="17633F37" w14:textId="77777777" w:rsidR="00C97D09" w:rsidRPr="00D11DC0" w:rsidRDefault="00C97D09" w:rsidP="00B70574">
      <w:pPr>
        <w:spacing w:after="0"/>
        <w:rPr>
          <w:rFonts w:cs="Times New Roman"/>
          <w:szCs w:val="24"/>
          <w:lang w:val="en-GB"/>
        </w:rPr>
      </w:pPr>
      <w:r w:rsidRPr="00D11DC0">
        <w:rPr>
          <w:rFonts w:cs="Times New Roman"/>
          <w:szCs w:val="24"/>
          <w:lang w:val="en-GB"/>
        </w:rPr>
        <w:t xml:space="preserve">Address: Turnhoutseweg 30 B-2340 Beerse, Belgium </w:t>
      </w:r>
    </w:p>
    <w:p w14:paraId="557CDD86" w14:textId="77777777" w:rsidR="00C97D09" w:rsidRPr="00D11DC0" w:rsidRDefault="00C97D09" w:rsidP="00B70574">
      <w:pPr>
        <w:spacing w:after="0"/>
        <w:rPr>
          <w:rFonts w:cs="Times New Roman"/>
          <w:szCs w:val="24"/>
          <w:lang w:val="en-GB"/>
        </w:rPr>
      </w:pPr>
      <w:r w:rsidRPr="00D11DC0">
        <w:rPr>
          <w:rFonts w:cs="Times New Roman"/>
          <w:szCs w:val="24"/>
          <w:lang w:val="en-GB"/>
        </w:rPr>
        <w:t xml:space="preserve">Phone +32 14 641710   </w:t>
      </w:r>
    </w:p>
    <w:p w14:paraId="324B2E87" w14:textId="77777777" w:rsidR="00C97D09" w:rsidRPr="00D11DC0" w:rsidRDefault="00C97D09" w:rsidP="00095709">
      <w:pPr>
        <w:spacing w:after="0"/>
        <w:rPr>
          <w:lang w:val="en-GB"/>
        </w:rPr>
      </w:pPr>
      <w:r w:rsidRPr="00D11DC0">
        <w:rPr>
          <w:rFonts w:cs="Times New Roman"/>
          <w:szCs w:val="24"/>
          <w:lang w:val="en-GB"/>
        </w:rPr>
        <w:t xml:space="preserve">Email: </w:t>
      </w:r>
      <w:hyperlink r:id="rId7" w:history="1">
        <w:r w:rsidRPr="00D11DC0">
          <w:rPr>
            <w:rStyle w:val="Hyperlink"/>
            <w:lang w:val="en-GB"/>
          </w:rPr>
          <w:t>FStruyf@ITS.JNJ.com</w:t>
        </w:r>
      </w:hyperlink>
      <w:r w:rsidRPr="00D11DC0">
        <w:rPr>
          <w:lang w:val="en-GB"/>
        </w:rPr>
        <w:t xml:space="preserve"> </w:t>
      </w:r>
      <w:r w:rsidRPr="00D11DC0">
        <w:rPr>
          <w:lang w:val="en-GB"/>
        </w:rPr>
        <w:br w:type="page"/>
      </w:r>
    </w:p>
    <w:p w14:paraId="0944CA83" w14:textId="77777777" w:rsidR="00C97D09" w:rsidRPr="00D11DC0" w:rsidRDefault="00C97D09" w:rsidP="00DF0712">
      <w:pPr>
        <w:pStyle w:val="Heading1"/>
        <w:spacing w:after="240"/>
        <w:rPr>
          <w:lang w:val="en-GB"/>
        </w:rPr>
      </w:pPr>
      <w:r w:rsidRPr="00D11DC0">
        <w:rPr>
          <w:lang w:val="en-GB"/>
        </w:rPr>
        <w:lastRenderedPageBreak/>
        <w:t>ABSTRACT</w:t>
      </w:r>
    </w:p>
    <w:p w14:paraId="2F19B26C" w14:textId="77777777" w:rsidR="00C97D09" w:rsidRPr="00D11DC0" w:rsidRDefault="00C97D09" w:rsidP="00825202">
      <w:pPr>
        <w:spacing w:after="0"/>
        <w:rPr>
          <w:lang w:val="en-GB"/>
        </w:rPr>
      </w:pPr>
      <w:r w:rsidRPr="00D11DC0">
        <w:rPr>
          <w:b/>
          <w:bCs/>
          <w:lang w:val="en-GB"/>
        </w:rPr>
        <w:t>Background</w:t>
      </w:r>
    </w:p>
    <w:p w14:paraId="07DEA0DF" w14:textId="77777777" w:rsidR="00C97D09" w:rsidRPr="00D11DC0" w:rsidRDefault="00C97D09" w:rsidP="00C5771E">
      <w:pPr>
        <w:rPr>
          <w:lang w:val="en-GB"/>
        </w:rPr>
      </w:pPr>
      <w:r w:rsidRPr="00D11DC0">
        <w:rPr>
          <w:lang w:val="en-GB"/>
        </w:rPr>
        <w:t xml:space="preserve">Despite the availability of effective vaccines against coronavirus disease 2019 (COVID-19), </w:t>
      </w:r>
      <w:r>
        <w:rPr>
          <w:lang w:val="en-GB"/>
        </w:rPr>
        <w:t>b</w:t>
      </w:r>
      <w:r w:rsidRPr="00D11DC0">
        <w:rPr>
          <w:lang w:val="en-GB"/>
        </w:rPr>
        <w:t>ooster vaccinations are needed to maintain vaccine-induced protection</w:t>
      </w:r>
      <w:r>
        <w:rPr>
          <w:lang w:val="en-GB"/>
        </w:rPr>
        <w:t xml:space="preserve"> against </w:t>
      </w:r>
      <w:r w:rsidRPr="00D11DC0">
        <w:rPr>
          <w:lang w:val="en-GB"/>
        </w:rPr>
        <w:t>variant strains and breakthrough infections.</w:t>
      </w:r>
      <w:r>
        <w:rPr>
          <w:lang w:val="en-GB"/>
        </w:rPr>
        <w:t xml:space="preserve"> This study investigated </w:t>
      </w:r>
      <w:r w:rsidRPr="00B32182">
        <w:rPr>
          <w:lang w:val="en-GB"/>
        </w:rPr>
        <w:t xml:space="preserve">the efficacy, safety, and immunogenicity of </w:t>
      </w:r>
      <w:r>
        <w:rPr>
          <w:lang w:val="en-GB"/>
        </w:rPr>
        <w:t xml:space="preserve">the </w:t>
      </w:r>
      <w:r w:rsidRPr="00B32182">
        <w:rPr>
          <w:lang w:val="en-GB"/>
        </w:rPr>
        <w:t xml:space="preserve">Ad26.COV2.S </w:t>
      </w:r>
      <w:r>
        <w:rPr>
          <w:lang w:val="en-GB"/>
        </w:rPr>
        <w:t xml:space="preserve">vaccine </w:t>
      </w:r>
      <w:r w:rsidRPr="00B32182">
        <w:rPr>
          <w:lang w:val="en-GB"/>
        </w:rPr>
        <w:t>as primary vaccination plus a booster dose.</w:t>
      </w:r>
    </w:p>
    <w:p w14:paraId="02CE3101" w14:textId="77777777" w:rsidR="00C97D09" w:rsidRPr="00D11DC0" w:rsidRDefault="00C97D09" w:rsidP="00825202">
      <w:pPr>
        <w:spacing w:after="0"/>
        <w:rPr>
          <w:lang w:val="en-GB"/>
        </w:rPr>
      </w:pPr>
      <w:r w:rsidRPr="00D11DC0">
        <w:rPr>
          <w:b/>
          <w:bCs/>
          <w:lang w:val="en-GB"/>
        </w:rPr>
        <w:t>Methods</w:t>
      </w:r>
    </w:p>
    <w:p w14:paraId="3B3AAA5C" w14:textId="153885A5" w:rsidR="00C97D09" w:rsidRPr="00D11DC0" w:rsidRDefault="00C97D09" w:rsidP="00EC5B7B">
      <w:pPr>
        <w:rPr>
          <w:lang w:val="en-GB"/>
        </w:rPr>
      </w:pPr>
      <w:r w:rsidRPr="00D11DC0">
        <w:rPr>
          <w:lang w:val="en-GB"/>
        </w:rPr>
        <w:t xml:space="preserve">ENSEMBLE2 is an ongoing, randomised, double-blind, placebo-controlled, phase 3 trial </w:t>
      </w:r>
      <w:bookmarkStart w:id="0" w:name="OLE_LINK1"/>
      <w:r w:rsidRPr="00D11DC0">
        <w:rPr>
          <w:lang w:val="en-GB"/>
        </w:rPr>
        <w:t>including crossover vaccination after emergency authorisation of COVID-19 vaccines</w:t>
      </w:r>
      <w:bookmarkEnd w:id="0"/>
      <w:r w:rsidRPr="00D11DC0">
        <w:rPr>
          <w:lang w:val="en-GB"/>
        </w:rPr>
        <w:t xml:space="preserve">. </w:t>
      </w:r>
      <w:bookmarkStart w:id="1" w:name="_Hlk103637069"/>
      <w:r w:rsidRPr="00D11DC0">
        <w:rPr>
          <w:lang w:val="en-GB"/>
        </w:rPr>
        <w:t xml:space="preserve">Adults aged ≥18 years without prior COVID-19 vaccination were randomised 1:1 </w:t>
      </w:r>
      <w:bookmarkStart w:id="2" w:name="_Hlk103678787"/>
      <w:r w:rsidRPr="00D11DC0">
        <w:rPr>
          <w:lang w:val="en-GB"/>
        </w:rPr>
        <w:t xml:space="preserve">via computer algorithm </w:t>
      </w:r>
      <w:bookmarkEnd w:id="2"/>
      <w:r w:rsidRPr="00D11DC0">
        <w:rPr>
          <w:lang w:val="en-GB"/>
        </w:rPr>
        <w:t xml:space="preserve">to receive </w:t>
      </w:r>
      <w:r>
        <w:rPr>
          <w:lang w:val="en-GB"/>
        </w:rPr>
        <w:t xml:space="preserve">intramuscularly administered </w:t>
      </w:r>
      <w:r w:rsidRPr="00D11DC0">
        <w:rPr>
          <w:lang w:val="en-GB"/>
        </w:rPr>
        <w:t>Ad26.COV2.S as a primary dose plus a booster dose at 2 months</w:t>
      </w:r>
      <w:bookmarkEnd w:id="1"/>
      <w:r w:rsidRPr="00D11DC0">
        <w:rPr>
          <w:lang w:val="en-GB"/>
        </w:rPr>
        <w:t xml:space="preserve"> or two placebo injections 2 months apart. </w:t>
      </w:r>
      <w:r w:rsidRPr="00D11DC0">
        <w:rPr>
          <w:rFonts w:cs="Times New Roman"/>
          <w:szCs w:val="24"/>
          <w:lang w:val="en-GB"/>
        </w:rPr>
        <w:t>The primary endpoint was vaccine efficacy against the first occurrence of molecularly-confirmed moderate to severe–critical COVID-19 with onset ≥14 days after booster vaccination</w:t>
      </w:r>
      <w:r w:rsidR="00104FF6">
        <w:rPr>
          <w:rFonts w:cs="Times New Roman"/>
          <w:szCs w:val="24"/>
          <w:lang w:val="en-GB"/>
        </w:rPr>
        <w:t xml:space="preserve">, </w:t>
      </w:r>
      <w:r w:rsidR="00104FF6" w:rsidRPr="00104FF6">
        <w:rPr>
          <w:rFonts w:cs="Times New Roman"/>
          <w:szCs w:val="24"/>
          <w:lang w:val="en-GB"/>
        </w:rPr>
        <w:t xml:space="preserve">which was assessed in participants who received </w:t>
      </w:r>
      <w:r w:rsidR="000721D3">
        <w:rPr>
          <w:rFonts w:cs="Times New Roman"/>
          <w:szCs w:val="24"/>
          <w:lang w:val="en-GB"/>
        </w:rPr>
        <w:t>2</w:t>
      </w:r>
      <w:r w:rsidR="00104FF6" w:rsidRPr="00104FF6">
        <w:rPr>
          <w:rFonts w:cs="Times New Roman"/>
          <w:szCs w:val="24"/>
          <w:lang w:val="en-GB"/>
        </w:rPr>
        <w:t xml:space="preserve"> doses of vaccine or placebo, were negative for SARS-CoV-2 </w:t>
      </w:r>
      <w:r w:rsidR="000721D3">
        <w:rPr>
          <w:rFonts w:cs="Times New Roman"/>
          <w:szCs w:val="24"/>
          <w:lang w:val="en-GB"/>
        </w:rPr>
        <w:t>by polymerase chain reaction</w:t>
      </w:r>
      <w:r w:rsidR="00104FF6" w:rsidRPr="00104FF6">
        <w:rPr>
          <w:rFonts w:cs="Times New Roman"/>
          <w:szCs w:val="24"/>
          <w:lang w:val="en-GB"/>
        </w:rPr>
        <w:t xml:space="preserve"> </w:t>
      </w:r>
      <w:r w:rsidR="000721D3">
        <w:rPr>
          <w:rFonts w:cs="Times New Roman"/>
          <w:szCs w:val="24"/>
          <w:lang w:val="en-GB"/>
        </w:rPr>
        <w:t>(</w:t>
      </w:r>
      <w:r w:rsidR="00104FF6" w:rsidRPr="00104FF6">
        <w:rPr>
          <w:rFonts w:cs="Times New Roman"/>
          <w:szCs w:val="24"/>
          <w:lang w:val="en-GB"/>
        </w:rPr>
        <w:t>PCR</w:t>
      </w:r>
      <w:r w:rsidR="000721D3">
        <w:rPr>
          <w:rFonts w:cs="Times New Roman"/>
          <w:szCs w:val="24"/>
          <w:lang w:val="en-GB"/>
        </w:rPr>
        <w:t>)</w:t>
      </w:r>
      <w:r w:rsidR="00104FF6" w:rsidRPr="00104FF6">
        <w:rPr>
          <w:rFonts w:cs="Times New Roman"/>
          <w:szCs w:val="24"/>
          <w:lang w:val="en-GB"/>
        </w:rPr>
        <w:t xml:space="preserve"> at baseline and on serology at baseline and day 71, had no major protocol </w:t>
      </w:r>
      <w:r w:rsidR="00E16306" w:rsidRPr="00104FF6">
        <w:rPr>
          <w:rFonts w:cs="Times New Roman"/>
          <w:szCs w:val="24"/>
          <w:lang w:val="en-GB"/>
        </w:rPr>
        <w:t>deviations, and were at risk of COVID-19 (ie, had no PCR-positive result or discontinued the study before day 7</w:t>
      </w:r>
      <w:r w:rsidR="002E35EE">
        <w:rPr>
          <w:rFonts w:cs="Times New Roman"/>
          <w:szCs w:val="24"/>
          <w:lang w:val="en-GB"/>
        </w:rPr>
        <w:t>1</w:t>
      </w:r>
      <w:r w:rsidR="00E16306" w:rsidRPr="00104FF6">
        <w:rPr>
          <w:rFonts w:cs="Times New Roman"/>
          <w:szCs w:val="24"/>
          <w:lang w:val="en-GB"/>
        </w:rPr>
        <w:t>)</w:t>
      </w:r>
      <w:r w:rsidR="00E16306">
        <w:rPr>
          <w:rFonts w:cs="Times New Roman"/>
          <w:szCs w:val="24"/>
          <w:lang w:val="en-GB"/>
        </w:rPr>
        <w:t xml:space="preserve">. </w:t>
      </w:r>
      <w:r w:rsidR="000748DA">
        <w:rPr>
          <w:rFonts w:cs="Times New Roman"/>
          <w:szCs w:val="24"/>
          <w:lang w:val="en-GB"/>
        </w:rPr>
        <w:t>Safety</w:t>
      </w:r>
      <w:r w:rsidR="006A5E34">
        <w:rPr>
          <w:rFonts w:cs="Times New Roman"/>
          <w:szCs w:val="24"/>
          <w:lang w:val="en-GB"/>
        </w:rPr>
        <w:t xml:space="preserve"> was assessed in all participants; </w:t>
      </w:r>
      <w:r w:rsidR="0080607F">
        <w:rPr>
          <w:rFonts w:cs="Times New Roman"/>
          <w:szCs w:val="24"/>
          <w:lang w:val="en-GB"/>
        </w:rPr>
        <w:t>reactogenicity in terms of solicited local and systemic adverse events (AEs)</w:t>
      </w:r>
      <w:r w:rsidR="000748DA">
        <w:rPr>
          <w:rFonts w:cs="Times New Roman"/>
          <w:szCs w:val="24"/>
          <w:lang w:val="en-GB"/>
        </w:rPr>
        <w:t xml:space="preserve"> was assessed as a secondary endpoint</w:t>
      </w:r>
      <w:r w:rsidR="00813196">
        <w:rPr>
          <w:rFonts w:cs="Times New Roman"/>
          <w:szCs w:val="24"/>
          <w:lang w:val="en-GB"/>
        </w:rPr>
        <w:t xml:space="preserve"> </w:t>
      </w:r>
      <w:r w:rsidR="00813196" w:rsidRPr="00813196">
        <w:rPr>
          <w:rFonts w:cs="Times New Roman"/>
          <w:szCs w:val="24"/>
          <w:lang w:val="en-GB"/>
        </w:rPr>
        <w:t>in a safety subset (approximately 6000 randomly</w:t>
      </w:r>
      <w:r w:rsidR="00EB049F">
        <w:rPr>
          <w:rFonts w:cs="Times New Roman"/>
          <w:szCs w:val="24"/>
          <w:lang w:val="en-GB"/>
        </w:rPr>
        <w:t xml:space="preserve"> </w:t>
      </w:r>
      <w:r w:rsidR="00813196" w:rsidRPr="00813196">
        <w:rPr>
          <w:rFonts w:cs="Times New Roman"/>
          <w:szCs w:val="24"/>
          <w:lang w:val="en-GB"/>
        </w:rPr>
        <w:t>selected participants).</w:t>
      </w:r>
    </w:p>
    <w:p w14:paraId="54A671B3" w14:textId="77777777" w:rsidR="00C97D09" w:rsidRPr="00D11DC0" w:rsidRDefault="00C97D09" w:rsidP="00172622">
      <w:pPr>
        <w:keepNext/>
        <w:spacing w:after="0"/>
        <w:rPr>
          <w:lang w:val="en-GB"/>
        </w:rPr>
      </w:pPr>
      <w:r w:rsidRPr="00D11DC0">
        <w:rPr>
          <w:b/>
          <w:bCs/>
          <w:lang w:val="en-GB"/>
        </w:rPr>
        <w:lastRenderedPageBreak/>
        <w:t>Findings</w:t>
      </w:r>
    </w:p>
    <w:p w14:paraId="1064CE8D" w14:textId="24543E4B" w:rsidR="00C97D09" w:rsidRPr="00D11DC0" w:rsidRDefault="00C97D09" w:rsidP="002C4252">
      <w:pPr>
        <w:rPr>
          <w:lang w:val="en-GB"/>
        </w:rPr>
      </w:pPr>
      <w:r>
        <w:rPr>
          <w:lang w:val="en-GB"/>
        </w:rPr>
        <w:t xml:space="preserve">The </w:t>
      </w:r>
      <w:r w:rsidRPr="00D11DC0">
        <w:rPr>
          <w:lang w:val="en-GB"/>
        </w:rPr>
        <w:t xml:space="preserve">double-blind phase enrolled 31,300 participants, 14,492 of whom received two doses </w:t>
      </w:r>
      <w:r w:rsidR="00B44D57" w:rsidRPr="00B44D57">
        <w:rPr>
          <w:lang w:val="en-GB"/>
        </w:rPr>
        <w:t>(7484 in the Ad26.COV2.S group and 7008 in the placebo group) and 11,639 of whom were eligible for inclusion in the assessment of the primary endpoint</w:t>
      </w:r>
      <w:r w:rsidR="007A61F7">
        <w:rPr>
          <w:lang w:val="en-GB"/>
        </w:rPr>
        <w:t xml:space="preserve"> </w:t>
      </w:r>
      <w:r w:rsidR="007A61F7" w:rsidRPr="00B44D57">
        <w:rPr>
          <w:lang w:val="en-GB"/>
        </w:rPr>
        <w:t>(6024 in the Ad26.COV2.S group and 5615 in the placebo group)</w:t>
      </w:r>
      <w:r w:rsidR="00C52531">
        <w:rPr>
          <w:lang w:val="en-GB"/>
        </w:rPr>
        <w:t xml:space="preserve">. </w:t>
      </w:r>
      <w:r w:rsidRPr="00D11DC0">
        <w:rPr>
          <w:rFonts w:cs="Arial"/>
          <w:lang w:val="en-GB"/>
        </w:rPr>
        <w:t>The median (interquartile range [IQR]) follow-up post-</w:t>
      </w:r>
      <w:r>
        <w:rPr>
          <w:rFonts w:cs="Arial"/>
          <w:lang w:val="en-GB"/>
        </w:rPr>
        <w:t>booster</w:t>
      </w:r>
      <w:r w:rsidRPr="00D11DC0">
        <w:rPr>
          <w:rFonts w:cs="Arial"/>
          <w:lang w:val="en-GB"/>
        </w:rPr>
        <w:t xml:space="preserve"> vaccination was </w:t>
      </w:r>
      <w:r w:rsidRPr="005D0032">
        <w:rPr>
          <w:rFonts w:cs="Arial"/>
          <w:lang w:val="en-GB"/>
        </w:rPr>
        <w:t xml:space="preserve">36·0 (15·0-62·0) </w:t>
      </w:r>
      <w:r w:rsidRPr="00D11DC0">
        <w:rPr>
          <w:rFonts w:cs="Arial"/>
          <w:lang w:val="en-GB"/>
        </w:rPr>
        <w:t xml:space="preserve">days. </w:t>
      </w:r>
      <w:bookmarkStart w:id="3" w:name="_Hlk103604981"/>
      <w:r w:rsidRPr="00D11DC0">
        <w:rPr>
          <w:lang w:val="en-GB"/>
        </w:rPr>
        <w:t xml:space="preserve">Vaccine efficacy was 75·2% (adjusted 95% CI, 54·6-87·3) against </w:t>
      </w:r>
      <w:bookmarkStart w:id="4" w:name="_Hlk107413535"/>
      <w:r w:rsidRPr="00D11DC0">
        <w:rPr>
          <w:lang w:val="en-GB"/>
        </w:rPr>
        <w:t>moderate to severe–critical COVID-19</w:t>
      </w:r>
      <w:bookmarkEnd w:id="4"/>
      <w:r w:rsidR="00C821C8">
        <w:rPr>
          <w:lang w:val="en-GB"/>
        </w:rPr>
        <w:t xml:space="preserve"> (14 </w:t>
      </w:r>
      <w:r w:rsidR="005313EF">
        <w:rPr>
          <w:lang w:val="en-GB"/>
        </w:rPr>
        <w:t xml:space="preserve">and 52 cases in </w:t>
      </w:r>
      <w:r w:rsidR="00621026">
        <w:rPr>
          <w:lang w:val="en-GB"/>
        </w:rPr>
        <w:t xml:space="preserve">the </w:t>
      </w:r>
      <w:r w:rsidR="005313EF">
        <w:rPr>
          <w:lang w:val="en-GB"/>
        </w:rPr>
        <w:t>Ad26.COV2.S and placebo groups, respectively)</w:t>
      </w:r>
      <w:r w:rsidRPr="00D11DC0">
        <w:rPr>
          <w:lang w:val="en-GB"/>
        </w:rPr>
        <w:t xml:space="preserve">. </w:t>
      </w:r>
      <w:bookmarkEnd w:id="3"/>
      <w:r w:rsidRPr="00D11DC0">
        <w:rPr>
          <w:rFonts w:cs="Times New Roman"/>
          <w:szCs w:val="24"/>
          <w:lang w:val="en-GB"/>
        </w:rPr>
        <w:t>Most cases were due to the variants Alpha and Mu</w:t>
      </w:r>
      <w:r w:rsidRPr="00FC3B4C">
        <w:t>; data collection for the primary analysis (November 16, 2020 through June 25, 2021)</w:t>
      </w:r>
      <w:r>
        <w:t xml:space="preserve"> </w:t>
      </w:r>
      <w:r>
        <w:rPr>
          <w:lang w:val="en-GB"/>
        </w:rPr>
        <w:t xml:space="preserve">accrued </w:t>
      </w:r>
      <w:r w:rsidRPr="006E177F">
        <w:rPr>
          <w:rFonts w:cs="Times New Roman"/>
          <w:szCs w:val="24"/>
          <w:lang w:val="en-GB"/>
        </w:rPr>
        <w:t xml:space="preserve">before </w:t>
      </w:r>
      <w:r>
        <w:rPr>
          <w:rFonts w:cs="Times New Roman"/>
          <w:szCs w:val="24"/>
          <w:lang w:val="en-GB"/>
        </w:rPr>
        <w:t xml:space="preserve">the </w:t>
      </w:r>
      <w:r w:rsidRPr="006E177F">
        <w:rPr>
          <w:rFonts w:cs="Times New Roman"/>
          <w:szCs w:val="24"/>
          <w:lang w:val="en-GB"/>
        </w:rPr>
        <w:t>global dominance of Delta or Omicron</w:t>
      </w:r>
      <w:r w:rsidRPr="00D11DC0">
        <w:rPr>
          <w:rFonts w:cs="Times New Roman"/>
          <w:szCs w:val="24"/>
          <w:lang w:val="en-GB"/>
        </w:rPr>
        <w:t xml:space="preserve">. The booster vaccine exhibited an acceptable safety profile. </w:t>
      </w:r>
      <w:bookmarkStart w:id="5" w:name="_Hlk103637895"/>
      <w:bookmarkStart w:id="6" w:name="_Hlk107412893"/>
      <w:r w:rsidR="00290BC4">
        <w:rPr>
          <w:lang w:val="en-GB"/>
        </w:rPr>
        <w:t>T</w:t>
      </w:r>
      <w:r w:rsidRPr="00D11DC0">
        <w:rPr>
          <w:lang w:val="en-GB"/>
        </w:rPr>
        <w:t>he overall frequencies of solicited local and systemic AEs</w:t>
      </w:r>
      <w:r>
        <w:rPr>
          <w:lang w:val="en-GB"/>
        </w:rPr>
        <w:t xml:space="preserve"> </w:t>
      </w:r>
      <w:r w:rsidR="00CE25DC">
        <w:rPr>
          <w:lang w:val="en-GB"/>
        </w:rPr>
        <w:t>(</w:t>
      </w:r>
      <w:r w:rsidR="00535DA7">
        <w:rPr>
          <w:lang w:val="en-GB"/>
        </w:rPr>
        <w:t xml:space="preserve">evaluated in the </w:t>
      </w:r>
      <w:r w:rsidR="00CE25DC">
        <w:rPr>
          <w:lang w:val="en-GB"/>
        </w:rPr>
        <w:t xml:space="preserve">safety subset, n=6067) </w:t>
      </w:r>
      <w:r w:rsidRPr="00D11DC0">
        <w:rPr>
          <w:lang w:val="en-GB"/>
        </w:rPr>
        <w:t>were</w:t>
      </w:r>
      <w:r w:rsidR="00290BC4">
        <w:rPr>
          <w:lang w:val="en-GB"/>
        </w:rPr>
        <w:t xml:space="preserve"> higher</w:t>
      </w:r>
      <w:r w:rsidR="009E1AA9">
        <w:rPr>
          <w:lang w:val="en-GB"/>
        </w:rPr>
        <w:t xml:space="preserve"> </w:t>
      </w:r>
      <w:r w:rsidR="00290BC4">
        <w:rPr>
          <w:lang w:val="en-GB"/>
        </w:rPr>
        <w:t xml:space="preserve">among vaccine recipients </w:t>
      </w:r>
      <w:r w:rsidR="007C4644">
        <w:rPr>
          <w:lang w:val="en-GB"/>
        </w:rPr>
        <w:t>than placebo recipients</w:t>
      </w:r>
      <w:r w:rsidR="00AB3F95" w:rsidRPr="00AB3F95">
        <w:rPr>
          <w:lang w:val="en-GB"/>
        </w:rPr>
        <w:t xml:space="preserve"> </w:t>
      </w:r>
      <w:r w:rsidR="00AB3F95">
        <w:rPr>
          <w:lang w:val="en-GB"/>
        </w:rPr>
        <w:t>after the primary and booster doses</w:t>
      </w:r>
      <w:r w:rsidR="00290BC4">
        <w:rPr>
          <w:lang w:val="en-GB"/>
        </w:rPr>
        <w:t xml:space="preserve">. The frequency of solicited AEs </w:t>
      </w:r>
      <w:r w:rsidR="00290BC4" w:rsidRPr="00D11DC0">
        <w:rPr>
          <w:lang w:val="en-GB"/>
        </w:rPr>
        <w:t>in the Ad26.COV2.S group</w:t>
      </w:r>
      <w:r w:rsidR="00290BC4">
        <w:rPr>
          <w:lang w:val="en-GB"/>
        </w:rPr>
        <w:t xml:space="preserve"> were</w:t>
      </w:r>
      <w:r w:rsidRPr="00D11DC0">
        <w:rPr>
          <w:lang w:val="en-GB"/>
        </w:rPr>
        <w:t xml:space="preserve"> similar following the primary and booster vaccinations </w:t>
      </w:r>
      <w:bookmarkEnd w:id="5"/>
      <w:r w:rsidR="00275661">
        <w:rPr>
          <w:lang w:val="en-GB"/>
        </w:rPr>
        <w:t>(</w:t>
      </w:r>
      <w:r w:rsidR="004A4741">
        <w:rPr>
          <w:lang w:val="en-GB"/>
        </w:rPr>
        <w:t xml:space="preserve">local AEs, </w:t>
      </w:r>
      <w:r w:rsidR="009E1AA9">
        <w:rPr>
          <w:lang w:val="en-GB"/>
        </w:rPr>
        <w:t>1676/3015 [</w:t>
      </w:r>
      <w:r w:rsidR="00275661" w:rsidRPr="00275661">
        <w:rPr>
          <w:lang w:val="en-GB"/>
        </w:rPr>
        <w:t>55·6</w:t>
      </w:r>
      <w:r w:rsidR="00275661">
        <w:rPr>
          <w:lang w:val="en-GB"/>
        </w:rPr>
        <w:t>%</w:t>
      </w:r>
      <w:r w:rsidR="009E1AA9">
        <w:rPr>
          <w:lang w:val="en-GB"/>
        </w:rPr>
        <w:t>]</w:t>
      </w:r>
      <w:r w:rsidR="00275661">
        <w:rPr>
          <w:lang w:val="en-GB"/>
        </w:rPr>
        <w:t xml:space="preserve"> vs </w:t>
      </w:r>
      <w:r w:rsidR="009E1AA9">
        <w:rPr>
          <w:lang w:val="en-GB"/>
        </w:rPr>
        <w:t>896/1559 [</w:t>
      </w:r>
      <w:r w:rsidR="00275661" w:rsidRPr="00275661">
        <w:rPr>
          <w:lang w:val="en-GB"/>
        </w:rPr>
        <w:t>5</w:t>
      </w:r>
      <w:r w:rsidR="00275661">
        <w:rPr>
          <w:lang w:val="en-GB"/>
        </w:rPr>
        <w:t>7</w:t>
      </w:r>
      <w:r w:rsidR="00275661" w:rsidRPr="00275661">
        <w:rPr>
          <w:lang w:val="en-GB"/>
        </w:rPr>
        <w:t>·</w:t>
      </w:r>
      <w:r w:rsidR="00275661">
        <w:rPr>
          <w:lang w:val="en-GB"/>
        </w:rPr>
        <w:t>5%</w:t>
      </w:r>
      <w:r w:rsidR="009E1AA9">
        <w:rPr>
          <w:lang w:val="en-GB"/>
        </w:rPr>
        <w:t>]</w:t>
      </w:r>
      <w:r w:rsidR="004A4741">
        <w:rPr>
          <w:lang w:val="en-GB"/>
        </w:rPr>
        <w:t>;</w:t>
      </w:r>
      <w:r w:rsidR="00275661">
        <w:rPr>
          <w:lang w:val="en-GB"/>
        </w:rPr>
        <w:t xml:space="preserve"> </w:t>
      </w:r>
      <w:r w:rsidR="004A4741">
        <w:rPr>
          <w:lang w:val="en-GB"/>
        </w:rPr>
        <w:t>systemic</w:t>
      </w:r>
      <w:r w:rsidR="00275661">
        <w:rPr>
          <w:lang w:val="en-GB"/>
        </w:rPr>
        <w:t xml:space="preserve"> AEs</w:t>
      </w:r>
      <w:r w:rsidR="004A4741">
        <w:rPr>
          <w:lang w:val="en-GB"/>
        </w:rPr>
        <w:t>,</w:t>
      </w:r>
      <w:r w:rsidR="00275661">
        <w:rPr>
          <w:lang w:val="en-GB"/>
        </w:rPr>
        <w:t xml:space="preserve"> </w:t>
      </w:r>
      <w:r w:rsidR="009E1AA9">
        <w:rPr>
          <w:lang w:val="en-GB"/>
        </w:rPr>
        <w:t>1764/3015 [</w:t>
      </w:r>
      <w:r w:rsidR="00275661" w:rsidRPr="00275661">
        <w:rPr>
          <w:lang w:val="en-GB"/>
        </w:rPr>
        <w:t>5</w:t>
      </w:r>
      <w:r w:rsidR="00275661">
        <w:rPr>
          <w:lang w:val="en-GB"/>
        </w:rPr>
        <w:t>8</w:t>
      </w:r>
      <w:r w:rsidR="00275661" w:rsidRPr="00275661">
        <w:rPr>
          <w:lang w:val="en-GB"/>
        </w:rPr>
        <w:t>·</w:t>
      </w:r>
      <w:r w:rsidR="00275661">
        <w:rPr>
          <w:lang w:val="en-GB"/>
        </w:rPr>
        <w:t>5%</w:t>
      </w:r>
      <w:r w:rsidR="009E1AA9">
        <w:rPr>
          <w:lang w:val="en-GB"/>
        </w:rPr>
        <w:t>]</w:t>
      </w:r>
      <w:r w:rsidR="00275661">
        <w:rPr>
          <w:lang w:val="en-GB"/>
        </w:rPr>
        <w:t xml:space="preserve"> vs </w:t>
      </w:r>
      <w:r w:rsidR="009E1AA9">
        <w:rPr>
          <w:lang w:val="en-GB"/>
        </w:rPr>
        <w:t>821/1559 [</w:t>
      </w:r>
      <w:r w:rsidR="00275661" w:rsidRPr="00275661">
        <w:rPr>
          <w:lang w:val="en-GB"/>
        </w:rPr>
        <w:t>5</w:t>
      </w:r>
      <w:r w:rsidR="00275661">
        <w:rPr>
          <w:lang w:val="en-GB"/>
        </w:rPr>
        <w:t>2</w:t>
      </w:r>
      <w:r w:rsidR="00275661" w:rsidRPr="00275661">
        <w:rPr>
          <w:lang w:val="en-GB"/>
        </w:rPr>
        <w:t>·</w:t>
      </w:r>
      <w:r w:rsidR="00275661">
        <w:rPr>
          <w:lang w:val="en-GB"/>
        </w:rPr>
        <w:t>7%</w:t>
      </w:r>
      <w:r w:rsidR="009E1AA9">
        <w:rPr>
          <w:lang w:val="en-GB"/>
        </w:rPr>
        <w:t>]</w:t>
      </w:r>
      <w:r w:rsidR="00275661">
        <w:rPr>
          <w:lang w:val="en-GB"/>
        </w:rPr>
        <w:t>)</w:t>
      </w:r>
      <w:r w:rsidRPr="00D11DC0">
        <w:rPr>
          <w:lang w:val="en-GB"/>
        </w:rPr>
        <w:t>.</w:t>
      </w:r>
      <w:r w:rsidR="00CC7016">
        <w:rPr>
          <w:lang w:val="en-GB"/>
        </w:rPr>
        <w:t xml:space="preserve"> </w:t>
      </w:r>
      <w:r w:rsidR="00261311">
        <w:rPr>
          <w:lang w:val="en-GB"/>
        </w:rPr>
        <w:t xml:space="preserve">Solicited </w:t>
      </w:r>
      <w:r w:rsidR="00765B95">
        <w:rPr>
          <w:lang w:val="en-GB"/>
        </w:rPr>
        <w:t xml:space="preserve">AEs </w:t>
      </w:r>
      <w:r w:rsidR="00261311">
        <w:rPr>
          <w:lang w:val="en-GB"/>
        </w:rPr>
        <w:t>were transient and mostly grade 1-2 in severity.</w:t>
      </w:r>
      <w:bookmarkEnd w:id="6"/>
    </w:p>
    <w:p w14:paraId="0654A7A1" w14:textId="77777777" w:rsidR="00C97D09" w:rsidRPr="00D11DC0" w:rsidRDefault="00C97D09" w:rsidP="00825202">
      <w:pPr>
        <w:spacing w:after="0"/>
        <w:rPr>
          <w:lang w:val="en-GB"/>
        </w:rPr>
      </w:pPr>
      <w:r w:rsidRPr="00D11DC0">
        <w:rPr>
          <w:b/>
          <w:bCs/>
          <w:lang w:val="en-GB"/>
        </w:rPr>
        <w:t>Interpretation</w:t>
      </w:r>
    </w:p>
    <w:p w14:paraId="78AF8C00" w14:textId="13D23D1F" w:rsidR="00C97D09" w:rsidRPr="00D11DC0" w:rsidRDefault="00C97D09">
      <w:pPr>
        <w:rPr>
          <w:lang w:val="en-GB"/>
        </w:rPr>
      </w:pPr>
      <w:bookmarkStart w:id="7" w:name="_Hlk106281948"/>
      <w:bookmarkStart w:id="8" w:name="_Hlk103346945"/>
      <w:r w:rsidRPr="00D11DC0">
        <w:rPr>
          <w:lang w:val="en-GB"/>
        </w:rPr>
        <w:t>A homologous Ad26.COV2.S booster administered 2 months after primary single-dose vaccination in adults</w:t>
      </w:r>
      <w:r w:rsidRPr="00D11DC0" w:rsidDel="00654B1F">
        <w:rPr>
          <w:lang w:val="en-GB"/>
        </w:rPr>
        <w:t xml:space="preserve"> </w:t>
      </w:r>
      <w:r w:rsidR="002B6D93">
        <w:rPr>
          <w:lang w:val="en-GB"/>
        </w:rPr>
        <w:t xml:space="preserve">was </w:t>
      </w:r>
      <w:r w:rsidR="00FF2812">
        <w:rPr>
          <w:lang w:val="en-GB"/>
        </w:rPr>
        <w:t xml:space="preserve">safe and </w:t>
      </w:r>
      <w:r w:rsidR="008473C8">
        <w:rPr>
          <w:lang w:val="en-GB"/>
        </w:rPr>
        <w:t xml:space="preserve">efficacious </w:t>
      </w:r>
      <w:r w:rsidR="00FF2812">
        <w:rPr>
          <w:lang w:val="en-GB"/>
        </w:rPr>
        <w:t xml:space="preserve">against </w:t>
      </w:r>
      <w:r w:rsidR="00FF2812" w:rsidRPr="00D11DC0">
        <w:rPr>
          <w:lang w:val="en-GB"/>
        </w:rPr>
        <w:t>moderate to severe–critical COVID-19</w:t>
      </w:r>
      <w:r w:rsidRPr="00D11DC0">
        <w:rPr>
          <w:lang w:val="en-GB"/>
        </w:rPr>
        <w:t xml:space="preserve">. </w:t>
      </w:r>
      <w:bookmarkEnd w:id="7"/>
      <w:r w:rsidR="006255F0">
        <w:rPr>
          <w:lang w:val="en-GB"/>
        </w:rPr>
        <w:t xml:space="preserve">Studies assessing </w:t>
      </w:r>
      <w:r w:rsidR="006255F0" w:rsidRPr="00735EA7">
        <w:rPr>
          <w:lang w:val="en-GB"/>
        </w:rPr>
        <w:t xml:space="preserve">efficacy against newer variants </w:t>
      </w:r>
      <w:r w:rsidR="006255F0">
        <w:rPr>
          <w:lang w:val="en-GB"/>
        </w:rPr>
        <w:t xml:space="preserve">and with </w:t>
      </w:r>
      <w:r w:rsidR="00173613">
        <w:rPr>
          <w:lang w:val="en-GB"/>
        </w:rPr>
        <w:t>l</w:t>
      </w:r>
      <w:r w:rsidR="0074668C" w:rsidRPr="00735EA7">
        <w:rPr>
          <w:lang w:val="en-GB"/>
        </w:rPr>
        <w:t xml:space="preserve">onger follow-up </w:t>
      </w:r>
      <w:r w:rsidR="006255F0">
        <w:rPr>
          <w:lang w:val="en-GB"/>
        </w:rPr>
        <w:t>are needed</w:t>
      </w:r>
      <w:r w:rsidR="000925F5">
        <w:rPr>
          <w:lang w:val="en-GB"/>
        </w:rPr>
        <w:t xml:space="preserve">. </w:t>
      </w:r>
      <w:r w:rsidR="002C4647">
        <w:rPr>
          <w:lang w:val="en-GB"/>
        </w:rPr>
        <w:t>D</w:t>
      </w:r>
      <w:r>
        <w:rPr>
          <w:lang w:val="en-GB"/>
        </w:rPr>
        <w:t>evelopment of variant-specific vaccines based on the Ad26.COV2.S backbone may be considered.</w:t>
      </w:r>
      <w:r w:rsidR="00735EA7">
        <w:rPr>
          <w:lang w:val="en-GB"/>
        </w:rPr>
        <w:t xml:space="preserve"> </w:t>
      </w:r>
    </w:p>
    <w:bookmarkEnd w:id="8"/>
    <w:p w14:paraId="019AC4E7" w14:textId="77777777" w:rsidR="00C97D09" w:rsidRPr="00D11DC0" w:rsidRDefault="00C97D09" w:rsidP="00F42146">
      <w:pPr>
        <w:spacing w:after="0"/>
        <w:rPr>
          <w:rFonts w:cs="Times New Roman"/>
          <w:szCs w:val="24"/>
          <w:lang w:val="en-GB"/>
        </w:rPr>
      </w:pPr>
      <w:r w:rsidRPr="00D11DC0">
        <w:rPr>
          <w:rFonts w:cs="Times New Roman"/>
          <w:b/>
          <w:bCs/>
          <w:szCs w:val="24"/>
          <w:lang w:val="en-GB"/>
        </w:rPr>
        <w:t>Funding</w:t>
      </w:r>
    </w:p>
    <w:p w14:paraId="298090C9" w14:textId="04F31CC6" w:rsidR="00C97D09" w:rsidRPr="00D11DC0" w:rsidRDefault="00C97D09">
      <w:pPr>
        <w:rPr>
          <w:rFonts w:cs="Times New Roman"/>
          <w:szCs w:val="24"/>
          <w:lang w:val="en-GB"/>
        </w:rPr>
      </w:pPr>
      <w:r w:rsidRPr="00D11DC0">
        <w:rPr>
          <w:rFonts w:cs="Times New Roman"/>
          <w:szCs w:val="24"/>
          <w:lang w:val="en-GB"/>
        </w:rPr>
        <w:lastRenderedPageBreak/>
        <w:t xml:space="preserve">Janssen Research and Development; ENSEMBLE2 ClinicalTrials.gov number, </w:t>
      </w:r>
      <w:r w:rsidRPr="00D11DC0">
        <w:rPr>
          <w:lang w:val="en-GB"/>
        </w:rPr>
        <w:t>NCT04614948</w:t>
      </w:r>
      <w:r w:rsidRPr="00D11DC0">
        <w:rPr>
          <w:rFonts w:cs="Times New Roman"/>
          <w:szCs w:val="24"/>
          <w:lang w:val="en-GB"/>
        </w:rPr>
        <w:t>.</w:t>
      </w:r>
    </w:p>
    <w:p w14:paraId="443F31B5" w14:textId="5FC24D66" w:rsidR="005913A0" w:rsidRPr="005913A0" w:rsidRDefault="005913A0" w:rsidP="00544B01">
      <w:pPr>
        <w:tabs>
          <w:tab w:val="left" w:pos="2355"/>
        </w:tabs>
        <w:rPr>
          <w:rFonts w:cs="Times New Roman"/>
          <w:szCs w:val="24"/>
          <w:lang w:val="en-GB"/>
        </w:rPr>
        <w:sectPr w:rsidR="005913A0" w:rsidRPr="005913A0" w:rsidSect="00544B01">
          <w:headerReference w:type="default" r:id="rId8"/>
          <w:footerReference w:type="default" r:id="rId9"/>
          <w:pgSz w:w="12240" w:h="15840"/>
          <w:pgMar w:top="1440" w:right="1440" w:bottom="1440" w:left="1440" w:header="720" w:footer="720" w:gutter="0"/>
          <w:lnNumType w:countBy="1" w:restart="continuous"/>
          <w:cols w:space="720"/>
          <w:docGrid w:linePitch="360"/>
        </w:sectPr>
      </w:pPr>
    </w:p>
    <w:p w14:paraId="4762C50F" w14:textId="77777777" w:rsidR="00C97D09" w:rsidRPr="00D11DC0" w:rsidRDefault="00C97D09" w:rsidP="005F45B0">
      <w:pPr>
        <w:pStyle w:val="Heading1"/>
        <w:spacing w:after="240"/>
        <w:rPr>
          <w:lang w:val="en-GB"/>
        </w:rPr>
      </w:pPr>
      <w:r w:rsidRPr="00D11DC0">
        <w:rPr>
          <w:lang w:val="en-GB"/>
        </w:rPr>
        <w:lastRenderedPageBreak/>
        <w:t>RESEARCH IN CONTEXT</w:t>
      </w:r>
    </w:p>
    <w:p w14:paraId="332E9995" w14:textId="77777777" w:rsidR="00C97D09" w:rsidRPr="00D11DC0" w:rsidRDefault="00C97D09" w:rsidP="00446B58">
      <w:pPr>
        <w:spacing w:after="0"/>
        <w:rPr>
          <w:rFonts w:cs="Times New Roman"/>
          <w:b/>
          <w:bCs/>
          <w:szCs w:val="24"/>
          <w:lang w:val="en-GB"/>
        </w:rPr>
      </w:pPr>
      <w:r w:rsidRPr="00D11DC0">
        <w:rPr>
          <w:rFonts w:cs="Times New Roman"/>
          <w:b/>
          <w:bCs/>
          <w:szCs w:val="24"/>
          <w:lang w:val="en-GB"/>
        </w:rPr>
        <w:t>Evidence before this study</w:t>
      </w:r>
    </w:p>
    <w:p w14:paraId="1DC6A766" w14:textId="22D3868E" w:rsidR="00C97D09" w:rsidRPr="00D11DC0" w:rsidRDefault="00C97D09" w:rsidP="00446B58">
      <w:pPr>
        <w:rPr>
          <w:rFonts w:cs="Times New Roman"/>
          <w:szCs w:val="24"/>
          <w:lang w:val="en-GB"/>
        </w:rPr>
      </w:pPr>
      <w:bookmarkStart w:id="9" w:name="_Hlk103605791"/>
      <w:r w:rsidRPr="00D11DC0">
        <w:rPr>
          <w:rFonts w:cs="Times New Roman"/>
          <w:szCs w:val="24"/>
          <w:lang w:val="en-GB"/>
        </w:rPr>
        <w:t>We previously reported the final analysis of the phase 3 single-dose Ad26.COV2.S vaccine efficacy trial, which demonstrated 56</w:t>
      </w:r>
      <w:r w:rsidRPr="00D11DC0">
        <w:rPr>
          <w:lang w:val="en-GB"/>
        </w:rPr>
        <w:t>·</w:t>
      </w:r>
      <w:r>
        <w:rPr>
          <w:lang w:val="en-GB"/>
        </w:rPr>
        <w:t>3</w:t>
      </w:r>
      <w:r w:rsidRPr="00D11DC0">
        <w:rPr>
          <w:rFonts w:cs="Times New Roman"/>
          <w:szCs w:val="24"/>
          <w:lang w:val="en-GB"/>
        </w:rPr>
        <w:t xml:space="preserve">% </w:t>
      </w:r>
      <w:r>
        <w:rPr>
          <w:rFonts w:cs="Times New Roman"/>
          <w:szCs w:val="24"/>
          <w:lang w:val="en-GB"/>
        </w:rPr>
        <w:t>(95% confidence interval [CI], 51</w:t>
      </w:r>
      <w:r w:rsidRPr="00D11DC0">
        <w:rPr>
          <w:lang w:val="en-GB"/>
        </w:rPr>
        <w:t>·</w:t>
      </w:r>
      <w:r>
        <w:rPr>
          <w:rFonts w:cs="Times New Roman"/>
          <w:szCs w:val="24"/>
          <w:lang w:val="en-GB"/>
        </w:rPr>
        <w:t>3–60</w:t>
      </w:r>
      <w:r w:rsidRPr="00D11DC0">
        <w:rPr>
          <w:lang w:val="en-GB"/>
        </w:rPr>
        <w:t>·</w:t>
      </w:r>
      <w:r>
        <w:rPr>
          <w:rFonts w:cs="Times New Roman"/>
          <w:szCs w:val="24"/>
          <w:lang w:val="en-GB"/>
        </w:rPr>
        <w:t xml:space="preserve">8) </w:t>
      </w:r>
      <w:r w:rsidRPr="00D11DC0">
        <w:rPr>
          <w:rFonts w:cs="Times New Roman"/>
          <w:szCs w:val="24"/>
          <w:lang w:val="en-GB"/>
        </w:rPr>
        <w:t>efficacy against moderate to severe–critical COVID-19 and 7</w:t>
      </w:r>
      <w:r>
        <w:rPr>
          <w:rFonts w:cs="Times New Roman"/>
          <w:szCs w:val="24"/>
          <w:lang w:val="en-GB"/>
        </w:rPr>
        <w:t>4</w:t>
      </w:r>
      <w:bookmarkStart w:id="10" w:name="_Hlk105670445"/>
      <w:r w:rsidRPr="00D11DC0">
        <w:rPr>
          <w:lang w:val="en-GB"/>
        </w:rPr>
        <w:t>·</w:t>
      </w:r>
      <w:bookmarkEnd w:id="10"/>
      <w:r>
        <w:rPr>
          <w:lang w:val="en-GB"/>
        </w:rPr>
        <w:t>6</w:t>
      </w:r>
      <w:r w:rsidRPr="00D11DC0">
        <w:rPr>
          <w:rFonts w:cs="Times New Roman"/>
          <w:szCs w:val="24"/>
          <w:lang w:val="en-GB"/>
        </w:rPr>
        <w:t xml:space="preserve">% </w:t>
      </w:r>
      <w:r>
        <w:rPr>
          <w:rFonts w:cs="Times New Roman"/>
          <w:szCs w:val="24"/>
          <w:lang w:val="en-GB"/>
        </w:rPr>
        <w:t>(95% CI, 64</w:t>
      </w:r>
      <w:r w:rsidRPr="00D11DC0">
        <w:rPr>
          <w:lang w:val="en-GB"/>
        </w:rPr>
        <w:t>·</w:t>
      </w:r>
      <w:r>
        <w:rPr>
          <w:lang w:val="en-GB"/>
        </w:rPr>
        <w:t>7</w:t>
      </w:r>
      <w:r>
        <w:rPr>
          <w:rFonts w:cs="Times New Roman"/>
          <w:szCs w:val="24"/>
          <w:lang w:val="en-GB"/>
        </w:rPr>
        <w:t>–82</w:t>
      </w:r>
      <w:r w:rsidRPr="00D11DC0">
        <w:rPr>
          <w:lang w:val="en-GB"/>
        </w:rPr>
        <w:t>·</w:t>
      </w:r>
      <w:r>
        <w:rPr>
          <w:lang w:val="en-GB"/>
        </w:rPr>
        <w:t>1</w:t>
      </w:r>
      <w:r>
        <w:rPr>
          <w:rFonts w:cs="Times New Roman"/>
          <w:szCs w:val="24"/>
          <w:lang w:val="en-GB"/>
        </w:rPr>
        <w:t xml:space="preserve">) </w:t>
      </w:r>
      <w:r w:rsidRPr="00D11DC0">
        <w:rPr>
          <w:rFonts w:cs="Times New Roman"/>
          <w:szCs w:val="24"/>
          <w:lang w:val="en-GB"/>
        </w:rPr>
        <w:t>efficacy against severe–critical COVID-19</w:t>
      </w:r>
      <w:bookmarkEnd w:id="9"/>
      <w:r w:rsidRPr="00D11DC0">
        <w:rPr>
          <w:rFonts w:cs="Times New Roman"/>
          <w:szCs w:val="24"/>
          <w:lang w:val="en-GB"/>
        </w:rPr>
        <w:t>. Although several authorised vaccines were efficacious in preventing COVID-19 illness, waning efficacy</w:t>
      </w:r>
      <w:r>
        <w:rPr>
          <w:rFonts w:cs="Times New Roman"/>
          <w:szCs w:val="24"/>
          <w:lang w:val="en-GB"/>
        </w:rPr>
        <w:t xml:space="preserve"> </w:t>
      </w:r>
      <w:r w:rsidR="007C70DA" w:rsidRPr="00D11DC0">
        <w:rPr>
          <w:rFonts w:cs="Times New Roman"/>
          <w:szCs w:val="24"/>
          <w:lang w:val="en-GB"/>
        </w:rPr>
        <w:t xml:space="preserve">over time </w:t>
      </w:r>
      <w:r>
        <w:rPr>
          <w:rFonts w:cs="Times New Roman"/>
          <w:szCs w:val="24"/>
          <w:lang w:val="en-GB"/>
        </w:rPr>
        <w:t>for mRNA vaccines</w:t>
      </w:r>
      <w:r w:rsidR="007C70DA">
        <w:rPr>
          <w:rFonts w:cs="Times New Roman"/>
          <w:szCs w:val="24"/>
          <w:lang w:val="en-GB"/>
        </w:rPr>
        <w:t>, in particular,</w:t>
      </w:r>
      <w:r w:rsidRPr="00D11DC0">
        <w:rPr>
          <w:rFonts w:cs="Times New Roman"/>
          <w:szCs w:val="24"/>
          <w:lang w:val="en-GB"/>
        </w:rPr>
        <w:t xml:space="preserve"> and the continued emergence of variants highlighted the need for booster vaccination. In a PubMed search on </w:t>
      </w:r>
      <w:r>
        <w:rPr>
          <w:rFonts w:cs="Times New Roman"/>
          <w:szCs w:val="24"/>
          <w:lang w:val="en-GB"/>
        </w:rPr>
        <w:t>June 1</w:t>
      </w:r>
      <w:r w:rsidRPr="00D11DC0">
        <w:rPr>
          <w:rFonts w:cs="Times New Roman"/>
          <w:szCs w:val="24"/>
          <w:lang w:val="en-GB"/>
        </w:rPr>
        <w:t xml:space="preserve">, 2022 with no language or date restrictions, using the terms “COVID”, “vaccine”, and “booster OR third dose” and filtering for randomised controlled trials (RCTs), we retrieved 30 results. </w:t>
      </w:r>
      <w:bookmarkStart w:id="11" w:name="_Hlk103680198"/>
      <w:r w:rsidRPr="00D11DC0">
        <w:rPr>
          <w:rFonts w:cs="Times New Roman"/>
          <w:szCs w:val="24"/>
          <w:lang w:val="en-GB"/>
        </w:rPr>
        <w:t>No phase 3 RCTs evaluating clinical efficacy of boosters were identified</w:t>
      </w:r>
      <w:bookmarkEnd w:id="11"/>
      <w:r w:rsidRPr="00D11DC0">
        <w:rPr>
          <w:rFonts w:cs="Times New Roman"/>
          <w:szCs w:val="24"/>
          <w:lang w:val="en-GB"/>
        </w:rPr>
        <w:t xml:space="preserve">. The publications generally described acceptable safety profiles for booster vaccinations and demonstrated increased neutralizing antibody responses after boosting. </w:t>
      </w:r>
      <w:r>
        <w:rPr>
          <w:rFonts w:cs="Times New Roman"/>
          <w:szCs w:val="24"/>
          <w:lang w:val="en-GB"/>
        </w:rPr>
        <w:t xml:space="preserve">Several publications compared the effect of boosting regimens among different COVID-19 vaccines. </w:t>
      </w:r>
      <w:r w:rsidRPr="00D11DC0">
        <w:rPr>
          <w:rFonts w:cs="Times New Roman"/>
          <w:szCs w:val="24"/>
          <w:lang w:val="en-GB"/>
        </w:rPr>
        <w:t>Although some reports have shown effectiveness and immunogenicity of a third (booster) dose of mRNA vaccines</w:t>
      </w:r>
      <w:r w:rsidRPr="0056551D">
        <w:rPr>
          <w:rFonts w:cs="Times New Roman"/>
          <w:szCs w:val="24"/>
          <w:lang w:val="en-GB"/>
        </w:rPr>
        <w:t xml:space="preserve"> </w:t>
      </w:r>
      <w:r>
        <w:rPr>
          <w:rFonts w:cs="Times New Roman"/>
          <w:szCs w:val="24"/>
          <w:lang w:val="en-GB"/>
        </w:rPr>
        <w:t>and inactivated whole virion vaccines</w:t>
      </w:r>
      <w:r w:rsidRPr="00D11DC0">
        <w:rPr>
          <w:rFonts w:cs="Times New Roman"/>
          <w:szCs w:val="24"/>
          <w:lang w:val="en-GB"/>
        </w:rPr>
        <w:t>, to date, no available publications describe large phase 3 clinical efficacy trials of booster regimens for Ad26.COV2.S.</w:t>
      </w:r>
    </w:p>
    <w:p w14:paraId="6910A55B" w14:textId="77777777" w:rsidR="00C97D09" w:rsidRPr="00D11DC0" w:rsidRDefault="00C97D09" w:rsidP="00446B58">
      <w:pPr>
        <w:spacing w:after="0"/>
        <w:rPr>
          <w:rFonts w:cs="Times New Roman"/>
          <w:b/>
          <w:bCs/>
          <w:szCs w:val="24"/>
          <w:lang w:val="en-GB"/>
        </w:rPr>
      </w:pPr>
      <w:r w:rsidRPr="00D11DC0">
        <w:rPr>
          <w:rFonts w:cs="Times New Roman"/>
          <w:b/>
          <w:bCs/>
          <w:szCs w:val="24"/>
          <w:lang w:val="en-GB"/>
        </w:rPr>
        <w:t>Added value of this study</w:t>
      </w:r>
    </w:p>
    <w:p w14:paraId="3EA481D4" w14:textId="77777777" w:rsidR="00C97D09" w:rsidRPr="00D11DC0" w:rsidRDefault="00C97D09" w:rsidP="00446B58">
      <w:pPr>
        <w:rPr>
          <w:rFonts w:cs="Times New Roman"/>
          <w:szCs w:val="24"/>
          <w:lang w:val="en-GB"/>
        </w:rPr>
      </w:pPr>
      <w:r w:rsidRPr="00D11DC0">
        <w:rPr>
          <w:rFonts w:cs="Times New Roman"/>
          <w:szCs w:val="24"/>
          <w:lang w:val="en-GB"/>
        </w:rPr>
        <w:t xml:space="preserve">The current study evaluated the efficacy of a homologous booster dose of Ad26.COV2.S given 2 months after the primary dose in a large, multinational, randomised, double-blind, placebo-controlled phase 3 trial. </w:t>
      </w:r>
      <w:r>
        <w:rPr>
          <w:rFonts w:cs="Times New Roman"/>
          <w:szCs w:val="24"/>
          <w:lang w:val="en-GB"/>
        </w:rPr>
        <w:t>Observed vaccine efficacy varied by severity: a</w:t>
      </w:r>
      <w:r w:rsidRPr="00D11DC0">
        <w:rPr>
          <w:rFonts w:cs="Times New Roman"/>
          <w:szCs w:val="24"/>
          <w:lang w:val="en-GB"/>
        </w:rPr>
        <w:t xml:space="preserve"> booster dose provided 75</w:t>
      </w:r>
      <w:r w:rsidRPr="00D11DC0">
        <w:rPr>
          <w:lang w:val="en-GB"/>
        </w:rPr>
        <w:t>·</w:t>
      </w:r>
      <w:r>
        <w:rPr>
          <w:lang w:val="en-GB"/>
        </w:rPr>
        <w:t>2</w:t>
      </w:r>
      <w:r w:rsidRPr="00D11DC0">
        <w:rPr>
          <w:rFonts w:cs="Times New Roman"/>
          <w:szCs w:val="24"/>
          <w:lang w:val="en-GB"/>
        </w:rPr>
        <w:t xml:space="preserve">% </w:t>
      </w:r>
      <w:r>
        <w:rPr>
          <w:rFonts w:cs="Times New Roman"/>
          <w:szCs w:val="24"/>
          <w:lang w:val="en-GB"/>
        </w:rPr>
        <w:t>(</w:t>
      </w:r>
      <w:bookmarkStart w:id="12" w:name="_Hlk105681391"/>
      <w:r>
        <w:rPr>
          <w:rFonts w:cs="Times New Roman"/>
          <w:szCs w:val="24"/>
          <w:lang w:val="en-GB"/>
        </w:rPr>
        <w:t>adjusted 95% CI, 54</w:t>
      </w:r>
      <w:r w:rsidRPr="00D11DC0">
        <w:rPr>
          <w:lang w:val="en-GB"/>
        </w:rPr>
        <w:t>·</w:t>
      </w:r>
      <w:r>
        <w:rPr>
          <w:lang w:val="en-GB"/>
        </w:rPr>
        <w:t>6</w:t>
      </w:r>
      <w:r>
        <w:rPr>
          <w:rFonts w:cs="Times New Roman"/>
          <w:szCs w:val="24"/>
          <w:lang w:val="en-GB"/>
        </w:rPr>
        <w:t>–87</w:t>
      </w:r>
      <w:bookmarkEnd w:id="12"/>
      <w:r w:rsidRPr="00D11DC0">
        <w:rPr>
          <w:lang w:val="en-GB"/>
        </w:rPr>
        <w:t>·</w:t>
      </w:r>
      <w:r>
        <w:rPr>
          <w:lang w:val="en-GB"/>
        </w:rPr>
        <w:t>3</w:t>
      </w:r>
      <w:r>
        <w:rPr>
          <w:rFonts w:cs="Times New Roman"/>
          <w:szCs w:val="24"/>
          <w:lang w:val="en-GB"/>
        </w:rPr>
        <w:t xml:space="preserve">) </w:t>
      </w:r>
      <w:r w:rsidRPr="00D11DC0">
        <w:rPr>
          <w:rFonts w:cs="Times New Roman"/>
          <w:szCs w:val="24"/>
          <w:lang w:val="en-GB"/>
        </w:rPr>
        <w:t xml:space="preserve">efficacy against moderate to severe–critical COVID-19 and 100% </w:t>
      </w:r>
      <w:r>
        <w:rPr>
          <w:rFonts w:cs="Times New Roman"/>
          <w:szCs w:val="24"/>
          <w:lang w:val="en-GB"/>
        </w:rPr>
        <w:t>(</w:t>
      </w:r>
      <w:bookmarkStart w:id="13" w:name="_Hlk105681405"/>
      <w:r>
        <w:rPr>
          <w:rFonts w:cs="Times New Roman"/>
          <w:szCs w:val="24"/>
          <w:lang w:val="en-GB"/>
        </w:rPr>
        <w:t>95% CI, 33–100</w:t>
      </w:r>
      <w:bookmarkEnd w:id="13"/>
      <w:r>
        <w:rPr>
          <w:rFonts w:cs="Times New Roman"/>
          <w:szCs w:val="24"/>
          <w:lang w:val="en-GB"/>
        </w:rPr>
        <w:t xml:space="preserve">) </w:t>
      </w:r>
      <w:r w:rsidRPr="00D11DC0">
        <w:rPr>
          <w:rFonts w:cs="Times New Roman"/>
          <w:szCs w:val="24"/>
          <w:lang w:val="en-GB"/>
        </w:rPr>
        <w:t xml:space="preserve">efficacy against severe–critical COVID-19 by 14 days after boosting. </w:t>
      </w:r>
      <w:r w:rsidRPr="00D11DC0">
        <w:rPr>
          <w:rFonts w:cs="Times New Roman"/>
          <w:szCs w:val="24"/>
          <w:lang w:val="en-GB"/>
        </w:rPr>
        <w:lastRenderedPageBreak/>
        <w:t xml:space="preserve">We observed an increase in antibody titres post-boost, which coincided with increased efficacy, and reduced severity of illness in breakthrough cases. </w:t>
      </w:r>
      <w:bookmarkStart w:id="14" w:name="_Hlk103344983"/>
      <w:bookmarkStart w:id="15" w:name="_Hlk103583221"/>
      <w:r w:rsidRPr="00D11DC0">
        <w:rPr>
          <w:rFonts w:cs="Times New Roman"/>
          <w:szCs w:val="24"/>
          <w:lang w:val="en-GB"/>
        </w:rPr>
        <w:t>The variants Alpha and Mu were responsible for most COVID-19 cases d</w:t>
      </w:r>
      <w:bookmarkStart w:id="16" w:name="_Hlk103583288"/>
      <w:r w:rsidRPr="00D11DC0">
        <w:rPr>
          <w:rFonts w:cs="Times New Roman"/>
          <w:szCs w:val="24"/>
          <w:lang w:val="en-GB"/>
        </w:rPr>
        <w:t xml:space="preserve">etected during the study period (17 and 14 cases </w:t>
      </w:r>
      <w:r>
        <w:rPr>
          <w:rFonts w:cs="Times New Roman"/>
          <w:szCs w:val="24"/>
          <w:lang w:val="en-GB"/>
        </w:rPr>
        <w:t xml:space="preserve">at least 14 days after booster vaccination </w:t>
      </w:r>
      <w:r w:rsidRPr="00D11DC0">
        <w:rPr>
          <w:rFonts w:cs="Times New Roman"/>
          <w:szCs w:val="24"/>
          <w:lang w:val="en-GB"/>
        </w:rPr>
        <w:t>in the per-protocol efficacy set, respectively).</w:t>
      </w:r>
      <w:bookmarkEnd w:id="16"/>
      <w:r w:rsidRPr="00D11DC0">
        <w:rPr>
          <w:rFonts w:cs="Times New Roman"/>
          <w:szCs w:val="24"/>
          <w:lang w:val="en-GB"/>
        </w:rPr>
        <w:t xml:space="preserve"> Data collection </w:t>
      </w:r>
      <w:r w:rsidRPr="00080525">
        <w:rPr>
          <w:rFonts w:cs="Times New Roman"/>
          <w:szCs w:val="24"/>
          <w:lang w:val="en-GB"/>
        </w:rPr>
        <w:t xml:space="preserve">for the primary analysis </w:t>
      </w:r>
      <w:r w:rsidRPr="00D11DC0">
        <w:rPr>
          <w:rFonts w:cs="Times New Roman"/>
          <w:szCs w:val="24"/>
          <w:lang w:val="en-GB"/>
        </w:rPr>
        <w:t>(November 16, 2020 through June 25, 2021) took place prior to global dominance of Delta or Omicron</w:t>
      </w:r>
      <w:bookmarkEnd w:id="14"/>
      <w:r w:rsidRPr="00F220D5">
        <w:t xml:space="preserve">. </w:t>
      </w:r>
      <w:bookmarkStart w:id="17" w:name="_Hlk106201799"/>
      <w:bookmarkEnd w:id="15"/>
      <w:r>
        <w:rPr>
          <w:rFonts w:ascii="Times" w:hAnsi="Times"/>
          <w:lang w:val="en-GB"/>
        </w:rPr>
        <w:t>M</w:t>
      </w:r>
      <w:r w:rsidRPr="00711D2C">
        <w:rPr>
          <w:rFonts w:ascii="Times" w:hAnsi="Times"/>
          <w:lang w:val="en-GB"/>
        </w:rPr>
        <w:t xml:space="preserve">edian (IQR) follow-up </w:t>
      </w:r>
      <w:r>
        <w:rPr>
          <w:rFonts w:ascii="Times" w:hAnsi="Times"/>
          <w:lang w:val="en-GB"/>
        </w:rPr>
        <w:t xml:space="preserve">post-booster </w:t>
      </w:r>
      <w:r w:rsidRPr="00711D2C">
        <w:rPr>
          <w:rFonts w:ascii="Times" w:hAnsi="Times"/>
          <w:lang w:val="en-GB"/>
        </w:rPr>
        <w:t>was 36·0 days</w:t>
      </w:r>
      <w:r>
        <w:rPr>
          <w:rFonts w:ascii="Times" w:hAnsi="Times"/>
          <w:lang w:val="en-GB"/>
        </w:rPr>
        <w:t xml:space="preserve">, and events accrued without any significant gaps. </w:t>
      </w:r>
      <w:bookmarkStart w:id="18" w:name="_Hlk106277676"/>
      <w:bookmarkEnd w:id="17"/>
      <w:r w:rsidRPr="00D11DC0">
        <w:rPr>
          <w:rFonts w:cs="Times New Roman"/>
          <w:szCs w:val="24"/>
          <w:lang w:val="en-GB"/>
        </w:rPr>
        <w:t xml:space="preserve">Although it was not possible to draw conclusions for all cases caused by specific variants, in part due to low case numbers, </w:t>
      </w:r>
      <w:r w:rsidRPr="00D35D24">
        <w:rPr>
          <w:rFonts w:cs="Times New Roman"/>
          <w:szCs w:val="24"/>
          <w:lang w:val="en-GB"/>
        </w:rPr>
        <w:t xml:space="preserve">variant-dependent efficacy </w:t>
      </w:r>
      <w:r>
        <w:rPr>
          <w:rFonts w:cs="Times New Roman"/>
          <w:szCs w:val="24"/>
          <w:lang w:val="en-GB"/>
        </w:rPr>
        <w:t>after</w:t>
      </w:r>
      <w:r w:rsidRPr="00D35D24">
        <w:rPr>
          <w:rFonts w:cs="Times New Roman"/>
          <w:szCs w:val="24"/>
          <w:lang w:val="en-GB"/>
        </w:rPr>
        <w:t xml:space="preserve"> </w:t>
      </w:r>
      <w:r w:rsidRPr="00D11DC0">
        <w:rPr>
          <w:rFonts w:cs="Times New Roman"/>
          <w:szCs w:val="24"/>
          <w:lang w:val="en-GB"/>
        </w:rPr>
        <w:t xml:space="preserve">primary immunisation and boosting </w:t>
      </w:r>
      <w:r w:rsidRPr="00D35D24">
        <w:rPr>
          <w:rFonts w:cs="Times New Roman"/>
          <w:szCs w:val="24"/>
          <w:lang w:val="en-GB"/>
        </w:rPr>
        <w:t xml:space="preserve">was observed for Alpha and Mu </w:t>
      </w:r>
      <w:r>
        <w:rPr>
          <w:rFonts w:cs="Times New Roman"/>
          <w:szCs w:val="24"/>
          <w:lang w:val="en-GB"/>
        </w:rPr>
        <w:t>variants</w:t>
      </w:r>
      <w:r w:rsidRPr="00D11DC0">
        <w:rPr>
          <w:rFonts w:cs="Times New Roman"/>
          <w:szCs w:val="24"/>
          <w:lang w:val="en-GB"/>
        </w:rPr>
        <w:t xml:space="preserve">. </w:t>
      </w:r>
      <w:bookmarkEnd w:id="18"/>
      <w:r w:rsidRPr="00D11DC0">
        <w:rPr>
          <w:rFonts w:cs="Times New Roman"/>
          <w:szCs w:val="24"/>
          <w:lang w:val="en-GB"/>
        </w:rPr>
        <w:t>Because this global study was conducted while the variant landscape was rapidly evolving, these results provide valuable information on the use of Ad26.COV2.S as a booster vaccine in the context of the ongoing pandemic.</w:t>
      </w:r>
    </w:p>
    <w:p w14:paraId="48157FD3" w14:textId="77777777" w:rsidR="00C97D09" w:rsidRPr="00D11DC0" w:rsidRDefault="00C97D09" w:rsidP="00446B58">
      <w:pPr>
        <w:spacing w:after="0"/>
        <w:rPr>
          <w:rFonts w:cs="Times New Roman"/>
          <w:b/>
          <w:bCs/>
          <w:szCs w:val="24"/>
          <w:lang w:val="en-GB"/>
        </w:rPr>
      </w:pPr>
      <w:r w:rsidRPr="00D11DC0">
        <w:rPr>
          <w:rFonts w:cs="Times New Roman"/>
          <w:b/>
          <w:bCs/>
          <w:szCs w:val="24"/>
          <w:lang w:val="en-GB"/>
        </w:rPr>
        <w:t>Implications of all available evidence</w:t>
      </w:r>
    </w:p>
    <w:p w14:paraId="7BD5AB5F" w14:textId="4AC6D728" w:rsidR="00C97D09" w:rsidRPr="00D11DC0" w:rsidRDefault="00C97D09" w:rsidP="00446B58">
      <w:pPr>
        <w:rPr>
          <w:rFonts w:cs="Times New Roman"/>
          <w:szCs w:val="24"/>
          <w:lang w:val="en-GB"/>
        </w:rPr>
      </w:pPr>
      <w:r w:rsidRPr="00D11DC0">
        <w:rPr>
          <w:rFonts w:cs="Times New Roman"/>
          <w:szCs w:val="24"/>
          <w:lang w:val="en-GB"/>
        </w:rPr>
        <w:t>Despite the availability of vaccines in most developed countries, strategies are needed to manage COVID-19 surges, prevent the rise of new variants, and limit the impact of breakthrough infections. Available evidence suggests that homologous boosters are safe and effective, and Ad26.COV2.S represents a sound booster option.</w:t>
      </w:r>
      <w:r w:rsidR="00056863">
        <w:rPr>
          <w:rFonts w:cs="Times New Roman"/>
          <w:szCs w:val="24"/>
          <w:lang w:val="en-GB"/>
        </w:rPr>
        <w:t xml:space="preserve"> </w:t>
      </w:r>
      <w:bookmarkStart w:id="19" w:name="_Hlk108184815"/>
      <w:r w:rsidR="00B10930">
        <w:rPr>
          <w:rFonts w:cs="Times New Roman"/>
          <w:szCs w:val="24"/>
          <w:lang w:val="en-GB"/>
        </w:rPr>
        <w:t>Additional studies and d</w:t>
      </w:r>
      <w:r w:rsidR="007B43A0">
        <w:rPr>
          <w:rFonts w:cs="Times New Roman"/>
          <w:szCs w:val="24"/>
          <w:lang w:val="en-GB"/>
        </w:rPr>
        <w:t xml:space="preserve">ata </w:t>
      </w:r>
      <w:r w:rsidR="00B10930">
        <w:rPr>
          <w:rFonts w:cs="Times New Roman"/>
          <w:szCs w:val="24"/>
          <w:lang w:val="en-GB"/>
        </w:rPr>
        <w:t xml:space="preserve">are needed to evaluate vaccine </w:t>
      </w:r>
      <w:r w:rsidR="007B43A0">
        <w:rPr>
          <w:rFonts w:cs="Times New Roman"/>
          <w:szCs w:val="24"/>
          <w:lang w:val="en-GB"/>
        </w:rPr>
        <w:t>efficacy against the current variants.</w:t>
      </w:r>
      <w:bookmarkEnd w:id="19"/>
    </w:p>
    <w:p w14:paraId="4F1C6707" w14:textId="77777777" w:rsidR="00C97D09" w:rsidRPr="00D11DC0" w:rsidRDefault="00C97D09">
      <w:pPr>
        <w:rPr>
          <w:lang w:val="en-GB"/>
        </w:rPr>
      </w:pPr>
      <w:r w:rsidRPr="00D11DC0">
        <w:rPr>
          <w:lang w:val="en-GB"/>
        </w:rPr>
        <w:br w:type="page"/>
      </w:r>
    </w:p>
    <w:p w14:paraId="0FA959C7" w14:textId="77777777" w:rsidR="00C97D09" w:rsidRPr="00D11DC0" w:rsidRDefault="00C97D09" w:rsidP="004F09B9">
      <w:pPr>
        <w:pStyle w:val="Heading1"/>
        <w:rPr>
          <w:lang w:val="en-GB"/>
        </w:rPr>
      </w:pPr>
      <w:r w:rsidRPr="00D11DC0">
        <w:rPr>
          <w:lang w:val="en-GB"/>
        </w:rPr>
        <w:lastRenderedPageBreak/>
        <w:t>INTRODUCTION</w:t>
      </w:r>
    </w:p>
    <w:p w14:paraId="6EE5DFC9" w14:textId="77777777" w:rsidR="00C97D09" w:rsidRPr="00D11DC0" w:rsidRDefault="00C97D09">
      <w:pPr>
        <w:rPr>
          <w:lang w:val="en-GB"/>
        </w:rPr>
      </w:pPr>
      <w:r w:rsidRPr="00D11DC0">
        <w:rPr>
          <w:lang w:val="en-GB"/>
        </w:rPr>
        <w:t>The emergence of variant strains and breakthrough infections</w:t>
      </w:r>
      <w:r w:rsidRPr="00D11DC0">
        <w:rPr>
          <w:vertAlign w:val="superscript"/>
          <w:lang w:val="en-GB"/>
        </w:rPr>
        <w:t>1</w:t>
      </w:r>
      <w:r w:rsidRPr="00D11DC0">
        <w:rPr>
          <w:lang w:val="en-GB"/>
        </w:rPr>
        <w:t xml:space="preserve"> requires the improvement and prolongation of vaccine-induced protection against severe acute respiratory syndrome coronavirus-2 (SARS-CoV-2) infection and coronavirus disease 2019 (COVID-19). The initial World Health Organization target profile recommended that COVID-19 vaccines should be highly efficacious as a single dose, with booster doses administered for long-term protection.</w:t>
      </w:r>
      <w:r w:rsidRPr="00D11DC0">
        <w:rPr>
          <w:vertAlign w:val="superscript"/>
          <w:lang w:val="en-GB"/>
        </w:rPr>
        <w:t>2</w:t>
      </w:r>
      <w:r w:rsidRPr="00D11DC0">
        <w:rPr>
          <w:lang w:val="en-GB"/>
        </w:rPr>
        <w:t xml:space="preserve"> The Ad26.COV2.S vaccine is a recombinant, replication-incompetent human adenovirus type 26 (Ad26) vector encoding a prefusion conformation-stabilised, full-length, membrane-bound SARS-CoV-2 spike protein.</w:t>
      </w:r>
      <w:r w:rsidRPr="00D11DC0">
        <w:rPr>
          <w:vertAlign w:val="superscript"/>
          <w:lang w:val="en-GB"/>
        </w:rPr>
        <w:t>3</w:t>
      </w:r>
      <w:r w:rsidRPr="00D11DC0">
        <w:rPr>
          <w:lang w:val="en-GB"/>
        </w:rPr>
        <w:t xml:space="preserve"> </w:t>
      </w:r>
      <w:bookmarkStart w:id="20" w:name="_Hlk104530837"/>
      <w:r>
        <w:rPr>
          <w:lang w:val="en-GB"/>
        </w:rPr>
        <w:t>In the phase 3 ENSEMBLE trial, vaccine efficacy against moderate to severe–critical COVID-19 at least 14 days after a single dose of Ad26.COV2.S was 56% (95% confidence interval [CI], 51.3–60.8).</w:t>
      </w:r>
      <w:bookmarkEnd w:id="20"/>
      <w:r w:rsidRPr="00BD5770">
        <w:rPr>
          <w:noProof/>
          <w:vertAlign w:val="superscript"/>
          <w:lang w:val="en-GB"/>
        </w:rPr>
        <w:t>4</w:t>
      </w:r>
      <w:r>
        <w:rPr>
          <w:lang w:val="en-GB"/>
        </w:rPr>
        <w:t xml:space="preserve"> </w:t>
      </w:r>
      <w:bookmarkStart w:id="21" w:name="_Hlk104534359"/>
      <w:r>
        <w:rPr>
          <w:lang w:val="en-GB"/>
        </w:rPr>
        <w:t>Results of an earlier phase 1/2a trial demonstrated that reactogenicity following a second dose of Ad26COV2.S was lower than after one dose.</w:t>
      </w:r>
      <w:r w:rsidRPr="003C32A1">
        <w:rPr>
          <w:noProof/>
          <w:vertAlign w:val="superscript"/>
          <w:lang w:val="en-GB"/>
        </w:rPr>
        <w:t>5</w:t>
      </w:r>
      <w:bookmarkEnd w:id="21"/>
      <w:r>
        <w:rPr>
          <w:lang w:val="en-GB"/>
        </w:rPr>
        <w:t xml:space="preserve"> Ad26.COV2.S was first granted emergency use authorization in the United States on 27 February 2021 and in Europe on 11 March 2021 as a single-dose primary regimen, and has since been granted authorization in numerous countries globally. Additional doses of COVID-19 vaccines have become necessary to maximise protection against emerging variants</w:t>
      </w:r>
      <w:r w:rsidRPr="00D11DC0">
        <w:rPr>
          <w:lang w:val="en-GB"/>
        </w:rPr>
        <w:t>.</w:t>
      </w:r>
      <w:r>
        <w:rPr>
          <w:lang w:val="en-GB"/>
        </w:rPr>
        <w:t xml:space="preserve"> The purpose of the ENSEMBLE2 study was to evaluate the protection an Ad26.COV2.S booster may provide against COVID-19. </w:t>
      </w:r>
      <w:r w:rsidRPr="00D11DC0">
        <w:rPr>
          <w:lang w:val="en-GB"/>
        </w:rPr>
        <w:t xml:space="preserve">We report here the results of the </w:t>
      </w:r>
      <w:r>
        <w:rPr>
          <w:lang w:val="en-GB"/>
        </w:rPr>
        <w:t xml:space="preserve">placebo-controlled </w:t>
      </w:r>
      <w:r w:rsidRPr="00D11DC0">
        <w:rPr>
          <w:lang w:val="en-GB"/>
        </w:rPr>
        <w:t>double-blind portion of the phase 3 ENSEMBLE2 trial investigating the efficacy, safety, and immunogenicity of Ad26.COV2.S administered as primary vaccination plus a booster dose after a 56-day (2-month) interval.</w:t>
      </w:r>
    </w:p>
    <w:p w14:paraId="03C72094" w14:textId="77777777" w:rsidR="00C97D09" w:rsidRPr="00D11DC0" w:rsidRDefault="00C97D09">
      <w:pPr>
        <w:rPr>
          <w:lang w:val="en-GB"/>
        </w:rPr>
      </w:pPr>
    </w:p>
    <w:p w14:paraId="0939794D" w14:textId="77777777" w:rsidR="00C97D09" w:rsidRPr="00D11DC0" w:rsidRDefault="00C97D09" w:rsidP="004F09B9">
      <w:pPr>
        <w:pStyle w:val="Heading1"/>
        <w:rPr>
          <w:lang w:val="en-GB"/>
        </w:rPr>
      </w:pPr>
      <w:r w:rsidRPr="00D11DC0">
        <w:rPr>
          <w:lang w:val="en-GB"/>
        </w:rPr>
        <w:lastRenderedPageBreak/>
        <w:t>METHODS</w:t>
      </w:r>
    </w:p>
    <w:p w14:paraId="7CEF46E7" w14:textId="7DFC18DC" w:rsidR="00C97D09" w:rsidRPr="00D11DC0" w:rsidRDefault="0075361E" w:rsidP="00C14F25">
      <w:pPr>
        <w:pStyle w:val="Heading2"/>
        <w:rPr>
          <w:lang w:val="en-GB"/>
        </w:rPr>
      </w:pPr>
      <w:r>
        <w:rPr>
          <w:lang w:val="en-GB"/>
        </w:rPr>
        <w:t>Study design and participants</w:t>
      </w:r>
    </w:p>
    <w:p w14:paraId="027FF426" w14:textId="77777777" w:rsidR="00C97D09" w:rsidRPr="00D11DC0" w:rsidRDefault="00C97D09" w:rsidP="00676B4C">
      <w:pPr>
        <w:rPr>
          <w:lang w:val="en-GB"/>
        </w:rPr>
      </w:pPr>
      <w:r w:rsidRPr="00D11DC0">
        <w:rPr>
          <w:lang w:val="en-GB"/>
        </w:rPr>
        <w:t xml:space="preserve">ENSEMBLE2 is an ongoing, randomised, double-blind, placebo-controlled, phase 3 trial (including crossover vaccination </w:t>
      </w:r>
      <w:r>
        <w:rPr>
          <w:lang w:val="en-GB"/>
        </w:rPr>
        <w:t xml:space="preserve">for the placebo group </w:t>
      </w:r>
      <w:r w:rsidRPr="00D11DC0">
        <w:rPr>
          <w:lang w:val="en-GB"/>
        </w:rPr>
        <w:t xml:space="preserve">after emergency authorisation of </w:t>
      </w:r>
      <w:r>
        <w:rPr>
          <w:lang w:val="en-GB"/>
        </w:rPr>
        <w:t>COVID</w:t>
      </w:r>
      <w:r w:rsidRPr="00D11DC0">
        <w:rPr>
          <w:lang w:val="en-GB"/>
        </w:rPr>
        <w:t>-19 vaccines)</w:t>
      </w:r>
      <w:r w:rsidRPr="00D11DC0" w:rsidDel="005C0B72">
        <w:rPr>
          <w:lang w:val="en-GB"/>
        </w:rPr>
        <w:t xml:space="preserve"> </w:t>
      </w:r>
      <w:r>
        <w:rPr>
          <w:lang w:val="en-GB"/>
        </w:rPr>
        <w:t>to assess</w:t>
      </w:r>
      <w:r w:rsidRPr="00946E77">
        <w:rPr>
          <w:lang w:val="en-GB"/>
        </w:rPr>
        <w:t xml:space="preserve"> vaccine efficacy </w:t>
      </w:r>
      <w:r>
        <w:rPr>
          <w:lang w:val="en-GB"/>
        </w:rPr>
        <w:t xml:space="preserve">against </w:t>
      </w:r>
      <w:r w:rsidRPr="00946E77">
        <w:rPr>
          <w:lang w:val="en-GB"/>
        </w:rPr>
        <w:t xml:space="preserve">molecularly-confirmed moderate to severe–critical </w:t>
      </w:r>
      <w:r>
        <w:rPr>
          <w:lang w:val="en-GB"/>
        </w:rPr>
        <w:t>COVID</w:t>
      </w:r>
      <w:r w:rsidRPr="00946E77">
        <w:rPr>
          <w:lang w:val="en-GB"/>
        </w:rPr>
        <w:t xml:space="preserve">-19 </w:t>
      </w:r>
      <w:r>
        <w:rPr>
          <w:lang w:val="en-GB"/>
        </w:rPr>
        <w:t xml:space="preserve">with </w:t>
      </w:r>
      <w:r w:rsidRPr="00946E77">
        <w:rPr>
          <w:lang w:val="en-GB"/>
        </w:rPr>
        <w:t xml:space="preserve">onset ≥14 days </w:t>
      </w:r>
      <w:r>
        <w:rPr>
          <w:lang w:val="en-GB"/>
        </w:rPr>
        <w:t>after booster vaccination</w:t>
      </w:r>
      <w:r w:rsidRPr="00946E77">
        <w:rPr>
          <w:lang w:val="en-GB"/>
        </w:rPr>
        <w:t xml:space="preserve">. </w:t>
      </w:r>
      <w:r>
        <w:rPr>
          <w:lang w:val="en-GB"/>
        </w:rPr>
        <w:t xml:space="preserve">The study was </w:t>
      </w:r>
      <w:r w:rsidRPr="00D11DC0">
        <w:rPr>
          <w:lang w:val="en-GB"/>
        </w:rPr>
        <w:t xml:space="preserve">conducted </w:t>
      </w:r>
      <w:r>
        <w:rPr>
          <w:lang w:val="en-GB"/>
        </w:rPr>
        <w:t xml:space="preserve">at </w:t>
      </w:r>
      <w:r w:rsidRPr="006F5982">
        <w:rPr>
          <w:lang w:val="en-GB"/>
        </w:rPr>
        <w:t xml:space="preserve">public and private medical practices and hospitals </w:t>
      </w:r>
      <w:r w:rsidRPr="00D11DC0">
        <w:rPr>
          <w:lang w:val="en-GB"/>
        </w:rPr>
        <w:t xml:space="preserve">in ten countries: Belgium, Brazil, Colombia, France, Germany, The Philippines, South Africa, Spain, the United Kingdom, and the United States. </w:t>
      </w:r>
    </w:p>
    <w:p w14:paraId="01C5FC66" w14:textId="77777777" w:rsidR="00C97D09" w:rsidRPr="00D11DC0" w:rsidRDefault="00C97D09">
      <w:pPr>
        <w:rPr>
          <w:rFonts w:cs="Times New Roman"/>
          <w:szCs w:val="24"/>
          <w:lang w:val="en-GB"/>
        </w:rPr>
      </w:pPr>
      <w:r w:rsidRPr="00D11DC0" w:rsidDel="00D919DD">
        <w:rPr>
          <w:rFonts w:cs="Times New Roman"/>
          <w:szCs w:val="24"/>
          <w:lang w:val="en-GB"/>
        </w:rPr>
        <w:t xml:space="preserve">The protocol and amendments were approved by ethics committees and institutional review boards per local regulations. </w:t>
      </w:r>
      <w:r w:rsidRPr="00D11DC0">
        <w:rPr>
          <w:rFonts w:cs="Times New Roman"/>
          <w:szCs w:val="24"/>
          <w:lang w:val="en-GB"/>
        </w:rPr>
        <w:t xml:space="preserve">All participants provided written informed consent. This trial adheres to the International Council for Harmonisation guidelines on Good Clinical Practice and Declaration of Helsinki principles. </w:t>
      </w:r>
    </w:p>
    <w:p w14:paraId="2C94F036" w14:textId="77777777" w:rsidR="00C97D09" w:rsidRPr="00D11DC0" w:rsidRDefault="00C97D09" w:rsidP="00DC4667">
      <w:pPr>
        <w:rPr>
          <w:lang w:val="en-GB"/>
        </w:rPr>
      </w:pPr>
      <w:r w:rsidRPr="00D11DC0">
        <w:rPr>
          <w:lang w:val="en-GB"/>
        </w:rPr>
        <w:t xml:space="preserve">Participants were adults aged ≥18 years, healthy or with stable and well-controlled comorbidities, and without receipt of a COVID-19 vaccine </w:t>
      </w:r>
      <w:r>
        <w:rPr>
          <w:lang w:val="en-GB"/>
        </w:rPr>
        <w:t xml:space="preserve">at any time prior to study vaccination or during the study </w:t>
      </w:r>
      <w:r w:rsidRPr="00D11DC0">
        <w:rPr>
          <w:lang w:val="en-GB"/>
        </w:rPr>
        <w:t>(</w:t>
      </w:r>
      <w:r>
        <w:rPr>
          <w:lang w:val="en-GB"/>
        </w:rPr>
        <w:t>appendix p. 11</w:t>
      </w:r>
      <w:r w:rsidRPr="00D11DC0">
        <w:rPr>
          <w:lang w:val="en-GB"/>
        </w:rPr>
        <w:t xml:space="preserve">). </w:t>
      </w:r>
      <w:r>
        <w:rPr>
          <w:lang w:val="en-GB"/>
        </w:rPr>
        <w:t>Participants with abnormal function of the immune system (except for well-controlled HIV infection) were excluded.</w:t>
      </w:r>
    </w:p>
    <w:p w14:paraId="68D0116B" w14:textId="3E1ECEAA" w:rsidR="00C97D09" w:rsidRPr="00D11DC0" w:rsidRDefault="00C97D09" w:rsidP="003B05D5">
      <w:pPr>
        <w:pStyle w:val="Heading2"/>
        <w:rPr>
          <w:lang w:val="en-GB"/>
        </w:rPr>
      </w:pPr>
      <w:r w:rsidRPr="00D11DC0">
        <w:rPr>
          <w:lang w:val="en-GB"/>
        </w:rPr>
        <w:t xml:space="preserve">Randomisation and </w:t>
      </w:r>
      <w:r w:rsidR="009E6747">
        <w:rPr>
          <w:lang w:val="en-GB"/>
        </w:rPr>
        <w:t>masking</w:t>
      </w:r>
    </w:p>
    <w:p w14:paraId="113932DB" w14:textId="77777777" w:rsidR="00C97D09" w:rsidRPr="00D11DC0" w:rsidRDefault="00C97D09" w:rsidP="00DC4667">
      <w:pPr>
        <w:rPr>
          <w:lang w:val="en-GB"/>
        </w:rPr>
      </w:pPr>
      <w:bookmarkStart w:id="22" w:name="_Hlk103697629"/>
      <w:bookmarkStart w:id="23" w:name="_Hlk103636825"/>
      <w:bookmarkStart w:id="24" w:name="_Hlk103697543"/>
      <w:bookmarkStart w:id="25" w:name="_Hlk103617305"/>
      <w:r w:rsidRPr="00D11DC0">
        <w:rPr>
          <w:lang w:val="en-GB"/>
        </w:rPr>
        <w:t xml:space="preserve">Participants randomised 1:1 via </w:t>
      </w:r>
      <w:bookmarkStart w:id="26" w:name="_Hlk103678887"/>
      <w:r w:rsidRPr="00D11DC0">
        <w:rPr>
          <w:lang w:val="en-GB"/>
        </w:rPr>
        <w:t xml:space="preserve">computer-generated randomly permuted blocks </w:t>
      </w:r>
      <w:bookmarkEnd w:id="26"/>
      <w:r w:rsidRPr="00D11DC0">
        <w:rPr>
          <w:lang w:val="en-GB"/>
        </w:rPr>
        <w:t>received either two vaccine doses (referred to as a primary dose plus a booster dose of Ad26.COV2.S, each 5×10</w:t>
      </w:r>
      <w:r w:rsidRPr="00D11DC0">
        <w:rPr>
          <w:vertAlign w:val="superscript"/>
          <w:lang w:val="en-GB"/>
        </w:rPr>
        <w:t>10</w:t>
      </w:r>
      <w:r w:rsidRPr="00D11DC0">
        <w:rPr>
          <w:lang w:val="en-GB"/>
        </w:rPr>
        <w:t xml:space="preserve"> viral particles) as part of the vaccine group, or two doses of saline placebo (placebo </w:t>
      </w:r>
      <w:r w:rsidRPr="00D11DC0">
        <w:rPr>
          <w:lang w:val="en-GB"/>
        </w:rPr>
        <w:lastRenderedPageBreak/>
        <w:t xml:space="preserve">group) </w:t>
      </w:r>
      <w:bookmarkEnd w:id="22"/>
      <w:r w:rsidRPr="00D11DC0">
        <w:rPr>
          <w:lang w:val="en-GB"/>
        </w:rPr>
        <w:t xml:space="preserve">as intramuscular injections into the deltoid (0·5 mL). </w:t>
      </w:r>
      <w:bookmarkStart w:id="27" w:name="_Hlk103697149"/>
      <w:r w:rsidRPr="00D11DC0">
        <w:rPr>
          <w:lang w:val="en-GB"/>
        </w:rPr>
        <w:t>Vaccinations (Ad26.COV2.S group) or placebo injections (placebo group) were given 56 days apart</w:t>
      </w:r>
      <w:bookmarkEnd w:id="23"/>
      <w:bookmarkEnd w:id="27"/>
      <w:r w:rsidRPr="00D11DC0">
        <w:rPr>
          <w:lang w:val="en-GB"/>
        </w:rPr>
        <w:t xml:space="preserve">. </w:t>
      </w:r>
    </w:p>
    <w:p w14:paraId="5A60AE22" w14:textId="77777777" w:rsidR="00C97D09" w:rsidRPr="00D11DC0" w:rsidRDefault="00C97D09" w:rsidP="00DC4667">
      <w:pPr>
        <w:rPr>
          <w:lang w:val="en-GB"/>
        </w:rPr>
      </w:pPr>
      <w:r w:rsidRPr="00D11DC0">
        <w:rPr>
          <w:lang w:val="en-GB"/>
        </w:rPr>
        <w:t>Participants and sites were blinded to assignment until the unblinding visit</w:t>
      </w:r>
      <w:r>
        <w:rPr>
          <w:lang w:val="en-GB"/>
        </w:rPr>
        <w:t xml:space="preserve">, which was implemented with protocol amendment 4 </w:t>
      </w:r>
      <w:bookmarkStart w:id="28" w:name="_Hlk103697180"/>
      <w:r>
        <w:rPr>
          <w:lang w:val="en-GB"/>
        </w:rPr>
        <w:t>a</w:t>
      </w:r>
      <w:r w:rsidRPr="00D11DC0">
        <w:rPr>
          <w:lang w:val="en-GB"/>
        </w:rPr>
        <w:t>fter emergency use authorisation (EUA) for some vaccines</w:t>
      </w:r>
      <w:r>
        <w:rPr>
          <w:lang w:val="en-GB"/>
        </w:rPr>
        <w:t>.</w:t>
      </w:r>
      <w:r w:rsidRPr="00D11DC0">
        <w:rPr>
          <w:lang w:val="en-GB"/>
        </w:rPr>
        <w:t xml:space="preserve"> </w:t>
      </w:r>
      <w:r>
        <w:rPr>
          <w:lang w:val="en-GB"/>
        </w:rPr>
        <w:t>P</w:t>
      </w:r>
      <w:r w:rsidRPr="00D11DC0">
        <w:rPr>
          <w:lang w:val="en-GB"/>
        </w:rPr>
        <w:t>articipants could be unblinded to enable vaccination of placebo recipients outside the study; once Ad26.COV2.S received EUA, placebo recipients without COVID-19 vaccination outside the study were offered open-label Ad26.COV2.S vaccination</w:t>
      </w:r>
      <w:bookmarkEnd w:id="28"/>
      <w:r w:rsidRPr="00D11DC0">
        <w:rPr>
          <w:lang w:val="en-GB"/>
        </w:rPr>
        <w:t>.</w:t>
      </w:r>
      <w:bookmarkEnd w:id="24"/>
      <w:bookmarkEnd w:id="25"/>
      <w:r>
        <w:rPr>
          <w:lang w:val="en-GB"/>
        </w:rPr>
        <w:t xml:space="preserve"> The unblinding visit could occur at a scheduled (preferable) or unscheduled visit, as feasible for the participant.</w:t>
      </w:r>
    </w:p>
    <w:p w14:paraId="13EB309A" w14:textId="5FBB0F87" w:rsidR="005E5801" w:rsidRPr="00D11DC0" w:rsidRDefault="00F776A5" w:rsidP="005E5801">
      <w:pPr>
        <w:pStyle w:val="Heading2"/>
        <w:keepNext/>
        <w:rPr>
          <w:lang w:val="en-GB"/>
        </w:rPr>
      </w:pPr>
      <w:r>
        <w:rPr>
          <w:lang w:val="en-GB"/>
        </w:rPr>
        <w:t>Procedures</w:t>
      </w:r>
    </w:p>
    <w:p w14:paraId="40B443A2" w14:textId="77777777" w:rsidR="005E5801" w:rsidRPr="00D11DC0" w:rsidRDefault="005E5801" w:rsidP="005E5801">
      <w:pPr>
        <w:spacing w:after="240"/>
        <w:rPr>
          <w:rFonts w:cs="Times New Roman"/>
          <w:szCs w:val="24"/>
          <w:lang w:val="en-GB"/>
        </w:rPr>
      </w:pPr>
      <w:r w:rsidRPr="00D11DC0">
        <w:rPr>
          <w:rFonts w:cs="Times New Roman"/>
          <w:szCs w:val="24"/>
          <w:lang w:val="en-GB"/>
        </w:rPr>
        <w:t>Efficacy assessments were performed using centrally molecularly-confirmed COVID-19 cases identified by</w:t>
      </w:r>
      <w:r w:rsidRPr="006C418E">
        <w:rPr>
          <w:rFonts w:cs="Times New Roman"/>
          <w:lang w:val="en-GB"/>
        </w:rPr>
        <w:t xml:space="preserve"> </w:t>
      </w:r>
      <w:r w:rsidRPr="007E0E48">
        <w:rPr>
          <w:rFonts w:cs="Times New Roman"/>
          <w:lang w:val="en-GB"/>
        </w:rPr>
        <w:t>molecular diagnostic tests based on real-time reverse transcriptase polymerase chain reaction-based or isothermic amplification technologies</w:t>
      </w:r>
      <w:r w:rsidRPr="00D11DC0">
        <w:rPr>
          <w:rFonts w:cs="Times New Roman"/>
          <w:szCs w:val="24"/>
          <w:lang w:val="en-GB"/>
        </w:rPr>
        <w:t xml:space="preserve">. Disease severity was assessed independently by a Clinical Severity Adjudication Committee </w:t>
      </w:r>
      <w:r w:rsidRPr="005F0E26">
        <w:rPr>
          <w:rFonts w:cs="Times New Roman"/>
          <w:szCs w:val="24"/>
          <w:lang w:val="en-GB"/>
        </w:rPr>
        <w:t>(</w:t>
      </w:r>
      <w:r>
        <w:rPr>
          <w:rFonts w:cs="Times New Roman"/>
          <w:szCs w:val="24"/>
          <w:lang w:val="en-GB"/>
        </w:rPr>
        <w:t>appendix p. 15</w:t>
      </w:r>
      <w:r w:rsidRPr="005F0E26">
        <w:rPr>
          <w:rFonts w:cs="Times New Roman"/>
          <w:szCs w:val="24"/>
          <w:lang w:val="en-GB"/>
        </w:rPr>
        <w:t>).</w:t>
      </w:r>
      <w:r w:rsidRPr="00D11DC0">
        <w:rPr>
          <w:rFonts w:cs="Times New Roman"/>
          <w:szCs w:val="24"/>
          <w:lang w:val="en-GB"/>
        </w:rPr>
        <w:t xml:space="preserve"> Participants reported COVID-19 symptoms using the electronic Symptoms of Infection with Coronavirus-19 questionnaire.</w:t>
      </w:r>
      <w:r w:rsidRPr="007D161F">
        <w:rPr>
          <w:rFonts w:cs="Times New Roman"/>
          <w:noProof/>
          <w:szCs w:val="24"/>
          <w:vertAlign w:val="superscript"/>
          <w:lang w:val="en-GB"/>
        </w:rPr>
        <w:t>6</w:t>
      </w:r>
    </w:p>
    <w:p w14:paraId="5CA838D9" w14:textId="77777777" w:rsidR="005E5801" w:rsidRPr="00D11DC0" w:rsidRDefault="005E5801" w:rsidP="005E5801">
      <w:pPr>
        <w:spacing w:after="240"/>
        <w:rPr>
          <w:rFonts w:cs="Times New Roman"/>
          <w:szCs w:val="24"/>
          <w:lang w:val="en-GB"/>
        </w:rPr>
      </w:pPr>
      <w:r>
        <w:rPr>
          <w:rFonts w:cs="Times New Roman"/>
          <w:szCs w:val="24"/>
          <w:lang w:val="en-GB"/>
        </w:rPr>
        <w:t xml:space="preserve">Participants were assessed for suspected symptomatic COVID-19 if they experienced a </w:t>
      </w:r>
      <w:r>
        <w:rPr>
          <w:rFonts w:cs="Times New Roman"/>
          <w:lang w:val="en-GB"/>
        </w:rPr>
        <w:t xml:space="preserve">positive RT-PCR result for </w:t>
      </w:r>
      <w:r w:rsidRPr="00544171">
        <w:rPr>
          <w:rFonts w:cs="Times New Roman"/>
          <w:lang w:val="en-GB"/>
        </w:rPr>
        <w:t xml:space="preserve">SARS-CoV-2 </w:t>
      </w:r>
      <w:r>
        <w:rPr>
          <w:rFonts w:cs="Times New Roman"/>
          <w:szCs w:val="24"/>
          <w:lang w:val="en-GB"/>
        </w:rPr>
        <w:t xml:space="preserve">or prespecified clinical manifestations including but not limited to: </w:t>
      </w:r>
      <w:r w:rsidRPr="00136750">
        <w:rPr>
          <w:rFonts w:cs="Times New Roman"/>
          <w:szCs w:val="24"/>
          <w:lang w:val="en-GB"/>
        </w:rPr>
        <w:t>chest congestion, cough, runny nose, shortness of breath, sore throat, chills, fever</w:t>
      </w:r>
      <w:r>
        <w:rPr>
          <w:rFonts w:cs="Times New Roman"/>
          <w:szCs w:val="24"/>
          <w:lang w:val="en-GB"/>
        </w:rPr>
        <w:t xml:space="preserve">, </w:t>
      </w:r>
      <w:r w:rsidRPr="00136750">
        <w:rPr>
          <w:rFonts w:cs="Times New Roman"/>
          <w:szCs w:val="24"/>
          <w:lang w:val="en-GB"/>
        </w:rPr>
        <w:t>gastrointestinal symptoms</w:t>
      </w:r>
      <w:r>
        <w:rPr>
          <w:rFonts w:cs="Times New Roman"/>
          <w:szCs w:val="24"/>
          <w:lang w:val="en-GB"/>
        </w:rPr>
        <w:t xml:space="preserve">, </w:t>
      </w:r>
      <w:r w:rsidRPr="00136750">
        <w:rPr>
          <w:rFonts w:cs="Times New Roman"/>
          <w:szCs w:val="24"/>
          <w:lang w:val="en-GB"/>
        </w:rPr>
        <w:t>neurologic symptoms</w:t>
      </w:r>
      <w:r>
        <w:rPr>
          <w:rFonts w:cs="Times New Roman"/>
          <w:szCs w:val="24"/>
          <w:lang w:val="en-GB"/>
        </w:rPr>
        <w:t>,</w:t>
      </w:r>
      <w:r w:rsidRPr="00136750">
        <w:rPr>
          <w:rFonts w:cs="Times New Roman"/>
          <w:szCs w:val="24"/>
          <w:lang w:val="en-GB"/>
        </w:rPr>
        <w:t xml:space="preserve"> red or bruised looking toes, taste loss or new</w:t>
      </w:r>
      <w:r>
        <w:rPr>
          <w:rFonts w:cs="Times New Roman"/>
          <w:szCs w:val="24"/>
          <w:lang w:val="en-GB"/>
        </w:rPr>
        <w:t xml:space="preserve"> or </w:t>
      </w:r>
      <w:r w:rsidRPr="00136750">
        <w:rPr>
          <w:rFonts w:cs="Times New Roman"/>
          <w:szCs w:val="24"/>
          <w:lang w:val="en-GB"/>
        </w:rPr>
        <w:t xml:space="preserve">changing sense of smell, </w:t>
      </w:r>
      <w:r>
        <w:rPr>
          <w:rFonts w:cs="Times New Roman"/>
          <w:lang w:val="en-GB"/>
        </w:rPr>
        <w:t>or any</w:t>
      </w:r>
      <w:r w:rsidRPr="00136750">
        <w:rPr>
          <w:rFonts w:cs="Times New Roman"/>
          <w:szCs w:val="24"/>
          <w:lang w:val="en-GB"/>
        </w:rPr>
        <w:t xml:space="preserve"> </w:t>
      </w:r>
      <w:r w:rsidRPr="005D2C33">
        <w:rPr>
          <w:rFonts w:cs="Times New Roman"/>
          <w:lang w:val="en-GB"/>
        </w:rPr>
        <w:t xml:space="preserve">of symptoms suggestive </w:t>
      </w:r>
      <w:r>
        <w:rPr>
          <w:rFonts w:cs="Times New Roman"/>
          <w:lang w:val="en-GB"/>
        </w:rPr>
        <w:t>of</w:t>
      </w:r>
      <w:r w:rsidRPr="005D2C33">
        <w:rPr>
          <w:rFonts w:cs="Times New Roman"/>
          <w:lang w:val="en-GB"/>
        </w:rPr>
        <w:t xml:space="preserve"> COVID-19</w:t>
      </w:r>
      <w:r>
        <w:rPr>
          <w:rFonts w:cs="Times New Roman"/>
          <w:lang w:val="en-GB"/>
        </w:rPr>
        <w:t xml:space="preserve"> (see appendix p. 16 for a full list). Asymptomatic COVID-19 was identified by a positive RT-PCR result in the absence of symptoms or testing of blood samples </w:t>
      </w:r>
      <w:r w:rsidRPr="004E18A7">
        <w:rPr>
          <w:rFonts w:cs="Times New Roman"/>
          <w:lang w:val="en-GB"/>
        </w:rPr>
        <w:t xml:space="preserve">collected at fixed visits (baseline, day 71, unblinding </w:t>
      </w:r>
      <w:r w:rsidRPr="004E18A7">
        <w:rPr>
          <w:rFonts w:cs="Times New Roman"/>
          <w:lang w:val="en-GB"/>
        </w:rPr>
        <w:lastRenderedPageBreak/>
        <w:t>visit)</w:t>
      </w:r>
      <w:r>
        <w:rPr>
          <w:rFonts w:cs="Times New Roman"/>
          <w:lang w:val="en-GB"/>
        </w:rPr>
        <w:t xml:space="preserve"> using an </w:t>
      </w:r>
      <w:r w:rsidRPr="00AF367A">
        <w:rPr>
          <w:rFonts w:cs="Times New Roman"/>
          <w:lang w:val="en-GB"/>
        </w:rPr>
        <w:t xml:space="preserve">enzyme-linked immunosorbent assay </w:t>
      </w:r>
      <w:r>
        <w:rPr>
          <w:rFonts w:cs="Times New Roman"/>
          <w:lang w:val="en-GB"/>
        </w:rPr>
        <w:t>(ELISA) assay against the SARS-CoV-2 nucleocapsid protein (appendix p. 15).</w:t>
      </w:r>
    </w:p>
    <w:p w14:paraId="71AB2303" w14:textId="55ABDB2F" w:rsidR="005E5801" w:rsidRPr="00D11DC0" w:rsidRDefault="005E5801" w:rsidP="005E5801">
      <w:pPr>
        <w:spacing w:after="240"/>
        <w:rPr>
          <w:rFonts w:cs="Times New Roman"/>
          <w:szCs w:val="24"/>
          <w:lang w:val="en-GB"/>
        </w:rPr>
      </w:pPr>
      <w:bookmarkStart w:id="29" w:name="_Hlk107398902"/>
      <w:r w:rsidRPr="00D11DC0">
        <w:rPr>
          <w:rFonts w:cs="Times New Roman"/>
          <w:szCs w:val="24"/>
          <w:lang w:val="en-GB"/>
        </w:rPr>
        <w:t>Immunogenicity was evaluated by spike protein-specific binding antibodies</w:t>
      </w:r>
      <w:r>
        <w:rPr>
          <w:rFonts w:cs="Times New Roman"/>
          <w:szCs w:val="24"/>
          <w:lang w:val="en-GB"/>
        </w:rPr>
        <w:t xml:space="preserve"> by ELISA (ELISA Unit per millilitre [EU/mL])</w:t>
      </w:r>
      <w:r w:rsidRPr="00D11DC0">
        <w:rPr>
          <w:rFonts w:cs="Times New Roman"/>
          <w:szCs w:val="24"/>
          <w:lang w:val="en-GB"/>
        </w:rPr>
        <w:t xml:space="preserve"> </w:t>
      </w:r>
      <w:r>
        <w:rPr>
          <w:rFonts w:cs="Times New Roman"/>
          <w:szCs w:val="24"/>
          <w:lang w:val="en-GB"/>
        </w:rPr>
        <w:t>against the Wuhan strain (</w:t>
      </w:r>
      <w:r w:rsidRPr="00AF1029">
        <w:t>NC_045512</w:t>
      </w:r>
      <w:r>
        <w:t>)</w:t>
      </w:r>
      <w:r>
        <w:rPr>
          <w:rFonts w:cs="Times New Roman"/>
          <w:szCs w:val="24"/>
          <w:lang w:val="en-GB"/>
        </w:rPr>
        <w:t xml:space="preserve"> </w:t>
      </w:r>
      <w:r w:rsidRPr="00D11DC0">
        <w:rPr>
          <w:rFonts w:cs="Times New Roman"/>
          <w:szCs w:val="24"/>
          <w:lang w:val="en-GB"/>
        </w:rPr>
        <w:t>using sera collected at days 1, 29, 57, and 71 (</w:t>
      </w:r>
      <w:r w:rsidR="005E4B08">
        <w:rPr>
          <w:rFonts w:cs="Times New Roman"/>
          <w:szCs w:val="24"/>
          <w:lang w:val="en-GB"/>
        </w:rPr>
        <w:t xml:space="preserve">planned </w:t>
      </w:r>
      <w:r w:rsidRPr="00D11DC0">
        <w:rPr>
          <w:rFonts w:cs="Times New Roman"/>
          <w:szCs w:val="24"/>
          <w:lang w:val="en-GB"/>
        </w:rPr>
        <w:t>immunogenicity subset, n=400 total; n=200 each in the Ad26.COV2.S and placebo groups).</w:t>
      </w:r>
    </w:p>
    <w:p w14:paraId="23C68B0C" w14:textId="241B2183" w:rsidR="005E5801" w:rsidRPr="00D11DC0" w:rsidRDefault="005E5801" w:rsidP="005E5801">
      <w:pPr>
        <w:spacing w:after="240"/>
        <w:rPr>
          <w:rFonts w:cs="Times New Roman"/>
          <w:szCs w:val="24"/>
          <w:lang w:val="en-GB"/>
        </w:rPr>
      </w:pPr>
      <w:bookmarkStart w:id="30" w:name="_Hlk107400645"/>
      <w:bookmarkEnd w:id="29"/>
      <w:r w:rsidRPr="00D11DC0">
        <w:rPr>
          <w:rFonts w:cs="Times New Roman"/>
          <w:szCs w:val="24"/>
          <w:lang w:val="en-GB"/>
        </w:rPr>
        <w:t xml:space="preserve">After each vaccination, a safety subset </w:t>
      </w:r>
      <w:r>
        <w:rPr>
          <w:rFonts w:cs="Times New Roman"/>
          <w:szCs w:val="24"/>
          <w:lang w:val="en-GB"/>
        </w:rPr>
        <w:t>(</w:t>
      </w:r>
      <w:r w:rsidR="005203EE">
        <w:rPr>
          <w:rFonts w:cs="Times New Roman"/>
          <w:szCs w:val="24"/>
          <w:lang w:val="en-GB"/>
        </w:rPr>
        <w:t xml:space="preserve">planned </w:t>
      </w:r>
      <w:r>
        <w:rPr>
          <w:rFonts w:cs="Times New Roman"/>
          <w:szCs w:val="24"/>
          <w:lang w:val="en-GB"/>
        </w:rPr>
        <w:t>n=6000 randomly selected</w:t>
      </w:r>
      <w:r w:rsidR="00244EB7">
        <w:rPr>
          <w:rFonts w:cs="Times New Roman"/>
          <w:szCs w:val="24"/>
          <w:lang w:val="en-GB"/>
        </w:rPr>
        <w:t xml:space="preserve"> participants</w:t>
      </w:r>
      <w:r>
        <w:rPr>
          <w:rFonts w:cs="Times New Roman"/>
          <w:szCs w:val="24"/>
          <w:lang w:val="en-GB"/>
        </w:rPr>
        <w:t xml:space="preserve">, accounting for participant availability and site capacity) </w:t>
      </w:r>
      <w:r w:rsidRPr="00D11DC0">
        <w:rPr>
          <w:rFonts w:cs="Times New Roman"/>
          <w:szCs w:val="24"/>
          <w:lang w:val="en-GB"/>
        </w:rPr>
        <w:t xml:space="preserve">recorded solicited local and systemic </w:t>
      </w:r>
      <w:r>
        <w:rPr>
          <w:rFonts w:cs="Times New Roman"/>
          <w:szCs w:val="24"/>
          <w:lang w:val="en-GB"/>
        </w:rPr>
        <w:t>AEs</w:t>
      </w:r>
      <w:r w:rsidRPr="00D11DC0">
        <w:rPr>
          <w:rFonts w:cs="Times New Roman"/>
          <w:szCs w:val="24"/>
          <w:lang w:val="en-GB"/>
        </w:rPr>
        <w:t xml:space="preserve"> in an electronic diary for 7 days and unsolicited AEs for 28 days or until unblinding</w:t>
      </w:r>
      <w:bookmarkEnd w:id="30"/>
      <w:r w:rsidRPr="00D11DC0">
        <w:rPr>
          <w:rFonts w:cs="Times New Roman"/>
          <w:szCs w:val="24"/>
          <w:lang w:val="en-GB"/>
        </w:rPr>
        <w:t>. In all participants, medically attended AEs were followed for 6 months after each vaccination; serious AEs (SAEs), AEs leading to study or vaccine discontinuation, and thrombosis with thrombocytopenia syndrome (TTS; an AE of special interest [as of protocol amendment 5]), were recorded throughout the study. AEs of clinical interest (not prespecified) were selected based on lists proposed by expert groups and regulatory authorities (</w:t>
      </w:r>
      <w:r>
        <w:rPr>
          <w:rFonts w:cs="Times New Roman"/>
          <w:szCs w:val="24"/>
          <w:lang w:val="en-GB"/>
        </w:rPr>
        <w:t>appendix p. 17</w:t>
      </w:r>
      <w:r w:rsidRPr="00D11DC0">
        <w:rPr>
          <w:rFonts w:cs="Times New Roman"/>
          <w:szCs w:val="24"/>
          <w:lang w:val="en-GB"/>
        </w:rPr>
        <w:t>).</w:t>
      </w:r>
      <w:r w:rsidR="00024B9A" w:rsidRPr="00024B9A">
        <w:rPr>
          <w:rFonts w:cs="Times New Roman"/>
          <w:sz w:val="20"/>
          <w:szCs w:val="20"/>
          <w:lang w:val="en-GB"/>
        </w:rPr>
        <w:t xml:space="preserve"> </w:t>
      </w:r>
      <w:r w:rsidR="00024B9A" w:rsidRPr="00E10A50">
        <w:t>A fatality was COVID-19</w:t>
      </w:r>
      <w:r w:rsidR="005367AA">
        <w:t>–</w:t>
      </w:r>
      <w:r w:rsidR="00024B9A" w:rsidRPr="00E10A50">
        <w:t>related if it was COVID</w:t>
      </w:r>
      <w:r w:rsidR="005367AA">
        <w:t>-19–</w:t>
      </w:r>
      <w:r w:rsidR="00024B9A" w:rsidRPr="00E10A50">
        <w:t>related according to the adjudication committee, or it had a fatal adverse event that was COVID-19</w:t>
      </w:r>
      <w:r w:rsidR="005367AA">
        <w:t>–</w:t>
      </w:r>
      <w:r w:rsidR="00024B9A" w:rsidRPr="00E10A50">
        <w:t xml:space="preserve">related after the onset of a </w:t>
      </w:r>
      <w:r w:rsidR="007C65FF">
        <w:t xml:space="preserve">PCR-confirmed </w:t>
      </w:r>
      <w:r w:rsidR="00024B9A" w:rsidRPr="00E10A50">
        <w:t>COVID-19 episode.</w:t>
      </w:r>
    </w:p>
    <w:p w14:paraId="4A053F7E" w14:textId="77777777" w:rsidR="00C97D09" w:rsidRPr="00D11DC0" w:rsidRDefault="00C97D09" w:rsidP="006F49DA">
      <w:pPr>
        <w:pStyle w:val="Heading2"/>
        <w:rPr>
          <w:lang w:val="en-GB"/>
        </w:rPr>
      </w:pPr>
      <w:r w:rsidRPr="00D11DC0">
        <w:rPr>
          <w:lang w:val="en-GB"/>
        </w:rPr>
        <w:t>Outcomes</w:t>
      </w:r>
    </w:p>
    <w:p w14:paraId="4661A941" w14:textId="3C9F729F" w:rsidR="00C97D09" w:rsidRPr="00D11DC0" w:rsidRDefault="00C97D09" w:rsidP="00944EB6">
      <w:pPr>
        <w:spacing w:after="240"/>
        <w:rPr>
          <w:lang w:val="en-GB"/>
        </w:rPr>
      </w:pPr>
      <w:r w:rsidRPr="00D11DC0">
        <w:rPr>
          <w:rFonts w:cs="Times New Roman"/>
          <w:szCs w:val="24"/>
          <w:lang w:val="en-GB"/>
        </w:rPr>
        <w:t xml:space="preserve">The primary objective was to demonstrate the efficacy of Ad26.COV2.S versus placebo in the prevention of molecularly-confirmed moderate to severe–critical COVID-19 in SARS-CoV-2 seronegative adults. The primary endpoint was vaccine efficacy against the first occurrence of molecularly-confirmed moderate to severe–critical COVID-19 with onset ≥14 days after the </w:t>
      </w:r>
      <w:r w:rsidRPr="00D11DC0">
        <w:rPr>
          <w:rFonts w:cs="Times New Roman"/>
          <w:szCs w:val="24"/>
          <w:lang w:val="en-GB"/>
        </w:rPr>
        <w:lastRenderedPageBreak/>
        <w:t>booster vaccination.</w:t>
      </w:r>
      <w:r>
        <w:rPr>
          <w:rFonts w:cs="Times New Roman"/>
          <w:szCs w:val="24"/>
          <w:lang w:val="en-GB"/>
        </w:rPr>
        <w:t xml:space="preserve"> Secondary endpoints were solicited local and systemic </w:t>
      </w:r>
      <w:r w:rsidRPr="00D11DC0">
        <w:rPr>
          <w:rFonts w:cs="Times New Roman"/>
          <w:szCs w:val="24"/>
          <w:lang w:val="en-GB"/>
        </w:rPr>
        <w:t>adverse events (AEs)</w:t>
      </w:r>
      <w:r>
        <w:rPr>
          <w:rFonts w:cs="Times New Roman"/>
          <w:szCs w:val="24"/>
          <w:lang w:val="en-GB"/>
        </w:rPr>
        <w:t xml:space="preserve"> for 7 days after vaccination, serious AEs and AEs of special interest throughout the study, </w:t>
      </w:r>
      <w:r w:rsidRPr="00D11DC0">
        <w:rPr>
          <w:rFonts w:cs="Times New Roman"/>
          <w:szCs w:val="24"/>
          <w:lang w:val="en-GB"/>
        </w:rPr>
        <w:t>severe–critical COVID-19</w:t>
      </w:r>
      <w:r>
        <w:rPr>
          <w:rFonts w:cs="Times New Roman"/>
          <w:szCs w:val="24"/>
          <w:lang w:val="en-GB"/>
        </w:rPr>
        <w:t xml:space="preserve">, asymptomatic SARS-CoV-2 infection, as well as the </w:t>
      </w:r>
      <w:r w:rsidRPr="008A26FA">
        <w:rPr>
          <w:rFonts w:cs="Times New Roman"/>
          <w:szCs w:val="24"/>
          <w:lang w:val="en-GB"/>
        </w:rPr>
        <w:t xml:space="preserve">first occurrence </w:t>
      </w:r>
      <w:r>
        <w:rPr>
          <w:rFonts w:cs="Times New Roman"/>
          <w:szCs w:val="24"/>
          <w:lang w:val="en-GB"/>
        </w:rPr>
        <w:t xml:space="preserve">at </w:t>
      </w:r>
      <w:r w:rsidRPr="00D11DC0">
        <w:rPr>
          <w:rFonts w:cs="Times New Roman"/>
          <w:szCs w:val="24"/>
          <w:lang w:val="en-GB"/>
        </w:rPr>
        <w:t>≥14 days</w:t>
      </w:r>
      <w:r>
        <w:rPr>
          <w:rFonts w:cs="Times New Roman"/>
          <w:szCs w:val="24"/>
          <w:lang w:val="en-GB"/>
        </w:rPr>
        <w:t xml:space="preserve"> after booster vaccination </w:t>
      </w:r>
      <w:r w:rsidRPr="008A26FA">
        <w:rPr>
          <w:rFonts w:cs="Times New Roman"/>
          <w:szCs w:val="24"/>
          <w:lang w:val="en-GB"/>
        </w:rPr>
        <w:t>of</w:t>
      </w:r>
      <w:r>
        <w:rPr>
          <w:rFonts w:cs="Times New Roman"/>
          <w:szCs w:val="24"/>
          <w:lang w:val="en-GB"/>
        </w:rPr>
        <w:t>:</w:t>
      </w:r>
      <w:r w:rsidRPr="008A26FA">
        <w:rPr>
          <w:rFonts w:cs="Times New Roman"/>
          <w:szCs w:val="24"/>
          <w:lang w:val="en-GB"/>
        </w:rPr>
        <w:t xml:space="preserve"> COVID-19 requiring medical intervention</w:t>
      </w:r>
      <w:r>
        <w:rPr>
          <w:rFonts w:cs="Times New Roman"/>
          <w:szCs w:val="24"/>
          <w:lang w:val="en-GB"/>
        </w:rPr>
        <w:t xml:space="preserve">, molecularly-confirmed mild COVID-19, </w:t>
      </w:r>
      <w:r w:rsidRPr="008A26FA">
        <w:rPr>
          <w:rFonts w:cs="Times New Roman"/>
          <w:szCs w:val="24"/>
          <w:lang w:val="en-GB"/>
        </w:rPr>
        <w:t xml:space="preserve">COVID-19 </w:t>
      </w:r>
      <w:r>
        <w:rPr>
          <w:rFonts w:cs="Times New Roman"/>
          <w:szCs w:val="24"/>
          <w:lang w:val="en-GB"/>
        </w:rPr>
        <w:t xml:space="preserve">by </w:t>
      </w:r>
      <w:r w:rsidRPr="008A26FA">
        <w:rPr>
          <w:rFonts w:cs="Times New Roman"/>
          <w:szCs w:val="24"/>
          <w:lang w:val="en-GB"/>
        </w:rPr>
        <w:t>US FDA harmonised case definition</w:t>
      </w:r>
      <w:r>
        <w:rPr>
          <w:rFonts w:cs="Times New Roman"/>
          <w:szCs w:val="24"/>
          <w:lang w:val="en-GB"/>
        </w:rPr>
        <w:t xml:space="preserve">, burden of disease symptomatic COVID-19, and any SARS-CoV-2 infection. </w:t>
      </w:r>
      <w:r>
        <w:rPr>
          <w:lang w:val="en-GB"/>
        </w:rPr>
        <w:t>The full list of prespecified</w:t>
      </w:r>
      <w:r w:rsidRPr="00D11DC0">
        <w:rPr>
          <w:lang w:val="en-GB"/>
        </w:rPr>
        <w:t xml:space="preserve"> objectives and endpoints are in </w:t>
      </w:r>
      <w:r w:rsidRPr="00D11DC0">
        <w:rPr>
          <w:b/>
          <w:bCs/>
          <w:lang w:val="en-GB"/>
        </w:rPr>
        <w:t>Table S1</w:t>
      </w:r>
      <w:r w:rsidR="00D619E5">
        <w:rPr>
          <w:b/>
          <w:bCs/>
          <w:lang w:val="en-GB"/>
        </w:rPr>
        <w:t xml:space="preserve"> </w:t>
      </w:r>
      <w:r w:rsidR="00041861">
        <w:rPr>
          <w:lang w:val="en-GB"/>
        </w:rPr>
        <w:t>[appendix p.48]</w:t>
      </w:r>
      <w:r w:rsidRPr="00D11DC0">
        <w:rPr>
          <w:lang w:val="en-GB"/>
        </w:rPr>
        <w:t>.</w:t>
      </w:r>
      <w:r>
        <w:rPr>
          <w:rFonts w:cs="Arial"/>
          <w:lang w:val="en-GB"/>
        </w:rPr>
        <w:t xml:space="preserve"> </w:t>
      </w:r>
    </w:p>
    <w:p w14:paraId="21606AD9" w14:textId="77777777" w:rsidR="00C97D09" w:rsidRPr="00D11DC0" w:rsidRDefault="00C97D09" w:rsidP="008A4A93">
      <w:pPr>
        <w:pStyle w:val="Heading2"/>
        <w:keepNext/>
        <w:rPr>
          <w:lang w:val="en-GB"/>
        </w:rPr>
      </w:pPr>
      <w:r w:rsidRPr="00D11DC0">
        <w:rPr>
          <w:lang w:val="en-GB"/>
        </w:rPr>
        <w:t>Statistical Analysis</w:t>
      </w:r>
    </w:p>
    <w:p w14:paraId="0AEFBF1B" w14:textId="5EDE81DE" w:rsidR="00C97D09" w:rsidRPr="009408A6" w:rsidRDefault="00ED7A73" w:rsidP="00944EB6">
      <w:pPr>
        <w:rPr>
          <w:rFonts w:cs="Times New Roman"/>
          <w:szCs w:val="24"/>
          <w:lang w:val="en-GB"/>
        </w:rPr>
      </w:pPr>
      <w:r w:rsidRPr="00D11DC0">
        <w:rPr>
          <w:lang w:val="en-GB"/>
        </w:rPr>
        <w:t xml:space="preserve">Unless stated otherwise, efficacy assessments are presented for the first occurrence of </w:t>
      </w:r>
      <w:r w:rsidRPr="00D11DC0">
        <w:rPr>
          <w:rFonts w:cs="Times New Roman"/>
          <w:szCs w:val="24"/>
          <w:lang w:val="en-GB"/>
        </w:rPr>
        <w:t xml:space="preserve">molecularly-confirmed COVID-19 with onset ≥14 days after booster vaccination in the </w:t>
      </w:r>
      <w:r w:rsidR="00E857F4">
        <w:rPr>
          <w:rFonts w:cs="Times New Roman"/>
          <w:szCs w:val="24"/>
          <w:lang w:val="en-GB"/>
        </w:rPr>
        <w:t>per-protocol (</w:t>
      </w:r>
      <w:r>
        <w:rPr>
          <w:rFonts w:cs="Times New Roman"/>
          <w:szCs w:val="24"/>
          <w:lang w:val="en-GB"/>
        </w:rPr>
        <w:t>PP</w:t>
      </w:r>
      <w:r w:rsidR="00E857F4">
        <w:rPr>
          <w:rFonts w:cs="Times New Roman"/>
          <w:szCs w:val="24"/>
          <w:lang w:val="en-GB"/>
        </w:rPr>
        <w:t>)</w:t>
      </w:r>
      <w:r w:rsidRPr="00D11DC0">
        <w:rPr>
          <w:rFonts w:cs="Times New Roman"/>
          <w:szCs w:val="24"/>
          <w:lang w:val="en-GB"/>
        </w:rPr>
        <w:t xml:space="preserve"> population. </w:t>
      </w:r>
      <w:r w:rsidRPr="00D11DC0">
        <w:rPr>
          <w:lang w:val="en-GB"/>
        </w:rPr>
        <w:t>The PP set included participants who received 2 doses of vaccine/placebo in the double-blind phase</w:t>
      </w:r>
      <w:r>
        <w:rPr>
          <w:lang w:val="en-GB"/>
        </w:rPr>
        <w:t xml:space="preserve">. Participants were excluded from the PP set if they had a baseline PCR positive result, SARS-CoV-2 positive result by serology at baseline or day 71, or major protocol deviations before unblinding that might impact efficacy. Participants who became unblinded were thereafter excluded from the PP set. </w:t>
      </w:r>
      <w:r w:rsidR="00C97D09" w:rsidRPr="00D11DC0">
        <w:rPr>
          <w:lang w:val="en-GB"/>
        </w:rPr>
        <w:t xml:space="preserve">The full analysis set (FAS) comprised all randomised participants who received </w:t>
      </w:r>
      <w:r w:rsidR="00C97D09" w:rsidRPr="00D11DC0">
        <w:rPr>
          <w:rFonts w:cs="Times New Roman"/>
          <w:szCs w:val="24"/>
          <w:lang w:val="en-GB"/>
        </w:rPr>
        <w:t>≥1</w:t>
      </w:r>
      <w:r w:rsidR="00C97D09" w:rsidRPr="00D11DC0">
        <w:rPr>
          <w:lang w:val="en-GB"/>
        </w:rPr>
        <w:t xml:space="preserve"> dose of trial vaccine or placebo. The risk set for vaccine efficacy evaluations excluded participants </w:t>
      </w:r>
      <w:r w:rsidR="00C97D09">
        <w:rPr>
          <w:lang w:val="en-GB"/>
        </w:rPr>
        <w:t xml:space="preserve">from the PP set </w:t>
      </w:r>
      <w:r w:rsidR="00C97D09" w:rsidRPr="00D11DC0">
        <w:rPr>
          <w:lang w:val="en-GB"/>
        </w:rPr>
        <w:t xml:space="preserve">who had </w:t>
      </w:r>
      <w:r w:rsidR="00C97D09">
        <w:rPr>
          <w:lang w:val="en-GB"/>
        </w:rPr>
        <w:t>positive PCR result (regardless of central confirmation)</w:t>
      </w:r>
      <w:r w:rsidR="00C97D09" w:rsidRPr="00D11DC0">
        <w:rPr>
          <w:lang w:val="en-GB"/>
        </w:rPr>
        <w:t xml:space="preserve"> or discontinued before day 7</w:t>
      </w:r>
      <w:r w:rsidR="002E35EE">
        <w:rPr>
          <w:lang w:val="en-GB"/>
        </w:rPr>
        <w:t>1</w:t>
      </w:r>
      <w:r w:rsidR="00C97D09" w:rsidRPr="00D11DC0">
        <w:rPr>
          <w:lang w:val="en-GB"/>
        </w:rPr>
        <w:t xml:space="preserve">. The per-protocol first dose (PPFD) set received </w:t>
      </w:r>
      <w:r w:rsidR="00C97D09" w:rsidRPr="00D11DC0">
        <w:rPr>
          <w:rFonts w:cs="Times New Roman"/>
          <w:szCs w:val="24"/>
          <w:lang w:val="en-GB"/>
        </w:rPr>
        <w:t>≥1</w:t>
      </w:r>
      <w:r w:rsidR="00C97D09" w:rsidRPr="00D11DC0">
        <w:rPr>
          <w:lang w:val="en-GB"/>
        </w:rPr>
        <w:t xml:space="preserve"> dose of vaccine</w:t>
      </w:r>
      <w:r w:rsidR="00C97D09">
        <w:rPr>
          <w:lang w:val="en-GB"/>
        </w:rPr>
        <w:t xml:space="preserve"> or </w:t>
      </w:r>
      <w:r w:rsidR="00C97D09" w:rsidRPr="00D11DC0">
        <w:rPr>
          <w:lang w:val="en-GB"/>
        </w:rPr>
        <w:t>placebo in the double-blind phase</w:t>
      </w:r>
      <w:r w:rsidR="00C97D09">
        <w:rPr>
          <w:lang w:val="en-GB"/>
        </w:rPr>
        <w:t xml:space="preserve"> with </w:t>
      </w:r>
      <w:r w:rsidR="00C97D09" w:rsidRPr="00D11DC0">
        <w:rPr>
          <w:rFonts w:cs="Times New Roman"/>
          <w:szCs w:val="24"/>
          <w:lang w:val="en-GB"/>
        </w:rPr>
        <w:t>no major protocol deviations</w:t>
      </w:r>
      <w:r w:rsidR="00C97D09">
        <w:rPr>
          <w:rFonts w:cs="Times New Roman"/>
          <w:szCs w:val="24"/>
          <w:lang w:val="en-GB"/>
        </w:rPr>
        <w:t xml:space="preserve"> impacting efficacy; participants with positive results at baseline by PCR or serology were excluded</w:t>
      </w:r>
      <w:r w:rsidR="00C97D09" w:rsidRPr="00D11DC0">
        <w:rPr>
          <w:lang w:val="en-GB"/>
        </w:rPr>
        <w:t xml:space="preserve">. </w:t>
      </w:r>
      <w:r w:rsidR="00C97D09">
        <w:t xml:space="preserve">Efficacy analyses were conducted in the </w:t>
      </w:r>
      <w:r w:rsidR="002C4247">
        <w:t xml:space="preserve">at-risk population of </w:t>
      </w:r>
      <w:r w:rsidR="00211222">
        <w:t xml:space="preserve">the </w:t>
      </w:r>
      <w:r w:rsidR="00C97D09">
        <w:t xml:space="preserve">PP set for all evaluations post booster dose (main analysis set) and </w:t>
      </w:r>
      <w:r w:rsidR="00211222">
        <w:t xml:space="preserve">at-risk population of the </w:t>
      </w:r>
      <w:r w:rsidR="00C97D09">
        <w:t>PPFD set (for efficacy post dose 1).</w:t>
      </w:r>
      <w:r w:rsidR="00C97D09">
        <w:rPr>
          <w:lang w:val="en-GB"/>
        </w:rPr>
        <w:t xml:space="preserve"> I</w:t>
      </w:r>
      <w:r w:rsidR="00C97D09" w:rsidRPr="00D11DC0">
        <w:rPr>
          <w:lang w:val="en-GB"/>
        </w:rPr>
        <w:t xml:space="preserve">mmunogenicity analyses were conducted in the immunogenicity </w:t>
      </w:r>
      <w:r w:rsidR="00C97D09" w:rsidRPr="00D11DC0">
        <w:rPr>
          <w:lang w:val="en-GB"/>
        </w:rPr>
        <w:lastRenderedPageBreak/>
        <w:t>subset, and safety analyses were conducted in the FAS and safety subset (</w:t>
      </w:r>
      <w:r w:rsidR="00C97D09">
        <w:rPr>
          <w:lang w:val="en-GB"/>
        </w:rPr>
        <w:t>appendix</w:t>
      </w:r>
      <w:r w:rsidR="00C97D09">
        <w:rPr>
          <w:b/>
          <w:bCs/>
          <w:lang w:val="en-GB"/>
        </w:rPr>
        <w:t xml:space="preserve"> </w:t>
      </w:r>
      <w:r w:rsidR="00C97D09">
        <w:rPr>
          <w:lang w:val="en-GB"/>
        </w:rPr>
        <w:t>p. 19</w:t>
      </w:r>
      <w:r w:rsidR="00C97D09" w:rsidRPr="00D11DC0">
        <w:rPr>
          <w:lang w:val="en-GB"/>
        </w:rPr>
        <w:t>).</w:t>
      </w:r>
      <w:r w:rsidR="00C97D09" w:rsidRPr="00D11DC0">
        <w:rPr>
          <w:rFonts w:cs="Times New Roman"/>
          <w:szCs w:val="24"/>
          <w:lang w:val="en-GB"/>
        </w:rPr>
        <w:t xml:space="preserve"> </w:t>
      </w:r>
      <w:bookmarkStart w:id="31" w:name="_Hlk107399682"/>
      <w:r w:rsidR="009408A6" w:rsidRPr="009408A6">
        <w:rPr>
          <w:rFonts w:cs="Times New Roman"/>
          <w:szCs w:val="24"/>
          <w:lang w:val="en-GB"/>
        </w:rPr>
        <w:t>Statistical analys</w:t>
      </w:r>
      <w:r w:rsidR="00806A5D">
        <w:rPr>
          <w:rFonts w:cs="Times New Roman"/>
          <w:szCs w:val="24"/>
          <w:lang w:val="en-GB"/>
        </w:rPr>
        <w:t>e</w:t>
      </w:r>
      <w:r w:rsidR="009408A6" w:rsidRPr="009408A6">
        <w:rPr>
          <w:rFonts w:cs="Times New Roman"/>
          <w:szCs w:val="24"/>
          <w:lang w:val="en-GB"/>
        </w:rPr>
        <w:t>s w</w:t>
      </w:r>
      <w:r w:rsidR="00806A5D">
        <w:rPr>
          <w:rFonts w:cs="Times New Roman"/>
          <w:szCs w:val="24"/>
          <w:lang w:val="en-GB"/>
        </w:rPr>
        <w:t>ere</w:t>
      </w:r>
      <w:r w:rsidR="009408A6" w:rsidRPr="009408A6">
        <w:rPr>
          <w:rFonts w:cs="Times New Roman"/>
          <w:szCs w:val="24"/>
          <w:lang w:val="en-GB"/>
        </w:rPr>
        <w:t xml:space="preserve"> performed using SAS (version</w:t>
      </w:r>
      <w:r w:rsidR="00F22308">
        <w:rPr>
          <w:rFonts w:cs="Times New Roman"/>
          <w:szCs w:val="24"/>
          <w:lang w:val="en-GB"/>
        </w:rPr>
        <w:t xml:space="preserve"> </w:t>
      </w:r>
      <w:r w:rsidR="009408A6" w:rsidRPr="009408A6">
        <w:rPr>
          <w:rFonts w:cs="Times New Roman"/>
          <w:szCs w:val="24"/>
          <w:lang w:val="en-GB"/>
        </w:rPr>
        <w:t>9.4) and R 4.1.0 and above.</w:t>
      </w:r>
      <w:bookmarkEnd w:id="31"/>
    </w:p>
    <w:p w14:paraId="2A833219" w14:textId="77777777" w:rsidR="00C97D09" w:rsidRPr="00D11DC0" w:rsidRDefault="00C97D09" w:rsidP="00B11B67">
      <w:pPr>
        <w:spacing w:after="240"/>
        <w:rPr>
          <w:lang w:val="en-GB"/>
        </w:rPr>
      </w:pPr>
      <w:r w:rsidRPr="00D11DC0">
        <w:rPr>
          <w:lang w:val="en-GB"/>
        </w:rPr>
        <w:t>Sample size was based on an assumption of vaccine efficacy of 65% against molecularly-confirmed moderate to severe–critical SARS-CoV-2 infection, a type one error rate of 0·025 to evaluate vaccine efficacy, and a 1:1 randomisation ratio. In total, 104 events would provide approximately 90% power to reject the primary endpoint null hypothesis.</w:t>
      </w:r>
    </w:p>
    <w:p w14:paraId="17DE6B07" w14:textId="3F3CFD44" w:rsidR="00111064" w:rsidRDefault="00D66D43" w:rsidP="00612002">
      <w:pPr>
        <w:rPr>
          <w:lang w:val="en-GB"/>
        </w:rPr>
      </w:pPr>
      <w:bookmarkStart w:id="32" w:name="_Hlk103724023"/>
      <w:r w:rsidRPr="00D11DC0">
        <w:rPr>
          <w:rFonts w:cs="Times New Roman"/>
          <w:szCs w:val="24"/>
          <w:lang w:val="en-GB"/>
        </w:rPr>
        <w:t xml:space="preserve">The primary analysis was triggered when ≥90% of participants were unblinded. </w:t>
      </w:r>
      <w:r w:rsidR="00C97D09" w:rsidRPr="00D11DC0">
        <w:rPr>
          <w:lang w:val="en-GB"/>
        </w:rPr>
        <w:t xml:space="preserve">The primary endpoint null hypothesis was vaccine efficacy of Ad26.COV2.S of 30% or lower (tested at a 0·025 one-sided significance level). </w:t>
      </w:r>
      <w:bookmarkStart w:id="33" w:name="_Hlk103755135"/>
      <w:r w:rsidR="00C97D09" w:rsidRPr="00D11DC0">
        <w:rPr>
          <w:lang w:val="en-GB"/>
        </w:rPr>
        <w:t>If the null hypothesis was rejected, confirmatory secondary endpoints (any symptomatic infection</w:t>
      </w:r>
      <w:r w:rsidR="00C97D09">
        <w:rPr>
          <w:lang w:val="en-GB"/>
        </w:rPr>
        <w:t xml:space="preserve"> [burden of disease]</w:t>
      </w:r>
      <w:r w:rsidR="00C97D09" w:rsidRPr="00D11DC0">
        <w:rPr>
          <w:lang w:val="en-GB"/>
        </w:rPr>
        <w:t xml:space="preserve">, all SARS-CoV-2 infections, severe–critical COVID-19, asymptomatic SARS-CoV-2 infection, and COVID-19 requiring medical intervention, all evaluated with onset at least 14 days post-booster dose) were tested against a null hypothesis using a lower limit of efficacy </w:t>
      </w:r>
      <w:r w:rsidR="00C97D09" w:rsidRPr="00115266">
        <w:rPr>
          <w:rFonts w:cs="Times New Roman"/>
          <w:lang w:val="en-GB"/>
        </w:rPr>
        <w:t>≤</w:t>
      </w:r>
      <w:r w:rsidR="00C97D09" w:rsidRPr="00D11DC0">
        <w:rPr>
          <w:lang w:val="en-GB"/>
        </w:rPr>
        <w:t>0%, employing a prespecified multiple testing strategy preserving the 0·025 family-wise error rate</w:t>
      </w:r>
      <w:bookmarkEnd w:id="32"/>
      <w:r w:rsidR="00C97D09" w:rsidRPr="00D11DC0">
        <w:rPr>
          <w:lang w:val="en-GB"/>
        </w:rPr>
        <w:t xml:space="preserve"> (</w:t>
      </w:r>
      <w:bookmarkStart w:id="34" w:name="_Hlk103755198"/>
      <w:r w:rsidR="00C97D09" w:rsidRPr="00D11DC0">
        <w:rPr>
          <w:lang w:val="en-GB"/>
        </w:rPr>
        <w:t>and indicated with “adjusted</w:t>
      </w:r>
      <w:r w:rsidR="00C97D09">
        <w:rPr>
          <w:lang w:val="en-GB"/>
        </w:rPr>
        <w:t xml:space="preserve"> </w:t>
      </w:r>
      <w:r w:rsidR="00C97D09" w:rsidRPr="00D11DC0">
        <w:rPr>
          <w:lang w:val="en-GB"/>
        </w:rPr>
        <w:t>95% CI”</w:t>
      </w:r>
      <w:r w:rsidR="00C97D09">
        <w:rPr>
          <w:lang w:val="en-GB"/>
        </w:rPr>
        <w:t>; [appendix pp. 20 and 56])</w:t>
      </w:r>
      <w:r w:rsidR="00C97D09" w:rsidRPr="00D11DC0">
        <w:rPr>
          <w:lang w:val="en-GB"/>
        </w:rPr>
        <w:t xml:space="preserve">. </w:t>
      </w:r>
      <w:bookmarkEnd w:id="33"/>
      <w:bookmarkEnd w:id="34"/>
      <w:r w:rsidR="00C97D09" w:rsidRPr="00D11DC0">
        <w:rPr>
          <w:lang w:val="en-GB"/>
        </w:rPr>
        <w:t>All other endpoints</w:t>
      </w:r>
      <w:r w:rsidR="00372DDF">
        <w:rPr>
          <w:lang w:val="en-GB"/>
        </w:rPr>
        <w:t xml:space="preserve"> </w:t>
      </w:r>
      <w:r w:rsidR="00C97D09" w:rsidRPr="00D11DC0">
        <w:rPr>
          <w:lang w:val="en-GB"/>
        </w:rPr>
        <w:t xml:space="preserve">or subgroup analyses were summarised descriptively with 95% </w:t>
      </w:r>
      <w:r w:rsidR="00C97D09">
        <w:rPr>
          <w:lang w:val="en-GB"/>
        </w:rPr>
        <w:t>CIs</w:t>
      </w:r>
      <w:r w:rsidR="00C97D09" w:rsidRPr="00D11DC0">
        <w:rPr>
          <w:lang w:val="en-GB"/>
        </w:rPr>
        <w:t xml:space="preserve">. </w:t>
      </w:r>
    </w:p>
    <w:p w14:paraId="0625A0E8" w14:textId="60BC5FBB" w:rsidR="00C97D09" w:rsidRDefault="00C97D09" w:rsidP="00172622">
      <w:pPr>
        <w:rPr>
          <w:lang w:val="en-GB"/>
        </w:rPr>
      </w:pPr>
      <w:r w:rsidRPr="00D11DC0">
        <w:rPr>
          <w:lang w:val="en-GB"/>
        </w:rPr>
        <w:t>Efficacy and associated CI calculations were performed using exact Poisson regression.</w:t>
      </w:r>
      <w:r w:rsidRPr="007D161F">
        <w:rPr>
          <w:noProof/>
          <w:vertAlign w:val="superscript"/>
          <w:lang w:val="en-GB"/>
        </w:rPr>
        <w:t>7</w:t>
      </w:r>
      <w:r w:rsidRPr="00D11DC0">
        <w:rPr>
          <w:lang w:val="en-GB"/>
        </w:rPr>
        <w:t xml:space="preserve"> Estimated cumulative incidence rates to evaluate time to first occurrence of COVID-19 and vaccine efficacy over time were assessed by Kaplan-Meier methods. </w:t>
      </w:r>
      <w:r w:rsidR="00BD3D06" w:rsidRPr="00C81DA7">
        <w:rPr>
          <w:rFonts w:cs="Times New Roman"/>
          <w:szCs w:val="24"/>
          <w:lang w:val="en-GB"/>
        </w:rPr>
        <w:t xml:space="preserve">For any given endpoint, vaccine efficacy was derived from the ratio of the incidence of the endpoint </w:t>
      </w:r>
      <w:r w:rsidR="00BD3D06">
        <w:rPr>
          <w:rFonts w:cs="Times New Roman"/>
          <w:szCs w:val="24"/>
          <w:lang w:val="en-GB"/>
        </w:rPr>
        <w:t xml:space="preserve">(number of cases/person-years) </w:t>
      </w:r>
      <w:r w:rsidR="00BD3D06" w:rsidRPr="00C81DA7">
        <w:rPr>
          <w:rFonts w:cs="Times New Roman"/>
          <w:szCs w:val="24"/>
          <w:lang w:val="en-GB"/>
        </w:rPr>
        <w:t>in the vaccinated group relative to the incidence of the endpoint in the placebo group</w:t>
      </w:r>
      <w:r w:rsidR="00BD3D06">
        <w:rPr>
          <w:rFonts w:cs="Times New Roman"/>
          <w:szCs w:val="24"/>
          <w:lang w:val="en-GB"/>
        </w:rPr>
        <w:t xml:space="preserve"> based on Poisson regression (appendix p. 21).</w:t>
      </w:r>
      <w:r w:rsidR="00612002">
        <w:rPr>
          <w:rFonts w:cs="Times New Roman"/>
          <w:szCs w:val="24"/>
          <w:lang w:val="en-GB"/>
        </w:rPr>
        <w:t xml:space="preserve"> </w:t>
      </w:r>
      <w:r w:rsidRPr="00DC4416">
        <w:rPr>
          <w:lang w:val="en-GB"/>
        </w:rPr>
        <w:t xml:space="preserve">Subgroup analyses were conducted </w:t>
      </w:r>
      <w:r>
        <w:rPr>
          <w:lang w:val="en-GB"/>
        </w:rPr>
        <w:lastRenderedPageBreak/>
        <w:t xml:space="preserve">according to </w:t>
      </w:r>
      <w:r w:rsidRPr="00DC4416">
        <w:rPr>
          <w:lang w:val="en-GB"/>
        </w:rPr>
        <w:t xml:space="preserve">various demographics and baseline risk factors </w:t>
      </w:r>
      <w:r>
        <w:rPr>
          <w:lang w:val="en-GB"/>
        </w:rPr>
        <w:t xml:space="preserve">and </w:t>
      </w:r>
      <w:r w:rsidRPr="00DC4416">
        <w:rPr>
          <w:lang w:val="en-GB"/>
        </w:rPr>
        <w:t>by variant</w:t>
      </w:r>
      <w:r>
        <w:rPr>
          <w:lang w:val="en-GB"/>
        </w:rPr>
        <w:t xml:space="preserve">; these were prespecified, except for </w:t>
      </w:r>
      <w:r w:rsidRPr="00A032D1">
        <w:rPr>
          <w:lang w:val="en-GB"/>
        </w:rPr>
        <w:t xml:space="preserve">presence or absence of </w:t>
      </w:r>
      <w:r>
        <w:rPr>
          <w:lang w:val="en-GB"/>
        </w:rPr>
        <w:t xml:space="preserve">each of the </w:t>
      </w:r>
      <w:r w:rsidRPr="00A032D1">
        <w:rPr>
          <w:lang w:val="en-GB"/>
        </w:rPr>
        <w:t>specific comorbidities</w:t>
      </w:r>
      <w:r>
        <w:rPr>
          <w:lang w:val="en-GB"/>
        </w:rPr>
        <w:t>.</w:t>
      </w:r>
    </w:p>
    <w:p w14:paraId="6C9AA41E" w14:textId="77777777" w:rsidR="00C97D09" w:rsidRPr="00D11DC0" w:rsidRDefault="00C97D09" w:rsidP="00B11B67">
      <w:pPr>
        <w:spacing w:after="240"/>
        <w:rPr>
          <w:lang w:val="en-GB"/>
        </w:rPr>
      </w:pPr>
      <w:r>
        <w:rPr>
          <w:lang w:val="en-GB"/>
        </w:rPr>
        <w:t xml:space="preserve">To assess immunogenicity, </w:t>
      </w:r>
      <w:r w:rsidRPr="00507E84">
        <w:rPr>
          <w:lang w:val="en-GB"/>
        </w:rPr>
        <w:t xml:space="preserve">the spike-specific binding antibody geometric mean concentration </w:t>
      </w:r>
      <w:r>
        <w:rPr>
          <w:lang w:val="en-GB"/>
        </w:rPr>
        <w:t>(ELISA) and responder rates were evaluated. A responder was identified by at least 1 of the following: (1) a baseline sample value less than or equal to the lower limit of quantification (</w:t>
      </w:r>
      <w:r w:rsidRPr="00402D88">
        <w:rPr>
          <w:lang w:val="en-GB"/>
        </w:rPr>
        <w:t>LLOQ</w:t>
      </w:r>
      <w:r>
        <w:rPr>
          <w:lang w:val="en-GB"/>
        </w:rPr>
        <w:t xml:space="preserve">) with a post-baseline sample &gt;LLOQ, (2) a baseline sample value &gt;LLOQ and </w:t>
      </w:r>
      <w:r w:rsidRPr="00E5375F">
        <w:rPr>
          <w:lang w:val="en-GB"/>
        </w:rPr>
        <w:t>≥4-fold</w:t>
      </w:r>
      <w:r>
        <w:rPr>
          <w:lang w:val="en-GB"/>
        </w:rPr>
        <w:t xml:space="preserve"> increase from the baseline sample value.</w:t>
      </w:r>
    </w:p>
    <w:p w14:paraId="039709D0" w14:textId="77777777" w:rsidR="00C97D09" w:rsidRPr="00D11DC0" w:rsidRDefault="00C97D09" w:rsidP="00B11B67">
      <w:pPr>
        <w:rPr>
          <w:lang w:val="en-GB"/>
        </w:rPr>
      </w:pPr>
      <w:r w:rsidRPr="00D11DC0">
        <w:rPr>
          <w:lang w:val="en-GB"/>
        </w:rPr>
        <w:t>The frequency of serious AEs, AEs of special interest, and medically attended AEs were summarised descriptively for the FAS. The frequency and severity of solicited and unsolicited AEs</w:t>
      </w:r>
      <w:r w:rsidRPr="00D11DC0" w:rsidDel="00DA50CF">
        <w:rPr>
          <w:lang w:val="en-GB"/>
        </w:rPr>
        <w:t xml:space="preserve"> </w:t>
      </w:r>
      <w:r w:rsidRPr="00D11DC0">
        <w:rPr>
          <w:lang w:val="en-GB"/>
        </w:rPr>
        <w:t>were summarised descriptively in the safety subset.</w:t>
      </w:r>
    </w:p>
    <w:p w14:paraId="54602E3A" w14:textId="77777777" w:rsidR="00C97D09" w:rsidRPr="00D11DC0" w:rsidRDefault="00C97D09" w:rsidP="00F1594F">
      <w:pPr>
        <w:outlineLvl w:val="1"/>
        <w:rPr>
          <w:b/>
          <w:bCs/>
          <w:i/>
          <w:iCs/>
          <w:lang w:val="en-GB"/>
        </w:rPr>
      </w:pPr>
      <w:r w:rsidRPr="00D11DC0">
        <w:rPr>
          <w:b/>
          <w:bCs/>
          <w:i/>
          <w:iCs/>
          <w:lang w:val="en-GB"/>
        </w:rPr>
        <w:t>Role of the Funding Source</w:t>
      </w:r>
    </w:p>
    <w:p w14:paraId="08DA53B8" w14:textId="301F6E5D" w:rsidR="00C97D09" w:rsidRPr="00D11DC0" w:rsidRDefault="00C97D09">
      <w:pPr>
        <w:rPr>
          <w:lang w:val="en-GB"/>
        </w:rPr>
      </w:pPr>
      <w:r w:rsidRPr="00D11DC0" w:rsidDel="00D919DD">
        <w:rPr>
          <w:rFonts w:cs="Times New Roman"/>
          <w:szCs w:val="24"/>
          <w:lang w:val="en-GB"/>
        </w:rPr>
        <w:t xml:space="preserve">The sponsor was responsible for trial design, conduct, data </w:t>
      </w:r>
      <w:r w:rsidRPr="00D11DC0">
        <w:rPr>
          <w:rFonts w:cs="Times New Roman"/>
          <w:szCs w:val="24"/>
          <w:lang w:val="en-GB"/>
        </w:rPr>
        <w:t xml:space="preserve">collection, </w:t>
      </w:r>
      <w:r w:rsidRPr="00D11DC0" w:rsidDel="00D919DD">
        <w:rPr>
          <w:rFonts w:cs="Times New Roman"/>
          <w:szCs w:val="24"/>
          <w:lang w:val="en-GB"/>
        </w:rPr>
        <w:t>analysis</w:t>
      </w:r>
      <w:r w:rsidRPr="00D11DC0">
        <w:rPr>
          <w:rFonts w:cs="Times New Roman"/>
          <w:szCs w:val="24"/>
          <w:lang w:val="en-GB"/>
        </w:rPr>
        <w:t>, and</w:t>
      </w:r>
      <w:r w:rsidRPr="00D11DC0" w:rsidDel="00D919DD">
        <w:rPr>
          <w:rFonts w:cs="Times New Roman"/>
          <w:szCs w:val="24"/>
          <w:lang w:val="en-GB"/>
        </w:rPr>
        <w:t xml:space="preserve"> interpretation</w:t>
      </w:r>
      <w:r w:rsidRPr="00D11DC0">
        <w:rPr>
          <w:rFonts w:cs="Times New Roman"/>
          <w:szCs w:val="24"/>
          <w:lang w:val="en-GB"/>
        </w:rPr>
        <w:t>, and authors employed by the sponsor contributed to the writing of the report and in the decision to submit for publication</w:t>
      </w:r>
      <w:r w:rsidRPr="00D11DC0" w:rsidDel="00D919DD">
        <w:rPr>
          <w:rFonts w:cs="Times New Roman"/>
          <w:szCs w:val="24"/>
          <w:lang w:val="en-GB"/>
        </w:rPr>
        <w:t xml:space="preserve">. </w:t>
      </w:r>
      <w:r w:rsidRPr="00D11DC0">
        <w:rPr>
          <w:rFonts w:cs="Times New Roman"/>
          <w:szCs w:val="24"/>
          <w:lang w:val="en-GB"/>
        </w:rPr>
        <w:t>Sponsor-funded medical writers assisted with drafting the manuscript.</w:t>
      </w:r>
    </w:p>
    <w:p w14:paraId="3ACA7BDB" w14:textId="77777777" w:rsidR="00C97D09" w:rsidRPr="00D11DC0" w:rsidRDefault="00C97D09" w:rsidP="00F1594F">
      <w:pPr>
        <w:rPr>
          <w:lang w:val="en-GB"/>
        </w:rPr>
      </w:pPr>
    </w:p>
    <w:p w14:paraId="04FE5B60" w14:textId="77777777" w:rsidR="00C97D09" w:rsidRPr="00D11DC0" w:rsidRDefault="00C97D09" w:rsidP="004F09B9">
      <w:pPr>
        <w:pStyle w:val="Heading1"/>
        <w:rPr>
          <w:lang w:val="en-GB"/>
        </w:rPr>
      </w:pPr>
      <w:r w:rsidRPr="00D11DC0">
        <w:rPr>
          <w:lang w:val="en-GB"/>
        </w:rPr>
        <w:t>RESULTS</w:t>
      </w:r>
    </w:p>
    <w:p w14:paraId="2D042B0C" w14:textId="77777777" w:rsidR="00C97D09" w:rsidRPr="00D11DC0" w:rsidRDefault="00C97D09" w:rsidP="008A4A93">
      <w:pPr>
        <w:pStyle w:val="Heading2"/>
        <w:spacing w:before="240"/>
        <w:rPr>
          <w:lang w:val="en-GB"/>
        </w:rPr>
      </w:pPr>
      <w:r w:rsidRPr="00D11DC0">
        <w:rPr>
          <w:lang w:val="en-GB"/>
        </w:rPr>
        <w:t>Participants</w:t>
      </w:r>
    </w:p>
    <w:p w14:paraId="13F4358B" w14:textId="35971457" w:rsidR="00C97D09" w:rsidRDefault="00C97D09" w:rsidP="00B01B95">
      <w:pPr>
        <w:rPr>
          <w:lang w:val="en-GB"/>
        </w:rPr>
      </w:pPr>
      <w:r w:rsidRPr="00D11DC0">
        <w:rPr>
          <w:rFonts w:cs="Times New Roman"/>
          <w:szCs w:val="24"/>
          <w:lang w:val="en-GB"/>
        </w:rPr>
        <w:t xml:space="preserve">Enrolment began November 16, 2020, and the primary analysis data cutoff was June 25, 2021 (before Delta became globally dominant and before the emergence of Omicron). </w:t>
      </w:r>
      <w:bookmarkStart w:id="35" w:name="_Hlk103609222"/>
      <w:r w:rsidRPr="00D11DC0">
        <w:rPr>
          <w:lang w:val="en-GB"/>
        </w:rPr>
        <w:t xml:space="preserve">Demographic and baseline characteristics </w:t>
      </w:r>
      <w:r>
        <w:rPr>
          <w:lang w:val="en-GB"/>
        </w:rPr>
        <w:t>are described for</w:t>
      </w:r>
      <w:r w:rsidRPr="00D11DC0">
        <w:rPr>
          <w:lang w:val="en-GB"/>
        </w:rPr>
        <w:t xml:space="preserve"> the FAS and PP sets </w:t>
      </w:r>
      <w:r>
        <w:rPr>
          <w:lang w:val="en-GB"/>
        </w:rPr>
        <w:t xml:space="preserve">in </w:t>
      </w:r>
      <w:r w:rsidRPr="00D11DC0">
        <w:rPr>
          <w:b/>
          <w:bCs/>
          <w:lang w:val="en-GB"/>
        </w:rPr>
        <w:t>Table 1</w:t>
      </w:r>
      <w:r>
        <w:rPr>
          <w:b/>
          <w:bCs/>
          <w:lang w:val="en-GB"/>
        </w:rPr>
        <w:t xml:space="preserve"> </w:t>
      </w:r>
      <w:r w:rsidRPr="00495F79">
        <w:rPr>
          <w:lang w:val="en-GB"/>
        </w:rPr>
        <w:t>and</w:t>
      </w:r>
      <w:r w:rsidRPr="00D11DC0">
        <w:rPr>
          <w:b/>
          <w:bCs/>
          <w:lang w:val="en-GB"/>
        </w:rPr>
        <w:t xml:space="preserve"> </w:t>
      </w:r>
      <w:r w:rsidRPr="00831A8D">
        <w:rPr>
          <w:b/>
          <w:bCs/>
          <w:lang w:val="en-GB"/>
        </w:rPr>
        <w:t>Table S2</w:t>
      </w:r>
      <w:r w:rsidR="006610C5">
        <w:rPr>
          <w:lang w:val="en-GB"/>
        </w:rPr>
        <w:t xml:space="preserve"> </w:t>
      </w:r>
      <w:r w:rsidR="006610C5">
        <w:rPr>
          <w:lang w:val="en-GB"/>
        </w:rPr>
        <w:lastRenderedPageBreak/>
        <w:t>(appendix p.51)</w:t>
      </w:r>
      <w:r w:rsidRPr="00831A8D">
        <w:rPr>
          <w:b/>
          <w:bCs/>
          <w:lang w:val="en-GB"/>
        </w:rPr>
        <w:t xml:space="preserve">, </w:t>
      </w:r>
      <w:r w:rsidRPr="00831A8D">
        <w:rPr>
          <w:lang w:val="en-GB"/>
        </w:rPr>
        <w:t>respectively</w:t>
      </w:r>
      <w:r w:rsidRPr="00D11DC0">
        <w:rPr>
          <w:lang w:val="en-GB"/>
        </w:rPr>
        <w:t xml:space="preserve">. </w:t>
      </w:r>
      <w:r>
        <w:rPr>
          <w:lang w:val="en-GB"/>
        </w:rPr>
        <w:t>Among the</w:t>
      </w:r>
      <w:r w:rsidRPr="00D11DC0">
        <w:rPr>
          <w:lang w:val="en-GB"/>
        </w:rPr>
        <w:t xml:space="preserve"> participants </w:t>
      </w:r>
      <w:r>
        <w:rPr>
          <w:lang w:val="en-GB"/>
        </w:rPr>
        <w:t xml:space="preserve">who </w:t>
      </w:r>
      <w:r w:rsidRPr="00D11DC0">
        <w:rPr>
          <w:lang w:val="en-GB"/>
        </w:rPr>
        <w:t>were randomised and vaccinated, 16,751</w:t>
      </w:r>
      <w:r>
        <w:rPr>
          <w:lang w:val="en-GB"/>
        </w:rPr>
        <w:t>/31,300</w:t>
      </w:r>
      <w:r w:rsidRPr="00D11DC0">
        <w:rPr>
          <w:lang w:val="en-GB"/>
        </w:rPr>
        <w:t xml:space="preserve"> (53·5%) received both doses (Ad26.COV2.S, n=8655; placebo, n=8096) with 14,492 included in the PP efficacy population (</w:t>
      </w:r>
      <w:r w:rsidRPr="00D11DC0">
        <w:rPr>
          <w:b/>
          <w:bCs/>
          <w:lang w:val="en-GB"/>
        </w:rPr>
        <w:t>Figure 1</w:t>
      </w:r>
      <w:r w:rsidRPr="00D11DC0">
        <w:rPr>
          <w:lang w:val="en-GB"/>
        </w:rPr>
        <w:t xml:space="preserve">). </w:t>
      </w:r>
      <w:bookmarkEnd w:id="35"/>
      <w:r w:rsidRPr="00D11DC0">
        <w:rPr>
          <w:lang w:val="en-GB"/>
        </w:rPr>
        <w:t>Most (</w:t>
      </w:r>
      <w:r>
        <w:rPr>
          <w:lang w:val="en-GB"/>
        </w:rPr>
        <w:t xml:space="preserve">28,836/31,300; </w:t>
      </w:r>
      <w:r w:rsidRPr="00D11DC0">
        <w:rPr>
          <w:lang w:val="en-GB"/>
        </w:rPr>
        <w:t>92·1%) participants in the FAS were still in the study up to the data cutoff date</w:t>
      </w:r>
      <w:r>
        <w:rPr>
          <w:lang w:val="en-GB"/>
        </w:rPr>
        <w:t xml:space="preserve"> (see </w:t>
      </w:r>
      <w:r w:rsidRPr="00E96CFE">
        <w:rPr>
          <w:b/>
          <w:bCs/>
          <w:lang w:val="en-GB"/>
        </w:rPr>
        <w:t>Table S3</w:t>
      </w:r>
      <w:r>
        <w:rPr>
          <w:lang w:val="en-GB"/>
        </w:rPr>
        <w:t xml:space="preserve"> </w:t>
      </w:r>
      <w:r w:rsidR="00D10520">
        <w:rPr>
          <w:lang w:val="en-GB"/>
        </w:rPr>
        <w:t xml:space="preserve">[appendix p.53] </w:t>
      </w:r>
      <w:r>
        <w:rPr>
          <w:lang w:val="en-GB"/>
        </w:rPr>
        <w:t>for the PP population)</w:t>
      </w:r>
      <w:r w:rsidRPr="00D11DC0">
        <w:rPr>
          <w:lang w:val="en-GB"/>
        </w:rPr>
        <w:t>. Overall, 2459</w:t>
      </w:r>
      <w:r>
        <w:rPr>
          <w:lang w:val="en-GB"/>
        </w:rPr>
        <w:t>/31,300</w:t>
      </w:r>
      <w:r w:rsidRPr="00D11DC0">
        <w:rPr>
          <w:lang w:val="en-GB"/>
        </w:rPr>
        <w:t xml:space="preserve"> (7·9%) participants withdrew from the study entirely and 5868</w:t>
      </w:r>
      <w:r>
        <w:rPr>
          <w:lang w:val="en-GB"/>
        </w:rPr>
        <w:t>/31,300</w:t>
      </w:r>
      <w:r w:rsidRPr="00D11DC0">
        <w:rPr>
          <w:lang w:val="en-GB"/>
        </w:rPr>
        <w:t xml:space="preserve"> (18·7%) discontinued vaccination</w:t>
      </w:r>
      <w:r>
        <w:rPr>
          <w:lang w:val="en-GB"/>
        </w:rPr>
        <w:t xml:space="preserve"> but</w:t>
      </w:r>
      <w:r w:rsidRPr="00D53E5F">
        <w:rPr>
          <w:lang w:val="en-GB"/>
        </w:rPr>
        <w:t xml:space="preserve"> remained in the study for further safety follow up</w:t>
      </w:r>
      <w:r w:rsidRPr="00D11DC0">
        <w:rPr>
          <w:lang w:val="en-GB"/>
        </w:rPr>
        <w:t xml:space="preserve">. In the vaccine arm, </w:t>
      </w:r>
      <w:r>
        <w:rPr>
          <w:lang w:val="en-GB"/>
        </w:rPr>
        <w:t>5/15,708</w:t>
      </w:r>
      <w:r w:rsidRPr="00D11DC0">
        <w:rPr>
          <w:lang w:val="en-GB"/>
        </w:rPr>
        <w:t xml:space="preserve"> (0·</w:t>
      </w:r>
      <w:r>
        <w:rPr>
          <w:lang w:val="en-GB"/>
        </w:rPr>
        <w:t>03</w:t>
      </w:r>
      <w:r w:rsidRPr="00D11DC0">
        <w:rPr>
          <w:lang w:val="en-GB"/>
        </w:rPr>
        <w:t xml:space="preserve">%) participants withdrew from the study </w:t>
      </w:r>
      <w:r>
        <w:rPr>
          <w:lang w:val="en-GB"/>
        </w:rPr>
        <w:t xml:space="preserve">due to an AE </w:t>
      </w:r>
      <w:r w:rsidRPr="00D11DC0">
        <w:rPr>
          <w:lang w:val="en-GB"/>
        </w:rPr>
        <w:t>and 29</w:t>
      </w:r>
      <w:r>
        <w:rPr>
          <w:lang w:val="en-GB"/>
        </w:rPr>
        <w:t>/15,708</w:t>
      </w:r>
      <w:r w:rsidRPr="00D11DC0">
        <w:rPr>
          <w:lang w:val="en-GB"/>
        </w:rPr>
        <w:t xml:space="preserve"> (</w:t>
      </w:r>
      <w:r>
        <w:rPr>
          <w:lang w:val="en-GB"/>
        </w:rPr>
        <w:t>0</w:t>
      </w:r>
      <w:r w:rsidRPr="00D11DC0">
        <w:rPr>
          <w:lang w:val="en-GB"/>
        </w:rPr>
        <w:t>·</w:t>
      </w:r>
      <w:r>
        <w:rPr>
          <w:lang w:val="en-GB"/>
        </w:rPr>
        <w:t>18</w:t>
      </w:r>
      <w:r w:rsidRPr="00D11DC0">
        <w:rPr>
          <w:lang w:val="en-GB"/>
        </w:rPr>
        <w:t xml:space="preserve">%) discontinued vaccination due to an AE. Unsolicited AEs leading to study or vaccine discontinuation in the safety subset are summarised in </w:t>
      </w:r>
      <w:r w:rsidRPr="00D11DC0">
        <w:rPr>
          <w:b/>
          <w:bCs/>
          <w:lang w:val="en-GB"/>
        </w:rPr>
        <w:t>Table S</w:t>
      </w:r>
      <w:r>
        <w:rPr>
          <w:b/>
          <w:bCs/>
          <w:lang w:val="en-GB"/>
        </w:rPr>
        <w:t>4</w:t>
      </w:r>
      <w:r w:rsidR="00054BC4">
        <w:rPr>
          <w:lang w:val="en-GB"/>
        </w:rPr>
        <w:t xml:space="preserve"> </w:t>
      </w:r>
      <w:r w:rsidR="00AA1911">
        <w:rPr>
          <w:lang w:val="en-GB"/>
        </w:rPr>
        <w:t>(</w:t>
      </w:r>
      <w:r w:rsidR="00054BC4">
        <w:rPr>
          <w:lang w:val="en-GB"/>
        </w:rPr>
        <w:t>appendix p.55</w:t>
      </w:r>
      <w:r w:rsidR="00AA1911">
        <w:rPr>
          <w:lang w:val="en-GB"/>
        </w:rPr>
        <w:t>)</w:t>
      </w:r>
      <w:r w:rsidRPr="00D11DC0">
        <w:rPr>
          <w:lang w:val="en-GB"/>
        </w:rPr>
        <w:t>.</w:t>
      </w:r>
      <w:r w:rsidRPr="00426DA0">
        <w:rPr>
          <w:lang w:val="en-GB"/>
        </w:rPr>
        <w:t xml:space="preserve"> </w:t>
      </w:r>
      <w:r>
        <w:rPr>
          <w:lang w:val="en-GB"/>
        </w:rPr>
        <w:t>After</w:t>
      </w:r>
      <w:r w:rsidRPr="00D11DC0">
        <w:rPr>
          <w:lang w:val="en-GB"/>
        </w:rPr>
        <w:t xml:space="preserve"> unblind</w:t>
      </w:r>
      <w:r>
        <w:rPr>
          <w:lang w:val="en-GB"/>
        </w:rPr>
        <w:t>ing</w:t>
      </w:r>
      <w:r w:rsidRPr="00D11DC0">
        <w:rPr>
          <w:lang w:val="en-GB"/>
        </w:rPr>
        <w:t>, more placebo recipients (3653/</w:t>
      </w:r>
      <w:r>
        <w:rPr>
          <w:lang w:val="en-GB"/>
        </w:rPr>
        <w:t>15,298</w:t>
      </w:r>
      <w:r w:rsidRPr="00D11DC0">
        <w:rPr>
          <w:lang w:val="en-GB"/>
        </w:rPr>
        <w:t xml:space="preserve"> [</w:t>
      </w:r>
      <w:r>
        <w:rPr>
          <w:lang w:val="en-GB"/>
        </w:rPr>
        <w:t>23</w:t>
      </w:r>
      <w:r w:rsidRPr="00D11DC0">
        <w:rPr>
          <w:lang w:val="en-GB"/>
        </w:rPr>
        <w:t>·</w:t>
      </w:r>
      <w:r>
        <w:rPr>
          <w:lang w:val="en-GB"/>
        </w:rPr>
        <w:t>9</w:t>
      </w:r>
      <w:r w:rsidRPr="00D11DC0">
        <w:rPr>
          <w:lang w:val="en-GB"/>
        </w:rPr>
        <w:t>%]) discontinued vaccination and received another vaccine outside the study than Ad26.COV2.S recipients (417/</w:t>
      </w:r>
      <w:r>
        <w:rPr>
          <w:lang w:val="en-GB"/>
        </w:rPr>
        <w:t>15,472</w:t>
      </w:r>
      <w:r w:rsidRPr="00D11DC0">
        <w:rPr>
          <w:lang w:val="en-GB"/>
        </w:rPr>
        <w:t xml:space="preserve"> [</w:t>
      </w:r>
      <w:r>
        <w:rPr>
          <w:lang w:val="en-GB"/>
        </w:rPr>
        <w:t>2</w:t>
      </w:r>
      <w:r w:rsidRPr="00D11DC0">
        <w:rPr>
          <w:lang w:val="en-GB"/>
        </w:rPr>
        <w:t>·</w:t>
      </w:r>
      <w:r>
        <w:rPr>
          <w:lang w:val="en-GB"/>
        </w:rPr>
        <w:t>7</w:t>
      </w:r>
      <w:r w:rsidRPr="00D11DC0">
        <w:rPr>
          <w:lang w:val="en-GB"/>
        </w:rPr>
        <w:t xml:space="preserve">%]). </w:t>
      </w:r>
      <w:r w:rsidRPr="00D11DC0">
        <w:rPr>
          <w:rFonts w:cs="Arial"/>
          <w:lang w:val="en-GB"/>
        </w:rPr>
        <w:t xml:space="preserve">The median (interquartile range [IQR]) follow-up post-primary vaccination </w:t>
      </w:r>
      <w:r>
        <w:rPr>
          <w:rFonts w:cs="Arial"/>
          <w:lang w:val="en-GB"/>
        </w:rPr>
        <w:t xml:space="preserve">in the FAS </w:t>
      </w:r>
      <w:r w:rsidRPr="00D11DC0">
        <w:rPr>
          <w:rFonts w:cs="Arial"/>
          <w:lang w:val="en-GB"/>
        </w:rPr>
        <w:t>was 70</w:t>
      </w:r>
      <w:r w:rsidRPr="00D11DC0">
        <w:rPr>
          <w:lang w:val="en-GB"/>
        </w:rPr>
        <w:t>·</w:t>
      </w:r>
      <w:r w:rsidRPr="00D11DC0">
        <w:rPr>
          <w:rFonts w:cs="Arial"/>
          <w:lang w:val="en-GB"/>
        </w:rPr>
        <w:t>0 (52</w:t>
      </w:r>
      <w:r w:rsidRPr="00D11DC0">
        <w:rPr>
          <w:lang w:val="en-GB"/>
        </w:rPr>
        <w:t>·</w:t>
      </w:r>
      <w:r w:rsidRPr="00D11DC0">
        <w:rPr>
          <w:rFonts w:cs="Arial"/>
          <w:lang w:val="en-GB"/>
        </w:rPr>
        <w:t>0-99</w:t>
      </w:r>
      <w:r w:rsidRPr="00D11DC0">
        <w:rPr>
          <w:lang w:val="en-GB"/>
        </w:rPr>
        <w:t>·</w:t>
      </w:r>
      <w:r w:rsidRPr="00D11DC0">
        <w:rPr>
          <w:rFonts w:cs="Arial"/>
          <w:lang w:val="en-GB"/>
        </w:rPr>
        <w:t xml:space="preserve">0) days. </w:t>
      </w:r>
      <w:r w:rsidRPr="00D11DC0">
        <w:rPr>
          <w:lang w:val="en-GB"/>
        </w:rPr>
        <w:t xml:space="preserve">In the PP set, median </w:t>
      </w:r>
      <w:r>
        <w:rPr>
          <w:lang w:val="en-GB"/>
        </w:rPr>
        <w:t xml:space="preserve">(IQR) </w:t>
      </w:r>
      <w:r w:rsidRPr="00D11DC0">
        <w:rPr>
          <w:lang w:val="en-GB"/>
        </w:rPr>
        <w:t xml:space="preserve">follow-up was 36·0 </w:t>
      </w:r>
      <w:bookmarkStart w:id="36" w:name="_Hlk106201170"/>
      <w:r>
        <w:rPr>
          <w:lang w:val="en-GB"/>
        </w:rPr>
        <w:t>(15</w:t>
      </w:r>
      <w:r w:rsidRPr="00D11DC0">
        <w:rPr>
          <w:lang w:val="en-GB"/>
        </w:rPr>
        <w:t>·</w:t>
      </w:r>
      <w:r>
        <w:rPr>
          <w:lang w:val="en-GB"/>
        </w:rPr>
        <w:t>0-62</w:t>
      </w:r>
      <w:r w:rsidRPr="00D11DC0">
        <w:rPr>
          <w:lang w:val="en-GB"/>
        </w:rPr>
        <w:t>·</w:t>
      </w:r>
      <w:r>
        <w:rPr>
          <w:lang w:val="en-GB"/>
        </w:rPr>
        <w:t xml:space="preserve">0) </w:t>
      </w:r>
      <w:bookmarkEnd w:id="36"/>
      <w:r w:rsidRPr="00D11DC0">
        <w:rPr>
          <w:lang w:val="en-GB"/>
        </w:rPr>
        <w:t>days post-booster; 4245</w:t>
      </w:r>
      <w:r>
        <w:rPr>
          <w:lang w:val="en-GB"/>
        </w:rPr>
        <w:t>/14,492</w:t>
      </w:r>
      <w:r w:rsidRPr="00D11DC0">
        <w:rPr>
          <w:lang w:val="en-GB"/>
        </w:rPr>
        <w:t xml:space="preserve"> (29·3%) participants had </w:t>
      </w:r>
      <w:r w:rsidRPr="00D11DC0">
        <w:rPr>
          <w:rFonts w:cs="Times New Roman"/>
          <w:szCs w:val="24"/>
          <w:lang w:val="en-GB"/>
        </w:rPr>
        <w:t>≥</w:t>
      </w:r>
      <w:r w:rsidRPr="00D11DC0">
        <w:rPr>
          <w:lang w:val="en-GB"/>
        </w:rPr>
        <w:t>2 months follow-up post-booster. Despite discontinuations, follow-up time in the double-blind phase between arms in the PP set and FAS was similar (</w:t>
      </w:r>
      <w:r w:rsidRPr="00D11DC0">
        <w:rPr>
          <w:b/>
          <w:bCs/>
          <w:lang w:val="en-GB"/>
        </w:rPr>
        <w:t>Figure S1</w:t>
      </w:r>
      <w:r w:rsidR="00606B0A">
        <w:rPr>
          <w:lang w:val="en-GB"/>
        </w:rPr>
        <w:t xml:space="preserve"> [appendix p.23]</w:t>
      </w:r>
      <w:r w:rsidRPr="00D11DC0">
        <w:rPr>
          <w:lang w:val="en-GB"/>
        </w:rPr>
        <w:t>).</w:t>
      </w:r>
    </w:p>
    <w:p w14:paraId="1AB6C23B" w14:textId="77777777" w:rsidR="00C97D09" w:rsidRPr="00D11DC0" w:rsidRDefault="00C97D09" w:rsidP="00B01B95">
      <w:pPr>
        <w:rPr>
          <w:lang w:val="en-GB"/>
        </w:rPr>
      </w:pPr>
    </w:p>
    <w:p w14:paraId="704615C4" w14:textId="77777777" w:rsidR="00C97D09" w:rsidRPr="00D11DC0" w:rsidRDefault="00C97D09" w:rsidP="008A4A93">
      <w:pPr>
        <w:pStyle w:val="Heading2"/>
        <w:spacing w:before="240"/>
        <w:rPr>
          <w:lang w:val="en-GB"/>
        </w:rPr>
      </w:pPr>
      <w:r w:rsidRPr="00D11DC0">
        <w:rPr>
          <w:lang w:val="en-GB"/>
        </w:rPr>
        <w:t>Efficacy</w:t>
      </w:r>
    </w:p>
    <w:p w14:paraId="4BBDF338" w14:textId="77777777" w:rsidR="00C97D09" w:rsidRPr="00D11DC0" w:rsidRDefault="00C97D09" w:rsidP="00C21082">
      <w:pPr>
        <w:rPr>
          <w:i/>
          <w:iCs/>
          <w:lang w:val="en-GB"/>
        </w:rPr>
      </w:pPr>
      <w:r w:rsidRPr="00D11DC0">
        <w:rPr>
          <w:i/>
          <w:iCs/>
          <w:lang w:val="en-GB"/>
        </w:rPr>
        <w:t xml:space="preserve">Moderate to severe–critical COVID-19 ≥14 days after booster dose (primary </w:t>
      </w:r>
      <w:r w:rsidRPr="004B1EDF">
        <w:rPr>
          <w:i/>
          <w:iCs/>
          <w:lang w:val="en-GB"/>
        </w:rPr>
        <w:t>endpoint</w:t>
      </w:r>
      <w:r w:rsidRPr="00E96CFE">
        <w:rPr>
          <w:i/>
          <w:iCs/>
          <w:lang w:val="en-GB"/>
        </w:rPr>
        <w:t>)</w:t>
      </w:r>
    </w:p>
    <w:p w14:paraId="51287E4A" w14:textId="1928F8A5" w:rsidR="00C97D09" w:rsidRPr="00D11DC0" w:rsidRDefault="00714A0F" w:rsidP="00C21082">
      <w:pPr>
        <w:rPr>
          <w:b/>
          <w:bCs/>
          <w:i/>
          <w:iCs/>
          <w:lang w:val="en-GB"/>
        </w:rPr>
      </w:pPr>
      <w:bookmarkStart w:id="37" w:name="_Hlk103374173"/>
      <w:r w:rsidRPr="00714A0F">
        <w:rPr>
          <w:lang w:val="en-GB"/>
        </w:rPr>
        <w:t>The risk set for the analysis of the</w:t>
      </w:r>
      <w:r w:rsidR="00272F07">
        <w:rPr>
          <w:lang w:val="en-GB"/>
        </w:rPr>
        <w:t xml:space="preserve"> PP</w:t>
      </w:r>
      <w:r w:rsidRPr="00714A0F">
        <w:rPr>
          <w:lang w:val="en-GB"/>
        </w:rPr>
        <w:t xml:space="preserve"> set </w:t>
      </w:r>
      <w:r w:rsidR="00592297">
        <w:rPr>
          <w:lang w:val="en-GB"/>
        </w:rPr>
        <w:t>(</w:t>
      </w:r>
      <w:r w:rsidR="008A060D">
        <w:rPr>
          <w:lang w:val="en-GB"/>
        </w:rPr>
        <w:t>Ad26.COV2.S</w:t>
      </w:r>
      <w:r w:rsidR="00445127">
        <w:rPr>
          <w:lang w:val="en-GB"/>
        </w:rPr>
        <w:t>,</w:t>
      </w:r>
      <w:r w:rsidR="008A060D">
        <w:rPr>
          <w:lang w:val="en-GB"/>
        </w:rPr>
        <w:t xml:space="preserve"> n=</w:t>
      </w:r>
      <w:r w:rsidR="006F05F8">
        <w:rPr>
          <w:lang w:val="en-GB"/>
        </w:rPr>
        <w:t>6024</w:t>
      </w:r>
      <w:r w:rsidR="00445127">
        <w:rPr>
          <w:lang w:val="en-GB"/>
        </w:rPr>
        <w:t>;</w:t>
      </w:r>
      <w:r w:rsidR="008A060D">
        <w:rPr>
          <w:lang w:val="en-GB"/>
        </w:rPr>
        <w:t xml:space="preserve"> placebo</w:t>
      </w:r>
      <w:r w:rsidR="00445127">
        <w:rPr>
          <w:lang w:val="en-GB"/>
        </w:rPr>
        <w:t>,</w:t>
      </w:r>
      <w:r w:rsidR="008A060D">
        <w:rPr>
          <w:lang w:val="en-GB"/>
        </w:rPr>
        <w:t xml:space="preserve"> n=</w:t>
      </w:r>
      <w:r w:rsidR="006F05F8">
        <w:rPr>
          <w:lang w:val="en-GB"/>
        </w:rPr>
        <w:t>5615</w:t>
      </w:r>
      <w:r w:rsidR="008A060D">
        <w:rPr>
          <w:lang w:val="en-GB"/>
        </w:rPr>
        <w:t xml:space="preserve">) </w:t>
      </w:r>
      <w:r w:rsidRPr="00714A0F">
        <w:rPr>
          <w:lang w:val="en-GB"/>
        </w:rPr>
        <w:t xml:space="preserve">excluded </w:t>
      </w:r>
      <w:r w:rsidR="00973085">
        <w:rPr>
          <w:lang w:val="en-GB"/>
        </w:rPr>
        <w:t>2853 participants (Ad26.COV2.S, n=</w:t>
      </w:r>
      <w:r w:rsidRPr="00714A0F">
        <w:rPr>
          <w:lang w:val="en-GB"/>
        </w:rPr>
        <w:t>1460</w:t>
      </w:r>
      <w:r w:rsidR="00973085">
        <w:rPr>
          <w:lang w:val="en-GB"/>
        </w:rPr>
        <w:t>; placebo, n=</w:t>
      </w:r>
      <w:r w:rsidRPr="00714A0F">
        <w:rPr>
          <w:lang w:val="en-GB"/>
        </w:rPr>
        <w:t>1393</w:t>
      </w:r>
      <w:r w:rsidR="00973085">
        <w:rPr>
          <w:lang w:val="en-GB"/>
        </w:rPr>
        <w:t>)</w:t>
      </w:r>
      <w:r w:rsidRPr="00714A0F">
        <w:rPr>
          <w:lang w:val="en-GB"/>
        </w:rPr>
        <w:t xml:space="preserve"> </w:t>
      </w:r>
      <w:r w:rsidR="001006F5">
        <w:rPr>
          <w:lang w:val="en-GB"/>
        </w:rPr>
        <w:t>for</w:t>
      </w:r>
      <w:r w:rsidRPr="00714A0F">
        <w:rPr>
          <w:lang w:val="en-GB"/>
        </w:rPr>
        <w:t xml:space="preserve"> either ha</w:t>
      </w:r>
      <w:r w:rsidR="001006F5">
        <w:rPr>
          <w:lang w:val="en-GB"/>
        </w:rPr>
        <w:t>ving</w:t>
      </w:r>
      <w:r w:rsidRPr="00714A0F">
        <w:rPr>
          <w:lang w:val="en-GB"/>
        </w:rPr>
        <w:t xml:space="preserve"> a positive PCR test result or discontin</w:t>
      </w:r>
      <w:r w:rsidR="00043D6B">
        <w:rPr>
          <w:lang w:val="en-GB"/>
        </w:rPr>
        <w:t>uing participation</w:t>
      </w:r>
      <w:r w:rsidRPr="00714A0F">
        <w:rPr>
          <w:lang w:val="en-GB"/>
        </w:rPr>
        <w:t xml:space="preserve"> prior to day 7</w:t>
      </w:r>
      <w:r w:rsidR="002E35EE">
        <w:rPr>
          <w:lang w:val="en-GB"/>
        </w:rPr>
        <w:t>1</w:t>
      </w:r>
      <w:r w:rsidRPr="00714A0F">
        <w:rPr>
          <w:lang w:val="en-GB"/>
        </w:rPr>
        <w:t xml:space="preserve">. </w:t>
      </w:r>
      <w:r w:rsidR="00C97D09" w:rsidRPr="00D11DC0">
        <w:rPr>
          <w:lang w:val="en-GB"/>
        </w:rPr>
        <w:t>At the primary analysis of the double-</w:t>
      </w:r>
      <w:r w:rsidR="00C97D09" w:rsidRPr="00D11DC0">
        <w:rPr>
          <w:lang w:val="en-GB"/>
        </w:rPr>
        <w:lastRenderedPageBreak/>
        <w:t xml:space="preserve">blind phase, 14 molecularly-confirmed moderate to severe–critical COVID-19 cases </w:t>
      </w:r>
      <w:r w:rsidR="00C97D09" w:rsidRPr="00D11DC0">
        <w:rPr>
          <w:rFonts w:cs="Times New Roman"/>
          <w:szCs w:val="24"/>
          <w:lang w:val="en-GB"/>
        </w:rPr>
        <w:t xml:space="preserve">with onset ≥14 days after booster vaccination were reported </w:t>
      </w:r>
      <w:r w:rsidR="00C97D09" w:rsidRPr="00D11DC0">
        <w:rPr>
          <w:lang w:val="en-GB"/>
        </w:rPr>
        <w:t>in the Ad26.COV2.S group and 52 in the placebo group, indicating a vaccine efficacy of 75·2% (adjusted 95% confidence interval [CI]</w:t>
      </w:r>
      <w:r w:rsidR="00C97D09">
        <w:rPr>
          <w:lang w:val="en-GB"/>
        </w:rPr>
        <w:t xml:space="preserve">, using </w:t>
      </w:r>
      <w:r w:rsidR="00C97D09" w:rsidRPr="00202647">
        <w:rPr>
          <w:lang w:val="en-GB"/>
        </w:rPr>
        <w:t>type I error control for multiple testing</w:t>
      </w:r>
      <w:r w:rsidR="00C97D09">
        <w:rPr>
          <w:lang w:val="en-GB"/>
        </w:rPr>
        <w:t>:</w:t>
      </w:r>
      <w:r w:rsidR="00C97D09" w:rsidRPr="00D11DC0">
        <w:rPr>
          <w:lang w:val="en-GB"/>
        </w:rPr>
        <w:t xml:space="preserve"> 54·6-87·3) (</w:t>
      </w:r>
      <w:r w:rsidR="00C97D09" w:rsidRPr="00D11DC0">
        <w:rPr>
          <w:b/>
          <w:bCs/>
          <w:lang w:val="en-GB"/>
        </w:rPr>
        <w:t>Table 2</w:t>
      </w:r>
      <w:bookmarkEnd w:id="37"/>
      <w:r w:rsidR="00C97D09" w:rsidRPr="00D11DC0">
        <w:rPr>
          <w:lang w:val="en-GB"/>
        </w:rPr>
        <w:t xml:space="preserve">). Efficacy </w:t>
      </w:r>
      <w:r w:rsidR="00C97D09">
        <w:rPr>
          <w:lang w:val="en-GB"/>
        </w:rPr>
        <w:t>including</w:t>
      </w:r>
      <w:r w:rsidR="00C97D09" w:rsidRPr="00D11DC0">
        <w:rPr>
          <w:lang w:val="en-GB"/>
        </w:rPr>
        <w:t xml:space="preserve"> non-centrally confirmed cases was similar (</w:t>
      </w:r>
      <w:r w:rsidR="00C97D09" w:rsidRPr="00D11DC0">
        <w:rPr>
          <w:b/>
          <w:bCs/>
          <w:lang w:val="en-GB"/>
        </w:rPr>
        <w:t>Table S</w:t>
      </w:r>
      <w:r w:rsidR="00D85BEC">
        <w:rPr>
          <w:b/>
          <w:bCs/>
          <w:lang w:val="en-GB"/>
        </w:rPr>
        <w:t>5</w:t>
      </w:r>
      <w:r w:rsidR="001460A1">
        <w:rPr>
          <w:b/>
          <w:bCs/>
          <w:lang w:val="en-GB"/>
        </w:rPr>
        <w:t xml:space="preserve"> </w:t>
      </w:r>
      <w:r w:rsidR="001460A1">
        <w:rPr>
          <w:lang w:val="en-GB"/>
        </w:rPr>
        <w:t>[appendix p.5</w:t>
      </w:r>
      <w:r w:rsidR="00D85BEC">
        <w:rPr>
          <w:lang w:val="en-GB"/>
        </w:rPr>
        <w:t>6</w:t>
      </w:r>
      <w:r w:rsidR="001460A1">
        <w:rPr>
          <w:lang w:val="en-GB"/>
        </w:rPr>
        <w:t>]</w:t>
      </w:r>
      <w:r w:rsidR="00C97D09" w:rsidRPr="00D11DC0">
        <w:rPr>
          <w:lang w:val="en-GB"/>
        </w:rPr>
        <w:t xml:space="preserve">). The cumulative incidence curves of molecularly-confirmed moderate to severe–critical COVID-19 cases with onset </w:t>
      </w:r>
      <w:r w:rsidR="00C97D09" w:rsidRPr="00D11DC0">
        <w:rPr>
          <w:rFonts w:cs="Times New Roman"/>
          <w:szCs w:val="24"/>
          <w:lang w:val="en-GB"/>
        </w:rPr>
        <w:t xml:space="preserve">≥1 day </w:t>
      </w:r>
      <w:r w:rsidR="00C97D09">
        <w:rPr>
          <w:rFonts w:cs="Times New Roman"/>
          <w:szCs w:val="24"/>
          <w:lang w:val="en-GB"/>
        </w:rPr>
        <w:t xml:space="preserve">began to separate </w:t>
      </w:r>
      <w:r w:rsidR="00C97D09" w:rsidRPr="00D11DC0">
        <w:rPr>
          <w:rFonts w:cs="Times New Roman"/>
          <w:szCs w:val="24"/>
          <w:lang w:val="en-GB"/>
        </w:rPr>
        <w:t>14 days post-primary vaccination (</w:t>
      </w:r>
      <w:r w:rsidR="00C97D09" w:rsidRPr="00D11DC0">
        <w:rPr>
          <w:rFonts w:cs="Times New Roman"/>
          <w:b/>
          <w:bCs/>
          <w:szCs w:val="24"/>
          <w:lang w:val="en-GB"/>
        </w:rPr>
        <w:t xml:space="preserve">Figure </w:t>
      </w:r>
      <w:r w:rsidR="00C97D09">
        <w:rPr>
          <w:rFonts w:cs="Times New Roman"/>
          <w:b/>
          <w:bCs/>
          <w:szCs w:val="24"/>
          <w:lang w:val="en-GB"/>
        </w:rPr>
        <w:t>S2A</w:t>
      </w:r>
      <w:r w:rsidR="008B3A34">
        <w:rPr>
          <w:rFonts w:cs="Times New Roman"/>
          <w:b/>
          <w:bCs/>
          <w:szCs w:val="24"/>
          <w:lang w:val="en-GB"/>
        </w:rPr>
        <w:t xml:space="preserve"> </w:t>
      </w:r>
      <w:r w:rsidR="008B3A34">
        <w:rPr>
          <w:lang w:val="en-GB"/>
        </w:rPr>
        <w:t>[appendix p.</w:t>
      </w:r>
      <w:r w:rsidR="005D1D8F">
        <w:rPr>
          <w:lang w:val="en-GB"/>
        </w:rPr>
        <w:t>2</w:t>
      </w:r>
      <w:r w:rsidR="008B3A34">
        <w:rPr>
          <w:lang w:val="en-GB"/>
        </w:rPr>
        <w:t>5]</w:t>
      </w:r>
      <w:r w:rsidR="00C97D09" w:rsidRPr="00D11DC0">
        <w:rPr>
          <w:rFonts w:cs="Times New Roman"/>
          <w:szCs w:val="24"/>
          <w:lang w:val="en-GB"/>
        </w:rPr>
        <w:t>)</w:t>
      </w:r>
      <w:r w:rsidR="00C97D09">
        <w:rPr>
          <w:rFonts w:cs="Times New Roman"/>
          <w:szCs w:val="24"/>
          <w:lang w:val="en-GB"/>
        </w:rPr>
        <w:t xml:space="preserve"> and </w:t>
      </w:r>
      <w:r w:rsidR="00C97D09" w:rsidRPr="00D11DC0">
        <w:rPr>
          <w:rFonts w:cs="Times New Roman"/>
          <w:szCs w:val="24"/>
          <w:lang w:val="en-GB"/>
        </w:rPr>
        <w:t>separated more widely shortly after booster vaccination (</w:t>
      </w:r>
      <w:r w:rsidR="00C97D09" w:rsidRPr="00D11DC0">
        <w:rPr>
          <w:rFonts w:cs="Times New Roman"/>
          <w:b/>
          <w:bCs/>
          <w:szCs w:val="24"/>
          <w:lang w:val="en-GB"/>
        </w:rPr>
        <w:t xml:space="preserve">Figure </w:t>
      </w:r>
      <w:r w:rsidR="00C97D09">
        <w:rPr>
          <w:rFonts w:cs="Times New Roman"/>
          <w:b/>
          <w:bCs/>
          <w:szCs w:val="24"/>
          <w:lang w:val="en-GB"/>
        </w:rPr>
        <w:t>2</w:t>
      </w:r>
      <w:r w:rsidR="00C97D09" w:rsidRPr="00D11DC0">
        <w:rPr>
          <w:rFonts w:cs="Times New Roman"/>
          <w:szCs w:val="24"/>
          <w:lang w:val="en-GB"/>
        </w:rPr>
        <w:t>).</w:t>
      </w:r>
    </w:p>
    <w:p w14:paraId="1981B9A6" w14:textId="77777777" w:rsidR="00C97D09" w:rsidRPr="00D11DC0" w:rsidRDefault="00C97D09" w:rsidP="00D0736C">
      <w:pPr>
        <w:keepNext/>
        <w:tabs>
          <w:tab w:val="center" w:pos="4680"/>
        </w:tabs>
        <w:rPr>
          <w:i/>
          <w:iCs/>
          <w:lang w:val="en-GB"/>
        </w:rPr>
      </w:pPr>
      <w:r w:rsidRPr="009741DC">
        <w:rPr>
          <w:i/>
          <w:iCs/>
          <w:lang w:val="en-GB"/>
        </w:rPr>
        <w:t xml:space="preserve">Moderate to severe–critical COVID-19 </w:t>
      </w:r>
      <w:r>
        <w:rPr>
          <w:i/>
          <w:iCs/>
          <w:lang w:val="en-GB"/>
        </w:rPr>
        <w:t>attributable to v</w:t>
      </w:r>
      <w:r w:rsidRPr="00D11DC0">
        <w:rPr>
          <w:i/>
          <w:iCs/>
          <w:lang w:val="en-GB"/>
        </w:rPr>
        <w:t>ariants</w:t>
      </w:r>
    </w:p>
    <w:p w14:paraId="20BBC3D6" w14:textId="19930C44" w:rsidR="00C97D09" w:rsidRPr="00D11DC0" w:rsidRDefault="00C97D09" w:rsidP="00F65A07">
      <w:pPr>
        <w:rPr>
          <w:lang w:val="en-GB"/>
        </w:rPr>
      </w:pPr>
      <w:r w:rsidRPr="00D11DC0">
        <w:rPr>
          <w:lang w:val="en-GB"/>
        </w:rPr>
        <w:t>This study was conducted in multiple regions (North and South America, Africa, Europe</w:t>
      </w:r>
      <w:r>
        <w:rPr>
          <w:lang w:val="en-GB"/>
        </w:rPr>
        <w:t>,</w:t>
      </w:r>
      <w:r w:rsidRPr="00D11DC0">
        <w:rPr>
          <w:lang w:val="en-GB"/>
        </w:rPr>
        <w:t xml:space="preserve"> and Asia) at a time when new lineages of the virus were emerging and </w:t>
      </w:r>
      <w:r w:rsidR="004662B0">
        <w:rPr>
          <w:lang w:val="en-GB"/>
        </w:rPr>
        <w:t xml:space="preserve">subsequently </w:t>
      </w:r>
      <w:r w:rsidRPr="00D11DC0">
        <w:rPr>
          <w:lang w:val="en-GB"/>
        </w:rPr>
        <w:t>became dominant in most of the study countries. The Alpha variant became dominant in most countries, while the Mu variant became dominant in Colombia, the Gamma variant in Brazil, and the Beta variant in South Africa, all prior to the emergence of the Delta and Omicron variants.</w:t>
      </w:r>
      <w:r>
        <w:rPr>
          <w:lang w:val="en-GB"/>
        </w:rPr>
        <w:t xml:space="preserve"> </w:t>
      </w:r>
      <w:r w:rsidRPr="00D11DC0">
        <w:rPr>
          <w:lang w:val="en-GB"/>
        </w:rPr>
        <w:t xml:space="preserve">At the time of the analysis, sequencing data were available for 319/469 (68·0%) molecularly-confirmed infections in the </w:t>
      </w:r>
      <w:r>
        <w:rPr>
          <w:lang w:val="en-GB"/>
        </w:rPr>
        <w:t xml:space="preserve">FAS during the </w:t>
      </w:r>
      <w:r w:rsidRPr="00D11DC0">
        <w:rPr>
          <w:lang w:val="en-GB"/>
        </w:rPr>
        <w:t>double-blind phase (</w:t>
      </w:r>
      <w:r w:rsidRPr="00D11DC0">
        <w:rPr>
          <w:b/>
          <w:bCs/>
          <w:lang w:val="en-GB"/>
        </w:rPr>
        <w:t>Figure S3</w:t>
      </w:r>
      <w:r w:rsidR="00FE1215">
        <w:rPr>
          <w:b/>
          <w:bCs/>
          <w:lang w:val="en-GB"/>
        </w:rPr>
        <w:t xml:space="preserve"> </w:t>
      </w:r>
      <w:r w:rsidR="00FE1215">
        <w:rPr>
          <w:lang w:val="en-GB"/>
        </w:rPr>
        <w:t>[appendix p.</w:t>
      </w:r>
      <w:r w:rsidR="00BF6622">
        <w:rPr>
          <w:lang w:val="en-GB"/>
        </w:rPr>
        <w:t>30</w:t>
      </w:r>
      <w:r w:rsidR="00FE1215">
        <w:rPr>
          <w:lang w:val="en-GB"/>
        </w:rPr>
        <w:t>]</w:t>
      </w:r>
      <w:r w:rsidRPr="00D11DC0">
        <w:rPr>
          <w:lang w:val="en-GB"/>
        </w:rPr>
        <w:t xml:space="preserve">). The reference sequence (Wuhan-Hu1 plus D614G) was present in 6·0% </w:t>
      </w:r>
      <w:r>
        <w:rPr>
          <w:lang w:val="en-GB"/>
        </w:rPr>
        <w:t xml:space="preserve">(19/319) </w:t>
      </w:r>
      <w:r w:rsidRPr="00D11DC0">
        <w:rPr>
          <w:lang w:val="en-GB"/>
        </w:rPr>
        <w:t xml:space="preserve">of sequenced strains. No moderate to severe–critical cases involving the reference strain were reported after booster vaccination. Overall efficacy against moderate to severe–critical COVID-19 for pooled variants differing from the reference strain (“variant substitutions” were variants of concern/interest, excluding “Other” and “reference”) was </w:t>
      </w:r>
      <w:r w:rsidRPr="00D11DC0">
        <w:rPr>
          <w:rFonts w:cs="Times New Roman"/>
          <w:szCs w:val="24"/>
          <w:lang w:val="en-GB"/>
        </w:rPr>
        <w:t>81·6%</w:t>
      </w:r>
      <w:r w:rsidRPr="00D11DC0">
        <w:rPr>
          <w:lang w:val="en-GB"/>
        </w:rPr>
        <w:t xml:space="preserve"> (95% CI, 57·9-93·1) </w:t>
      </w:r>
      <w:r w:rsidRPr="00D11DC0">
        <w:rPr>
          <w:rFonts w:cs="Times New Roman"/>
          <w:szCs w:val="24"/>
          <w:lang w:val="en-GB"/>
        </w:rPr>
        <w:t>(</w:t>
      </w:r>
      <w:r w:rsidRPr="00D11DC0">
        <w:rPr>
          <w:rFonts w:cs="Times New Roman"/>
          <w:b/>
          <w:bCs/>
          <w:szCs w:val="24"/>
          <w:lang w:val="en-GB"/>
        </w:rPr>
        <w:t>Figure S4</w:t>
      </w:r>
      <w:r w:rsidR="00A55122">
        <w:rPr>
          <w:rFonts w:cs="Times New Roman"/>
          <w:b/>
          <w:bCs/>
          <w:szCs w:val="24"/>
          <w:lang w:val="en-GB"/>
        </w:rPr>
        <w:t xml:space="preserve"> </w:t>
      </w:r>
      <w:r w:rsidR="00A55122">
        <w:rPr>
          <w:lang w:val="en-GB"/>
        </w:rPr>
        <w:t>[appendix p.</w:t>
      </w:r>
      <w:r w:rsidR="00CA70E1">
        <w:rPr>
          <w:lang w:val="en-GB"/>
        </w:rPr>
        <w:t>31</w:t>
      </w:r>
      <w:r w:rsidR="00A55122">
        <w:rPr>
          <w:lang w:val="en-GB"/>
        </w:rPr>
        <w:t>]</w:t>
      </w:r>
      <w:r w:rsidRPr="00D11DC0">
        <w:rPr>
          <w:rFonts w:cs="Times New Roman"/>
          <w:szCs w:val="24"/>
          <w:lang w:val="en-GB"/>
        </w:rPr>
        <w:t xml:space="preserve">) </w:t>
      </w:r>
      <w:r w:rsidRPr="00D11DC0">
        <w:rPr>
          <w:lang w:val="en-GB"/>
        </w:rPr>
        <w:t xml:space="preserve">with </w:t>
      </w:r>
      <w:r w:rsidRPr="00D11DC0">
        <w:rPr>
          <w:rFonts w:cs="Times New Roman"/>
          <w:szCs w:val="24"/>
          <w:lang w:val="en-GB"/>
        </w:rPr>
        <w:t xml:space="preserve">94·2% </w:t>
      </w:r>
      <w:r>
        <w:rPr>
          <w:rFonts w:cs="Times New Roman"/>
          <w:szCs w:val="24"/>
          <w:lang w:val="en-GB"/>
        </w:rPr>
        <w:t>(</w:t>
      </w:r>
      <w:r w:rsidRPr="00D11DC0">
        <w:rPr>
          <w:rFonts w:cs="Times New Roman"/>
          <w:szCs w:val="24"/>
          <w:lang w:val="en-GB"/>
        </w:rPr>
        <w:t>62·9-99·9</w:t>
      </w:r>
      <w:r>
        <w:rPr>
          <w:rFonts w:cs="Times New Roman"/>
          <w:szCs w:val="24"/>
          <w:lang w:val="en-GB"/>
        </w:rPr>
        <w:t>)</w:t>
      </w:r>
      <w:r w:rsidRPr="00D11DC0">
        <w:rPr>
          <w:lang w:val="en-GB"/>
        </w:rPr>
        <w:t xml:space="preserve"> reported for</w:t>
      </w:r>
      <w:r w:rsidRPr="00D11DC0">
        <w:rPr>
          <w:rFonts w:cs="Times New Roman"/>
          <w:szCs w:val="24"/>
          <w:lang w:val="en-GB"/>
        </w:rPr>
        <w:t xml:space="preserve"> Alpha (B.1.1.7) and 63·1% </w:t>
      </w:r>
      <w:r>
        <w:rPr>
          <w:rFonts w:cs="Times New Roman"/>
          <w:szCs w:val="24"/>
          <w:lang w:val="en-GB"/>
        </w:rPr>
        <w:t>(</w:t>
      </w:r>
      <w:r w:rsidRPr="00D11DC0">
        <w:rPr>
          <w:rFonts w:cs="Times New Roman"/>
          <w:szCs w:val="24"/>
          <w:lang w:val="en-GB"/>
        </w:rPr>
        <w:t>−27·9-91·6</w:t>
      </w:r>
      <w:r>
        <w:rPr>
          <w:rFonts w:cs="Times New Roman"/>
          <w:szCs w:val="24"/>
          <w:lang w:val="en-GB"/>
        </w:rPr>
        <w:t>)</w:t>
      </w:r>
      <w:r w:rsidRPr="00D11DC0">
        <w:rPr>
          <w:rFonts w:cs="Times New Roman"/>
          <w:szCs w:val="24"/>
          <w:lang w:val="en-GB"/>
        </w:rPr>
        <w:t xml:space="preserve"> for Mu (B.1.621) variants</w:t>
      </w:r>
      <w:r>
        <w:rPr>
          <w:rFonts w:cs="Times New Roman"/>
          <w:szCs w:val="24"/>
          <w:lang w:val="en-GB"/>
        </w:rPr>
        <w:t xml:space="preserve"> </w:t>
      </w:r>
      <w:r w:rsidRPr="00FB5C00">
        <w:rPr>
          <w:rFonts w:cs="Times New Roman"/>
          <w:szCs w:val="24"/>
          <w:lang w:val="en-GB"/>
        </w:rPr>
        <w:t xml:space="preserve">during the follow-up period of case accrual for each of the respective variants </w:t>
      </w:r>
      <w:r w:rsidRPr="00FB5C00">
        <w:rPr>
          <w:rFonts w:cs="Times New Roman"/>
          <w:szCs w:val="24"/>
          <w:lang w:val="en-GB"/>
        </w:rPr>
        <w:lastRenderedPageBreak/>
        <w:t>(</w:t>
      </w:r>
      <w:r>
        <w:rPr>
          <w:rFonts w:cs="Times New Roman"/>
          <w:szCs w:val="24"/>
          <w:lang w:val="en-GB"/>
        </w:rPr>
        <w:t xml:space="preserve">the </w:t>
      </w:r>
      <w:r w:rsidRPr="00FB5C00">
        <w:rPr>
          <w:rFonts w:cs="Times New Roman"/>
          <w:szCs w:val="24"/>
          <w:lang w:val="en-GB"/>
        </w:rPr>
        <w:t xml:space="preserve">last placebo event </w:t>
      </w:r>
      <w:r>
        <w:rPr>
          <w:rFonts w:cs="Times New Roman"/>
          <w:szCs w:val="24"/>
          <w:lang w:val="en-GB"/>
        </w:rPr>
        <w:t xml:space="preserve">occurred </w:t>
      </w:r>
      <w:r w:rsidRPr="00FB5C00">
        <w:rPr>
          <w:rFonts w:cs="Times New Roman"/>
          <w:szCs w:val="24"/>
          <w:lang w:val="en-GB"/>
        </w:rPr>
        <w:t xml:space="preserve">56 days and &lt;84 days </w:t>
      </w:r>
      <w:r>
        <w:rPr>
          <w:rFonts w:cs="Times New Roman"/>
          <w:szCs w:val="24"/>
          <w:lang w:val="en-GB"/>
        </w:rPr>
        <w:t>after</w:t>
      </w:r>
      <w:r w:rsidRPr="00FB5C00">
        <w:rPr>
          <w:rFonts w:cs="Times New Roman"/>
          <w:szCs w:val="24"/>
          <w:lang w:val="en-GB"/>
        </w:rPr>
        <w:t xml:space="preserve"> booster vaccination</w:t>
      </w:r>
      <w:r>
        <w:rPr>
          <w:rFonts w:cs="Times New Roman"/>
          <w:szCs w:val="24"/>
          <w:lang w:val="en-GB"/>
        </w:rPr>
        <w:t xml:space="preserve"> for Alpha and Mu, respectively</w:t>
      </w:r>
      <w:r w:rsidRPr="00FB5C00">
        <w:rPr>
          <w:rFonts w:cs="Times New Roman"/>
          <w:szCs w:val="24"/>
          <w:lang w:val="en-GB"/>
        </w:rPr>
        <w:t>)</w:t>
      </w:r>
      <w:r w:rsidRPr="00D11DC0">
        <w:rPr>
          <w:rFonts w:cs="Times New Roman"/>
          <w:szCs w:val="24"/>
          <w:lang w:val="en-GB"/>
        </w:rPr>
        <w:t>. Insufficient cases (&lt;6) were available to analyse other variants, including Delta.</w:t>
      </w:r>
    </w:p>
    <w:p w14:paraId="5E54BADD" w14:textId="77777777" w:rsidR="00C97D09" w:rsidRPr="00D11DC0" w:rsidRDefault="00C97D09" w:rsidP="00F42146">
      <w:pPr>
        <w:keepNext/>
        <w:spacing w:before="240"/>
        <w:rPr>
          <w:i/>
          <w:iCs/>
          <w:lang w:val="en-GB"/>
        </w:rPr>
      </w:pPr>
      <w:r w:rsidRPr="00D11DC0">
        <w:rPr>
          <w:i/>
          <w:iCs/>
          <w:lang w:val="en-GB"/>
        </w:rPr>
        <w:t>Severe–critical COVID-19 and medical intervention</w:t>
      </w:r>
    </w:p>
    <w:p w14:paraId="73918D1E" w14:textId="77777777" w:rsidR="00C97D09" w:rsidRPr="00D11DC0" w:rsidRDefault="00C97D09" w:rsidP="00C21082">
      <w:pPr>
        <w:rPr>
          <w:rFonts w:cs="Times New Roman"/>
          <w:szCs w:val="24"/>
          <w:lang w:val="en-GB"/>
        </w:rPr>
      </w:pPr>
      <w:r w:rsidRPr="00D11DC0">
        <w:rPr>
          <w:lang w:val="en-GB"/>
        </w:rPr>
        <w:t xml:space="preserve">Eight severe–critical COVID-19 cases were reported, all in the placebo group, for vaccine efficacy of </w:t>
      </w:r>
      <w:r w:rsidRPr="00D11DC0">
        <w:rPr>
          <w:rFonts w:cs="Times New Roman"/>
          <w:szCs w:val="24"/>
          <w:lang w:val="en-GB"/>
        </w:rPr>
        <w:t>100% (adjusted 95% CI, 32·6-100·0%) (</w:t>
      </w:r>
      <w:r w:rsidRPr="00D11DC0">
        <w:rPr>
          <w:rFonts w:cs="Times New Roman"/>
          <w:b/>
          <w:bCs/>
          <w:szCs w:val="24"/>
          <w:lang w:val="en-GB"/>
        </w:rPr>
        <w:t>Table 2</w:t>
      </w:r>
      <w:r w:rsidRPr="00D11DC0">
        <w:rPr>
          <w:rFonts w:cs="Times New Roman"/>
          <w:szCs w:val="24"/>
          <w:lang w:val="en-GB"/>
        </w:rPr>
        <w:t>). No cases of COVID-19 requiring medical intervention occurred in the Ad26.COV2.S group versus five cases in the placebo group. COVID-19–related death was reported for no Ad26.COV2.S recipients and for one placebo recipient.</w:t>
      </w:r>
    </w:p>
    <w:p w14:paraId="31DFBA20" w14:textId="77777777" w:rsidR="00C97D09" w:rsidRPr="00D11DC0" w:rsidRDefault="00C97D09" w:rsidP="0002335F">
      <w:pPr>
        <w:keepNext/>
        <w:spacing w:before="240"/>
        <w:rPr>
          <w:rFonts w:cs="Times New Roman"/>
          <w:i/>
          <w:iCs/>
          <w:szCs w:val="24"/>
          <w:lang w:val="en-GB"/>
        </w:rPr>
      </w:pPr>
      <w:r w:rsidRPr="00E82344">
        <w:rPr>
          <w:rFonts w:cs="Times New Roman"/>
          <w:i/>
          <w:iCs/>
          <w:szCs w:val="24"/>
          <w:lang w:val="en-GB"/>
        </w:rPr>
        <w:t>Moderate to severe–critical COVID-19</w:t>
      </w:r>
      <w:r>
        <w:rPr>
          <w:rFonts w:cs="Times New Roman"/>
          <w:i/>
          <w:iCs/>
          <w:szCs w:val="24"/>
          <w:lang w:val="en-GB"/>
        </w:rPr>
        <w:t xml:space="preserve"> in subgroups</w:t>
      </w:r>
    </w:p>
    <w:p w14:paraId="6EF42BC6" w14:textId="50A3A349" w:rsidR="00C97D09" w:rsidRPr="00D11DC0" w:rsidRDefault="00C97D09" w:rsidP="004121C0">
      <w:pPr>
        <w:rPr>
          <w:rFonts w:cs="Times New Roman"/>
          <w:szCs w:val="24"/>
          <w:lang w:val="en-GB"/>
        </w:rPr>
      </w:pPr>
      <w:bookmarkStart w:id="38" w:name="_Hlk103591188"/>
      <w:r w:rsidRPr="00D11DC0">
        <w:rPr>
          <w:rFonts w:cs="Times New Roman"/>
          <w:szCs w:val="24"/>
          <w:lang w:val="en-GB"/>
        </w:rPr>
        <w:t>Consistent efficacy was observed for subgroups with sufficient numbers of cases (six or more cases); for example, participants aged 18-59 and ≥60 years or participants with and without comorbidities (</w:t>
      </w:r>
      <w:r w:rsidRPr="00D11DC0">
        <w:rPr>
          <w:rFonts w:cs="Times New Roman"/>
          <w:b/>
          <w:bCs/>
          <w:szCs w:val="24"/>
          <w:lang w:val="en-GB"/>
        </w:rPr>
        <w:t>Figure S5</w:t>
      </w:r>
      <w:r w:rsidR="00410D9A">
        <w:rPr>
          <w:rFonts w:cs="Times New Roman"/>
          <w:b/>
          <w:bCs/>
          <w:szCs w:val="24"/>
          <w:lang w:val="en-GB"/>
        </w:rPr>
        <w:t xml:space="preserve"> </w:t>
      </w:r>
      <w:r w:rsidR="00410D9A">
        <w:rPr>
          <w:lang w:val="en-GB"/>
        </w:rPr>
        <w:t>[appendix p.33]</w:t>
      </w:r>
      <w:r w:rsidRPr="00D11DC0">
        <w:rPr>
          <w:rFonts w:cs="Times New Roman"/>
          <w:szCs w:val="24"/>
          <w:lang w:val="en-GB"/>
        </w:rPr>
        <w:t xml:space="preserve">). </w:t>
      </w:r>
      <w:bookmarkEnd w:id="38"/>
      <w:r w:rsidRPr="00D11DC0">
        <w:rPr>
          <w:rFonts w:cs="Times New Roman"/>
          <w:szCs w:val="24"/>
          <w:lang w:val="en-GB"/>
        </w:rPr>
        <w:t>Low numbers of participants in some subgroups resulted in wide CIs, possibly confounded by differential distribution of variants across regions. In the United States, with the largest representation in the PP efficacy set (</w:t>
      </w:r>
      <w:r>
        <w:rPr>
          <w:rFonts w:cs="Times New Roman"/>
          <w:szCs w:val="24"/>
          <w:lang w:val="en-GB"/>
        </w:rPr>
        <w:t xml:space="preserve">5290/14,492, </w:t>
      </w:r>
      <w:r w:rsidRPr="00D11DC0">
        <w:rPr>
          <w:rFonts w:cs="Times New Roman"/>
          <w:szCs w:val="24"/>
          <w:lang w:val="en-GB"/>
        </w:rPr>
        <w:t>36·5%), efficacy against moderate to severe–critical COVID-19 was 93·7% (</w:t>
      </w:r>
      <w:r>
        <w:rPr>
          <w:rFonts w:cs="Times New Roman"/>
          <w:szCs w:val="24"/>
          <w:lang w:val="en-GB"/>
        </w:rPr>
        <w:t xml:space="preserve">95% CI, </w:t>
      </w:r>
      <w:r w:rsidRPr="00D11DC0">
        <w:rPr>
          <w:rFonts w:cs="Times New Roman"/>
          <w:szCs w:val="24"/>
          <w:lang w:val="en-GB"/>
        </w:rPr>
        <w:t>58·5-99·9)</w:t>
      </w:r>
      <w:r>
        <w:rPr>
          <w:rFonts w:cs="Times New Roman"/>
          <w:szCs w:val="24"/>
          <w:lang w:val="en-GB"/>
        </w:rPr>
        <w:t>; in Col</w:t>
      </w:r>
      <w:r w:rsidR="00EC089C">
        <w:rPr>
          <w:rFonts w:cs="Times New Roman"/>
          <w:szCs w:val="24"/>
          <w:lang w:val="en-GB"/>
        </w:rPr>
        <w:t>o</w:t>
      </w:r>
      <w:r>
        <w:rPr>
          <w:rFonts w:cs="Times New Roman"/>
          <w:szCs w:val="24"/>
          <w:lang w:val="en-GB"/>
        </w:rPr>
        <w:t>mbia, efficacy was 65</w:t>
      </w:r>
      <w:r w:rsidRPr="00D11DC0">
        <w:rPr>
          <w:rFonts w:cs="Times New Roman"/>
          <w:szCs w:val="24"/>
          <w:lang w:val="en-GB"/>
        </w:rPr>
        <w:t>·</w:t>
      </w:r>
      <w:r>
        <w:rPr>
          <w:rFonts w:cs="Times New Roman"/>
          <w:szCs w:val="24"/>
          <w:lang w:val="en-GB"/>
        </w:rPr>
        <w:t>2% (6</w:t>
      </w:r>
      <w:r w:rsidRPr="00D11DC0">
        <w:rPr>
          <w:rFonts w:cs="Times New Roman"/>
          <w:szCs w:val="24"/>
          <w:lang w:val="en-GB"/>
        </w:rPr>
        <w:t>·</w:t>
      </w:r>
      <w:r>
        <w:rPr>
          <w:rFonts w:cs="Times New Roman"/>
          <w:szCs w:val="24"/>
          <w:lang w:val="en-GB"/>
        </w:rPr>
        <w:t>4-88</w:t>
      </w:r>
      <w:r w:rsidRPr="00D11DC0">
        <w:rPr>
          <w:rFonts w:cs="Times New Roman"/>
          <w:szCs w:val="24"/>
          <w:lang w:val="en-GB"/>
        </w:rPr>
        <w:t>·</w:t>
      </w:r>
      <w:r>
        <w:rPr>
          <w:rFonts w:cs="Times New Roman"/>
          <w:szCs w:val="24"/>
          <w:lang w:val="en-GB"/>
        </w:rPr>
        <w:t>9).</w:t>
      </w:r>
    </w:p>
    <w:p w14:paraId="28403614" w14:textId="77777777" w:rsidR="00C97D09" w:rsidRPr="00D11DC0" w:rsidRDefault="00C97D09" w:rsidP="001133F5">
      <w:pPr>
        <w:keepNext/>
        <w:spacing w:before="240"/>
        <w:rPr>
          <w:rFonts w:cs="Times New Roman"/>
          <w:i/>
          <w:iCs/>
          <w:szCs w:val="24"/>
          <w:lang w:val="en-GB"/>
        </w:rPr>
      </w:pPr>
      <w:r w:rsidRPr="00D11DC0">
        <w:rPr>
          <w:rFonts w:cs="Times New Roman"/>
          <w:i/>
          <w:iCs/>
          <w:szCs w:val="24"/>
          <w:lang w:val="en-GB"/>
        </w:rPr>
        <w:t>Symptomatic, asymptomatic COVID-19, and COVID-19 lasting &gt;28 days</w:t>
      </w:r>
    </w:p>
    <w:p w14:paraId="42676D84" w14:textId="1E514CE7" w:rsidR="00C97D09" w:rsidRPr="00D11DC0" w:rsidRDefault="00C97D09" w:rsidP="003043C7">
      <w:pPr>
        <w:rPr>
          <w:rFonts w:cs="Times New Roman"/>
          <w:szCs w:val="24"/>
          <w:lang w:val="en-GB"/>
        </w:rPr>
      </w:pPr>
      <w:r w:rsidRPr="00D11DC0">
        <w:rPr>
          <w:rFonts w:cs="Times New Roman"/>
          <w:szCs w:val="24"/>
          <w:lang w:val="en-GB"/>
        </w:rPr>
        <w:t>Vaccine efficacy against all infections, including asymptomatic, was 51·1% (adjusted 95% CI, 29·5-66·5); overall efficacy against asymptomatic infection was 34·2% (adjusted 95% CI, -6·4-59·8), and efficacy against symptomatic infection reached 75·6% (95% CI, 55·5-87·5) (</w:t>
      </w:r>
      <w:r w:rsidRPr="00D11DC0">
        <w:rPr>
          <w:rFonts w:cs="Times New Roman"/>
          <w:b/>
          <w:bCs/>
          <w:szCs w:val="24"/>
          <w:lang w:val="en-GB"/>
        </w:rPr>
        <w:t xml:space="preserve">Table </w:t>
      </w:r>
      <w:r w:rsidRPr="00D11DC0">
        <w:rPr>
          <w:rFonts w:cs="Times New Roman"/>
          <w:b/>
          <w:bCs/>
          <w:szCs w:val="24"/>
          <w:lang w:val="en-GB"/>
        </w:rPr>
        <w:lastRenderedPageBreak/>
        <w:t>2</w:t>
      </w:r>
      <w:r w:rsidRPr="00D11DC0">
        <w:rPr>
          <w:rFonts w:cs="Times New Roman"/>
          <w:szCs w:val="24"/>
          <w:lang w:val="en-GB"/>
        </w:rPr>
        <w:t>). Ad26.COV2.S recipients with breakthrough infections had fewer symptoms, lower symptom severity, and fewer cases lasting &gt;28 days versus placebo recipients (</w:t>
      </w:r>
      <w:r w:rsidRPr="00D11DC0">
        <w:rPr>
          <w:rFonts w:cs="Times New Roman"/>
          <w:b/>
          <w:bCs/>
          <w:szCs w:val="24"/>
          <w:lang w:val="en-GB"/>
        </w:rPr>
        <w:t>Figures S6-S7</w:t>
      </w:r>
      <w:r w:rsidR="008E7072">
        <w:rPr>
          <w:rFonts w:cs="Times New Roman"/>
          <w:b/>
          <w:bCs/>
          <w:szCs w:val="24"/>
          <w:lang w:val="en-GB"/>
        </w:rPr>
        <w:t xml:space="preserve"> </w:t>
      </w:r>
      <w:r w:rsidR="008E7072">
        <w:rPr>
          <w:lang w:val="en-GB"/>
        </w:rPr>
        <w:t>[appendix p</w:t>
      </w:r>
      <w:r w:rsidR="00D105E0">
        <w:rPr>
          <w:lang w:val="en-GB"/>
        </w:rPr>
        <w:t>p</w:t>
      </w:r>
      <w:r w:rsidR="008E7072">
        <w:rPr>
          <w:lang w:val="en-GB"/>
        </w:rPr>
        <w:t>.36</w:t>
      </w:r>
      <w:r w:rsidR="00D105E0">
        <w:rPr>
          <w:lang w:val="en-GB"/>
        </w:rPr>
        <w:t>-38</w:t>
      </w:r>
      <w:r w:rsidR="008E7072">
        <w:rPr>
          <w:lang w:val="en-GB"/>
        </w:rPr>
        <w:t>]</w:t>
      </w:r>
      <w:r w:rsidRPr="00D11DC0">
        <w:rPr>
          <w:rFonts w:cs="Times New Roman"/>
          <w:szCs w:val="24"/>
          <w:lang w:val="en-GB"/>
        </w:rPr>
        <w:t>).</w:t>
      </w:r>
    </w:p>
    <w:p w14:paraId="14E12909" w14:textId="77777777" w:rsidR="00C97D09" w:rsidRPr="00D11DC0" w:rsidRDefault="00C97D09" w:rsidP="0002335F">
      <w:pPr>
        <w:keepNext/>
        <w:spacing w:before="240"/>
        <w:rPr>
          <w:rFonts w:cs="Times New Roman"/>
          <w:szCs w:val="24"/>
          <w:lang w:val="en-GB"/>
        </w:rPr>
      </w:pPr>
      <w:r w:rsidRPr="00E82344">
        <w:rPr>
          <w:rFonts w:cs="Times New Roman"/>
          <w:i/>
          <w:iCs/>
          <w:szCs w:val="24"/>
          <w:lang w:val="en-GB"/>
        </w:rPr>
        <w:t>Moderate to severe–critical COVID-19</w:t>
      </w:r>
      <w:r>
        <w:rPr>
          <w:rFonts w:cs="Times New Roman"/>
          <w:i/>
          <w:iCs/>
          <w:szCs w:val="24"/>
          <w:lang w:val="en-GB"/>
        </w:rPr>
        <w:t xml:space="preserve"> in single-dose recipients</w:t>
      </w:r>
    </w:p>
    <w:p w14:paraId="1CF00E12" w14:textId="3C1CCEE7" w:rsidR="00C97D09" w:rsidRPr="00D11DC0" w:rsidRDefault="0000346A" w:rsidP="00900AAB">
      <w:pPr>
        <w:rPr>
          <w:rFonts w:cs="Times New Roman"/>
          <w:szCs w:val="24"/>
          <w:lang w:val="en-GB"/>
        </w:rPr>
      </w:pPr>
      <w:r w:rsidRPr="0000346A">
        <w:rPr>
          <w:rFonts w:cs="Times New Roman"/>
          <w:szCs w:val="24"/>
          <w:lang w:val="en-GB"/>
        </w:rPr>
        <w:t xml:space="preserve">The risk set for the analysis of the </w:t>
      </w:r>
      <w:r w:rsidR="00FC3808">
        <w:rPr>
          <w:rFonts w:cs="Times New Roman"/>
          <w:szCs w:val="24"/>
          <w:lang w:val="en-GB"/>
        </w:rPr>
        <w:t>PPFD</w:t>
      </w:r>
      <w:r w:rsidRPr="0000346A">
        <w:rPr>
          <w:rFonts w:cs="Times New Roman"/>
          <w:szCs w:val="24"/>
          <w:lang w:val="en-GB"/>
        </w:rPr>
        <w:t xml:space="preserve"> set </w:t>
      </w:r>
      <w:r w:rsidR="003D67A2">
        <w:rPr>
          <w:rFonts w:cs="Times New Roman"/>
          <w:szCs w:val="24"/>
          <w:lang w:val="en-GB"/>
        </w:rPr>
        <w:t>(</w:t>
      </w:r>
      <w:r w:rsidR="003D67A2">
        <w:rPr>
          <w:lang w:val="en-GB"/>
        </w:rPr>
        <w:t>Ad26.COV2.S, n=13</w:t>
      </w:r>
      <w:r w:rsidR="005367AA">
        <w:rPr>
          <w:lang w:val="en-GB"/>
        </w:rPr>
        <w:t>,</w:t>
      </w:r>
      <w:r w:rsidR="003D67A2">
        <w:rPr>
          <w:lang w:val="en-GB"/>
        </w:rPr>
        <w:t>316; placebo, n=13</w:t>
      </w:r>
      <w:r w:rsidR="005367AA">
        <w:rPr>
          <w:lang w:val="en-GB"/>
        </w:rPr>
        <w:t>,</w:t>
      </w:r>
      <w:r w:rsidR="003D67A2">
        <w:rPr>
          <w:lang w:val="en-GB"/>
        </w:rPr>
        <w:t xml:space="preserve">286) </w:t>
      </w:r>
      <w:r w:rsidRPr="0000346A">
        <w:rPr>
          <w:rFonts w:cs="Times New Roman"/>
          <w:szCs w:val="24"/>
          <w:lang w:val="en-GB"/>
        </w:rPr>
        <w:t>excluded</w:t>
      </w:r>
      <w:r w:rsidR="006E59F5">
        <w:rPr>
          <w:rFonts w:cs="Times New Roman"/>
          <w:szCs w:val="24"/>
          <w:lang w:val="en-GB"/>
        </w:rPr>
        <w:t xml:space="preserve"> 598 participants (Ad26.COV2.S, n=</w:t>
      </w:r>
      <w:r w:rsidRPr="0000346A">
        <w:rPr>
          <w:rFonts w:cs="Times New Roman"/>
          <w:szCs w:val="24"/>
          <w:lang w:val="en-GB"/>
        </w:rPr>
        <w:t>262</w:t>
      </w:r>
      <w:r w:rsidR="006E59F5">
        <w:rPr>
          <w:rFonts w:cs="Times New Roman"/>
          <w:szCs w:val="24"/>
          <w:lang w:val="en-GB"/>
        </w:rPr>
        <w:t>; placebo, n=</w:t>
      </w:r>
      <w:r w:rsidRPr="0000346A">
        <w:rPr>
          <w:rFonts w:cs="Times New Roman"/>
          <w:szCs w:val="24"/>
          <w:lang w:val="en-GB"/>
        </w:rPr>
        <w:t>336</w:t>
      </w:r>
      <w:r w:rsidR="006E59F5">
        <w:rPr>
          <w:rFonts w:cs="Times New Roman"/>
          <w:szCs w:val="24"/>
          <w:lang w:val="en-GB"/>
        </w:rPr>
        <w:t>)</w:t>
      </w:r>
      <w:r w:rsidRPr="0000346A">
        <w:rPr>
          <w:rFonts w:cs="Times New Roman"/>
          <w:szCs w:val="24"/>
          <w:lang w:val="en-GB"/>
        </w:rPr>
        <w:t xml:space="preserve"> because they either had a positive PCR test result or discontinued prior to day 15. </w:t>
      </w:r>
      <w:r w:rsidR="00C97D09" w:rsidRPr="00D11DC0">
        <w:rPr>
          <w:rFonts w:cs="Times New Roman"/>
          <w:szCs w:val="24"/>
          <w:lang w:val="en-GB"/>
        </w:rPr>
        <w:t>Efficacy in the PPFD set (n=</w:t>
      </w:r>
      <w:r w:rsidR="00C97D09">
        <w:rPr>
          <w:rFonts w:cs="Times New Roman"/>
          <w:szCs w:val="24"/>
          <w:lang w:val="en-GB"/>
        </w:rPr>
        <w:t>27,200</w:t>
      </w:r>
      <w:r w:rsidR="00C97D09" w:rsidRPr="00D11DC0">
        <w:rPr>
          <w:rFonts w:cs="Times New Roman"/>
          <w:szCs w:val="24"/>
          <w:lang w:val="en-GB"/>
        </w:rPr>
        <w:t>) against moderate to severe–critical COVID-19 with onset from day 15 to 56 (representing those who received only one dose) was 67·0% (95% CI, 53·6-76·9) and efficacy against severe–critical COVID-19 was 86·</w:t>
      </w:r>
      <w:r w:rsidR="00C97D09" w:rsidRPr="00D9460D">
        <w:rPr>
          <w:rFonts w:cs="Times New Roman"/>
          <w:szCs w:val="24"/>
          <w:lang w:val="en-GB"/>
        </w:rPr>
        <w:t>6% (55·3-97·4;</w:t>
      </w:r>
      <w:r w:rsidR="00C97D09" w:rsidRPr="00D11DC0">
        <w:rPr>
          <w:rFonts w:cs="Times New Roman"/>
          <w:szCs w:val="24"/>
          <w:lang w:val="en-GB"/>
        </w:rPr>
        <w:t xml:space="preserve"> </w:t>
      </w:r>
      <w:r w:rsidR="00C97D09" w:rsidRPr="00D11DC0">
        <w:rPr>
          <w:rFonts w:cs="Times New Roman"/>
          <w:b/>
          <w:bCs/>
          <w:szCs w:val="24"/>
          <w:lang w:val="en-GB"/>
        </w:rPr>
        <w:t>Table S</w:t>
      </w:r>
      <w:r w:rsidR="00D9460D">
        <w:rPr>
          <w:rFonts w:cs="Times New Roman"/>
          <w:b/>
          <w:bCs/>
          <w:szCs w:val="24"/>
          <w:lang w:val="en-GB"/>
        </w:rPr>
        <w:t>6</w:t>
      </w:r>
      <w:r w:rsidR="00E85A6D">
        <w:rPr>
          <w:rFonts w:cs="Times New Roman"/>
          <w:b/>
          <w:bCs/>
          <w:szCs w:val="24"/>
          <w:lang w:val="en-GB"/>
        </w:rPr>
        <w:t xml:space="preserve"> </w:t>
      </w:r>
      <w:r w:rsidR="00E85A6D">
        <w:rPr>
          <w:lang w:val="en-GB"/>
        </w:rPr>
        <w:t>[appendix p.5</w:t>
      </w:r>
      <w:r w:rsidR="00D9460D">
        <w:rPr>
          <w:lang w:val="en-GB"/>
        </w:rPr>
        <w:t>7</w:t>
      </w:r>
      <w:r w:rsidR="00E85A6D">
        <w:rPr>
          <w:lang w:val="en-GB"/>
        </w:rPr>
        <w:t>]</w:t>
      </w:r>
      <w:r w:rsidR="00C97D09" w:rsidRPr="00D11DC0">
        <w:rPr>
          <w:rFonts w:cs="Times New Roman"/>
          <w:b/>
          <w:bCs/>
          <w:szCs w:val="24"/>
          <w:lang w:val="en-GB"/>
        </w:rPr>
        <w:t xml:space="preserve">, Figure </w:t>
      </w:r>
      <w:r w:rsidR="00C97D09">
        <w:rPr>
          <w:rFonts w:cs="Times New Roman"/>
          <w:b/>
          <w:bCs/>
          <w:szCs w:val="24"/>
          <w:lang w:val="en-GB"/>
        </w:rPr>
        <w:t>S</w:t>
      </w:r>
      <w:r w:rsidR="00C97D09" w:rsidRPr="00D11DC0">
        <w:rPr>
          <w:rFonts w:cs="Times New Roman"/>
          <w:b/>
          <w:bCs/>
          <w:szCs w:val="24"/>
          <w:lang w:val="en-GB"/>
        </w:rPr>
        <w:t>2B-C</w:t>
      </w:r>
      <w:r w:rsidR="00191485">
        <w:rPr>
          <w:rFonts w:cs="Times New Roman"/>
          <w:b/>
          <w:bCs/>
          <w:szCs w:val="24"/>
          <w:lang w:val="en-GB"/>
        </w:rPr>
        <w:t xml:space="preserve"> </w:t>
      </w:r>
      <w:r w:rsidR="00191485">
        <w:rPr>
          <w:lang w:val="en-GB"/>
        </w:rPr>
        <w:t>[appendix p.2</w:t>
      </w:r>
      <w:r w:rsidR="005D1D8F">
        <w:rPr>
          <w:lang w:val="en-GB"/>
        </w:rPr>
        <w:t>6-27</w:t>
      </w:r>
      <w:r w:rsidR="00191485">
        <w:rPr>
          <w:lang w:val="en-GB"/>
        </w:rPr>
        <w:t>]</w:t>
      </w:r>
      <w:r w:rsidR="00C97D09" w:rsidRPr="00D11DC0">
        <w:rPr>
          <w:rFonts w:cs="Times New Roman"/>
          <w:szCs w:val="24"/>
          <w:lang w:val="en-GB"/>
        </w:rPr>
        <w:t>). Efficacy against moderate to severe–critical COVID-19 caused by variants with onset from day 15 to 56 was 71·6% (43·2-86·9) for Alpha; and 43·9 (-43·4-79·6) for Mu (</w:t>
      </w:r>
      <w:r w:rsidR="00C97D09" w:rsidRPr="00D11DC0">
        <w:rPr>
          <w:rFonts w:cs="Times New Roman"/>
          <w:b/>
          <w:bCs/>
          <w:szCs w:val="24"/>
          <w:lang w:val="en-GB"/>
        </w:rPr>
        <w:t xml:space="preserve">Figure </w:t>
      </w:r>
      <w:r w:rsidR="00C97D09">
        <w:rPr>
          <w:rFonts w:cs="Times New Roman"/>
          <w:b/>
          <w:bCs/>
          <w:szCs w:val="24"/>
          <w:lang w:val="en-GB"/>
        </w:rPr>
        <w:t>S</w:t>
      </w:r>
      <w:r w:rsidR="00C97D09" w:rsidRPr="00D11DC0">
        <w:rPr>
          <w:rFonts w:cs="Times New Roman"/>
          <w:b/>
          <w:bCs/>
          <w:szCs w:val="24"/>
          <w:lang w:val="en-GB"/>
        </w:rPr>
        <w:t>2D-E</w:t>
      </w:r>
      <w:r w:rsidR="00F548F5">
        <w:rPr>
          <w:rFonts w:cs="Times New Roman"/>
          <w:b/>
          <w:bCs/>
          <w:szCs w:val="24"/>
          <w:lang w:val="en-GB"/>
        </w:rPr>
        <w:t xml:space="preserve"> </w:t>
      </w:r>
      <w:r w:rsidR="00F548F5">
        <w:rPr>
          <w:lang w:val="en-GB"/>
        </w:rPr>
        <w:t>[appendix p.2</w:t>
      </w:r>
      <w:r w:rsidR="005D1D8F">
        <w:rPr>
          <w:lang w:val="en-GB"/>
        </w:rPr>
        <w:t>8-29</w:t>
      </w:r>
      <w:r w:rsidR="00F548F5">
        <w:rPr>
          <w:lang w:val="en-GB"/>
        </w:rPr>
        <w:t>]</w:t>
      </w:r>
      <w:r w:rsidR="00C97D09" w:rsidRPr="00D11DC0">
        <w:rPr>
          <w:rFonts w:cs="Times New Roman"/>
          <w:szCs w:val="24"/>
          <w:lang w:val="en-GB"/>
        </w:rPr>
        <w:t>).</w:t>
      </w:r>
    </w:p>
    <w:p w14:paraId="40588D2C" w14:textId="77777777" w:rsidR="00C97D09" w:rsidRPr="00D11DC0" w:rsidRDefault="00C97D09" w:rsidP="008A4A93">
      <w:pPr>
        <w:pStyle w:val="Heading2"/>
        <w:keepNext/>
        <w:spacing w:before="240"/>
        <w:rPr>
          <w:lang w:val="en-GB"/>
        </w:rPr>
      </w:pPr>
      <w:r w:rsidRPr="00D11DC0">
        <w:rPr>
          <w:lang w:val="en-GB"/>
        </w:rPr>
        <w:t>Immunogenicity</w:t>
      </w:r>
    </w:p>
    <w:p w14:paraId="202CB983" w14:textId="70713D30" w:rsidR="00C97D09" w:rsidRPr="00D11DC0" w:rsidRDefault="00C97D09">
      <w:pPr>
        <w:rPr>
          <w:lang w:val="en-GB"/>
        </w:rPr>
      </w:pPr>
      <w:bookmarkStart w:id="39" w:name="_Hlk103633845"/>
      <w:r w:rsidRPr="00D11DC0">
        <w:rPr>
          <w:lang w:val="en-GB"/>
        </w:rPr>
        <w:t xml:space="preserve">In the immunogenicity subset, geometric mean increases in spike-specific binding antibody concentrations were </w:t>
      </w:r>
      <w:r>
        <w:rPr>
          <w:lang w:val="en-GB"/>
        </w:rPr>
        <w:t>7</w:t>
      </w:r>
      <w:r w:rsidRPr="00D11DC0">
        <w:rPr>
          <w:lang w:val="en-GB"/>
        </w:rPr>
        <w:t>·2- and 40·5-fold from baseline to day 29 and day 71, respectively in the vaccine group (</w:t>
      </w:r>
      <w:r w:rsidRPr="00D11DC0">
        <w:rPr>
          <w:b/>
          <w:bCs/>
          <w:lang w:val="en-GB"/>
        </w:rPr>
        <w:t>Figure S8</w:t>
      </w:r>
      <w:r w:rsidR="00792CE9">
        <w:rPr>
          <w:b/>
          <w:bCs/>
          <w:lang w:val="en-GB"/>
        </w:rPr>
        <w:t xml:space="preserve"> </w:t>
      </w:r>
      <w:r w:rsidR="00792CE9">
        <w:rPr>
          <w:lang w:val="en-GB"/>
        </w:rPr>
        <w:t>[appendix p.39]</w:t>
      </w:r>
      <w:r w:rsidRPr="00D11DC0">
        <w:rPr>
          <w:lang w:val="en-GB"/>
        </w:rPr>
        <w:t xml:space="preserve">). Following a single vaccination, response rates were 91·9% </w:t>
      </w:r>
      <w:r>
        <w:rPr>
          <w:lang w:val="en-GB"/>
        </w:rPr>
        <w:t xml:space="preserve">(113/123) </w:t>
      </w:r>
      <w:r w:rsidRPr="00D11DC0">
        <w:rPr>
          <w:lang w:val="en-GB"/>
        </w:rPr>
        <w:t xml:space="preserve">by day 29; after boosting, response rates reached 100% </w:t>
      </w:r>
      <w:r>
        <w:rPr>
          <w:lang w:val="en-GB"/>
        </w:rPr>
        <w:t xml:space="preserve">(68/68) </w:t>
      </w:r>
      <w:r w:rsidRPr="00D11DC0">
        <w:rPr>
          <w:lang w:val="en-GB"/>
        </w:rPr>
        <w:t xml:space="preserve">by day 71. In the placebo group, geometric mean concentrations of spike-binding antibody were below the lower limit of quantification at all time points. </w:t>
      </w:r>
      <w:bookmarkEnd w:id="39"/>
    </w:p>
    <w:p w14:paraId="6ED598F9" w14:textId="77777777" w:rsidR="00C97D09" w:rsidRPr="00D11DC0" w:rsidRDefault="00C97D09" w:rsidP="00095709">
      <w:pPr>
        <w:pStyle w:val="Heading2"/>
        <w:keepNext/>
        <w:rPr>
          <w:lang w:val="en-GB"/>
        </w:rPr>
      </w:pPr>
      <w:r w:rsidRPr="00D11DC0">
        <w:rPr>
          <w:lang w:val="en-GB"/>
        </w:rPr>
        <w:lastRenderedPageBreak/>
        <w:t>Safety</w:t>
      </w:r>
    </w:p>
    <w:p w14:paraId="135A861D" w14:textId="73EDA11E" w:rsidR="00C97D09" w:rsidRPr="00D11DC0" w:rsidRDefault="00C97D09" w:rsidP="004E126C">
      <w:pPr>
        <w:rPr>
          <w:lang w:val="en-GB"/>
        </w:rPr>
      </w:pPr>
      <w:r w:rsidRPr="00D11DC0">
        <w:rPr>
          <w:lang w:val="en-GB"/>
        </w:rPr>
        <w:t>The Ad26.COV2.S booster had an acceptable safety and reactogenicity profile. More AEs were reported in the vaccine group than placebo. The overall frequencies of local and systemic solicited A</w:t>
      </w:r>
      <w:r w:rsidR="00CC26E1">
        <w:rPr>
          <w:lang w:val="en-GB"/>
        </w:rPr>
        <w:t>E</w:t>
      </w:r>
      <w:r w:rsidRPr="00D11DC0">
        <w:rPr>
          <w:lang w:val="en-GB"/>
        </w:rPr>
        <w:t>s were similar following first and booster vaccinations (</w:t>
      </w:r>
      <w:r w:rsidRPr="00D11DC0">
        <w:rPr>
          <w:b/>
          <w:bCs/>
          <w:lang w:val="en-GB"/>
        </w:rPr>
        <w:t>Figure 3,</w:t>
      </w:r>
      <w:r w:rsidRPr="00D11DC0">
        <w:rPr>
          <w:lang w:val="en-GB"/>
        </w:rPr>
        <w:t xml:space="preserve"> </w:t>
      </w:r>
      <w:r w:rsidRPr="00D11DC0">
        <w:rPr>
          <w:b/>
          <w:bCs/>
          <w:lang w:val="en-GB"/>
        </w:rPr>
        <w:t>Table S</w:t>
      </w:r>
      <w:r>
        <w:rPr>
          <w:b/>
          <w:bCs/>
          <w:lang w:val="en-GB"/>
        </w:rPr>
        <w:t>7</w:t>
      </w:r>
      <w:r w:rsidR="004530C2">
        <w:rPr>
          <w:b/>
          <w:bCs/>
          <w:lang w:val="en-GB"/>
        </w:rPr>
        <w:t xml:space="preserve"> </w:t>
      </w:r>
      <w:r w:rsidR="00CE6C44">
        <w:rPr>
          <w:lang w:val="en-GB"/>
        </w:rPr>
        <w:t>[appendix p.</w:t>
      </w:r>
      <w:r w:rsidR="00E4336B">
        <w:rPr>
          <w:lang w:val="en-GB"/>
        </w:rPr>
        <w:t>5</w:t>
      </w:r>
      <w:r w:rsidR="00D9460D">
        <w:rPr>
          <w:lang w:val="en-GB"/>
        </w:rPr>
        <w:t>8</w:t>
      </w:r>
      <w:r w:rsidR="00CE6C44">
        <w:rPr>
          <w:lang w:val="en-GB"/>
        </w:rPr>
        <w:t>]</w:t>
      </w:r>
      <w:r w:rsidRPr="00D11DC0">
        <w:rPr>
          <w:lang w:val="en-GB"/>
        </w:rPr>
        <w:t>)</w:t>
      </w:r>
      <w:r>
        <w:rPr>
          <w:lang w:val="en-GB"/>
        </w:rPr>
        <w:t xml:space="preserve"> for the Ad26.COV2.S group (local: 1676/3015 [</w:t>
      </w:r>
      <w:r w:rsidRPr="00565C9C">
        <w:rPr>
          <w:lang w:val="en-GB"/>
        </w:rPr>
        <w:t>55·6</w:t>
      </w:r>
      <w:r>
        <w:rPr>
          <w:lang w:val="en-GB"/>
        </w:rPr>
        <w:t xml:space="preserve">%] vs </w:t>
      </w:r>
      <w:r w:rsidRPr="005456C1">
        <w:rPr>
          <w:lang w:val="en-GB"/>
        </w:rPr>
        <w:t>896</w:t>
      </w:r>
      <w:r>
        <w:rPr>
          <w:lang w:val="en-GB"/>
        </w:rPr>
        <w:t>/1559 [</w:t>
      </w:r>
      <w:r w:rsidRPr="005456C1">
        <w:rPr>
          <w:lang w:val="en-GB"/>
        </w:rPr>
        <w:t>57·5</w:t>
      </w:r>
      <w:r>
        <w:rPr>
          <w:lang w:val="en-GB"/>
        </w:rPr>
        <w:t xml:space="preserve">%] after first and booster vaccinations, respectively; systemic: </w:t>
      </w:r>
      <w:r w:rsidRPr="00BE11BC">
        <w:rPr>
          <w:lang w:val="en-GB"/>
        </w:rPr>
        <w:t>1764</w:t>
      </w:r>
      <w:r>
        <w:rPr>
          <w:lang w:val="en-GB"/>
        </w:rPr>
        <w:t>/3015</w:t>
      </w:r>
      <w:r w:rsidRPr="00BE11BC">
        <w:rPr>
          <w:lang w:val="en-GB"/>
        </w:rPr>
        <w:t xml:space="preserve"> </w:t>
      </w:r>
      <w:r>
        <w:rPr>
          <w:lang w:val="en-GB"/>
        </w:rPr>
        <w:t>[</w:t>
      </w:r>
      <w:r w:rsidRPr="00BE11BC">
        <w:rPr>
          <w:lang w:val="en-GB"/>
        </w:rPr>
        <w:t>58·5</w:t>
      </w:r>
      <w:r>
        <w:rPr>
          <w:lang w:val="en-GB"/>
        </w:rPr>
        <w:t xml:space="preserve">%] vs </w:t>
      </w:r>
      <w:r w:rsidRPr="00447023">
        <w:rPr>
          <w:lang w:val="en-GB"/>
        </w:rPr>
        <w:t>821</w:t>
      </w:r>
      <w:r>
        <w:rPr>
          <w:lang w:val="en-GB"/>
        </w:rPr>
        <w:t>/1559</w:t>
      </w:r>
      <w:r w:rsidRPr="00447023">
        <w:rPr>
          <w:lang w:val="en-GB"/>
        </w:rPr>
        <w:t xml:space="preserve"> </w:t>
      </w:r>
      <w:r>
        <w:rPr>
          <w:lang w:val="en-GB"/>
        </w:rPr>
        <w:t>[</w:t>
      </w:r>
      <w:r w:rsidRPr="00447023">
        <w:rPr>
          <w:lang w:val="en-GB"/>
        </w:rPr>
        <w:t>52·7</w:t>
      </w:r>
      <w:r>
        <w:rPr>
          <w:lang w:val="en-GB"/>
        </w:rPr>
        <w:t>%]) and placebo group (local: 653/3052 [21</w:t>
      </w:r>
      <w:r w:rsidRPr="00565C9C">
        <w:rPr>
          <w:lang w:val="en-GB"/>
        </w:rPr>
        <w:t>·</w:t>
      </w:r>
      <w:r>
        <w:rPr>
          <w:lang w:val="en-GB"/>
        </w:rPr>
        <w:t xml:space="preserve">4%] vs </w:t>
      </w:r>
      <w:r w:rsidRPr="00EC57B3">
        <w:rPr>
          <w:lang w:val="en-GB"/>
        </w:rPr>
        <w:t>252</w:t>
      </w:r>
      <w:r>
        <w:rPr>
          <w:lang w:val="en-GB"/>
        </w:rPr>
        <w:t>/1425 [</w:t>
      </w:r>
      <w:r w:rsidRPr="00EC57B3">
        <w:rPr>
          <w:lang w:val="en-GB"/>
        </w:rPr>
        <w:t>17·7</w:t>
      </w:r>
      <w:r>
        <w:rPr>
          <w:lang w:val="en-GB"/>
        </w:rPr>
        <w:t xml:space="preserve">%]; systemic: </w:t>
      </w:r>
      <w:r w:rsidRPr="00F5695F">
        <w:rPr>
          <w:lang w:val="en-GB"/>
        </w:rPr>
        <w:t>1138</w:t>
      </w:r>
      <w:r>
        <w:rPr>
          <w:lang w:val="en-GB"/>
        </w:rPr>
        <w:t>/3052 [</w:t>
      </w:r>
      <w:r w:rsidRPr="00F5695F">
        <w:rPr>
          <w:lang w:val="en-GB"/>
        </w:rPr>
        <w:t>37·3</w:t>
      </w:r>
      <w:r>
        <w:rPr>
          <w:lang w:val="en-GB"/>
        </w:rPr>
        <w:t xml:space="preserve">%] vs </w:t>
      </w:r>
      <w:r w:rsidRPr="00EC57B3">
        <w:rPr>
          <w:lang w:val="en-GB"/>
        </w:rPr>
        <w:t>442</w:t>
      </w:r>
      <w:r>
        <w:rPr>
          <w:lang w:val="en-GB"/>
        </w:rPr>
        <w:t>/1425 [</w:t>
      </w:r>
      <w:r w:rsidRPr="00EC57B3">
        <w:rPr>
          <w:lang w:val="en-GB"/>
        </w:rPr>
        <w:t>31·0</w:t>
      </w:r>
      <w:r>
        <w:rPr>
          <w:lang w:val="en-GB"/>
        </w:rPr>
        <w:t xml:space="preserve">%]). There was </w:t>
      </w:r>
      <w:r w:rsidRPr="00D11DC0">
        <w:rPr>
          <w:lang w:val="en-GB"/>
        </w:rPr>
        <w:t>no increase in reactogenicity, and lower frequency</w:t>
      </w:r>
      <w:r>
        <w:rPr>
          <w:lang w:val="en-GB"/>
        </w:rPr>
        <w:t>,</w:t>
      </w:r>
      <w:r w:rsidRPr="00D11DC0">
        <w:rPr>
          <w:lang w:val="en-GB"/>
        </w:rPr>
        <w:t xml:space="preserve"> in older adults versus younger adults (</w:t>
      </w:r>
      <w:r w:rsidRPr="00D11DC0">
        <w:rPr>
          <w:b/>
          <w:bCs/>
          <w:lang w:val="en-GB"/>
        </w:rPr>
        <w:t>Figure S9</w:t>
      </w:r>
      <w:r w:rsidR="00A46C95">
        <w:rPr>
          <w:b/>
          <w:bCs/>
          <w:lang w:val="en-GB"/>
        </w:rPr>
        <w:t xml:space="preserve"> </w:t>
      </w:r>
      <w:r w:rsidR="00A46C95">
        <w:rPr>
          <w:lang w:val="en-GB"/>
        </w:rPr>
        <w:t>[appendix p.40]</w:t>
      </w:r>
      <w:r w:rsidRPr="00D11DC0">
        <w:rPr>
          <w:lang w:val="en-GB"/>
        </w:rPr>
        <w:t xml:space="preserve">). </w:t>
      </w:r>
    </w:p>
    <w:p w14:paraId="12D7D18B" w14:textId="77777777" w:rsidR="00C97D09" w:rsidRPr="00D11DC0" w:rsidRDefault="00C97D09" w:rsidP="004E126C">
      <w:pPr>
        <w:rPr>
          <w:lang w:val="en-GB"/>
        </w:rPr>
      </w:pPr>
      <w:r w:rsidRPr="00D11DC0">
        <w:rPr>
          <w:lang w:val="en-GB"/>
        </w:rPr>
        <w:t xml:space="preserve">The most frequently reported solicited local AE after both vaccinations in the Ad26.COV2.S and placebo groups was vaccination site pain (dose 1, 54·2% </w:t>
      </w:r>
      <w:r>
        <w:rPr>
          <w:lang w:val="en-GB"/>
        </w:rPr>
        <w:t xml:space="preserve">[1634/3015] </w:t>
      </w:r>
      <w:r w:rsidRPr="00D11DC0">
        <w:rPr>
          <w:lang w:val="en-GB"/>
        </w:rPr>
        <w:t>and 18·2%</w:t>
      </w:r>
      <w:r>
        <w:rPr>
          <w:lang w:val="en-GB"/>
        </w:rPr>
        <w:t xml:space="preserve"> [556/3052]</w:t>
      </w:r>
      <w:r w:rsidRPr="00D11DC0">
        <w:rPr>
          <w:lang w:val="en-GB"/>
        </w:rPr>
        <w:t xml:space="preserve">, respectively; booster, 56·3% </w:t>
      </w:r>
      <w:r>
        <w:rPr>
          <w:lang w:val="en-GB"/>
        </w:rPr>
        <w:t xml:space="preserve">[877/1559] </w:t>
      </w:r>
      <w:r w:rsidRPr="00D11DC0">
        <w:rPr>
          <w:lang w:val="en-GB"/>
        </w:rPr>
        <w:t>and 15·8%</w:t>
      </w:r>
      <w:r>
        <w:rPr>
          <w:lang w:val="en-GB"/>
        </w:rPr>
        <w:t xml:space="preserve"> [225/1425]</w:t>
      </w:r>
      <w:r w:rsidRPr="00D11DC0">
        <w:rPr>
          <w:lang w:val="en-GB"/>
        </w:rPr>
        <w:t xml:space="preserve">). Most solicited AEs were grade 1 to 2 in severity. Grade 3 solicited local AEs were reported in </w:t>
      </w:r>
      <w:r>
        <w:rPr>
          <w:lang w:val="en-GB"/>
        </w:rPr>
        <w:t>9/3015</w:t>
      </w:r>
      <w:r w:rsidRPr="00D11DC0">
        <w:rPr>
          <w:lang w:val="en-GB"/>
        </w:rPr>
        <w:t xml:space="preserve"> (0·3%) Ad26.COV2.S recipients after dose one and</w:t>
      </w:r>
      <w:r>
        <w:rPr>
          <w:lang w:val="en-GB"/>
        </w:rPr>
        <w:t xml:space="preserve"> 10/1559</w:t>
      </w:r>
      <w:r w:rsidRPr="00D11DC0">
        <w:rPr>
          <w:lang w:val="en-GB"/>
        </w:rPr>
        <w:t xml:space="preserve"> (0·6%) recipients after boosting. No grade 4 local AEs were reported. Local reactogenicity was transient, with median duration</w:t>
      </w:r>
      <w:r>
        <w:rPr>
          <w:lang w:val="en-GB"/>
        </w:rPr>
        <w:t xml:space="preserve"> for any solicited local AE</w:t>
      </w:r>
      <w:r w:rsidRPr="00D11DC0">
        <w:rPr>
          <w:lang w:val="en-GB"/>
        </w:rPr>
        <w:t xml:space="preserve"> 1 to 3 days after any vaccination.</w:t>
      </w:r>
    </w:p>
    <w:p w14:paraId="7C8E6E26" w14:textId="08BF55F8" w:rsidR="00C97D09" w:rsidRPr="00D11DC0" w:rsidRDefault="00C97D09" w:rsidP="004E126C">
      <w:pPr>
        <w:rPr>
          <w:lang w:val="en-GB"/>
        </w:rPr>
      </w:pPr>
      <w:r w:rsidRPr="00D11DC0">
        <w:rPr>
          <w:lang w:val="en-GB"/>
        </w:rPr>
        <w:t>The most frequently reported solicited systemic AEs were fatigue, headache, and myalgia (</w:t>
      </w:r>
      <w:r w:rsidRPr="00D11DC0">
        <w:rPr>
          <w:b/>
          <w:bCs/>
          <w:lang w:val="en-GB"/>
        </w:rPr>
        <w:t>Figure 3,</w:t>
      </w:r>
      <w:r w:rsidRPr="00D11DC0">
        <w:rPr>
          <w:lang w:val="en-GB"/>
        </w:rPr>
        <w:t xml:space="preserve"> </w:t>
      </w:r>
      <w:r w:rsidRPr="00D11DC0">
        <w:rPr>
          <w:b/>
          <w:bCs/>
          <w:lang w:val="en-GB"/>
        </w:rPr>
        <w:t xml:space="preserve">Table </w:t>
      </w:r>
      <w:r w:rsidR="00702BD1">
        <w:rPr>
          <w:b/>
          <w:bCs/>
          <w:lang w:val="en-GB"/>
        </w:rPr>
        <w:t xml:space="preserve">S7 </w:t>
      </w:r>
      <w:r w:rsidR="002B3569">
        <w:rPr>
          <w:lang w:val="en-GB"/>
        </w:rPr>
        <w:t>[appendix p.</w:t>
      </w:r>
      <w:r w:rsidR="00E4336B">
        <w:rPr>
          <w:lang w:val="en-GB"/>
        </w:rPr>
        <w:t>58</w:t>
      </w:r>
      <w:r w:rsidR="002B3569">
        <w:rPr>
          <w:lang w:val="en-GB"/>
        </w:rPr>
        <w:t>]</w:t>
      </w:r>
      <w:r w:rsidRPr="00D11DC0">
        <w:rPr>
          <w:lang w:val="en-GB"/>
        </w:rPr>
        <w:t xml:space="preserve">). Fatigue was the most common systemic AE in the Ad26.COV2.S and placebo groups after both vaccinations (dose 1, 44·9% </w:t>
      </w:r>
      <w:r>
        <w:rPr>
          <w:lang w:val="en-GB"/>
        </w:rPr>
        <w:t xml:space="preserve">[1355/3015] </w:t>
      </w:r>
      <w:r w:rsidRPr="00D11DC0">
        <w:rPr>
          <w:lang w:val="en-GB"/>
        </w:rPr>
        <w:t>and 24·9%</w:t>
      </w:r>
      <w:r>
        <w:rPr>
          <w:lang w:val="en-GB"/>
        </w:rPr>
        <w:t xml:space="preserve"> [760/3052]</w:t>
      </w:r>
      <w:r w:rsidRPr="00D11DC0">
        <w:rPr>
          <w:lang w:val="en-GB"/>
        </w:rPr>
        <w:t xml:space="preserve">, respectively; booster, 41·1% </w:t>
      </w:r>
      <w:r>
        <w:rPr>
          <w:lang w:val="en-GB"/>
        </w:rPr>
        <w:t xml:space="preserve">[641/1559] </w:t>
      </w:r>
      <w:r w:rsidRPr="00D11DC0">
        <w:rPr>
          <w:lang w:val="en-GB"/>
        </w:rPr>
        <w:t>and 20·6%</w:t>
      </w:r>
      <w:r>
        <w:rPr>
          <w:lang w:val="en-GB"/>
        </w:rPr>
        <w:t xml:space="preserve"> [293/1425]</w:t>
      </w:r>
      <w:r w:rsidRPr="00D11DC0">
        <w:rPr>
          <w:lang w:val="en-GB"/>
        </w:rPr>
        <w:t>). Grade 3 solicited systemic AEs were reported in 55</w:t>
      </w:r>
      <w:r>
        <w:rPr>
          <w:lang w:val="en-GB"/>
        </w:rPr>
        <w:t>/3015</w:t>
      </w:r>
      <w:r w:rsidRPr="00D11DC0">
        <w:rPr>
          <w:lang w:val="en-GB"/>
        </w:rPr>
        <w:t xml:space="preserve"> (1·8%) Ad26.COV2.S recipients following dose one and 25</w:t>
      </w:r>
      <w:r>
        <w:rPr>
          <w:lang w:val="en-GB"/>
        </w:rPr>
        <w:t>/1559</w:t>
      </w:r>
      <w:r w:rsidRPr="00D11DC0">
        <w:rPr>
          <w:lang w:val="en-GB"/>
        </w:rPr>
        <w:t xml:space="preserve"> (1·6%) post-booster. No grade 4 systemic AEs were reported. Systemic </w:t>
      </w:r>
      <w:r w:rsidRPr="00D11DC0">
        <w:rPr>
          <w:lang w:val="en-GB"/>
        </w:rPr>
        <w:lastRenderedPageBreak/>
        <w:t>reactogenicity was transient, with median duration</w:t>
      </w:r>
      <w:r>
        <w:rPr>
          <w:lang w:val="en-GB"/>
        </w:rPr>
        <w:t xml:space="preserve"> for any solicited systemic AE</w:t>
      </w:r>
      <w:r w:rsidRPr="00D11DC0">
        <w:rPr>
          <w:lang w:val="en-GB"/>
        </w:rPr>
        <w:t xml:space="preserve"> 1 to 2 days post-vaccination.</w:t>
      </w:r>
    </w:p>
    <w:p w14:paraId="7F24B1E5" w14:textId="712D947F" w:rsidR="00C97D09" w:rsidRPr="00D11DC0" w:rsidRDefault="00C97D09" w:rsidP="004E126C">
      <w:pPr>
        <w:rPr>
          <w:lang w:val="en-GB"/>
        </w:rPr>
      </w:pPr>
      <w:r w:rsidRPr="00D11DC0">
        <w:rPr>
          <w:lang w:val="en-GB"/>
        </w:rPr>
        <w:t xml:space="preserve">Most unsolicited AEs were grade 1 or 2 in severity; unsolicited AEs of grade ≥3 severity and unsolicited events considered related to vaccination are in </w:t>
      </w:r>
      <w:r w:rsidRPr="00D11DC0">
        <w:rPr>
          <w:b/>
          <w:bCs/>
          <w:lang w:val="en-GB"/>
        </w:rPr>
        <w:t xml:space="preserve">Tables </w:t>
      </w:r>
      <w:r w:rsidR="00E73D4C">
        <w:rPr>
          <w:b/>
          <w:bCs/>
          <w:lang w:val="en-GB"/>
        </w:rPr>
        <w:t>S8</w:t>
      </w:r>
      <w:r w:rsidR="00E73D4C" w:rsidRPr="00D11DC0">
        <w:rPr>
          <w:b/>
          <w:bCs/>
          <w:lang w:val="en-GB"/>
        </w:rPr>
        <w:t xml:space="preserve"> </w:t>
      </w:r>
      <w:r w:rsidRPr="00D11DC0">
        <w:rPr>
          <w:b/>
          <w:bCs/>
          <w:lang w:val="en-GB"/>
        </w:rPr>
        <w:t xml:space="preserve">and </w:t>
      </w:r>
      <w:r w:rsidR="0076296F">
        <w:rPr>
          <w:b/>
          <w:bCs/>
          <w:lang w:val="en-GB"/>
        </w:rPr>
        <w:t xml:space="preserve">S9 </w:t>
      </w:r>
      <w:r w:rsidR="002B3569">
        <w:rPr>
          <w:lang w:val="en-GB"/>
        </w:rPr>
        <w:t>[appendix p</w:t>
      </w:r>
      <w:r w:rsidR="002168B4">
        <w:rPr>
          <w:lang w:val="en-GB"/>
        </w:rPr>
        <w:t>p</w:t>
      </w:r>
      <w:r w:rsidR="002B3569">
        <w:rPr>
          <w:lang w:val="en-GB"/>
        </w:rPr>
        <w:t>.</w:t>
      </w:r>
      <w:r w:rsidR="004530C2">
        <w:rPr>
          <w:lang w:val="en-GB"/>
        </w:rPr>
        <w:t>60</w:t>
      </w:r>
      <w:r w:rsidR="002168B4">
        <w:rPr>
          <w:lang w:val="en-GB"/>
        </w:rPr>
        <w:t>-6</w:t>
      </w:r>
      <w:r w:rsidR="004530C2">
        <w:rPr>
          <w:lang w:val="en-GB"/>
        </w:rPr>
        <w:t>2</w:t>
      </w:r>
      <w:r w:rsidR="002B3569">
        <w:rPr>
          <w:lang w:val="en-GB"/>
        </w:rPr>
        <w:t>]</w:t>
      </w:r>
      <w:r w:rsidRPr="00D11DC0">
        <w:rPr>
          <w:lang w:val="en-GB"/>
        </w:rPr>
        <w:t xml:space="preserve">. </w:t>
      </w:r>
    </w:p>
    <w:p w14:paraId="3DC99567" w14:textId="7CA6C8E4" w:rsidR="00C97D09" w:rsidRPr="00D11DC0" w:rsidRDefault="00C97D09" w:rsidP="004E126C">
      <w:pPr>
        <w:rPr>
          <w:lang w:val="en-GB"/>
        </w:rPr>
      </w:pPr>
      <w:r w:rsidRPr="00D11DC0">
        <w:rPr>
          <w:lang w:val="en-GB"/>
        </w:rPr>
        <w:t>Eleven participants experienced 13 SAEs considered related to the study vaccine (</w:t>
      </w:r>
      <w:r>
        <w:rPr>
          <w:lang w:val="en-GB"/>
        </w:rPr>
        <w:t>8/15,705</w:t>
      </w:r>
      <w:r w:rsidRPr="00D11DC0">
        <w:rPr>
          <w:lang w:val="en-GB"/>
        </w:rPr>
        <w:t xml:space="preserve"> [0·1%] participants in the Ad26.COV2.S and </w:t>
      </w:r>
      <w:r>
        <w:rPr>
          <w:lang w:val="en-GB"/>
        </w:rPr>
        <w:t>3/15,588</w:t>
      </w:r>
      <w:r w:rsidRPr="00D11DC0">
        <w:rPr>
          <w:lang w:val="en-GB"/>
        </w:rPr>
        <w:t xml:space="preserve"> [&lt;0·1%] participants in the placebo group (</w:t>
      </w:r>
      <w:r w:rsidRPr="00D11DC0">
        <w:rPr>
          <w:b/>
          <w:bCs/>
          <w:lang w:val="en-GB"/>
        </w:rPr>
        <w:t xml:space="preserve">Table </w:t>
      </w:r>
      <w:r w:rsidR="00C04ADE">
        <w:rPr>
          <w:b/>
          <w:bCs/>
          <w:lang w:val="en-GB"/>
        </w:rPr>
        <w:t xml:space="preserve">S10 </w:t>
      </w:r>
      <w:r w:rsidR="000C4BD1">
        <w:rPr>
          <w:lang w:val="en-GB"/>
        </w:rPr>
        <w:t>[appendix p.6</w:t>
      </w:r>
      <w:r w:rsidR="004530C2">
        <w:rPr>
          <w:lang w:val="en-GB"/>
        </w:rPr>
        <w:t>5</w:t>
      </w:r>
      <w:r w:rsidR="000C4BD1">
        <w:rPr>
          <w:lang w:val="en-GB"/>
        </w:rPr>
        <w:t>]</w:t>
      </w:r>
      <w:r w:rsidRPr="00D11DC0">
        <w:rPr>
          <w:lang w:val="en-GB"/>
        </w:rPr>
        <w:t>).</w:t>
      </w:r>
    </w:p>
    <w:p w14:paraId="797569F4" w14:textId="2575BD4E" w:rsidR="00C97D09" w:rsidRPr="00D11DC0" w:rsidRDefault="00C97D09" w:rsidP="004E126C">
      <w:pPr>
        <w:rPr>
          <w:szCs w:val="24"/>
          <w:lang w:val="en-GB"/>
        </w:rPr>
      </w:pPr>
      <w:r w:rsidRPr="00D11DC0">
        <w:rPr>
          <w:lang w:val="en-GB"/>
        </w:rPr>
        <w:t xml:space="preserve">AEs of clinical interest are summarised in </w:t>
      </w:r>
      <w:r w:rsidRPr="00D11DC0">
        <w:rPr>
          <w:b/>
          <w:bCs/>
          <w:lang w:val="en-GB"/>
        </w:rPr>
        <w:t xml:space="preserve">Table </w:t>
      </w:r>
      <w:r w:rsidR="00C04ADE">
        <w:rPr>
          <w:b/>
          <w:bCs/>
          <w:lang w:val="en-GB"/>
        </w:rPr>
        <w:t xml:space="preserve">S11 </w:t>
      </w:r>
      <w:r w:rsidR="00CC26E1">
        <w:rPr>
          <w:lang w:val="en-GB"/>
        </w:rPr>
        <w:t>(</w:t>
      </w:r>
      <w:r w:rsidR="008D13AF">
        <w:rPr>
          <w:lang w:val="en-GB"/>
        </w:rPr>
        <w:t>appendix p.</w:t>
      </w:r>
      <w:r w:rsidR="00C2378B">
        <w:rPr>
          <w:lang w:val="en-GB"/>
        </w:rPr>
        <w:t>6</w:t>
      </w:r>
      <w:r w:rsidR="004530C2">
        <w:rPr>
          <w:lang w:val="en-GB"/>
        </w:rPr>
        <w:t>6</w:t>
      </w:r>
      <w:r w:rsidR="00CC26E1">
        <w:rPr>
          <w:lang w:val="en-GB"/>
        </w:rPr>
        <w:t>)</w:t>
      </w:r>
      <w:r w:rsidRPr="00D11DC0">
        <w:rPr>
          <w:lang w:val="en-GB"/>
        </w:rPr>
        <w:t xml:space="preserve">. </w:t>
      </w:r>
      <w:r w:rsidRPr="00D11DC0">
        <w:rPr>
          <w:szCs w:val="24"/>
          <w:lang w:val="en-GB"/>
        </w:rPr>
        <w:t xml:space="preserve">No participant in the vaccine group reported an event that met the pre-established criteria for </w:t>
      </w:r>
      <w:r w:rsidRPr="00D11DC0">
        <w:rPr>
          <w:lang w:val="en-GB"/>
        </w:rPr>
        <w:t>TTS</w:t>
      </w:r>
      <w:r w:rsidRPr="007D161F">
        <w:rPr>
          <w:noProof/>
          <w:vertAlign w:val="superscript"/>
          <w:lang w:val="en-GB"/>
        </w:rPr>
        <w:t>8</w:t>
      </w:r>
      <w:r w:rsidRPr="00D11DC0">
        <w:rPr>
          <w:szCs w:val="24"/>
          <w:lang w:val="en-GB"/>
        </w:rPr>
        <w:t xml:space="preserve"> during the double-blind phase. One placebo recipient had deep vein thrombosis on day 27 followed by pulmonary embolism in combination with thrombocytopenia on day 29. No cases of Guillain-Barré syndrome, immune thrombocytopenia, or encephalitis were reported during the double-blind phase.</w:t>
      </w:r>
    </w:p>
    <w:p w14:paraId="286EB82B" w14:textId="30EC1129" w:rsidR="00C97D09" w:rsidRPr="00D11DC0" w:rsidRDefault="00C97D09" w:rsidP="00745548">
      <w:pPr>
        <w:rPr>
          <w:lang w:val="en-GB"/>
        </w:rPr>
      </w:pPr>
      <w:r w:rsidRPr="00D11DC0">
        <w:rPr>
          <w:lang w:val="en-GB"/>
        </w:rPr>
        <w:t xml:space="preserve">Numerical </w:t>
      </w:r>
      <w:r>
        <w:rPr>
          <w:lang w:val="en-GB"/>
        </w:rPr>
        <w:t>differences</w:t>
      </w:r>
      <w:r w:rsidRPr="00D11DC0">
        <w:rPr>
          <w:lang w:val="en-GB"/>
        </w:rPr>
        <w:t xml:space="preserve"> were observed during the double-blind phase for arthritis (38</w:t>
      </w:r>
      <w:r>
        <w:rPr>
          <w:lang w:val="en-GB"/>
        </w:rPr>
        <w:t>/15,705</w:t>
      </w:r>
      <w:r w:rsidRPr="00D11DC0">
        <w:rPr>
          <w:lang w:val="en-GB"/>
        </w:rPr>
        <w:t xml:space="preserve"> [0·2%] participants in the Ad26.COV2.S group vs 22</w:t>
      </w:r>
      <w:r>
        <w:rPr>
          <w:lang w:val="en-GB"/>
        </w:rPr>
        <w:t>/15,588</w:t>
      </w:r>
      <w:r w:rsidRPr="00D11DC0">
        <w:rPr>
          <w:lang w:val="en-GB"/>
        </w:rPr>
        <w:t xml:space="preserve"> [0·1%] in the placebo group) and tinnitus (</w:t>
      </w:r>
      <w:r>
        <w:rPr>
          <w:lang w:val="en-GB"/>
        </w:rPr>
        <w:t>9/15,705</w:t>
      </w:r>
      <w:r w:rsidRPr="00D11DC0">
        <w:rPr>
          <w:lang w:val="en-GB"/>
        </w:rPr>
        <w:t xml:space="preserve"> [0·1%] vs </w:t>
      </w:r>
      <w:r>
        <w:rPr>
          <w:lang w:val="en-GB"/>
        </w:rPr>
        <w:t xml:space="preserve">5/15,588 </w:t>
      </w:r>
      <w:r w:rsidRPr="00D11DC0">
        <w:rPr>
          <w:lang w:val="en-GB"/>
        </w:rPr>
        <w:t xml:space="preserve">[&lt;0·1%]) (see </w:t>
      </w:r>
      <w:r w:rsidRPr="00D11DC0">
        <w:rPr>
          <w:b/>
          <w:bCs/>
          <w:lang w:val="en-GB"/>
        </w:rPr>
        <w:t xml:space="preserve">Table </w:t>
      </w:r>
      <w:r w:rsidR="00F8250E">
        <w:rPr>
          <w:b/>
          <w:bCs/>
          <w:lang w:val="en-GB"/>
        </w:rPr>
        <w:t>S11</w:t>
      </w:r>
      <w:r w:rsidR="00F8250E" w:rsidRPr="00D11DC0">
        <w:rPr>
          <w:b/>
          <w:bCs/>
          <w:lang w:val="en-GB"/>
        </w:rPr>
        <w:t xml:space="preserve"> </w:t>
      </w:r>
      <w:r w:rsidR="00FC7CE6">
        <w:rPr>
          <w:lang w:val="en-GB"/>
        </w:rPr>
        <w:t>[appendix p.6</w:t>
      </w:r>
      <w:r w:rsidR="00567D63">
        <w:rPr>
          <w:lang w:val="en-GB"/>
        </w:rPr>
        <w:t>6</w:t>
      </w:r>
      <w:r w:rsidR="00FC7CE6">
        <w:rPr>
          <w:lang w:val="en-GB"/>
        </w:rPr>
        <w:t xml:space="preserve">] </w:t>
      </w:r>
      <w:r w:rsidRPr="00D11DC0">
        <w:rPr>
          <w:lang w:val="en-GB"/>
        </w:rPr>
        <w:t>for AEs within 28 days after each vaccination). Imbalances were seen for haemorrhagic disorders within 28 days after each vaccination (24</w:t>
      </w:r>
      <w:r>
        <w:rPr>
          <w:lang w:val="en-GB"/>
        </w:rPr>
        <w:t>/15,705</w:t>
      </w:r>
      <w:r w:rsidRPr="00D11DC0">
        <w:rPr>
          <w:lang w:val="en-GB"/>
        </w:rPr>
        <w:t xml:space="preserve"> [0·2%] vs 14</w:t>
      </w:r>
      <w:r>
        <w:rPr>
          <w:lang w:val="en-GB"/>
        </w:rPr>
        <w:t>/15,588</w:t>
      </w:r>
      <w:r w:rsidRPr="00D11DC0">
        <w:rPr>
          <w:lang w:val="en-GB"/>
        </w:rPr>
        <w:t xml:space="preserve"> [&lt;0·1%] after dose one, and 17</w:t>
      </w:r>
      <w:r>
        <w:rPr>
          <w:lang w:val="en-GB"/>
        </w:rPr>
        <w:t>/8,646</w:t>
      </w:r>
      <w:r w:rsidRPr="00D11DC0">
        <w:rPr>
          <w:lang w:val="en-GB"/>
        </w:rPr>
        <w:t xml:space="preserve"> [0·2%] vs 7</w:t>
      </w:r>
      <w:r>
        <w:rPr>
          <w:lang w:val="en-GB"/>
        </w:rPr>
        <w:t>/8,043</w:t>
      </w:r>
      <w:r w:rsidRPr="00D11DC0">
        <w:rPr>
          <w:lang w:val="en-GB"/>
        </w:rPr>
        <w:t xml:space="preserve"> [&lt;0·1%] post-booster), mostly due to local injection site AEs. Of these, eight were considered SAEs. No numerical </w:t>
      </w:r>
      <w:r>
        <w:rPr>
          <w:lang w:val="en-GB"/>
        </w:rPr>
        <w:t>differences</w:t>
      </w:r>
      <w:r w:rsidRPr="00D11DC0">
        <w:rPr>
          <w:lang w:val="en-GB"/>
        </w:rPr>
        <w:t xml:space="preserve"> were observed for convulsions/seizures, Bell’s Palsy, deep vein thrombosis, pulmonary embolism, myocarditis, or pericarditis.</w:t>
      </w:r>
      <w:r>
        <w:rPr>
          <w:lang w:val="en-GB"/>
        </w:rPr>
        <w:t xml:space="preserve"> </w:t>
      </w:r>
      <w:r>
        <w:t xml:space="preserve">Furthermore, </w:t>
      </w:r>
      <w:r>
        <w:rPr>
          <w:rFonts w:cs="Times New Roman"/>
          <w:lang w:val="en-GB"/>
        </w:rPr>
        <w:lastRenderedPageBreak/>
        <w:t>aside from</w:t>
      </w:r>
      <w:r w:rsidRPr="00B53235">
        <w:rPr>
          <w:rFonts w:cs="Times New Roman"/>
          <w:lang w:val="en-GB"/>
        </w:rPr>
        <w:t xml:space="preserve"> events related to trauma, injury, or injection site AEs, no </w:t>
      </w:r>
      <w:r>
        <w:rPr>
          <w:rFonts w:cs="Times New Roman"/>
          <w:lang w:val="en-GB"/>
        </w:rPr>
        <w:t>numerical differences</w:t>
      </w:r>
      <w:r w:rsidRPr="00B53235">
        <w:rPr>
          <w:rFonts w:cs="Times New Roman"/>
          <w:lang w:val="en-GB"/>
        </w:rPr>
        <w:t xml:space="preserve"> </w:t>
      </w:r>
      <w:r>
        <w:rPr>
          <w:rFonts w:cs="Times New Roman"/>
          <w:lang w:val="en-GB"/>
        </w:rPr>
        <w:t xml:space="preserve">between the </w:t>
      </w:r>
      <w:r w:rsidRPr="00A96DA0">
        <w:t xml:space="preserve">Ad26.COV2.S </w:t>
      </w:r>
      <w:r>
        <w:rPr>
          <w:rFonts w:cs="Times New Roman"/>
          <w:lang w:val="en-GB"/>
        </w:rPr>
        <w:t xml:space="preserve">group and placebo group </w:t>
      </w:r>
      <w:r w:rsidRPr="00B53235">
        <w:rPr>
          <w:rFonts w:cs="Times New Roman"/>
          <w:lang w:val="en-GB"/>
        </w:rPr>
        <w:t>were seen for any system organ class level within 28 days after any vaccination</w:t>
      </w:r>
      <w:r>
        <w:rPr>
          <w:rFonts w:cs="Times New Roman"/>
          <w:lang w:val="en-GB"/>
        </w:rPr>
        <w:t>.</w:t>
      </w:r>
    </w:p>
    <w:p w14:paraId="3A9C0D48" w14:textId="1046686D" w:rsidR="00C97D09" w:rsidRPr="00D11DC0" w:rsidRDefault="00C97D09" w:rsidP="004E126C">
      <w:pPr>
        <w:rPr>
          <w:lang w:val="en-GB"/>
        </w:rPr>
      </w:pPr>
      <w:r w:rsidRPr="00D11DC0">
        <w:rPr>
          <w:lang w:val="en-GB"/>
        </w:rPr>
        <w:t xml:space="preserve">As of June 25, 2021, five participants in the FAS vaccine group discontinued the study due to an AE (cerebral haemorrhage, bipolar disorder/suicidal ideation, urticaria [non-serious and the only AE considered vaccine-related], benign prostatic hyperplasia, </w:t>
      </w:r>
      <w:r>
        <w:rPr>
          <w:lang w:val="en-GB"/>
        </w:rPr>
        <w:t>cervical</w:t>
      </w:r>
      <w:r w:rsidRPr="00D11DC0">
        <w:rPr>
          <w:lang w:val="en-GB"/>
        </w:rPr>
        <w:t xml:space="preserve"> vertebral fracture). As of the data cutoff date, 17 deaths were reported in the double-blind phase (four in the vaccine group [two post-dose one, and two post-booster] and 13 in the placebo-group). More deaths were COVID-19-related in the placebo group (7/13) than vaccine group (0). None of these deaths were considered related to study vaccine (</w:t>
      </w:r>
      <w:r w:rsidRPr="00D11DC0">
        <w:rPr>
          <w:b/>
          <w:bCs/>
          <w:lang w:val="en-GB"/>
        </w:rPr>
        <w:t>Table S</w:t>
      </w:r>
      <w:r w:rsidR="006E1525">
        <w:rPr>
          <w:b/>
          <w:bCs/>
          <w:lang w:val="en-GB"/>
        </w:rPr>
        <w:t>10</w:t>
      </w:r>
      <w:r w:rsidR="007E5185">
        <w:rPr>
          <w:b/>
          <w:bCs/>
          <w:lang w:val="en-GB"/>
        </w:rPr>
        <w:t xml:space="preserve"> </w:t>
      </w:r>
      <w:r w:rsidR="007E5185">
        <w:rPr>
          <w:lang w:val="en-GB"/>
        </w:rPr>
        <w:t>[appendix p.</w:t>
      </w:r>
      <w:r w:rsidR="00CE38E5">
        <w:rPr>
          <w:lang w:val="en-GB"/>
        </w:rPr>
        <w:t>6</w:t>
      </w:r>
      <w:r w:rsidR="006E1525">
        <w:rPr>
          <w:lang w:val="en-GB"/>
        </w:rPr>
        <w:t>5</w:t>
      </w:r>
      <w:r w:rsidR="007E5185">
        <w:rPr>
          <w:lang w:val="en-GB"/>
        </w:rPr>
        <w:t>]</w:t>
      </w:r>
      <w:r w:rsidRPr="00D11DC0">
        <w:rPr>
          <w:lang w:val="en-GB"/>
        </w:rPr>
        <w:t xml:space="preserve">). </w:t>
      </w:r>
    </w:p>
    <w:p w14:paraId="0FB65DD3" w14:textId="77777777" w:rsidR="00C97D09" w:rsidRPr="00D11DC0" w:rsidRDefault="00C97D09" w:rsidP="004E126C">
      <w:pPr>
        <w:rPr>
          <w:lang w:val="en-GB"/>
        </w:rPr>
      </w:pPr>
    </w:p>
    <w:p w14:paraId="623A12E2" w14:textId="77777777" w:rsidR="00C97D09" w:rsidRPr="00D11DC0" w:rsidRDefault="00C97D09" w:rsidP="004F09B9">
      <w:pPr>
        <w:pStyle w:val="Heading1"/>
        <w:rPr>
          <w:lang w:val="en-GB"/>
        </w:rPr>
      </w:pPr>
      <w:r w:rsidRPr="00D11DC0">
        <w:rPr>
          <w:lang w:val="en-GB"/>
        </w:rPr>
        <w:t>DISCUSSION</w:t>
      </w:r>
    </w:p>
    <w:p w14:paraId="68F360E2" w14:textId="77777777" w:rsidR="00C97D09" w:rsidRPr="00D11DC0" w:rsidRDefault="00C97D09" w:rsidP="007E0355">
      <w:pPr>
        <w:rPr>
          <w:lang w:val="en-GB"/>
        </w:rPr>
      </w:pPr>
      <w:r w:rsidRPr="00D11DC0">
        <w:rPr>
          <w:lang w:val="en-GB"/>
        </w:rPr>
        <w:t>In this analysis of ENSEMBLE2 (COV3009), a</w:t>
      </w:r>
      <w:r>
        <w:rPr>
          <w:lang w:val="en-GB"/>
        </w:rPr>
        <w:t xml:space="preserve"> primary dose plus a</w:t>
      </w:r>
      <w:r w:rsidRPr="00D11DC0">
        <w:rPr>
          <w:lang w:val="en-GB"/>
        </w:rPr>
        <w:t xml:space="preserve"> booster dose of Ad26.COV2.S administered at a 2-month interval elicited efficacy of 75·2% (adjusted 95% CI, 54·6-87·3) against moderate to severe–critical COVID-19 </w:t>
      </w:r>
      <w:r w:rsidRPr="00D11DC0">
        <w:rPr>
          <w:rFonts w:cs="Times New Roman"/>
          <w:lang w:val="en-GB"/>
        </w:rPr>
        <w:t xml:space="preserve">and 100% </w:t>
      </w:r>
      <w:r>
        <w:rPr>
          <w:rFonts w:cs="Times New Roman"/>
          <w:lang w:val="en-GB"/>
        </w:rPr>
        <w:t>(</w:t>
      </w:r>
      <w:r w:rsidRPr="00D11DC0">
        <w:rPr>
          <w:rFonts w:cs="Times New Roman"/>
          <w:szCs w:val="24"/>
          <w:lang w:val="en-GB"/>
        </w:rPr>
        <w:t>32·6-100·0%</w:t>
      </w:r>
      <w:r>
        <w:rPr>
          <w:rFonts w:cs="Times New Roman"/>
          <w:szCs w:val="24"/>
          <w:lang w:val="en-GB"/>
        </w:rPr>
        <w:t xml:space="preserve">) </w:t>
      </w:r>
      <w:r w:rsidRPr="00D11DC0">
        <w:rPr>
          <w:rFonts w:cs="Times New Roman"/>
          <w:lang w:val="en-GB"/>
        </w:rPr>
        <w:t xml:space="preserve">against </w:t>
      </w:r>
      <w:r w:rsidRPr="00D11DC0">
        <w:rPr>
          <w:lang w:val="en-GB"/>
        </w:rPr>
        <w:t xml:space="preserve">severe–critical COVID-19 by </w:t>
      </w:r>
      <w:r w:rsidRPr="00D11DC0">
        <w:rPr>
          <w:rFonts w:cs="Times New Roman"/>
          <w:lang w:val="en-GB"/>
        </w:rPr>
        <w:t>≥14 days after boosting</w:t>
      </w:r>
      <w:r w:rsidRPr="00D11DC0">
        <w:rPr>
          <w:lang w:val="en-GB"/>
        </w:rPr>
        <w:t xml:space="preserve">. No cases of COVID-19 requiring medical intervention and no </w:t>
      </w:r>
      <w:r>
        <w:rPr>
          <w:lang w:val="en-GB"/>
        </w:rPr>
        <w:t>COVID</w:t>
      </w:r>
      <w:r w:rsidRPr="00D11DC0">
        <w:rPr>
          <w:lang w:val="en-GB"/>
        </w:rPr>
        <w:t xml:space="preserve">-19-related deaths were observed in the active arm of the study. </w:t>
      </w:r>
      <w:r w:rsidRPr="00D11DC0">
        <w:rPr>
          <w:rFonts w:cs="Times New Roman"/>
          <w:lang w:val="en-GB"/>
        </w:rPr>
        <w:t xml:space="preserve">Additionally, vaccination reduced the duration, number, and severity of symptoms in breakthrough cases, suggesting a shift from more severe to milder </w:t>
      </w:r>
      <w:r>
        <w:rPr>
          <w:rFonts w:cs="Times New Roman"/>
          <w:lang w:val="en-GB"/>
        </w:rPr>
        <w:t>COVID</w:t>
      </w:r>
      <w:r w:rsidRPr="00D11DC0">
        <w:rPr>
          <w:rFonts w:cs="Times New Roman"/>
          <w:lang w:val="en-GB"/>
        </w:rPr>
        <w:t xml:space="preserve">-19. Anamnestic response was demonstrated, as antibody titres increased from baseline approximately 40-fold by 2 weeks after the Ad26.COV2.S booster, as compared to 7·2-fold 4 weeks post-primary </w:t>
      </w:r>
      <w:r w:rsidRPr="00D11DC0">
        <w:rPr>
          <w:rFonts w:cs="Times New Roman"/>
          <w:lang w:val="en-GB"/>
        </w:rPr>
        <w:lastRenderedPageBreak/>
        <w:t>vaccination, coinciding with increased efficacy and suggesting that increased immunogenicity corresponds to increased protection.</w:t>
      </w:r>
      <w:bookmarkStart w:id="40" w:name="_Hlk106281881"/>
      <w:r w:rsidRPr="00D11DC0">
        <w:rPr>
          <w:lang w:val="en-GB"/>
        </w:rPr>
        <w:t xml:space="preserve"> </w:t>
      </w:r>
      <w:bookmarkEnd w:id="40"/>
    </w:p>
    <w:p w14:paraId="5BD8B6CF" w14:textId="31C3EEE0" w:rsidR="00C97D09" w:rsidRDefault="00C97D09" w:rsidP="00A521E9">
      <w:pPr>
        <w:rPr>
          <w:lang w:val="en-GB"/>
        </w:rPr>
      </w:pPr>
      <w:r w:rsidRPr="00D11DC0">
        <w:rPr>
          <w:lang w:val="en-GB"/>
        </w:rPr>
        <w:t xml:space="preserve">The Ad26.COV2.S booster appeared to improve efficacy against SARS-CoV-2 variants in ENSEMBLE2. Efficacy estimates against moderate to severe–critical </w:t>
      </w:r>
      <w:r>
        <w:rPr>
          <w:lang w:val="en-GB"/>
        </w:rPr>
        <w:t>COVID</w:t>
      </w:r>
      <w:r w:rsidRPr="00D11DC0">
        <w:rPr>
          <w:lang w:val="en-GB"/>
        </w:rPr>
        <w:t xml:space="preserve">-19 caused by Alpha and Mu variants </w:t>
      </w:r>
      <w:r w:rsidRPr="00D11DC0">
        <w:rPr>
          <w:rFonts w:cs="Times New Roman"/>
          <w:lang w:val="en-GB"/>
        </w:rPr>
        <w:t>after primary single-dose Ad26.COV2.S vaccination</w:t>
      </w:r>
      <w:r w:rsidRPr="00D11DC0">
        <w:rPr>
          <w:lang w:val="en-GB"/>
        </w:rPr>
        <w:t xml:space="preserve"> (day 15-56) were 71·6% </w:t>
      </w:r>
      <w:r w:rsidRPr="00D11DC0">
        <w:rPr>
          <w:rFonts w:cs="Times New Roman"/>
          <w:szCs w:val="24"/>
          <w:lang w:val="en-GB"/>
        </w:rPr>
        <w:t>(</w:t>
      </w:r>
      <w:r>
        <w:rPr>
          <w:rFonts w:cs="Times New Roman"/>
          <w:szCs w:val="24"/>
          <w:lang w:val="en-GB"/>
        </w:rPr>
        <w:t xml:space="preserve">95% CI, </w:t>
      </w:r>
      <w:r w:rsidRPr="00D11DC0">
        <w:rPr>
          <w:rFonts w:cs="Times New Roman"/>
          <w:szCs w:val="24"/>
          <w:lang w:val="en-GB"/>
        </w:rPr>
        <w:t xml:space="preserve">43·2-86·9) </w:t>
      </w:r>
      <w:r w:rsidRPr="00D11DC0">
        <w:rPr>
          <w:lang w:val="en-GB"/>
        </w:rPr>
        <w:t>and 43·9%</w:t>
      </w:r>
      <w:r>
        <w:rPr>
          <w:lang w:val="en-GB"/>
        </w:rPr>
        <w:t xml:space="preserve"> </w:t>
      </w:r>
      <w:r w:rsidRPr="00D11DC0">
        <w:rPr>
          <w:rFonts w:cs="Times New Roman"/>
          <w:szCs w:val="24"/>
          <w:lang w:val="en-GB"/>
        </w:rPr>
        <w:t>(-43·4-79·6)</w:t>
      </w:r>
      <w:r w:rsidRPr="00D11DC0">
        <w:rPr>
          <w:lang w:val="en-GB"/>
        </w:rPr>
        <w:t>, respectively. This was consistent with the phase 3 ENSEMBLE (COV3001) trial (70·1%</w:t>
      </w:r>
      <w:r>
        <w:rPr>
          <w:lang w:val="en-GB"/>
        </w:rPr>
        <w:t xml:space="preserve"> [35</w:t>
      </w:r>
      <w:r w:rsidRPr="00D11DC0">
        <w:rPr>
          <w:rFonts w:cs="Times New Roman"/>
          <w:szCs w:val="24"/>
          <w:lang w:val="en-GB"/>
        </w:rPr>
        <w:t>·</w:t>
      </w:r>
      <w:r>
        <w:rPr>
          <w:lang w:val="en-GB"/>
        </w:rPr>
        <w:t>1-87</w:t>
      </w:r>
      <w:r w:rsidRPr="00D11DC0">
        <w:rPr>
          <w:rFonts w:cs="Times New Roman"/>
          <w:szCs w:val="24"/>
          <w:lang w:val="en-GB"/>
        </w:rPr>
        <w:t>·</w:t>
      </w:r>
      <w:r>
        <w:rPr>
          <w:rFonts w:cs="Times New Roman"/>
          <w:szCs w:val="24"/>
          <w:lang w:val="en-GB"/>
        </w:rPr>
        <w:t>6]</w:t>
      </w:r>
      <w:r w:rsidRPr="00D11DC0">
        <w:rPr>
          <w:lang w:val="en-GB"/>
        </w:rPr>
        <w:t xml:space="preserve"> and 35·8%</w:t>
      </w:r>
      <w:r>
        <w:rPr>
          <w:lang w:val="en-GB"/>
        </w:rPr>
        <w:t xml:space="preserve"> [1</w:t>
      </w:r>
      <w:r w:rsidRPr="00D11DC0">
        <w:rPr>
          <w:rFonts w:cs="Times New Roman"/>
          <w:szCs w:val="24"/>
          <w:lang w:val="en-GB"/>
        </w:rPr>
        <w:t>·</w:t>
      </w:r>
      <w:r>
        <w:rPr>
          <w:rFonts w:cs="Times New Roman"/>
          <w:szCs w:val="24"/>
          <w:lang w:val="en-GB"/>
        </w:rPr>
        <w:t>5-58</w:t>
      </w:r>
      <w:r w:rsidRPr="00D11DC0">
        <w:rPr>
          <w:rFonts w:cs="Times New Roman"/>
          <w:szCs w:val="24"/>
          <w:lang w:val="en-GB"/>
        </w:rPr>
        <w:t>·</w:t>
      </w:r>
      <w:r>
        <w:rPr>
          <w:rFonts w:cs="Times New Roman"/>
          <w:szCs w:val="24"/>
          <w:lang w:val="en-GB"/>
        </w:rPr>
        <w:t>6])</w:t>
      </w:r>
      <w:r w:rsidRPr="003F4640">
        <w:rPr>
          <w:noProof/>
          <w:vertAlign w:val="superscript"/>
          <w:lang w:val="en-GB"/>
        </w:rPr>
        <w:t>4</w:t>
      </w:r>
      <w:r w:rsidRPr="00D11DC0">
        <w:rPr>
          <w:rFonts w:cs="Times New Roman"/>
          <w:szCs w:val="24"/>
          <w:lang w:val="en-GB"/>
        </w:rPr>
        <w:t>, which assessed efficacy outcomes after a single dose of Ad26.COV2.S and was the basis for licensure/conditional approval in many countries</w:t>
      </w:r>
      <w:r w:rsidRPr="00D11DC0">
        <w:rPr>
          <w:lang w:val="en-GB"/>
        </w:rPr>
        <w:t>.</w:t>
      </w:r>
      <w:r w:rsidRPr="006E0434">
        <w:rPr>
          <w:noProof/>
          <w:vertAlign w:val="superscript"/>
          <w:lang w:val="en-GB"/>
        </w:rPr>
        <w:t>9</w:t>
      </w:r>
      <w:r w:rsidRPr="00D11DC0">
        <w:rPr>
          <w:lang w:val="en-GB"/>
        </w:rPr>
        <w:t xml:space="preserve"> After the booster dose in ENSEMBLE2, </w:t>
      </w:r>
      <w:r>
        <w:rPr>
          <w:lang w:val="en-GB"/>
        </w:rPr>
        <w:t xml:space="preserve">observed </w:t>
      </w:r>
      <w:r w:rsidRPr="00D11DC0">
        <w:rPr>
          <w:lang w:val="en-GB"/>
        </w:rPr>
        <w:t xml:space="preserve">efficacy estimates against moderate to severe–critical </w:t>
      </w:r>
      <w:r>
        <w:rPr>
          <w:lang w:val="en-GB"/>
        </w:rPr>
        <w:t>COVID</w:t>
      </w:r>
      <w:r w:rsidRPr="00D11DC0">
        <w:rPr>
          <w:lang w:val="en-GB"/>
        </w:rPr>
        <w:t xml:space="preserve">-19 </w:t>
      </w:r>
      <w:r>
        <w:rPr>
          <w:lang w:val="en-GB"/>
        </w:rPr>
        <w:t xml:space="preserve">with </w:t>
      </w:r>
      <w:r w:rsidRPr="00D11DC0">
        <w:rPr>
          <w:lang w:val="en-GB"/>
        </w:rPr>
        <w:t>Alpha and Mu were higher (94·2%</w:t>
      </w:r>
      <w:r>
        <w:rPr>
          <w:lang w:val="en-GB"/>
        </w:rPr>
        <w:t xml:space="preserve"> [95% CI, </w:t>
      </w:r>
      <w:r w:rsidRPr="00D11DC0">
        <w:rPr>
          <w:rFonts w:cs="Times New Roman"/>
          <w:szCs w:val="24"/>
          <w:lang w:val="en-GB"/>
        </w:rPr>
        <w:t>62·9-99·9</w:t>
      </w:r>
      <w:r>
        <w:rPr>
          <w:rFonts w:cs="Times New Roman"/>
          <w:szCs w:val="24"/>
          <w:lang w:val="en-GB"/>
        </w:rPr>
        <w:t>]</w:t>
      </w:r>
      <w:r w:rsidRPr="00D11DC0">
        <w:rPr>
          <w:lang w:val="en-GB"/>
        </w:rPr>
        <w:t xml:space="preserve"> and 63·1%</w:t>
      </w:r>
      <w:r>
        <w:rPr>
          <w:lang w:val="en-GB"/>
        </w:rPr>
        <w:t xml:space="preserve"> [</w:t>
      </w:r>
      <w:r w:rsidRPr="00D11DC0">
        <w:rPr>
          <w:rFonts w:cs="Times New Roman"/>
          <w:szCs w:val="24"/>
          <w:lang w:val="en-GB"/>
        </w:rPr>
        <w:t>−27·9-91·6</w:t>
      </w:r>
      <w:r>
        <w:rPr>
          <w:rFonts w:cs="Times New Roman"/>
          <w:szCs w:val="24"/>
          <w:lang w:val="en-GB"/>
        </w:rPr>
        <w:t>]</w:t>
      </w:r>
      <w:r w:rsidRPr="00D11DC0">
        <w:rPr>
          <w:lang w:val="en-GB"/>
        </w:rPr>
        <w:t>), suggesting the benefit of boosting. In the United States, where Alpha became dominant during both studies,</w:t>
      </w:r>
      <w:r w:rsidRPr="006E0434">
        <w:rPr>
          <w:noProof/>
          <w:vertAlign w:val="superscript"/>
          <w:lang w:val="en-GB"/>
        </w:rPr>
        <w:t>10</w:t>
      </w:r>
      <w:r w:rsidRPr="00D11DC0">
        <w:rPr>
          <w:lang w:val="en-GB"/>
        </w:rPr>
        <w:t xml:space="preserve"> efficacy </w:t>
      </w:r>
      <w:r>
        <w:rPr>
          <w:lang w:val="en-GB"/>
        </w:rPr>
        <w:t xml:space="preserve">against moderate to severe–critical COVID-19 </w:t>
      </w:r>
      <w:r w:rsidRPr="00D11DC0">
        <w:rPr>
          <w:lang w:val="en-GB"/>
        </w:rPr>
        <w:t>in the boosted population was 93·7%</w:t>
      </w:r>
      <w:r>
        <w:rPr>
          <w:lang w:val="en-GB"/>
        </w:rPr>
        <w:t xml:space="preserve"> (95% CI, </w:t>
      </w:r>
      <w:r w:rsidRPr="00D11DC0">
        <w:rPr>
          <w:rFonts w:cs="Times New Roman"/>
          <w:lang w:val="en-GB"/>
        </w:rPr>
        <w:t>58·5-99·9</w:t>
      </w:r>
      <w:r>
        <w:rPr>
          <w:rFonts w:cs="Times New Roman"/>
          <w:lang w:val="en-GB"/>
        </w:rPr>
        <w:t>)</w:t>
      </w:r>
      <w:r w:rsidRPr="00D11DC0">
        <w:rPr>
          <w:lang w:val="en-GB"/>
        </w:rPr>
        <w:t xml:space="preserve"> </w:t>
      </w:r>
      <w:r>
        <w:rPr>
          <w:lang w:val="en-GB"/>
        </w:rPr>
        <w:t xml:space="preserve">in ENSEMBLE2 </w:t>
      </w:r>
      <w:r w:rsidRPr="00D11DC0">
        <w:rPr>
          <w:lang w:val="en-GB"/>
        </w:rPr>
        <w:t>compared to 72·9%</w:t>
      </w:r>
      <w:r>
        <w:rPr>
          <w:lang w:val="en-GB"/>
        </w:rPr>
        <w:t xml:space="preserve"> (65</w:t>
      </w:r>
      <w:r w:rsidRPr="00D11DC0">
        <w:rPr>
          <w:lang w:val="en-GB"/>
        </w:rPr>
        <w:t>·</w:t>
      </w:r>
      <w:r>
        <w:rPr>
          <w:lang w:val="en-GB"/>
        </w:rPr>
        <w:t>7-78</w:t>
      </w:r>
      <w:r w:rsidRPr="00D11DC0">
        <w:rPr>
          <w:lang w:val="en-GB"/>
        </w:rPr>
        <w:t>·</w:t>
      </w:r>
      <w:r>
        <w:rPr>
          <w:lang w:val="en-GB"/>
        </w:rPr>
        <w:t>7)</w:t>
      </w:r>
      <w:r w:rsidRPr="00D11DC0">
        <w:rPr>
          <w:lang w:val="en-GB"/>
        </w:rPr>
        <w:t xml:space="preserve"> in ENSEMBLE. </w:t>
      </w:r>
      <w:r>
        <w:rPr>
          <w:lang w:val="en-GB"/>
        </w:rPr>
        <w:t>In Col</w:t>
      </w:r>
      <w:r w:rsidR="00EC089C">
        <w:rPr>
          <w:lang w:val="en-GB"/>
        </w:rPr>
        <w:t>o</w:t>
      </w:r>
      <w:r>
        <w:rPr>
          <w:lang w:val="en-GB"/>
        </w:rPr>
        <w:t xml:space="preserve">mbia, where Mu was predominant, efficacy in the boosted population in ENSEMBLE 2 was </w:t>
      </w:r>
      <w:r>
        <w:rPr>
          <w:rFonts w:cs="Times New Roman"/>
          <w:szCs w:val="24"/>
          <w:lang w:val="en-GB"/>
        </w:rPr>
        <w:t>65</w:t>
      </w:r>
      <w:r w:rsidRPr="00D11DC0">
        <w:rPr>
          <w:rFonts w:cs="Times New Roman"/>
          <w:szCs w:val="24"/>
          <w:lang w:val="en-GB"/>
        </w:rPr>
        <w:t>·</w:t>
      </w:r>
      <w:r>
        <w:rPr>
          <w:rFonts w:cs="Times New Roman"/>
          <w:szCs w:val="24"/>
          <w:lang w:val="en-GB"/>
        </w:rPr>
        <w:t>2% (95% CI, 6</w:t>
      </w:r>
      <w:r w:rsidRPr="00D11DC0">
        <w:rPr>
          <w:rFonts w:cs="Times New Roman"/>
          <w:szCs w:val="24"/>
          <w:lang w:val="en-GB"/>
        </w:rPr>
        <w:t>·</w:t>
      </w:r>
      <w:r>
        <w:rPr>
          <w:rFonts w:cs="Times New Roman"/>
          <w:szCs w:val="24"/>
          <w:lang w:val="en-GB"/>
        </w:rPr>
        <w:t>4-88</w:t>
      </w:r>
      <w:r w:rsidRPr="00D11DC0">
        <w:rPr>
          <w:rFonts w:cs="Times New Roman"/>
          <w:szCs w:val="24"/>
          <w:lang w:val="en-GB"/>
        </w:rPr>
        <w:t>·</w:t>
      </w:r>
      <w:r>
        <w:rPr>
          <w:rFonts w:cs="Times New Roman"/>
          <w:szCs w:val="24"/>
          <w:lang w:val="en-GB"/>
        </w:rPr>
        <w:t>9)</w:t>
      </w:r>
      <w:r>
        <w:rPr>
          <w:lang w:val="en-GB"/>
        </w:rPr>
        <w:t>, compared to 51</w:t>
      </w:r>
      <w:r w:rsidRPr="00D11DC0">
        <w:rPr>
          <w:lang w:val="en-GB"/>
        </w:rPr>
        <w:t>·</w:t>
      </w:r>
      <w:r>
        <w:rPr>
          <w:lang w:val="en-GB"/>
        </w:rPr>
        <w:t>6% (38</w:t>
      </w:r>
      <w:r w:rsidRPr="00D11DC0">
        <w:rPr>
          <w:lang w:val="en-GB"/>
        </w:rPr>
        <w:t>·</w:t>
      </w:r>
      <w:r>
        <w:rPr>
          <w:lang w:val="en-GB"/>
        </w:rPr>
        <w:t>5-62</w:t>
      </w:r>
      <w:r w:rsidRPr="00D11DC0">
        <w:rPr>
          <w:lang w:val="en-GB"/>
        </w:rPr>
        <w:t>·</w:t>
      </w:r>
      <w:r>
        <w:rPr>
          <w:lang w:val="en-GB"/>
        </w:rPr>
        <w:t>1 in ENSEMBLE.</w:t>
      </w:r>
    </w:p>
    <w:p w14:paraId="23EA14F1" w14:textId="77777777" w:rsidR="00C97D09" w:rsidRPr="00D11DC0" w:rsidRDefault="00C97D09" w:rsidP="00A521E9">
      <w:pPr>
        <w:rPr>
          <w:lang w:val="en-GB"/>
        </w:rPr>
      </w:pPr>
      <w:r w:rsidRPr="00D11DC0">
        <w:rPr>
          <w:lang w:val="en-GB"/>
        </w:rPr>
        <w:t xml:space="preserve">When the Delta variant surged in the United States from May to August 2021, Ad26.COV2.S single-dose effectiveness against </w:t>
      </w:r>
      <w:r>
        <w:rPr>
          <w:lang w:val="en-GB"/>
        </w:rPr>
        <w:t>COVID</w:t>
      </w:r>
      <w:r w:rsidRPr="00D11DC0">
        <w:rPr>
          <w:lang w:val="en-GB"/>
        </w:rPr>
        <w:t xml:space="preserve">-19 declined, but effectiveness against hospitalisation remained </w:t>
      </w:r>
      <w:r w:rsidRPr="00D11DC0">
        <w:rPr>
          <w:rFonts w:cs="Times New Roman"/>
          <w:lang w:val="en-GB"/>
        </w:rPr>
        <w:t>≥80%</w:t>
      </w:r>
      <w:r w:rsidRPr="00D11DC0">
        <w:rPr>
          <w:lang w:val="en-GB"/>
        </w:rPr>
        <w:t>.</w:t>
      </w:r>
      <w:r w:rsidRPr="006E0434">
        <w:rPr>
          <w:noProof/>
          <w:vertAlign w:val="superscript"/>
          <w:lang w:val="en-GB"/>
        </w:rPr>
        <w:t>11</w:t>
      </w:r>
      <w:r w:rsidRPr="00D11DC0">
        <w:rPr>
          <w:lang w:val="en-GB"/>
        </w:rPr>
        <w:t xml:space="preserve"> During emergence of Omicron, an Ad26.COV2.S booster dose 6 to 9 months after primary vaccination in South Africans elicited </w:t>
      </w:r>
      <w:r>
        <w:rPr>
          <w:lang w:val="en-GB"/>
        </w:rPr>
        <w:t>72</w:t>
      </w:r>
      <w:r w:rsidRPr="00D11DC0">
        <w:rPr>
          <w:lang w:val="en-GB"/>
        </w:rPr>
        <w:t>%</w:t>
      </w:r>
      <w:r>
        <w:rPr>
          <w:lang w:val="en-GB"/>
        </w:rPr>
        <w:t>-74%</w:t>
      </w:r>
      <w:r w:rsidRPr="00D11DC0">
        <w:rPr>
          <w:lang w:val="en-GB"/>
        </w:rPr>
        <w:t xml:space="preserve"> vaccine effectiveness against hospitalisation.</w:t>
      </w:r>
      <w:r w:rsidRPr="006E0434">
        <w:rPr>
          <w:noProof/>
          <w:vertAlign w:val="superscript"/>
          <w:lang w:val="en-GB"/>
        </w:rPr>
        <w:t>12</w:t>
      </w:r>
      <w:r w:rsidRPr="00D11DC0">
        <w:rPr>
          <w:lang w:val="en-GB"/>
        </w:rPr>
        <w:t xml:space="preserve"> These data </w:t>
      </w:r>
      <w:bookmarkStart w:id="41" w:name="_Hlk103583681"/>
      <w:r w:rsidRPr="00D11DC0">
        <w:rPr>
          <w:lang w:val="en-GB"/>
        </w:rPr>
        <w:t xml:space="preserve">support overall improved efficacy against </w:t>
      </w:r>
      <w:r>
        <w:rPr>
          <w:lang w:val="en-GB"/>
        </w:rPr>
        <w:t xml:space="preserve">these </w:t>
      </w:r>
      <w:r w:rsidRPr="00D11DC0">
        <w:rPr>
          <w:lang w:val="en-GB"/>
        </w:rPr>
        <w:t>variants after the Ad26.COV2.S booster, although conclusions for specific variants are limited due to low case numbers</w:t>
      </w:r>
      <w:bookmarkEnd w:id="41"/>
      <w:r w:rsidRPr="00D11DC0">
        <w:rPr>
          <w:lang w:val="en-GB"/>
        </w:rPr>
        <w:t xml:space="preserve">. </w:t>
      </w:r>
      <w:bookmarkStart w:id="42" w:name="_Hlk103583848"/>
      <w:r w:rsidRPr="00D11DC0">
        <w:rPr>
          <w:rFonts w:cs="Times New Roman"/>
          <w:szCs w:val="24"/>
          <w:lang w:val="en-GB"/>
        </w:rPr>
        <w:t xml:space="preserve">Attenuated protection in some countries or regions may be attributable to reduced </w:t>
      </w:r>
      <w:r w:rsidRPr="00D11DC0">
        <w:rPr>
          <w:rFonts w:cs="Times New Roman"/>
          <w:szCs w:val="24"/>
          <w:lang w:val="en-GB"/>
        </w:rPr>
        <w:lastRenderedPageBreak/>
        <w:t>vaccine efficacy against specific SARS-CoV-2 variants and low case numbers</w:t>
      </w:r>
      <w:bookmarkEnd w:id="42"/>
      <w:r w:rsidRPr="00D11DC0">
        <w:rPr>
          <w:rFonts w:cs="Times New Roman"/>
          <w:szCs w:val="24"/>
          <w:lang w:val="en-GB"/>
        </w:rPr>
        <w:t>.</w:t>
      </w:r>
      <w:r w:rsidRPr="006E0434">
        <w:rPr>
          <w:rFonts w:cs="Times New Roman"/>
          <w:noProof/>
          <w:szCs w:val="24"/>
          <w:vertAlign w:val="superscript"/>
          <w:lang w:val="en-GB"/>
        </w:rPr>
        <w:t>13-15</w:t>
      </w:r>
      <w:r w:rsidRPr="00D11DC0">
        <w:rPr>
          <w:rFonts w:cs="Times New Roman"/>
          <w:szCs w:val="24"/>
          <w:lang w:val="en-GB"/>
        </w:rPr>
        <w:t xml:space="preserve"> The vaccine was also efficacious in participants with comorbidities in the current study.</w:t>
      </w:r>
    </w:p>
    <w:p w14:paraId="6632310C" w14:textId="77777777" w:rsidR="00C97D09" w:rsidRDefault="00C97D09" w:rsidP="00A521E9">
      <w:pPr>
        <w:rPr>
          <w:rFonts w:cs="Times New Roman"/>
          <w:szCs w:val="24"/>
          <w:lang w:val="en-GB"/>
        </w:rPr>
      </w:pPr>
      <w:r w:rsidRPr="00D11DC0">
        <w:rPr>
          <w:rFonts w:cs="Times New Roman"/>
          <w:szCs w:val="24"/>
          <w:lang w:val="en-GB"/>
        </w:rPr>
        <w:t xml:space="preserve">Vaccine efficacy against moderate to severe–critical </w:t>
      </w:r>
      <w:r>
        <w:rPr>
          <w:rFonts w:cs="Times New Roman"/>
          <w:szCs w:val="24"/>
          <w:lang w:val="en-GB"/>
        </w:rPr>
        <w:t>COVID</w:t>
      </w:r>
      <w:r w:rsidRPr="00D11DC0">
        <w:rPr>
          <w:rFonts w:cs="Times New Roman"/>
          <w:szCs w:val="24"/>
          <w:lang w:val="en-GB"/>
        </w:rPr>
        <w:t>-19 with onset ≥14 days after primary vaccination in ENSEMBLE2 (67</w:t>
      </w:r>
      <w:r w:rsidRPr="00D11DC0">
        <w:rPr>
          <w:lang w:val="en-GB"/>
        </w:rPr>
        <w:t>·</w:t>
      </w:r>
      <w:r>
        <w:rPr>
          <w:lang w:val="en-GB"/>
        </w:rPr>
        <w:t>0</w:t>
      </w:r>
      <w:r w:rsidRPr="00D11DC0">
        <w:rPr>
          <w:rFonts w:cs="Times New Roman"/>
          <w:szCs w:val="24"/>
          <w:lang w:val="en-GB"/>
        </w:rPr>
        <w:t>%</w:t>
      </w:r>
      <w:r>
        <w:rPr>
          <w:rFonts w:cs="Times New Roman"/>
          <w:szCs w:val="24"/>
          <w:lang w:val="en-GB"/>
        </w:rPr>
        <w:t xml:space="preserve"> [95% CI, 53</w:t>
      </w:r>
      <w:r w:rsidRPr="00D11DC0">
        <w:rPr>
          <w:lang w:val="en-GB"/>
        </w:rPr>
        <w:t>·</w:t>
      </w:r>
      <w:r>
        <w:rPr>
          <w:lang w:val="en-GB"/>
        </w:rPr>
        <w:t>6</w:t>
      </w:r>
      <w:r>
        <w:rPr>
          <w:rFonts w:cs="Times New Roman"/>
          <w:szCs w:val="24"/>
          <w:lang w:val="en-GB"/>
        </w:rPr>
        <w:t>-76</w:t>
      </w:r>
      <w:r w:rsidRPr="00D11DC0">
        <w:rPr>
          <w:lang w:val="en-GB"/>
        </w:rPr>
        <w:t>·</w:t>
      </w:r>
      <w:r>
        <w:rPr>
          <w:lang w:val="en-GB"/>
        </w:rPr>
        <w:t>9</w:t>
      </w:r>
      <w:r>
        <w:rPr>
          <w:rFonts w:cs="Times New Roman"/>
          <w:szCs w:val="24"/>
          <w:lang w:val="en-GB"/>
        </w:rPr>
        <w:t>]</w:t>
      </w:r>
      <w:r w:rsidRPr="00D11DC0">
        <w:rPr>
          <w:rFonts w:cs="Times New Roman"/>
          <w:szCs w:val="24"/>
          <w:lang w:val="en-GB"/>
        </w:rPr>
        <w:t>) was consistent with efficacy at the same time point in the final analysis of the double-blind phase of ENSEMBLE (56</w:t>
      </w:r>
      <w:r w:rsidRPr="00D11DC0">
        <w:rPr>
          <w:lang w:val="en-GB"/>
        </w:rPr>
        <w:t>·</w:t>
      </w:r>
      <w:r>
        <w:rPr>
          <w:lang w:val="en-GB"/>
        </w:rPr>
        <w:t>3</w:t>
      </w:r>
      <w:r w:rsidRPr="00D11DC0">
        <w:rPr>
          <w:rFonts w:cs="Times New Roman"/>
          <w:szCs w:val="24"/>
          <w:lang w:val="en-GB"/>
        </w:rPr>
        <w:t>%</w:t>
      </w:r>
      <w:r>
        <w:rPr>
          <w:rFonts w:cs="Times New Roman"/>
          <w:szCs w:val="24"/>
          <w:lang w:val="en-GB"/>
        </w:rPr>
        <w:t xml:space="preserve"> [51</w:t>
      </w:r>
      <w:r w:rsidRPr="00D11DC0">
        <w:rPr>
          <w:lang w:val="en-GB"/>
        </w:rPr>
        <w:t>·</w:t>
      </w:r>
      <w:r>
        <w:rPr>
          <w:lang w:val="en-GB"/>
        </w:rPr>
        <w:t>3-61</w:t>
      </w:r>
      <w:r w:rsidRPr="00D11DC0">
        <w:rPr>
          <w:lang w:val="en-GB"/>
        </w:rPr>
        <w:t>·</w:t>
      </w:r>
      <w:r>
        <w:rPr>
          <w:lang w:val="en-GB"/>
        </w:rPr>
        <w:t>8</w:t>
      </w:r>
      <w:r>
        <w:rPr>
          <w:rFonts w:cs="Times New Roman"/>
          <w:szCs w:val="24"/>
          <w:lang w:val="en-GB"/>
        </w:rPr>
        <w:t>]</w:t>
      </w:r>
      <w:r w:rsidRPr="00D11DC0">
        <w:rPr>
          <w:rFonts w:cs="Times New Roman"/>
          <w:szCs w:val="24"/>
          <w:lang w:val="en-GB"/>
        </w:rPr>
        <w:t>).</w:t>
      </w:r>
      <w:r w:rsidRPr="003F4640">
        <w:rPr>
          <w:rFonts w:cs="Times New Roman"/>
          <w:noProof/>
          <w:szCs w:val="24"/>
          <w:vertAlign w:val="superscript"/>
          <w:lang w:val="en-GB"/>
        </w:rPr>
        <w:t>4</w:t>
      </w:r>
      <w:r w:rsidRPr="00D11DC0">
        <w:rPr>
          <w:rFonts w:cs="Times New Roman"/>
          <w:szCs w:val="24"/>
          <w:lang w:val="en-GB"/>
        </w:rPr>
        <w:t xml:space="preserve"> Between-study differences in efficacy may be attributed to differences in time, location, and epidemiologic pressure. Importantly, efficacy against severe–critical disease was high and consistent between the studies. Real-world data suggest these efficacies translate into clinical practice.</w:t>
      </w:r>
      <w:r w:rsidRPr="006E0434">
        <w:rPr>
          <w:rFonts w:cs="Times New Roman"/>
          <w:noProof/>
          <w:szCs w:val="24"/>
          <w:vertAlign w:val="superscript"/>
          <w:lang w:val="en-GB"/>
        </w:rPr>
        <w:t>12,16-19</w:t>
      </w:r>
      <w:r w:rsidRPr="00D11DC0">
        <w:rPr>
          <w:rFonts w:cs="Times New Roman"/>
          <w:szCs w:val="24"/>
          <w:lang w:val="en-GB"/>
        </w:rPr>
        <w:t xml:space="preserve"> Furthermore, Ad26.COV2.S elicited sustained CD8</w:t>
      </w:r>
      <w:r w:rsidRPr="00D11DC0">
        <w:rPr>
          <w:rFonts w:cs="Times New Roman"/>
          <w:szCs w:val="24"/>
          <w:vertAlign w:val="superscript"/>
          <w:lang w:val="en-GB"/>
        </w:rPr>
        <w:t>+</w:t>
      </w:r>
      <w:r w:rsidRPr="00D11DC0">
        <w:rPr>
          <w:rFonts w:cs="Times New Roman"/>
          <w:szCs w:val="24"/>
          <w:lang w:val="en-GB"/>
        </w:rPr>
        <w:t xml:space="preserve"> and CD4</w:t>
      </w:r>
      <w:r w:rsidRPr="00D11DC0">
        <w:rPr>
          <w:rFonts w:cs="Times New Roman"/>
          <w:szCs w:val="24"/>
          <w:vertAlign w:val="superscript"/>
          <w:lang w:val="en-GB"/>
        </w:rPr>
        <w:t>+</w:t>
      </w:r>
      <w:r w:rsidRPr="00D11DC0">
        <w:rPr>
          <w:rFonts w:cs="Times New Roman"/>
          <w:szCs w:val="24"/>
          <w:lang w:val="en-GB"/>
        </w:rPr>
        <w:t xml:space="preserve"> T-cell immune responses with cross-reactivity against Omicron,</w:t>
      </w:r>
      <w:r w:rsidRPr="006E0434">
        <w:rPr>
          <w:rFonts w:cs="Times New Roman"/>
          <w:noProof/>
          <w:szCs w:val="24"/>
          <w:vertAlign w:val="superscript"/>
          <w:lang w:val="en-GB"/>
        </w:rPr>
        <w:t>20,21</w:t>
      </w:r>
      <w:r w:rsidRPr="00D11DC0">
        <w:rPr>
          <w:rFonts w:cs="Times New Roman"/>
          <w:szCs w:val="24"/>
          <w:lang w:val="en-GB"/>
        </w:rPr>
        <w:t xml:space="preserve"> supporting the protection against this variant observed in a real-world study. </w:t>
      </w:r>
    </w:p>
    <w:p w14:paraId="2E908ED9" w14:textId="77777777" w:rsidR="00C97D09" w:rsidRDefault="00C97D09" w:rsidP="00EE6E14">
      <w:pPr>
        <w:rPr>
          <w:rFonts w:cs="Times New Roman"/>
          <w:lang w:val="en-GB"/>
        </w:rPr>
      </w:pPr>
      <w:bookmarkStart w:id="43" w:name="_Hlk104908643"/>
      <w:r>
        <w:rPr>
          <w:rFonts w:cs="Times New Roman"/>
          <w:lang w:val="en-GB"/>
        </w:rPr>
        <w:t>Previous studies have demonstrated that Ad26.COV2.S administered as either a homologous or heterologous booster can induce neutralizing antibody titres against the reference strain and the Delta and Omicron variants of concern.</w:t>
      </w:r>
      <w:r w:rsidRPr="006E0434">
        <w:rPr>
          <w:rFonts w:cs="Times New Roman"/>
          <w:noProof/>
          <w:vertAlign w:val="superscript"/>
          <w:lang w:val="en-GB"/>
        </w:rPr>
        <w:t>22-26</w:t>
      </w:r>
      <w:r>
        <w:rPr>
          <w:rFonts w:cs="Times New Roman"/>
          <w:lang w:val="en-GB"/>
        </w:rPr>
        <w:t xml:space="preserve"> In these studies, both homologous and heterologous Ad26.COV2.S boosters had less effect on neutralizing antibody titres compared with boosters of mRNA vaccines;</w:t>
      </w:r>
      <w:bookmarkEnd w:id="43"/>
      <w:r>
        <w:rPr>
          <w:rFonts w:cs="Times New Roman"/>
          <w:lang w:val="en-GB"/>
        </w:rPr>
        <w:t xml:space="preserve"> </w:t>
      </w:r>
      <w:bookmarkStart w:id="44" w:name="_Hlk104903996"/>
      <w:r>
        <w:rPr>
          <w:rFonts w:cs="Times New Roman"/>
          <w:lang w:val="en-GB"/>
        </w:rPr>
        <w:t>both Ad26.COV2.S and mRNA boosters generally yielded lower titres against Delta and Omicron variants relative to the wild-type or reference strains.</w:t>
      </w:r>
      <w:r w:rsidRPr="006E0434">
        <w:rPr>
          <w:rFonts w:cs="Times New Roman"/>
          <w:noProof/>
          <w:vertAlign w:val="superscript"/>
          <w:lang w:val="en-GB"/>
        </w:rPr>
        <w:t>22,24,25</w:t>
      </w:r>
      <w:r>
        <w:rPr>
          <w:rFonts w:cs="Times New Roman"/>
          <w:lang w:val="en-GB"/>
        </w:rPr>
        <w:t xml:space="preserve"> Direct comparisons of immune responses elicited at a single, early point in time limits the interpretation of results reported in previous booster studies in the context of actual protection over time. For example, mRNA immune responses typically decline over time, whereas immune responses elicited by Ad26.COV2.S generally remain more stable over time. This principle has been demonstrated recently in the three-month analysis of the COV-BOOST trial in which the protection decay rate of the Ad26.COV2.S booster dose was lower than that of the BNT162b2 </w:t>
      </w:r>
      <w:r>
        <w:rPr>
          <w:rFonts w:cs="Times New Roman"/>
          <w:lang w:val="en-GB"/>
        </w:rPr>
        <w:lastRenderedPageBreak/>
        <w:t>booster by three months post-boost.</w:t>
      </w:r>
      <w:r w:rsidRPr="006E0434">
        <w:rPr>
          <w:rFonts w:cs="Times New Roman"/>
          <w:noProof/>
          <w:vertAlign w:val="superscript"/>
          <w:lang w:val="en-GB"/>
        </w:rPr>
        <w:t>27</w:t>
      </w:r>
      <w:r>
        <w:rPr>
          <w:rFonts w:cs="Times New Roman"/>
          <w:lang w:val="en-GB"/>
        </w:rPr>
        <w:t xml:space="preserve"> Considering the difference in kinetics among vaccine types, real-world evidence may be a better indicator of booster performance. Both primary and booster vaccinations with Ad26.COV2.S have demonstrated real-world effectiveness against COVID-19–related hospital admissions, including those that require intensive care, during periods of Delta and Omicron predominance.</w:t>
      </w:r>
      <w:r w:rsidRPr="006E0434">
        <w:rPr>
          <w:rFonts w:cs="Times New Roman"/>
          <w:noProof/>
          <w:vertAlign w:val="superscript"/>
          <w:lang w:val="en-GB"/>
        </w:rPr>
        <w:t>12,18</w:t>
      </w:r>
      <w:r>
        <w:rPr>
          <w:rFonts w:cs="Times New Roman"/>
          <w:lang w:val="en-GB"/>
        </w:rPr>
        <w:t xml:space="preserve"> </w:t>
      </w:r>
    </w:p>
    <w:bookmarkEnd w:id="44"/>
    <w:p w14:paraId="7AC4ED7A" w14:textId="77777777" w:rsidR="00C97D09" w:rsidRPr="00D11DC0" w:rsidRDefault="00C97D09" w:rsidP="002E5A24">
      <w:pPr>
        <w:rPr>
          <w:lang w:val="en-GB"/>
        </w:rPr>
      </w:pPr>
      <w:r w:rsidRPr="00D11DC0">
        <w:rPr>
          <w:lang w:val="en-GB"/>
        </w:rPr>
        <w:t xml:space="preserve">The Ad26.COV2.S booster demonstrated an acceptable safety profile in adults </w:t>
      </w:r>
      <w:r w:rsidRPr="00D11DC0">
        <w:rPr>
          <w:rFonts w:cs="Times New Roman"/>
          <w:lang w:val="en-GB"/>
        </w:rPr>
        <w:t>≥18 years old</w:t>
      </w:r>
      <w:r w:rsidRPr="00D11DC0">
        <w:rPr>
          <w:lang w:val="en-GB"/>
        </w:rPr>
        <w:t>. Local and systemic reactogenicity was similar to that seen after the first dose, with no increase in adverse reactions post-booster. In the primary analysis of ENSEMBLE, more venous thromboembolic and convulsions/seizure events were seen after Ad26.COV2.S versus placebo.</w:t>
      </w:r>
      <w:r w:rsidRPr="006E0434">
        <w:rPr>
          <w:noProof/>
          <w:vertAlign w:val="superscript"/>
          <w:lang w:val="en-GB"/>
        </w:rPr>
        <w:t>9</w:t>
      </w:r>
      <w:r w:rsidRPr="00D11DC0">
        <w:rPr>
          <w:lang w:val="en-GB"/>
        </w:rPr>
        <w:t xml:space="preserve"> Conversely, in ENSEMBLE2, more of these events occurred after placebo. Although more noninfectious arthritis events occurred after Ad26.COV2.S in ENSEMBLE2, the converse was seen in ENSEMBLE (more after placebo), and no signal has been identified in post-marketing data. The </w:t>
      </w:r>
      <w:r>
        <w:rPr>
          <w:lang w:val="en-GB"/>
        </w:rPr>
        <w:t xml:space="preserve">difference in numbers of </w:t>
      </w:r>
      <w:r w:rsidRPr="00D11DC0">
        <w:rPr>
          <w:lang w:val="en-GB"/>
        </w:rPr>
        <w:t xml:space="preserve">haemorrhagic disorders </w:t>
      </w:r>
      <w:r>
        <w:rPr>
          <w:lang w:val="en-GB"/>
        </w:rPr>
        <w:t xml:space="preserve">between the vaccine and placebo groups </w:t>
      </w:r>
      <w:r w:rsidRPr="00D11DC0">
        <w:rPr>
          <w:lang w:val="en-GB"/>
        </w:rPr>
        <w:t xml:space="preserve">in this study was mostly driven by events related to vaccine administration. These inconsistencies in AE occurrence between studies suggest </w:t>
      </w:r>
      <w:r>
        <w:rPr>
          <w:lang w:val="en-GB"/>
        </w:rPr>
        <w:t>differences</w:t>
      </w:r>
      <w:r w:rsidRPr="00D11DC0">
        <w:rPr>
          <w:lang w:val="en-GB"/>
        </w:rPr>
        <w:t xml:space="preserve"> may be attributable to chance.</w:t>
      </w:r>
    </w:p>
    <w:p w14:paraId="6FD74892" w14:textId="6B5B11BB" w:rsidR="00C97D09" w:rsidRPr="003C2B7B" w:rsidRDefault="00C97D09" w:rsidP="00091491">
      <w:pPr>
        <w:rPr>
          <w:lang w:val="en-GB"/>
        </w:rPr>
      </w:pPr>
      <w:r w:rsidRPr="00D11DC0">
        <w:rPr>
          <w:lang w:val="en-GB"/>
        </w:rPr>
        <w:t xml:space="preserve">There are limitations to this study. As ENSEMBLE2 was conducted at the peak of the </w:t>
      </w:r>
      <w:r>
        <w:rPr>
          <w:lang w:val="en-GB"/>
        </w:rPr>
        <w:t>COVID</w:t>
      </w:r>
      <w:r w:rsidRPr="00D11DC0">
        <w:rPr>
          <w:lang w:val="en-GB"/>
        </w:rPr>
        <w:t xml:space="preserve">-19 wave of early 2021, when </w:t>
      </w:r>
      <w:r>
        <w:rPr>
          <w:lang w:val="en-GB"/>
        </w:rPr>
        <w:t>COVID</w:t>
      </w:r>
      <w:r w:rsidRPr="00D11DC0">
        <w:rPr>
          <w:lang w:val="en-GB"/>
        </w:rPr>
        <w:t xml:space="preserve">-19 vaccines were first made available by EUA, it was no longer ethical to maintain the placebo control, leading to early unblinding. All participants could request unblinding to determine whether they qualified for </w:t>
      </w:r>
      <w:r>
        <w:rPr>
          <w:lang w:val="en-GB"/>
        </w:rPr>
        <w:t>COVID</w:t>
      </w:r>
      <w:r w:rsidRPr="00D11DC0">
        <w:rPr>
          <w:lang w:val="en-GB"/>
        </w:rPr>
        <w:t xml:space="preserve">-19 vaccination outside the study and placebo recipients could receive the open-label crossover vaccination (timing varied by country). Unblinding/crossover reduced participant numbers receiving both doses and planned follow-up time in the double-blind phase and led to limited numbers of </w:t>
      </w:r>
      <w:r>
        <w:rPr>
          <w:lang w:val="en-GB"/>
        </w:rPr>
        <w:t>COVID</w:t>
      </w:r>
      <w:r w:rsidRPr="00D11DC0">
        <w:rPr>
          <w:lang w:val="en-GB"/>
        </w:rPr>
        <w:t xml:space="preserve">-19 cases </w:t>
      </w:r>
      <w:r w:rsidRPr="00D11DC0">
        <w:rPr>
          <w:lang w:val="en-GB"/>
        </w:rPr>
        <w:lastRenderedPageBreak/>
        <w:t>being available for evaluation of the booster dose</w:t>
      </w:r>
      <w:r>
        <w:rPr>
          <w:lang w:val="en-GB"/>
        </w:rPr>
        <w:t xml:space="preserve"> compared to placebo</w:t>
      </w:r>
      <w:r w:rsidRPr="00D11DC0">
        <w:rPr>
          <w:lang w:val="en-GB"/>
        </w:rPr>
        <w:t xml:space="preserve">; data within subgroups, including by variant, should be interpreted with caution. More participants in the placebo group than the Ad26.COV2.S group terminated prematurely, partly because after unblinding, placebo recipients terminated participation to receive another </w:t>
      </w:r>
      <w:r>
        <w:rPr>
          <w:lang w:val="en-GB"/>
        </w:rPr>
        <w:t>COVID</w:t>
      </w:r>
      <w:r w:rsidRPr="00D11DC0">
        <w:rPr>
          <w:lang w:val="en-GB"/>
        </w:rPr>
        <w:t>-19 vaccine outside the study, and possibly due to non-study antibody testing. Most participants nevertheless completed the double-blind phase</w:t>
      </w:r>
      <w:r>
        <w:rPr>
          <w:lang w:val="en-GB"/>
        </w:rPr>
        <w:t xml:space="preserve">; </w:t>
      </w:r>
      <w:r w:rsidRPr="00945FF7">
        <w:rPr>
          <w:lang w:val="en-GB"/>
        </w:rPr>
        <w:t>with 66 cases under protocol assumptions</w:t>
      </w:r>
      <w:r>
        <w:rPr>
          <w:lang w:val="en-GB"/>
        </w:rPr>
        <w:t xml:space="preserve">, </w:t>
      </w:r>
      <w:r w:rsidRPr="00D11DC0">
        <w:rPr>
          <w:lang w:val="en-GB"/>
        </w:rPr>
        <w:t xml:space="preserve">the study power remained </w:t>
      </w:r>
      <w:r w:rsidRPr="00945FF7">
        <w:rPr>
          <w:lang w:val="en-GB"/>
        </w:rPr>
        <w:t>58%</w:t>
      </w:r>
      <w:r w:rsidRPr="00D11DC0">
        <w:rPr>
          <w:lang w:val="en-GB"/>
        </w:rPr>
        <w:t xml:space="preserve">. The person-years of follow-up in the PP and FAS sets were generally similar, indicating that blinding was properly maintained and bias minimised. Moreover, vaccine efficacy estimation methods accounted for </w:t>
      </w:r>
      <w:r>
        <w:rPr>
          <w:lang w:val="en-GB"/>
        </w:rPr>
        <w:t>differences in</w:t>
      </w:r>
      <w:r w:rsidRPr="00D11DC0">
        <w:rPr>
          <w:lang w:val="en-GB"/>
        </w:rPr>
        <w:t xml:space="preserve"> follow-up. The results observed in this study suggest a benefit for booster vaccination, but more follow-up data will be needed to </w:t>
      </w:r>
      <w:r w:rsidRPr="00D11DC0">
        <w:rPr>
          <w:rFonts w:cs="Times New Roman"/>
          <w:lang w:val="en-GB"/>
        </w:rPr>
        <w:t>characterize the incremental booster effect over a longer follow-up period and within subgroups</w:t>
      </w:r>
      <w:r w:rsidRPr="00D11DC0">
        <w:rPr>
          <w:lang w:val="en-GB"/>
        </w:rPr>
        <w:t>.</w:t>
      </w:r>
      <w:r w:rsidR="003E2D7B">
        <w:rPr>
          <w:lang w:val="en-GB"/>
        </w:rPr>
        <w:t xml:space="preserve"> </w:t>
      </w:r>
      <w:r w:rsidR="003B25CC">
        <w:rPr>
          <w:lang w:val="en-GB"/>
        </w:rPr>
        <w:t>Additionally, the</w:t>
      </w:r>
      <w:r w:rsidR="009D299E">
        <w:rPr>
          <w:lang w:val="en-GB"/>
        </w:rPr>
        <w:t xml:space="preserve"> </w:t>
      </w:r>
      <w:r w:rsidR="009D299E" w:rsidRPr="00D11DC0">
        <w:rPr>
          <w:rFonts w:cs="Times New Roman"/>
          <w:szCs w:val="24"/>
          <w:lang w:val="en-GB"/>
        </w:rPr>
        <w:t xml:space="preserve">primary analysis </w:t>
      </w:r>
      <w:r w:rsidR="00851284">
        <w:rPr>
          <w:rFonts w:cs="Times New Roman"/>
          <w:szCs w:val="24"/>
          <w:lang w:val="en-GB"/>
        </w:rPr>
        <w:t xml:space="preserve">cutoff </w:t>
      </w:r>
      <w:r w:rsidR="009D299E">
        <w:rPr>
          <w:rFonts w:cs="Times New Roman"/>
          <w:szCs w:val="24"/>
          <w:lang w:val="en-GB"/>
        </w:rPr>
        <w:t xml:space="preserve">occurred </w:t>
      </w:r>
      <w:r w:rsidR="00851284">
        <w:rPr>
          <w:rFonts w:cs="Times New Roman"/>
          <w:szCs w:val="24"/>
          <w:lang w:val="en-GB"/>
        </w:rPr>
        <w:t xml:space="preserve">prior to the </w:t>
      </w:r>
      <w:r w:rsidR="002E7DFF">
        <w:rPr>
          <w:rFonts w:cs="Times New Roman"/>
          <w:szCs w:val="24"/>
          <w:lang w:val="en-GB"/>
        </w:rPr>
        <w:t>global dominance of</w:t>
      </w:r>
      <w:r w:rsidR="003F02D8">
        <w:rPr>
          <w:rFonts w:cs="Times New Roman"/>
          <w:szCs w:val="24"/>
          <w:lang w:val="en-GB"/>
        </w:rPr>
        <w:t xml:space="preserve"> Delta and Omicron</w:t>
      </w:r>
      <w:r w:rsidR="00AF7007">
        <w:rPr>
          <w:rFonts w:cs="Times New Roman"/>
          <w:szCs w:val="24"/>
          <w:lang w:val="en-GB"/>
        </w:rPr>
        <w:t xml:space="preserve">, and insufficient cases accrued to evaluate </w:t>
      </w:r>
      <w:r w:rsidR="002A11F1">
        <w:rPr>
          <w:rFonts w:cs="Times New Roman"/>
          <w:szCs w:val="24"/>
          <w:lang w:val="en-GB"/>
        </w:rPr>
        <w:t>efficacy against these variants</w:t>
      </w:r>
      <w:r w:rsidR="009D299E" w:rsidRPr="00D11DC0">
        <w:rPr>
          <w:rFonts w:cs="Times New Roman"/>
          <w:szCs w:val="24"/>
          <w:lang w:val="en-GB"/>
        </w:rPr>
        <w:t>.</w:t>
      </w:r>
      <w:r w:rsidR="00E81FF1">
        <w:rPr>
          <w:rFonts w:cs="Times New Roman"/>
          <w:szCs w:val="24"/>
          <w:lang w:val="en-GB"/>
        </w:rPr>
        <w:t xml:space="preserve"> </w:t>
      </w:r>
      <w:r w:rsidR="00451464">
        <w:rPr>
          <w:rFonts w:cs="Times New Roman"/>
          <w:szCs w:val="24"/>
          <w:lang w:val="en-GB"/>
        </w:rPr>
        <w:t>Finally, t</w:t>
      </w:r>
      <w:r w:rsidR="00E81FF1">
        <w:rPr>
          <w:rFonts w:cs="Times New Roman"/>
          <w:szCs w:val="24"/>
          <w:lang w:val="en-GB"/>
        </w:rPr>
        <w:t xml:space="preserve">he sample size of the immunogenicity </w:t>
      </w:r>
      <w:r w:rsidR="00451464">
        <w:rPr>
          <w:rFonts w:cs="Times New Roman"/>
          <w:szCs w:val="24"/>
          <w:lang w:val="en-GB"/>
        </w:rPr>
        <w:t xml:space="preserve">subset was smaller than </w:t>
      </w:r>
      <w:r w:rsidR="007B300D">
        <w:rPr>
          <w:rFonts w:cs="Times New Roman"/>
          <w:szCs w:val="24"/>
          <w:lang w:val="en-GB"/>
        </w:rPr>
        <w:t>planned</w:t>
      </w:r>
      <w:r w:rsidR="001708FF">
        <w:rPr>
          <w:rFonts w:cs="Times New Roman"/>
          <w:szCs w:val="24"/>
          <w:lang w:val="en-GB"/>
        </w:rPr>
        <w:t xml:space="preserve"> </w:t>
      </w:r>
      <w:r w:rsidR="00760375">
        <w:rPr>
          <w:rFonts w:cs="Times New Roman"/>
          <w:szCs w:val="24"/>
          <w:lang w:val="en-GB"/>
        </w:rPr>
        <w:t xml:space="preserve">(157 </w:t>
      </w:r>
      <w:r w:rsidR="00A15AFE">
        <w:rPr>
          <w:rFonts w:cs="Times New Roman"/>
          <w:szCs w:val="24"/>
          <w:lang w:val="en-GB"/>
        </w:rPr>
        <w:t xml:space="preserve">participants vs 400 planned) </w:t>
      </w:r>
      <w:r w:rsidR="001708FF">
        <w:rPr>
          <w:rFonts w:cs="Times New Roman"/>
          <w:szCs w:val="24"/>
          <w:lang w:val="en-GB"/>
        </w:rPr>
        <w:t>due to delays in t</w:t>
      </w:r>
      <w:r w:rsidR="005E4B08">
        <w:rPr>
          <w:rFonts w:cs="Times New Roman"/>
          <w:szCs w:val="24"/>
          <w:lang w:val="en-GB"/>
        </w:rPr>
        <w:t>imely</w:t>
      </w:r>
      <w:r w:rsidR="001708FF">
        <w:rPr>
          <w:rFonts w:cs="Times New Roman"/>
          <w:szCs w:val="24"/>
          <w:lang w:val="en-GB"/>
        </w:rPr>
        <w:t xml:space="preserve"> reconciliation of serum samples </w:t>
      </w:r>
      <w:r w:rsidR="001708FF" w:rsidRPr="003C2B7B">
        <w:rPr>
          <w:rFonts w:cs="Times New Roman"/>
          <w:szCs w:val="24"/>
          <w:lang w:val="en-GB"/>
        </w:rPr>
        <w:t>collected.</w:t>
      </w:r>
      <w:r w:rsidR="005E4B08" w:rsidRPr="003C2B7B">
        <w:rPr>
          <w:rFonts w:cs="Times New Roman"/>
          <w:szCs w:val="24"/>
          <w:lang w:val="en-GB"/>
        </w:rPr>
        <w:t xml:space="preserve"> </w:t>
      </w:r>
      <w:r w:rsidR="005E4B08" w:rsidRPr="003C2B7B">
        <w:rPr>
          <w:rFonts w:cs="Times New Roman"/>
          <w:lang w:val="en-GB"/>
        </w:rPr>
        <w:t>However, this sample size is sufficient to understand the magnitude of the binding antibody responses</w:t>
      </w:r>
      <w:r w:rsidR="005E4B08" w:rsidRPr="003C2B7B">
        <w:t xml:space="preserve"> </w:t>
      </w:r>
      <w:r w:rsidR="005E4B08" w:rsidRPr="003C2B7B">
        <w:rPr>
          <w:rFonts w:cs="Times New Roman"/>
          <w:lang w:val="en-GB"/>
        </w:rPr>
        <w:t>elicited by Ad26.COV2.S as a booster dose given 2 months after the first dose.</w:t>
      </w:r>
    </w:p>
    <w:p w14:paraId="3107EE91" w14:textId="77777777" w:rsidR="00C97D09" w:rsidRPr="00D11DC0" w:rsidRDefault="00C97D09">
      <w:pPr>
        <w:rPr>
          <w:lang w:val="en-GB"/>
        </w:rPr>
      </w:pPr>
      <w:r w:rsidRPr="00D11DC0">
        <w:rPr>
          <w:lang w:val="en-GB"/>
        </w:rPr>
        <w:t xml:space="preserve">A single dose of Ad26.COV2.S is efficacious against symptomatic </w:t>
      </w:r>
      <w:r>
        <w:rPr>
          <w:lang w:val="en-GB"/>
        </w:rPr>
        <w:t>COVID</w:t>
      </w:r>
      <w:r w:rsidRPr="00D11DC0">
        <w:rPr>
          <w:lang w:val="en-GB"/>
        </w:rPr>
        <w:t xml:space="preserve">-19, and a booster administered 2 months later substantially increased vaccine efficacy, including against symptomatic and </w:t>
      </w:r>
      <w:r w:rsidRPr="00D11DC0">
        <w:rPr>
          <w:rFonts w:cs="Times New Roman"/>
          <w:color w:val="000000"/>
          <w:lang w:val="en-GB" w:eastAsia="nl-BE"/>
        </w:rPr>
        <w:t xml:space="preserve">severe–critical </w:t>
      </w:r>
      <w:r>
        <w:rPr>
          <w:rFonts w:cs="Times New Roman"/>
          <w:color w:val="000000"/>
          <w:lang w:val="en-GB" w:eastAsia="nl-BE"/>
        </w:rPr>
        <w:t>COVID</w:t>
      </w:r>
      <w:r w:rsidRPr="00D11DC0">
        <w:rPr>
          <w:rFonts w:cs="Times New Roman"/>
          <w:color w:val="000000"/>
          <w:lang w:val="en-GB" w:eastAsia="nl-BE"/>
        </w:rPr>
        <w:t xml:space="preserve">-19. A booster dose of </w:t>
      </w:r>
      <w:r w:rsidRPr="00D11DC0">
        <w:rPr>
          <w:lang w:val="en-GB"/>
        </w:rPr>
        <w:t>Ad26.COV2.S has received authorisation in several countries, including from the FDA and EMA in October and December 2021, respectively.</w:t>
      </w:r>
      <w:r w:rsidRPr="00D11DC0">
        <w:rPr>
          <w:lang w:val="en-GB"/>
        </w:rPr>
        <w:br w:type="page"/>
      </w:r>
    </w:p>
    <w:p w14:paraId="18580F50" w14:textId="77777777" w:rsidR="00C97D09" w:rsidRPr="00D11DC0" w:rsidRDefault="00C97D09" w:rsidP="00116504">
      <w:pPr>
        <w:pStyle w:val="Heading1"/>
        <w:rPr>
          <w:lang w:val="en-GB"/>
        </w:rPr>
      </w:pPr>
      <w:r w:rsidRPr="00D11DC0">
        <w:rPr>
          <w:lang w:val="en-GB"/>
        </w:rPr>
        <w:lastRenderedPageBreak/>
        <w:t>DISCLOSURES</w:t>
      </w:r>
    </w:p>
    <w:p w14:paraId="0550335A" w14:textId="77777777" w:rsidR="00C97D09" w:rsidRPr="00D11DC0" w:rsidRDefault="00C97D09" w:rsidP="00F1594F">
      <w:pPr>
        <w:rPr>
          <w:rFonts w:cs="Times New Roman"/>
          <w:szCs w:val="24"/>
          <w:lang w:val="en-GB"/>
        </w:rPr>
      </w:pPr>
      <w:r w:rsidRPr="00D11DC0">
        <w:rPr>
          <w:rFonts w:cs="Times New Roman"/>
          <w:szCs w:val="24"/>
          <w:lang w:val="en-GB"/>
        </w:rPr>
        <w:t xml:space="preserve">KH, AV, JS, MLG, JV, TK, GS, HS, JVH, MD, and FS are employees of Johnson &amp; Johnson and hold Johnson &amp; Johnson stock/stock options. FS is a former employee of GSK and holds shares from the GSK group of companies as part of past employee remuneration. CT and IVD are employees of Johnson &amp; Johnson. </w:t>
      </w:r>
      <w:r>
        <w:rPr>
          <w:rFonts w:cs="Times New Roman"/>
          <w:szCs w:val="24"/>
          <w:lang w:val="en-GB"/>
        </w:rPr>
        <w:t xml:space="preserve">DL is an employee of Johnson &amp; Johnson and Cytel Inc. </w:t>
      </w:r>
      <w:r w:rsidRPr="00D11DC0">
        <w:rPr>
          <w:rFonts w:cs="Times New Roman"/>
          <w:szCs w:val="24"/>
          <w:lang w:val="en-GB"/>
        </w:rPr>
        <w:t>JRG is an employee of Johnson &amp; Johnson and holds Johnson &amp; Johnson stock/stock options; he is a former employee of GSK, holds GSK stock/stock options, and has received funding grants from GSK Vaccines. CS has received funding grants for research from Janssen-Cilag, AbbVie, Apeiron, B.Braun, Cepheid, Eli Lilly, GSK, Corat Therapeutics, Gilead, MSD, Roche, and ViiV Healthcare; received consulting fees from AbbVie, Cepheid, Formycon, Gilead, GSK, Molecular partners, MSD, Swedish Orphan Biovitrium, Roche, and ViiV Healthcare; received honoraria from AbbVie, Cepheid, Formycon, Gilead, GSK, Molecular partners, MSD, Swedish Orphan Biovitrium, Roche, and ViiV Healthcare; received travel support from AbbVie, Cepheid, Formycon, Gilead, GSK, Molecular partners, MSD, Swedish Orphan Biovitrium, Roche, and ViiV Healthcare. SF has received research grants to his institution from Janssen/Johnson &amp; Johnson, Pfizer, Sanofi, GSK, Merck, AstraZeneca, and Valneva (no personal fees); consulting fees from Janssen/Johnson &amp; Johnson and GSK CureVac; fees to his institution for participation on a data safety monitoring board or advisory board from AstraZeneca, Medimmune, Sanofi, Pfizer, Seqirus, Sandoz, Merck, and Janssen/Johnson &amp; Johnson; and was chair of two UK NICE sessions (expenses paid per NICE financial regulations).</w:t>
      </w:r>
    </w:p>
    <w:p w14:paraId="70CEBB84" w14:textId="77777777" w:rsidR="00C97D09" w:rsidRPr="00D11DC0" w:rsidRDefault="00C97D09" w:rsidP="00F1594F">
      <w:pPr>
        <w:rPr>
          <w:rFonts w:cs="Times New Roman"/>
          <w:szCs w:val="24"/>
          <w:lang w:val="en-GB"/>
        </w:rPr>
      </w:pPr>
    </w:p>
    <w:p w14:paraId="45FC9D28" w14:textId="77777777" w:rsidR="00C97D09" w:rsidRPr="00D11DC0" w:rsidRDefault="00C97D09" w:rsidP="003B05D5">
      <w:pPr>
        <w:keepNext/>
        <w:spacing w:after="0"/>
        <w:outlineLvl w:val="0"/>
        <w:rPr>
          <w:b/>
          <w:bCs/>
          <w:i/>
          <w:iCs/>
          <w:lang w:val="en-GB"/>
        </w:rPr>
      </w:pPr>
      <w:r w:rsidRPr="00D11DC0">
        <w:rPr>
          <w:b/>
          <w:bCs/>
          <w:lang w:val="en-GB"/>
        </w:rPr>
        <w:lastRenderedPageBreak/>
        <w:t xml:space="preserve">AUTHOR CONTRIBUTIONS </w:t>
      </w:r>
    </w:p>
    <w:p w14:paraId="0725D815" w14:textId="6BFAF9DA" w:rsidR="00C97D09" w:rsidRPr="00D11DC0" w:rsidRDefault="00BA40E2" w:rsidP="00137AF2">
      <w:pPr>
        <w:spacing w:after="0"/>
        <w:rPr>
          <w:lang w:val="en-GB"/>
        </w:rPr>
      </w:pPr>
      <w:r w:rsidRPr="00D11DC0" w:rsidDel="00D919DD">
        <w:rPr>
          <w:rFonts w:cs="Times New Roman"/>
          <w:szCs w:val="24"/>
          <w:lang w:val="en-GB"/>
        </w:rPr>
        <w:t>Trial investigators collected data and contributed to interpretation.</w:t>
      </w:r>
      <w:r w:rsidRPr="00D11DC0">
        <w:rPr>
          <w:rFonts w:cs="Times New Roman"/>
          <w:szCs w:val="24"/>
          <w:lang w:val="en-GB"/>
        </w:rPr>
        <w:t xml:space="preserve"> All data were available to the authors, who vouch for data accuracy, completeness, and adherence to the study protocol. </w:t>
      </w:r>
      <w:r w:rsidR="00C97D09" w:rsidRPr="00D11DC0">
        <w:rPr>
          <w:lang w:val="en-GB"/>
        </w:rPr>
        <w:t>KH, JS, GS, SNF, CDS, HS, JVH, MD, and FS contributed to the study conceptualization. KH, AV, CT, DL, and IVD contributed to data curation. AV, MLG, CT, DL, IVD, JV, TK, JR-G and HS contributed to formal analysis. SNF and CDS collected data as study investigators. KH, AV, JS, HS, MD, and FS contributed to methodology. KH facilitated project administration. KH and JVH provided supervision. KH, AV, JS, MD, and FS contributed to writing the original draft. AV, CT, DL, IVD, and CDS accessed and verified the data. All authors contributed to writing (review and editing) and approve the final manuscript for submission.</w:t>
      </w:r>
    </w:p>
    <w:p w14:paraId="51DF5B38" w14:textId="77777777" w:rsidR="00C97D09" w:rsidRPr="00D11DC0" w:rsidRDefault="00C97D09" w:rsidP="00137AF2">
      <w:pPr>
        <w:spacing w:after="0"/>
        <w:rPr>
          <w:lang w:val="en-GB"/>
        </w:rPr>
      </w:pPr>
    </w:p>
    <w:p w14:paraId="00BB5907" w14:textId="77777777" w:rsidR="00C97D09" w:rsidRPr="00D11DC0" w:rsidRDefault="00C97D09" w:rsidP="00E955F9">
      <w:pPr>
        <w:pStyle w:val="Heading1"/>
        <w:rPr>
          <w:lang w:val="en-GB"/>
        </w:rPr>
      </w:pPr>
      <w:r w:rsidRPr="00D11DC0">
        <w:rPr>
          <w:lang w:val="en-GB"/>
        </w:rPr>
        <w:t>ACKNOWLEDGMENTS</w:t>
      </w:r>
    </w:p>
    <w:p w14:paraId="2E530150" w14:textId="4CCD2A1E" w:rsidR="00C97D09" w:rsidRPr="00D11DC0" w:rsidRDefault="00C97D09" w:rsidP="00E955F9">
      <w:pPr>
        <w:rPr>
          <w:rFonts w:cs="Times New Roman"/>
          <w:szCs w:val="24"/>
          <w:lang w:val="en-GB"/>
        </w:rPr>
      </w:pPr>
      <w:bookmarkStart w:id="45" w:name="_Hlk107416279"/>
      <w:r w:rsidRPr="00D11DC0">
        <w:rPr>
          <w:lang w:val="en-GB"/>
        </w:rPr>
        <w:t xml:space="preserve">This work was </w:t>
      </w:r>
      <w:r w:rsidR="007D4E61">
        <w:rPr>
          <w:lang w:val="en-GB"/>
        </w:rPr>
        <w:t>funded</w:t>
      </w:r>
      <w:r w:rsidR="007D4E61" w:rsidRPr="00D11DC0">
        <w:rPr>
          <w:lang w:val="en-GB"/>
        </w:rPr>
        <w:t xml:space="preserve"> </w:t>
      </w:r>
      <w:r w:rsidRPr="00D11DC0">
        <w:rPr>
          <w:lang w:val="en-GB"/>
        </w:rPr>
        <w:t xml:space="preserve">by Janssen Vaccines &amp; Prevention BV with </w:t>
      </w:r>
      <w:r w:rsidR="007D4E61">
        <w:rPr>
          <w:lang w:val="en-GB"/>
        </w:rPr>
        <w:t xml:space="preserve">support from </w:t>
      </w:r>
      <w:r w:rsidRPr="00D11DC0">
        <w:rPr>
          <w:lang w:val="en-GB"/>
        </w:rPr>
        <w:t>the Biomedical Advanced Research and Development Authority</w:t>
      </w:r>
      <w:r w:rsidR="00BC2EFF">
        <w:rPr>
          <w:lang w:val="en-GB"/>
        </w:rPr>
        <w:t xml:space="preserve"> (provision of vaccination supplies</w:t>
      </w:r>
      <w:r w:rsidR="007D4E61">
        <w:rPr>
          <w:lang w:val="en-GB"/>
        </w:rPr>
        <w:t xml:space="preserve"> under </w:t>
      </w:r>
      <w:r w:rsidR="007D4E61">
        <w:rPr>
          <w:rFonts w:cs="Times New Roman"/>
          <w:lang w:val="en-GB"/>
        </w:rPr>
        <w:t>Other Transaction Agreement HHSO100201700018C</w:t>
      </w:r>
      <w:r w:rsidR="00BC2EFF">
        <w:rPr>
          <w:lang w:val="en-GB"/>
        </w:rPr>
        <w:t>)</w:t>
      </w:r>
      <w:r w:rsidRPr="00D11DC0">
        <w:rPr>
          <w:lang w:val="en-GB"/>
        </w:rPr>
        <w:t>, the Department of Defense, the National Institutes of Health, and the COVID-19 Prevention Network</w:t>
      </w:r>
      <w:bookmarkEnd w:id="45"/>
      <w:r w:rsidRPr="00D11DC0">
        <w:rPr>
          <w:lang w:val="en-GB"/>
        </w:rPr>
        <w:t xml:space="preserve">. </w:t>
      </w:r>
      <w:r w:rsidRPr="00D11DC0">
        <w:rPr>
          <w:rFonts w:cs="Times New Roman"/>
          <w:szCs w:val="24"/>
          <w:lang w:val="en-GB"/>
        </w:rPr>
        <w:t>We thank the individuals who volunteered to participate in this trial, the staff members at the trial locations, the Data Safety Monitoring Board, all investigators at the clinical sites, members of the Clinical Severity Adjudication Committee (</w:t>
      </w:r>
      <w:r w:rsidRPr="00D11DC0">
        <w:rPr>
          <w:lang w:val="en-GB"/>
        </w:rPr>
        <w:t>Brian T. Garibaldi, MD, MEHP; Timothy E. Albertson, MD, MPH, PhD; Christian Sandrock, MD, MPH; Janet S. Lee, M.D.; Mark R. Looney, MD; Victor F Tapson, MD; Charles Shey Wiysonge, MD, MPhil, PhD</w:t>
      </w:r>
      <w:r w:rsidRPr="00D11DC0">
        <w:rPr>
          <w:rFonts w:cs="Times New Roman"/>
          <w:szCs w:val="24"/>
          <w:lang w:val="en-GB"/>
        </w:rPr>
        <w:t xml:space="preserve">), and the COV3009 (ENSEMBLE2) study team (Luis Humberto Anaya Velarde, </w:t>
      </w:r>
      <w:r w:rsidRPr="00D11DC0">
        <w:rPr>
          <w:rFonts w:eastAsia="Times New Roman" w:cs="Times New Roman"/>
          <w:szCs w:val="24"/>
          <w:lang w:val="en-GB"/>
        </w:rPr>
        <w:t xml:space="preserve">Daniel Backenroth, </w:t>
      </w:r>
      <w:r w:rsidRPr="00D11DC0">
        <w:rPr>
          <w:lang w:val="en-GB"/>
        </w:rPr>
        <w:t>Jisha Bhushanan,</w:t>
      </w:r>
      <w:r w:rsidRPr="00D11DC0" w:rsidDel="00D575DC">
        <w:rPr>
          <w:lang w:val="en-GB"/>
        </w:rPr>
        <w:t xml:space="preserve"> </w:t>
      </w:r>
      <w:r w:rsidRPr="00D11DC0">
        <w:rPr>
          <w:lang w:val="en-GB"/>
        </w:rPr>
        <w:t>Börries Brandenburg,</w:t>
      </w:r>
      <w:r w:rsidRPr="00D11DC0">
        <w:rPr>
          <w:rFonts w:eastAsia="Times New Roman" w:cs="Times New Roman"/>
          <w:szCs w:val="24"/>
          <w:lang w:val="en-GB"/>
        </w:rPr>
        <w:t xml:space="preserve"> Vicky Cárdenas, Bohang Chen, Fei Chen. Polan Chetty,</w:t>
      </w:r>
      <w:r w:rsidRPr="00D11DC0" w:rsidDel="00D575DC">
        <w:rPr>
          <w:lang w:val="en-GB"/>
        </w:rPr>
        <w:t xml:space="preserve"> </w:t>
      </w:r>
      <w:r w:rsidRPr="00D11DC0">
        <w:rPr>
          <w:rFonts w:eastAsia="Times New Roman" w:cs="Times New Roman"/>
          <w:szCs w:val="24"/>
          <w:lang w:val="en-GB"/>
        </w:rPr>
        <w:t xml:space="preserve">Pei-Ling Chu, Kimberly </w:t>
      </w:r>
      <w:r w:rsidRPr="00D11DC0">
        <w:rPr>
          <w:rFonts w:eastAsia="Times New Roman" w:cs="Times New Roman"/>
          <w:szCs w:val="24"/>
          <w:lang w:val="en-GB"/>
        </w:rPr>
        <w:lastRenderedPageBreak/>
        <w:t xml:space="preserve">Cooper, Jerome Custers, Hilde Delanghe, </w:t>
      </w:r>
      <w:r w:rsidRPr="00D11DC0">
        <w:rPr>
          <w:lang w:val="en-GB"/>
        </w:rPr>
        <w:t>Anna Duca,</w:t>
      </w:r>
      <w:r w:rsidRPr="00D11DC0" w:rsidDel="00D575DC">
        <w:rPr>
          <w:lang w:val="en-GB"/>
        </w:rPr>
        <w:t xml:space="preserve"> </w:t>
      </w:r>
      <w:r w:rsidRPr="00D11DC0">
        <w:rPr>
          <w:lang w:val="en-GB"/>
        </w:rPr>
        <w:t>Tracy Henrick,</w:t>
      </w:r>
      <w:r w:rsidRPr="00D11DC0" w:rsidDel="00D575DC">
        <w:rPr>
          <w:lang w:val="en-GB"/>
        </w:rPr>
        <w:t xml:space="preserve"> </w:t>
      </w:r>
      <w:r w:rsidRPr="00D11DC0">
        <w:rPr>
          <w:lang w:val="en-GB"/>
        </w:rPr>
        <w:t>Jarek Juraszek,</w:t>
      </w:r>
      <w:r w:rsidRPr="00D11DC0">
        <w:rPr>
          <w:rFonts w:eastAsia="Times New Roman" w:cs="Times New Roman"/>
          <w:szCs w:val="24"/>
          <w:lang w:val="en-GB"/>
        </w:rPr>
        <w:t xml:space="preserve"> Catherine Nalpas,</w:t>
      </w:r>
      <w:r w:rsidRPr="00D11DC0" w:rsidDel="00D575DC">
        <w:rPr>
          <w:lang w:val="en-GB"/>
        </w:rPr>
        <w:t xml:space="preserve"> </w:t>
      </w:r>
      <w:r w:rsidRPr="00D11DC0">
        <w:rPr>
          <w:rFonts w:eastAsia="Times New Roman" w:cs="Times New Roman"/>
          <w:szCs w:val="24"/>
          <w:lang w:val="en-GB"/>
        </w:rPr>
        <w:t>Monika Peeters,</w:t>
      </w:r>
      <w:r w:rsidRPr="00D11DC0" w:rsidDel="00D575DC">
        <w:rPr>
          <w:lang w:val="en-GB"/>
        </w:rPr>
        <w:t xml:space="preserve"> </w:t>
      </w:r>
      <w:r w:rsidRPr="00D11DC0">
        <w:rPr>
          <w:rFonts w:eastAsia="Times New Roman" w:cs="Times New Roman"/>
          <w:szCs w:val="24"/>
          <w:lang w:val="en-GB"/>
        </w:rPr>
        <w:t>Jose Pinheiro,</w:t>
      </w:r>
      <w:r w:rsidRPr="00D11DC0" w:rsidDel="00D575DC">
        <w:rPr>
          <w:lang w:val="en-GB"/>
        </w:rPr>
        <w:t xml:space="preserve"> </w:t>
      </w:r>
      <w:r w:rsidRPr="00D11DC0">
        <w:rPr>
          <w:rFonts w:eastAsia="Times New Roman" w:cs="Times New Roman"/>
          <w:szCs w:val="24"/>
          <w:lang w:val="en-GB"/>
        </w:rPr>
        <w:t>Sanne Roels, Martin F. Ryser, Jose Salas,</w:t>
      </w:r>
      <w:r w:rsidRPr="00D11DC0" w:rsidDel="00D575DC">
        <w:rPr>
          <w:lang w:val="en-GB"/>
        </w:rPr>
        <w:t xml:space="preserve"> </w:t>
      </w:r>
      <w:r w:rsidRPr="00D11DC0">
        <w:rPr>
          <w:lang w:val="en-GB"/>
        </w:rPr>
        <w:t xml:space="preserve">Samantha Santoro Matias, </w:t>
      </w:r>
      <w:r w:rsidRPr="00D11DC0">
        <w:rPr>
          <w:rFonts w:eastAsia="Times New Roman" w:cs="Times New Roman"/>
          <w:szCs w:val="24"/>
          <w:lang w:val="en-GB"/>
        </w:rPr>
        <w:t>Ilse Scheys,</w:t>
      </w:r>
      <w:r w:rsidRPr="00D11DC0" w:rsidDel="00D575DC">
        <w:rPr>
          <w:lang w:val="en-GB"/>
        </w:rPr>
        <w:t xml:space="preserve"> </w:t>
      </w:r>
      <w:r w:rsidRPr="00D11DC0">
        <w:rPr>
          <w:rFonts w:eastAsia="Times New Roman" w:cs="Times New Roman"/>
          <w:szCs w:val="24"/>
          <w:lang w:val="en-GB"/>
        </w:rPr>
        <w:t>Pallavi Shetty,</w:t>
      </w:r>
      <w:r w:rsidRPr="00D11DC0" w:rsidDel="00D575DC">
        <w:rPr>
          <w:lang w:val="en-GB"/>
        </w:rPr>
        <w:t xml:space="preserve"> </w:t>
      </w:r>
      <w:r w:rsidRPr="00D11DC0">
        <w:rPr>
          <w:rFonts w:eastAsia="Times New Roman" w:cs="Times New Roman"/>
          <w:szCs w:val="24"/>
          <w:lang w:val="en-GB"/>
        </w:rPr>
        <w:t>Georgi Shukarev,</w:t>
      </w:r>
      <w:r w:rsidRPr="00D11DC0" w:rsidDel="00D575DC">
        <w:rPr>
          <w:lang w:val="en-GB"/>
        </w:rPr>
        <w:t xml:space="preserve"> </w:t>
      </w:r>
      <w:r w:rsidRPr="00D11DC0">
        <w:rPr>
          <w:lang w:val="en-GB"/>
        </w:rPr>
        <w:t>Jeffrey Stoddard,</w:t>
      </w:r>
      <w:r w:rsidRPr="00D11DC0">
        <w:rPr>
          <w:rFonts w:eastAsia="Times New Roman" w:cs="Times New Roman"/>
          <w:szCs w:val="24"/>
          <w:lang w:val="en-GB"/>
        </w:rPr>
        <w:t xml:space="preserve"> Willem Talloen,</w:t>
      </w:r>
      <w:r w:rsidRPr="00D11DC0" w:rsidDel="00D575DC">
        <w:rPr>
          <w:lang w:val="en-GB"/>
        </w:rPr>
        <w:t xml:space="preserve"> </w:t>
      </w:r>
      <w:r w:rsidRPr="00D11DC0">
        <w:rPr>
          <w:rFonts w:eastAsia="Times New Roman" w:cs="Times New Roman"/>
          <w:szCs w:val="24"/>
          <w:lang w:val="en-GB"/>
        </w:rPr>
        <w:t>NamPhuong Tran,</w:t>
      </w:r>
      <w:r w:rsidRPr="00D11DC0" w:rsidDel="00D575DC">
        <w:rPr>
          <w:lang w:val="en-GB"/>
        </w:rPr>
        <w:t xml:space="preserve"> </w:t>
      </w:r>
      <w:r w:rsidRPr="00D11DC0">
        <w:rPr>
          <w:rFonts w:eastAsia="Times New Roman" w:cs="Times New Roman"/>
          <w:szCs w:val="24"/>
          <w:lang w:val="en-GB"/>
        </w:rPr>
        <w:t>Nathalie Vaissiere,</w:t>
      </w:r>
      <w:r w:rsidRPr="00D11DC0" w:rsidDel="00D575DC">
        <w:rPr>
          <w:lang w:val="en-GB"/>
        </w:rPr>
        <w:t xml:space="preserve"> </w:t>
      </w:r>
      <w:r w:rsidRPr="00D11DC0">
        <w:rPr>
          <w:lang w:val="en-GB"/>
        </w:rPr>
        <w:t>Elisabeth van Son-Palmen,</w:t>
      </w:r>
      <w:r w:rsidRPr="00D11DC0" w:rsidDel="00D575DC">
        <w:rPr>
          <w:lang w:val="en-GB"/>
        </w:rPr>
        <w:t xml:space="preserve"> </w:t>
      </w:r>
      <w:r w:rsidRPr="00D11DC0">
        <w:rPr>
          <w:rFonts w:eastAsia="Times New Roman" w:cs="Times New Roman"/>
          <w:szCs w:val="24"/>
          <w:lang w:val="en-GB"/>
        </w:rPr>
        <w:t>Jiajun Xu,</w:t>
      </w:r>
      <w:r w:rsidRPr="00D11DC0" w:rsidDel="00D575DC">
        <w:rPr>
          <w:lang w:val="en-GB"/>
        </w:rPr>
        <w:t xml:space="preserve"> </w:t>
      </w:r>
      <w:r w:rsidRPr="00D11DC0">
        <w:rPr>
          <w:rFonts w:eastAsia="Times New Roman" w:cs="Times New Roman"/>
          <w:szCs w:val="24"/>
          <w:lang w:val="en-GB"/>
        </w:rPr>
        <w:t>Erin A. Goecker;</w:t>
      </w:r>
      <w:r w:rsidRPr="00D11DC0" w:rsidDel="00262D47">
        <w:rPr>
          <w:rFonts w:eastAsia="Times New Roman" w:cs="Times New Roman"/>
          <w:szCs w:val="24"/>
          <w:lang w:val="en-GB"/>
        </w:rPr>
        <w:t xml:space="preserve"> </w:t>
      </w:r>
      <w:r w:rsidRPr="00D11DC0">
        <w:rPr>
          <w:rFonts w:eastAsia="Times New Roman" w:cs="Times New Roman"/>
          <w:szCs w:val="24"/>
          <w:lang w:val="en-GB"/>
        </w:rPr>
        <w:t>Alexander L. Greninger,</w:t>
      </w:r>
      <w:r w:rsidRPr="00D11DC0" w:rsidDel="00D575DC">
        <w:rPr>
          <w:lang w:val="en-GB"/>
        </w:rPr>
        <w:t xml:space="preserve"> </w:t>
      </w:r>
      <w:r w:rsidRPr="00D11DC0">
        <w:rPr>
          <w:rFonts w:eastAsia="Times New Roman" w:cs="Times New Roman"/>
          <w:szCs w:val="24"/>
          <w:lang w:val="en-GB"/>
        </w:rPr>
        <w:t>Keith R. Jerome, Pavitra Roychoudhury, and Simbarashe G. Takuva</w:t>
      </w:r>
      <w:r w:rsidRPr="00D11DC0">
        <w:rPr>
          <w:lang w:val="en-GB"/>
        </w:rPr>
        <w:t xml:space="preserve">). </w:t>
      </w:r>
      <w:r w:rsidRPr="00D11DC0">
        <w:rPr>
          <w:rFonts w:cs="Times New Roman"/>
          <w:szCs w:val="24"/>
          <w:lang w:val="en-GB"/>
        </w:rPr>
        <w:t>We also thank Kurt Kunz, MD, MPH, and Jill E. Kolesar, Ph.D, of Cello Health Communications/MedErgy for writing and editorial assistance funded by Janssen Global Services, LLC.</w:t>
      </w:r>
    </w:p>
    <w:p w14:paraId="41663481" w14:textId="77777777" w:rsidR="00C97D09" w:rsidRPr="00D11DC0" w:rsidRDefault="00C97D09" w:rsidP="00E955F9">
      <w:pPr>
        <w:rPr>
          <w:lang w:val="en-GB"/>
        </w:rPr>
      </w:pPr>
    </w:p>
    <w:p w14:paraId="08F9010F" w14:textId="77777777" w:rsidR="00C97D09" w:rsidRPr="00D11DC0" w:rsidRDefault="00C97D09" w:rsidP="008A4A93">
      <w:pPr>
        <w:keepNext/>
        <w:outlineLvl w:val="0"/>
        <w:rPr>
          <w:rFonts w:cs="Times New Roman"/>
          <w:b/>
          <w:bCs/>
          <w:szCs w:val="24"/>
          <w:lang w:val="en-GB"/>
        </w:rPr>
      </w:pPr>
      <w:r w:rsidRPr="00D11DC0">
        <w:rPr>
          <w:rFonts w:cs="Times New Roman"/>
          <w:b/>
          <w:bCs/>
          <w:szCs w:val="24"/>
          <w:lang w:val="en-GB"/>
        </w:rPr>
        <w:t>DATA SHARING STATEMENT</w:t>
      </w:r>
    </w:p>
    <w:p w14:paraId="53AA637B" w14:textId="77777777" w:rsidR="00C97D09" w:rsidRPr="00D11DC0" w:rsidRDefault="00C97D09" w:rsidP="00760268">
      <w:pPr>
        <w:rPr>
          <w:rFonts w:cs="Times New Roman"/>
          <w:szCs w:val="24"/>
          <w:lang w:val="en-GB"/>
        </w:rPr>
      </w:pPr>
      <w:bookmarkStart w:id="46" w:name="_Hlk48301994"/>
      <w:r w:rsidRPr="00D11DC0">
        <w:rPr>
          <w:rFonts w:cs="Times New Roman"/>
          <w:szCs w:val="24"/>
          <w:lang w:val="en-GB"/>
        </w:rPr>
        <w:t xml:space="preserve">The data sharing policy of Janssen Pharmaceutical Companies of Johnson &amp; Johnson is available at </w:t>
      </w:r>
      <w:hyperlink r:id="rId10" w:history="1">
        <w:r w:rsidRPr="00D11DC0">
          <w:rPr>
            <w:rFonts w:cs="Times New Roman"/>
            <w:color w:val="0563C1" w:themeColor="hyperlink"/>
            <w:szCs w:val="24"/>
            <w:u w:val="single"/>
            <w:lang w:val="en-GB"/>
          </w:rPr>
          <w:t>https://www.janssen.com/clinical-trials/transparency</w:t>
        </w:r>
      </w:hyperlink>
      <w:r w:rsidRPr="00D11DC0">
        <w:rPr>
          <w:rFonts w:cs="Times New Roman"/>
          <w:szCs w:val="24"/>
          <w:lang w:val="en-GB"/>
        </w:rPr>
        <w:t xml:space="preserve">. As noted on this site, requests for access to the study data can be submitted through Yale Open Data Access (YODA) Project site at </w:t>
      </w:r>
      <w:hyperlink r:id="rId11" w:history="1">
        <w:r w:rsidRPr="00D11DC0">
          <w:rPr>
            <w:rFonts w:cs="Times New Roman"/>
            <w:color w:val="0563C1" w:themeColor="hyperlink"/>
            <w:szCs w:val="24"/>
            <w:u w:val="single"/>
            <w:lang w:val="en-GB"/>
          </w:rPr>
          <w:t>http://yoda.yale.edu</w:t>
        </w:r>
      </w:hyperlink>
      <w:r w:rsidRPr="00D11DC0">
        <w:rPr>
          <w:rFonts w:cs="Times New Roman"/>
          <w:szCs w:val="24"/>
          <w:lang w:val="en-GB"/>
        </w:rPr>
        <w:t>.</w:t>
      </w:r>
      <w:bookmarkEnd w:id="46"/>
    </w:p>
    <w:p w14:paraId="4AB74704" w14:textId="77777777" w:rsidR="00C97D09" w:rsidRPr="00D11DC0" w:rsidRDefault="00C97D09">
      <w:pPr>
        <w:rPr>
          <w:lang w:val="en-GB"/>
        </w:rPr>
      </w:pPr>
      <w:r w:rsidRPr="00D11DC0">
        <w:rPr>
          <w:lang w:val="en-GB"/>
        </w:rPr>
        <w:br w:type="page"/>
      </w:r>
    </w:p>
    <w:p w14:paraId="742C3C6B" w14:textId="77777777" w:rsidR="00C97D09" w:rsidRPr="00D11DC0" w:rsidRDefault="00C97D09" w:rsidP="007B586C">
      <w:pPr>
        <w:pStyle w:val="Heading1"/>
        <w:rPr>
          <w:lang w:val="en-GB"/>
        </w:rPr>
      </w:pPr>
      <w:r w:rsidRPr="00D11DC0">
        <w:rPr>
          <w:lang w:val="en-GB"/>
        </w:rPr>
        <w:lastRenderedPageBreak/>
        <w:t>REFERENCES</w:t>
      </w:r>
    </w:p>
    <w:p w14:paraId="6016B826" w14:textId="77777777" w:rsidR="00C97D09" w:rsidRPr="006E0434" w:rsidRDefault="00C97D09" w:rsidP="006E0434">
      <w:pPr>
        <w:pStyle w:val="EndNoteBibliography"/>
        <w:spacing w:after="0"/>
      </w:pPr>
      <w:r w:rsidRPr="006E0434">
        <w:t>1.</w:t>
      </w:r>
      <w:r w:rsidRPr="006E0434">
        <w:tab/>
        <w:t xml:space="preserve">Centers for Disease Control and Prevention (CDC). SARS-CoV-2 variant classifications and definitions. </w:t>
      </w:r>
      <w:r w:rsidRPr="00C97D09">
        <w:t>https://www.cdc.gov/coronavirus/2019-ncov/variants/variant-info.html</w:t>
      </w:r>
      <w:r w:rsidRPr="006E0434">
        <w:t xml:space="preserve"> (accessed 11/30/21).</w:t>
      </w:r>
    </w:p>
    <w:p w14:paraId="62A37D91" w14:textId="77777777" w:rsidR="00C97D09" w:rsidRPr="006E0434" w:rsidRDefault="00C97D09" w:rsidP="006E0434">
      <w:pPr>
        <w:pStyle w:val="EndNoteBibliography"/>
        <w:spacing w:after="0"/>
      </w:pPr>
      <w:r w:rsidRPr="006E0434">
        <w:t>2.</w:t>
      </w:r>
      <w:r w:rsidRPr="006E0434">
        <w:tab/>
        <w:t xml:space="preserve">World Health Organization (WHO). WHO Target Product Profiles for COVID-19 Vaccines 2020 </w:t>
      </w:r>
      <w:r w:rsidRPr="00C97D09">
        <w:t>https://www.who.int/publications/m/item/who-target-product-profiles-for-covid-19-vaccines</w:t>
      </w:r>
      <w:r w:rsidRPr="006E0434">
        <w:t>. (accessed 12/15/21).</w:t>
      </w:r>
    </w:p>
    <w:p w14:paraId="351515DE" w14:textId="77777777" w:rsidR="00C97D09" w:rsidRPr="006E0434" w:rsidRDefault="00C97D09" w:rsidP="006E0434">
      <w:pPr>
        <w:pStyle w:val="EndNoteBibliography"/>
        <w:spacing w:after="0"/>
      </w:pPr>
      <w:r w:rsidRPr="006E0434">
        <w:t>3.</w:t>
      </w:r>
      <w:r w:rsidRPr="006E0434">
        <w:tab/>
        <w:t xml:space="preserve">Bos R, Rutten L, van der Lubbe JEM, et al. Ad26 vector-based COVID-19 vaccine encoding a prefusion-stabilized SARS-CoV-2 Spike immunogen induces potent humoral and cellular immune responses. </w:t>
      </w:r>
      <w:r w:rsidRPr="006E0434">
        <w:rPr>
          <w:i/>
        </w:rPr>
        <w:t>NPJ Vaccines</w:t>
      </w:r>
      <w:r w:rsidRPr="006E0434">
        <w:t xml:space="preserve"> 2020; </w:t>
      </w:r>
      <w:r w:rsidRPr="006E0434">
        <w:rPr>
          <w:b/>
        </w:rPr>
        <w:t>5</w:t>
      </w:r>
      <w:r w:rsidRPr="006E0434">
        <w:t>: 91.</w:t>
      </w:r>
    </w:p>
    <w:p w14:paraId="04F4B899" w14:textId="77777777" w:rsidR="00C97D09" w:rsidRPr="006E0434" w:rsidRDefault="00C97D09" w:rsidP="006E0434">
      <w:pPr>
        <w:pStyle w:val="EndNoteBibliography"/>
        <w:spacing w:after="0"/>
      </w:pPr>
      <w:r w:rsidRPr="006E0434">
        <w:t>4.</w:t>
      </w:r>
      <w:r w:rsidRPr="006E0434">
        <w:tab/>
        <w:t xml:space="preserve">Sadoff J, Gray G, Vandebosch A, et al. Final analysis of efficacy and safety of single-dose Ad26.COV2.S. </w:t>
      </w:r>
      <w:r w:rsidRPr="006E0434">
        <w:rPr>
          <w:i/>
        </w:rPr>
        <w:t>N Engl J Med</w:t>
      </w:r>
      <w:r w:rsidRPr="006E0434">
        <w:t xml:space="preserve"> 2022; </w:t>
      </w:r>
      <w:r w:rsidRPr="006E0434">
        <w:rPr>
          <w:b/>
        </w:rPr>
        <w:t>386</w:t>
      </w:r>
      <w:r w:rsidRPr="006E0434">
        <w:t>(9): 847-60.</w:t>
      </w:r>
    </w:p>
    <w:p w14:paraId="3B5A7BFB" w14:textId="77777777" w:rsidR="00C97D09" w:rsidRPr="006E0434" w:rsidRDefault="00C97D09" w:rsidP="006E0434">
      <w:pPr>
        <w:pStyle w:val="EndNoteBibliography"/>
        <w:spacing w:after="0"/>
      </w:pPr>
      <w:r w:rsidRPr="006E0434">
        <w:t>5.</w:t>
      </w:r>
      <w:r w:rsidRPr="006E0434">
        <w:tab/>
        <w:t xml:space="preserve">Sadoff J, Le Gars M, Shukarev G, et al. Interim results of a phase 1-2a trial of Ad26.COV2.S COVID-19 vaccine. </w:t>
      </w:r>
      <w:r w:rsidRPr="006E0434">
        <w:rPr>
          <w:i/>
        </w:rPr>
        <w:t>N Engl J Med</w:t>
      </w:r>
      <w:r w:rsidRPr="006E0434">
        <w:t xml:space="preserve"> 2021; </w:t>
      </w:r>
      <w:r w:rsidRPr="006E0434">
        <w:rPr>
          <w:b/>
        </w:rPr>
        <w:t>384</w:t>
      </w:r>
      <w:r w:rsidRPr="006E0434">
        <w:t>(19): 1824-35.</w:t>
      </w:r>
    </w:p>
    <w:p w14:paraId="19532114" w14:textId="77777777" w:rsidR="00C97D09" w:rsidRPr="006E0434" w:rsidRDefault="00C97D09" w:rsidP="006E0434">
      <w:pPr>
        <w:pStyle w:val="EndNoteBibliography"/>
        <w:spacing w:after="0"/>
      </w:pPr>
      <w:r w:rsidRPr="006E0434">
        <w:t>6.</w:t>
      </w:r>
      <w:r w:rsidRPr="006E0434">
        <w:tab/>
        <w:t>Romano C, Mayorga M, Fehnel S, et al. Qualitative interviews from a cross-sectional study to support the content validity of a patient-reported outcome measure of COVID-19 signs and symptoms in adults. Presented at: The European Scientific Working Group on Influenza (ESWI) Eighth Influenza Conference; December 5, 2021; Salzburg, Austria.; 2021.</w:t>
      </w:r>
    </w:p>
    <w:p w14:paraId="2528CE64" w14:textId="77777777" w:rsidR="00C97D09" w:rsidRPr="006E0434" w:rsidRDefault="00C97D09" w:rsidP="006E0434">
      <w:pPr>
        <w:pStyle w:val="EndNoteBibliography"/>
        <w:spacing w:after="0"/>
      </w:pPr>
      <w:r w:rsidRPr="006E0434">
        <w:t>7.</w:t>
      </w:r>
      <w:r w:rsidRPr="006E0434">
        <w:tab/>
        <w:t>Natua J. Statistics in clinical vaccine trials. New York: Springer-Verlag; 2011.</w:t>
      </w:r>
    </w:p>
    <w:p w14:paraId="298288CD" w14:textId="77777777" w:rsidR="00C97D09" w:rsidRPr="006E0434" w:rsidRDefault="00C97D09" w:rsidP="006E0434">
      <w:pPr>
        <w:pStyle w:val="EndNoteBibliography"/>
        <w:spacing w:after="0"/>
      </w:pPr>
      <w:r w:rsidRPr="006E0434">
        <w:t>8.</w:t>
      </w:r>
      <w:r w:rsidRPr="006E0434">
        <w:tab/>
        <w:t xml:space="preserve">Brighton Collaboration. Interim Case Definition of Thrombosis with Thrombocytopenia Syndrome (TTS). </w:t>
      </w:r>
      <w:r w:rsidRPr="00C97D09">
        <w:t>https://brightoncollaboration.us/thrombosis-with-thrombocytopenia-syndrome-interim-case-definition/</w:t>
      </w:r>
      <w:r w:rsidRPr="006E0434">
        <w:t xml:space="preserve"> (accessed 1/4/22).</w:t>
      </w:r>
    </w:p>
    <w:p w14:paraId="0FC6FC57" w14:textId="77777777" w:rsidR="00C97D09" w:rsidRPr="006E0434" w:rsidRDefault="00C97D09" w:rsidP="006E0434">
      <w:pPr>
        <w:pStyle w:val="EndNoteBibliography"/>
        <w:spacing w:after="0"/>
      </w:pPr>
      <w:r w:rsidRPr="006E0434">
        <w:lastRenderedPageBreak/>
        <w:t>9.</w:t>
      </w:r>
      <w:r w:rsidRPr="006E0434">
        <w:tab/>
        <w:t xml:space="preserve">Sadoff J, Gray G, Vandebosch A, et al. Safety and efficacy of single-dose Ad26.COV2.S vaccine against Covid-19. </w:t>
      </w:r>
      <w:r w:rsidRPr="006E0434">
        <w:rPr>
          <w:i/>
        </w:rPr>
        <w:t>N Engl J Med</w:t>
      </w:r>
      <w:r w:rsidRPr="006E0434">
        <w:t xml:space="preserve"> 2021; </w:t>
      </w:r>
      <w:r w:rsidRPr="006E0434">
        <w:rPr>
          <w:b/>
        </w:rPr>
        <w:t>384</w:t>
      </w:r>
      <w:r w:rsidRPr="006E0434">
        <w:t>(23): 2187-201.</w:t>
      </w:r>
    </w:p>
    <w:p w14:paraId="5FCB3D3E" w14:textId="77777777" w:rsidR="00C97D09" w:rsidRPr="006E0434" w:rsidRDefault="00C97D09" w:rsidP="006E0434">
      <w:pPr>
        <w:pStyle w:val="EndNoteBibliography"/>
        <w:spacing w:after="0"/>
      </w:pPr>
      <w:r w:rsidRPr="006E0434">
        <w:t>10.</w:t>
      </w:r>
      <w:r w:rsidRPr="006E0434">
        <w:tab/>
        <w:t xml:space="preserve">Centers for Disease Control and Prevention (CDC). Variants and Genomic Surveillance for SARS-CoV-2 2021 </w:t>
      </w:r>
      <w:r w:rsidRPr="00C97D09">
        <w:t>https://www.cdc.gov/coronavirus/2019-ncov/variants/variant-surveillance.html</w:t>
      </w:r>
      <w:r w:rsidRPr="006E0434">
        <w:t>. (accessed 12/15/21).</w:t>
      </w:r>
    </w:p>
    <w:p w14:paraId="12F950BD" w14:textId="77777777" w:rsidR="00C97D09" w:rsidRPr="006E0434" w:rsidRDefault="00C97D09" w:rsidP="006E0434">
      <w:pPr>
        <w:pStyle w:val="EndNoteBibliography"/>
        <w:spacing w:after="0"/>
      </w:pPr>
      <w:r w:rsidRPr="006E0434">
        <w:t>11.</w:t>
      </w:r>
      <w:r w:rsidRPr="006E0434">
        <w:tab/>
        <w:t xml:space="preserve">Rosenberg ES, Dorabawila V, Easton D, et al. Covid-19 Vaccine Effectiveness in New York State. </w:t>
      </w:r>
      <w:r w:rsidRPr="006E0434">
        <w:rPr>
          <w:i/>
        </w:rPr>
        <w:t>N Engl J Med</w:t>
      </w:r>
      <w:r w:rsidRPr="006E0434">
        <w:t xml:space="preserve"> 2022; </w:t>
      </w:r>
      <w:r w:rsidRPr="006E0434">
        <w:rPr>
          <w:b/>
        </w:rPr>
        <w:t>386</w:t>
      </w:r>
      <w:r w:rsidRPr="006E0434">
        <w:t>: 116-27.</w:t>
      </w:r>
    </w:p>
    <w:p w14:paraId="019B14A4" w14:textId="77777777" w:rsidR="00C97D09" w:rsidRPr="006E0434" w:rsidRDefault="00C97D09" w:rsidP="006E0434">
      <w:pPr>
        <w:pStyle w:val="EndNoteBibliography"/>
        <w:spacing w:after="0"/>
      </w:pPr>
      <w:r w:rsidRPr="006E0434">
        <w:t>12.</w:t>
      </w:r>
      <w:r w:rsidRPr="006E0434">
        <w:tab/>
        <w:t xml:space="preserve">Gray G, Collie S, Goga A, et al. Effectiveness of Ad26.COV2.S and BNT162b2 vaccines against omicron variant in South Africa. </w:t>
      </w:r>
      <w:r w:rsidRPr="006E0434">
        <w:rPr>
          <w:i/>
        </w:rPr>
        <w:t>N Engl J Med</w:t>
      </w:r>
      <w:r w:rsidRPr="006E0434">
        <w:t xml:space="preserve"> 2022.</w:t>
      </w:r>
    </w:p>
    <w:p w14:paraId="357390F9" w14:textId="77777777" w:rsidR="00C97D09" w:rsidRPr="006E0434" w:rsidRDefault="00C97D09" w:rsidP="006E0434">
      <w:pPr>
        <w:pStyle w:val="EndNoteBibliography"/>
        <w:spacing w:after="0"/>
      </w:pPr>
      <w:r w:rsidRPr="006E0434">
        <w:t>13.</w:t>
      </w:r>
      <w:r w:rsidRPr="006E0434">
        <w:tab/>
        <w:t xml:space="preserve">Soh SM, Kim Y, Kim C, Jang US, Lee HR. The rapid adaptation of SARS-CoV-2-rise of the variants: transmission and resistance. </w:t>
      </w:r>
      <w:r w:rsidRPr="006E0434">
        <w:rPr>
          <w:i/>
        </w:rPr>
        <w:t>J Microbiol</w:t>
      </w:r>
      <w:r w:rsidRPr="006E0434">
        <w:t xml:space="preserve"> 2021; </w:t>
      </w:r>
      <w:r w:rsidRPr="006E0434">
        <w:rPr>
          <w:b/>
        </w:rPr>
        <w:t>59</w:t>
      </w:r>
      <w:r w:rsidRPr="006E0434">
        <w:t>(9): 807-18.</w:t>
      </w:r>
    </w:p>
    <w:p w14:paraId="2D8D7F8B" w14:textId="77777777" w:rsidR="00C97D09" w:rsidRPr="006E0434" w:rsidRDefault="00C97D09" w:rsidP="006E0434">
      <w:pPr>
        <w:pStyle w:val="EndNoteBibliography"/>
        <w:spacing w:after="0"/>
      </w:pPr>
      <w:r w:rsidRPr="006E0434">
        <w:t>14.</w:t>
      </w:r>
      <w:r w:rsidRPr="006E0434">
        <w:tab/>
        <w:t xml:space="preserve">Kaku Y, Kuwata T, Zahid HM, et al. Resistance of SARS-CoV-2 variants to neutralization by antibodies induced in convalescent patients with COVID-19. </w:t>
      </w:r>
      <w:r w:rsidRPr="006E0434">
        <w:rPr>
          <w:i/>
        </w:rPr>
        <w:t>Cell Rep</w:t>
      </w:r>
      <w:r w:rsidRPr="006E0434">
        <w:t xml:space="preserve"> 2021; </w:t>
      </w:r>
      <w:r w:rsidRPr="006E0434">
        <w:rPr>
          <w:b/>
        </w:rPr>
        <w:t>36</w:t>
      </w:r>
      <w:r w:rsidRPr="006E0434">
        <w:t>(2): 109385.</w:t>
      </w:r>
    </w:p>
    <w:p w14:paraId="2862C9B2" w14:textId="77777777" w:rsidR="00C97D09" w:rsidRPr="006E0434" w:rsidRDefault="00C97D09" w:rsidP="006E0434">
      <w:pPr>
        <w:pStyle w:val="EndNoteBibliography"/>
        <w:spacing w:after="0"/>
      </w:pPr>
      <w:r w:rsidRPr="006E0434">
        <w:t>15.</w:t>
      </w:r>
      <w:r w:rsidRPr="006E0434">
        <w:tab/>
        <w:t xml:space="preserve">Krause PR, Fleming TR, Longini IM, et al. SARS-CoV-2 Variants and Vaccines. </w:t>
      </w:r>
      <w:r w:rsidRPr="006E0434">
        <w:rPr>
          <w:i/>
        </w:rPr>
        <w:t>N Engl J Med</w:t>
      </w:r>
      <w:r w:rsidRPr="006E0434">
        <w:t xml:space="preserve"> 2021; </w:t>
      </w:r>
      <w:r w:rsidRPr="006E0434">
        <w:rPr>
          <w:b/>
        </w:rPr>
        <w:t>385</w:t>
      </w:r>
      <w:r w:rsidRPr="006E0434">
        <w:t>(2): 179-86.</w:t>
      </w:r>
    </w:p>
    <w:p w14:paraId="70E06F1A" w14:textId="77777777" w:rsidR="00C97D09" w:rsidRPr="006E0434" w:rsidRDefault="00C97D09" w:rsidP="006E0434">
      <w:pPr>
        <w:pStyle w:val="EndNoteBibliography"/>
        <w:spacing w:after="0"/>
      </w:pPr>
      <w:r w:rsidRPr="006E0434">
        <w:t>16.</w:t>
      </w:r>
      <w:r w:rsidRPr="006E0434">
        <w:tab/>
        <w:t xml:space="preserve">Grannis SJ, Rowley EA, Ong TC, et al. Interim estimates of COVID-19 vaccine effectiveness against COVID-19–associated emergency department or urgent care clinic encounters and hospitalizations among adults during SARS-CoV-2 B.1.617.2 (Delta) variant predominance — nine states, June–August 2021. </w:t>
      </w:r>
      <w:r w:rsidRPr="006E0434">
        <w:rPr>
          <w:i/>
        </w:rPr>
        <w:t>MMWR Morb Mortal Wkly Rep</w:t>
      </w:r>
      <w:r w:rsidRPr="006E0434">
        <w:t xml:space="preserve"> 2021; </w:t>
      </w:r>
      <w:r w:rsidRPr="006E0434">
        <w:rPr>
          <w:b/>
        </w:rPr>
        <w:t>70</w:t>
      </w:r>
      <w:r w:rsidRPr="006E0434">
        <w:t>: 1291–3.</w:t>
      </w:r>
    </w:p>
    <w:p w14:paraId="6D13368C" w14:textId="77777777" w:rsidR="00C97D09" w:rsidRPr="006E0434" w:rsidRDefault="00C97D09" w:rsidP="006E0434">
      <w:pPr>
        <w:pStyle w:val="EndNoteBibliography"/>
        <w:spacing w:after="0"/>
      </w:pPr>
      <w:r w:rsidRPr="006E0434">
        <w:t>17.</w:t>
      </w:r>
      <w:r w:rsidRPr="006E0434">
        <w:tab/>
        <w:t xml:space="preserve">Polinski JM, Weckstein AR, Batech M, et al. Effectiveness of the single-dose Ad26.COV2.S COVID Vaccine. </w:t>
      </w:r>
      <w:r w:rsidRPr="006E0434">
        <w:rPr>
          <w:i/>
        </w:rPr>
        <w:t>medRxiv</w:t>
      </w:r>
      <w:r w:rsidRPr="006E0434">
        <w:t xml:space="preserve"> 2021: 2021.09.10.21263385 </w:t>
      </w:r>
    </w:p>
    <w:p w14:paraId="15208DAD" w14:textId="77777777" w:rsidR="00C97D09" w:rsidRPr="006E0434" w:rsidRDefault="00C97D09" w:rsidP="006E0434">
      <w:pPr>
        <w:pStyle w:val="EndNoteBibliography"/>
        <w:spacing w:after="0"/>
      </w:pPr>
      <w:r w:rsidRPr="006E0434">
        <w:lastRenderedPageBreak/>
        <w:t>18.</w:t>
      </w:r>
      <w:r w:rsidRPr="006E0434">
        <w:tab/>
        <w:t xml:space="preserve">Bekker LG, Garrett N, Goga A, et al. Effectiveness of the Ad26.Cov2.S Vaccine in Health Care Workers in South Africa (November 17, 2021). SSRN: </w:t>
      </w:r>
      <w:r w:rsidRPr="00C97D09">
        <w:t>https://ssrn.com/abstract=3979291</w:t>
      </w:r>
      <w:r w:rsidRPr="006E0434">
        <w:t xml:space="preserve"> or </w:t>
      </w:r>
      <w:r w:rsidRPr="00C97D09">
        <w:t>http://dx.doi.org/10.2139/ssrn.3979291</w:t>
      </w:r>
      <w:r w:rsidRPr="006E0434">
        <w:t xml:space="preserve"> (accessed January 5, 2022).</w:t>
      </w:r>
    </w:p>
    <w:p w14:paraId="1CE7E038" w14:textId="77777777" w:rsidR="00C97D09" w:rsidRPr="006E0434" w:rsidRDefault="00C97D09" w:rsidP="006E0434">
      <w:pPr>
        <w:pStyle w:val="EndNoteBibliography"/>
        <w:spacing w:after="0"/>
      </w:pPr>
      <w:r w:rsidRPr="006E0434">
        <w:t>19.</w:t>
      </w:r>
      <w:r w:rsidRPr="006E0434">
        <w:tab/>
        <w:t xml:space="preserve">Cohn BA, Cirillo PM, Murphy CC, Krigbaum NY, Wallace AW. SARS-CoV-2 vaccine protection and deaths among US veterans during 2021. </w:t>
      </w:r>
      <w:r w:rsidRPr="006E0434">
        <w:rPr>
          <w:i/>
        </w:rPr>
        <w:t>Science</w:t>
      </w:r>
      <w:r w:rsidRPr="006E0434">
        <w:t xml:space="preserve"> 2021: eabm0620.</w:t>
      </w:r>
    </w:p>
    <w:p w14:paraId="06918AEE" w14:textId="77777777" w:rsidR="00C97D09" w:rsidRPr="006E0434" w:rsidRDefault="00C97D09" w:rsidP="006E0434">
      <w:pPr>
        <w:pStyle w:val="EndNoteBibliography"/>
        <w:spacing w:after="0"/>
      </w:pPr>
      <w:r w:rsidRPr="006E0434">
        <w:t>20.</w:t>
      </w:r>
      <w:r w:rsidRPr="006E0434">
        <w:tab/>
        <w:t xml:space="preserve">Liu J, Chandrashekar A, Sellers D, et al. Vaccines elicit highly cross-reactive cellular immunity to the SARS-CoV-2 Omicron variant. </w:t>
      </w:r>
      <w:r w:rsidRPr="006E0434">
        <w:rPr>
          <w:i/>
        </w:rPr>
        <w:t>medRxiv</w:t>
      </w:r>
      <w:r w:rsidRPr="006E0434">
        <w:t xml:space="preserve"> 2022.</w:t>
      </w:r>
    </w:p>
    <w:p w14:paraId="188B83FC" w14:textId="77777777" w:rsidR="00C97D09" w:rsidRPr="006E0434" w:rsidRDefault="00C97D09" w:rsidP="006E0434">
      <w:pPr>
        <w:pStyle w:val="EndNoteBibliography"/>
        <w:spacing w:after="0"/>
      </w:pPr>
      <w:r w:rsidRPr="006E0434">
        <w:t>21.</w:t>
      </w:r>
      <w:r w:rsidRPr="006E0434">
        <w:tab/>
        <w:t xml:space="preserve">Garcia-Beltran WF, St Denis KJ, Hoelzemer A, et al. mRNA-based COVID-19 vaccine boosters induce neutralizing immunity against SARS-CoV-2 Omicron variant. </w:t>
      </w:r>
      <w:r w:rsidRPr="006E0434">
        <w:rPr>
          <w:i/>
        </w:rPr>
        <w:t>Cell</w:t>
      </w:r>
      <w:r w:rsidRPr="006E0434">
        <w:t xml:space="preserve"> 2022.</w:t>
      </w:r>
    </w:p>
    <w:p w14:paraId="3B5324E0" w14:textId="77777777" w:rsidR="00C97D09" w:rsidRPr="006E0434" w:rsidRDefault="00C97D09" w:rsidP="006E0434">
      <w:pPr>
        <w:pStyle w:val="EndNoteBibliography"/>
        <w:spacing w:after="0"/>
      </w:pPr>
      <w:r w:rsidRPr="006E0434">
        <w:t>22.</w:t>
      </w:r>
      <w:r w:rsidRPr="006E0434">
        <w:tab/>
        <w:t xml:space="preserve">Lyke KE, Atmar RL, Islas CD, et al. SARS-CoV-2 omicron neutralization after heterologous vaccine boosting. </w:t>
      </w:r>
      <w:r w:rsidRPr="006E0434">
        <w:rPr>
          <w:i/>
        </w:rPr>
        <w:t>medRxiv</w:t>
      </w:r>
      <w:r w:rsidRPr="006E0434">
        <w:t xml:space="preserve"> 2022: 2022.01.13.22268861.</w:t>
      </w:r>
    </w:p>
    <w:p w14:paraId="7FBA8667" w14:textId="77777777" w:rsidR="00C97D09" w:rsidRPr="006E0434" w:rsidRDefault="00C97D09" w:rsidP="006E0434">
      <w:pPr>
        <w:pStyle w:val="EndNoteBibliography"/>
        <w:spacing w:after="0"/>
      </w:pPr>
      <w:r w:rsidRPr="006E0434">
        <w:t>23.</w:t>
      </w:r>
      <w:r w:rsidRPr="006E0434">
        <w:tab/>
        <w:t xml:space="preserve">Costa Clemens SA, Weckx L, Clemens R, et al. Heterologous versus homologous COVID-19 booster vaccination in previous recipients of two doses of CoronaVac COVID-19 vaccine in Brazil (RHH-001): a phase 4, non-inferiority, single blind, randomised study. </w:t>
      </w:r>
      <w:r w:rsidRPr="006E0434">
        <w:rPr>
          <w:i/>
        </w:rPr>
        <w:t>Lancet</w:t>
      </w:r>
      <w:r w:rsidRPr="006E0434">
        <w:t xml:space="preserve"> 2022; </w:t>
      </w:r>
      <w:r w:rsidRPr="006E0434">
        <w:rPr>
          <w:b/>
        </w:rPr>
        <w:t>399</w:t>
      </w:r>
      <w:r w:rsidRPr="006E0434">
        <w:t>(10324): 521-9.</w:t>
      </w:r>
    </w:p>
    <w:p w14:paraId="31C3263D" w14:textId="77777777" w:rsidR="00C97D09" w:rsidRPr="006E0434" w:rsidRDefault="00C97D09" w:rsidP="006E0434">
      <w:pPr>
        <w:pStyle w:val="EndNoteBibliography"/>
        <w:spacing w:after="0"/>
      </w:pPr>
      <w:r w:rsidRPr="006E0434">
        <w:t>24.</w:t>
      </w:r>
      <w:r w:rsidRPr="006E0434">
        <w:tab/>
        <w:t xml:space="preserve">Atmar RL, Lyke KE, Deming ME, et al. Homologous and heterologous covid-19 booster vaccinations. </w:t>
      </w:r>
      <w:r w:rsidRPr="006E0434">
        <w:rPr>
          <w:i/>
        </w:rPr>
        <w:t>N Engl J Med</w:t>
      </w:r>
      <w:r w:rsidRPr="006E0434">
        <w:t xml:space="preserve"> 2022; </w:t>
      </w:r>
      <w:r w:rsidRPr="006E0434">
        <w:rPr>
          <w:b/>
        </w:rPr>
        <w:t>386</w:t>
      </w:r>
      <w:r w:rsidRPr="006E0434">
        <w:t>: 1046-57.</w:t>
      </w:r>
    </w:p>
    <w:p w14:paraId="269EBFB6" w14:textId="77777777" w:rsidR="00C97D09" w:rsidRPr="006E0434" w:rsidRDefault="00C97D09" w:rsidP="006E0434">
      <w:pPr>
        <w:pStyle w:val="EndNoteBibliography"/>
        <w:spacing w:after="0"/>
      </w:pPr>
      <w:r w:rsidRPr="006E0434">
        <w:t>25.</w:t>
      </w:r>
      <w:r w:rsidRPr="006E0434">
        <w:tab/>
        <w:t xml:space="preserve">Munro APS, Janani L, Cornelius V, et al. Safety and immunogenicity of seven COVID-19 vaccines as a third dose (booster) following two doses of ChAdOx1 nCov-19 or BNT162b2 in the UK (COV-BOOST): a blinded, multicentre, randomised, controlled, phase 2 trial. </w:t>
      </w:r>
      <w:r w:rsidRPr="006E0434">
        <w:rPr>
          <w:i/>
        </w:rPr>
        <w:t>Lancet</w:t>
      </w:r>
      <w:r w:rsidRPr="006E0434">
        <w:t xml:space="preserve"> 2021; </w:t>
      </w:r>
      <w:r w:rsidRPr="006E0434">
        <w:rPr>
          <w:b/>
        </w:rPr>
        <w:t>398</w:t>
      </w:r>
      <w:r w:rsidRPr="006E0434">
        <w:t>(10318): 2258-76.</w:t>
      </w:r>
    </w:p>
    <w:p w14:paraId="332D82E2" w14:textId="77777777" w:rsidR="00C97D09" w:rsidRPr="006E0434" w:rsidRDefault="00C97D09" w:rsidP="006E0434">
      <w:pPr>
        <w:pStyle w:val="EndNoteBibliography"/>
        <w:spacing w:after="0"/>
      </w:pPr>
      <w:r w:rsidRPr="006E0434">
        <w:lastRenderedPageBreak/>
        <w:t>26.</w:t>
      </w:r>
      <w:r w:rsidRPr="006E0434">
        <w:tab/>
        <w:t xml:space="preserve">Sablerolles RSG, Rietdijk WJR, Goorhuis A, et al. Immunogenicity and reactogenicity of vaccine boosters after Ad26.COV2.S priming. </w:t>
      </w:r>
      <w:r w:rsidRPr="006E0434">
        <w:rPr>
          <w:i/>
        </w:rPr>
        <w:t>N Engl J Med</w:t>
      </w:r>
      <w:r w:rsidRPr="006E0434">
        <w:t xml:space="preserve"> 2022; </w:t>
      </w:r>
      <w:r w:rsidRPr="006E0434">
        <w:rPr>
          <w:b/>
        </w:rPr>
        <w:t>386</w:t>
      </w:r>
      <w:r w:rsidRPr="006E0434">
        <w:t>(10): 951-63.</w:t>
      </w:r>
    </w:p>
    <w:p w14:paraId="7402E2CD" w14:textId="77777777" w:rsidR="00C97D09" w:rsidRPr="006E0434" w:rsidRDefault="00C97D09" w:rsidP="006E0434">
      <w:pPr>
        <w:pStyle w:val="EndNoteBibliography"/>
      </w:pPr>
      <w:r w:rsidRPr="006E0434">
        <w:t>27.</w:t>
      </w:r>
      <w:r w:rsidRPr="006E0434">
        <w:tab/>
        <w:t xml:space="preserve">Liu X, Munro APS, Feng S, et al. Persistence of immunogenicity after seven COVID-19 vaccines given as third dose boosters following two doses of ChAdOx1 nCov-19 or BNT162b2 in the UK: Three month analyses of the COV-BOOST trial. </w:t>
      </w:r>
      <w:r w:rsidRPr="006E0434">
        <w:rPr>
          <w:i/>
        </w:rPr>
        <w:t>J Infect</w:t>
      </w:r>
      <w:r w:rsidRPr="006E0434">
        <w:t xml:space="preserve"> 2022; </w:t>
      </w:r>
      <w:r w:rsidRPr="006E0434">
        <w:rPr>
          <w:b/>
        </w:rPr>
        <w:t>84</w:t>
      </w:r>
      <w:r w:rsidRPr="006E0434">
        <w:t>(6): 795-813.</w:t>
      </w:r>
    </w:p>
    <w:p w14:paraId="3B1AC3F1" w14:textId="77777777" w:rsidR="00681745" w:rsidRDefault="00681745" w:rsidP="00FA5B89">
      <w:pPr>
        <w:rPr>
          <w:lang w:val="en-GB"/>
        </w:rPr>
        <w:sectPr w:rsidR="00681745" w:rsidSect="00CB5097">
          <w:pgSz w:w="12240" w:h="15840"/>
          <w:pgMar w:top="1440" w:right="1440" w:bottom="1440" w:left="1440" w:header="720" w:footer="720" w:gutter="0"/>
          <w:lnNumType w:countBy="1" w:restart="continuous"/>
          <w:cols w:space="720"/>
          <w:docGrid w:linePitch="360"/>
        </w:sectPr>
      </w:pPr>
    </w:p>
    <w:p w14:paraId="7773B3CD" w14:textId="77777777" w:rsidR="00681745" w:rsidRDefault="00681745" w:rsidP="00681745">
      <w:pPr>
        <w:outlineLvl w:val="0"/>
        <w:rPr>
          <w:b/>
          <w:bCs/>
          <w:lang w:val="en-GB"/>
        </w:rPr>
      </w:pPr>
      <w:r w:rsidRPr="00681745">
        <w:rPr>
          <w:b/>
          <w:bCs/>
          <w:lang w:val="en-GB"/>
        </w:rPr>
        <w:lastRenderedPageBreak/>
        <w:t>TABLES</w:t>
      </w:r>
    </w:p>
    <w:p w14:paraId="4E99572C" w14:textId="77777777" w:rsidR="00681745" w:rsidRPr="00D11DC0" w:rsidRDefault="00681745" w:rsidP="00681745">
      <w:pPr>
        <w:pStyle w:val="Heading2"/>
        <w:rPr>
          <w:i w:val="0"/>
          <w:iCs w:val="0"/>
          <w:lang w:val="en-GB"/>
        </w:rPr>
      </w:pPr>
      <w:r w:rsidRPr="00D11DC0">
        <w:rPr>
          <w:i w:val="0"/>
          <w:iCs w:val="0"/>
          <w:lang w:val="en-GB"/>
        </w:rPr>
        <w:t>Table 1. Baseline Characteristics of the Trial Participants (Full Analysis Set*)</w:t>
      </w:r>
    </w:p>
    <w:tbl>
      <w:tblPr>
        <w:tblW w:w="9574" w:type="dxa"/>
        <w:tblCellMar>
          <w:left w:w="0" w:type="dxa"/>
          <w:right w:w="0" w:type="dxa"/>
        </w:tblCellMar>
        <w:tblLook w:val="04A0" w:firstRow="1" w:lastRow="0" w:firstColumn="1" w:lastColumn="0" w:noHBand="0" w:noVBand="1"/>
      </w:tblPr>
      <w:tblGrid>
        <w:gridCol w:w="2694"/>
        <w:gridCol w:w="2430"/>
        <w:gridCol w:w="2090"/>
        <w:gridCol w:w="2360"/>
      </w:tblGrid>
      <w:tr w:rsidR="00681745" w:rsidRPr="00D11DC0" w14:paraId="5FFE1163" w14:textId="77777777" w:rsidTr="00EE4054">
        <w:trPr>
          <w:trHeight w:val="727"/>
        </w:trPr>
        <w:tc>
          <w:tcPr>
            <w:tcW w:w="2694" w:type="dxa"/>
            <w:tcBorders>
              <w:top w:val="single" w:sz="8" w:space="0" w:color="000000"/>
              <w:left w:val="nil"/>
              <w:bottom w:val="single" w:sz="8" w:space="0" w:color="000000"/>
              <w:right w:val="nil"/>
            </w:tcBorders>
            <w:shd w:val="clear" w:color="auto" w:fill="auto"/>
            <w:tcMar>
              <w:top w:w="15" w:type="dxa"/>
              <w:left w:w="96" w:type="dxa"/>
              <w:bottom w:w="0" w:type="dxa"/>
              <w:right w:w="96" w:type="dxa"/>
            </w:tcMar>
            <w:vAlign w:val="bottom"/>
            <w:hideMark/>
          </w:tcPr>
          <w:p w14:paraId="6BB20B19" w14:textId="77777777" w:rsidR="00681745" w:rsidRPr="00D11DC0" w:rsidRDefault="00681745" w:rsidP="00EE4054">
            <w:pPr>
              <w:spacing w:before="60" w:after="0"/>
              <w:rPr>
                <w:rFonts w:eastAsia="Times New Roman" w:cs="Times New Roman"/>
                <w:b/>
                <w:bCs/>
                <w:lang w:val="en-GB"/>
              </w:rPr>
            </w:pPr>
            <w:r w:rsidRPr="00D11DC0">
              <w:rPr>
                <w:rFonts w:eastAsia="Times New Roman" w:cs="Times New Roman"/>
                <w:b/>
                <w:bCs/>
                <w:color w:val="000000" w:themeColor="text1"/>
                <w:kern w:val="24"/>
                <w:lang w:val="en-GB"/>
              </w:rPr>
              <w:t>Characteristic</w:t>
            </w:r>
          </w:p>
        </w:tc>
        <w:tc>
          <w:tcPr>
            <w:tcW w:w="2430" w:type="dxa"/>
            <w:tcBorders>
              <w:top w:val="single" w:sz="8" w:space="0" w:color="000000"/>
              <w:left w:val="nil"/>
              <w:bottom w:val="single" w:sz="8" w:space="0" w:color="000000"/>
              <w:right w:val="nil"/>
            </w:tcBorders>
            <w:shd w:val="clear" w:color="auto" w:fill="auto"/>
            <w:tcMar>
              <w:top w:w="15" w:type="dxa"/>
              <w:left w:w="96" w:type="dxa"/>
              <w:bottom w:w="0" w:type="dxa"/>
              <w:right w:w="96" w:type="dxa"/>
            </w:tcMar>
            <w:hideMark/>
          </w:tcPr>
          <w:p w14:paraId="2860AF4D"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b/>
                <w:bCs/>
                <w:color w:val="000000" w:themeColor="text1"/>
                <w:kern w:val="24"/>
                <w:lang w:val="en-GB"/>
              </w:rPr>
              <w:t>Ad26.COV2.S</w:t>
            </w:r>
          </w:p>
          <w:p w14:paraId="2031E222"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b/>
                <w:bCs/>
                <w:color w:val="000000" w:themeColor="text1"/>
                <w:kern w:val="24"/>
                <w:lang w:val="en-GB"/>
              </w:rPr>
              <w:t>(N=15,708)</w:t>
            </w:r>
          </w:p>
        </w:tc>
        <w:tc>
          <w:tcPr>
            <w:tcW w:w="2090" w:type="dxa"/>
            <w:tcBorders>
              <w:top w:val="single" w:sz="8" w:space="0" w:color="000000"/>
              <w:left w:val="nil"/>
              <w:bottom w:val="single" w:sz="8" w:space="0" w:color="000000"/>
              <w:right w:val="nil"/>
            </w:tcBorders>
            <w:shd w:val="clear" w:color="auto" w:fill="auto"/>
            <w:tcMar>
              <w:top w:w="15" w:type="dxa"/>
              <w:left w:w="96" w:type="dxa"/>
              <w:bottom w:w="0" w:type="dxa"/>
              <w:right w:w="96" w:type="dxa"/>
            </w:tcMar>
            <w:hideMark/>
          </w:tcPr>
          <w:p w14:paraId="34BCFEE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b/>
                <w:bCs/>
                <w:color w:val="000000" w:themeColor="text1"/>
                <w:kern w:val="24"/>
                <w:lang w:val="en-GB"/>
              </w:rPr>
              <w:t>Placebo</w:t>
            </w:r>
          </w:p>
          <w:p w14:paraId="518CBC5D"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b/>
                <w:bCs/>
                <w:color w:val="000000" w:themeColor="text1"/>
                <w:kern w:val="24"/>
                <w:lang w:val="en-GB"/>
              </w:rPr>
              <w:t>(N=15,592)</w:t>
            </w:r>
          </w:p>
        </w:tc>
        <w:tc>
          <w:tcPr>
            <w:tcW w:w="2360" w:type="dxa"/>
            <w:tcBorders>
              <w:top w:val="single" w:sz="8" w:space="0" w:color="000000"/>
              <w:left w:val="nil"/>
              <w:bottom w:val="single" w:sz="8" w:space="0" w:color="000000"/>
              <w:right w:val="nil"/>
            </w:tcBorders>
            <w:shd w:val="clear" w:color="auto" w:fill="auto"/>
            <w:tcMar>
              <w:top w:w="15" w:type="dxa"/>
              <w:left w:w="96" w:type="dxa"/>
              <w:bottom w:w="0" w:type="dxa"/>
              <w:right w:w="96" w:type="dxa"/>
            </w:tcMar>
            <w:hideMark/>
          </w:tcPr>
          <w:p w14:paraId="1F2315B4"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b/>
                <w:bCs/>
                <w:color w:val="000000" w:themeColor="text1"/>
                <w:kern w:val="24"/>
                <w:lang w:val="en-GB"/>
              </w:rPr>
              <w:t>Total</w:t>
            </w:r>
          </w:p>
          <w:p w14:paraId="20044CAB"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b/>
                <w:bCs/>
                <w:color w:val="000000" w:themeColor="text1"/>
                <w:kern w:val="24"/>
                <w:lang w:val="en-GB"/>
              </w:rPr>
              <w:t>(N=31,300)</w:t>
            </w:r>
          </w:p>
        </w:tc>
      </w:tr>
      <w:tr w:rsidR="00681745" w:rsidRPr="00D11DC0" w14:paraId="768D0073"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30EDF7EE" w14:textId="77777777" w:rsidR="00681745" w:rsidRPr="00D11DC0" w:rsidRDefault="00681745" w:rsidP="00EE4054">
            <w:pPr>
              <w:spacing w:before="60" w:after="0"/>
              <w:rPr>
                <w:rFonts w:eastAsia="Times New Roman" w:cs="Times New Roman"/>
                <w:lang w:val="en-GB"/>
              </w:rPr>
            </w:pPr>
            <w:r w:rsidRPr="00D11DC0">
              <w:rPr>
                <w:rFonts w:eastAsia="Times New Roman" w:cs="Times New Roman"/>
                <w:color w:val="000000" w:themeColor="text1"/>
                <w:kern w:val="24"/>
                <w:lang w:val="en-GB"/>
              </w:rPr>
              <w:t>Age – no. (%)</w:t>
            </w:r>
          </w:p>
        </w:tc>
        <w:tc>
          <w:tcPr>
            <w:tcW w:w="2430" w:type="dxa"/>
            <w:tcBorders>
              <w:top w:val="nil"/>
              <w:left w:val="nil"/>
              <w:bottom w:val="nil"/>
              <w:right w:val="nil"/>
            </w:tcBorders>
            <w:shd w:val="clear" w:color="auto" w:fill="auto"/>
            <w:tcMar>
              <w:top w:w="15" w:type="dxa"/>
              <w:left w:w="96" w:type="dxa"/>
              <w:bottom w:w="0" w:type="dxa"/>
              <w:right w:w="96" w:type="dxa"/>
            </w:tcMar>
          </w:tcPr>
          <w:p w14:paraId="344D2DB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15,707</w:t>
            </w:r>
          </w:p>
        </w:tc>
        <w:tc>
          <w:tcPr>
            <w:tcW w:w="2090" w:type="dxa"/>
            <w:tcBorders>
              <w:top w:val="nil"/>
              <w:left w:val="nil"/>
              <w:bottom w:val="nil"/>
              <w:right w:val="nil"/>
            </w:tcBorders>
            <w:shd w:val="clear" w:color="auto" w:fill="auto"/>
            <w:tcMar>
              <w:top w:w="15" w:type="dxa"/>
              <w:left w:w="96" w:type="dxa"/>
              <w:bottom w:w="0" w:type="dxa"/>
              <w:right w:w="96" w:type="dxa"/>
            </w:tcMar>
          </w:tcPr>
          <w:p w14:paraId="0FDEBD0A"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15,592</w:t>
            </w:r>
          </w:p>
        </w:tc>
        <w:tc>
          <w:tcPr>
            <w:tcW w:w="2360" w:type="dxa"/>
            <w:tcBorders>
              <w:top w:val="nil"/>
              <w:left w:val="nil"/>
              <w:bottom w:val="nil"/>
              <w:right w:val="nil"/>
            </w:tcBorders>
            <w:shd w:val="clear" w:color="auto" w:fill="auto"/>
            <w:tcMar>
              <w:top w:w="15" w:type="dxa"/>
              <w:left w:w="96" w:type="dxa"/>
              <w:bottom w:w="0" w:type="dxa"/>
              <w:right w:w="96" w:type="dxa"/>
            </w:tcMar>
          </w:tcPr>
          <w:p w14:paraId="6F06E506"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31,299</w:t>
            </w:r>
            <w:r w:rsidRPr="00D11DC0">
              <w:rPr>
                <w:rFonts w:cs="Times New Roman"/>
                <w:sz w:val="22"/>
                <w:lang w:val="en-GB"/>
              </w:rPr>
              <w:t>†</w:t>
            </w:r>
          </w:p>
        </w:tc>
      </w:tr>
      <w:tr w:rsidR="00681745" w:rsidRPr="00D11DC0" w14:paraId="0173C0F0"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1A5743ED" w14:textId="77777777" w:rsidR="00681745" w:rsidRPr="00D11DC0" w:rsidRDefault="00681745" w:rsidP="00EE4054">
            <w:pPr>
              <w:spacing w:before="60" w:after="0"/>
              <w:ind w:left="518" w:hanging="187"/>
              <w:rPr>
                <w:rFonts w:eastAsia="Times New Roman" w:cs="Times New Roman"/>
                <w:lang w:val="en-GB"/>
              </w:rPr>
            </w:pPr>
            <w:r w:rsidRPr="00D11DC0">
              <w:rPr>
                <w:rFonts w:eastAsia="Times New Roman" w:cs="Times New Roman"/>
                <w:color w:val="000000" w:themeColor="text1"/>
                <w:kern w:val="24"/>
                <w:lang w:val="en-GB"/>
              </w:rPr>
              <w:t xml:space="preserve">18-59 </w:t>
            </w:r>
            <w:proofErr w:type="spellStart"/>
            <w:r w:rsidRPr="00D11DC0">
              <w:rPr>
                <w:rFonts w:eastAsia="Times New Roman" w:cs="Times New Roman"/>
                <w:color w:val="000000" w:themeColor="text1"/>
                <w:kern w:val="24"/>
                <w:lang w:val="en-GB"/>
              </w:rPr>
              <w:t>yr</w:t>
            </w:r>
            <w:proofErr w:type="spellEnd"/>
          </w:p>
        </w:tc>
        <w:tc>
          <w:tcPr>
            <w:tcW w:w="2430" w:type="dxa"/>
            <w:tcBorders>
              <w:top w:val="nil"/>
              <w:left w:val="nil"/>
              <w:bottom w:val="nil"/>
              <w:right w:val="nil"/>
            </w:tcBorders>
            <w:shd w:val="clear" w:color="auto" w:fill="auto"/>
            <w:tcMar>
              <w:top w:w="15" w:type="dxa"/>
              <w:left w:w="96" w:type="dxa"/>
              <w:bottom w:w="0" w:type="dxa"/>
              <w:right w:w="96" w:type="dxa"/>
            </w:tcMar>
          </w:tcPr>
          <w:p w14:paraId="20D59039"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10,089 (64·2)</w:t>
            </w:r>
          </w:p>
        </w:tc>
        <w:tc>
          <w:tcPr>
            <w:tcW w:w="2090" w:type="dxa"/>
            <w:tcBorders>
              <w:top w:val="nil"/>
              <w:left w:val="nil"/>
              <w:bottom w:val="nil"/>
              <w:right w:val="nil"/>
            </w:tcBorders>
            <w:shd w:val="clear" w:color="auto" w:fill="auto"/>
            <w:tcMar>
              <w:top w:w="15" w:type="dxa"/>
              <w:left w:w="96" w:type="dxa"/>
              <w:bottom w:w="0" w:type="dxa"/>
              <w:right w:w="96" w:type="dxa"/>
            </w:tcMar>
          </w:tcPr>
          <w:p w14:paraId="3C0AAC3B"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9,978 (64·0)</w:t>
            </w:r>
          </w:p>
        </w:tc>
        <w:tc>
          <w:tcPr>
            <w:tcW w:w="2360" w:type="dxa"/>
            <w:tcBorders>
              <w:top w:val="nil"/>
              <w:left w:val="nil"/>
              <w:bottom w:val="nil"/>
              <w:right w:val="nil"/>
            </w:tcBorders>
            <w:shd w:val="clear" w:color="auto" w:fill="auto"/>
            <w:tcMar>
              <w:top w:w="15" w:type="dxa"/>
              <w:left w:w="96" w:type="dxa"/>
              <w:bottom w:w="0" w:type="dxa"/>
              <w:right w:w="96" w:type="dxa"/>
            </w:tcMar>
          </w:tcPr>
          <w:p w14:paraId="007E1EE4"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20,067 (64·1)</w:t>
            </w:r>
          </w:p>
        </w:tc>
      </w:tr>
      <w:tr w:rsidR="00681745" w:rsidRPr="00D11DC0" w14:paraId="6DB0860F"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50BD5BD4" w14:textId="77777777" w:rsidR="00681745" w:rsidRPr="00D11DC0" w:rsidRDefault="00681745" w:rsidP="00EE4054">
            <w:pPr>
              <w:spacing w:before="60" w:after="0"/>
              <w:ind w:left="518" w:hanging="187"/>
              <w:rPr>
                <w:rFonts w:eastAsia="Times New Roman" w:cs="Times New Roman"/>
                <w:lang w:val="en-GB"/>
              </w:rPr>
            </w:pPr>
            <w:r w:rsidRPr="00D11DC0">
              <w:rPr>
                <w:rFonts w:eastAsia="Times New Roman" w:cs="Times New Roman"/>
                <w:color w:val="000000" w:themeColor="text1"/>
                <w:kern w:val="24"/>
                <w:lang w:val="en-GB"/>
              </w:rPr>
              <w:t xml:space="preserve">≥60 </w:t>
            </w:r>
            <w:proofErr w:type="spellStart"/>
            <w:r w:rsidRPr="00D11DC0">
              <w:rPr>
                <w:rFonts w:eastAsia="Times New Roman" w:cs="Times New Roman"/>
                <w:color w:val="000000" w:themeColor="text1"/>
                <w:kern w:val="24"/>
                <w:lang w:val="en-GB"/>
              </w:rPr>
              <w:t>yr</w:t>
            </w:r>
            <w:proofErr w:type="spellEnd"/>
          </w:p>
        </w:tc>
        <w:tc>
          <w:tcPr>
            <w:tcW w:w="2430" w:type="dxa"/>
            <w:tcBorders>
              <w:top w:val="nil"/>
              <w:left w:val="nil"/>
              <w:bottom w:val="nil"/>
              <w:right w:val="nil"/>
            </w:tcBorders>
            <w:shd w:val="clear" w:color="auto" w:fill="auto"/>
            <w:tcMar>
              <w:top w:w="15" w:type="dxa"/>
              <w:left w:w="96" w:type="dxa"/>
              <w:bottom w:w="0" w:type="dxa"/>
              <w:right w:w="96" w:type="dxa"/>
            </w:tcMar>
          </w:tcPr>
          <w:p w14:paraId="0B78B28A" w14:textId="77777777" w:rsidR="00681745" w:rsidRPr="00D11DC0" w:rsidRDefault="00681745" w:rsidP="00EE4054">
            <w:pPr>
              <w:tabs>
                <w:tab w:val="center" w:pos="1119"/>
              </w:tabs>
              <w:spacing w:before="60" w:after="0"/>
              <w:jc w:val="center"/>
              <w:rPr>
                <w:rFonts w:eastAsia="Times New Roman" w:cs="Times New Roman"/>
                <w:lang w:val="en-GB"/>
              </w:rPr>
            </w:pPr>
            <w:r w:rsidRPr="00D11DC0">
              <w:rPr>
                <w:rFonts w:eastAsia="Times New Roman" w:cs="Times New Roman"/>
                <w:lang w:val="en-GB"/>
              </w:rPr>
              <w:t>5618 (35·8)</w:t>
            </w:r>
          </w:p>
        </w:tc>
        <w:tc>
          <w:tcPr>
            <w:tcW w:w="2090" w:type="dxa"/>
            <w:tcBorders>
              <w:top w:val="nil"/>
              <w:left w:val="nil"/>
              <w:bottom w:val="nil"/>
              <w:right w:val="nil"/>
            </w:tcBorders>
            <w:shd w:val="clear" w:color="auto" w:fill="auto"/>
            <w:tcMar>
              <w:top w:w="15" w:type="dxa"/>
              <w:left w:w="96" w:type="dxa"/>
              <w:bottom w:w="0" w:type="dxa"/>
              <w:right w:w="96" w:type="dxa"/>
            </w:tcMar>
          </w:tcPr>
          <w:p w14:paraId="30660D2F"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5614 (36·0)</w:t>
            </w:r>
          </w:p>
        </w:tc>
        <w:tc>
          <w:tcPr>
            <w:tcW w:w="2360" w:type="dxa"/>
            <w:tcBorders>
              <w:top w:val="nil"/>
              <w:left w:val="nil"/>
              <w:bottom w:val="nil"/>
              <w:right w:val="nil"/>
            </w:tcBorders>
            <w:shd w:val="clear" w:color="auto" w:fill="auto"/>
            <w:tcMar>
              <w:top w:w="15" w:type="dxa"/>
              <w:left w:w="96" w:type="dxa"/>
              <w:bottom w:w="0" w:type="dxa"/>
              <w:right w:w="96" w:type="dxa"/>
            </w:tcMar>
          </w:tcPr>
          <w:p w14:paraId="56148EA0"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11,232 (35·9)</w:t>
            </w:r>
          </w:p>
        </w:tc>
      </w:tr>
      <w:tr w:rsidR="00681745" w:rsidRPr="00D11DC0" w14:paraId="4579C4CA"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2813E9E8" w14:textId="77777777" w:rsidR="00681745" w:rsidRPr="00D11DC0" w:rsidRDefault="00681745" w:rsidP="00EE4054">
            <w:pPr>
              <w:spacing w:before="60" w:after="0"/>
              <w:ind w:left="518" w:hanging="187"/>
              <w:rPr>
                <w:rFonts w:eastAsia="Times New Roman" w:cs="Times New Roman"/>
                <w:color w:val="000000" w:themeColor="text1"/>
                <w:kern w:val="24"/>
                <w:lang w:val="en-GB"/>
              </w:rPr>
            </w:pPr>
            <w:r w:rsidRPr="00D11DC0">
              <w:rPr>
                <w:rFonts w:eastAsia="Times New Roman" w:cs="Times New Roman"/>
                <w:color w:val="000000" w:themeColor="text1"/>
                <w:kern w:val="24"/>
                <w:lang w:val="en-GB"/>
              </w:rPr>
              <w:t>Age − median (</w:t>
            </w:r>
            <w:r>
              <w:rPr>
                <w:rFonts w:eastAsia="Times New Roman" w:cs="Times New Roman"/>
                <w:color w:val="000000" w:themeColor="text1"/>
                <w:kern w:val="24"/>
                <w:lang w:val="en-GB"/>
              </w:rPr>
              <w:t>IQR</w:t>
            </w:r>
            <w:r w:rsidRPr="00D11DC0">
              <w:rPr>
                <w:rFonts w:eastAsia="Times New Roman" w:cs="Times New Roman"/>
                <w:color w:val="000000" w:themeColor="text1"/>
                <w:kern w:val="24"/>
                <w:lang w:val="en-GB"/>
              </w:rPr>
              <w:t xml:space="preserve">), </w:t>
            </w:r>
            <w:proofErr w:type="spellStart"/>
            <w:r w:rsidRPr="00D11DC0">
              <w:rPr>
                <w:rFonts w:eastAsia="Times New Roman" w:cs="Times New Roman"/>
                <w:color w:val="000000" w:themeColor="text1"/>
                <w:kern w:val="24"/>
                <w:lang w:val="en-GB"/>
              </w:rPr>
              <w:t>yr</w:t>
            </w:r>
            <w:proofErr w:type="spellEnd"/>
          </w:p>
        </w:tc>
        <w:tc>
          <w:tcPr>
            <w:tcW w:w="2430" w:type="dxa"/>
            <w:tcBorders>
              <w:top w:val="nil"/>
              <w:left w:val="nil"/>
              <w:bottom w:val="nil"/>
              <w:right w:val="nil"/>
            </w:tcBorders>
            <w:shd w:val="clear" w:color="auto" w:fill="auto"/>
            <w:tcMar>
              <w:top w:w="15" w:type="dxa"/>
              <w:left w:w="96" w:type="dxa"/>
              <w:bottom w:w="0" w:type="dxa"/>
              <w:right w:w="96" w:type="dxa"/>
            </w:tcMar>
          </w:tcPr>
          <w:p w14:paraId="1F0137E2"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53 (</w:t>
            </w:r>
            <w:r>
              <w:rPr>
                <w:rFonts w:eastAsia="Times New Roman" w:cs="Times New Roman"/>
                <w:lang w:val="en-GB"/>
              </w:rPr>
              <w:t>42</w:t>
            </w:r>
            <w:r w:rsidRPr="00D11DC0">
              <w:rPr>
                <w:rFonts w:eastAsia="Times New Roman" w:cs="Times New Roman"/>
                <w:lang w:val="en-GB"/>
              </w:rPr>
              <w:t>·</w:t>
            </w:r>
            <w:r>
              <w:rPr>
                <w:rFonts w:eastAsia="Times New Roman" w:cs="Times New Roman"/>
                <w:lang w:val="en-GB"/>
              </w:rPr>
              <w:t>0-62</w:t>
            </w:r>
            <w:r w:rsidRPr="00D11DC0">
              <w:rPr>
                <w:rFonts w:eastAsia="Times New Roman" w:cs="Times New Roman"/>
                <w:lang w:val="en-GB"/>
              </w:rPr>
              <w:t>·</w:t>
            </w:r>
            <w:r>
              <w:rPr>
                <w:rFonts w:eastAsia="Times New Roman" w:cs="Times New Roman"/>
                <w:lang w:val="en-GB"/>
              </w:rPr>
              <w:t>0</w:t>
            </w:r>
            <w:r w:rsidRPr="00D11DC0">
              <w:rPr>
                <w:rFonts w:eastAsia="Times New Roman" w:cs="Times New Roman"/>
                <w:lang w:val="en-GB"/>
              </w:rPr>
              <w:t>)</w:t>
            </w:r>
          </w:p>
        </w:tc>
        <w:tc>
          <w:tcPr>
            <w:tcW w:w="2090" w:type="dxa"/>
            <w:tcBorders>
              <w:top w:val="nil"/>
              <w:left w:val="nil"/>
              <w:bottom w:val="nil"/>
              <w:right w:val="nil"/>
            </w:tcBorders>
            <w:shd w:val="clear" w:color="auto" w:fill="auto"/>
            <w:tcMar>
              <w:top w:w="15" w:type="dxa"/>
              <w:left w:w="96" w:type="dxa"/>
              <w:bottom w:w="0" w:type="dxa"/>
              <w:right w:w="96" w:type="dxa"/>
            </w:tcMar>
          </w:tcPr>
          <w:p w14:paraId="0CC9A156"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53 (</w:t>
            </w:r>
            <w:r>
              <w:rPr>
                <w:rFonts w:eastAsia="Times New Roman" w:cs="Times New Roman"/>
                <w:lang w:val="en-GB"/>
              </w:rPr>
              <w:t>42</w:t>
            </w:r>
            <w:r w:rsidRPr="00D11DC0">
              <w:rPr>
                <w:rFonts w:eastAsia="Times New Roman" w:cs="Times New Roman"/>
                <w:lang w:val="en-GB"/>
              </w:rPr>
              <w:t>·</w:t>
            </w:r>
            <w:r>
              <w:rPr>
                <w:rFonts w:eastAsia="Times New Roman" w:cs="Times New Roman"/>
                <w:lang w:val="en-GB"/>
              </w:rPr>
              <w:t>0-62</w:t>
            </w:r>
            <w:r w:rsidRPr="00D11DC0">
              <w:rPr>
                <w:rFonts w:eastAsia="Times New Roman" w:cs="Times New Roman"/>
                <w:lang w:val="en-GB"/>
              </w:rPr>
              <w:t>·</w:t>
            </w:r>
            <w:r>
              <w:rPr>
                <w:rFonts w:eastAsia="Times New Roman" w:cs="Times New Roman"/>
                <w:lang w:val="en-GB"/>
              </w:rPr>
              <w:t>0</w:t>
            </w:r>
            <w:r w:rsidRPr="00D11DC0">
              <w:rPr>
                <w:rFonts w:eastAsia="Times New Roman" w:cs="Times New Roman"/>
                <w:lang w:val="en-GB"/>
              </w:rPr>
              <w:t>)</w:t>
            </w:r>
          </w:p>
        </w:tc>
        <w:tc>
          <w:tcPr>
            <w:tcW w:w="2360" w:type="dxa"/>
            <w:tcBorders>
              <w:top w:val="nil"/>
              <w:left w:val="nil"/>
              <w:bottom w:val="nil"/>
              <w:right w:val="nil"/>
            </w:tcBorders>
            <w:shd w:val="clear" w:color="auto" w:fill="auto"/>
            <w:tcMar>
              <w:top w:w="15" w:type="dxa"/>
              <w:left w:w="96" w:type="dxa"/>
              <w:bottom w:w="0" w:type="dxa"/>
              <w:right w:w="96" w:type="dxa"/>
            </w:tcMar>
          </w:tcPr>
          <w:p w14:paraId="2E3F179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53 (</w:t>
            </w:r>
            <w:r>
              <w:rPr>
                <w:rFonts w:eastAsia="Times New Roman" w:cs="Times New Roman"/>
                <w:lang w:val="en-GB"/>
              </w:rPr>
              <w:t>42</w:t>
            </w:r>
            <w:r w:rsidRPr="00D11DC0">
              <w:rPr>
                <w:rFonts w:eastAsia="Times New Roman" w:cs="Times New Roman"/>
                <w:lang w:val="en-GB"/>
              </w:rPr>
              <w:t>·</w:t>
            </w:r>
            <w:r>
              <w:rPr>
                <w:rFonts w:eastAsia="Times New Roman" w:cs="Times New Roman"/>
                <w:lang w:val="en-GB"/>
              </w:rPr>
              <w:t>0-62</w:t>
            </w:r>
            <w:r w:rsidRPr="00D11DC0">
              <w:rPr>
                <w:rFonts w:eastAsia="Times New Roman" w:cs="Times New Roman"/>
                <w:lang w:val="en-GB"/>
              </w:rPr>
              <w:t>·</w:t>
            </w:r>
            <w:r>
              <w:rPr>
                <w:rFonts w:eastAsia="Times New Roman" w:cs="Times New Roman"/>
                <w:lang w:val="en-GB"/>
              </w:rPr>
              <w:t>0</w:t>
            </w:r>
            <w:r w:rsidRPr="00D11DC0">
              <w:rPr>
                <w:rFonts w:eastAsia="Times New Roman" w:cs="Times New Roman"/>
                <w:lang w:val="en-GB"/>
              </w:rPr>
              <w:t>)</w:t>
            </w:r>
          </w:p>
        </w:tc>
      </w:tr>
      <w:tr w:rsidR="00681745" w:rsidRPr="00D11DC0" w14:paraId="4ED07D3F"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6B7F62A8" w14:textId="77777777" w:rsidR="00681745" w:rsidRPr="00D11DC0" w:rsidRDefault="00681745" w:rsidP="00EE4054">
            <w:pPr>
              <w:spacing w:before="60" w:after="0"/>
              <w:rPr>
                <w:rFonts w:eastAsia="Times New Roman" w:cs="Times New Roman"/>
                <w:lang w:val="en-GB"/>
              </w:rPr>
            </w:pPr>
            <w:r w:rsidRPr="00D11DC0">
              <w:rPr>
                <w:rFonts w:eastAsia="Times New Roman" w:cs="Times New Roman"/>
                <w:color w:val="000000" w:themeColor="text1"/>
                <w:kern w:val="24"/>
                <w:lang w:val="en-GB"/>
              </w:rPr>
              <w:t>Sex – no. (%)</w:t>
            </w:r>
          </w:p>
        </w:tc>
        <w:tc>
          <w:tcPr>
            <w:tcW w:w="2430" w:type="dxa"/>
            <w:tcBorders>
              <w:top w:val="nil"/>
              <w:left w:val="nil"/>
              <w:bottom w:val="nil"/>
              <w:right w:val="nil"/>
            </w:tcBorders>
            <w:shd w:val="clear" w:color="auto" w:fill="auto"/>
            <w:tcMar>
              <w:top w:w="15" w:type="dxa"/>
              <w:left w:w="96" w:type="dxa"/>
              <w:bottom w:w="0" w:type="dxa"/>
              <w:right w:w="96" w:type="dxa"/>
            </w:tcMar>
          </w:tcPr>
          <w:p w14:paraId="10F8A8B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15,707</w:t>
            </w:r>
          </w:p>
        </w:tc>
        <w:tc>
          <w:tcPr>
            <w:tcW w:w="2090" w:type="dxa"/>
            <w:tcBorders>
              <w:top w:val="nil"/>
              <w:left w:val="nil"/>
              <w:bottom w:val="nil"/>
              <w:right w:val="nil"/>
            </w:tcBorders>
            <w:shd w:val="clear" w:color="auto" w:fill="auto"/>
            <w:tcMar>
              <w:top w:w="15" w:type="dxa"/>
              <w:left w:w="96" w:type="dxa"/>
              <w:bottom w:w="0" w:type="dxa"/>
              <w:right w:w="96" w:type="dxa"/>
            </w:tcMar>
          </w:tcPr>
          <w:p w14:paraId="2E6E2F1B"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15,592</w:t>
            </w:r>
          </w:p>
        </w:tc>
        <w:tc>
          <w:tcPr>
            <w:tcW w:w="2360" w:type="dxa"/>
            <w:tcBorders>
              <w:top w:val="nil"/>
              <w:left w:val="nil"/>
              <w:bottom w:val="nil"/>
              <w:right w:val="nil"/>
            </w:tcBorders>
            <w:shd w:val="clear" w:color="auto" w:fill="auto"/>
            <w:tcMar>
              <w:top w:w="15" w:type="dxa"/>
              <w:left w:w="96" w:type="dxa"/>
              <w:bottom w:w="0" w:type="dxa"/>
              <w:right w:w="96" w:type="dxa"/>
            </w:tcMar>
          </w:tcPr>
          <w:p w14:paraId="5411ED7B"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31,299</w:t>
            </w:r>
            <w:r w:rsidRPr="00D11DC0">
              <w:rPr>
                <w:rFonts w:cs="Times New Roman"/>
                <w:sz w:val="22"/>
                <w:lang w:val="en-GB"/>
              </w:rPr>
              <w:t>†</w:t>
            </w:r>
          </w:p>
        </w:tc>
      </w:tr>
      <w:tr w:rsidR="00681745" w:rsidRPr="00D11DC0" w14:paraId="4EC55971"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2F61B381" w14:textId="77777777" w:rsidR="00681745" w:rsidRPr="00D11DC0" w:rsidRDefault="00681745" w:rsidP="00EE4054">
            <w:pPr>
              <w:spacing w:before="60" w:after="0"/>
              <w:ind w:left="518" w:hanging="187"/>
              <w:rPr>
                <w:rFonts w:eastAsia="Times New Roman" w:cs="Times New Roman"/>
                <w:lang w:val="en-GB"/>
              </w:rPr>
            </w:pPr>
            <w:r w:rsidRPr="00D11DC0">
              <w:rPr>
                <w:rFonts w:eastAsia="Calibri" w:cs="Times New Roman"/>
                <w:color w:val="000000" w:themeColor="text1"/>
                <w:kern w:val="24"/>
                <w:lang w:val="en-GB"/>
              </w:rPr>
              <w:t>Female</w:t>
            </w:r>
          </w:p>
        </w:tc>
        <w:tc>
          <w:tcPr>
            <w:tcW w:w="2430" w:type="dxa"/>
            <w:tcBorders>
              <w:top w:val="nil"/>
              <w:left w:val="nil"/>
              <w:bottom w:val="nil"/>
              <w:right w:val="nil"/>
            </w:tcBorders>
            <w:shd w:val="clear" w:color="auto" w:fill="auto"/>
            <w:tcMar>
              <w:top w:w="15" w:type="dxa"/>
              <w:left w:w="96" w:type="dxa"/>
              <w:bottom w:w="0" w:type="dxa"/>
              <w:right w:w="96" w:type="dxa"/>
            </w:tcMar>
          </w:tcPr>
          <w:p w14:paraId="523018A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7391 (47·1)</w:t>
            </w:r>
          </w:p>
        </w:tc>
        <w:tc>
          <w:tcPr>
            <w:tcW w:w="2090" w:type="dxa"/>
            <w:tcBorders>
              <w:top w:val="nil"/>
              <w:left w:val="nil"/>
              <w:bottom w:val="nil"/>
              <w:right w:val="nil"/>
            </w:tcBorders>
            <w:shd w:val="clear" w:color="auto" w:fill="auto"/>
            <w:tcMar>
              <w:top w:w="15" w:type="dxa"/>
              <w:left w:w="96" w:type="dxa"/>
              <w:bottom w:w="0" w:type="dxa"/>
              <w:right w:w="96" w:type="dxa"/>
            </w:tcMar>
          </w:tcPr>
          <w:p w14:paraId="1A2DBE3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7429 (47·6)</w:t>
            </w:r>
          </w:p>
        </w:tc>
        <w:tc>
          <w:tcPr>
            <w:tcW w:w="2360" w:type="dxa"/>
            <w:tcBorders>
              <w:top w:val="nil"/>
              <w:left w:val="nil"/>
              <w:bottom w:val="nil"/>
              <w:right w:val="nil"/>
            </w:tcBorders>
            <w:shd w:val="clear" w:color="auto" w:fill="auto"/>
            <w:tcMar>
              <w:top w:w="15" w:type="dxa"/>
              <w:left w:w="96" w:type="dxa"/>
              <w:bottom w:w="0" w:type="dxa"/>
              <w:right w:w="96" w:type="dxa"/>
            </w:tcMar>
          </w:tcPr>
          <w:p w14:paraId="67E81D9F"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14,820 (47·3)</w:t>
            </w:r>
          </w:p>
        </w:tc>
      </w:tr>
      <w:tr w:rsidR="00681745" w:rsidRPr="00D11DC0" w14:paraId="56742112"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0405277C" w14:textId="77777777" w:rsidR="00681745" w:rsidRPr="00D11DC0" w:rsidRDefault="00681745" w:rsidP="00EE4054">
            <w:pPr>
              <w:spacing w:before="60" w:after="0"/>
              <w:ind w:left="518" w:hanging="187"/>
              <w:rPr>
                <w:rFonts w:eastAsia="Times New Roman" w:cs="Times New Roman"/>
                <w:lang w:val="en-GB"/>
              </w:rPr>
            </w:pPr>
            <w:r w:rsidRPr="00D11DC0">
              <w:rPr>
                <w:rFonts w:eastAsia="Calibri" w:cs="Times New Roman"/>
                <w:color w:val="000000" w:themeColor="text1"/>
                <w:kern w:val="24"/>
                <w:lang w:val="en-GB"/>
              </w:rPr>
              <w:t>Male</w:t>
            </w:r>
          </w:p>
        </w:tc>
        <w:tc>
          <w:tcPr>
            <w:tcW w:w="2430" w:type="dxa"/>
            <w:tcBorders>
              <w:top w:val="nil"/>
              <w:left w:val="nil"/>
              <w:bottom w:val="nil"/>
              <w:right w:val="nil"/>
            </w:tcBorders>
            <w:shd w:val="clear" w:color="auto" w:fill="auto"/>
            <w:tcMar>
              <w:top w:w="15" w:type="dxa"/>
              <w:left w:w="96" w:type="dxa"/>
              <w:bottom w:w="0" w:type="dxa"/>
              <w:right w:w="96" w:type="dxa"/>
            </w:tcMar>
          </w:tcPr>
          <w:p w14:paraId="54C874F2"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8314 (52·9)</w:t>
            </w:r>
          </w:p>
        </w:tc>
        <w:tc>
          <w:tcPr>
            <w:tcW w:w="2090" w:type="dxa"/>
            <w:tcBorders>
              <w:top w:val="nil"/>
              <w:left w:val="nil"/>
              <w:bottom w:val="nil"/>
              <w:right w:val="nil"/>
            </w:tcBorders>
            <w:shd w:val="clear" w:color="auto" w:fill="auto"/>
            <w:tcMar>
              <w:top w:w="15" w:type="dxa"/>
              <w:left w:w="96" w:type="dxa"/>
              <w:bottom w:w="0" w:type="dxa"/>
              <w:right w:w="96" w:type="dxa"/>
            </w:tcMar>
          </w:tcPr>
          <w:p w14:paraId="293B4AE5"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8160 (52·3)</w:t>
            </w:r>
          </w:p>
        </w:tc>
        <w:tc>
          <w:tcPr>
            <w:tcW w:w="2360" w:type="dxa"/>
            <w:tcBorders>
              <w:top w:val="nil"/>
              <w:left w:val="nil"/>
              <w:bottom w:val="nil"/>
              <w:right w:val="nil"/>
            </w:tcBorders>
            <w:shd w:val="clear" w:color="auto" w:fill="auto"/>
            <w:tcMar>
              <w:top w:w="15" w:type="dxa"/>
              <w:left w:w="96" w:type="dxa"/>
              <w:bottom w:w="0" w:type="dxa"/>
              <w:right w:w="96" w:type="dxa"/>
            </w:tcMar>
          </w:tcPr>
          <w:p w14:paraId="62B50B0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16,474 (52·6)</w:t>
            </w:r>
          </w:p>
        </w:tc>
      </w:tr>
      <w:tr w:rsidR="00681745" w:rsidRPr="00D11DC0" w14:paraId="140F89DC"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4025851C" w14:textId="77777777" w:rsidR="00681745" w:rsidRPr="00D11DC0" w:rsidRDefault="00681745" w:rsidP="00EE4054">
            <w:pPr>
              <w:spacing w:before="60" w:after="0"/>
              <w:ind w:left="518" w:hanging="187"/>
              <w:rPr>
                <w:rFonts w:eastAsia="Calibri" w:cs="Times New Roman"/>
                <w:color w:val="000000" w:themeColor="text1"/>
                <w:kern w:val="24"/>
                <w:lang w:val="en-GB"/>
              </w:rPr>
            </w:pPr>
            <w:r w:rsidRPr="00D11DC0">
              <w:rPr>
                <w:rFonts w:eastAsia="Calibri" w:cs="Times New Roman"/>
                <w:color w:val="000000" w:themeColor="text1"/>
                <w:kern w:val="24"/>
                <w:lang w:val="en-GB"/>
              </w:rPr>
              <w:t>Undifferentiated</w:t>
            </w:r>
          </w:p>
        </w:tc>
        <w:tc>
          <w:tcPr>
            <w:tcW w:w="2430" w:type="dxa"/>
            <w:tcBorders>
              <w:top w:val="nil"/>
              <w:left w:val="nil"/>
              <w:bottom w:val="nil"/>
              <w:right w:val="nil"/>
            </w:tcBorders>
            <w:shd w:val="clear" w:color="auto" w:fill="auto"/>
            <w:tcMar>
              <w:top w:w="15" w:type="dxa"/>
              <w:left w:w="96" w:type="dxa"/>
              <w:bottom w:w="0" w:type="dxa"/>
              <w:right w:w="96" w:type="dxa"/>
            </w:tcMar>
          </w:tcPr>
          <w:p w14:paraId="7A704747"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2 (&lt;0·1)</w:t>
            </w:r>
          </w:p>
        </w:tc>
        <w:tc>
          <w:tcPr>
            <w:tcW w:w="2090" w:type="dxa"/>
            <w:tcBorders>
              <w:top w:val="nil"/>
              <w:left w:val="nil"/>
              <w:bottom w:val="nil"/>
              <w:right w:val="nil"/>
            </w:tcBorders>
            <w:shd w:val="clear" w:color="auto" w:fill="auto"/>
            <w:tcMar>
              <w:top w:w="15" w:type="dxa"/>
              <w:left w:w="96" w:type="dxa"/>
              <w:bottom w:w="0" w:type="dxa"/>
              <w:right w:w="96" w:type="dxa"/>
            </w:tcMar>
          </w:tcPr>
          <w:p w14:paraId="406B7344"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3 (&lt;0·1)</w:t>
            </w:r>
          </w:p>
        </w:tc>
        <w:tc>
          <w:tcPr>
            <w:tcW w:w="2360" w:type="dxa"/>
            <w:tcBorders>
              <w:top w:val="nil"/>
              <w:left w:val="nil"/>
              <w:bottom w:val="nil"/>
              <w:right w:val="nil"/>
            </w:tcBorders>
            <w:shd w:val="clear" w:color="auto" w:fill="auto"/>
            <w:tcMar>
              <w:top w:w="15" w:type="dxa"/>
              <w:left w:w="96" w:type="dxa"/>
              <w:bottom w:w="0" w:type="dxa"/>
              <w:right w:w="96" w:type="dxa"/>
            </w:tcMar>
          </w:tcPr>
          <w:p w14:paraId="7531D6EF"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5 (&lt;0·1)</w:t>
            </w:r>
          </w:p>
        </w:tc>
      </w:tr>
      <w:tr w:rsidR="00681745" w:rsidRPr="00D11DC0" w14:paraId="644028AD"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33287A4A" w14:textId="77777777" w:rsidR="00681745" w:rsidRPr="00D11DC0" w:rsidRDefault="00681745" w:rsidP="00EE4054">
            <w:pPr>
              <w:spacing w:before="60" w:after="0"/>
              <w:rPr>
                <w:rFonts w:eastAsia="Times New Roman" w:cs="Times New Roman"/>
                <w:lang w:val="en-GB"/>
              </w:rPr>
            </w:pPr>
            <w:r w:rsidRPr="00D11DC0">
              <w:rPr>
                <w:rFonts w:eastAsia="Times New Roman" w:cs="Times New Roman"/>
                <w:color w:val="000000" w:themeColor="text1"/>
                <w:kern w:val="24"/>
                <w:lang w:val="en-GB"/>
              </w:rPr>
              <w:t>Race</w:t>
            </w:r>
            <w:r w:rsidRPr="00914F56">
              <w:rPr>
                <w:rFonts w:eastAsia="Times New Roman" w:cs="Times New Roman"/>
                <w:color w:val="000000" w:themeColor="text1"/>
                <w:kern w:val="24"/>
                <w:sz w:val="22"/>
                <w:lang w:val="en-GB"/>
              </w:rPr>
              <w:t>‡</w:t>
            </w:r>
            <w:r w:rsidRPr="00D11DC0">
              <w:rPr>
                <w:rFonts w:eastAsia="Times New Roman" w:cs="Times New Roman"/>
                <w:color w:val="000000" w:themeColor="text1"/>
                <w:kern w:val="24"/>
                <w:lang w:val="en-GB"/>
              </w:rPr>
              <w:t xml:space="preserve"> – no. (%)</w:t>
            </w:r>
          </w:p>
        </w:tc>
        <w:tc>
          <w:tcPr>
            <w:tcW w:w="2430" w:type="dxa"/>
            <w:tcBorders>
              <w:top w:val="nil"/>
              <w:left w:val="nil"/>
              <w:bottom w:val="nil"/>
              <w:right w:val="nil"/>
            </w:tcBorders>
            <w:shd w:val="clear" w:color="auto" w:fill="auto"/>
            <w:tcMar>
              <w:top w:w="15" w:type="dxa"/>
              <w:left w:w="96" w:type="dxa"/>
              <w:bottom w:w="0" w:type="dxa"/>
              <w:right w:w="96" w:type="dxa"/>
            </w:tcMar>
          </w:tcPr>
          <w:p w14:paraId="32E839A8"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15,708</w:t>
            </w:r>
          </w:p>
        </w:tc>
        <w:tc>
          <w:tcPr>
            <w:tcW w:w="2090" w:type="dxa"/>
            <w:tcBorders>
              <w:top w:val="nil"/>
              <w:left w:val="nil"/>
              <w:bottom w:val="nil"/>
              <w:right w:val="nil"/>
            </w:tcBorders>
            <w:shd w:val="clear" w:color="auto" w:fill="auto"/>
            <w:tcMar>
              <w:top w:w="15" w:type="dxa"/>
              <w:left w:w="96" w:type="dxa"/>
              <w:bottom w:w="0" w:type="dxa"/>
              <w:right w:w="96" w:type="dxa"/>
            </w:tcMar>
          </w:tcPr>
          <w:p w14:paraId="11F8B488"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15,592</w:t>
            </w:r>
          </w:p>
        </w:tc>
        <w:tc>
          <w:tcPr>
            <w:tcW w:w="2360" w:type="dxa"/>
            <w:tcBorders>
              <w:top w:val="nil"/>
              <w:left w:val="nil"/>
              <w:bottom w:val="nil"/>
              <w:right w:val="nil"/>
            </w:tcBorders>
            <w:shd w:val="clear" w:color="auto" w:fill="auto"/>
            <w:tcMar>
              <w:top w:w="15" w:type="dxa"/>
              <w:left w:w="96" w:type="dxa"/>
              <w:bottom w:w="0" w:type="dxa"/>
              <w:right w:w="96" w:type="dxa"/>
            </w:tcMar>
          </w:tcPr>
          <w:p w14:paraId="0D32785C"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31,300</w:t>
            </w:r>
          </w:p>
        </w:tc>
      </w:tr>
      <w:tr w:rsidR="00681745" w:rsidRPr="00D11DC0" w14:paraId="7FD1353B"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0C656B17" w14:textId="77777777" w:rsidR="00681745" w:rsidRPr="00D11DC0" w:rsidRDefault="00681745" w:rsidP="00EE4054">
            <w:pPr>
              <w:spacing w:before="60" w:after="0"/>
              <w:ind w:left="329"/>
              <w:rPr>
                <w:rFonts w:eastAsia="Times New Roman" w:cs="Times New Roman"/>
                <w:color w:val="000000" w:themeColor="text1"/>
                <w:kern w:val="24"/>
                <w:lang w:val="en-GB"/>
              </w:rPr>
            </w:pPr>
            <w:r w:rsidRPr="00D11DC0">
              <w:rPr>
                <w:rFonts w:eastAsia="Times New Roman" w:cs="Times New Roman"/>
                <w:color w:val="000000" w:themeColor="text1"/>
                <w:kern w:val="24"/>
                <w:lang w:val="en-GB"/>
              </w:rPr>
              <w:t>American Indian or Alaskan Native</w:t>
            </w:r>
            <w:r w:rsidRPr="00D11DC0">
              <w:rPr>
                <w:rFonts w:eastAsia="Times New Roman" w:cs="Times New Roman"/>
                <w:color w:val="000000" w:themeColor="text1"/>
                <w:kern w:val="24"/>
                <w:sz w:val="22"/>
                <w:lang w:val="en-GB"/>
              </w:rPr>
              <w:t>§</w:t>
            </w:r>
          </w:p>
        </w:tc>
        <w:tc>
          <w:tcPr>
            <w:tcW w:w="2430" w:type="dxa"/>
            <w:tcBorders>
              <w:top w:val="nil"/>
              <w:left w:val="nil"/>
              <w:bottom w:val="nil"/>
              <w:right w:val="nil"/>
            </w:tcBorders>
            <w:shd w:val="clear" w:color="auto" w:fill="auto"/>
            <w:tcMar>
              <w:top w:w="15" w:type="dxa"/>
              <w:left w:w="96" w:type="dxa"/>
              <w:bottom w:w="0" w:type="dxa"/>
              <w:right w:w="96" w:type="dxa"/>
            </w:tcMar>
          </w:tcPr>
          <w:p w14:paraId="29C9F699"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393 (2·5)</w:t>
            </w:r>
          </w:p>
        </w:tc>
        <w:tc>
          <w:tcPr>
            <w:tcW w:w="2090" w:type="dxa"/>
            <w:tcBorders>
              <w:top w:val="nil"/>
              <w:left w:val="nil"/>
              <w:bottom w:val="nil"/>
              <w:right w:val="nil"/>
            </w:tcBorders>
            <w:shd w:val="clear" w:color="auto" w:fill="auto"/>
            <w:tcMar>
              <w:top w:w="15" w:type="dxa"/>
              <w:left w:w="96" w:type="dxa"/>
              <w:bottom w:w="0" w:type="dxa"/>
              <w:right w:w="96" w:type="dxa"/>
            </w:tcMar>
          </w:tcPr>
          <w:p w14:paraId="4406099F"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396 (2·5)</w:t>
            </w:r>
          </w:p>
        </w:tc>
        <w:tc>
          <w:tcPr>
            <w:tcW w:w="2360" w:type="dxa"/>
            <w:tcBorders>
              <w:top w:val="nil"/>
              <w:left w:val="nil"/>
              <w:bottom w:val="nil"/>
              <w:right w:val="nil"/>
            </w:tcBorders>
            <w:shd w:val="clear" w:color="auto" w:fill="auto"/>
            <w:tcMar>
              <w:top w:w="15" w:type="dxa"/>
              <w:left w:w="96" w:type="dxa"/>
              <w:bottom w:w="0" w:type="dxa"/>
              <w:right w:w="96" w:type="dxa"/>
            </w:tcMar>
          </w:tcPr>
          <w:p w14:paraId="36AC01E3"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789 (2·5)</w:t>
            </w:r>
          </w:p>
        </w:tc>
      </w:tr>
      <w:tr w:rsidR="00681745" w:rsidRPr="00D11DC0" w14:paraId="11924900"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17F41B7C" w14:textId="77777777" w:rsidR="00681745" w:rsidRPr="00D11DC0" w:rsidRDefault="00681745" w:rsidP="00EE4054">
            <w:pPr>
              <w:spacing w:before="60" w:after="0"/>
              <w:ind w:left="518" w:hanging="187"/>
              <w:rPr>
                <w:rFonts w:eastAsia="Times New Roman" w:cs="Times New Roman"/>
                <w:color w:val="000000" w:themeColor="text1"/>
                <w:kern w:val="24"/>
                <w:lang w:val="en-GB"/>
              </w:rPr>
            </w:pPr>
            <w:r w:rsidRPr="00D11DC0">
              <w:rPr>
                <w:rFonts w:eastAsia="Times New Roman" w:cs="Times New Roman"/>
                <w:color w:val="000000" w:themeColor="text1"/>
                <w:kern w:val="24"/>
                <w:lang w:val="en-GB"/>
              </w:rPr>
              <w:t>Asian</w:t>
            </w:r>
          </w:p>
        </w:tc>
        <w:tc>
          <w:tcPr>
            <w:tcW w:w="2430" w:type="dxa"/>
            <w:tcBorders>
              <w:top w:val="nil"/>
              <w:left w:val="nil"/>
              <w:bottom w:val="nil"/>
              <w:right w:val="nil"/>
            </w:tcBorders>
            <w:shd w:val="clear" w:color="auto" w:fill="auto"/>
            <w:tcMar>
              <w:top w:w="15" w:type="dxa"/>
              <w:left w:w="96" w:type="dxa"/>
              <w:bottom w:w="0" w:type="dxa"/>
              <w:right w:w="96" w:type="dxa"/>
            </w:tcMar>
          </w:tcPr>
          <w:p w14:paraId="0ACF320D"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1379 (8·8)</w:t>
            </w:r>
          </w:p>
        </w:tc>
        <w:tc>
          <w:tcPr>
            <w:tcW w:w="2090" w:type="dxa"/>
            <w:tcBorders>
              <w:top w:val="nil"/>
              <w:left w:val="nil"/>
              <w:bottom w:val="nil"/>
              <w:right w:val="nil"/>
            </w:tcBorders>
            <w:shd w:val="clear" w:color="auto" w:fill="auto"/>
            <w:tcMar>
              <w:top w:w="15" w:type="dxa"/>
              <w:left w:w="96" w:type="dxa"/>
              <w:bottom w:w="0" w:type="dxa"/>
              <w:right w:w="96" w:type="dxa"/>
            </w:tcMar>
          </w:tcPr>
          <w:p w14:paraId="49BFD392"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1353 (8·7)</w:t>
            </w:r>
          </w:p>
        </w:tc>
        <w:tc>
          <w:tcPr>
            <w:tcW w:w="2360" w:type="dxa"/>
            <w:tcBorders>
              <w:top w:val="nil"/>
              <w:left w:val="nil"/>
              <w:bottom w:val="nil"/>
              <w:right w:val="nil"/>
            </w:tcBorders>
            <w:shd w:val="clear" w:color="auto" w:fill="auto"/>
            <w:tcMar>
              <w:top w:w="15" w:type="dxa"/>
              <w:left w:w="96" w:type="dxa"/>
              <w:bottom w:w="0" w:type="dxa"/>
              <w:right w:w="96" w:type="dxa"/>
            </w:tcMar>
          </w:tcPr>
          <w:p w14:paraId="5F246061"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2732 (8·7)</w:t>
            </w:r>
          </w:p>
        </w:tc>
      </w:tr>
      <w:tr w:rsidR="00681745" w:rsidRPr="00D11DC0" w14:paraId="0E2D6422"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34073DB9" w14:textId="77777777" w:rsidR="00681745" w:rsidRPr="00D11DC0" w:rsidRDefault="00681745" w:rsidP="00EE4054">
            <w:pPr>
              <w:spacing w:before="60" w:after="0"/>
              <w:ind w:left="329"/>
              <w:rPr>
                <w:rFonts w:eastAsia="Times New Roman" w:cs="Times New Roman"/>
                <w:lang w:val="en-GB"/>
              </w:rPr>
            </w:pPr>
            <w:r w:rsidRPr="00D11DC0">
              <w:rPr>
                <w:rFonts w:eastAsia="Times New Roman" w:cs="Times New Roman"/>
                <w:color w:val="000000" w:themeColor="text1"/>
                <w:kern w:val="24"/>
                <w:lang w:val="en-GB"/>
              </w:rPr>
              <w:t>Black or African American</w:t>
            </w:r>
          </w:p>
        </w:tc>
        <w:tc>
          <w:tcPr>
            <w:tcW w:w="2430" w:type="dxa"/>
            <w:tcBorders>
              <w:top w:val="nil"/>
              <w:left w:val="nil"/>
              <w:bottom w:val="nil"/>
              <w:right w:val="nil"/>
            </w:tcBorders>
            <w:shd w:val="clear" w:color="auto" w:fill="auto"/>
            <w:tcMar>
              <w:top w:w="15" w:type="dxa"/>
              <w:left w:w="96" w:type="dxa"/>
              <w:bottom w:w="0" w:type="dxa"/>
              <w:right w:w="96" w:type="dxa"/>
            </w:tcMar>
          </w:tcPr>
          <w:p w14:paraId="14D7A8F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1309 (8·3)</w:t>
            </w:r>
          </w:p>
        </w:tc>
        <w:tc>
          <w:tcPr>
            <w:tcW w:w="2090" w:type="dxa"/>
            <w:tcBorders>
              <w:top w:val="nil"/>
              <w:left w:val="nil"/>
              <w:bottom w:val="nil"/>
              <w:right w:val="nil"/>
            </w:tcBorders>
            <w:shd w:val="clear" w:color="auto" w:fill="auto"/>
            <w:tcMar>
              <w:top w:w="15" w:type="dxa"/>
              <w:left w:w="96" w:type="dxa"/>
              <w:bottom w:w="0" w:type="dxa"/>
              <w:right w:w="96" w:type="dxa"/>
            </w:tcMar>
          </w:tcPr>
          <w:p w14:paraId="3078EB03"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1245 (8·0)</w:t>
            </w:r>
          </w:p>
        </w:tc>
        <w:tc>
          <w:tcPr>
            <w:tcW w:w="2360" w:type="dxa"/>
            <w:tcBorders>
              <w:top w:val="nil"/>
              <w:left w:val="nil"/>
              <w:bottom w:val="nil"/>
              <w:right w:val="nil"/>
            </w:tcBorders>
            <w:shd w:val="clear" w:color="auto" w:fill="auto"/>
            <w:tcMar>
              <w:top w:w="15" w:type="dxa"/>
              <w:left w:w="96" w:type="dxa"/>
              <w:bottom w:w="0" w:type="dxa"/>
              <w:right w:w="96" w:type="dxa"/>
            </w:tcMar>
          </w:tcPr>
          <w:p w14:paraId="29DC942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2554 (8·2)</w:t>
            </w:r>
          </w:p>
        </w:tc>
      </w:tr>
      <w:tr w:rsidR="00681745" w:rsidRPr="00D11DC0" w14:paraId="0E4BAB6B"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7E672166" w14:textId="77777777" w:rsidR="00681745" w:rsidRPr="00D11DC0" w:rsidRDefault="00681745" w:rsidP="00EE4054">
            <w:pPr>
              <w:spacing w:before="60" w:after="0"/>
              <w:ind w:left="329"/>
              <w:rPr>
                <w:rFonts w:eastAsia="Times New Roman" w:cs="Times New Roman"/>
                <w:lang w:val="en-GB"/>
              </w:rPr>
            </w:pPr>
            <w:r w:rsidRPr="00D11DC0">
              <w:rPr>
                <w:rFonts w:eastAsia="Times New Roman" w:cs="Times New Roman"/>
                <w:color w:val="000000" w:themeColor="text1"/>
                <w:kern w:val="24"/>
                <w:lang w:val="en-GB"/>
              </w:rPr>
              <w:lastRenderedPageBreak/>
              <w:t>Native Hawaiian or other Pacific Islander</w:t>
            </w:r>
          </w:p>
        </w:tc>
        <w:tc>
          <w:tcPr>
            <w:tcW w:w="2430" w:type="dxa"/>
            <w:tcBorders>
              <w:top w:val="nil"/>
              <w:left w:val="nil"/>
              <w:bottom w:val="nil"/>
              <w:right w:val="nil"/>
            </w:tcBorders>
            <w:shd w:val="clear" w:color="auto" w:fill="auto"/>
            <w:tcMar>
              <w:top w:w="15" w:type="dxa"/>
              <w:left w:w="96" w:type="dxa"/>
              <w:bottom w:w="0" w:type="dxa"/>
              <w:right w:w="96" w:type="dxa"/>
            </w:tcMar>
          </w:tcPr>
          <w:p w14:paraId="557936F8"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33 (0·2)</w:t>
            </w:r>
          </w:p>
        </w:tc>
        <w:tc>
          <w:tcPr>
            <w:tcW w:w="2090" w:type="dxa"/>
            <w:tcBorders>
              <w:top w:val="nil"/>
              <w:left w:val="nil"/>
              <w:bottom w:val="nil"/>
              <w:right w:val="nil"/>
            </w:tcBorders>
            <w:shd w:val="clear" w:color="auto" w:fill="auto"/>
            <w:tcMar>
              <w:top w:w="15" w:type="dxa"/>
              <w:left w:w="96" w:type="dxa"/>
              <w:bottom w:w="0" w:type="dxa"/>
              <w:right w:w="96" w:type="dxa"/>
            </w:tcMar>
          </w:tcPr>
          <w:p w14:paraId="263EBE1C"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43 (0·3)</w:t>
            </w:r>
          </w:p>
        </w:tc>
        <w:tc>
          <w:tcPr>
            <w:tcW w:w="2360" w:type="dxa"/>
            <w:tcBorders>
              <w:top w:val="nil"/>
              <w:left w:val="nil"/>
              <w:bottom w:val="nil"/>
              <w:right w:val="nil"/>
            </w:tcBorders>
            <w:shd w:val="clear" w:color="auto" w:fill="auto"/>
            <w:tcMar>
              <w:top w:w="15" w:type="dxa"/>
              <w:left w:w="96" w:type="dxa"/>
              <w:bottom w:w="0" w:type="dxa"/>
              <w:right w:w="96" w:type="dxa"/>
            </w:tcMar>
          </w:tcPr>
          <w:p w14:paraId="500FEED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76 (0·2)</w:t>
            </w:r>
          </w:p>
        </w:tc>
      </w:tr>
      <w:tr w:rsidR="00681745" w:rsidRPr="00D11DC0" w14:paraId="4E923219"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07FBE983" w14:textId="77777777" w:rsidR="00681745" w:rsidRPr="00D11DC0" w:rsidRDefault="00681745" w:rsidP="00EE4054">
            <w:pPr>
              <w:spacing w:before="60" w:after="0"/>
              <w:ind w:left="329"/>
              <w:rPr>
                <w:rFonts w:eastAsia="Times New Roman" w:cs="Times New Roman"/>
                <w:color w:val="000000" w:themeColor="text1"/>
                <w:kern w:val="24"/>
                <w:lang w:val="en-GB"/>
              </w:rPr>
            </w:pPr>
            <w:r w:rsidRPr="00D11DC0">
              <w:rPr>
                <w:rFonts w:eastAsia="Times New Roman" w:cs="Times New Roman"/>
                <w:color w:val="000000" w:themeColor="text1"/>
                <w:kern w:val="24"/>
                <w:lang w:val="en-GB"/>
              </w:rPr>
              <w:t>White</w:t>
            </w:r>
          </w:p>
        </w:tc>
        <w:tc>
          <w:tcPr>
            <w:tcW w:w="2430" w:type="dxa"/>
            <w:tcBorders>
              <w:top w:val="nil"/>
              <w:left w:val="nil"/>
              <w:bottom w:val="nil"/>
              <w:right w:val="nil"/>
            </w:tcBorders>
            <w:shd w:val="clear" w:color="auto" w:fill="auto"/>
            <w:tcMar>
              <w:top w:w="15" w:type="dxa"/>
              <w:left w:w="96" w:type="dxa"/>
              <w:bottom w:w="0" w:type="dxa"/>
              <w:right w:w="96" w:type="dxa"/>
            </w:tcMar>
          </w:tcPr>
          <w:p w14:paraId="6639FE8F"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11,974 (76·2)</w:t>
            </w:r>
          </w:p>
        </w:tc>
        <w:tc>
          <w:tcPr>
            <w:tcW w:w="2090" w:type="dxa"/>
            <w:tcBorders>
              <w:top w:val="nil"/>
              <w:left w:val="nil"/>
              <w:bottom w:val="nil"/>
              <w:right w:val="nil"/>
            </w:tcBorders>
            <w:shd w:val="clear" w:color="auto" w:fill="auto"/>
            <w:tcMar>
              <w:top w:w="15" w:type="dxa"/>
              <w:left w:w="96" w:type="dxa"/>
              <w:bottom w:w="0" w:type="dxa"/>
              <w:right w:w="96" w:type="dxa"/>
            </w:tcMar>
          </w:tcPr>
          <w:p w14:paraId="59E7A816"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11,933 (76·5)</w:t>
            </w:r>
          </w:p>
        </w:tc>
        <w:tc>
          <w:tcPr>
            <w:tcW w:w="2360" w:type="dxa"/>
            <w:tcBorders>
              <w:top w:val="nil"/>
              <w:left w:val="nil"/>
              <w:bottom w:val="nil"/>
              <w:right w:val="nil"/>
            </w:tcBorders>
            <w:shd w:val="clear" w:color="auto" w:fill="auto"/>
            <w:tcMar>
              <w:top w:w="15" w:type="dxa"/>
              <w:left w:w="96" w:type="dxa"/>
              <w:bottom w:w="0" w:type="dxa"/>
              <w:right w:w="96" w:type="dxa"/>
            </w:tcMar>
          </w:tcPr>
          <w:p w14:paraId="272842AA"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23,907 (76·4)</w:t>
            </w:r>
          </w:p>
        </w:tc>
      </w:tr>
      <w:tr w:rsidR="00681745" w:rsidRPr="00D11DC0" w14:paraId="582E3CFC"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5998C7B7" w14:textId="77777777" w:rsidR="00681745" w:rsidRPr="00D11DC0" w:rsidRDefault="00681745" w:rsidP="00EE4054">
            <w:pPr>
              <w:spacing w:before="60" w:after="0"/>
              <w:ind w:left="518" w:hanging="187"/>
              <w:rPr>
                <w:rFonts w:eastAsia="Times New Roman" w:cs="Times New Roman"/>
                <w:lang w:val="en-GB"/>
              </w:rPr>
            </w:pPr>
            <w:r w:rsidRPr="00D11DC0">
              <w:rPr>
                <w:rFonts w:eastAsia="Times New Roman" w:cs="Times New Roman"/>
                <w:color w:val="000000" w:themeColor="text1"/>
                <w:kern w:val="24"/>
                <w:lang w:val="en-GB"/>
              </w:rPr>
              <w:t>Multiracial</w:t>
            </w:r>
          </w:p>
        </w:tc>
        <w:tc>
          <w:tcPr>
            <w:tcW w:w="2430" w:type="dxa"/>
            <w:tcBorders>
              <w:top w:val="nil"/>
              <w:left w:val="nil"/>
              <w:bottom w:val="nil"/>
              <w:right w:val="nil"/>
            </w:tcBorders>
            <w:shd w:val="clear" w:color="auto" w:fill="auto"/>
            <w:tcMar>
              <w:top w:w="15" w:type="dxa"/>
              <w:left w:w="96" w:type="dxa"/>
              <w:bottom w:w="0" w:type="dxa"/>
              <w:right w:w="96" w:type="dxa"/>
            </w:tcMar>
          </w:tcPr>
          <w:p w14:paraId="5532A12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225 (1·4)</w:t>
            </w:r>
          </w:p>
        </w:tc>
        <w:tc>
          <w:tcPr>
            <w:tcW w:w="2090" w:type="dxa"/>
            <w:tcBorders>
              <w:top w:val="nil"/>
              <w:left w:val="nil"/>
              <w:bottom w:val="nil"/>
              <w:right w:val="nil"/>
            </w:tcBorders>
            <w:shd w:val="clear" w:color="auto" w:fill="auto"/>
            <w:tcMar>
              <w:top w:w="15" w:type="dxa"/>
              <w:left w:w="96" w:type="dxa"/>
              <w:bottom w:w="0" w:type="dxa"/>
              <w:right w:w="96" w:type="dxa"/>
            </w:tcMar>
          </w:tcPr>
          <w:p w14:paraId="125C4D2D"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219 (1·4)</w:t>
            </w:r>
          </w:p>
        </w:tc>
        <w:tc>
          <w:tcPr>
            <w:tcW w:w="2360" w:type="dxa"/>
            <w:tcBorders>
              <w:top w:val="nil"/>
              <w:left w:val="nil"/>
              <w:bottom w:val="nil"/>
              <w:right w:val="nil"/>
            </w:tcBorders>
            <w:shd w:val="clear" w:color="auto" w:fill="auto"/>
            <w:tcMar>
              <w:top w:w="15" w:type="dxa"/>
              <w:left w:w="96" w:type="dxa"/>
              <w:bottom w:w="0" w:type="dxa"/>
              <w:right w:w="96" w:type="dxa"/>
            </w:tcMar>
          </w:tcPr>
          <w:p w14:paraId="7A09772F"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444 (1·4)</w:t>
            </w:r>
          </w:p>
        </w:tc>
      </w:tr>
      <w:tr w:rsidR="00681745" w:rsidRPr="00D11DC0" w14:paraId="3DE2D3D1"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00E67395" w14:textId="77777777" w:rsidR="00681745" w:rsidRPr="00D11DC0" w:rsidRDefault="00681745" w:rsidP="00EE4054">
            <w:pPr>
              <w:spacing w:before="60" w:after="0"/>
              <w:ind w:left="329"/>
              <w:rPr>
                <w:rFonts w:eastAsia="Times New Roman" w:cs="Times New Roman"/>
                <w:color w:val="000000" w:themeColor="text1"/>
                <w:kern w:val="24"/>
                <w:lang w:val="en-GB"/>
              </w:rPr>
            </w:pPr>
            <w:r w:rsidRPr="00D11DC0">
              <w:rPr>
                <w:rFonts w:eastAsia="Times New Roman" w:cs="Times New Roman"/>
                <w:color w:val="000000" w:themeColor="text1"/>
                <w:kern w:val="24"/>
                <w:lang w:val="en-GB"/>
              </w:rPr>
              <w:t>Not reported, unknown or missing</w:t>
            </w:r>
          </w:p>
        </w:tc>
        <w:tc>
          <w:tcPr>
            <w:tcW w:w="2430" w:type="dxa"/>
            <w:tcBorders>
              <w:top w:val="nil"/>
              <w:left w:val="nil"/>
              <w:bottom w:val="nil"/>
              <w:right w:val="nil"/>
            </w:tcBorders>
            <w:shd w:val="clear" w:color="auto" w:fill="auto"/>
            <w:tcMar>
              <w:top w:w="15" w:type="dxa"/>
              <w:left w:w="96" w:type="dxa"/>
              <w:bottom w:w="0" w:type="dxa"/>
              <w:right w:w="96" w:type="dxa"/>
            </w:tcMar>
          </w:tcPr>
          <w:p w14:paraId="23ECBB0D"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395 (2·5)</w:t>
            </w:r>
          </w:p>
        </w:tc>
        <w:tc>
          <w:tcPr>
            <w:tcW w:w="2090" w:type="dxa"/>
            <w:tcBorders>
              <w:top w:val="nil"/>
              <w:left w:val="nil"/>
              <w:bottom w:val="nil"/>
              <w:right w:val="nil"/>
            </w:tcBorders>
            <w:shd w:val="clear" w:color="auto" w:fill="auto"/>
            <w:tcMar>
              <w:top w:w="15" w:type="dxa"/>
              <w:left w:w="96" w:type="dxa"/>
              <w:bottom w:w="0" w:type="dxa"/>
              <w:right w:w="96" w:type="dxa"/>
            </w:tcMar>
          </w:tcPr>
          <w:p w14:paraId="4BD0A3BC"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403 (2·6)</w:t>
            </w:r>
          </w:p>
        </w:tc>
        <w:tc>
          <w:tcPr>
            <w:tcW w:w="2360" w:type="dxa"/>
            <w:tcBorders>
              <w:top w:val="nil"/>
              <w:left w:val="nil"/>
              <w:bottom w:val="nil"/>
              <w:right w:val="nil"/>
            </w:tcBorders>
            <w:shd w:val="clear" w:color="auto" w:fill="auto"/>
            <w:tcMar>
              <w:top w:w="15" w:type="dxa"/>
              <w:left w:w="96" w:type="dxa"/>
              <w:bottom w:w="0" w:type="dxa"/>
              <w:right w:w="96" w:type="dxa"/>
            </w:tcMar>
          </w:tcPr>
          <w:p w14:paraId="1E26499D"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798 (2·5)</w:t>
            </w:r>
          </w:p>
        </w:tc>
      </w:tr>
      <w:tr w:rsidR="00681745" w:rsidRPr="00D11DC0" w14:paraId="3F365FEE"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41E4D337" w14:textId="77777777" w:rsidR="00681745" w:rsidRPr="00D11DC0" w:rsidRDefault="00681745" w:rsidP="00EE4054">
            <w:pPr>
              <w:spacing w:before="60" w:after="0"/>
              <w:rPr>
                <w:rFonts w:eastAsia="Times New Roman" w:cs="Times New Roman"/>
                <w:color w:val="000000" w:themeColor="text1"/>
                <w:kern w:val="24"/>
                <w:lang w:val="en-GB"/>
              </w:rPr>
            </w:pPr>
            <w:r w:rsidRPr="00D11DC0">
              <w:rPr>
                <w:rFonts w:eastAsia="Times New Roman" w:cs="Times New Roman"/>
                <w:color w:val="000000" w:themeColor="text1"/>
                <w:kern w:val="24"/>
                <w:lang w:val="en-GB"/>
              </w:rPr>
              <w:t>Ethnicity</w:t>
            </w:r>
            <w:r w:rsidRPr="00914F56">
              <w:rPr>
                <w:rFonts w:eastAsia="Times New Roman" w:cs="Times New Roman"/>
                <w:color w:val="000000" w:themeColor="text1"/>
                <w:kern w:val="24"/>
                <w:sz w:val="22"/>
                <w:lang w:val="en-GB"/>
              </w:rPr>
              <w:t>‡</w:t>
            </w:r>
            <w:r w:rsidRPr="00D11DC0">
              <w:rPr>
                <w:rFonts w:eastAsia="Times New Roman" w:cs="Times New Roman"/>
                <w:color w:val="000000" w:themeColor="text1"/>
                <w:kern w:val="24"/>
                <w:lang w:val="en-GB"/>
              </w:rPr>
              <w:t xml:space="preserve"> − no. (%)</w:t>
            </w:r>
          </w:p>
        </w:tc>
        <w:tc>
          <w:tcPr>
            <w:tcW w:w="2430" w:type="dxa"/>
            <w:tcBorders>
              <w:top w:val="nil"/>
              <w:left w:val="nil"/>
              <w:bottom w:val="nil"/>
              <w:right w:val="nil"/>
            </w:tcBorders>
            <w:shd w:val="clear" w:color="auto" w:fill="auto"/>
            <w:tcMar>
              <w:top w:w="15" w:type="dxa"/>
              <w:left w:w="96" w:type="dxa"/>
              <w:bottom w:w="0" w:type="dxa"/>
              <w:right w:w="96" w:type="dxa"/>
            </w:tcMar>
          </w:tcPr>
          <w:p w14:paraId="0287BA1A"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15,708</w:t>
            </w:r>
          </w:p>
        </w:tc>
        <w:tc>
          <w:tcPr>
            <w:tcW w:w="2090" w:type="dxa"/>
            <w:tcBorders>
              <w:top w:val="nil"/>
              <w:left w:val="nil"/>
              <w:bottom w:val="nil"/>
              <w:right w:val="nil"/>
            </w:tcBorders>
            <w:shd w:val="clear" w:color="auto" w:fill="auto"/>
            <w:tcMar>
              <w:top w:w="15" w:type="dxa"/>
              <w:left w:w="96" w:type="dxa"/>
              <w:bottom w:w="0" w:type="dxa"/>
              <w:right w:w="96" w:type="dxa"/>
            </w:tcMar>
          </w:tcPr>
          <w:p w14:paraId="2BFB381C"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15,592</w:t>
            </w:r>
          </w:p>
        </w:tc>
        <w:tc>
          <w:tcPr>
            <w:tcW w:w="2360" w:type="dxa"/>
            <w:tcBorders>
              <w:top w:val="nil"/>
              <w:left w:val="nil"/>
              <w:bottom w:val="nil"/>
              <w:right w:val="nil"/>
            </w:tcBorders>
            <w:shd w:val="clear" w:color="auto" w:fill="auto"/>
            <w:tcMar>
              <w:top w:w="15" w:type="dxa"/>
              <w:left w:w="96" w:type="dxa"/>
              <w:bottom w:w="0" w:type="dxa"/>
              <w:right w:w="96" w:type="dxa"/>
            </w:tcMar>
          </w:tcPr>
          <w:p w14:paraId="5FA45AA5"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31,300</w:t>
            </w:r>
          </w:p>
        </w:tc>
      </w:tr>
      <w:tr w:rsidR="00681745" w:rsidRPr="00D11DC0" w14:paraId="2732A583"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240B0E32" w14:textId="77777777" w:rsidR="00681745" w:rsidRPr="00D11DC0" w:rsidRDefault="00681745" w:rsidP="00EE4054">
            <w:pPr>
              <w:spacing w:before="60" w:after="0"/>
              <w:ind w:left="518" w:hanging="187"/>
              <w:rPr>
                <w:rFonts w:eastAsia="Times New Roman" w:cs="Times New Roman"/>
                <w:color w:val="000000" w:themeColor="text1"/>
                <w:kern w:val="24"/>
                <w:lang w:val="en-GB"/>
              </w:rPr>
            </w:pPr>
            <w:r w:rsidRPr="00D11DC0">
              <w:rPr>
                <w:rFonts w:eastAsia="Times New Roman" w:cs="Times New Roman"/>
                <w:color w:val="000000" w:themeColor="text1"/>
                <w:kern w:val="24"/>
                <w:lang w:val="en-GB"/>
              </w:rPr>
              <w:t>Hispanic or Latino</w:t>
            </w:r>
          </w:p>
        </w:tc>
        <w:tc>
          <w:tcPr>
            <w:tcW w:w="2430" w:type="dxa"/>
            <w:tcBorders>
              <w:top w:val="nil"/>
              <w:left w:val="nil"/>
              <w:bottom w:val="nil"/>
              <w:right w:val="nil"/>
            </w:tcBorders>
            <w:shd w:val="clear" w:color="auto" w:fill="auto"/>
            <w:tcMar>
              <w:top w:w="15" w:type="dxa"/>
              <w:left w:w="96" w:type="dxa"/>
              <w:bottom w:w="0" w:type="dxa"/>
              <w:right w:w="96" w:type="dxa"/>
            </w:tcMar>
          </w:tcPr>
          <w:p w14:paraId="572C5ABF"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2827 (18·0)</w:t>
            </w:r>
          </w:p>
        </w:tc>
        <w:tc>
          <w:tcPr>
            <w:tcW w:w="2090" w:type="dxa"/>
            <w:tcBorders>
              <w:top w:val="nil"/>
              <w:left w:val="nil"/>
              <w:bottom w:val="nil"/>
              <w:right w:val="nil"/>
            </w:tcBorders>
            <w:shd w:val="clear" w:color="auto" w:fill="auto"/>
            <w:tcMar>
              <w:top w:w="15" w:type="dxa"/>
              <w:left w:w="96" w:type="dxa"/>
              <w:bottom w:w="0" w:type="dxa"/>
              <w:right w:w="96" w:type="dxa"/>
            </w:tcMar>
          </w:tcPr>
          <w:p w14:paraId="5BA22F45"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2806 (18·0)</w:t>
            </w:r>
          </w:p>
        </w:tc>
        <w:tc>
          <w:tcPr>
            <w:tcW w:w="2360" w:type="dxa"/>
            <w:tcBorders>
              <w:top w:val="nil"/>
              <w:left w:val="nil"/>
              <w:bottom w:val="nil"/>
              <w:right w:val="nil"/>
            </w:tcBorders>
            <w:shd w:val="clear" w:color="auto" w:fill="auto"/>
            <w:tcMar>
              <w:top w:w="15" w:type="dxa"/>
              <w:left w:w="96" w:type="dxa"/>
              <w:bottom w:w="0" w:type="dxa"/>
              <w:right w:w="96" w:type="dxa"/>
            </w:tcMar>
          </w:tcPr>
          <w:p w14:paraId="77FC5AC1"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5633 (18·0)</w:t>
            </w:r>
          </w:p>
        </w:tc>
      </w:tr>
      <w:tr w:rsidR="00681745" w:rsidRPr="00D11DC0" w14:paraId="2C83F062"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5D044EC1" w14:textId="77777777" w:rsidR="00681745" w:rsidRPr="00D11DC0" w:rsidRDefault="00681745" w:rsidP="00EE4054">
            <w:pPr>
              <w:spacing w:before="60" w:after="0"/>
              <w:ind w:left="518" w:hanging="187"/>
              <w:rPr>
                <w:rFonts w:eastAsia="Times New Roman" w:cs="Times New Roman"/>
                <w:color w:val="000000" w:themeColor="text1"/>
                <w:kern w:val="24"/>
                <w:lang w:val="en-GB"/>
              </w:rPr>
            </w:pPr>
            <w:r w:rsidRPr="00D11DC0">
              <w:rPr>
                <w:rFonts w:eastAsia="Times New Roman" w:cs="Times New Roman"/>
                <w:color w:val="000000" w:themeColor="text1"/>
                <w:kern w:val="24"/>
                <w:lang w:val="en-GB"/>
              </w:rPr>
              <w:t>Not Hispanic or Latino</w:t>
            </w:r>
          </w:p>
        </w:tc>
        <w:tc>
          <w:tcPr>
            <w:tcW w:w="2430" w:type="dxa"/>
            <w:tcBorders>
              <w:top w:val="nil"/>
              <w:left w:val="nil"/>
              <w:bottom w:val="nil"/>
              <w:right w:val="nil"/>
            </w:tcBorders>
            <w:shd w:val="clear" w:color="auto" w:fill="auto"/>
            <w:tcMar>
              <w:top w:w="15" w:type="dxa"/>
              <w:left w:w="96" w:type="dxa"/>
              <w:bottom w:w="0" w:type="dxa"/>
              <w:right w:w="96" w:type="dxa"/>
            </w:tcMar>
          </w:tcPr>
          <w:p w14:paraId="094E3CD9"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12,430 (79·1)</w:t>
            </w:r>
            <w:r w:rsidRPr="00D11DC0">
              <w:rPr>
                <w:rFonts w:eastAsia="Times New Roman" w:cs="Times New Roman"/>
                <w:color w:val="000000" w:themeColor="text1"/>
                <w:kern w:val="24"/>
                <w:lang w:val="en-GB"/>
              </w:rPr>
              <w:tab/>
            </w:r>
          </w:p>
        </w:tc>
        <w:tc>
          <w:tcPr>
            <w:tcW w:w="2090" w:type="dxa"/>
            <w:tcBorders>
              <w:top w:val="nil"/>
              <w:left w:val="nil"/>
              <w:bottom w:val="nil"/>
              <w:right w:val="nil"/>
            </w:tcBorders>
            <w:shd w:val="clear" w:color="auto" w:fill="auto"/>
            <w:tcMar>
              <w:top w:w="15" w:type="dxa"/>
              <w:left w:w="96" w:type="dxa"/>
              <w:bottom w:w="0" w:type="dxa"/>
              <w:right w:w="96" w:type="dxa"/>
            </w:tcMar>
          </w:tcPr>
          <w:p w14:paraId="1981188B"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12,344 (79·2)</w:t>
            </w:r>
          </w:p>
        </w:tc>
        <w:tc>
          <w:tcPr>
            <w:tcW w:w="2360" w:type="dxa"/>
            <w:tcBorders>
              <w:top w:val="nil"/>
              <w:left w:val="nil"/>
              <w:bottom w:val="nil"/>
              <w:right w:val="nil"/>
            </w:tcBorders>
            <w:shd w:val="clear" w:color="auto" w:fill="auto"/>
            <w:tcMar>
              <w:top w:w="15" w:type="dxa"/>
              <w:left w:w="96" w:type="dxa"/>
              <w:bottom w:w="0" w:type="dxa"/>
              <w:right w:w="96" w:type="dxa"/>
            </w:tcMar>
          </w:tcPr>
          <w:p w14:paraId="08973975"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24,774 (79·2)</w:t>
            </w:r>
          </w:p>
        </w:tc>
      </w:tr>
      <w:tr w:rsidR="00681745" w:rsidRPr="00D11DC0" w14:paraId="3AE24A20"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5CA99FE3" w14:textId="77777777" w:rsidR="00681745" w:rsidRPr="00D11DC0" w:rsidRDefault="00681745" w:rsidP="00EE4054">
            <w:pPr>
              <w:spacing w:before="60" w:after="0"/>
              <w:ind w:left="329"/>
              <w:rPr>
                <w:rFonts w:eastAsia="Times New Roman" w:cs="Times New Roman"/>
                <w:color w:val="000000" w:themeColor="text1"/>
                <w:kern w:val="24"/>
                <w:lang w:val="en-GB"/>
              </w:rPr>
            </w:pPr>
            <w:r w:rsidRPr="00D11DC0">
              <w:rPr>
                <w:rFonts w:eastAsia="Times New Roman" w:cs="Times New Roman"/>
                <w:color w:val="000000" w:themeColor="text1"/>
                <w:kern w:val="24"/>
                <w:lang w:val="en-GB"/>
              </w:rPr>
              <w:t>Not reported, unknown or missing</w:t>
            </w:r>
          </w:p>
        </w:tc>
        <w:tc>
          <w:tcPr>
            <w:tcW w:w="2430" w:type="dxa"/>
            <w:tcBorders>
              <w:top w:val="nil"/>
              <w:left w:val="nil"/>
              <w:bottom w:val="nil"/>
              <w:right w:val="nil"/>
            </w:tcBorders>
            <w:shd w:val="clear" w:color="auto" w:fill="auto"/>
            <w:tcMar>
              <w:top w:w="15" w:type="dxa"/>
              <w:left w:w="96" w:type="dxa"/>
              <w:bottom w:w="0" w:type="dxa"/>
              <w:right w:w="96" w:type="dxa"/>
            </w:tcMar>
          </w:tcPr>
          <w:p w14:paraId="7267C1D2"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451 (2·9)</w:t>
            </w:r>
          </w:p>
        </w:tc>
        <w:tc>
          <w:tcPr>
            <w:tcW w:w="2090" w:type="dxa"/>
            <w:tcBorders>
              <w:top w:val="nil"/>
              <w:left w:val="nil"/>
              <w:bottom w:val="nil"/>
              <w:right w:val="nil"/>
            </w:tcBorders>
            <w:shd w:val="clear" w:color="auto" w:fill="auto"/>
            <w:tcMar>
              <w:top w:w="15" w:type="dxa"/>
              <w:left w:w="96" w:type="dxa"/>
              <w:bottom w:w="0" w:type="dxa"/>
              <w:right w:w="96" w:type="dxa"/>
            </w:tcMar>
          </w:tcPr>
          <w:p w14:paraId="118386E2"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442 (2·8)</w:t>
            </w:r>
          </w:p>
        </w:tc>
        <w:tc>
          <w:tcPr>
            <w:tcW w:w="2360" w:type="dxa"/>
            <w:tcBorders>
              <w:top w:val="nil"/>
              <w:left w:val="nil"/>
              <w:bottom w:val="nil"/>
              <w:right w:val="nil"/>
            </w:tcBorders>
            <w:shd w:val="clear" w:color="auto" w:fill="auto"/>
            <w:tcMar>
              <w:top w:w="15" w:type="dxa"/>
              <w:left w:w="96" w:type="dxa"/>
              <w:bottom w:w="0" w:type="dxa"/>
              <w:right w:w="96" w:type="dxa"/>
            </w:tcMar>
          </w:tcPr>
          <w:p w14:paraId="7DDA4DA9"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893 (2·9)</w:t>
            </w:r>
          </w:p>
        </w:tc>
      </w:tr>
      <w:tr w:rsidR="00681745" w:rsidRPr="00D11DC0" w14:paraId="322E497A"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16427FAD" w14:textId="77777777" w:rsidR="00681745" w:rsidRPr="00D11DC0" w:rsidRDefault="00681745" w:rsidP="00EE4054">
            <w:pPr>
              <w:spacing w:before="60" w:after="0"/>
              <w:rPr>
                <w:rFonts w:eastAsia="Times New Roman" w:cs="Times New Roman"/>
                <w:lang w:val="en-GB"/>
              </w:rPr>
            </w:pPr>
            <w:r w:rsidRPr="00D11DC0">
              <w:rPr>
                <w:rFonts w:eastAsia="Times New Roman" w:cs="Times New Roman"/>
                <w:color w:val="000000" w:themeColor="text1"/>
                <w:kern w:val="24"/>
                <w:lang w:val="en-GB"/>
              </w:rPr>
              <w:t>Country/region – no. (%)</w:t>
            </w:r>
          </w:p>
        </w:tc>
        <w:tc>
          <w:tcPr>
            <w:tcW w:w="2430" w:type="dxa"/>
            <w:tcBorders>
              <w:top w:val="nil"/>
              <w:left w:val="nil"/>
              <w:bottom w:val="nil"/>
              <w:right w:val="nil"/>
            </w:tcBorders>
            <w:shd w:val="clear" w:color="auto" w:fill="auto"/>
            <w:tcMar>
              <w:top w:w="15" w:type="dxa"/>
              <w:left w:w="96" w:type="dxa"/>
              <w:bottom w:w="0" w:type="dxa"/>
              <w:right w:w="96" w:type="dxa"/>
            </w:tcMar>
          </w:tcPr>
          <w:p w14:paraId="1028BF5B"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15,707</w:t>
            </w:r>
          </w:p>
        </w:tc>
        <w:tc>
          <w:tcPr>
            <w:tcW w:w="2090" w:type="dxa"/>
            <w:tcBorders>
              <w:top w:val="nil"/>
              <w:left w:val="nil"/>
              <w:bottom w:val="nil"/>
              <w:right w:val="nil"/>
            </w:tcBorders>
            <w:shd w:val="clear" w:color="auto" w:fill="auto"/>
            <w:tcMar>
              <w:top w:w="15" w:type="dxa"/>
              <w:left w:w="96" w:type="dxa"/>
              <w:bottom w:w="0" w:type="dxa"/>
              <w:right w:w="96" w:type="dxa"/>
            </w:tcMar>
          </w:tcPr>
          <w:p w14:paraId="0641BFAF"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15,592</w:t>
            </w:r>
          </w:p>
        </w:tc>
        <w:tc>
          <w:tcPr>
            <w:tcW w:w="2360" w:type="dxa"/>
            <w:tcBorders>
              <w:top w:val="nil"/>
              <w:left w:val="nil"/>
              <w:bottom w:val="nil"/>
              <w:right w:val="nil"/>
            </w:tcBorders>
            <w:shd w:val="clear" w:color="auto" w:fill="auto"/>
            <w:tcMar>
              <w:top w:w="15" w:type="dxa"/>
              <w:left w:w="96" w:type="dxa"/>
              <w:bottom w:w="0" w:type="dxa"/>
              <w:right w:w="96" w:type="dxa"/>
            </w:tcMar>
          </w:tcPr>
          <w:p w14:paraId="236343D7"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31,299</w:t>
            </w:r>
            <w:r w:rsidRPr="00D11DC0">
              <w:rPr>
                <w:rFonts w:cs="Times New Roman"/>
                <w:sz w:val="22"/>
                <w:lang w:val="en-GB"/>
              </w:rPr>
              <w:t>†</w:t>
            </w:r>
          </w:p>
        </w:tc>
      </w:tr>
      <w:tr w:rsidR="00681745" w:rsidRPr="00D11DC0" w14:paraId="661B1056"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34C593E7" w14:textId="77777777" w:rsidR="00681745" w:rsidRPr="00D11DC0" w:rsidRDefault="00681745" w:rsidP="00EE4054">
            <w:pPr>
              <w:spacing w:before="60" w:after="0"/>
              <w:ind w:left="518" w:hanging="187"/>
              <w:rPr>
                <w:rFonts w:eastAsia="Times New Roman" w:cs="Times New Roman"/>
                <w:lang w:val="en-GB"/>
              </w:rPr>
            </w:pPr>
            <w:r w:rsidRPr="00D11DC0">
              <w:rPr>
                <w:rFonts w:eastAsia="Times New Roman" w:cs="Times New Roman"/>
                <w:lang w:val="en-GB"/>
              </w:rPr>
              <w:t>Europe</w:t>
            </w:r>
          </w:p>
        </w:tc>
        <w:tc>
          <w:tcPr>
            <w:tcW w:w="2430" w:type="dxa"/>
            <w:tcBorders>
              <w:top w:val="nil"/>
              <w:left w:val="nil"/>
              <w:bottom w:val="nil"/>
              <w:right w:val="nil"/>
            </w:tcBorders>
            <w:shd w:val="clear" w:color="auto" w:fill="auto"/>
            <w:tcMar>
              <w:top w:w="15" w:type="dxa"/>
              <w:left w:w="96" w:type="dxa"/>
              <w:bottom w:w="0" w:type="dxa"/>
              <w:right w:w="96" w:type="dxa"/>
            </w:tcMar>
          </w:tcPr>
          <w:p w14:paraId="1AC7E2C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6416 (40·8)</w:t>
            </w:r>
          </w:p>
        </w:tc>
        <w:tc>
          <w:tcPr>
            <w:tcW w:w="2090" w:type="dxa"/>
            <w:tcBorders>
              <w:top w:val="nil"/>
              <w:left w:val="nil"/>
              <w:bottom w:val="nil"/>
              <w:right w:val="nil"/>
            </w:tcBorders>
            <w:shd w:val="clear" w:color="auto" w:fill="auto"/>
            <w:tcMar>
              <w:top w:w="15" w:type="dxa"/>
              <w:left w:w="96" w:type="dxa"/>
              <w:bottom w:w="0" w:type="dxa"/>
              <w:right w:w="96" w:type="dxa"/>
            </w:tcMar>
          </w:tcPr>
          <w:p w14:paraId="0154C32B"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6416 (41·1)</w:t>
            </w:r>
          </w:p>
        </w:tc>
        <w:tc>
          <w:tcPr>
            <w:tcW w:w="2360" w:type="dxa"/>
            <w:tcBorders>
              <w:top w:val="nil"/>
              <w:left w:val="nil"/>
              <w:bottom w:val="nil"/>
              <w:right w:val="nil"/>
            </w:tcBorders>
            <w:shd w:val="clear" w:color="auto" w:fill="auto"/>
            <w:tcMar>
              <w:top w:w="15" w:type="dxa"/>
              <w:left w:w="96" w:type="dxa"/>
              <w:bottom w:w="0" w:type="dxa"/>
              <w:right w:w="96" w:type="dxa"/>
            </w:tcMar>
          </w:tcPr>
          <w:p w14:paraId="2BD0034B"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12,832 (41·0)</w:t>
            </w:r>
          </w:p>
        </w:tc>
      </w:tr>
      <w:tr w:rsidR="00681745" w:rsidRPr="00D11DC0" w14:paraId="37D350C2"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374EB282" w14:textId="77777777" w:rsidR="00681745" w:rsidRPr="00D11DC0" w:rsidRDefault="00681745" w:rsidP="00EE4054">
            <w:pPr>
              <w:spacing w:before="60" w:after="0"/>
              <w:ind w:left="710" w:hanging="187"/>
              <w:rPr>
                <w:rFonts w:eastAsia="Times New Roman" w:cs="Times New Roman"/>
                <w:lang w:val="en-GB"/>
              </w:rPr>
            </w:pPr>
            <w:r w:rsidRPr="00D11DC0">
              <w:rPr>
                <w:rFonts w:eastAsia="Times New Roman" w:cs="Times New Roman"/>
                <w:lang w:val="en-GB"/>
              </w:rPr>
              <w:t>Belgium</w:t>
            </w:r>
          </w:p>
        </w:tc>
        <w:tc>
          <w:tcPr>
            <w:tcW w:w="2430" w:type="dxa"/>
            <w:tcBorders>
              <w:top w:val="nil"/>
              <w:left w:val="nil"/>
              <w:bottom w:val="nil"/>
              <w:right w:val="nil"/>
            </w:tcBorders>
            <w:shd w:val="clear" w:color="auto" w:fill="auto"/>
            <w:tcMar>
              <w:top w:w="15" w:type="dxa"/>
              <w:left w:w="96" w:type="dxa"/>
              <w:bottom w:w="0" w:type="dxa"/>
              <w:right w:w="96" w:type="dxa"/>
            </w:tcMar>
          </w:tcPr>
          <w:p w14:paraId="6122FFBD"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1489 (9·5)</w:t>
            </w:r>
          </w:p>
        </w:tc>
        <w:tc>
          <w:tcPr>
            <w:tcW w:w="2090" w:type="dxa"/>
            <w:tcBorders>
              <w:top w:val="nil"/>
              <w:left w:val="nil"/>
              <w:bottom w:val="nil"/>
              <w:right w:val="nil"/>
            </w:tcBorders>
            <w:shd w:val="clear" w:color="auto" w:fill="auto"/>
            <w:tcMar>
              <w:top w:w="15" w:type="dxa"/>
              <w:left w:w="96" w:type="dxa"/>
              <w:bottom w:w="0" w:type="dxa"/>
              <w:right w:w="96" w:type="dxa"/>
            </w:tcMar>
          </w:tcPr>
          <w:p w14:paraId="16B9DFB0"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1492 (9·6)</w:t>
            </w:r>
          </w:p>
        </w:tc>
        <w:tc>
          <w:tcPr>
            <w:tcW w:w="2360" w:type="dxa"/>
            <w:tcBorders>
              <w:top w:val="nil"/>
              <w:left w:val="nil"/>
              <w:bottom w:val="nil"/>
              <w:right w:val="nil"/>
            </w:tcBorders>
            <w:shd w:val="clear" w:color="auto" w:fill="auto"/>
            <w:tcMar>
              <w:top w:w="15" w:type="dxa"/>
              <w:left w:w="96" w:type="dxa"/>
              <w:bottom w:w="0" w:type="dxa"/>
              <w:right w:w="96" w:type="dxa"/>
            </w:tcMar>
          </w:tcPr>
          <w:p w14:paraId="73C7173C"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2981 (9·5)</w:t>
            </w:r>
          </w:p>
        </w:tc>
      </w:tr>
      <w:tr w:rsidR="00681745" w:rsidRPr="00D11DC0" w14:paraId="2A1171AB"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40CDF4F9" w14:textId="77777777" w:rsidR="00681745" w:rsidRPr="00D11DC0" w:rsidRDefault="00681745" w:rsidP="00EE4054">
            <w:pPr>
              <w:spacing w:before="60" w:after="0"/>
              <w:ind w:left="710" w:hanging="187"/>
              <w:rPr>
                <w:rFonts w:eastAsia="Times New Roman" w:cs="Times New Roman"/>
                <w:lang w:val="en-GB"/>
              </w:rPr>
            </w:pPr>
            <w:r w:rsidRPr="00D11DC0">
              <w:rPr>
                <w:rFonts w:eastAsia="Times New Roman" w:cs="Times New Roman"/>
                <w:lang w:val="en-GB"/>
              </w:rPr>
              <w:t>France</w:t>
            </w:r>
          </w:p>
        </w:tc>
        <w:tc>
          <w:tcPr>
            <w:tcW w:w="2430" w:type="dxa"/>
            <w:tcBorders>
              <w:top w:val="nil"/>
              <w:left w:val="nil"/>
              <w:bottom w:val="nil"/>
              <w:right w:val="nil"/>
            </w:tcBorders>
            <w:shd w:val="clear" w:color="auto" w:fill="auto"/>
            <w:tcMar>
              <w:top w:w="15" w:type="dxa"/>
              <w:left w:w="96" w:type="dxa"/>
              <w:bottom w:w="0" w:type="dxa"/>
              <w:right w:w="96" w:type="dxa"/>
            </w:tcMar>
          </w:tcPr>
          <w:p w14:paraId="383BCDC6"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356 (2·3)</w:t>
            </w:r>
          </w:p>
        </w:tc>
        <w:tc>
          <w:tcPr>
            <w:tcW w:w="2090" w:type="dxa"/>
            <w:tcBorders>
              <w:top w:val="nil"/>
              <w:left w:val="nil"/>
              <w:bottom w:val="nil"/>
              <w:right w:val="nil"/>
            </w:tcBorders>
            <w:shd w:val="clear" w:color="auto" w:fill="auto"/>
            <w:tcMar>
              <w:top w:w="15" w:type="dxa"/>
              <w:left w:w="96" w:type="dxa"/>
              <w:bottom w:w="0" w:type="dxa"/>
              <w:right w:w="96" w:type="dxa"/>
            </w:tcMar>
          </w:tcPr>
          <w:p w14:paraId="6951EC2F"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358 (2·3)</w:t>
            </w:r>
          </w:p>
        </w:tc>
        <w:tc>
          <w:tcPr>
            <w:tcW w:w="2360" w:type="dxa"/>
            <w:tcBorders>
              <w:top w:val="nil"/>
              <w:left w:val="nil"/>
              <w:bottom w:val="nil"/>
              <w:right w:val="nil"/>
            </w:tcBorders>
            <w:shd w:val="clear" w:color="auto" w:fill="auto"/>
            <w:tcMar>
              <w:top w:w="15" w:type="dxa"/>
              <w:left w:w="96" w:type="dxa"/>
              <w:bottom w:w="0" w:type="dxa"/>
              <w:right w:w="96" w:type="dxa"/>
            </w:tcMar>
          </w:tcPr>
          <w:p w14:paraId="06DEBD5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714 (2·3)</w:t>
            </w:r>
          </w:p>
        </w:tc>
      </w:tr>
      <w:tr w:rsidR="00681745" w:rsidRPr="00D11DC0" w14:paraId="71DFC386"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7A426B29" w14:textId="77777777" w:rsidR="00681745" w:rsidRPr="00D11DC0" w:rsidRDefault="00681745" w:rsidP="00EE4054">
            <w:pPr>
              <w:spacing w:before="60" w:after="0"/>
              <w:ind w:left="710" w:hanging="187"/>
              <w:rPr>
                <w:rFonts w:eastAsia="Times New Roman" w:cs="Times New Roman"/>
                <w:lang w:val="en-GB"/>
              </w:rPr>
            </w:pPr>
            <w:r w:rsidRPr="00D11DC0">
              <w:rPr>
                <w:rFonts w:eastAsia="Times New Roman" w:cs="Times New Roman"/>
                <w:lang w:val="en-GB"/>
              </w:rPr>
              <w:t>Germany</w:t>
            </w:r>
          </w:p>
        </w:tc>
        <w:tc>
          <w:tcPr>
            <w:tcW w:w="2430" w:type="dxa"/>
            <w:tcBorders>
              <w:top w:val="nil"/>
              <w:left w:val="nil"/>
              <w:bottom w:val="nil"/>
              <w:right w:val="nil"/>
            </w:tcBorders>
            <w:shd w:val="clear" w:color="auto" w:fill="auto"/>
            <w:tcMar>
              <w:top w:w="15" w:type="dxa"/>
              <w:left w:w="96" w:type="dxa"/>
              <w:bottom w:w="0" w:type="dxa"/>
              <w:right w:w="96" w:type="dxa"/>
            </w:tcMar>
          </w:tcPr>
          <w:p w14:paraId="6115ED04"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51 (0·3)</w:t>
            </w:r>
          </w:p>
        </w:tc>
        <w:tc>
          <w:tcPr>
            <w:tcW w:w="2090" w:type="dxa"/>
            <w:tcBorders>
              <w:top w:val="nil"/>
              <w:left w:val="nil"/>
              <w:bottom w:val="nil"/>
              <w:right w:val="nil"/>
            </w:tcBorders>
            <w:shd w:val="clear" w:color="auto" w:fill="auto"/>
            <w:tcMar>
              <w:top w:w="15" w:type="dxa"/>
              <w:left w:w="96" w:type="dxa"/>
              <w:bottom w:w="0" w:type="dxa"/>
              <w:right w:w="96" w:type="dxa"/>
            </w:tcMar>
          </w:tcPr>
          <w:p w14:paraId="2132ACAA"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49 (0·3)</w:t>
            </w:r>
          </w:p>
        </w:tc>
        <w:tc>
          <w:tcPr>
            <w:tcW w:w="2360" w:type="dxa"/>
            <w:tcBorders>
              <w:top w:val="nil"/>
              <w:left w:val="nil"/>
              <w:bottom w:val="nil"/>
              <w:right w:val="nil"/>
            </w:tcBorders>
            <w:shd w:val="clear" w:color="auto" w:fill="auto"/>
            <w:tcMar>
              <w:top w:w="15" w:type="dxa"/>
              <w:left w:w="96" w:type="dxa"/>
              <w:bottom w:w="0" w:type="dxa"/>
              <w:right w:w="96" w:type="dxa"/>
            </w:tcMar>
          </w:tcPr>
          <w:p w14:paraId="3016B30D"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100 (0·3)</w:t>
            </w:r>
          </w:p>
        </w:tc>
      </w:tr>
      <w:tr w:rsidR="00681745" w:rsidRPr="00D11DC0" w14:paraId="7F5A6314"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305CE8A9" w14:textId="77777777" w:rsidR="00681745" w:rsidRPr="00D11DC0" w:rsidRDefault="00681745" w:rsidP="00EE4054">
            <w:pPr>
              <w:spacing w:before="60" w:after="0"/>
              <w:ind w:left="710" w:hanging="187"/>
              <w:rPr>
                <w:rFonts w:eastAsia="Times New Roman" w:cs="Times New Roman"/>
                <w:lang w:val="en-GB"/>
              </w:rPr>
            </w:pPr>
            <w:r w:rsidRPr="00D11DC0">
              <w:rPr>
                <w:rFonts w:eastAsia="Times New Roman" w:cs="Times New Roman"/>
                <w:lang w:val="en-GB"/>
              </w:rPr>
              <w:t>Spain</w:t>
            </w:r>
          </w:p>
        </w:tc>
        <w:tc>
          <w:tcPr>
            <w:tcW w:w="2430" w:type="dxa"/>
            <w:tcBorders>
              <w:top w:val="nil"/>
              <w:left w:val="nil"/>
              <w:bottom w:val="nil"/>
              <w:right w:val="nil"/>
            </w:tcBorders>
            <w:shd w:val="clear" w:color="auto" w:fill="auto"/>
            <w:tcMar>
              <w:top w:w="15" w:type="dxa"/>
              <w:left w:w="96" w:type="dxa"/>
              <w:bottom w:w="0" w:type="dxa"/>
              <w:right w:w="96" w:type="dxa"/>
            </w:tcMar>
          </w:tcPr>
          <w:p w14:paraId="77567455"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1563 (10·0)</w:t>
            </w:r>
          </w:p>
        </w:tc>
        <w:tc>
          <w:tcPr>
            <w:tcW w:w="2090" w:type="dxa"/>
            <w:tcBorders>
              <w:top w:val="nil"/>
              <w:left w:val="nil"/>
              <w:bottom w:val="nil"/>
              <w:right w:val="nil"/>
            </w:tcBorders>
            <w:shd w:val="clear" w:color="auto" w:fill="auto"/>
            <w:tcMar>
              <w:top w:w="15" w:type="dxa"/>
              <w:left w:w="96" w:type="dxa"/>
              <w:bottom w:w="0" w:type="dxa"/>
              <w:right w:w="96" w:type="dxa"/>
            </w:tcMar>
          </w:tcPr>
          <w:p w14:paraId="4AB9D205"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1569 (10·1)</w:t>
            </w:r>
          </w:p>
        </w:tc>
        <w:tc>
          <w:tcPr>
            <w:tcW w:w="2360" w:type="dxa"/>
            <w:tcBorders>
              <w:top w:val="nil"/>
              <w:left w:val="nil"/>
              <w:bottom w:val="nil"/>
              <w:right w:val="nil"/>
            </w:tcBorders>
            <w:shd w:val="clear" w:color="auto" w:fill="auto"/>
            <w:tcMar>
              <w:top w:w="15" w:type="dxa"/>
              <w:left w:w="96" w:type="dxa"/>
              <w:bottom w:w="0" w:type="dxa"/>
              <w:right w:w="96" w:type="dxa"/>
            </w:tcMar>
          </w:tcPr>
          <w:p w14:paraId="55BAEE72"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3132 (10·0)</w:t>
            </w:r>
          </w:p>
        </w:tc>
      </w:tr>
      <w:tr w:rsidR="00681745" w:rsidRPr="00D11DC0" w14:paraId="494C2A19"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4997E409" w14:textId="77777777" w:rsidR="00681745" w:rsidRPr="00D11DC0" w:rsidRDefault="00681745" w:rsidP="00EE4054">
            <w:pPr>
              <w:spacing w:before="60" w:after="0"/>
              <w:ind w:left="710" w:hanging="187"/>
              <w:rPr>
                <w:rFonts w:eastAsia="Times New Roman" w:cs="Times New Roman"/>
                <w:lang w:val="en-GB"/>
              </w:rPr>
            </w:pPr>
            <w:r w:rsidRPr="00D11DC0">
              <w:rPr>
                <w:rFonts w:eastAsia="Times New Roman" w:cs="Times New Roman"/>
                <w:lang w:val="en-GB"/>
              </w:rPr>
              <w:t>United Kingdom</w:t>
            </w:r>
          </w:p>
        </w:tc>
        <w:tc>
          <w:tcPr>
            <w:tcW w:w="2430" w:type="dxa"/>
            <w:tcBorders>
              <w:top w:val="nil"/>
              <w:left w:val="nil"/>
              <w:bottom w:val="nil"/>
              <w:right w:val="nil"/>
            </w:tcBorders>
            <w:shd w:val="clear" w:color="auto" w:fill="auto"/>
            <w:tcMar>
              <w:top w:w="15" w:type="dxa"/>
              <w:left w:w="96" w:type="dxa"/>
              <w:bottom w:w="0" w:type="dxa"/>
              <w:right w:w="96" w:type="dxa"/>
            </w:tcMar>
          </w:tcPr>
          <w:p w14:paraId="63140B27"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2957 (18·8)</w:t>
            </w:r>
          </w:p>
        </w:tc>
        <w:tc>
          <w:tcPr>
            <w:tcW w:w="2090" w:type="dxa"/>
            <w:tcBorders>
              <w:top w:val="nil"/>
              <w:left w:val="nil"/>
              <w:bottom w:val="nil"/>
              <w:right w:val="nil"/>
            </w:tcBorders>
            <w:shd w:val="clear" w:color="auto" w:fill="auto"/>
            <w:tcMar>
              <w:top w:w="15" w:type="dxa"/>
              <w:left w:w="96" w:type="dxa"/>
              <w:bottom w:w="0" w:type="dxa"/>
              <w:right w:w="96" w:type="dxa"/>
            </w:tcMar>
          </w:tcPr>
          <w:p w14:paraId="12FCC7DD"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2948 (18·9)</w:t>
            </w:r>
          </w:p>
        </w:tc>
        <w:tc>
          <w:tcPr>
            <w:tcW w:w="2360" w:type="dxa"/>
            <w:tcBorders>
              <w:top w:val="nil"/>
              <w:left w:val="nil"/>
              <w:bottom w:val="nil"/>
              <w:right w:val="nil"/>
            </w:tcBorders>
            <w:shd w:val="clear" w:color="auto" w:fill="auto"/>
            <w:tcMar>
              <w:top w:w="15" w:type="dxa"/>
              <w:left w:w="96" w:type="dxa"/>
              <w:bottom w:w="0" w:type="dxa"/>
              <w:right w:w="96" w:type="dxa"/>
            </w:tcMar>
          </w:tcPr>
          <w:p w14:paraId="068C23F5"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5905 (18·9)</w:t>
            </w:r>
          </w:p>
        </w:tc>
      </w:tr>
      <w:tr w:rsidR="00681745" w:rsidRPr="00D11DC0" w14:paraId="23F76D1F"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09F7CE7D" w14:textId="77777777" w:rsidR="00681745" w:rsidRPr="00D11DC0" w:rsidRDefault="00681745" w:rsidP="00EE4054">
            <w:pPr>
              <w:spacing w:before="60" w:after="0"/>
              <w:ind w:left="518" w:hanging="187"/>
              <w:rPr>
                <w:rFonts w:eastAsia="Times New Roman" w:cs="Times New Roman"/>
                <w:lang w:val="en-GB"/>
              </w:rPr>
            </w:pPr>
            <w:r w:rsidRPr="00D11DC0">
              <w:rPr>
                <w:rFonts w:eastAsia="Times New Roman" w:cs="Times New Roman"/>
                <w:lang w:val="en-GB"/>
              </w:rPr>
              <w:t>Latin America</w:t>
            </w:r>
          </w:p>
        </w:tc>
        <w:tc>
          <w:tcPr>
            <w:tcW w:w="2430" w:type="dxa"/>
            <w:tcBorders>
              <w:top w:val="nil"/>
              <w:left w:val="nil"/>
              <w:bottom w:val="nil"/>
              <w:right w:val="nil"/>
            </w:tcBorders>
            <w:shd w:val="clear" w:color="auto" w:fill="auto"/>
            <w:tcMar>
              <w:top w:w="15" w:type="dxa"/>
              <w:left w:w="96" w:type="dxa"/>
              <w:bottom w:w="0" w:type="dxa"/>
              <w:right w:w="96" w:type="dxa"/>
            </w:tcMar>
          </w:tcPr>
          <w:p w14:paraId="02B936E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1325 (8·4)</w:t>
            </w:r>
          </w:p>
        </w:tc>
        <w:tc>
          <w:tcPr>
            <w:tcW w:w="2090" w:type="dxa"/>
            <w:tcBorders>
              <w:top w:val="nil"/>
              <w:left w:val="nil"/>
              <w:bottom w:val="nil"/>
              <w:right w:val="nil"/>
            </w:tcBorders>
            <w:shd w:val="clear" w:color="auto" w:fill="auto"/>
            <w:tcMar>
              <w:top w:w="15" w:type="dxa"/>
              <w:left w:w="96" w:type="dxa"/>
              <w:bottom w:w="0" w:type="dxa"/>
              <w:right w:w="96" w:type="dxa"/>
            </w:tcMar>
          </w:tcPr>
          <w:p w14:paraId="167B0253"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1324 (8·5)</w:t>
            </w:r>
          </w:p>
        </w:tc>
        <w:tc>
          <w:tcPr>
            <w:tcW w:w="2360" w:type="dxa"/>
            <w:tcBorders>
              <w:top w:val="nil"/>
              <w:left w:val="nil"/>
              <w:bottom w:val="nil"/>
              <w:right w:val="nil"/>
            </w:tcBorders>
            <w:shd w:val="clear" w:color="auto" w:fill="auto"/>
            <w:tcMar>
              <w:top w:w="15" w:type="dxa"/>
              <w:left w:w="96" w:type="dxa"/>
              <w:bottom w:w="0" w:type="dxa"/>
              <w:right w:w="96" w:type="dxa"/>
            </w:tcMar>
          </w:tcPr>
          <w:p w14:paraId="0814E08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2649 (8·5)</w:t>
            </w:r>
          </w:p>
        </w:tc>
      </w:tr>
      <w:tr w:rsidR="00681745" w:rsidRPr="00D11DC0" w14:paraId="6D5FFF44"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66220751" w14:textId="77777777" w:rsidR="00681745" w:rsidRPr="00D11DC0" w:rsidRDefault="00681745" w:rsidP="00EE4054">
            <w:pPr>
              <w:spacing w:before="60" w:after="0"/>
              <w:ind w:left="710" w:hanging="187"/>
              <w:rPr>
                <w:rFonts w:eastAsia="Times New Roman" w:cs="Times New Roman"/>
                <w:lang w:val="en-GB"/>
              </w:rPr>
            </w:pPr>
            <w:r w:rsidRPr="00D11DC0">
              <w:rPr>
                <w:rFonts w:eastAsia="Times New Roman" w:cs="Times New Roman"/>
                <w:lang w:val="en-GB"/>
              </w:rPr>
              <w:t>Brazil</w:t>
            </w:r>
          </w:p>
        </w:tc>
        <w:tc>
          <w:tcPr>
            <w:tcW w:w="2430" w:type="dxa"/>
            <w:tcBorders>
              <w:top w:val="nil"/>
              <w:left w:val="nil"/>
              <w:bottom w:val="nil"/>
              <w:right w:val="nil"/>
            </w:tcBorders>
            <w:shd w:val="clear" w:color="auto" w:fill="auto"/>
            <w:tcMar>
              <w:top w:w="15" w:type="dxa"/>
              <w:left w:w="96" w:type="dxa"/>
              <w:bottom w:w="0" w:type="dxa"/>
              <w:right w:w="96" w:type="dxa"/>
            </w:tcMar>
          </w:tcPr>
          <w:p w14:paraId="427F8C16"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251 (1·6)</w:t>
            </w:r>
          </w:p>
        </w:tc>
        <w:tc>
          <w:tcPr>
            <w:tcW w:w="2090" w:type="dxa"/>
            <w:tcBorders>
              <w:top w:val="nil"/>
              <w:left w:val="nil"/>
              <w:bottom w:val="nil"/>
              <w:right w:val="nil"/>
            </w:tcBorders>
            <w:shd w:val="clear" w:color="auto" w:fill="auto"/>
            <w:tcMar>
              <w:top w:w="15" w:type="dxa"/>
              <w:left w:w="96" w:type="dxa"/>
              <w:bottom w:w="0" w:type="dxa"/>
              <w:right w:w="96" w:type="dxa"/>
            </w:tcMar>
          </w:tcPr>
          <w:p w14:paraId="322E03C8"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249 (1·6)</w:t>
            </w:r>
          </w:p>
        </w:tc>
        <w:tc>
          <w:tcPr>
            <w:tcW w:w="2360" w:type="dxa"/>
            <w:tcBorders>
              <w:top w:val="nil"/>
              <w:left w:val="nil"/>
              <w:bottom w:val="nil"/>
              <w:right w:val="nil"/>
            </w:tcBorders>
            <w:shd w:val="clear" w:color="auto" w:fill="auto"/>
            <w:tcMar>
              <w:top w:w="15" w:type="dxa"/>
              <w:left w:w="96" w:type="dxa"/>
              <w:bottom w:w="0" w:type="dxa"/>
              <w:right w:w="96" w:type="dxa"/>
            </w:tcMar>
          </w:tcPr>
          <w:p w14:paraId="2A53D6B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500 (1·6)</w:t>
            </w:r>
          </w:p>
        </w:tc>
      </w:tr>
      <w:tr w:rsidR="00681745" w:rsidRPr="00D11DC0" w14:paraId="57F73F49"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16D0D209" w14:textId="77777777" w:rsidR="00681745" w:rsidRPr="00D11DC0" w:rsidRDefault="00681745" w:rsidP="00EE4054">
            <w:pPr>
              <w:spacing w:before="60" w:after="0"/>
              <w:ind w:left="710" w:hanging="187"/>
              <w:rPr>
                <w:rFonts w:eastAsia="Times New Roman" w:cs="Times New Roman"/>
                <w:lang w:val="en-GB"/>
              </w:rPr>
            </w:pPr>
            <w:r w:rsidRPr="00D11DC0">
              <w:rPr>
                <w:rFonts w:eastAsia="Times New Roman" w:cs="Times New Roman"/>
                <w:lang w:val="en-GB"/>
              </w:rPr>
              <w:lastRenderedPageBreak/>
              <w:t xml:space="preserve">Colombia </w:t>
            </w:r>
          </w:p>
        </w:tc>
        <w:tc>
          <w:tcPr>
            <w:tcW w:w="2430" w:type="dxa"/>
            <w:tcBorders>
              <w:top w:val="nil"/>
              <w:left w:val="nil"/>
              <w:bottom w:val="nil"/>
              <w:right w:val="nil"/>
            </w:tcBorders>
            <w:shd w:val="clear" w:color="auto" w:fill="auto"/>
            <w:tcMar>
              <w:top w:w="15" w:type="dxa"/>
              <w:left w:w="96" w:type="dxa"/>
              <w:bottom w:w="0" w:type="dxa"/>
              <w:right w:w="96" w:type="dxa"/>
            </w:tcMar>
          </w:tcPr>
          <w:p w14:paraId="64166056"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1074 (6·8)</w:t>
            </w:r>
          </w:p>
        </w:tc>
        <w:tc>
          <w:tcPr>
            <w:tcW w:w="2090" w:type="dxa"/>
            <w:tcBorders>
              <w:top w:val="nil"/>
              <w:left w:val="nil"/>
              <w:bottom w:val="nil"/>
              <w:right w:val="nil"/>
            </w:tcBorders>
            <w:shd w:val="clear" w:color="auto" w:fill="auto"/>
            <w:tcMar>
              <w:top w:w="15" w:type="dxa"/>
              <w:left w:w="96" w:type="dxa"/>
              <w:bottom w:w="0" w:type="dxa"/>
              <w:right w:w="96" w:type="dxa"/>
            </w:tcMar>
          </w:tcPr>
          <w:p w14:paraId="497A9E8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1075 (6·9)</w:t>
            </w:r>
          </w:p>
        </w:tc>
        <w:tc>
          <w:tcPr>
            <w:tcW w:w="2360" w:type="dxa"/>
            <w:tcBorders>
              <w:top w:val="nil"/>
              <w:left w:val="nil"/>
              <w:bottom w:val="nil"/>
              <w:right w:val="nil"/>
            </w:tcBorders>
            <w:shd w:val="clear" w:color="auto" w:fill="auto"/>
            <w:tcMar>
              <w:top w:w="15" w:type="dxa"/>
              <w:left w:w="96" w:type="dxa"/>
              <w:bottom w:w="0" w:type="dxa"/>
              <w:right w:w="96" w:type="dxa"/>
            </w:tcMar>
          </w:tcPr>
          <w:p w14:paraId="001F9DD9"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2149 (6·9)</w:t>
            </w:r>
          </w:p>
        </w:tc>
      </w:tr>
      <w:tr w:rsidR="00681745" w:rsidRPr="00D11DC0" w14:paraId="2A5E879A"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4343A8DD" w14:textId="77777777" w:rsidR="00681745" w:rsidRPr="00D11DC0" w:rsidRDefault="00681745" w:rsidP="00EE4054">
            <w:pPr>
              <w:spacing w:before="60" w:after="0"/>
              <w:ind w:left="518" w:hanging="187"/>
              <w:rPr>
                <w:rFonts w:eastAsia="Times New Roman" w:cs="Times New Roman"/>
                <w:lang w:val="en-GB"/>
              </w:rPr>
            </w:pPr>
            <w:r w:rsidRPr="00D11DC0">
              <w:rPr>
                <w:rFonts w:eastAsia="Times New Roman" w:cs="Times New Roman"/>
                <w:lang w:val="en-GB"/>
              </w:rPr>
              <w:t>Philippines</w:t>
            </w:r>
          </w:p>
        </w:tc>
        <w:tc>
          <w:tcPr>
            <w:tcW w:w="2430" w:type="dxa"/>
            <w:tcBorders>
              <w:top w:val="nil"/>
              <w:left w:val="nil"/>
              <w:bottom w:val="nil"/>
              <w:right w:val="nil"/>
            </w:tcBorders>
            <w:shd w:val="clear" w:color="auto" w:fill="auto"/>
            <w:tcMar>
              <w:top w:w="15" w:type="dxa"/>
              <w:left w:w="96" w:type="dxa"/>
              <w:bottom w:w="0" w:type="dxa"/>
              <w:right w:w="96" w:type="dxa"/>
            </w:tcMar>
          </w:tcPr>
          <w:p w14:paraId="15B20A3E"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784 (5·0)</w:t>
            </w:r>
          </w:p>
        </w:tc>
        <w:tc>
          <w:tcPr>
            <w:tcW w:w="2090" w:type="dxa"/>
            <w:tcBorders>
              <w:top w:val="nil"/>
              <w:left w:val="nil"/>
              <w:bottom w:val="nil"/>
              <w:right w:val="nil"/>
            </w:tcBorders>
            <w:shd w:val="clear" w:color="auto" w:fill="auto"/>
            <w:tcMar>
              <w:top w:w="15" w:type="dxa"/>
              <w:left w:w="96" w:type="dxa"/>
              <w:bottom w:w="0" w:type="dxa"/>
              <w:right w:w="96" w:type="dxa"/>
            </w:tcMar>
          </w:tcPr>
          <w:p w14:paraId="6A3FABD6"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788 (5·1)</w:t>
            </w:r>
          </w:p>
        </w:tc>
        <w:tc>
          <w:tcPr>
            <w:tcW w:w="2360" w:type="dxa"/>
            <w:tcBorders>
              <w:top w:val="nil"/>
              <w:left w:val="nil"/>
              <w:bottom w:val="nil"/>
              <w:right w:val="nil"/>
            </w:tcBorders>
            <w:shd w:val="clear" w:color="auto" w:fill="auto"/>
            <w:tcMar>
              <w:top w:w="15" w:type="dxa"/>
              <w:left w:w="96" w:type="dxa"/>
              <w:bottom w:w="0" w:type="dxa"/>
              <w:right w:w="96" w:type="dxa"/>
            </w:tcMar>
          </w:tcPr>
          <w:p w14:paraId="27B01D3D"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1572 (5·0)</w:t>
            </w:r>
          </w:p>
        </w:tc>
      </w:tr>
      <w:tr w:rsidR="00681745" w:rsidRPr="00D11DC0" w14:paraId="07350743"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0784DBA4" w14:textId="77777777" w:rsidR="00681745" w:rsidRPr="00D11DC0" w:rsidRDefault="00681745" w:rsidP="00EE4054">
            <w:pPr>
              <w:spacing w:before="60" w:after="0"/>
              <w:ind w:left="518" w:hanging="187"/>
              <w:rPr>
                <w:rFonts w:eastAsia="Times New Roman" w:cs="Times New Roman"/>
                <w:lang w:val="en-GB"/>
              </w:rPr>
            </w:pPr>
            <w:r w:rsidRPr="00D11DC0">
              <w:rPr>
                <w:rFonts w:eastAsia="Times New Roman" w:cs="Times New Roman"/>
                <w:lang w:val="en-GB"/>
              </w:rPr>
              <w:t>South Africa</w:t>
            </w:r>
          </w:p>
        </w:tc>
        <w:tc>
          <w:tcPr>
            <w:tcW w:w="2430" w:type="dxa"/>
            <w:tcBorders>
              <w:top w:val="nil"/>
              <w:left w:val="nil"/>
              <w:bottom w:val="nil"/>
              <w:right w:val="nil"/>
            </w:tcBorders>
            <w:shd w:val="clear" w:color="auto" w:fill="auto"/>
            <w:tcMar>
              <w:top w:w="15" w:type="dxa"/>
              <w:left w:w="96" w:type="dxa"/>
              <w:bottom w:w="0" w:type="dxa"/>
              <w:right w:w="96" w:type="dxa"/>
            </w:tcMar>
          </w:tcPr>
          <w:p w14:paraId="0EEADB01"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1037 (6·6)</w:t>
            </w:r>
          </w:p>
        </w:tc>
        <w:tc>
          <w:tcPr>
            <w:tcW w:w="2090" w:type="dxa"/>
            <w:tcBorders>
              <w:top w:val="nil"/>
              <w:left w:val="nil"/>
              <w:bottom w:val="nil"/>
              <w:right w:val="nil"/>
            </w:tcBorders>
            <w:shd w:val="clear" w:color="auto" w:fill="auto"/>
            <w:tcMar>
              <w:top w:w="15" w:type="dxa"/>
              <w:left w:w="96" w:type="dxa"/>
              <w:bottom w:w="0" w:type="dxa"/>
              <w:right w:w="96" w:type="dxa"/>
            </w:tcMar>
          </w:tcPr>
          <w:p w14:paraId="62E06038"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1035 (6·6)</w:t>
            </w:r>
          </w:p>
        </w:tc>
        <w:tc>
          <w:tcPr>
            <w:tcW w:w="2360" w:type="dxa"/>
            <w:tcBorders>
              <w:top w:val="nil"/>
              <w:left w:val="nil"/>
              <w:bottom w:val="nil"/>
              <w:right w:val="nil"/>
            </w:tcBorders>
            <w:shd w:val="clear" w:color="auto" w:fill="auto"/>
            <w:tcMar>
              <w:top w:w="15" w:type="dxa"/>
              <w:left w:w="96" w:type="dxa"/>
              <w:bottom w:w="0" w:type="dxa"/>
              <w:right w:w="96" w:type="dxa"/>
            </w:tcMar>
          </w:tcPr>
          <w:p w14:paraId="54D840A6"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2072 (6·6)</w:t>
            </w:r>
          </w:p>
        </w:tc>
      </w:tr>
      <w:tr w:rsidR="00681745" w:rsidRPr="00D11DC0" w14:paraId="592871E2"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1864387C" w14:textId="77777777" w:rsidR="00681745" w:rsidRPr="00D11DC0" w:rsidRDefault="00681745" w:rsidP="00EE4054">
            <w:pPr>
              <w:spacing w:before="60" w:after="0"/>
              <w:ind w:left="518" w:hanging="187"/>
              <w:rPr>
                <w:rFonts w:eastAsia="Times New Roman" w:cs="Times New Roman"/>
                <w:lang w:val="en-GB"/>
              </w:rPr>
            </w:pPr>
            <w:r w:rsidRPr="00D11DC0">
              <w:rPr>
                <w:rFonts w:eastAsia="Times New Roman" w:cs="Times New Roman"/>
                <w:lang w:val="en-GB"/>
              </w:rPr>
              <w:t>United States</w:t>
            </w:r>
          </w:p>
        </w:tc>
        <w:tc>
          <w:tcPr>
            <w:tcW w:w="2430" w:type="dxa"/>
            <w:tcBorders>
              <w:top w:val="nil"/>
              <w:left w:val="nil"/>
              <w:bottom w:val="nil"/>
              <w:right w:val="nil"/>
            </w:tcBorders>
            <w:shd w:val="clear" w:color="auto" w:fill="auto"/>
            <w:tcMar>
              <w:top w:w="15" w:type="dxa"/>
              <w:left w:w="96" w:type="dxa"/>
              <w:bottom w:w="0" w:type="dxa"/>
              <w:right w:w="96" w:type="dxa"/>
            </w:tcMar>
          </w:tcPr>
          <w:p w14:paraId="57D7A7CA"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6145 (39·1)</w:t>
            </w:r>
          </w:p>
        </w:tc>
        <w:tc>
          <w:tcPr>
            <w:tcW w:w="2090" w:type="dxa"/>
            <w:tcBorders>
              <w:top w:val="nil"/>
              <w:left w:val="nil"/>
              <w:bottom w:val="nil"/>
              <w:right w:val="nil"/>
            </w:tcBorders>
            <w:shd w:val="clear" w:color="auto" w:fill="auto"/>
            <w:tcMar>
              <w:top w:w="15" w:type="dxa"/>
              <w:left w:w="96" w:type="dxa"/>
              <w:bottom w:w="0" w:type="dxa"/>
              <w:right w:w="96" w:type="dxa"/>
            </w:tcMar>
          </w:tcPr>
          <w:p w14:paraId="074CD9D0"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6029 (38·7)</w:t>
            </w:r>
          </w:p>
        </w:tc>
        <w:tc>
          <w:tcPr>
            <w:tcW w:w="2360" w:type="dxa"/>
            <w:tcBorders>
              <w:top w:val="nil"/>
              <w:left w:val="nil"/>
              <w:bottom w:val="nil"/>
              <w:right w:val="nil"/>
            </w:tcBorders>
            <w:shd w:val="clear" w:color="auto" w:fill="auto"/>
            <w:tcMar>
              <w:top w:w="15" w:type="dxa"/>
              <w:left w:w="96" w:type="dxa"/>
              <w:bottom w:w="0" w:type="dxa"/>
              <w:right w:w="96" w:type="dxa"/>
            </w:tcMar>
          </w:tcPr>
          <w:p w14:paraId="2A4CA37B"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12,174 (38·9)</w:t>
            </w:r>
          </w:p>
        </w:tc>
      </w:tr>
      <w:tr w:rsidR="00681745" w:rsidRPr="00D11DC0" w14:paraId="4E2744FA"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7FA5E0E3" w14:textId="77777777" w:rsidR="00681745" w:rsidRPr="00D11DC0" w:rsidRDefault="00681745" w:rsidP="00EE4054">
            <w:pPr>
              <w:spacing w:before="60" w:after="0"/>
              <w:rPr>
                <w:rFonts w:eastAsia="Times New Roman" w:cs="Times New Roman"/>
                <w:lang w:val="en-GB"/>
              </w:rPr>
            </w:pPr>
            <w:r w:rsidRPr="00D11DC0">
              <w:rPr>
                <w:rFonts w:eastAsia="Times New Roman" w:cs="Times New Roman"/>
                <w:color w:val="000000" w:themeColor="text1"/>
                <w:kern w:val="24"/>
                <w:lang w:val="en-GB"/>
              </w:rPr>
              <w:t>SARS-CoV-2 serostatus – no. (%)</w:t>
            </w:r>
          </w:p>
        </w:tc>
        <w:tc>
          <w:tcPr>
            <w:tcW w:w="2430" w:type="dxa"/>
            <w:tcBorders>
              <w:top w:val="nil"/>
              <w:left w:val="nil"/>
              <w:bottom w:val="nil"/>
              <w:right w:val="nil"/>
            </w:tcBorders>
            <w:shd w:val="clear" w:color="auto" w:fill="auto"/>
            <w:tcMar>
              <w:top w:w="15" w:type="dxa"/>
              <w:left w:w="96" w:type="dxa"/>
              <w:bottom w:w="0" w:type="dxa"/>
              <w:right w:w="96" w:type="dxa"/>
            </w:tcMar>
          </w:tcPr>
          <w:p w14:paraId="19B152FD"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15,708</w:t>
            </w:r>
          </w:p>
        </w:tc>
        <w:tc>
          <w:tcPr>
            <w:tcW w:w="2090" w:type="dxa"/>
            <w:tcBorders>
              <w:top w:val="nil"/>
              <w:left w:val="nil"/>
              <w:bottom w:val="nil"/>
              <w:right w:val="nil"/>
            </w:tcBorders>
            <w:shd w:val="clear" w:color="auto" w:fill="auto"/>
            <w:tcMar>
              <w:top w:w="15" w:type="dxa"/>
              <w:left w:w="96" w:type="dxa"/>
              <w:bottom w:w="0" w:type="dxa"/>
              <w:right w:w="96" w:type="dxa"/>
            </w:tcMar>
          </w:tcPr>
          <w:p w14:paraId="42C96464"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15,592</w:t>
            </w:r>
          </w:p>
        </w:tc>
        <w:tc>
          <w:tcPr>
            <w:tcW w:w="2360" w:type="dxa"/>
            <w:tcBorders>
              <w:top w:val="nil"/>
              <w:left w:val="nil"/>
              <w:bottom w:val="nil"/>
              <w:right w:val="nil"/>
            </w:tcBorders>
            <w:shd w:val="clear" w:color="auto" w:fill="auto"/>
            <w:tcMar>
              <w:top w:w="15" w:type="dxa"/>
              <w:left w:w="96" w:type="dxa"/>
              <w:bottom w:w="0" w:type="dxa"/>
              <w:right w:w="96" w:type="dxa"/>
            </w:tcMar>
          </w:tcPr>
          <w:p w14:paraId="431D17CF"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31,300</w:t>
            </w:r>
          </w:p>
        </w:tc>
      </w:tr>
      <w:tr w:rsidR="00681745" w:rsidRPr="00D11DC0" w14:paraId="4D6A309A"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538E106C" w14:textId="77777777" w:rsidR="00681745" w:rsidRPr="00D11DC0" w:rsidRDefault="00681745" w:rsidP="00EE4054">
            <w:pPr>
              <w:spacing w:before="60" w:after="0"/>
              <w:ind w:left="329"/>
              <w:rPr>
                <w:rFonts w:eastAsia="Times New Roman" w:cs="Times New Roman"/>
                <w:color w:val="000000" w:themeColor="text1"/>
                <w:kern w:val="24"/>
                <w:lang w:val="en-GB"/>
              </w:rPr>
            </w:pPr>
            <w:r w:rsidRPr="00D11DC0">
              <w:rPr>
                <w:rFonts w:eastAsia="Times New Roman" w:cs="Times New Roman"/>
                <w:color w:val="000000" w:themeColor="text1"/>
                <w:kern w:val="24"/>
                <w:lang w:val="en-GB"/>
              </w:rPr>
              <w:t>Positive</w:t>
            </w:r>
          </w:p>
        </w:tc>
        <w:tc>
          <w:tcPr>
            <w:tcW w:w="2430" w:type="dxa"/>
            <w:tcBorders>
              <w:top w:val="nil"/>
              <w:left w:val="nil"/>
              <w:bottom w:val="nil"/>
              <w:right w:val="nil"/>
            </w:tcBorders>
            <w:shd w:val="clear" w:color="auto" w:fill="auto"/>
            <w:tcMar>
              <w:top w:w="15" w:type="dxa"/>
              <w:left w:w="96" w:type="dxa"/>
              <w:bottom w:w="0" w:type="dxa"/>
              <w:right w:w="96" w:type="dxa"/>
            </w:tcMar>
          </w:tcPr>
          <w:p w14:paraId="0C18E4C4"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1757 (11·2)</w:t>
            </w:r>
          </w:p>
        </w:tc>
        <w:tc>
          <w:tcPr>
            <w:tcW w:w="2090" w:type="dxa"/>
            <w:tcBorders>
              <w:top w:val="nil"/>
              <w:left w:val="nil"/>
              <w:bottom w:val="nil"/>
              <w:right w:val="nil"/>
            </w:tcBorders>
            <w:shd w:val="clear" w:color="auto" w:fill="auto"/>
            <w:tcMar>
              <w:top w:w="15" w:type="dxa"/>
              <w:left w:w="96" w:type="dxa"/>
              <w:bottom w:w="0" w:type="dxa"/>
              <w:right w:w="96" w:type="dxa"/>
            </w:tcMar>
          </w:tcPr>
          <w:p w14:paraId="320CEB67"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1721 (11·0)</w:t>
            </w:r>
          </w:p>
        </w:tc>
        <w:tc>
          <w:tcPr>
            <w:tcW w:w="2360" w:type="dxa"/>
            <w:tcBorders>
              <w:top w:val="nil"/>
              <w:left w:val="nil"/>
              <w:bottom w:val="nil"/>
              <w:right w:val="nil"/>
            </w:tcBorders>
            <w:shd w:val="clear" w:color="auto" w:fill="auto"/>
            <w:tcMar>
              <w:top w:w="15" w:type="dxa"/>
              <w:left w:w="96" w:type="dxa"/>
              <w:bottom w:w="0" w:type="dxa"/>
              <w:right w:w="96" w:type="dxa"/>
            </w:tcMar>
          </w:tcPr>
          <w:p w14:paraId="34AF8ABC"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3478 (11·1)</w:t>
            </w:r>
          </w:p>
        </w:tc>
      </w:tr>
      <w:tr w:rsidR="00681745" w:rsidRPr="00D11DC0" w14:paraId="7A972DC3"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7DD769C5" w14:textId="77777777" w:rsidR="00681745" w:rsidRPr="00D11DC0" w:rsidRDefault="00681745" w:rsidP="00EE4054">
            <w:pPr>
              <w:spacing w:before="60" w:after="0"/>
              <w:ind w:left="329"/>
              <w:rPr>
                <w:rFonts w:eastAsia="Times New Roman" w:cs="Times New Roman"/>
                <w:color w:val="000000" w:themeColor="text1"/>
                <w:kern w:val="24"/>
                <w:lang w:val="en-GB"/>
              </w:rPr>
            </w:pPr>
            <w:r w:rsidRPr="00D11DC0">
              <w:rPr>
                <w:rFonts w:eastAsia="Times New Roman" w:cs="Times New Roman"/>
                <w:color w:val="000000" w:themeColor="text1"/>
                <w:kern w:val="24"/>
                <w:lang w:val="en-GB"/>
              </w:rPr>
              <w:t>Negative</w:t>
            </w:r>
          </w:p>
        </w:tc>
        <w:tc>
          <w:tcPr>
            <w:tcW w:w="2430" w:type="dxa"/>
            <w:tcBorders>
              <w:top w:val="nil"/>
              <w:left w:val="nil"/>
              <w:bottom w:val="nil"/>
              <w:right w:val="nil"/>
            </w:tcBorders>
            <w:shd w:val="clear" w:color="auto" w:fill="auto"/>
            <w:tcMar>
              <w:top w:w="15" w:type="dxa"/>
              <w:left w:w="96" w:type="dxa"/>
              <w:bottom w:w="0" w:type="dxa"/>
              <w:right w:w="96" w:type="dxa"/>
            </w:tcMar>
          </w:tcPr>
          <w:p w14:paraId="4C01A500"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lang w:val="en-GB"/>
              </w:rPr>
              <w:t>13,803 (87·9)</w:t>
            </w:r>
          </w:p>
        </w:tc>
        <w:tc>
          <w:tcPr>
            <w:tcW w:w="2090" w:type="dxa"/>
            <w:tcBorders>
              <w:top w:val="nil"/>
              <w:left w:val="nil"/>
              <w:bottom w:val="nil"/>
              <w:right w:val="nil"/>
            </w:tcBorders>
            <w:shd w:val="clear" w:color="auto" w:fill="auto"/>
            <w:tcMar>
              <w:top w:w="15" w:type="dxa"/>
              <w:left w:w="96" w:type="dxa"/>
              <w:bottom w:w="0" w:type="dxa"/>
              <w:right w:w="96" w:type="dxa"/>
            </w:tcMar>
          </w:tcPr>
          <w:p w14:paraId="7623C358"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lang w:val="en-GB"/>
              </w:rPr>
              <w:t>13,759 (88·2)</w:t>
            </w:r>
          </w:p>
        </w:tc>
        <w:tc>
          <w:tcPr>
            <w:tcW w:w="2360" w:type="dxa"/>
            <w:tcBorders>
              <w:top w:val="nil"/>
              <w:left w:val="nil"/>
              <w:bottom w:val="nil"/>
              <w:right w:val="nil"/>
            </w:tcBorders>
            <w:shd w:val="clear" w:color="auto" w:fill="auto"/>
            <w:tcMar>
              <w:top w:w="15" w:type="dxa"/>
              <w:left w:w="96" w:type="dxa"/>
              <w:bottom w:w="0" w:type="dxa"/>
              <w:right w:w="96" w:type="dxa"/>
            </w:tcMar>
          </w:tcPr>
          <w:p w14:paraId="5509F8B5"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lang w:val="en-GB"/>
              </w:rPr>
              <w:t>27,562 (88·1)</w:t>
            </w:r>
          </w:p>
        </w:tc>
      </w:tr>
      <w:tr w:rsidR="00681745" w:rsidRPr="00D11DC0" w14:paraId="363DC3F4"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tcPr>
          <w:p w14:paraId="14C39544" w14:textId="77777777" w:rsidR="00681745" w:rsidRPr="00D11DC0" w:rsidRDefault="00681745" w:rsidP="00EE4054">
            <w:pPr>
              <w:spacing w:before="60" w:after="0"/>
              <w:ind w:left="329"/>
              <w:rPr>
                <w:rFonts w:eastAsia="Times New Roman" w:cs="Times New Roman"/>
                <w:color w:val="000000" w:themeColor="text1"/>
                <w:kern w:val="24"/>
                <w:lang w:val="en-GB"/>
              </w:rPr>
            </w:pPr>
            <w:r w:rsidRPr="00D11DC0">
              <w:rPr>
                <w:rFonts w:eastAsia="Times New Roman" w:cs="Times New Roman"/>
                <w:color w:val="000000" w:themeColor="text1"/>
                <w:kern w:val="24"/>
                <w:lang w:val="en-GB"/>
              </w:rPr>
              <w:t>Missing</w:t>
            </w:r>
          </w:p>
        </w:tc>
        <w:tc>
          <w:tcPr>
            <w:tcW w:w="2430" w:type="dxa"/>
            <w:tcBorders>
              <w:top w:val="nil"/>
              <w:left w:val="nil"/>
              <w:bottom w:val="nil"/>
              <w:right w:val="nil"/>
            </w:tcBorders>
            <w:shd w:val="clear" w:color="auto" w:fill="auto"/>
            <w:tcMar>
              <w:top w:w="15" w:type="dxa"/>
              <w:left w:w="96" w:type="dxa"/>
              <w:bottom w:w="0" w:type="dxa"/>
              <w:right w:w="96" w:type="dxa"/>
            </w:tcMar>
          </w:tcPr>
          <w:p w14:paraId="2E421C42"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lang w:val="en-GB"/>
              </w:rPr>
              <w:t>148 (0·9)</w:t>
            </w:r>
          </w:p>
        </w:tc>
        <w:tc>
          <w:tcPr>
            <w:tcW w:w="2090" w:type="dxa"/>
            <w:tcBorders>
              <w:top w:val="nil"/>
              <w:left w:val="nil"/>
              <w:bottom w:val="nil"/>
              <w:right w:val="nil"/>
            </w:tcBorders>
            <w:shd w:val="clear" w:color="auto" w:fill="auto"/>
            <w:tcMar>
              <w:top w:w="15" w:type="dxa"/>
              <w:left w:w="96" w:type="dxa"/>
              <w:bottom w:w="0" w:type="dxa"/>
              <w:right w:w="96" w:type="dxa"/>
            </w:tcMar>
          </w:tcPr>
          <w:p w14:paraId="3942DF8D"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lang w:val="en-GB"/>
              </w:rPr>
              <w:t>112 (0·7)</w:t>
            </w:r>
          </w:p>
        </w:tc>
        <w:tc>
          <w:tcPr>
            <w:tcW w:w="2360" w:type="dxa"/>
            <w:tcBorders>
              <w:top w:val="nil"/>
              <w:left w:val="nil"/>
              <w:bottom w:val="nil"/>
              <w:right w:val="nil"/>
            </w:tcBorders>
            <w:shd w:val="clear" w:color="auto" w:fill="auto"/>
            <w:tcMar>
              <w:top w:w="15" w:type="dxa"/>
              <w:left w:w="96" w:type="dxa"/>
              <w:bottom w:w="0" w:type="dxa"/>
              <w:right w:w="96" w:type="dxa"/>
            </w:tcMar>
          </w:tcPr>
          <w:p w14:paraId="5586FA50" w14:textId="77777777" w:rsidR="00681745" w:rsidRPr="00D11DC0" w:rsidRDefault="00681745" w:rsidP="00EE4054">
            <w:pPr>
              <w:spacing w:before="60" w:after="0"/>
              <w:jc w:val="center"/>
              <w:rPr>
                <w:rFonts w:eastAsia="Times New Roman" w:cs="Times New Roman"/>
                <w:color w:val="000000" w:themeColor="text1"/>
                <w:kern w:val="24"/>
                <w:lang w:val="en-GB"/>
              </w:rPr>
            </w:pPr>
            <w:r w:rsidRPr="00D11DC0">
              <w:rPr>
                <w:lang w:val="en-GB"/>
              </w:rPr>
              <w:t>260 (0·8)</w:t>
            </w:r>
          </w:p>
        </w:tc>
      </w:tr>
      <w:tr w:rsidR="00681745" w:rsidRPr="00D11DC0" w14:paraId="454103BD"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7A9328E6" w14:textId="77777777" w:rsidR="00681745" w:rsidRPr="00D11DC0" w:rsidRDefault="00681745" w:rsidP="00EE4054">
            <w:pPr>
              <w:spacing w:before="60" w:after="0"/>
              <w:rPr>
                <w:rFonts w:eastAsia="Times New Roman" w:cs="Times New Roman"/>
                <w:vertAlign w:val="superscript"/>
                <w:lang w:val="en-GB"/>
              </w:rPr>
            </w:pPr>
            <w:r w:rsidRPr="00D11DC0">
              <w:rPr>
                <w:rFonts w:eastAsia="Times New Roman" w:cs="Times New Roman"/>
                <w:color w:val="000000" w:themeColor="text1"/>
                <w:kern w:val="24"/>
                <w:lang w:val="en-GB"/>
              </w:rPr>
              <w:t>Body-mass index</w:t>
            </w:r>
          </w:p>
        </w:tc>
        <w:tc>
          <w:tcPr>
            <w:tcW w:w="2430" w:type="dxa"/>
            <w:tcBorders>
              <w:top w:val="nil"/>
              <w:left w:val="nil"/>
              <w:bottom w:val="nil"/>
              <w:right w:val="nil"/>
            </w:tcBorders>
            <w:shd w:val="clear" w:color="auto" w:fill="auto"/>
            <w:tcMar>
              <w:top w:w="15" w:type="dxa"/>
              <w:left w:w="96" w:type="dxa"/>
              <w:bottom w:w="0" w:type="dxa"/>
              <w:right w:w="96" w:type="dxa"/>
            </w:tcMar>
          </w:tcPr>
          <w:p w14:paraId="7A9507C5"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15,691</w:t>
            </w:r>
          </w:p>
        </w:tc>
        <w:tc>
          <w:tcPr>
            <w:tcW w:w="2090" w:type="dxa"/>
            <w:tcBorders>
              <w:top w:val="nil"/>
              <w:left w:val="nil"/>
              <w:bottom w:val="nil"/>
              <w:right w:val="nil"/>
            </w:tcBorders>
            <w:shd w:val="clear" w:color="auto" w:fill="auto"/>
            <w:tcMar>
              <w:top w:w="15" w:type="dxa"/>
              <w:left w:w="96" w:type="dxa"/>
              <w:bottom w:w="0" w:type="dxa"/>
              <w:right w:w="96" w:type="dxa"/>
            </w:tcMar>
          </w:tcPr>
          <w:p w14:paraId="42581976"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15,583</w:t>
            </w:r>
          </w:p>
        </w:tc>
        <w:tc>
          <w:tcPr>
            <w:tcW w:w="2360" w:type="dxa"/>
            <w:tcBorders>
              <w:top w:val="nil"/>
              <w:left w:val="nil"/>
              <w:bottom w:val="nil"/>
              <w:right w:val="nil"/>
            </w:tcBorders>
            <w:shd w:val="clear" w:color="auto" w:fill="auto"/>
            <w:tcMar>
              <w:top w:w="15" w:type="dxa"/>
              <w:left w:w="96" w:type="dxa"/>
              <w:bottom w:w="0" w:type="dxa"/>
              <w:right w:w="96" w:type="dxa"/>
            </w:tcMar>
          </w:tcPr>
          <w:p w14:paraId="48D59850" w14:textId="77777777" w:rsidR="00681745" w:rsidRPr="00D11DC0" w:rsidRDefault="00681745" w:rsidP="00EE4054">
            <w:pPr>
              <w:spacing w:before="60" w:after="0"/>
              <w:jc w:val="center"/>
              <w:rPr>
                <w:rFonts w:eastAsia="Times New Roman" w:cs="Times New Roman"/>
                <w:lang w:val="en-GB"/>
              </w:rPr>
            </w:pPr>
            <w:r w:rsidRPr="00D11DC0">
              <w:rPr>
                <w:rFonts w:eastAsia="Times New Roman" w:cs="Times New Roman"/>
                <w:lang w:val="en-GB"/>
              </w:rPr>
              <w:t>31,274</w:t>
            </w:r>
          </w:p>
        </w:tc>
      </w:tr>
      <w:tr w:rsidR="00681745" w:rsidRPr="00D11DC0" w14:paraId="660573CC" w14:textId="77777777" w:rsidTr="00EE4054">
        <w:trPr>
          <w:trHeight w:val="288"/>
        </w:trPr>
        <w:tc>
          <w:tcPr>
            <w:tcW w:w="2694" w:type="dxa"/>
            <w:tcBorders>
              <w:top w:val="nil"/>
              <w:left w:val="nil"/>
              <w:bottom w:val="nil"/>
              <w:right w:val="nil"/>
            </w:tcBorders>
            <w:shd w:val="clear" w:color="auto" w:fill="auto"/>
            <w:tcMar>
              <w:top w:w="15" w:type="dxa"/>
              <w:left w:w="96" w:type="dxa"/>
              <w:bottom w:w="0" w:type="dxa"/>
              <w:right w:w="96" w:type="dxa"/>
            </w:tcMar>
            <w:hideMark/>
          </w:tcPr>
          <w:p w14:paraId="6A3938DB" w14:textId="77777777" w:rsidR="00681745" w:rsidRPr="00D11DC0" w:rsidRDefault="00681745" w:rsidP="00EE4054">
            <w:pPr>
              <w:spacing w:before="60" w:after="0"/>
              <w:ind w:left="331" w:hanging="187"/>
              <w:rPr>
                <w:rFonts w:eastAsia="Times New Roman" w:cs="Times New Roman"/>
                <w:lang w:val="en-GB"/>
              </w:rPr>
            </w:pPr>
            <w:r w:rsidRPr="00D11DC0">
              <w:rPr>
                <w:rFonts w:eastAsia="Times New Roman" w:cs="Times New Roman"/>
                <w:color w:val="000000" w:themeColor="text1"/>
                <w:kern w:val="24"/>
                <w:lang w:val="en-GB"/>
              </w:rPr>
              <w:t>Median</w:t>
            </w:r>
            <w:r>
              <w:rPr>
                <w:rFonts w:eastAsia="Times New Roman" w:cs="Times New Roman"/>
                <w:color w:val="000000" w:themeColor="text1"/>
                <w:kern w:val="24"/>
                <w:lang w:val="en-GB"/>
              </w:rPr>
              <w:t xml:space="preserve"> (IQR)</w:t>
            </w:r>
          </w:p>
        </w:tc>
        <w:tc>
          <w:tcPr>
            <w:tcW w:w="2430" w:type="dxa"/>
            <w:tcBorders>
              <w:top w:val="nil"/>
              <w:left w:val="nil"/>
              <w:bottom w:val="nil"/>
              <w:right w:val="nil"/>
            </w:tcBorders>
            <w:shd w:val="clear" w:color="auto" w:fill="auto"/>
            <w:tcMar>
              <w:top w:w="15" w:type="dxa"/>
              <w:left w:w="96" w:type="dxa"/>
              <w:bottom w:w="0" w:type="dxa"/>
              <w:right w:w="96" w:type="dxa"/>
            </w:tcMar>
          </w:tcPr>
          <w:p w14:paraId="3047298A" w14:textId="77777777" w:rsidR="00681745" w:rsidRPr="00D11DC0" w:rsidRDefault="00681745" w:rsidP="00EE4054">
            <w:pPr>
              <w:spacing w:before="60" w:after="0"/>
              <w:jc w:val="center"/>
              <w:rPr>
                <w:rFonts w:eastAsia="Times New Roman" w:cs="Times New Roman"/>
                <w:lang w:val="en-GB"/>
              </w:rPr>
            </w:pPr>
            <w:r w:rsidRPr="00D11DC0">
              <w:rPr>
                <w:lang w:val="en-GB"/>
              </w:rPr>
              <w:t>26·5</w:t>
            </w:r>
            <w:r>
              <w:rPr>
                <w:lang w:val="en-GB"/>
              </w:rPr>
              <w:t xml:space="preserve"> (23</w:t>
            </w:r>
            <w:r w:rsidRPr="00D11DC0">
              <w:rPr>
                <w:lang w:val="en-GB"/>
              </w:rPr>
              <w:t>·</w:t>
            </w:r>
            <w:r>
              <w:rPr>
                <w:lang w:val="en-GB"/>
              </w:rPr>
              <w:t>5-30</w:t>
            </w:r>
            <w:r w:rsidRPr="00D11DC0">
              <w:rPr>
                <w:lang w:val="en-GB"/>
              </w:rPr>
              <w:t>·</w:t>
            </w:r>
            <w:r>
              <w:rPr>
                <w:lang w:val="en-GB"/>
              </w:rPr>
              <w:t>2)</w:t>
            </w:r>
          </w:p>
        </w:tc>
        <w:tc>
          <w:tcPr>
            <w:tcW w:w="2090" w:type="dxa"/>
            <w:tcBorders>
              <w:top w:val="nil"/>
              <w:left w:val="nil"/>
              <w:bottom w:val="nil"/>
              <w:right w:val="nil"/>
            </w:tcBorders>
            <w:shd w:val="clear" w:color="auto" w:fill="auto"/>
            <w:tcMar>
              <w:top w:w="15" w:type="dxa"/>
              <w:left w:w="96" w:type="dxa"/>
              <w:bottom w:w="0" w:type="dxa"/>
              <w:right w:w="96" w:type="dxa"/>
            </w:tcMar>
          </w:tcPr>
          <w:p w14:paraId="35114FE7" w14:textId="77777777" w:rsidR="00681745" w:rsidRPr="00D11DC0" w:rsidRDefault="00681745" w:rsidP="00EE4054">
            <w:pPr>
              <w:spacing w:before="60" w:after="0"/>
              <w:jc w:val="center"/>
              <w:rPr>
                <w:rFonts w:eastAsia="Times New Roman" w:cs="Times New Roman"/>
                <w:lang w:val="en-GB"/>
              </w:rPr>
            </w:pPr>
            <w:r w:rsidRPr="00D11DC0">
              <w:rPr>
                <w:lang w:val="en-GB"/>
              </w:rPr>
              <w:t>26·6</w:t>
            </w:r>
            <w:r>
              <w:rPr>
                <w:lang w:val="en-GB"/>
              </w:rPr>
              <w:t xml:space="preserve"> (23</w:t>
            </w:r>
            <w:r w:rsidRPr="00D11DC0">
              <w:rPr>
                <w:lang w:val="en-GB"/>
              </w:rPr>
              <w:t>·</w:t>
            </w:r>
            <w:r>
              <w:rPr>
                <w:lang w:val="en-GB"/>
              </w:rPr>
              <w:t>6-30</w:t>
            </w:r>
            <w:r w:rsidRPr="00D11DC0">
              <w:rPr>
                <w:lang w:val="en-GB"/>
              </w:rPr>
              <w:t>·</w:t>
            </w:r>
            <w:r>
              <w:rPr>
                <w:lang w:val="en-GB"/>
              </w:rPr>
              <w:t>1)</w:t>
            </w:r>
          </w:p>
        </w:tc>
        <w:tc>
          <w:tcPr>
            <w:tcW w:w="2360" w:type="dxa"/>
            <w:tcBorders>
              <w:top w:val="nil"/>
              <w:left w:val="nil"/>
              <w:bottom w:val="nil"/>
              <w:right w:val="nil"/>
            </w:tcBorders>
            <w:shd w:val="clear" w:color="auto" w:fill="auto"/>
            <w:tcMar>
              <w:top w:w="15" w:type="dxa"/>
              <w:left w:w="96" w:type="dxa"/>
              <w:bottom w:w="0" w:type="dxa"/>
              <w:right w:w="96" w:type="dxa"/>
            </w:tcMar>
          </w:tcPr>
          <w:p w14:paraId="7433104E" w14:textId="77777777" w:rsidR="00681745" w:rsidRPr="00D11DC0" w:rsidRDefault="00681745" w:rsidP="00EE4054">
            <w:pPr>
              <w:spacing w:before="60" w:after="0"/>
              <w:jc w:val="center"/>
              <w:rPr>
                <w:rFonts w:eastAsia="Times New Roman" w:cs="Times New Roman"/>
                <w:lang w:val="en-GB"/>
              </w:rPr>
            </w:pPr>
            <w:r w:rsidRPr="00D11DC0">
              <w:rPr>
                <w:lang w:val="en-GB"/>
              </w:rPr>
              <w:t>26·6</w:t>
            </w:r>
            <w:r>
              <w:rPr>
                <w:lang w:val="en-GB"/>
              </w:rPr>
              <w:t xml:space="preserve"> (23</w:t>
            </w:r>
            <w:r w:rsidRPr="00D11DC0">
              <w:rPr>
                <w:lang w:val="en-GB"/>
              </w:rPr>
              <w:t>·</w:t>
            </w:r>
            <w:r>
              <w:rPr>
                <w:lang w:val="en-GB"/>
              </w:rPr>
              <w:t>6-30</w:t>
            </w:r>
            <w:r w:rsidRPr="00D11DC0">
              <w:rPr>
                <w:lang w:val="en-GB"/>
              </w:rPr>
              <w:t>·</w:t>
            </w:r>
            <w:r>
              <w:rPr>
                <w:lang w:val="en-GB"/>
              </w:rPr>
              <w:t>2)</w:t>
            </w:r>
          </w:p>
        </w:tc>
      </w:tr>
      <w:tr w:rsidR="00681745" w:rsidRPr="00D11DC0" w14:paraId="355DB60A" w14:textId="77777777" w:rsidTr="00EE4054">
        <w:trPr>
          <w:trHeight w:val="288"/>
        </w:trPr>
        <w:tc>
          <w:tcPr>
            <w:tcW w:w="2694" w:type="dxa"/>
            <w:tcBorders>
              <w:top w:val="nil"/>
              <w:left w:val="nil"/>
              <w:right w:val="nil"/>
            </w:tcBorders>
            <w:shd w:val="clear" w:color="auto" w:fill="auto"/>
            <w:tcMar>
              <w:top w:w="15" w:type="dxa"/>
              <w:left w:w="96" w:type="dxa"/>
              <w:bottom w:w="0" w:type="dxa"/>
              <w:right w:w="96" w:type="dxa"/>
            </w:tcMar>
            <w:hideMark/>
          </w:tcPr>
          <w:p w14:paraId="7A3855DD" w14:textId="77777777" w:rsidR="00681745" w:rsidRPr="00D11DC0" w:rsidRDefault="00681745" w:rsidP="00EE4054">
            <w:pPr>
              <w:spacing w:before="60" w:after="0"/>
              <w:ind w:left="331" w:hanging="187"/>
              <w:rPr>
                <w:rFonts w:eastAsia="Times New Roman" w:cs="Times New Roman"/>
                <w:lang w:val="en-GB"/>
              </w:rPr>
            </w:pPr>
            <w:r w:rsidRPr="00D11DC0">
              <w:rPr>
                <w:rFonts w:eastAsia="Times New Roman" w:cs="Times New Roman"/>
                <w:color w:val="000000" w:themeColor="text1"/>
                <w:kern w:val="24"/>
                <w:lang w:val="en-GB"/>
              </w:rPr>
              <w:t>≥30 – no. (%)</w:t>
            </w:r>
          </w:p>
        </w:tc>
        <w:tc>
          <w:tcPr>
            <w:tcW w:w="2430" w:type="dxa"/>
            <w:tcBorders>
              <w:top w:val="nil"/>
              <w:left w:val="nil"/>
              <w:right w:val="nil"/>
            </w:tcBorders>
            <w:shd w:val="clear" w:color="auto" w:fill="auto"/>
            <w:tcMar>
              <w:top w:w="15" w:type="dxa"/>
              <w:left w:w="96" w:type="dxa"/>
              <w:bottom w:w="0" w:type="dxa"/>
              <w:right w:w="96" w:type="dxa"/>
            </w:tcMar>
          </w:tcPr>
          <w:p w14:paraId="5E42E9AF" w14:textId="77777777" w:rsidR="00681745" w:rsidRPr="00D11DC0" w:rsidRDefault="00681745" w:rsidP="00EE4054">
            <w:pPr>
              <w:spacing w:before="60" w:after="0"/>
              <w:jc w:val="center"/>
              <w:rPr>
                <w:rFonts w:eastAsia="Times New Roman" w:cs="Times New Roman"/>
                <w:lang w:val="en-GB"/>
              </w:rPr>
            </w:pPr>
            <w:r w:rsidRPr="00D11DC0">
              <w:rPr>
                <w:lang w:val="en-GB"/>
              </w:rPr>
              <w:t>4142 (26·4)</w:t>
            </w:r>
          </w:p>
        </w:tc>
        <w:tc>
          <w:tcPr>
            <w:tcW w:w="2090" w:type="dxa"/>
            <w:tcBorders>
              <w:top w:val="nil"/>
              <w:left w:val="nil"/>
              <w:right w:val="nil"/>
            </w:tcBorders>
            <w:shd w:val="clear" w:color="auto" w:fill="auto"/>
            <w:tcMar>
              <w:top w:w="15" w:type="dxa"/>
              <w:left w:w="96" w:type="dxa"/>
              <w:bottom w:w="0" w:type="dxa"/>
              <w:right w:w="96" w:type="dxa"/>
            </w:tcMar>
          </w:tcPr>
          <w:p w14:paraId="480BB5B7" w14:textId="77777777" w:rsidR="00681745" w:rsidRPr="00D11DC0" w:rsidRDefault="00681745" w:rsidP="00EE4054">
            <w:pPr>
              <w:spacing w:before="60" w:after="0"/>
              <w:jc w:val="center"/>
              <w:rPr>
                <w:rFonts w:eastAsia="Times New Roman" w:cs="Times New Roman"/>
                <w:lang w:val="en-GB"/>
              </w:rPr>
            </w:pPr>
            <w:r w:rsidRPr="00D11DC0">
              <w:rPr>
                <w:lang w:val="en-GB"/>
              </w:rPr>
              <w:t>4068 (26·1)</w:t>
            </w:r>
          </w:p>
        </w:tc>
        <w:tc>
          <w:tcPr>
            <w:tcW w:w="2360" w:type="dxa"/>
            <w:tcBorders>
              <w:top w:val="nil"/>
              <w:left w:val="nil"/>
              <w:right w:val="nil"/>
            </w:tcBorders>
            <w:shd w:val="clear" w:color="auto" w:fill="auto"/>
            <w:tcMar>
              <w:top w:w="15" w:type="dxa"/>
              <w:left w:w="96" w:type="dxa"/>
              <w:bottom w:w="0" w:type="dxa"/>
              <w:right w:w="96" w:type="dxa"/>
            </w:tcMar>
          </w:tcPr>
          <w:p w14:paraId="044710D7" w14:textId="77777777" w:rsidR="00681745" w:rsidRPr="00D11DC0" w:rsidRDefault="00681745" w:rsidP="00EE4054">
            <w:pPr>
              <w:spacing w:before="60" w:after="0"/>
              <w:jc w:val="center"/>
              <w:rPr>
                <w:rFonts w:eastAsia="Times New Roman" w:cs="Times New Roman"/>
                <w:lang w:val="en-GB"/>
              </w:rPr>
            </w:pPr>
            <w:r w:rsidRPr="00D11DC0">
              <w:rPr>
                <w:lang w:val="en-GB"/>
              </w:rPr>
              <w:t>8210 (26·3)</w:t>
            </w:r>
          </w:p>
        </w:tc>
      </w:tr>
      <w:tr w:rsidR="00681745" w:rsidRPr="00D11DC0" w14:paraId="01A0729D" w14:textId="77777777" w:rsidTr="00EE4054">
        <w:trPr>
          <w:trHeight w:val="288"/>
        </w:trPr>
        <w:tc>
          <w:tcPr>
            <w:tcW w:w="2694" w:type="dxa"/>
            <w:tcBorders>
              <w:top w:val="nil"/>
              <w:left w:val="nil"/>
              <w:bottom w:val="single" w:sz="4" w:space="0" w:color="auto"/>
              <w:right w:val="nil"/>
            </w:tcBorders>
            <w:shd w:val="clear" w:color="auto" w:fill="auto"/>
            <w:tcMar>
              <w:top w:w="15" w:type="dxa"/>
              <w:left w:w="96" w:type="dxa"/>
              <w:bottom w:w="0" w:type="dxa"/>
              <w:right w:w="96" w:type="dxa"/>
            </w:tcMar>
            <w:hideMark/>
          </w:tcPr>
          <w:p w14:paraId="671D5E5E" w14:textId="77777777" w:rsidR="00681745" w:rsidRPr="00D11DC0" w:rsidRDefault="00681745" w:rsidP="00EE4054">
            <w:pPr>
              <w:spacing w:before="60" w:after="0"/>
              <w:rPr>
                <w:rFonts w:eastAsia="Times New Roman" w:cs="Times New Roman"/>
                <w:lang w:val="en-GB"/>
              </w:rPr>
            </w:pPr>
            <w:r w:rsidRPr="00D11DC0">
              <w:rPr>
                <w:rFonts w:eastAsia="Times New Roman" w:cs="Times New Roman"/>
                <w:color w:val="000000" w:themeColor="text1"/>
                <w:kern w:val="24"/>
                <w:lang w:val="en-GB"/>
              </w:rPr>
              <w:t>One or more comorbidity at baseline – no. (%)</w:t>
            </w:r>
          </w:p>
        </w:tc>
        <w:tc>
          <w:tcPr>
            <w:tcW w:w="2430" w:type="dxa"/>
            <w:tcBorders>
              <w:top w:val="nil"/>
              <w:left w:val="nil"/>
              <w:bottom w:val="single" w:sz="4" w:space="0" w:color="auto"/>
              <w:right w:val="nil"/>
            </w:tcBorders>
            <w:shd w:val="clear" w:color="auto" w:fill="auto"/>
            <w:tcMar>
              <w:top w:w="15" w:type="dxa"/>
              <w:left w:w="96" w:type="dxa"/>
              <w:bottom w:w="0" w:type="dxa"/>
              <w:right w:w="96" w:type="dxa"/>
            </w:tcMar>
          </w:tcPr>
          <w:p w14:paraId="6CBA39F3" w14:textId="77777777" w:rsidR="00681745" w:rsidRPr="00D11DC0" w:rsidRDefault="00681745" w:rsidP="00EE4054">
            <w:pPr>
              <w:spacing w:before="60" w:after="0"/>
              <w:jc w:val="center"/>
              <w:rPr>
                <w:rFonts w:eastAsia="Times New Roman" w:cs="Times New Roman"/>
                <w:lang w:val="en-GB"/>
              </w:rPr>
            </w:pPr>
            <w:r w:rsidRPr="00D11DC0">
              <w:rPr>
                <w:lang w:val="en-GB"/>
              </w:rPr>
              <w:t>6519 (41·5)</w:t>
            </w:r>
          </w:p>
        </w:tc>
        <w:tc>
          <w:tcPr>
            <w:tcW w:w="2090" w:type="dxa"/>
            <w:tcBorders>
              <w:top w:val="nil"/>
              <w:left w:val="nil"/>
              <w:bottom w:val="single" w:sz="4" w:space="0" w:color="auto"/>
              <w:right w:val="nil"/>
            </w:tcBorders>
            <w:shd w:val="clear" w:color="auto" w:fill="auto"/>
            <w:tcMar>
              <w:top w:w="15" w:type="dxa"/>
              <w:left w:w="96" w:type="dxa"/>
              <w:bottom w:w="0" w:type="dxa"/>
              <w:right w:w="96" w:type="dxa"/>
            </w:tcMar>
          </w:tcPr>
          <w:p w14:paraId="3F4E1E82" w14:textId="77777777" w:rsidR="00681745" w:rsidRPr="00D11DC0" w:rsidRDefault="00681745" w:rsidP="00EE4054">
            <w:pPr>
              <w:spacing w:before="60" w:after="0"/>
              <w:jc w:val="center"/>
              <w:rPr>
                <w:rFonts w:eastAsia="Times New Roman" w:cs="Times New Roman"/>
                <w:lang w:val="en-GB"/>
              </w:rPr>
            </w:pPr>
            <w:r w:rsidRPr="00D11DC0">
              <w:rPr>
                <w:lang w:val="en-GB"/>
              </w:rPr>
              <w:t>6434 (41·3)</w:t>
            </w:r>
          </w:p>
        </w:tc>
        <w:tc>
          <w:tcPr>
            <w:tcW w:w="2360" w:type="dxa"/>
            <w:tcBorders>
              <w:top w:val="nil"/>
              <w:left w:val="nil"/>
              <w:bottom w:val="single" w:sz="4" w:space="0" w:color="auto"/>
              <w:right w:val="nil"/>
            </w:tcBorders>
            <w:shd w:val="clear" w:color="auto" w:fill="auto"/>
            <w:tcMar>
              <w:top w:w="15" w:type="dxa"/>
              <w:left w:w="96" w:type="dxa"/>
              <w:bottom w:w="0" w:type="dxa"/>
              <w:right w:w="96" w:type="dxa"/>
            </w:tcMar>
          </w:tcPr>
          <w:p w14:paraId="32F52530" w14:textId="77777777" w:rsidR="00681745" w:rsidRPr="00D11DC0" w:rsidRDefault="00681745" w:rsidP="00EE4054">
            <w:pPr>
              <w:spacing w:before="60" w:after="0"/>
              <w:jc w:val="center"/>
              <w:rPr>
                <w:rFonts w:eastAsia="Times New Roman" w:cs="Times New Roman"/>
                <w:lang w:val="en-GB"/>
              </w:rPr>
            </w:pPr>
            <w:r w:rsidRPr="00D11DC0">
              <w:rPr>
                <w:lang w:val="en-GB"/>
              </w:rPr>
              <w:t>12,953 (41·4)</w:t>
            </w:r>
          </w:p>
        </w:tc>
      </w:tr>
    </w:tbl>
    <w:p w14:paraId="0359B227" w14:textId="77777777" w:rsidR="00681745" w:rsidRPr="00D11DC0" w:rsidRDefault="00681745" w:rsidP="00681745">
      <w:pPr>
        <w:spacing w:after="0" w:line="240" w:lineRule="auto"/>
        <w:rPr>
          <w:rFonts w:cs="Times New Roman"/>
          <w:sz w:val="22"/>
          <w:lang w:val="en-GB"/>
        </w:rPr>
      </w:pPr>
      <w:r w:rsidRPr="00D11DC0">
        <w:rPr>
          <w:rFonts w:cs="Times New Roman"/>
          <w:sz w:val="22"/>
          <w:lang w:val="en-GB"/>
        </w:rPr>
        <w:t>*The full analysis set included all participants who were randomised and received at least one documented dose of Ad26.COV2.S vaccine or placebo, regardless of protocol deviations and serostatus at enrolment.</w:t>
      </w:r>
    </w:p>
    <w:p w14:paraId="23142FBA" w14:textId="77777777" w:rsidR="00681745" w:rsidRPr="00D11DC0" w:rsidRDefault="00681745" w:rsidP="00681745">
      <w:pPr>
        <w:spacing w:after="0" w:line="240" w:lineRule="auto"/>
        <w:rPr>
          <w:rFonts w:cs="Times New Roman"/>
          <w:sz w:val="22"/>
          <w:lang w:val="en-GB"/>
        </w:rPr>
      </w:pPr>
      <w:r w:rsidRPr="00D11DC0">
        <w:rPr>
          <w:rFonts w:cs="Times New Roman"/>
          <w:sz w:val="22"/>
          <w:lang w:val="en-GB"/>
        </w:rPr>
        <w:t>†For one participant, screening occurred, but partial demographic data were missing; this participant was thus not included in the demographics dataset</w:t>
      </w:r>
      <w:r>
        <w:rPr>
          <w:rFonts w:cs="Times New Roman"/>
          <w:sz w:val="22"/>
          <w:lang w:val="en-GB"/>
        </w:rPr>
        <w:t xml:space="preserve"> for specific characteristics</w:t>
      </w:r>
      <w:r w:rsidRPr="00D11DC0">
        <w:rPr>
          <w:rFonts w:cs="Times New Roman"/>
          <w:sz w:val="22"/>
          <w:lang w:val="en-GB"/>
        </w:rPr>
        <w:t>.</w:t>
      </w:r>
    </w:p>
    <w:p w14:paraId="5877C253" w14:textId="77777777" w:rsidR="00681745" w:rsidRPr="00D11DC0" w:rsidRDefault="00681745" w:rsidP="00681745">
      <w:pPr>
        <w:spacing w:after="0" w:line="240" w:lineRule="auto"/>
        <w:rPr>
          <w:rFonts w:cs="Times New Roman"/>
          <w:sz w:val="22"/>
          <w:lang w:val="en-GB"/>
        </w:rPr>
      </w:pPr>
      <w:bookmarkStart w:id="47" w:name="_Hlk108439390"/>
      <w:r w:rsidRPr="005B2598">
        <w:rPr>
          <w:rFonts w:eastAsia="Times New Roman" w:cs="Times New Roman"/>
          <w:color w:val="000000" w:themeColor="text1"/>
          <w:kern w:val="24"/>
          <w:sz w:val="22"/>
          <w:lang w:val="en-GB"/>
        </w:rPr>
        <w:t>‡</w:t>
      </w:r>
      <w:bookmarkEnd w:id="47"/>
      <w:r w:rsidRPr="00D11DC0">
        <w:rPr>
          <w:rFonts w:cs="Times New Roman"/>
          <w:sz w:val="22"/>
          <w:lang w:val="en-GB"/>
        </w:rPr>
        <w:t xml:space="preserve">Race and ethnicity were self-reported by participants. </w:t>
      </w:r>
    </w:p>
    <w:p w14:paraId="0566DD35" w14:textId="77777777" w:rsidR="00681745" w:rsidRPr="00D11DC0" w:rsidRDefault="00681745" w:rsidP="00681745">
      <w:pPr>
        <w:spacing w:after="0" w:line="240" w:lineRule="auto"/>
        <w:rPr>
          <w:rFonts w:cs="Times New Roman"/>
          <w:sz w:val="22"/>
          <w:lang w:val="en-GB"/>
        </w:rPr>
      </w:pPr>
      <w:r w:rsidRPr="00D11DC0">
        <w:rPr>
          <w:rFonts w:eastAsia="Times New Roman" w:cs="Times New Roman"/>
          <w:color w:val="000000" w:themeColor="text1"/>
          <w:kern w:val="24"/>
          <w:sz w:val="22"/>
          <w:lang w:val="en-GB"/>
        </w:rPr>
        <w:t>§</w:t>
      </w:r>
      <w:r w:rsidRPr="00D11DC0">
        <w:rPr>
          <w:rFonts w:cs="Times New Roman"/>
          <w:sz w:val="22"/>
          <w:lang w:val="en-GB"/>
        </w:rPr>
        <w:t>Participants responding “Yes” to American Indian or Alaska Native in the Ad26.COV2.S group were from Colombia (n=326), the United States (n=38), Spain (n=24), Brazil</w:t>
      </w:r>
      <w:r>
        <w:rPr>
          <w:rFonts w:cs="Times New Roman"/>
          <w:sz w:val="22"/>
          <w:lang w:val="en-GB"/>
        </w:rPr>
        <w:t xml:space="preserve"> (n=2), the United Kingdom </w:t>
      </w:r>
      <w:r w:rsidRPr="00D11DC0">
        <w:rPr>
          <w:rFonts w:cs="Times New Roman"/>
          <w:sz w:val="22"/>
          <w:lang w:val="en-GB"/>
        </w:rPr>
        <w:t xml:space="preserve">(n=2), and the Philippines (n=1); in the placebo group, participants were from Colombia (n=321), the United States (n=39), Spain (n=28), the United Kingdom (n=4), </w:t>
      </w:r>
      <w:r>
        <w:rPr>
          <w:rFonts w:cs="Times New Roman"/>
          <w:sz w:val="22"/>
          <w:lang w:val="en-GB"/>
        </w:rPr>
        <w:t xml:space="preserve">and </w:t>
      </w:r>
      <w:r w:rsidRPr="00D11DC0">
        <w:rPr>
          <w:rFonts w:cs="Times New Roman"/>
          <w:sz w:val="22"/>
          <w:lang w:val="en-GB"/>
        </w:rPr>
        <w:t>Belgium, Brazil, France</w:t>
      </w:r>
      <w:r>
        <w:rPr>
          <w:rFonts w:cs="Times New Roman"/>
          <w:sz w:val="22"/>
          <w:lang w:val="en-GB"/>
        </w:rPr>
        <w:t>, and South Africa</w:t>
      </w:r>
      <w:r w:rsidRPr="00D11DC0">
        <w:rPr>
          <w:rFonts w:cs="Times New Roman"/>
          <w:sz w:val="22"/>
          <w:lang w:val="en-GB"/>
        </w:rPr>
        <w:t xml:space="preserve"> (n=1 each).</w:t>
      </w:r>
    </w:p>
    <w:p w14:paraId="5640FD63" w14:textId="77777777" w:rsidR="00681745" w:rsidRDefault="00681745" w:rsidP="00681745">
      <w:pPr>
        <w:spacing w:after="0" w:line="240" w:lineRule="auto"/>
      </w:pPr>
      <w:r>
        <w:rPr>
          <w:rFonts w:cs="Times New Roman"/>
          <w:sz w:val="22"/>
          <w:lang w:val="en-GB"/>
        </w:rPr>
        <w:t>IQR,</w:t>
      </w:r>
      <w:r>
        <w:rPr>
          <w:rFonts w:eastAsia="Times New Roman" w:cs="Times New Roman"/>
          <w:color w:val="000000" w:themeColor="text1"/>
          <w:kern w:val="24"/>
          <w:lang w:val="en-GB"/>
        </w:rPr>
        <w:t xml:space="preserve"> interquartile range; </w:t>
      </w:r>
      <w:r w:rsidRPr="00D11DC0">
        <w:rPr>
          <w:rFonts w:cs="Times New Roman"/>
          <w:sz w:val="22"/>
          <w:lang w:val="en-GB"/>
        </w:rPr>
        <w:t>SARS-CoV-2, severe acute respiratory coronavirus 2.</w:t>
      </w:r>
    </w:p>
    <w:p w14:paraId="7D99FFB8" w14:textId="77777777" w:rsidR="00C97D09" w:rsidRDefault="00C97D09" w:rsidP="00FA5B89">
      <w:pPr>
        <w:rPr>
          <w:b/>
          <w:bCs/>
          <w:lang w:val="en-GB"/>
        </w:rPr>
      </w:pPr>
      <w:r w:rsidRPr="00681745">
        <w:rPr>
          <w:b/>
          <w:bCs/>
          <w:lang w:val="en-GB"/>
        </w:rPr>
        <w:br w:type="page"/>
      </w:r>
    </w:p>
    <w:p w14:paraId="52F01500" w14:textId="77777777" w:rsidR="00681745" w:rsidRDefault="00681745" w:rsidP="00FA5B89">
      <w:pPr>
        <w:rPr>
          <w:b/>
          <w:bCs/>
          <w:lang w:val="en-GB"/>
        </w:rPr>
      </w:pPr>
    </w:p>
    <w:p w14:paraId="32DD7DC5" w14:textId="77777777" w:rsidR="00681745" w:rsidRPr="00D11DC0" w:rsidRDefault="00681745" w:rsidP="00681745">
      <w:pPr>
        <w:pStyle w:val="Heading2"/>
        <w:rPr>
          <w:i w:val="0"/>
          <w:iCs w:val="0"/>
          <w:lang w:val="en-GB"/>
        </w:rPr>
      </w:pPr>
      <w:r w:rsidRPr="00D11DC0">
        <w:rPr>
          <w:i w:val="0"/>
          <w:iCs w:val="0"/>
          <w:lang w:val="en-GB"/>
        </w:rPr>
        <w:t xml:space="preserve">Table 2. Vaccine Efficacy against Molecularly-Confirmed </w:t>
      </w:r>
      <w:r>
        <w:rPr>
          <w:i w:val="0"/>
          <w:iCs w:val="0"/>
          <w:lang w:val="en-GB"/>
        </w:rPr>
        <w:t>COVID</w:t>
      </w:r>
      <w:r w:rsidRPr="00D11DC0">
        <w:rPr>
          <w:i w:val="0"/>
          <w:iCs w:val="0"/>
          <w:lang w:val="en-GB"/>
        </w:rPr>
        <w:t>-19 with Onset at Least 14 Days after the Administration of a Booster Vaccine or Placebo (Per-Protocol Set)</w:t>
      </w:r>
      <w:r w:rsidRPr="00535DA7">
        <w:rPr>
          <w:rFonts w:cs="Times New Roman"/>
          <w:i w:val="0"/>
          <w:iCs w:val="0"/>
          <w:sz w:val="20"/>
          <w:szCs w:val="20"/>
          <w:lang w:val="en-GB"/>
        </w:rPr>
        <w:t>*</w:t>
      </w:r>
    </w:p>
    <w:tbl>
      <w:tblPr>
        <w:tblStyle w:val="TableGrid"/>
        <w:tblW w:w="9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0"/>
        <w:gridCol w:w="880"/>
        <w:gridCol w:w="1190"/>
        <w:gridCol w:w="838"/>
        <w:gridCol w:w="1412"/>
        <w:gridCol w:w="2520"/>
      </w:tblGrid>
      <w:tr w:rsidR="00681745" w:rsidRPr="00D11DC0" w14:paraId="1CFFC15C" w14:textId="77777777" w:rsidTr="00EE4054">
        <w:trPr>
          <w:cantSplit/>
          <w:trHeight w:val="608"/>
          <w:tblHeader/>
        </w:trPr>
        <w:tc>
          <w:tcPr>
            <w:tcW w:w="2970" w:type="dxa"/>
            <w:vMerge w:val="restart"/>
            <w:tcBorders>
              <w:top w:val="single" w:sz="4" w:space="0" w:color="auto"/>
              <w:bottom w:val="single" w:sz="4" w:space="0" w:color="auto"/>
            </w:tcBorders>
          </w:tcPr>
          <w:p w14:paraId="762EB61F" w14:textId="77777777" w:rsidR="00681745" w:rsidRPr="00D11DC0" w:rsidRDefault="00681745" w:rsidP="00EE4054">
            <w:pPr>
              <w:spacing w:line="240" w:lineRule="auto"/>
              <w:rPr>
                <w:rFonts w:cs="Times New Roman"/>
                <w:b/>
                <w:bCs/>
                <w:lang w:val="en-GB"/>
              </w:rPr>
            </w:pPr>
          </w:p>
        </w:tc>
        <w:tc>
          <w:tcPr>
            <w:tcW w:w="6840" w:type="dxa"/>
            <w:gridSpan w:val="5"/>
            <w:tcBorders>
              <w:top w:val="single" w:sz="4" w:space="0" w:color="auto"/>
              <w:bottom w:val="single" w:sz="4" w:space="0" w:color="auto"/>
            </w:tcBorders>
          </w:tcPr>
          <w:p w14:paraId="790DAF01" w14:textId="77777777" w:rsidR="00681745" w:rsidRPr="00D11DC0" w:rsidRDefault="00681745" w:rsidP="00EE4054">
            <w:pPr>
              <w:spacing w:line="240" w:lineRule="auto"/>
              <w:jc w:val="center"/>
              <w:rPr>
                <w:rFonts w:cs="Times New Roman"/>
                <w:b/>
                <w:bCs/>
                <w:lang w:val="en-GB"/>
              </w:rPr>
            </w:pPr>
            <w:r w:rsidRPr="00D11DC0">
              <w:rPr>
                <w:rFonts w:eastAsia="Times New Roman" w:cs="Times New Roman"/>
                <w:b/>
                <w:bCs/>
                <w:color w:val="000000" w:themeColor="text1"/>
                <w:kern w:val="24"/>
                <w:lang w:val="en-GB"/>
              </w:rPr>
              <w:t xml:space="preserve">At Least 14 Days after Booster </w:t>
            </w:r>
            <w:r w:rsidRPr="00D11DC0">
              <w:rPr>
                <w:b/>
                <w:bCs/>
                <w:lang w:val="en-GB"/>
              </w:rPr>
              <w:t>Vaccination</w:t>
            </w:r>
            <w:r w:rsidRPr="00D11DC0">
              <w:rPr>
                <w:lang w:val="en-GB"/>
              </w:rPr>
              <w:t>†</w:t>
            </w:r>
          </w:p>
        </w:tc>
      </w:tr>
      <w:tr w:rsidR="00681745" w:rsidRPr="00D11DC0" w14:paraId="236D75AA" w14:textId="77777777" w:rsidTr="00EE4054">
        <w:trPr>
          <w:cantSplit/>
          <w:trHeight w:val="863"/>
          <w:tblHeader/>
        </w:trPr>
        <w:tc>
          <w:tcPr>
            <w:tcW w:w="2970" w:type="dxa"/>
            <w:vMerge/>
            <w:tcBorders>
              <w:top w:val="single" w:sz="4" w:space="0" w:color="auto"/>
            </w:tcBorders>
          </w:tcPr>
          <w:p w14:paraId="1AA9B3FA" w14:textId="77777777" w:rsidR="00681745" w:rsidRPr="00D11DC0" w:rsidRDefault="00681745" w:rsidP="00EE4054">
            <w:pPr>
              <w:spacing w:line="240" w:lineRule="auto"/>
              <w:rPr>
                <w:rFonts w:cs="Times New Roman"/>
                <w:b/>
                <w:bCs/>
                <w:lang w:val="en-GB"/>
              </w:rPr>
            </w:pPr>
          </w:p>
        </w:tc>
        <w:tc>
          <w:tcPr>
            <w:tcW w:w="2070" w:type="dxa"/>
            <w:gridSpan w:val="2"/>
            <w:tcBorders>
              <w:top w:val="single" w:sz="4" w:space="0" w:color="auto"/>
              <w:bottom w:val="single" w:sz="4" w:space="0" w:color="auto"/>
            </w:tcBorders>
            <w:vAlign w:val="center"/>
          </w:tcPr>
          <w:p w14:paraId="7B6A3138" w14:textId="77777777" w:rsidR="00681745" w:rsidRPr="00D11DC0" w:rsidRDefault="00681745" w:rsidP="00EE4054">
            <w:pPr>
              <w:spacing w:line="240" w:lineRule="auto"/>
              <w:jc w:val="center"/>
              <w:rPr>
                <w:rFonts w:eastAsia="Times New Roman" w:cs="Times New Roman"/>
                <w:color w:val="000000" w:themeColor="text1"/>
                <w:kern w:val="24"/>
                <w:lang w:val="en-GB"/>
              </w:rPr>
            </w:pPr>
            <w:r w:rsidRPr="00D11DC0">
              <w:rPr>
                <w:rFonts w:eastAsia="Times New Roman" w:cs="Times New Roman"/>
                <w:color w:val="000000" w:themeColor="text1"/>
                <w:kern w:val="24"/>
                <w:lang w:val="en-GB"/>
              </w:rPr>
              <w:t>Ad26.COV2.S</w:t>
            </w:r>
          </w:p>
          <w:p w14:paraId="33EF2269" w14:textId="77777777" w:rsidR="00681745" w:rsidRPr="00D11DC0" w:rsidRDefault="00681745" w:rsidP="00EE4054">
            <w:pPr>
              <w:spacing w:line="240" w:lineRule="auto"/>
              <w:jc w:val="center"/>
              <w:rPr>
                <w:rFonts w:cs="Times New Roman"/>
                <w:vertAlign w:val="superscript"/>
                <w:lang w:val="en-GB"/>
              </w:rPr>
            </w:pPr>
            <w:r w:rsidRPr="00D11DC0">
              <w:rPr>
                <w:rFonts w:eastAsia="Times New Roman" w:cs="Times New Roman"/>
                <w:color w:val="000000" w:themeColor="text1"/>
                <w:kern w:val="24"/>
                <w:lang w:val="en-GB"/>
              </w:rPr>
              <w:t>(N=6024)</w:t>
            </w:r>
          </w:p>
        </w:tc>
        <w:tc>
          <w:tcPr>
            <w:tcW w:w="2250" w:type="dxa"/>
            <w:gridSpan w:val="2"/>
            <w:tcBorders>
              <w:top w:val="single" w:sz="4" w:space="0" w:color="auto"/>
              <w:bottom w:val="single" w:sz="4" w:space="0" w:color="auto"/>
            </w:tcBorders>
            <w:vAlign w:val="center"/>
          </w:tcPr>
          <w:p w14:paraId="7807F3BA" w14:textId="77777777" w:rsidR="00681745" w:rsidRPr="00D11DC0" w:rsidRDefault="00681745" w:rsidP="00EE4054">
            <w:pPr>
              <w:spacing w:line="240" w:lineRule="auto"/>
              <w:jc w:val="center"/>
              <w:rPr>
                <w:rFonts w:cs="Times New Roman"/>
                <w:lang w:val="en-GB"/>
              </w:rPr>
            </w:pPr>
            <w:r w:rsidRPr="00D11DC0">
              <w:rPr>
                <w:rFonts w:cs="Times New Roman"/>
                <w:lang w:val="en-GB"/>
              </w:rPr>
              <w:t>Placebo</w:t>
            </w:r>
          </w:p>
          <w:p w14:paraId="641E21C0" w14:textId="77777777" w:rsidR="00681745" w:rsidRPr="00D11DC0" w:rsidRDefault="00681745" w:rsidP="00EE4054">
            <w:pPr>
              <w:spacing w:line="240" w:lineRule="auto"/>
              <w:jc w:val="center"/>
              <w:rPr>
                <w:rFonts w:cs="Times New Roman"/>
                <w:vertAlign w:val="superscript"/>
                <w:lang w:val="en-GB"/>
              </w:rPr>
            </w:pPr>
            <w:r w:rsidRPr="00D11DC0">
              <w:rPr>
                <w:rFonts w:cs="Times New Roman"/>
                <w:lang w:val="en-GB"/>
              </w:rPr>
              <w:t>(N=5615)</w:t>
            </w:r>
          </w:p>
        </w:tc>
        <w:tc>
          <w:tcPr>
            <w:tcW w:w="2520" w:type="dxa"/>
            <w:tcBorders>
              <w:top w:val="single" w:sz="4" w:space="0" w:color="auto"/>
              <w:bottom w:val="single" w:sz="4" w:space="0" w:color="auto"/>
            </w:tcBorders>
            <w:vAlign w:val="center"/>
          </w:tcPr>
          <w:p w14:paraId="7301B443" w14:textId="77777777" w:rsidR="00681745" w:rsidRPr="00D11DC0" w:rsidRDefault="00681745" w:rsidP="00EE4054">
            <w:pPr>
              <w:spacing w:line="240" w:lineRule="auto"/>
              <w:jc w:val="center"/>
              <w:rPr>
                <w:rFonts w:cs="Times New Roman"/>
                <w:lang w:val="en-GB"/>
              </w:rPr>
            </w:pPr>
            <w:r w:rsidRPr="00D11DC0">
              <w:rPr>
                <w:rFonts w:cs="Times New Roman"/>
                <w:lang w:val="en-GB"/>
              </w:rPr>
              <w:t>Vaccine Efficacy (95% CI)</w:t>
            </w:r>
          </w:p>
        </w:tc>
      </w:tr>
      <w:tr w:rsidR="00681745" w:rsidRPr="00D11DC0" w14:paraId="6081CFCF" w14:textId="77777777" w:rsidTr="00EE4054">
        <w:trPr>
          <w:cantSplit/>
          <w:trHeight w:val="425"/>
          <w:tblHeader/>
        </w:trPr>
        <w:tc>
          <w:tcPr>
            <w:tcW w:w="2970" w:type="dxa"/>
            <w:vMerge/>
          </w:tcPr>
          <w:p w14:paraId="3947B008" w14:textId="77777777" w:rsidR="00681745" w:rsidRPr="00D11DC0" w:rsidRDefault="00681745" w:rsidP="00EE4054">
            <w:pPr>
              <w:spacing w:line="240" w:lineRule="auto"/>
              <w:rPr>
                <w:rFonts w:cs="Times New Roman"/>
                <w:b/>
                <w:bCs/>
                <w:lang w:val="en-GB"/>
              </w:rPr>
            </w:pPr>
          </w:p>
        </w:tc>
        <w:tc>
          <w:tcPr>
            <w:tcW w:w="880" w:type="dxa"/>
            <w:tcBorders>
              <w:top w:val="single" w:sz="4" w:space="0" w:color="auto"/>
              <w:bottom w:val="single" w:sz="4" w:space="0" w:color="auto"/>
            </w:tcBorders>
            <w:vAlign w:val="center"/>
          </w:tcPr>
          <w:p w14:paraId="0E39025E" w14:textId="77777777" w:rsidR="00681745" w:rsidRPr="00D11DC0" w:rsidRDefault="00681745" w:rsidP="00EE4054">
            <w:pPr>
              <w:spacing w:line="240" w:lineRule="auto"/>
              <w:jc w:val="center"/>
              <w:rPr>
                <w:rFonts w:cs="Times New Roman"/>
                <w:i/>
                <w:iCs/>
                <w:lang w:val="en-GB"/>
              </w:rPr>
            </w:pPr>
            <w:r w:rsidRPr="00D11DC0">
              <w:rPr>
                <w:rFonts w:cs="Times New Roman"/>
                <w:i/>
                <w:iCs/>
                <w:lang w:val="en-GB"/>
              </w:rPr>
              <w:t>no. of cases</w:t>
            </w:r>
          </w:p>
        </w:tc>
        <w:tc>
          <w:tcPr>
            <w:tcW w:w="1190" w:type="dxa"/>
            <w:tcBorders>
              <w:top w:val="single" w:sz="4" w:space="0" w:color="auto"/>
              <w:bottom w:val="single" w:sz="4" w:space="0" w:color="auto"/>
            </w:tcBorders>
            <w:vAlign w:val="center"/>
          </w:tcPr>
          <w:p w14:paraId="3C1C935C" w14:textId="77777777" w:rsidR="00681745" w:rsidRPr="00D11DC0" w:rsidRDefault="00681745" w:rsidP="00EE4054">
            <w:pPr>
              <w:spacing w:line="240" w:lineRule="auto"/>
              <w:jc w:val="center"/>
              <w:rPr>
                <w:rFonts w:cs="Times New Roman"/>
                <w:i/>
                <w:iCs/>
                <w:lang w:val="en-GB"/>
              </w:rPr>
            </w:pPr>
            <w:r w:rsidRPr="00D11DC0">
              <w:rPr>
                <w:rFonts w:cs="Times New Roman"/>
                <w:i/>
                <w:iCs/>
                <w:lang w:val="en-GB"/>
              </w:rPr>
              <w:t>person-</w:t>
            </w:r>
            <w:proofErr w:type="spellStart"/>
            <w:r w:rsidRPr="00D11DC0">
              <w:rPr>
                <w:rFonts w:cs="Times New Roman"/>
                <w:i/>
                <w:iCs/>
                <w:lang w:val="en-GB"/>
              </w:rPr>
              <w:t>yr</w:t>
            </w:r>
            <w:proofErr w:type="spellEnd"/>
          </w:p>
        </w:tc>
        <w:tc>
          <w:tcPr>
            <w:tcW w:w="838" w:type="dxa"/>
            <w:tcBorders>
              <w:top w:val="single" w:sz="4" w:space="0" w:color="auto"/>
              <w:bottom w:val="single" w:sz="4" w:space="0" w:color="auto"/>
            </w:tcBorders>
            <w:vAlign w:val="center"/>
          </w:tcPr>
          <w:p w14:paraId="2F4E07A4" w14:textId="77777777" w:rsidR="00681745" w:rsidRPr="00D11DC0" w:rsidRDefault="00681745" w:rsidP="00EE4054">
            <w:pPr>
              <w:spacing w:line="240" w:lineRule="auto"/>
              <w:jc w:val="center"/>
              <w:rPr>
                <w:rFonts w:cs="Times New Roman"/>
                <w:i/>
                <w:iCs/>
                <w:lang w:val="en-GB"/>
              </w:rPr>
            </w:pPr>
            <w:r w:rsidRPr="00D11DC0">
              <w:rPr>
                <w:rFonts w:cs="Times New Roman"/>
                <w:i/>
                <w:iCs/>
                <w:lang w:val="en-GB"/>
              </w:rPr>
              <w:t>no. of cases</w:t>
            </w:r>
          </w:p>
        </w:tc>
        <w:tc>
          <w:tcPr>
            <w:tcW w:w="1412" w:type="dxa"/>
            <w:tcBorders>
              <w:top w:val="single" w:sz="4" w:space="0" w:color="auto"/>
              <w:bottom w:val="single" w:sz="4" w:space="0" w:color="auto"/>
            </w:tcBorders>
            <w:vAlign w:val="center"/>
          </w:tcPr>
          <w:p w14:paraId="5F87E289" w14:textId="77777777" w:rsidR="00681745" w:rsidRPr="00D11DC0" w:rsidRDefault="00681745" w:rsidP="00EE4054">
            <w:pPr>
              <w:spacing w:line="240" w:lineRule="auto"/>
              <w:jc w:val="center"/>
              <w:rPr>
                <w:rFonts w:cs="Times New Roman"/>
                <w:i/>
                <w:iCs/>
                <w:lang w:val="en-GB"/>
              </w:rPr>
            </w:pPr>
            <w:r w:rsidRPr="00D11DC0">
              <w:rPr>
                <w:rFonts w:cs="Times New Roman"/>
                <w:i/>
                <w:iCs/>
                <w:lang w:val="en-GB"/>
              </w:rPr>
              <w:t>person-</w:t>
            </w:r>
            <w:proofErr w:type="spellStart"/>
            <w:r w:rsidRPr="00D11DC0">
              <w:rPr>
                <w:rFonts w:cs="Times New Roman"/>
                <w:i/>
                <w:iCs/>
                <w:lang w:val="en-GB"/>
              </w:rPr>
              <w:t>yr</w:t>
            </w:r>
            <w:proofErr w:type="spellEnd"/>
          </w:p>
        </w:tc>
        <w:tc>
          <w:tcPr>
            <w:tcW w:w="2520" w:type="dxa"/>
            <w:tcBorders>
              <w:top w:val="single" w:sz="4" w:space="0" w:color="auto"/>
              <w:bottom w:val="single" w:sz="4" w:space="0" w:color="auto"/>
            </w:tcBorders>
            <w:vAlign w:val="center"/>
          </w:tcPr>
          <w:p w14:paraId="7B0A984E" w14:textId="77777777" w:rsidR="00681745" w:rsidRPr="00D11DC0" w:rsidRDefault="00681745" w:rsidP="00EE4054">
            <w:pPr>
              <w:spacing w:line="240" w:lineRule="auto"/>
              <w:jc w:val="center"/>
              <w:rPr>
                <w:rFonts w:cs="Times New Roman"/>
                <w:i/>
                <w:iCs/>
                <w:lang w:val="en-GB"/>
              </w:rPr>
            </w:pPr>
            <w:r w:rsidRPr="00D11DC0">
              <w:rPr>
                <w:rFonts w:cs="Times New Roman"/>
                <w:i/>
                <w:iCs/>
                <w:lang w:val="en-GB"/>
              </w:rPr>
              <w:t>%</w:t>
            </w:r>
          </w:p>
        </w:tc>
      </w:tr>
      <w:tr w:rsidR="00681745" w:rsidRPr="00D11DC0" w14:paraId="733D8E20" w14:textId="77777777" w:rsidTr="00EE4054">
        <w:trPr>
          <w:cantSplit/>
          <w:trHeight w:val="619"/>
        </w:trPr>
        <w:tc>
          <w:tcPr>
            <w:tcW w:w="2970" w:type="dxa"/>
            <w:vAlign w:val="center"/>
          </w:tcPr>
          <w:p w14:paraId="6F0E328E" w14:textId="77777777" w:rsidR="00681745" w:rsidRPr="00D11DC0" w:rsidRDefault="00681745" w:rsidP="00EE4054">
            <w:pPr>
              <w:spacing w:line="240" w:lineRule="auto"/>
              <w:rPr>
                <w:rFonts w:cs="Times New Roman"/>
                <w:b/>
                <w:bCs/>
                <w:lang w:val="en-GB"/>
              </w:rPr>
            </w:pPr>
            <w:r w:rsidRPr="00D11DC0">
              <w:rPr>
                <w:rFonts w:cs="Times New Roman"/>
                <w:color w:val="000000"/>
                <w:lang w:val="en-GB" w:eastAsia="nl-BE"/>
              </w:rPr>
              <w:t xml:space="preserve">Moderate to severe–critical </w:t>
            </w:r>
            <w:r>
              <w:rPr>
                <w:lang w:val="en-GB"/>
              </w:rPr>
              <w:t>COVID</w:t>
            </w:r>
            <w:r w:rsidRPr="00D11DC0">
              <w:rPr>
                <w:lang w:val="en-GB"/>
              </w:rPr>
              <w:t>-19 ‡§</w:t>
            </w:r>
          </w:p>
        </w:tc>
        <w:tc>
          <w:tcPr>
            <w:tcW w:w="880" w:type="dxa"/>
            <w:tcBorders>
              <w:top w:val="single" w:sz="4" w:space="0" w:color="auto"/>
            </w:tcBorders>
            <w:vAlign w:val="center"/>
          </w:tcPr>
          <w:p w14:paraId="0EB6632E" w14:textId="77777777" w:rsidR="00681745" w:rsidRPr="00D11DC0" w:rsidRDefault="00681745" w:rsidP="00EE4054">
            <w:pPr>
              <w:spacing w:line="240" w:lineRule="auto"/>
              <w:jc w:val="center"/>
              <w:rPr>
                <w:rFonts w:cs="Times New Roman"/>
                <w:b/>
                <w:bCs/>
                <w:lang w:val="en-GB"/>
              </w:rPr>
            </w:pPr>
            <w:r w:rsidRPr="00D11DC0">
              <w:rPr>
                <w:lang w:val="en-GB"/>
              </w:rPr>
              <w:t>14</w:t>
            </w:r>
          </w:p>
        </w:tc>
        <w:tc>
          <w:tcPr>
            <w:tcW w:w="1190" w:type="dxa"/>
            <w:tcBorders>
              <w:top w:val="single" w:sz="4" w:space="0" w:color="auto"/>
            </w:tcBorders>
            <w:vAlign w:val="center"/>
          </w:tcPr>
          <w:p w14:paraId="06079D47" w14:textId="77777777" w:rsidR="00681745" w:rsidRPr="00D11DC0" w:rsidRDefault="00681745" w:rsidP="00EE4054">
            <w:pPr>
              <w:spacing w:line="240" w:lineRule="auto"/>
              <w:jc w:val="center"/>
              <w:rPr>
                <w:rFonts w:cs="Times New Roman"/>
                <w:b/>
                <w:bCs/>
                <w:lang w:val="en-GB"/>
              </w:rPr>
            </w:pPr>
            <w:r w:rsidRPr="00D11DC0">
              <w:rPr>
                <w:lang w:val="en-GB"/>
              </w:rPr>
              <w:t>1730·0</w:t>
            </w:r>
          </w:p>
        </w:tc>
        <w:tc>
          <w:tcPr>
            <w:tcW w:w="838" w:type="dxa"/>
            <w:tcBorders>
              <w:top w:val="single" w:sz="4" w:space="0" w:color="auto"/>
            </w:tcBorders>
            <w:vAlign w:val="center"/>
          </w:tcPr>
          <w:p w14:paraId="6D295DCB" w14:textId="77777777" w:rsidR="00681745" w:rsidRPr="00D11DC0" w:rsidRDefault="00681745" w:rsidP="00EE4054">
            <w:pPr>
              <w:spacing w:line="240" w:lineRule="auto"/>
              <w:jc w:val="center"/>
              <w:rPr>
                <w:rFonts w:cs="Times New Roman"/>
                <w:b/>
                <w:bCs/>
                <w:lang w:val="en-GB"/>
              </w:rPr>
            </w:pPr>
            <w:r w:rsidRPr="00D11DC0">
              <w:rPr>
                <w:lang w:val="en-GB"/>
              </w:rPr>
              <w:t>52</w:t>
            </w:r>
          </w:p>
        </w:tc>
        <w:tc>
          <w:tcPr>
            <w:tcW w:w="1412" w:type="dxa"/>
            <w:tcBorders>
              <w:top w:val="single" w:sz="4" w:space="0" w:color="auto"/>
            </w:tcBorders>
            <w:vAlign w:val="center"/>
          </w:tcPr>
          <w:p w14:paraId="67002D01" w14:textId="77777777" w:rsidR="00681745" w:rsidRPr="00D11DC0" w:rsidRDefault="00681745" w:rsidP="00EE4054">
            <w:pPr>
              <w:spacing w:line="240" w:lineRule="auto"/>
              <w:jc w:val="center"/>
              <w:rPr>
                <w:rFonts w:cs="Times New Roman"/>
                <w:b/>
                <w:bCs/>
                <w:lang w:val="en-GB"/>
              </w:rPr>
            </w:pPr>
            <w:r w:rsidRPr="00D11DC0">
              <w:rPr>
                <w:lang w:val="en-GB"/>
              </w:rPr>
              <w:t>1595·0</w:t>
            </w:r>
          </w:p>
        </w:tc>
        <w:tc>
          <w:tcPr>
            <w:tcW w:w="2520" w:type="dxa"/>
            <w:tcBorders>
              <w:top w:val="single" w:sz="4" w:space="0" w:color="auto"/>
            </w:tcBorders>
            <w:vAlign w:val="center"/>
          </w:tcPr>
          <w:p w14:paraId="0CCB6DBC" w14:textId="77777777" w:rsidR="00681745" w:rsidRPr="00D11DC0" w:rsidRDefault="00681745" w:rsidP="00EE4054">
            <w:pPr>
              <w:spacing w:line="240" w:lineRule="auto"/>
              <w:jc w:val="center"/>
              <w:rPr>
                <w:rFonts w:cs="Times New Roman"/>
                <w:b/>
                <w:bCs/>
                <w:lang w:val="en-GB"/>
              </w:rPr>
            </w:pPr>
            <w:r w:rsidRPr="00D11DC0">
              <w:rPr>
                <w:lang w:val="en-GB"/>
              </w:rPr>
              <w:t>75·2 (54·6-87·3)§</w:t>
            </w:r>
          </w:p>
        </w:tc>
      </w:tr>
      <w:tr w:rsidR="00681745" w:rsidRPr="00D11DC0" w14:paraId="3EB2960B" w14:textId="77777777" w:rsidTr="00EE4054">
        <w:trPr>
          <w:cantSplit/>
          <w:trHeight w:val="619"/>
        </w:trPr>
        <w:tc>
          <w:tcPr>
            <w:tcW w:w="2970" w:type="dxa"/>
            <w:vAlign w:val="center"/>
          </w:tcPr>
          <w:p w14:paraId="1B8250BF" w14:textId="77777777" w:rsidR="00681745" w:rsidRPr="00D11DC0" w:rsidRDefault="00681745" w:rsidP="00EE4054">
            <w:pPr>
              <w:spacing w:line="240" w:lineRule="auto"/>
              <w:ind w:left="288"/>
              <w:rPr>
                <w:rFonts w:cs="Times New Roman"/>
                <w:b/>
                <w:bCs/>
                <w:lang w:val="en-GB"/>
              </w:rPr>
            </w:pPr>
            <w:r w:rsidRPr="00D11DC0">
              <w:rPr>
                <w:rFonts w:cs="Times New Roman"/>
                <w:color w:val="000000"/>
                <w:lang w:val="en-GB" w:eastAsia="nl-BE"/>
              </w:rPr>
              <w:t xml:space="preserve">18-59 </w:t>
            </w:r>
            <w:proofErr w:type="spellStart"/>
            <w:r w:rsidRPr="00D11DC0">
              <w:rPr>
                <w:rFonts w:cs="Times New Roman"/>
                <w:color w:val="000000"/>
                <w:lang w:val="en-GB" w:eastAsia="nl-BE"/>
              </w:rPr>
              <w:t>yr</w:t>
            </w:r>
            <w:proofErr w:type="spellEnd"/>
          </w:p>
        </w:tc>
        <w:tc>
          <w:tcPr>
            <w:tcW w:w="880" w:type="dxa"/>
            <w:vAlign w:val="center"/>
          </w:tcPr>
          <w:p w14:paraId="7160713F" w14:textId="77777777" w:rsidR="00681745" w:rsidRPr="00D11DC0" w:rsidRDefault="00681745" w:rsidP="00EE4054">
            <w:pPr>
              <w:spacing w:line="240" w:lineRule="auto"/>
              <w:jc w:val="center"/>
              <w:rPr>
                <w:rFonts w:cs="Times New Roman"/>
                <w:b/>
                <w:bCs/>
                <w:lang w:val="en-GB"/>
              </w:rPr>
            </w:pPr>
            <w:r w:rsidRPr="00D11DC0">
              <w:rPr>
                <w:lang w:val="en-GB"/>
              </w:rPr>
              <w:t>10</w:t>
            </w:r>
          </w:p>
        </w:tc>
        <w:tc>
          <w:tcPr>
            <w:tcW w:w="1190" w:type="dxa"/>
            <w:vAlign w:val="center"/>
          </w:tcPr>
          <w:p w14:paraId="1BE57121" w14:textId="77777777" w:rsidR="00681745" w:rsidRPr="00D11DC0" w:rsidRDefault="00681745" w:rsidP="00EE4054">
            <w:pPr>
              <w:spacing w:line="240" w:lineRule="auto"/>
              <w:jc w:val="center"/>
              <w:rPr>
                <w:rFonts w:cs="Times New Roman"/>
                <w:b/>
                <w:bCs/>
                <w:lang w:val="en-GB"/>
              </w:rPr>
            </w:pPr>
            <w:r w:rsidRPr="00D11DC0">
              <w:rPr>
                <w:lang w:val="en-GB"/>
              </w:rPr>
              <w:t>1386·9</w:t>
            </w:r>
          </w:p>
        </w:tc>
        <w:tc>
          <w:tcPr>
            <w:tcW w:w="838" w:type="dxa"/>
            <w:vAlign w:val="center"/>
          </w:tcPr>
          <w:p w14:paraId="4C31C08D" w14:textId="77777777" w:rsidR="00681745" w:rsidRPr="00D11DC0" w:rsidRDefault="00681745" w:rsidP="00EE4054">
            <w:pPr>
              <w:spacing w:line="240" w:lineRule="auto"/>
              <w:jc w:val="center"/>
              <w:rPr>
                <w:rFonts w:cs="Times New Roman"/>
                <w:b/>
                <w:bCs/>
                <w:lang w:val="en-GB"/>
              </w:rPr>
            </w:pPr>
            <w:r w:rsidRPr="00D11DC0">
              <w:rPr>
                <w:lang w:val="en-GB"/>
              </w:rPr>
              <w:t>41</w:t>
            </w:r>
          </w:p>
        </w:tc>
        <w:tc>
          <w:tcPr>
            <w:tcW w:w="1412" w:type="dxa"/>
            <w:vAlign w:val="center"/>
          </w:tcPr>
          <w:p w14:paraId="2BB4B897" w14:textId="77777777" w:rsidR="00681745" w:rsidRPr="00D11DC0" w:rsidRDefault="00681745" w:rsidP="00EE4054">
            <w:pPr>
              <w:spacing w:line="240" w:lineRule="auto"/>
              <w:jc w:val="center"/>
              <w:rPr>
                <w:rFonts w:cs="Times New Roman"/>
                <w:b/>
                <w:bCs/>
                <w:lang w:val="en-GB"/>
              </w:rPr>
            </w:pPr>
            <w:r w:rsidRPr="00D11DC0">
              <w:rPr>
                <w:lang w:val="en-GB"/>
              </w:rPr>
              <w:t>1276·4</w:t>
            </w:r>
          </w:p>
        </w:tc>
        <w:tc>
          <w:tcPr>
            <w:tcW w:w="2520" w:type="dxa"/>
            <w:vAlign w:val="center"/>
          </w:tcPr>
          <w:p w14:paraId="4F1A4AC0" w14:textId="77777777" w:rsidR="00681745" w:rsidRPr="00D11DC0" w:rsidRDefault="00681745" w:rsidP="00EE4054">
            <w:pPr>
              <w:spacing w:line="240" w:lineRule="auto"/>
              <w:jc w:val="center"/>
              <w:rPr>
                <w:rFonts w:cs="Times New Roman"/>
                <w:b/>
                <w:bCs/>
                <w:lang w:val="en-GB"/>
              </w:rPr>
            </w:pPr>
            <w:r w:rsidRPr="00D11DC0">
              <w:rPr>
                <w:lang w:val="en-GB"/>
              </w:rPr>
              <w:t>77·6 (54·4-90·0)</w:t>
            </w:r>
          </w:p>
        </w:tc>
      </w:tr>
      <w:tr w:rsidR="00681745" w:rsidRPr="00D11DC0" w14:paraId="1AC9CFCD" w14:textId="77777777" w:rsidTr="00EE4054">
        <w:trPr>
          <w:cantSplit/>
          <w:trHeight w:val="619"/>
        </w:trPr>
        <w:tc>
          <w:tcPr>
            <w:tcW w:w="2970" w:type="dxa"/>
            <w:vAlign w:val="center"/>
          </w:tcPr>
          <w:p w14:paraId="64330C38" w14:textId="77777777" w:rsidR="00681745" w:rsidRPr="00D11DC0" w:rsidRDefault="00681745" w:rsidP="00EE4054">
            <w:pPr>
              <w:spacing w:line="240" w:lineRule="auto"/>
              <w:ind w:left="288"/>
              <w:rPr>
                <w:rFonts w:cs="Times New Roman"/>
                <w:b/>
                <w:bCs/>
                <w:lang w:val="en-GB"/>
              </w:rPr>
            </w:pPr>
            <w:r w:rsidRPr="00D11DC0">
              <w:rPr>
                <w:rFonts w:cs="Times New Roman"/>
                <w:color w:val="000000"/>
                <w:lang w:val="en-GB" w:eastAsia="nl-BE"/>
              </w:rPr>
              <w:t xml:space="preserve">≥60 </w:t>
            </w:r>
            <w:proofErr w:type="spellStart"/>
            <w:r w:rsidRPr="00D11DC0">
              <w:rPr>
                <w:rFonts w:cs="Times New Roman"/>
                <w:color w:val="000000"/>
                <w:lang w:val="en-GB" w:eastAsia="nl-BE"/>
              </w:rPr>
              <w:t>yr</w:t>
            </w:r>
            <w:proofErr w:type="spellEnd"/>
          </w:p>
        </w:tc>
        <w:tc>
          <w:tcPr>
            <w:tcW w:w="880" w:type="dxa"/>
            <w:vAlign w:val="center"/>
          </w:tcPr>
          <w:p w14:paraId="1568B396" w14:textId="77777777" w:rsidR="00681745" w:rsidRPr="00D11DC0" w:rsidRDefault="00681745" w:rsidP="00EE4054">
            <w:pPr>
              <w:spacing w:line="240" w:lineRule="auto"/>
              <w:jc w:val="center"/>
              <w:rPr>
                <w:rFonts w:cs="Times New Roman"/>
                <w:b/>
                <w:bCs/>
                <w:lang w:val="en-GB"/>
              </w:rPr>
            </w:pPr>
            <w:r w:rsidRPr="00D11DC0">
              <w:rPr>
                <w:lang w:val="en-GB"/>
              </w:rPr>
              <w:t>4</w:t>
            </w:r>
          </w:p>
        </w:tc>
        <w:tc>
          <w:tcPr>
            <w:tcW w:w="1190" w:type="dxa"/>
            <w:vAlign w:val="center"/>
          </w:tcPr>
          <w:p w14:paraId="6CBE42E7" w14:textId="77777777" w:rsidR="00681745" w:rsidRPr="00D11DC0" w:rsidRDefault="00681745" w:rsidP="00EE4054">
            <w:pPr>
              <w:spacing w:line="240" w:lineRule="auto"/>
              <w:jc w:val="center"/>
              <w:rPr>
                <w:rFonts w:cs="Times New Roman"/>
                <w:b/>
                <w:bCs/>
                <w:lang w:val="en-GB"/>
              </w:rPr>
            </w:pPr>
            <w:r w:rsidRPr="00D11DC0">
              <w:rPr>
                <w:lang w:val="en-GB"/>
              </w:rPr>
              <w:t>343·1</w:t>
            </w:r>
          </w:p>
        </w:tc>
        <w:tc>
          <w:tcPr>
            <w:tcW w:w="838" w:type="dxa"/>
            <w:vAlign w:val="center"/>
          </w:tcPr>
          <w:p w14:paraId="5A1987B6" w14:textId="77777777" w:rsidR="00681745" w:rsidRPr="00D11DC0" w:rsidRDefault="00681745" w:rsidP="00EE4054">
            <w:pPr>
              <w:spacing w:line="240" w:lineRule="auto"/>
              <w:jc w:val="center"/>
              <w:rPr>
                <w:rFonts w:cs="Times New Roman"/>
                <w:b/>
                <w:bCs/>
                <w:lang w:val="en-GB"/>
              </w:rPr>
            </w:pPr>
            <w:r w:rsidRPr="00D11DC0">
              <w:rPr>
                <w:lang w:val="en-GB"/>
              </w:rPr>
              <w:t>11</w:t>
            </w:r>
          </w:p>
        </w:tc>
        <w:tc>
          <w:tcPr>
            <w:tcW w:w="1412" w:type="dxa"/>
            <w:vAlign w:val="center"/>
          </w:tcPr>
          <w:p w14:paraId="20782B42" w14:textId="77777777" w:rsidR="00681745" w:rsidRPr="00D11DC0" w:rsidRDefault="00681745" w:rsidP="00EE4054">
            <w:pPr>
              <w:spacing w:line="240" w:lineRule="auto"/>
              <w:jc w:val="center"/>
              <w:rPr>
                <w:rFonts w:cs="Times New Roman"/>
                <w:b/>
                <w:bCs/>
                <w:lang w:val="en-GB"/>
              </w:rPr>
            </w:pPr>
            <w:r w:rsidRPr="00D11DC0">
              <w:rPr>
                <w:lang w:val="en-GB"/>
              </w:rPr>
              <w:t>318·6</w:t>
            </w:r>
          </w:p>
        </w:tc>
        <w:tc>
          <w:tcPr>
            <w:tcW w:w="2520" w:type="dxa"/>
            <w:vAlign w:val="center"/>
          </w:tcPr>
          <w:p w14:paraId="3D204A29" w14:textId="77777777" w:rsidR="00681745" w:rsidRPr="00D11DC0" w:rsidRDefault="00681745" w:rsidP="00EE4054">
            <w:pPr>
              <w:spacing w:line="240" w:lineRule="auto"/>
              <w:jc w:val="center"/>
              <w:rPr>
                <w:rFonts w:cs="Times New Roman"/>
                <w:b/>
                <w:bCs/>
                <w:lang w:val="en-GB"/>
              </w:rPr>
            </w:pPr>
            <w:r w:rsidRPr="00D11DC0">
              <w:rPr>
                <w:lang w:val="en-GB"/>
              </w:rPr>
              <w:t>66·2 (</w:t>
            </w:r>
            <w:r w:rsidRPr="00D11DC0">
              <w:rPr>
                <w:rFonts w:ascii="Roboto" w:hAnsi="Roboto"/>
                <w:color w:val="4D5156"/>
                <w:sz w:val="21"/>
                <w:szCs w:val="21"/>
                <w:shd w:val="clear" w:color="auto" w:fill="FFFFFF"/>
                <w:lang w:val="en-GB"/>
              </w:rPr>
              <w:t>−</w:t>
            </w:r>
            <w:r w:rsidRPr="00D11DC0">
              <w:rPr>
                <w:lang w:val="en-GB"/>
              </w:rPr>
              <w:t>14·0-92·2)</w:t>
            </w:r>
          </w:p>
        </w:tc>
      </w:tr>
      <w:tr w:rsidR="00681745" w:rsidRPr="00D11DC0" w14:paraId="0F02F849" w14:textId="77777777" w:rsidTr="00EE4054">
        <w:trPr>
          <w:cantSplit/>
          <w:trHeight w:val="619"/>
        </w:trPr>
        <w:tc>
          <w:tcPr>
            <w:tcW w:w="2970" w:type="dxa"/>
            <w:vAlign w:val="center"/>
          </w:tcPr>
          <w:p w14:paraId="4B35BB32" w14:textId="77777777" w:rsidR="00681745" w:rsidRPr="00D11DC0" w:rsidRDefault="00681745" w:rsidP="00EE4054">
            <w:pPr>
              <w:spacing w:line="240" w:lineRule="auto"/>
              <w:rPr>
                <w:rFonts w:cs="Times New Roman"/>
                <w:lang w:val="en-GB"/>
              </w:rPr>
            </w:pPr>
            <w:r w:rsidRPr="00D11DC0">
              <w:rPr>
                <w:rFonts w:cs="Times New Roman"/>
                <w:lang w:val="en-GB"/>
              </w:rPr>
              <w:t xml:space="preserve">Symptomatic </w:t>
            </w:r>
            <w:r>
              <w:rPr>
                <w:rFonts w:cs="Times New Roman"/>
                <w:lang w:val="en-GB"/>
              </w:rPr>
              <w:t>COVID</w:t>
            </w:r>
            <w:r w:rsidRPr="00D11DC0">
              <w:rPr>
                <w:rFonts w:cs="Times New Roman"/>
                <w:lang w:val="en-GB"/>
              </w:rPr>
              <w:t>-19 of any severity</w:t>
            </w:r>
            <w:r w:rsidRPr="00D11DC0">
              <w:rPr>
                <w:lang w:val="en-GB"/>
              </w:rPr>
              <w:t>‖</w:t>
            </w:r>
          </w:p>
        </w:tc>
        <w:tc>
          <w:tcPr>
            <w:tcW w:w="880" w:type="dxa"/>
            <w:vAlign w:val="center"/>
          </w:tcPr>
          <w:p w14:paraId="675B5131" w14:textId="77777777" w:rsidR="00681745" w:rsidRPr="00D11DC0" w:rsidRDefault="00681745" w:rsidP="00EE4054">
            <w:pPr>
              <w:spacing w:line="240" w:lineRule="auto"/>
              <w:jc w:val="center"/>
              <w:rPr>
                <w:rFonts w:cs="Times New Roman"/>
                <w:b/>
                <w:bCs/>
                <w:lang w:val="en-GB"/>
              </w:rPr>
            </w:pPr>
            <w:r w:rsidRPr="00D11DC0">
              <w:rPr>
                <w:lang w:val="en-GB"/>
              </w:rPr>
              <w:t>14</w:t>
            </w:r>
          </w:p>
        </w:tc>
        <w:tc>
          <w:tcPr>
            <w:tcW w:w="1190" w:type="dxa"/>
            <w:vAlign w:val="center"/>
          </w:tcPr>
          <w:p w14:paraId="3546B173" w14:textId="77777777" w:rsidR="00681745" w:rsidRPr="00D11DC0" w:rsidRDefault="00681745" w:rsidP="00EE4054">
            <w:pPr>
              <w:spacing w:line="240" w:lineRule="auto"/>
              <w:jc w:val="center"/>
              <w:rPr>
                <w:rFonts w:cs="Times New Roman"/>
                <w:b/>
                <w:bCs/>
                <w:lang w:val="en-GB"/>
              </w:rPr>
            </w:pPr>
            <w:r w:rsidRPr="00D11DC0">
              <w:rPr>
                <w:lang w:val="en-GB"/>
              </w:rPr>
              <w:t>1730·0</w:t>
            </w:r>
          </w:p>
        </w:tc>
        <w:tc>
          <w:tcPr>
            <w:tcW w:w="838" w:type="dxa"/>
            <w:vAlign w:val="center"/>
          </w:tcPr>
          <w:p w14:paraId="74124AC9" w14:textId="77777777" w:rsidR="00681745" w:rsidRPr="00D11DC0" w:rsidRDefault="00681745" w:rsidP="00EE4054">
            <w:pPr>
              <w:spacing w:line="240" w:lineRule="auto"/>
              <w:jc w:val="center"/>
              <w:rPr>
                <w:rFonts w:cs="Times New Roman"/>
                <w:b/>
                <w:bCs/>
                <w:lang w:val="en-GB"/>
              </w:rPr>
            </w:pPr>
            <w:r w:rsidRPr="00D11DC0">
              <w:rPr>
                <w:lang w:val="en-GB"/>
              </w:rPr>
              <w:t>53</w:t>
            </w:r>
          </w:p>
        </w:tc>
        <w:tc>
          <w:tcPr>
            <w:tcW w:w="1412" w:type="dxa"/>
            <w:vAlign w:val="center"/>
          </w:tcPr>
          <w:p w14:paraId="7CCC0231" w14:textId="77777777" w:rsidR="00681745" w:rsidRPr="00D11DC0" w:rsidRDefault="00681745" w:rsidP="00EE4054">
            <w:pPr>
              <w:spacing w:line="240" w:lineRule="auto"/>
              <w:jc w:val="center"/>
              <w:rPr>
                <w:rFonts w:cs="Times New Roman"/>
                <w:b/>
                <w:bCs/>
                <w:lang w:val="en-GB"/>
              </w:rPr>
            </w:pPr>
            <w:r w:rsidRPr="00D11DC0">
              <w:rPr>
                <w:lang w:val="en-GB"/>
              </w:rPr>
              <w:t>1594·9</w:t>
            </w:r>
          </w:p>
        </w:tc>
        <w:tc>
          <w:tcPr>
            <w:tcW w:w="2520" w:type="dxa"/>
            <w:vAlign w:val="center"/>
          </w:tcPr>
          <w:p w14:paraId="397D17B3" w14:textId="77777777" w:rsidR="00681745" w:rsidRPr="00D11DC0" w:rsidRDefault="00681745" w:rsidP="00EE4054">
            <w:pPr>
              <w:spacing w:line="240" w:lineRule="auto"/>
              <w:jc w:val="center"/>
              <w:rPr>
                <w:rFonts w:cs="Times New Roman"/>
                <w:b/>
                <w:bCs/>
                <w:lang w:val="en-GB"/>
              </w:rPr>
            </w:pPr>
            <w:r w:rsidRPr="00D11DC0">
              <w:rPr>
                <w:lang w:val="en-GB"/>
              </w:rPr>
              <w:t>75·6 (55·5-87·5)</w:t>
            </w:r>
          </w:p>
        </w:tc>
      </w:tr>
      <w:tr w:rsidR="00681745" w:rsidRPr="00D11DC0" w14:paraId="0ECDFC30" w14:textId="77777777" w:rsidTr="00EE4054">
        <w:trPr>
          <w:cantSplit/>
          <w:trHeight w:val="619"/>
        </w:trPr>
        <w:tc>
          <w:tcPr>
            <w:tcW w:w="2970" w:type="dxa"/>
            <w:vAlign w:val="center"/>
          </w:tcPr>
          <w:p w14:paraId="7FFBBC37" w14:textId="77777777" w:rsidR="00681745" w:rsidRPr="00D11DC0" w:rsidRDefault="00681745" w:rsidP="00EE4054">
            <w:pPr>
              <w:spacing w:line="240" w:lineRule="auto"/>
              <w:ind w:left="288"/>
              <w:rPr>
                <w:rFonts w:cs="Times New Roman"/>
                <w:lang w:val="en-GB"/>
              </w:rPr>
            </w:pPr>
            <w:r w:rsidRPr="00D11DC0">
              <w:rPr>
                <w:rFonts w:cs="Times New Roman"/>
                <w:lang w:val="en-GB"/>
              </w:rPr>
              <w:t>Mild</w:t>
            </w:r>
            <w:r w:rsidRPr="00D11DC0">
              <w:rPr>
                <w:lang w:val="en-GB"/>
              </w:rPr>
              <w:t>¶</w:t>
            </w:r>
          </w:p>
        </w:tc>
        <w:tc>
          <w:tcPr>
            <w:tcW w:w="880" w:type="dxa"/>
            <w:vAlign w:val="center"/>
          </w:tcPr>
          <w:p w14:paraId="777096EB" w14:textId="77777777" w:rsidR="00681745" w:rsidRPr="00D11DC0" w:rsidRDefault="00681745" w:rsidP="00EE4054">
            <w:pPr>
              <w:spacing w:line="240" w:lineRule="auto"/>
              <w:jc w:val="center"/>
              <w:rPr>
                <w:rFonts w:cs="Times New Roman"/>
                <w:b/>
                <w:bCs/>
                <w:lang w:val="en-GB"/>
              </w:rPr>
            </w:pPr>
            <w:r w:rsidRPr="00D11DC0">
              <w:rPr>
                <w:lang w:val="en-GB"/>
              </w:rPr>
              <w:t>0</w:t>
            </w:r>
          </w:p>
        </w:tc>
        <w:tc>
          <w:tcPr>
            <w:tcW w:w="1190" w:type="dxa"/>
            <w:vAlign w:val="center"/>
          </w:tcPr>
          <w:p w14:paraId="355AA8D6" w14:textId="77777777" w:rsidR="00681745" w:rsidRPr="00D11DC0" w:rsidRDefault="00681745" w:rsidP="00EE4054">
            <w:pPr>
              <w:spacing w:line="240" w:lineRule="auto"/>
              <w:jc w:val="center"/>
              <w:rPr>
                <w:rFonts w:cs="Times New Roman"/>
                <w:b/>
                <w:bCs/>
                <w:lang w:val="en-GB"/>
              </w:rPr>
            </w:pPr>
            <w:r w:rsidRPr="00D11DC0">
              <w:rPr>
                <w:lang w:val="en-GB"/>
              </w:rPr>
              <w:t>1730·0</w:t>
            </w:r>
          </w:p>
        </w:tc>
        <w:tc>
          <w:tcPr>
            <w:tcW w:w="838" w:type="dxa"/>
            <w:vAlign w:val="center"/>
          </w:tcPr>
          <w:p w14:paraId="720BF022" w14:textId="77777777" w:rsidR="00681745" w:rsidRPr="00D11DC0" w:rsidRDefault="00681745" w:rsidP="00EE4054">
            <w:pPr>
              <w:spacing w:line="240" w:lineRule="auto"/>
              <w:jc w:val="center"/>
              <w:rPr>
                <w:rFonts w:cs="Times New Roman"/>
                <w:b/>
                <w:bCs/>
                <w:lang w:val="en-GB"/>
              </w:rPr>
            </w:pPr>
            <w:r w:rsidRPr="00D11DC0">
              <w:rPr>
                <w:lang w:val="en-GB"/>
              </w:rPr>
              <w:t>1</w:t>
            </w:r>
          </w:p>
        </w:tc>
        <w:tc>
          <w:tcPr>
            <w:tcW w:w="1412" w:type="dxa"/>
            <w:vAlign w:val="center"/>
          </w:tcPr>
          <w:p w14:paraId="4F0832C0" w14:textId="77777777" w:rsidR="00681745" w:rsidRPr="00D11DC0" w:rsidRDefault="00681745" w:rsidP="00EE4054">
            <w:pPr>
              <w:spacing w:line="240" w:lineRule="auto"/>
              <w:jc w:val="center"/>
              <w:rPr>
                <w:rFonts w:cs="Times New Roman"/>
                <w:b/>
                <w:bCs/>
                <w:lang w:val="en-GB"/>
              </w:rPr>
            </w:pPr>
            <w:r w:rsidRPr="00D11DC0">
              <w:rPr>
                <w:lang w:val="en-GB"/>
              </w:rPr>
              <w:t>1594·9</w:t>
            </w:r>
          </w:p>
        </w:tc>
        <w:tc>
          <w:tcPr>
            <w:tcW w:w="2520" w:type="dxa"/>
            <w:vAlign w:val="center"/>
          </w:tcPr>
          <w:p w14:paraId="088FC6E5" w14:textId="77777777" w:rsidR="00681745" w:rsidRPr="00D11DC0" w:rsidRDefault="00681745" w:rsidP="00EE4054">
            <w:pPr>
              <w:spacing w:line="240" w:lineRule="auto"/>
              <w:jc w:val="center"/>
              <w:rPr>
                <w:rFonts w:cs="Times New Roman"/>
                <w:lang w:val="en-GB"/>
              </w:rPr>
            </w:pPr>
          </w:p>
        </w:tc>
      </w:tr>
      <w:tr w:rsidR="00681745" w:rsidRPr="00D11DC0" w14:paraId="13FEA3AC" w14:textId="77777777" w:rsidTr="00EE4054">
        <w:trPr>
          <w:cantSplit/>
          <w:trHeight w:val="619"/>
        </w:trPr>
        <w:tc>
          <w:tcPr>
            <w:tcW w:w="2970" w:type="dxa"/>
            <w:vAlign w:val="center"/>
          </w:tcPr>
          <w:p w14:paraId="0F506B5F" w14:textId="77777777" w:rsidR="00681745" w:rsidRPr="00D11DC0" w:rsidRDefault="00681745" w:rsidP="00EE4054">
            <w:pPr>
              <w:spacing w:line="240" w:lineRule="auto"/>
              <w:ind w:left="288"/>
              <w:rPr>
                <w:rFonts w:cs="Times New Roman"/>
                <w:lang w:val="en-GB"/>
              </w:rPr>
            </w:pPr>
            <w:r w:rsidRPr="00D11DC0">
              <w:rPr>
                <w:rFonts w:cs="Times New Roman"/>
                <w:lang w:val="en-GB"/>
              </w:rPr>
              <w:t>Moderate</w:t>
            </w:r>
            <w:r w:rsidRPr="00D11DC0">
              <w:rPr>
                <w:lang w:val="en-GB"/>
              </w:rPr>
              <w:t>¶</w:t>
            </w:r>
          </w:p>
        </w:tc>
        <w:tc>
          <w:tcPr>
            <w:tcW w:w="880" w:type="dxa"/>
            <w:vAlign w:val="center"/>
          </w:tcPr>
          <w:p w14:paraId="1B33DC41" w14:textId="77777777" w:rsidR="00681745" w:rsidRPr="00D11DC0" w:rsidRDefault="00681745" w:rsidP="00EE4054">
            <w:pPr>
              <w:spacing w:line="240" w:lineRule="auto"/>
              <w:jc w:val="center"/>
              <w:rPr>
                <w:rFonts w:cs="Times New Roman"/>
                <w:b/>
                <w:bCs/>
                <w:lang w:val="en-GB"/>
              </w:rPr>
            </w:pPr>
            <w:r w:rsidRPr="00D11DC0">
              <w:rPr>
                <w:lang w:val="en-GB"/>
              </w:rPr>
              <w:t>14</w:t>
            </w:r>
          </w:p>
        </w:tc>
        <w:tc>
          <w:tcPr>
            <w:tcW w:w="1190" w:type="dxa"/>
            <w:vAlign w:val="center"/>
          </w:tcPr>
          <w:p w14:paraId="2F955AB1" w14:textId="77777777" w:rsidR="00681745" w:rsidRPr="00D11DC0" w:rsidRDefault="00681745" w:rsidP="00EE4054">
            <w:pPr>
              <w:spacing w:line="240" w:lineRule="auto"/>
              <w:jc w:val="center"/>
              <w:rPr>
                <w:rFonts w:cs="Times New Roman"/>
                <w:b/>
                <w:bCs/>
                <w:lang w:val="en-GB"/>
              </w:rPr>
            </w:pPr>
            <w:r w:rsidRPr="00D11DC0">
              <w:rPr>
                <w:lang w:val="en-GB"/>
              </w:rPr>
              <w:t>1730·0</w:t>
            </w:r>
          </w:p>
        </w:tc>
        <w:tc>
          <w:tcPr>
            <w:tcW w:w="838" w:type="dxa"/>
            <w:vAlign w:val="center"/>
          </w:tcPr>
          <w:p w14:paraId="0FC5112B" w14:textId="77777777" w:rsidR="00681745" w:rsidRPr="00D11DC0" w:rsidRDefault="00681745" w:rsidP="00EE4054">
            <w:pPr>
              <w:spacing w:line="240" w:lineRule="auto"/>
              <w:jc w:val="center"/>
              <w:rPr>
                <w:rFonts w:cs="Times New Roman"/>
                <w:b/>
                <w:bCs/>
                <w:lang w:val="en-GB"/>
              </w:rPr>
            </w:pPr>
            <w:r w:rsidRPr="00D11DC0">
              <w:rPr>
                <w:lang w:val="en-GB"/>
              </w:rPr>
              <w:t>44</w:t>
            </w:r>
          </w:p>
        </w:tc>
        <w:tc>
          <w:tcPr>
            <w:tcW w:w="1412" w:type="dxa"/>
            <w:vAlign w:val="center"/>
          </w:tcPr>
          <w:p w14:paraId="1630626F" w14:textId="77777777" w:rsidR="00681745" w:rsidRPr="00D11DC0" w:rsidRDefault="00681745" w:rsidP="00EE4054">
            <w:pPr>
              <w:spacing w:line="240" w:lineRule="auto"/>
              <w:jc w:val="center"/>
              <w:rPr>
                <w:rFonts w:cs="Times New Roman"/>
                <w:b/>
                <w:bCs/>
                <w:lang w:val="en-GB"/>
              </w:rPr>
            </w:pPr>
            <w:r w:rsidRPr="00D11DC0">
              <w:rPr>
                <w:lang w:val="en-GB"/>
              </w:rPr>
              <w:t>1595·0</w:t>
            </w:r>
          </w:p>
        </w:tc>
        <w:tc>
          <w:tcPr>
            <w:tcW w:w="2520" w:type="dxa"/>
            <w:vAlign w:val="center"/>
          </w:tcPr>
          <w:p w14:paraId="593CFE8F" w14:textId="77777777" w:rsidR="00681745" w:rsidRPr="00D11DC0" w:rsidRDefault="00681745" w:rsidP="00EE4054">
            <w:pPr>
              <w:spacing w:line="240" w:lineRule="auto"/>
              <w:jc w:val="center"/>
              <w:rPr>
                <w:rFonts w:cs="Times New Roman"/>
                <w:b/>
                <w:bCs/>
                <w:lang w:val="en-GB"/>
              </w:rPr>
            </w:pPr>
            <w:r w:rsidRPr="00D11DC0">
              <w:rPr>
                <w:lang w:val="en-GB"/>
              </w:rPr>
              <w:t>70·7 (45·5-85·2)</w:t>
            </w:r>
          </w:p>
        </w:tc>
      </w:tr>
      <w:tr w:rsidR="00681745" w:rsidRPr="00D11DC0" w14:paraId="687A2243" w14:textId="77777777" w:rsidTr="00EE4054">
        <w:trPr>
          <w:cantSplit/>
          <w:trHeight w:val="619"/>
        </w:trPr>
        <w:tc>
          <w:tcPr>
            <w:tcW w:w="2970" w:type="dxa"/>
            <w:vAlign w:val="center"/>
          </w:tcPr>
          <w:p w14:paraId="2AD9AA4B" w14:textId="77777777" w:rsidR="00681745" w:rsidRPr="00D11DC0" w:rsidRDefault="00681745" w:rsidP="00EE4054">
            <w:pPr>
              <w:spacing w:line="240" w:lineRule="auto"/>
              <w:ind w:left="288"/>
              <w:rPr>
                <w:rFonts w:cs="Times New Roman"/>
                <w:lang w:val="en-GB"/>
              </w:rPr>
            </w:pPr>
            <w:r w:rsidRPr="00D11DC0">
              <w:rPr>
                <w:rFonts w:cs="Times New Roman"/>
                <w:lang w:val="en-GB"/>
              </w:rPr>
              <w:t>Severe–critical</w:t>
            </w:r>
            <w:r w:rsidRPr="00D11DC0">
              <w:rPr>
                <w:lang w:val="en-GB"/>
              </w:rPr>
              <w:t>§‖</w:t>
            </w:r>
          </w:p>
        </w:tc>
        <w:tc>
          <w:tcPr>
            <w:tcW w:w="880" w:type="dxa"/>
            <w:vAlign w:val="center"/>
          </w:tcPr>
          <w:p w14:paraId="7B66CA8C" w14:textId="77777777" w:rsidR="00681745" w:rsidRPr="00D11DC0" w:rsidRDefault="00681745" w:rsidP="00EE4054">
            <w:pPr>
              <w:spacing w:line="240" w:lineRule="auto"/>
              <w:jc w:val="center"/>
              <w:rPr>
                <w:rFonts w:cs="Times New Roman"/>
                <w:b/>
                <w:bCs/>
                <w:lang w:val="en-GB"/>
              </w:rPr>
            </w:pPr>
            <w:r w:rsidRPr="00D11DC0">
              <w:rPr>
                <w:lang w:val="en-GB"/>
              </w:rPr>
              <w:t>0</w:t>
            </w:r>
          </w:p>
        </w:tc>
        <w:tc>
          <w:tcPr>
            <w:tcW w:w="1190" w:type="dxa"/>
            <w:vAlign w:val="center"/>
          </w:tcPr>
          <w:p w14:paraId="31754BC1" w14:textId="77777777" w:rsidR="00681745" w:rsidRPr="00D11DC0" w:rsidRDefault="00681745" w:rsidP="00EE4054">
            <w:pPr>
              <w:spacing w:line="240" w:lineRule="auto"/>
              <w:jc w:val="center"/>
              <w:rPr>
                <w:rFonts w:cs="Times New Roman"/>
                <w:b/>
                <w:bCs/>
                <w:lang w:val="en-GB"/>
              </w:rPr>
            </w:pPr>
            <w:r w:rsidRPr="00D11DC0">
              <w:rPr>
                <w:lang w:val="en-GB"/>
              </w:rPr>
              <w:t>1730·7</w:t>
            </w:r>
          </w:p>
        </w:tc>
        <w:tc>
          <w:tcPr>
            <w:tcW w:w="838" w:type="dxa"/>
            <w:vAlign w:val="center"/>
          </w:tcPr>
          <w:p w14:paraId="7BE7FE5B" w14:textId="77777777" w:rsidR="00681745" w:rsidRPr="00D11DC0" w:rsidRDefault="00681745" w:rsidP="00EE4054">
            <w:pPr>
              <w:spacing w:line="240" w:lineRule="auto"/>
              <w:jc w:val="center"/>
              <w:rPr>
                <w:rFonts w:cs="Times New Roman"/>
                <w:b/>
                <w:bCs/>
                <w:lang w:val="en-GB"/>
              </w:rPr>
            </w:pPr>
            <w:r w:rsidRPr="00D11DC0">
              <w:rPr>
                <w:lang w:val="en-GB"/>
              </w:rPr>
              <w:t>8**</w:t>
            </w:r>
          </w:p>
        </w:tc>
        <w:tc>
          <w:tcPr>
            <w:tcW w:w="1412" w:type="dxa"/>
            <w:vAlign w:val="center"/>
          </w:tcPr>
          <w:p w14:paraId="0E15E1B2" w14:textId="77777777" w:rsidR="00681745" w:rsidRPr="00D11DC0" w:rsidRDefault="00681745" w:rsidP="00EE4054">
            <w:pPr>
              <w:spacing w:line="240" w:lineRule="auto"/>
              <w:jc w:val="center"/>
              <w:rPr>
                <w:rFonts w:cs="Times New Roman"/>
                <w:b/>
                <w:bCs/>
                <w:lang w:val="en-GB"/>
              </w:rPr>
            </w:pPr>
            <w:r w:rsidRPr="00D11DC0">
              <w:rPr>
                <w:lang w:val="en-GB"/>
              </w:rPr>
              <w:t>1598·9</w:t>
            </w:r>
          </w:p>
        </w:tc>
        <w:tc>
          <w:tcPr>
            <w:tcW w:w="2520" w:type="dxa"/>
            <w:vAlign w:val="center"/>
          </w:tcPr>
          <w:p w14:paraId="78802E38" w14:textId="77777777" w:rsidR="00681745" w:rsidRPr="00D11DC0" w:rsidRDefault="00681745" w:rsidP="00EE4054">
            <w:pPr>
              <w:spacing w:line="240" w:lineRule="auto"/>
              <w:jc w:val="center"/>
              <w:rPr>
                <w:lang w:val="en-GB"/>
              </w:rPr>
            </w:pPr>
            <w:r w:rsidRPr="00D11DC0">
              <w:rPr>
                <w:lang w:val="en-GB"/>
              </w:rPr>
              <w:t>100·0 (32·6-100·0)§</w:t>
            </w:r>
          </w:p>
        </w:tc>
      </w:tr>
      <w:tr w:rsidR="00681745" w:rsidRPr="00D11DC0" w14:paraId="78E9F27A" w14:textId="77777777" w:rsidTr="00EE4054">
        <w:trPr>
          <w:cantSplit/>
          <w:trHeight w:val="619"/>
        </w:trPr>
        <w:tc>
          <w:tcPr>
            <w:tcW w:w="2970" w:type="dxa"/>
            <w:vAlign w:val="center"/>
          </w:tcPr>
          <w:p w14:paraId="3081515D" w14:textId="77777777" w:rsidR="00681745" w:rsidRPr="00D11DC0" w:rsidRDefault="00681745" w:rsidP="00EE4054">
            <w:pPr>
              <w:spacing w:line="240" w:lineRule="auto"/>
              <w:rPr>
                <w:lang w:val="en-GB"/>
              </w:rPr>
            </w:pPr>
            <w:r w:rsidRPr="00D11DC0">
              <w:rPr>
                <w:lang w:val="en-GB"/>
              </w:rPr>
              <w:t>All SARS-CoV-2 infections§‖</w:t>
            </w:r>
          </w:p>
        </w:tc>
        <w:tc>
          <w:tcPr>
            <w:tcW w:w="880" w:type="dxa"/>
            <w:shd w:val="clear" w:color="auto" w:fill="auto"/>
            <w:vAlign w:val="center"/>
          </w:tcPr>
          <w:p w14:paraId="6C1B1B46" w14:textId="77777777" w:rsidR="00681745" w:rsidRPr="00D11DC0" w:rsidRDefault="00681745" w:rsidP="00EE4054">
            <w:pPr>
              <w:spacing w:line="240" w:lineRule="auto"/>
              <w:jc w:val="center"/>
              <w:rPr>
                <w:rFonts w:cs="Times New Roman"/>
                <w:color w:val="000000"/>
                <w:lang w:val="en-GB" w:eastAsia="nl-BE"/>
              </w:rPr>
            </w:pPr>
            <w:r w:rsidRPr="00D11DC0">
              <w:rPr>
                <w:lang w:val="en-GB"/>
              </w:rPr>
              <w:t>60</w:t>
            </w:r>
          </w:p>
        </w:tc>
        <w:tc>
          <w:tcPr>
            <w:tcW w:w="1190" w:type="dxa"/>
            <w:shd w:val="clear" w:color="auto" w:fill="auto"/>
            <w:vAlign w:val="center"/>
          </w:tcPr>
          <w:p w14:paraId="66F23900" w14:textId="77777777" w:rsidR="00681745" w:rsidRPr="00D11DC0" w:rsidRDefault="00681745" w:rsidP="00EE4054">
            <w:pPr>
              <w:spacing w:line="240" w:lineRule="auto"/>
              <w:jc w:val="center"/>
              <w:rPr>
                <w:rFonts w:cs="Times New Roman"/>
                <w:color w:val="000000"/>
                <w:lang w:val="en-GB" w:eastAsia="nl-BE"/>
              </w:rPr>
            </w:pPr>
            <w:r w:rsidRPr="00D11DC0">
              <w:rPr>
                <w:lang w:val="en-GB"/>
              </w:rPr>
              <w:t>1729·4</w:t>
            </w:r>
          </w:p>
        </w:tc>
        <w:tc>
          <w:tcPr>
            <w:tcW w:w="838" w:type="dxa"/>
            <w:shd w:val="clear" w:color="auto" w:fill="auto"/>
            <w:vAlign w:val="center"/>
          </w:tcPr>
          <w:p w14:paraId="7581967B" w14:textId="77777777" w:rsidR="00681745" w:rsidRPr="00D11DC0" w:rsidRDefault="00681745" w:rsidP="00EE4054">
            <w:pPr>
              <w:spacing w:line="240" w:lineRule="auto"/>
              <w:jc w:val="center"/>
              <w:rPr>
                <w:rFonts w:cs="Times New Roman"/>
                <w:color w:val="000000"/>
                <w:lang w:val="en-GB" w:eastAsia="nl-BE"/>
              </w:rPr>
            </w:pPr>
            <w:r w:rsidRPr="00D11DC0">
              <w:rPr>
                <w:lang w:val="en-GB"/>
              </w:rPr>
              <w:t>113</w:t>
            </w:r>
          </w:p>
        </w:tc>
        <w:tc>
          <w:tcPr>
            <w:tcW w:w="1412" w:type="dxa"/>
            <w:shd w:val="clear" w:color="auto" w:fill="auto"/>
            <w:vAlign w:val="center"/>
          </w:tcPr>
          <w:p w14:paraId="0776D297" w14:textId="77777777" w:rsidR="00681745" w:rsidRPr="00D11DC0" w:rsidRDefault="00681745" w:rsidP="00EE4054">
            <w:pPr>
              <w:spacing w:line="240" w:lineRule="auto"/>
              <w:jc w:val="center"/>
              <w:rPr>
                <w:rFonts w:cs="Times New Roman"/>
                <w:color w:val="000000"/>
                <w:lang w:val="en-GB" w:eastAsia="nl-BE"/>
              </w:rPr>
            </w:pPr>
            <w:r w:rsidRPr="00D11DC0">
              <w:rPr>
                <w:lang w:val="en-GB"/>
              </w:rPr>
              <w:t>1593·4</w:t>
            </w:r>
          </w:p>
        </w:tc>
        <w:tc>
          <w:tcPr>
            <w:tcW w:w="2520" w:type="dxa"/>
            <w:shd w:val="clear" w:color="auto" w:fill="auto"/>
            <w:vAlign w:val="center"/>
          </w:tcPr>
          <w:p w14:paraId="74799F87" w14:textId="77777777" w:rsidR="00681745" w:rsidRPr="00D11DC0" w:rsidRDefault="00681745" w:rsidP="00EE4054">
            <w:pPr>
              <w:spacing w:line="240" w:lineRule="auto"/>
              <w:jc w:val="center"/>
              <w:rPr>
                <w:lang w:val="en-GB"/>
              </w:rPr>
            </w:pPr>
            <w:r w:rsidRPr="00D11DC0">
              <w:rPr>
                <w:lang w:val="en-GB"/>
              </w:rPr>
              <w:t>51·1 (29·5-66·5)§</w:t>
            </w:r>
          </w:p>
        </w:tc>
      </w:tr>
      <w:tr w:rsidR="00681745" w:rsidRPr="00D11DC0" w14:paraId="670A2FDC" w14:textId="77777777" w:rsidTr="00EE4054">
        <w:trPr>
          <w:cantSplit/>
          <w:trHeight w:val="630"/>
        </w:trPr>
        <w:tc>
          <w:tcPr>
            <w:tcW w:w="2970" w:type="dxa"/>
            <w:vAlign w:val="center"/>
          </w:tcPr>
          <w:p w14:paraId="42083D03" w14:textId="77777777" w:rsidR="00681745" w:rsidRPr="00D11DC0" w:rsidRDefault="00681745" w:rsidP="00EE4054">
            <w:pPr>
              <w:spacing w:line="240" w:lineRule="auto"/>
              <w:ind w:left="338"/>
              <w:rPr>
                <w:lang w:val="en-GB"/>
              </w:rPr>
            </w:pPr>
            <w:r w:rsidRPr="00D11DC0">
              <w:rPr>
                <w:lang w:val="en-GB"/>
              </w:rPr>
              <w:t xml:space="preserve">Serologically confirmed and </w:t>
            </w:r>
            <w:r>
              <w:rPr>
                <w:lang w:val="en-GB"/>
              </w:rPr>
              <w:t xml:space="preserve">locally molecularly </w:t>
            </w:r>
            <w:r w:rsidRPr="00D11DC0">
              <w:rPr>
                <w:lang w:val="en-GB"/>
              </w:rPr>
              <w:t>confirmed</w:t>
            </w:r>
          </w:p>
        </w:tc>
        <w:tc>
          <w:tcPr>
            <w:tcW w:w="880" w:type="dxa"/>
            <w:shd w:val="clear" w:color="auto" w:fill="auto"/>
            <w:vAlign w:val="center"/>
          </w:tcPr>
          <w:p w14:paraId="51197E52" w14:textId="77777777" w:rsidR="00681745" w:rsidRPr="00D11DC0" w:rsidRDefault="00681745" w:rsidP="00EE4054">
            <w:pPr>
              <w:spacing w:line="240" w:lineRule="auto"/>
              <w:jc w:val="center"/>
              <w:rPr>
                <w:lang w:val="en-GB"/>
              </w:rPr>
            </w:pPr>
            <w:r>
              <w:rPr>
                <w:lang w:val="en-GB"/>
              </w:rPr>
              <w:t>1</w:t>
            </w:r>
          </w:p>
        </w:tc>
        <w:tc>
          <w:tcPr>
            <w:tcW w:w="1190" w:type="dxa"/>
            <w:shd w:val="clear" w:color="auto" w:fill="auto"/>
            <w:vAlign w:val="center"/>
          </w:tcPr>
          <w:p w14:paraId="5A0FEEA6" w14:textId="77777777" w:rsidR="00681745" w:rsidRPr="00D11DC0" w:rsidRDefault="00681745" w:rsidP="00EE4054">
            <w:pPr>
              <w:spacing w:line="240" w:lineRule="auto"/>
              <w:jc w:val="center"/>
              <w:rPr>
                <w:lang w:val="en-GB"/>
              </w:rPr>
            </w:pPr>
            <w:r w:rsidRPr="00D11DC0">
              <w:rPr>
                <w:lang w:val="en-GB"/>
              </w:rPr>
              <w:t>1729·</w:t>
            </w:r>
            <w:r>
              <w:rPr>
                <w:lang w:val="en-GB"/>
              </w:rPr>
              <w:t>9</w:t>
            </w:r>
          </w:p>
        </w:tc>
        <w:tc>
          <w:tcPr>
            <w:tcW w:w="838" w:type="dxa"/>
            <w:shd w:val="clear" w:color="auto" w:fill="auto"/>
            <w:vAlign w:val="center"/>
          </w:tcPr>
          <w:p w14:paraId="30432E7F" w14:textId="77777777" w:rsidR="00681745" w:rsidRPr="00D11DC0" w:rsidRDefault="00681745" w:rsidP="00EE4054">
            <w:pPr>
              <w:spacing w:line="240" w:lineRule="auto"/>
              <w:jc w:val="center"/>
              <w:rPr>
                <w:lang w:val="en-GB"/>
              </w:rPr>
            </w:pPr>
            <w:r>
              <w:rPr>
                <w:lang w:val="en-GB"/>
              </w:rPr>
              <w:t>2</w:t>
            </w:r>
          </w:p>
        </w:tc>
        <w:tc>
          <w:tcPr>
            <w:tcW w:w="1412" w:type="dxa"/>
            <w:shd w:val="clear" w:color="auto" w:fill="auto"/>
            <w:vAlign w:val="center"/>
          </w:tcPr>
          <w:p w14:paraId="1C5B8FF6" w14:textId="77777777" w:rsidR="00681745" w:rsidRPr="00D11DC0" w:rsidRDefault="00681745" w:rsidP="00EE4054">
            <w:pPr>
              <w:spacing w:line="240" w:lineRule="auto"/>
              <w:jc w:val="center"/>
              <w:rPr>
                <w:lang w:val="en-GB"/>
              </w:rPr>
            </w:pPr>
            <w:r>
              <w:rPr>
                <w:lang w:val="en-GB"/>
              </w:rPr>
              <w:t>1594</w:t>
            </w:r>
            <w:r w:rsidRPr="00D11DC0">
              <w:rPr>
                <w:lang w:val="en-GB"/>
              </w:rPr>
              <w:t>·</w:t>
            </w:r>
            <w:r>
              <w:rPr>
                <w:lang w:val="en-GB"/>
              </w:rPr>
              <w:t>8</w:t>
            </w:r>
          </w:p>
        </w:tc>
        <w:tc>
          <w:tcPr>
            <w:tcW w:w="2520" w:type="dxa"/>
            <w:shd w:val="clear" w:color="auto" w:fill="auto"/>
            <w:vAlign w:val="center"/>
          </w:tcPr>
          <w:p w14:paraId="7FAE9154" w14:textId="77777777" w:rsidR="00681745" w:rsidRPr="00D11DC0" w:rsidRDefault="00681745" w:rsidP="00EE4054">
            <w:pPr>
              <w:spacing w:line="240" w:lineRule="auto"/>
              <w:jc w:val="center"/>
              <w:rPr>
                <w:lang w:val="en-GB"/>
              </w:rPr>
            </w:pPr>
          </w:p>
        </w:tc>
      </w:tr>
      <w:tr w:rsidR="00681745" w:rsidRPr="00D11DC0" w14:paraId="0F9D0330" w14:textId="77777777" w:rsidTr="00EE4054">
        <w:trPr>
          <w:cantSplit/>
          <w:trHeight w:val="619"/>
        </w:trPr>
        <w:tc>
          <w:tcPr>
            <w:tcW w:w="2970" w:type="dxa"/>
            <w:vAlign w:val="center"/>
          </w:tcPr>
          <w:p w14:paraId="0CDAFDF1" w14:textId="77777777" w:rsidR="00681745" w:rsidRPr="00D11DC0" w:rsidRDefault="00681745" w:rsidP="00EE4054">
            <w:pPr>
              <w:spacing w:line="240" w:lineRule="auto"/>
              <w:ind w:left="338"/>
              <w:rPr>
                <w:rFonts w:cs="Times New Roman"/>
                <w:lang w:val="en-GB"/>
              </w:rPr>
            </w:pPr>
            <w:r>
              <w:rPr>
                <w:lang w:val="en-GB"/>
              </w:rPr>
              <w:t>S</w:t>
            </w:r>
            <w:r w:rsidRPr="00D11DC0">
              <w:rPr>
                <w:lang w:val="en-GB"/>
              </w:rPr>
              <w:t>erologically confirmed and not molecularly confirmed</w:t>
            </w:r>
          </w:p>
        </w:tc>
        <w:tc>
          <w:tcPr>
            <w:tcW w:w="880" w:type="dxa"/>
            <w:shd w:val="clear" w:color="auto" w:fill="auto"/>
            <w:vAlign w:val="center"/>
          </w:tcPr>
          <w:p w14:paraId="484CB30F" w14:textId="77777777" w:rsidR="00681745" w:rsidRPr="00D11DC0" w:rsidRDefault="00681745" w:rsidP="00EE4054">
            <w:pPr>
              <w:spacing w:line="240" w:lineRule="auto"/>
              <w:jc w:val="center"/>
              <w:rPr>
                <w:lang w:val="en-GB"/>
              </w:rPr>
            </w:pPr>
            <w:r>
              <w:rPr>
                <w:lang w:val="en-GB"/>
              </w:rPr>
              <w:t>5</w:t>
            </w:r>
          </w:p>
        </w:tc>
        <w:tc>
          <w:tcPr>
            <w:tcW w:w="1190" w:type="dxa"/>
            <w:shd w:val="clear" w:color="auto" w:fill="auto"/>
            <w:vAlign w:val="center"/>
          </w:tcPr>
          <w:p w14:paraId="417E1C3E" w14:textId="77777777" w:rsidR="00681745" w:rsidRPr="00D11DC0" w:rsidRDefault="00681745" w:rsidP="00EE4054">
            <w:pPr>
              <w:spacing w:line="240" w:lineRule="auto"/>
              <w:jc w:val="center"/>
              <w:rPr>
                <w:lang w:val="en-GB"/>
              </w:rPr>
            </w:pPr>
            <w:r w:rsidRPr="00D11DC0">
              <w:rPr>
                <w:lang w:val="en-GB"/>
              </w:rPr>
              <w:t>1729·</w:t>
            </w:r>
            <w:r>
              <w:rPr>
                <w:lang w:val="en-GB"/>
              </w:rPr>
              <w:t>5</w:t>
            </w:r>
          </w:p>
        </w:tc>
        <w:tc>
          <w:tcPr>
            <w:tcW w:w="838" w:type="dxa"/>
            <w:shd w:val="clear" w:color="auto" w:fill="auto"/>
            <w:vAlign w:val="center"/>
          </w:tcPr>
          <w:p w14:paraId="1E0E4F8A" w14:textId="77777777" w:rsidR="00681745" w:rsidRPr="00D11DC0" w:rsidRDefault="00681745" w:rsidP="00EE4054">
            <w:pPr>
              <w:spacing w:line="240" w:lineRule="auto"/>
              <w:jc w:val="center"/>
              <w:rPr>
                <w:lang w:val="en-GB"/>
              </w:rPr>
            </w:pPr>
            <w:r>
              <w:rPr>
                <w:lang w:val="en-GB"/>
              </w:rPr>
              <w:t>2</w:t>
            </w:r>
          </w:p>
        </w:tc>
        <w:tc>
          <w:tcPr>
            <w:tcW w:w="1412" w:type="dxa"/>
            <w:shd w:val="clear" w:color="auto" w:fill="auto"/>
            <w:vAlign w:val="center"/>
          </w:tcPr>
          <w:p w14:paraId="260E32E2" w14:textId="77777777" w:rsidR="00681745" w:rsidRPr="00D11DC0" w:rsidRDefault="00681745" w:rsidP="00EE4054">
            <w:pPr>
              <w:spacing w:line="240" w:lineRule="auto"/>
              <w:jc w:val="center"/>
              <w:rPr>
                <w:lang w:val="en-GB"/>
              </w:rPr>
            </w:pPr>
            <w:r>
              <w:rPr>
                <w:lang w:val="en-GB"/>
              </w:rPr>
              <w:t>1594</w:t>
            </w:r>
            <w:r w:rsidRPr="00D11DC0">
              <w:rPr>
                <w:lang w:val="en-GB"/>
              </w:rPr>
              <w:t>·</w:t>
            </w:r>
            <w:r>
              <w:rPr>
                <w:lang w:val="en-GB"/>
              </w:rPr>
              <w:t>9</w:t>
            </w:r>
          </w:p>
        </w:tc>
        <w:tc>
          <w:tcPr>
            <w:tcW w:w="2520" w:type="dxa"/>
            <w:shd w:val="clear" w:color="auto" w:fill="auto"/>
            <w:vAlign w:val="center"/>
          </w:tcPr>
          <w:p w14:paraId="09C2C21A" w14:textId="77777777" w:rsidR="00681745" w:rsidRPr="00D11DC0" w:rsidRDefault="00681745" w:rsidP="00EE4054">
            <w:pPr>
              <w:spacing w:line="240" w:lineRule="auto"/>
              <w:jc w:val="center"/>
              <w:rPr>
                <w:lang w:val="en-GB"/>
              </w:rPr>
            </w:pPr>
            <w:r w:rsidRPr="00D11DC0">
              <w:rPr>
                <w:lang w:val="en-GB"/>
              </w:rPr>
              <w:t>−</w:t>
            </w:r>
            <w:r>
              <w:rPr>
                <w:lang w:val="en-GB"/>
              </w:rPr>
              <w:t>130</w:t>
            </w:r>
            <w:r w:rsidRPr="00D11DC0">
              <w:rPr>
                <w:lang w:val="en-GB"/>
              </w:rPr>
              <w:t>·</w:t>
            </w:r>
            <w:r>
              <w:rPr>
                <w:lang w:val="en-GB"/>
              </w:rPr>
              <w:t>5 (</w:t>
            </w:r>
            <w:r w:rsidRPr="00D11DC0">
              <w:rPr>
                <w:lang w:val="en-GB"/>
              </w:rPr>
              <w:t>−</w:t>
            </w:r>
            <w:r>
              <w:rPr>
                <w:lang w:val="en-GB"/>
              </w:rPr>
              <w:t>2321</w:t>
            </w:r>
            <w:r w:rsidRPr="00D11DC0">
              <w:rPr>
                <w:lang w:val="en-GB"/>
              </w:rPr>
              <w:t>·</w:t>
            </w:r>
            <w:r>
              <w:rPr>
                <w:lang w:val="en-GB"/>
              </w:rPr>
              <w:t>0-62</w:t>
            </w:r>
            <w:r w:rsidRPr="00D11DC0">
              <w:rPr>
                <w:lang w:val="en-GB"/>
              </w:rPr>
              <w:t>·</w:t>
            </w:r>
            <w:r>
              <w:rPr>
                <w:lang w:val="en-GB"/>
              </w:rPr>
              <w:t>3</w:t>
            </w:r>
            <w:r w:rsidRPr="00D11DC0">
              <w:rPr>
                <w:lang w:val="en-GB"/>
              </w:rPr>
              <w:t>)</w:t>
            </w:r>
          </w:p>
        </w:tc>
      </w:tr>
      <w:tr w:rsidR="00681745" w:rsidRPr="00D11DC0" w14:paraId="49CDB4EA" w14:textId="77777777" w:rsidTr="00EE4054">
        <w:trPr>
          <w:cantSplit/>
          <w:trHeight w:val="619"/>
        </w:trPr>
        <w:tc>
          <w:tcPr>
            <w:tcW w:w="2970" w:type="dxa"/>
            <w:vAlign w:val="center"/>
          </w:tcPr>
          <w:p w14:paraId="15901491" w14:textId="77777777" w:rsidR="00681745" w:rsidRPr="00D11DC0" w:rsidRDefault="00681745" w:rsidP="00EE4054">
            <w:pPr>
              <w:spacing w:line="240" w:lineRule="auto"/>
              <w:rPr>
                <w:rFonts w:cs="Times New Roman"/>
                <w:lang w:val="en-GB"/>
              </w:rPr>
            </w:pPr>
            <w:r w:rsidRPr="00D11DC0">
              <w:rPr>
                <w:rFonts w:cs="Times New Roman"/>
                <w:lang w:val="en-GB"/>
              </w:rPr>
              <w:t xml:space="preserve">Asymptomatic SARS-CoV-2 </w:t>
            </w:r>
            <w:r w:rsidRPr="00D11DC0">
              <w:rPr>
                <w:lang w:val="en-GB"/>
              </w:rPr>
              <w:t>infections§‖</w:t>
            </w:r>
          </w:p>
        </w:tc>
        <w:tc>
          <w:tcPr>
            <w:tcW w:w="880" w:type="dxa"/>
            <w:shd w:val="clear" w:color="auto" w:fill="auto"/>
            <w:vAlign w:val="center"/>
          </w:tcPr>
          <w:p w14:paraId="5371C721" w14:textId="77777777" w:rsidR="00681745" w:rsidRPr="00D11DC0" w:rsidRDefault="00681745" w:rsidP="00EE4054">
            <w:pPr>
              <w:spacing w:line="240" w:lineRule="auto"/>
              <w:jc w:val="center"/>
              <w:rPr>
                <w:rFonts w:cs="Times New Roman"/>
                <w:color w:val="000000"/>
                <w:lang w:val="en-GB" w:eastAsia="nl-BE"/>
              </w:rPr>
            </w:pPr>
            <w:r w:rsidRPr="00D11DC0">
              <w:rPr>
                <w:lang w:val="en-GB"/>
              </w:rPr>
              <w:t>40</w:t>
            </w:r>
          </w:p>
        </w:tc>
        <w:tc>
          <w:tcPr>
            <w:tcW w:w="1190" w:type="dxa"/>
            <w:shd w:val="clear" w:color="auto" w:fill="auto"/>
            <w:vAlign w:val="center"/>
          </w:tcPr>
          <w:p w14:paraId="4EF12FA1" w14:textId="77777777" w:rsidR="00681745" w:rsidRPr="00D11DC0" w:rsidRDefault="00681745" w:rsidP="00EE4054">
            <w:pPr>
              <w:spacing w:line="240" w:lineRule="auto"/>
              <w:jc w:val="center"/>
              <w:rPr>
                <w:rFonts w:cs="Times New Roman"/>
                <w:color w:val="000000"/>
                <w:lang w:val="en-GB" w:eastAsia="nl-BE"/>
              </w:rPr>
            </w:pPr>
            <w:r w:rsidRPr="00D11DC0">
              <w:rPr>
                <w:lang w:val="en-GB"/>
              </w:rPr>
              <w:t>1729·9</w:t>
            </w:r>
          </w:p>
        </w:tc>
        <w:tc>
          <w:tcPr>
            <w:tcW w:w="838" w:type="dxa"/>
            <w:shd w:val="clear" w:color="auto" w:fill="auto"/>
            <w:vAlign w:val="center"/>
          </w:tcPr>
          <w:p w14:paraId="15BD09E2" w14:textId="77777777" w:rsidR="00681745" w:rsidRPr="00D11DC0" w:rsidRDefault="00681745" w:rsidP="00EE4054">
            <w:pPr>
              <w:spacing w:line="240" w:lineRule="auto"/>
              <w:jc w:val="center"/>
              <w:rPr>
                <w:rFonts w:cs="Times New Roman"/>
                <w:color w:val="000000"/>
                <w:lang w:val="en-GB" w:eastAsia="nl-BE"/>
              </w:rPr>
            </w:pPr>
            <w:r w:rsidRPr="00D11DC0">
              <w:rPr>
                <w:lang w:val="en-GB"/>
              </w:rPr>
              <w:t>56</w:t>
            </w:r>
          </w:p>
        </w:tc>
        <w:tc>
          <w:tcPr>
            <w:tcW w:w="1412" w:type="dxa"/>
            <w:shd w:val="clear" w:color="auto" w:fill="auto"/>
            <w:vAlign w:val="center"/>
          </w:tcPr>
          <w:p w14:paraId="1030E724" w14:textId="77777777" w:rsidR="00681745" w:rsidRPr="00D11DC0" w:rsidRDefault="00681745" w:rsidP="00EE4054">
            <w:pPr>
              <w:spacing w:line="240" w:lineRule="auto"/>
              <w:jc w:val="center"/>
              <w:rPr>
                <w:rFonts w:cs="Times New Roman"/>
                <w:color w:val="000000"/>
                <w:lang w:val="en-GB" w:eastAsia="nl-BE"/>
              </w:rPr>
            </w:pPr>
            <w:r w:rsidRPr="00D11DC0">
              <w:rPr>
                <w:lang w:val="en-GB"/>
              </w:rPr>
              <w:t>1593·5</w:t>
            </w:r>
          </w:p>
        </w:tc>
        <w:tc>
          <w:tcPr>
            <w:tcW w:w="2520" w:type="dxa"/>
            <w:shd w:val="clear" w:color="auto" w:fill="auto"/>
            <w:vAlign w:val="center"/>
          </w:tcPr>
          <w:p w14:paraId="3F2000DB" w14:textId="77777777" w:rsidR="00681745" w:rsidRPr="00D11DC0" w:rsidRDefault="00681745" w:rsidP="00EE4054">
            <w:pPr>
              <w:spacing w:line="240" w:lineRule="auto"/>
              <w:jc w:val="center"/>
              <w:rPr>
                <w:lang w:val="en-GB"/>
              </w:rPr>
            </w:pPr>
            <w:r w:rsidRPr="00D11DC0">
              <w:rPr>
                <w:lang w:val="en-GB"/>
              </w:rPr>
              <w:t>34·2 (−6·4-59·8)§</w:t>
            </w:r>
          </w:p>
        </w:tc>
      </w:tr>
      <w:tr w:rsidR="00681745" w:rsidRPr="00D11DC0" w14:paraId="257A8002" w14:textId="77777777" w:rsidTr="00EE4054">
        <w:trPr>
          <w:cantSplit/>
          <w:trHeight w:val="619"/>
        </w:trPr>
        <w:tc>
          <w:tcPr>
            <w:tcW w:w="2970" w:type="dxa"/>
            <w:vAlign w:val="center"/>
          </w:tcPr>
          <w:p w14:paraId="73A2494D" w14:textId="77777777" w:rsidR="00681745" w:rsidRPr="00D11DC0" w:rsidRDefault="00681745" w:rsidP="00EE4054">
            <w:pPr>
              <w:spacing w:line="240" w:lineRule="auto"/>
              <w:rPr>
                <w:rFonts w:cs="Times New Roman"/>
                <w:vertAlign w:val="superscript"/>
                <w:lang w:val="en-GB"/>
              </w:rPr>
            </w:pPr>
            <w:r>
              <w:rPr>
                <w:rFonts w:cs="Times New Roman"/>
                <w:lang w:val="en-GB"/>
              </w:rPr>
              <w:t>COVID</w:t>
            </w:r>
            <w:r w:rsidRPr="00D11DC0">
              <w:rPr>
                <w:rFonts w:cs="Times New Roman"/>
                <w:lang w:val="en-GB"/>
              </w:rPr>
              <w:t xml:space="preserve">-19 requiring medical </w:t>
            </w:r>
            <w:r w:rsidRPr="00D11DC0">
              <w:rPr>
                <w:lang w:val="en-GB"/>
              </w:rPr>
              <w:t>intervention/hospitalisation‖</w:t>
            </w:r>
          </w:p>
        </w:tc>
        <w:tc>
          <w:tcPr>
            <w:tcW w:w="880" w:type="dxa"/>
            <w:vAlign w:val="center"/>
          </w:tcPr>
          <w:p w14:paraId="33E2F613" w14:textId="77777777" w:rsidR="00681745" w:rsidRPr="00D11DC0" w:rsidRDefault="00681745" w:rsidP="00EE4054">
            <w:pPr>
              <w:spacing w:line="240" w:lineRule="auto"/>
              <w:jc w:val="center"/>
              <w:rPr>
                <w:rFonts w:cs="Times New Roman"/>
                <w:b/>
                <w:bCs/>
                <w:lang w:val="en-GB"/>
              </w:rPr>
            </w:pPr>
            <w:r w:rsidRPr="00D11DC0">
              <w:rPr>
                <w:lang w:val="en-GB"/>
              </w:rPr>
              <w:t>0</w:t>
            </w:r>
          </w:p>
        </w:tc>
        <w:tc>
          <w:tcPr>
            <w:tcW w:w="1190" w:type="dxa"/>
            <w:vAlign w:val="center"/>
          </w:tcPr>
          <w:p w14:paraId="25070E58" w14:textId="77777777" w:rsidR="00681745" w:rsidRPr="00D11DC0" w:rsidRDefault="00681745" w:rsidP="00EE4054">
            <w:pPr>
              <w:spacing w:line="240" w:lineRule="auto"/>
              <w:jc w:val="center"/>
              <w:rPr>
                <w:rFonts w:cs="Times New Roman"/>
                <w:b/>
                <w:bCs/>
                <w:lang w:val="en-GB"/>
              </w:rPr>
            </w:pPr>
            <w:r w:rsidRPr="00D11DC0">
              <w:rPr>
                <w:lang w:val="en-GB"/>
              </w:rPr>
              <w:t>1730·7</w:t>
            </w:r>
          </w:p>
        </w:tc>
        <w:tc>
          <w:tcPr>
            <w:tcW w:w="838" w:type="dxa"/>
            <w:vAlign w:val="center"/>
          </w:tcPr>
          <w:p w14:paraId="1ABE1ED6" w14:textId="77777777" w:rsidR="00681745" w:rsidRPr="00D11DC0" w:rsidRDefault="00681745" w:rsidP="00EE4054">
            <w:pPr>
              <w:spacing w:line="240" w:lineRule="auto"/>
              <w:jc w:val="center"/>
              <w:rPr>
                <w:rFonts w:cs="Times New Roman"/>
                <w:b/>
                <w:bCs/>
                <w:lang w:val="en-GB"/>
              </w:rPr>
            </w:pPr>
            <w:r w:rsidRPr="00D11DC0">
              <w:rPr>
                <w:lang w:val="en-GB"/>
              </w:rPr>
              <w:t>5</w:t>
            </w:r>
          </w:p>
        </w:tc>
        <w:tc>
          <w:tcPr>
            <w:tcW w:w="1412" w:type="dxa"/>
            <w:vAlign w:val="center"/>
          </w:tcPr>
          <w:p w14:paraId="0AB1BB8E" w14:textId="77777777" w:rsidR="00681745" w:rsidRPr="00D11DC0" w:rsidRDefault="00681745" w:rsidP="00EE4054">
            <w:pPr>
              <w:spacing w:line="240" w:lineRule="auto"/>
              <w:jc w:val="center"/>
              <w:rPr>
                <w:rFonts w:cs="Times New Roman"/>
                <w:b/>
                <w:bCs/>
                <w:lang w:val="en-GB"/>
              </w:rPr>
            </w:pPr>
            <w:r w:rsidRPr="00D11DC0">
              <w:rPr>
                <w:lang w:val="en-GB"/>
              </w:rPr>
              <w:t>1599·1</w:t>
            </w:r>
          </w:p>
        </w:tc>
        <w:tc>
          <w:tcPr>
            <w:tcW w:w="2520" w:type="dxa"/>
            <w:vAlign w:val="center"/>
          </w:tcPr>
          <w:p w14:paraId="5F74F8D2" w14:textId="77777777" w:rsidR="00681745" w:rsidRPr="00D11DC0" w:rsidRDefault="00681745" w:rsidP="00EE4054">
            <w:pPr>
              <w:spacing w:line="240" w:lineRule="auto"/>
              <w:jc w:val="center"/>
              <w:rPr>
                <w:rFonts w:cs="Times New Roman"/>
                <w:lang w:val="en-GB"/>
              </w:rPr>
            </w:pPr>
          </w:p>
        </w:tc>
      </w:tr>
      <w:tr w:rsidR="00681745" w:rsidRPr="00D11DC0" w14:paraId="1965986C" w14:textId="77777777" w:rsidTr="00EE4054">
        <w:trPr>
          <w:cantSplit/>
          <w:trHeight w:val="619"/>
        </w:trPr>
        <w:tc>
          <w:tcPr>
            <w:tcW w:w="2970" w:type="dxa"/>
            <w:vAlign w:val="center"/>
          </w:tcPr>
          <w:p w14:paraId="678D9FE5" w14:textId="77777777" w:rsidR="00681745" w:rsidRPr="00D11DC0" w:rsidRDefault="00681745" w:rsidP="00EE4054">
            <w:pPr>
              <w:spacing w:line="240" w:lineRule="auto"/>
              <w:rPr>
                <w:rFonts w:cs="Times New Roman"/>
                <w:lang w:val="en-GB"/>
              </w:rPr>
            </w:pPr>
            <w:r w:rsidRPr="00D11DC0">
              <w:rPr>
                <w:rFonts w:cs="Times New Roman"/>
                <w:lang w:val="en-GB"/>
              </w:rPr>
              <w:t>All-cause morta</w:t>
            </w:r>
            <w:r w:rsidRPr="00D11DC0">
              <w:rPr>
                <w:lang w:val="en-GB"/>
              </w:rPr>
              <w:t>lity††</w:t>
            </w:r>
          </w:p>
        </w:tc>
        <w:tc>
          <w:tcPr>
            <w:tcW w:w="880" w:type="dxa"/>
            <w:vAlign w:val="center"/>
          </w:tcPr>
          <w:p w14:paraId="3F3C05DC" w14:textId="77777777" w:rsidR="00681745" w:rsidRPr="00D11DC0" w:rsidRDefault="00681745" w:rsidP="00EE4054">
            <w:pPr>
              <w:spacing w:line="240" w:lineRule="auto"/>
              <w:jc w:val="center"/>
              <w:rPr>
                <w:rFonts w:cs="Times New Roman"/>
                <w:b/>
                <w:bCs/>
                <w:lang w:val="en-GB"/>
              </w:rPr>
            </w:pPr>
            <w:r w:rsidRPr="00D11DC0">
              <w:rPr>
                <w:lang w:val="en-GB"/>
              </w:rPr>
              <w:t>1</w:t>
            </w:r>
          </w:p>
        </w:tc>
        <w:tc>
          <w:tcPr>
            <w:tcW w:w="1190" w:type="dxa"/>
            <w:vAlign w:val="center"/>
          </w:tcPr>
          <w:p w14:paraId="7CB99173" w14:textId="77777777" w:rsidR="00681745" w:rsidRPr="00D11DC0" w:rsidRDefault="00681745" w:rsidP="00EE4054">
            <w:pPr>
              <w:spacing w:line="240" w:lineRule="auto"/>
              <w:jc w:val="center"/>
              <w:rPr>
                <w:rFonts w:cs="Times New Roman"/>
                <w:b/>
                <w:bCs/>
                <w:lang w:val="en-GB"/>
              </w:rPr>
            </w:pPr>
            <w:r w:rsidRPr="00D11DC0">
              <w:rPr>
                <w:lang w:val="en-GB"/>
              </w:rPr>
              <w:t>1730·7</w:t>
            </w:r>
          </w:p>
        </w:tc>
        <w:tc>
          <w:tcPr>
            <w:tcW w:w="838" w:type="dxa"/>
            <w:vAlign w:val="center"/>
          </w:tcPr>
          <w:p w14:paraId="760DE262" w14:textId="77777777" w:rsidR="00681745" w:rsidRPr="00D11DC0" w:rsidRDefault="00681745" w:rsidP="00EE4054">
            <w:pPr>
              <w:spacing w:line="240" w:lineRule="auto"/>
              <w:jc w:val="center"/>
              <w:rPr>
                <w:rFonts w:cs="Times New Roman"/>
                <w:b/>
                <w:bCs/>
                <w:lang w:val="en-GB"/>
              </w:rPr>
            </w:pPr>
            <w:r w:rsidRPr="00D11DC0">
              <w:rPr>
                <w:lang w:val="en-GB"/>
              </w:rPr>
              <w:t>1</w:t>
            </w:r>
          </w:p>
        </w:tc>
        <w:tc>
          <w:tcPr>
            <w:tcW w:w="1412" w:type="dxa"/>
            <w:vAlign w:val="center"/>
          </w:tcPr>
          <w:p w14:paraId="0DB2C250" w14:textId="77777777" w:rsidR="00681745" w:rsidRPr="00D11DC0" w:rsidRDefault="00681745" w:rsidP="00EE4054">
            <w:pPr>
              <w:spacing w:line="240" w:lineRule="auto"/>
              <w:jc w:val="center"/>
              <w:rPr>
                <w:rFonts w:cs="Times New Roman"/>
                <w:b/>
                <w:bCs/>
                <w:lang w:val="en-GB"/>
              </w:rPr>
            </w:pPr>
            <w:r w:rsidRPr="00D11DC0">
              <w:rPr>
                <w:lang w:val="en-GB"/>
              </w:rPr>
              <w:t>1599·4</w:t>
            </w:r>
          </w:p>
        </w:tc>
        <w:tc>
          <w:tcPr>
            <w:tcW w:w="2520" w:type="dxa"/>
            <w:vAlign w:val="center"/>
          </w:tcPr>
          <w:p w14:paraId="1DD54285" w14:textId="77777777" w:rsidR="00681745" w:rsidRPr="00D11DC0" w:rsidRDefault="00681745" w:rsidP="00EE4054">
            <w:pPr>
              <w:spacing w:line="240" w:lineRule="auto"/>
              <w:jc w:val="center"/>
              <w:rPr>
                <w:rFonts w:cs="Times New Roman"/>
                <w:lang w:val="en-GB"/>
              </w:rPr>
            </w:pPr>
          </w:p>
        </w:tc>
      </w:tr>
      <w:tr w:rsidR="00681745" w:rsidRPr="00D11DC0" w14:paraId="011B1465" w14:textId="77777777" w:rsidTr="00EE4054">
        <w:trPr>
          <w:cantSplit/>
          <w:trHeight w:val="619"/>
        </w:trPr>
        <w:tc>
          <w:tcPr>
            <w:tcW w:w="2970" w:type="dxa"/>
            <w:vAlign w:val="center"/>
          </w:tcPr>
          <w:p w14:paraId="6995323C" w14:textId="77777777" w:rsidR="00681745" w:rsidRPr="00D11DC0" w:rsidRDefault="00681745" w:rsidP="00EE4054">
            <w:pPr>
              <w:spacing w:line="240" w:lineRule="auto"/>
              <w:rPr>
                <w:rFonts w:cs="Times New Roman"/>
                <w:lang w:val="en-GB"/>
              </w:rPr>
            </w:pPr>
            <w:r>
              <w:rPr>
                <w:rFonts w:cs="Times New Roman"/>
                <w:lang w:val="en-GB"/>
              </w:rPr>
              <w:lastRenderedPageBreak/>
              <w:t>COVID</w:t>
            </w:r>
            <w:r w:rsidRPr="00D11DC0">
              <w:rPr>
                <w:rFonts w:cs="Times New Roman"/>
                <w:lang w:val="en-GB"/>
              </w:rPr>
              <w:t>-19 related deaths</w:t>
            </w:r>
            <w:r w:rsidRPr="00D11DC0">
              <w:rPr>
                <w:lang w:val="en-GB"/>
              </w:rPr>
              <w:t>††</w:t>
            </w:r>
          </w:p>
        </w:tc>
        <w:tc>
          <w:tcPr>
            <w:tcW w:w="880" w:type="dxa"/>
            <w:vAlign w:val="center"/>
          </w:tcPr>
          <w:p w14:paraId="1BB5212F" w14:textId="77777777" w:rsidR="00681745" w:rsidRPr="00D11DC0" w:rsidRDefault="00681745" w:rsidP="00EE4054">
            <w:pPr>
              <w:spacing w:line="240" w:lineRule="auto"/>
              <w:jc w:val="center"/>
              <w:rPr>
                <w:rFonts w:cs="Times New Roman"/>
                <w:b/>
                <w:bCs/>
                <w:lang w:val="en-GB"/>
              </w:rPr>
            </w:pPr>
            <w:r w:rsidRPr="00D11DC0">
              <w:rPr>
                <w:lang w:val="en-GB"/>
              </w:rPr>
              <w:t>0</w:t>
            </w:r>
          </w:p>
        </w:tc>
        <w:tc>
          <w:tcPr>
            <w:tcW w:w="1190" w:type="dxa"/>
            <w:vAlign w:val="center"/>
          </w:tcPr>
          <w:p w14:paraId="0EC6C572" w14:textId="77777777" w:rsidR="00681745" w:rsidRPr="00D11DC0" w:rsidRDefault="00681745" w:rsidP="00EE4054">
            <w:pPr>
              <w:spacing w:line="240" w:lineRule="auto"/>
              <w:jc w:val="center"/>
              <w:rPr>
                <w:rFonts w:cs="Times New Roman"/>
                <w:b/>
                <w:bCs/>
                <w:lang w:val="en-GB"/>
              </w:rPr>
            </w:pPr>
            <w:r w:rsidRPr="00D11DC0">
              <w:rPr>
                <w:lang w:val="en-GB"/>
              </w:rPr>
              <w:t>1730·7</w:t>
            </w:r>
          </w:p>
        </w:tc>
        <w:tc>
          <w:tcPr>
            <w:tcW w:w="838" w:type="dxa"/>
            <w:vAlign w:val="center"/>
          </w:tcPr>
          <w:p w14:paraId="7A9150D2" w14:textId="77777777" w:rsidR="00681745" w:rsidRPr="00D11DC0" w:rsidRDefault="00681745" w:rsidP="00EE4054">
            <w:pPr>
              <w:spacing w:line="240" w:lineRule="auto"/>
              <w:jc w:val="center"/>
              <w:rPr>
                <w:rFonts w:cs="Times New Roman"/>
                <w:b/>
                <w:bCs/>
                <w:lang w:val="en-GB"/>
              </w:rPr>
            </w:pPr>
            <w:r w:rsidRPr="00D11DC0">
              <w:rPr>
                <w:lang w:val="en-GB"/>
              </w:rPr>
              <w:t>1</w:t>
            </w:r>
          </w:p>
        </w:tc>
        <w:tc>
          <w:tcPr>
            <w:tcW w:w="1412" w:type="dxa"/>
            <w:vAlign w:val="center"/>
          </w:tcPr>
          <w:p w14:paraId="33D68126" w14:textId="77777777" w:rsidR="00681745" w:rsidRPr="00D11DC0" w:rsidRDefault="00681745" w:rsidP="00EE4054">
            <w:pPr>
              <w:spacing w:line="240" w:lineRule="auto"/>
              <w:jc w:val="center"/>
              <w:rPr>
                <w:rFonts w:cs="Times New Roman"/>
                <w:b/>
                <w:bCs/>
                <w:lang w:val="en-GB"/>
              </w:rPr>
            </w:pPr>
            <w:r w:rsidRPr="00D11DC0">
              <w:rPr>
                <w:lang w:val="en-GB"/>
              </w:rPr>
              <w:t>1599·4</w:t>
            </w:r>
          </w:p>
        </w:tc>
        <w:tc>
          <w:tcPr>
            <w:tcW w:w="2520" w:type="dxa"/>
            <w:vAlign w:val="center"/>
          </w:tcPr>
          <w:p w14:paraId="47256832" w14:textId="77777777" w:rsidR="00681745" w:rsidRPr="00D11DC0" w:rsidRDefault="00681745" w:rsidP="00EE4054">
            <w:pPr>
              <w:spacing w:line="240" w:lineRule="auto"/>
              <w:jc w:val="center"/>
              <w:rPr>
                <w:rFonts w:cs="Times New Roman"/>
                <w:lang w:val="en-GB"/>
              </w:rPr>
            </w:pPr>
          </w:p>
        </w:tc>
      </w:tr>
      <w:tr w:rsidR="00681745" w:rsidRPr="00D11DC0" w14:paraId="4223B4A6" w14:textId="77777777" w:rsidTr="00EE4054">
        <w:trPr>
          <w:cantSplit/>
          <w:trHeight w:val="619"/>
        </w:trPr>
        <w:tc>
          <w:tcPr>
            <w:tcW w:w="2970" w:type="dxa"/>
            <w:vAlign w:val="center"/>
          </w:tcPr>
          <w:p w14:paraId="06EA0C16" w14:textId="77777777" w:rsidR="00681745" w:rsidRPr="00D11DC0" w:rsidRDefault="00681745" w:rsidP="00EE4054">
            <w:pPr>
              <w:spacing w:line="240" w:lineRule="auto"/>
              <w:rPr>
                <w:rFonts w:cs="Times New Roman"/>
                <w:lang w:val="en-GB"/>
              </w:rPr>
            </w:pPr>
            <w:r>
              <w:rPr>
                <w:rFonts w:cs="Times New Roman"/>
                <w:lang w:val="en-GB"/>
              </w:rPr>
              <w:t>COVID</w:t>
            </w:r>
            <w:r w:rsidRPr="00D11DC0">
              <w:rPr>
                <w:rFonts w:cs="Times New Roman"/>
                <w:lang w:val="en-GB"/>
              </w:rPr>
              <w:t xml:space="preserve">-19, according to FDA harmonised definition </w:t>
            </w:r>
            <w:r w:rsidRPr="00D11DC0">
              <w:rPr>
                <w:rFonts w:cs="Times New Roman"/>
                <w:sz w:val="20"/>
                <w:szCs w:val="20"/>
                <w:lang w:val="en-GB"/>
              </w:rPr>
              <w:t>¶</w:t>
            </w:r>
          </w:p>
        </w:tc>
        <w:tc>
          <w:tcPr>
            <w:tcW w:w="880" w:type="dxa"/>
            <w:vAlign w:val="center"/>
          </w:tcPr>
          <w:p w14:paraId="5BDE4D9B" w14:textId="77777777" w:rsidR="00681745" w:rsidRPr="00D11DC0" w:rsidRDefault="00681745" w:rsidP="00EE4054">
            <w:pPr>
              <w:spacing w:line="240" w:lineRule="auto"/>
              <w:jc w:val="center"/>
              <w:rPr>
                <w:rFonts w:cs="Times New Roman"/>
                <w:b/>
                <w:bCs/>
                <w:lang w:val="en-GB"/>
              </w:rPr>
            </w:pPr>
            <w:r w:rsidRPr="00D11DC0">
              <w:rPr>
                <w:lang w:val="en-GB"/>
              </w:rPr>
              <w:t>12</w:t>
            </w:r>
          </w:p>
        </w:tc>
        <w:tc>
          <w:tcPr>
            <w:tcW w:w="1190" w:type="dxa"/>
            <w:vAlign w:val="center"/>
          </w:tcPr>
          <w:p w14:paraId="7A541FB0" w14:textId="77777777" w:rsidR="00681745" w:rsidRPr="00D11DC0" w:rsidRDefault="00681745" w:rsidP="00EE4054">
            <w:pPr>
              <w:spacing w:line="240" w:lineRule="auto"/>
              <w:jc w:val="center"/>
              <w:rPr>
                <w:rFonts w:cs="Times New Roman"/>
                <w:b/>
                <w:bCs/>
                <w:lang w:val="en-GB"/>
              </w:rPr>
            </w:pPr>
            <w:r w:rsidRPr="00D11DC0">
              <w:rPr>
                <w:lang w:val="en-GB"/>
              </w:rPr>
              <w:t>1730·1</w:t>
            </w:r>
          </w:p>
        </w:tc>
        <w:tc>
          <w:tcPr>
            <w:tcW w:w="838" w:type="dxa"/>
            <w:vAlign w:val="center"/>
          </w:tcPr>
          <w:p w14:paraId="0850AC82" w14:textId="77777777" w:rsidR="00681745" w:rsidRPr="00D11DC0" w:rsidRDefault="00681745" w:rsidP="00EE4054">
            <w:pPr>
              <w:spacing w:line="240" w:lineRule="auto"/>
              <w:jc w:val="center"/>
              <w:rPr>
                <w:rFonts w:cs="Times New Roman"/>
                <w:b/>
                <w:bCs/>
                <w:lang w:val="en-GB"/>
              </w:rPr>
            </w:pPr>
            <w:r w:rsidRPr="00D11DC0">
              <w:rPr>
                <w:lang w:val="en-GB"/>
              </w:rPr>
              <w:t>52</w:t>
            </w:r>
          </w:p>
        </w:tc>
        <w:tc>
          <w:tcPr>
            <w:tcW w:w="1412" w:type="dxa"/>
            <w:vAlign w:val="center"/>
          </w:tcPr>
          <w:p w14:paraId="19F6BD96" w14:textId="77777777" w:rsidR="00681745" w:rsidRPr="00D11DC0" w:rsidRDefault="00681745" w:rsidP="00EE4054">
            <w:pPr>
              <w:spacing w:line="240" w:lineRule="auto"/>
              <w:jc w:val="center"/>
              <w:rPr>
                <w:rFonts w:cs="Times New Roman"/>
                <w:b/>
                <w:bCs/>
                <w:lang w:val="en-GB"/>
              </w:rPr>
            </w:pPr>
            <w:r w:rsidRPr="00D11DC0">
              <w:rPr>
                <w:lang w:val="en-GB"/>
              </w:rPr>
              <w:t>1595·1</w:t>
            </w:r>
          </w:p>
        </w:tc>
        <w:tc>
          <w:tcPr>
            <w:tcW w:w="2520" w:type="dxa"/>
            <w:vAlign w:val="center"/>
          </w:tcPr>
          <w:p w14:paraId="29D3EC79" w14:textId="77777777" w:rsidR="00681745" w:rsidRPr="00D11DC0" w:rsidRDefault="00681745" w:rsidP="00EE4054">
            <w:pPr>
              <w:spacing w:line="240" w:lineRule="auto"/>
              <w:jc w:val="center"/>
              <w:rPr>
                <w:rFonts w:cs="Times New Roman"/>
                <w:b/>
                <w:bCs/>
                <w:lang w:val="en-GB"/>
              </w:rPr>
            </w:pPr>
            <w:r w:rsidRPr="00D11DC0">
              <w:rPr>
                <w:lang w:val="en-GB"/>
              </w:rPr>
              <w:t>78·7 (59·6-89·7)</w:t>
            </w:r>
          </w:p>
        </w:tc>
      </w:tr>
      <w:tr w:rsidR="00681745" w:rsidRPr="00D11DC0" w14:paraId="14A4ADBE" w14:textId="77777777" w:rsidTr="00EE4054">
        <w:trPr>
          <w:cantSplit/>
          <w:trHeight w:val="619"/>
        </w:trPr>
        <w:tc>
          <w:tcPr>
            <w:tcW w:w="2970" w:type="dxa"/>
            <w:vAlign w:val="center"/>
          </w:tcPr>
          <w:p w14:paraId="6ED62436" w14:textId="77777777" w:rsidR="00681745" w:rsidRPr="00D11DC0" w:rsidRDefault="00681745" w:rsidP="00EE4054">
            <w:pPr>
              <w:spacing w:line="240" w:lineRule="auto"/>
              <w:rPr>
                <w:rFonts w:cs="Times New Roman"/>
                <w:lang w:val="en-GB"/>
              </w:rPr>
            </w:pPr>
            <w:r w:rsidRPr="00D11DC0">
              <w:rPr>
                <w:rFonts w:cs="Times New Roman"/>
                <w:color w:val="000000"/>
                <w:lang w:val="en-GB" w:eastAsia="nl-BE"/>
              </w:rPr>
              <w:t xml:space="preserve">Moderate to severe–critical </w:t>
            </w:r>
            <w:r>
              <w:rPr>
                <w:lang w:val="en-GB"/>
              </w:rPr>
              <w:t>COVID</w:t>
            </w:r>
            <w:r w:rsidRPr="00D11DC0">
              <w:rPr>
                <w:lang w:val="en-GB"/>
              </w:rPr>
              <w:t xml:space="preserve">-19 by </w:t>
            </w:r>
            <w:r w:rsidRPr="00D11DC0">
              <w:rPr>
                <w:rFonts w:cs="Times New Roman"/>
                <w:lang w:val="en-GB"/>
              </w:rPr>
              <w:t>region or country</w:t>
            </w:r>
            <w:r w:rsidRPr="00D11DC0">
              <w:rPr>
                <w:lang w:val="en-GB"/>
              </w:rPr>
              <w:t>††</w:t>
            </w:r>
          </w:p>
        </w:tc>
        <w:tc>
          <w:tcPr>
            <w:tcW w:w="880" w:type="dxa"/>
            <w:vAlign w:val="center"/>
          </w:tcPr>
          <w:p w14:paraId="283818A4" w14:textId="77777777" w:rsidR="00681745" w:rsidRPr="00D11DC0" w:rsidRDefault="00681745" w:rsidP="00EE4054">
            <w:pPr>
              <w:spacing w:line="240" w:lineRule="auto"/>
              <w:jc w:val="center"/>
              <w:rPr>
                <w:rFonts w:cs="Times New Roman"/>
                <w:b/>
                <w:bCs/>
                <w:lang w:val="en-GB"/>
              </w:rPr>
            </w:pPr>
          </w:p>
        </w:tc>
        <w:tc>
          <w:tcPr>
            <w:tcW w:w="1190" w:type="dxa"/>
            <w:vAlign w:val="center"/>
          </w:tcPr>
          <w:p w14:paraId="0B160A26" w14:textId="77777777" w:rsidR="00681745" w:rsidRPr="00D11DC0" w:rsidRDefault="00681745" w:rsidP="00EE4054">
            <w:pPr>
              <w:spacing w:line="240" w:lineRule="auto"/>
              <w:jc w:val="center"/>
              <w:rPr>
                <w:rFonts w:cs="Times New Roman"/>
                <w:b/>
                <w:bCs/>
                <w:lang w:val="en-GB"/>
              </w:rPr>
            </w:pPr>
          </w:p>
        </w:tc>
        <w:tc>
          <w:tcPr>
            <w:tcW w:w="838" w:type="dxa"/>
            <w:vAlign w:val="center"/>
          </w:tcPr>
          <w:p w14:paraId="678FFA9E" w14:textId="77777777" w:rsidR="00681745" w:rsidRPr="00D11DC0" w:rsidRDefault="00681745" w:rsidP="00EE4054">
            <w:pPr>
              <w:spacing w:line="240" w:lineRule="auto"/>
              <w:jc w:val="center"/>
              <w:rPr>
                <w:rFonts w:cs="Times New Roman"/>
                <w:b/>
                <w:bCs/>
                <w:lang w:val="en-GB"/>
              </w:rPr>
            </w:pPr>
          </w:p>
        </w:tc>
        <w:tc>
          <w:tcPr>
            <w:tcW w:w="1412" w:type="dxa"/>
            <w:vAlign w:val="center"/>
          </w:tcPr>
          <w:p w14:paraId="198E5CB0" w14:textId="77777777" w:rsidR="00681745" w:rsidRPr="00D11DC0" w:rsidRDefault="00681745" w:rsidP="00EE4054">
            <w:pPr>
              <w:spacing w:line="240" w:lineRule="auto"/>
              <w:jc w:val="center"/>
              <w:rPr>
                <w:rFonts w:cs="Times New Roman"/>
                <w:b/>
                <w:bCs/>
                <w:lang w:val="en-GB"/>
              </w:rPr>
            </w:pPr>
          </w:p>
        </w:tc>
        <w:tc>
          <w:tcPr>
            <w:tcW w:w="2520" w:type="dxa"/>
            <w:vAlign w:val="center"/>
          </w:tcPr>
          <w:p w14:paraId="058684E3" w14:textId="77777777" w:rsidR="00681745" w:rsidRPr="00D11DC0" w:rsidRDefault="00681745" w:rsidP="00EE4054">
            <w:pPr>
              <w:spacing w:line="240" w:lineRule="auto"/>
              <w:jc w:val="center"/>
              <w:rPr>
                <w:rFonts w:cs="Times New Roman"/>
                <w:b/>
                <w:bCs/>
                <w:lang w:val="en-GB"/>
              </w:rPr>
            </w:pPr>
          </w:p>
        </w:tc>
      </w:tr>
      <w:tr w:rsidR="00681745" w:rsidRPr="00D11DC0" w14:paraId="7779DD54" w14:textId="77777777" w:rsidTr="00EE4054">
        <w:trPr>
          <w:cantSplit/>
          <w:trHeight w:val="619"/>
        </w:trPr>
        <w:tc>
          <w:tcPr>
            <w:tcW w:w="2970" w:type="dxa"/>
            <w:vAlign w:val="center"/>
          </w:tcPr>
          <w:p w14:paraId="0CAA0B1F" w14:textId="77777777" w:rsidR="00681745" w:rsidRPr="00D11DC0" w:rsidRDefault="00681745" w:rsidP="00EE4054">
            <w:pPr>
              <w:spacing w:line="240" w:lineRule="auto"/>
              <w:ind w:left="336"/>
              <w:rPr>
                <w:rFonts w:cs="Times New Roman"/>
                <w:lang w:val="en-GB"/>
              </w:rPr>
            </w:pPr>
            <w:r w:rsidRPr="00D11DC0">
              <w:rPr>
                <w:rFonts w:cs="Times New Roman"/>
                <w:lang w:val="en-GB"/>
              </w:rPr>
              <w:t>Europe</w:t>
            </w:r>
          </w:p>
        </w:tc>
        <w:tc>
          <w:tcPr>
            <w:tcW w:w="880" w:type="dxa"/>
            <w:vAlign w:val="center"/>
          </w:tcPr>
          <w:p w14:paraId="72796778" w14:textId="77777777" w:rsidR="00681745" w:rsidRPr="00D11DC0" w:rsidRDefault="00681745" w:rsidP="00EE4054">
            <w:pPr>
              <w:spacing w:line="240" w:lineRule="auto"/>
              <w:jc w:val="center"/>
              <w:rPr>
                <w:rFonts w:cs="Times New Roman"/>
                <w:lang w:val="en-GB"/>
              </w:rPr>
            </w:pPr>
            <w:r w:rsidRPr="00D11DC0">
              <w:rPr>
                <w:rFonts w:cs="Times New Roman"/>
                <w:lang w:val="en-GB"/>
              </w:rPr>
              <w:t>5</w:t>
            </w:r>
          </w:p>
        </w:tc>
        <w:tc>
          <w:tcPr>
            <w:tcW w:w="1190" w:type="dxa"/>
            <w:vAlign w:val="center"/>
          </w:tcPr>
          <w:p w14:paraId="3683642D" w14:textId="77777777" w:rsidR="00681745" w:rsidRPr="00D11DC0" w:rsidRDefault="00681745" w:rsidP="00EE4054">
            <w:pPr>
              <w:spacing w:line="240" w:lineRule="auto"/>
              <w:jc w:val="center"/>
              <w:rPr>
                <w:rFonts w:cs="Times New Roman"/>
                <w:lang w:val="en-GB"/>
              </w:rPr>
            </w:pPr>
            <w:r w:rsidRPr="00D11DC0">
              <w:rPr>
                <w:rFonts w:cs="Times New Roman"/>
                <w:lang w:val="en-GB"/>
              </w:rPr>
              <w:t>833·3</w:t>
            </w:r>
          </w:p>
        </w:tc>
        <w:tc>
          <w:tcPr>
            <w:tcW w:w="838" w:type="dxa"/>
            <w:vAlign w:val="center"/>
          </w:tcPr>
          <w:p w14:paraId="69A6D64E" w14:textId="77777777" w:rsidR="00681745" w:rsidRPr="00D11DC0" w:rsidRDefault="00681745" w:rsidP="00EE4054">
            <w:pPr>
              <w:spacing w:line="240" w:lineRule="auto"/>
              <w:jc w:val="center"/>
              <w:rPr>
                <w:rFonts w:cs="Times New Roman"/>
                <w:lang w:val="en-GB"/>
              </w:rPr>
            </w:pPr>
            <w:r w:rsidRPr="00D11DC0">
              <w:rPr>
                <w:rFonts w:cs="Times New Roman"/>
                <w:lang w:val="en-GB"/>
              </w:rPr>
              <w:t>15</w:t>
            </w:r>
          </w:p>
        </w:tc>
        <w:tc>
          <w:tcPr>
            <w:tcW w:w="1412" w:type="dxa"/>
            <w:vAlign w:val="center"/>
          </w:tcPr>
          <w:p w14:paraId="407864DF" w14:textId="77777777" w:rsidR="00681745" w:rsidRPr="00D11DC0" w:rsidRDefault="00681745" w:rsidP="00EE4054">
            <w:pPr>
              <w:spacing w:line="240" w:lineRule="auto"/>
              <w:jc w:val="center"/>
              <w:rPr>
                <w:rFonts w:cs="Times New Roman"/>
                <w:lang w:val="en-GB"/>
              </w:rPr>
            </w:pPr>
            <w:r w:rsidRPr="00D11DC0">
              <w:rPr>
                <w:rFonts w:cs="Times New Roman"/>
                <w:lang w:val="en-GB"/>
              </w:rPr>
              <w:t>779·2</w:t>
            </w:r>
          </w:p>
        </w:tc>
        <w:tc>
          <w:tcPr>
            <w:tcW w:w="2520" w:type="dxa"/>
            <w:vAlign w:val="center"/>
          </w:tcPr>
          <w:p w14:paraId="65C2A67C" w14:textId="77777777" w:rsidR="00681745" w:rsidRPr="00D11DC0" w:rsidRDefault="00681745" w:rsidP="00EE4054">
            <w:pPr>
              <w:spacing w:line="240" w:lineRule="auto"/>
              <w:jc w:val="center"/>
              <w:rPr>
                <w:rFonts w:cs="Times New Roman"/>
                <w:lang w:val="en-GB"/>
              </w:rPr>
            </w:pPr>
            <w:r w:rsidRPr="00D11DC0">
              <w:rPr>
                <w:rFonts w:cs="Times New Roman"/>
                <w:lang w:val="en-GB"/>
              </w:rPr>
              <w:t>68·8 (9·8-91·1)</w:t>
            </w:r>
          </w:p>
        </w:tc>
      </w:tr>
      <w:tr w:rsidR="00681745" w:rsidRPr="00D11DC0" w14:paraId="42A077A3" w14:textId="77777777" w:rsidTr="00EE4054">
        <w:trPr>
          <w:cantSplit/>
          <w:trHeight w:val="619"/>
        </w:trPr>
        <w:tc>
          <w:tcPr>
            <w:tcW w:w="2970" w:type="dxa"/>
            <w:vAlign w:val="center"/>
          </w:tcPr>
          <w:p w14:paraId="192CCA24" w14:textId="77777777" w:rsidR="00681745" w:rsidRPr="00D11DC0" w:rsidRDefault="00681745" w:rsidP="00EE4054">
            <w:pPr>
              <w:spacing w:line="240" w:lineRule="auto"/>
              <w:ind w:left="336"/>
              <w:rPr>
                <w:rFonts w:cs="Times New Roman"/>
                <w:lang w:val="en-GB"/>
              </w:rPr>
            </w:pPr>
            <w:r w:rsidRPr="00D11DC0">
              <w:rPr>
                <w:rFonts w:cs="Times New Roman"/>
                <w:lang w:val="en-GB"/>
              </w:rPr>
              <w:t>Latin America</w:t>
            </w:r>
          </w:p>
        </w:tc>
        <w:tc>
          <w:tcPr>
            <w:tcW w:w="880" w:type="dxa"/>
            <w:vAlign w:val="center"/>
          </w:tcPr>
          <w:p w14:paraId="66538CD6" w14:textId="77777777" w:rsidR="00681745" w:rsidRPr="00D11DC0" w:rsidRDefault="00681745" w:rsidP="00EE4054">
            <w:pPr>
              <w:spacing w:line="240" w:lineRule="auto"/>
              <w:jc w:val="center"/>
              <w:rPr>
                <w:rFonts w:cs="Times New Roman"/>
                <w:lang w:val="en-GB"/>
              </w:rPr>
            </w:pPr>
            <w:r w:rsidRPr="00D11DC0">
              <w:rPr>
                <w:rFonts w:cs="Times New Roman"/>
                <w:lang w:val="en-GB"/>
              </w:rPr>
              <w:t>6</w:t>
            </w:r>
          </w:p>
        </w:tc>
        <w:tc>
          <w:tcPr>
            <w:tcW w:w="1190" w:type="dxa"/>
            <w:vAlign w:val="center"/>
          </w:tcPr>
          <w:p w14:paraId="2E4ECBB4" w14:textId="77777777" w:rsidR="00681745" w:rsidRPr="00D11DC0" w:rsidRDefault="00681745" w:rsidP="00EE4054">
            <w:pPr>
              <w:spacing w:line="240" w:lineRule="auto"/>
              <w:jc w:val="center"/>
              <w:rPr>
                <w:rFonts w:cs="Times New Roman"/>
                <w:lang w:val="en-GB"/>
              </w:rPr>
            </w:pPr>
            <w:r w:rsidRPr="00D11DC0">
              <w:rPr>
                <w:rFonts w:cs="Times New Roman"/>
                <w:lang w:val="en-GB"/>
              </w:rPr>
              <w:t>85·0</w:t>
            </w:r>
          </w:p>
        </w:tc>
        <w:tc>
          <w:tcPr>
            <w:tcW w:w="838" w:type="dxa"/>
            <w:vAlign w:val="center"/>
          </w:tcPr>
          <w:p w14:paraId="1FE989B1" w14:textId="77777777" w:rsidR="00681745" w:rsidRPr="00D11DC0" w:rsidRDefault="00681745" w:rsidP="00EE4054">
            <w:pPr>
              <w:spacing w:line="240" w:lineRule="auto"/>
              <w:jc w:val="center"/>
              <w:rPr>
                <w:rFonts w:cs="Times New Roman"/>
                <w:lang w:val="en-GB"/>
              </w:rPr>
            </w:pPr>
            <w:r w:rsidRPr="00D11DC0">
              <w:rPr>
                <w:rFonts w:cs="Times New Roman"/>
                <w:lang w:val="en-GB"/>
              </w:rPr>
              <w:t>16</w:t>
            </w:r>
          </w:p>
        </w:tc>
        <w:tc>
          <w:tcPr>
            <w:tcW w:w="1412" w:type="dxa"/>
            <w:vAlign w:val="center"/>
          </w:tcPr>
          <w:p w14:paraId="5D5401D9" w14:textId="77777777" w:rsidR="00681745" w:rsidRPr="00D11DC0" w:rsidRDefault="00681745" w:rsidP="00EE4054">
            <w:pPr>
              <w:spacing w:line="240" w:lineRule="auto"/>
              <w:jc w:val="center"/>
              <w:rPr>
                <w:rFonts w:cs="Times New Roman"/>
                <w:lang w:val="en-GB"/>
              </w:rPr>
            </w:pPr>
            <w:r w:rsidRPr="00D11DC0">
              <w:rPr>
                <w:rFonts w:cs="Times New Roman"/>
                <w:lang w:val="en-GB"/>
              </w:rPr>
              <w:t>78·8</w:t>
            </w:r>
          </w:p>
        </w:tc>
        <w:tc>
          <w:tcPr>
            <w:tcW w:w="2520" w:type="dxa"/>
            <w:vAlign w:val="center"/>
          </w:tcPr>
          <w:p w14:paraId="7AD7C4A9" w14:textId="77777777" w:rsidR="00681745" w:rsidRPr="00D11DC0" w:rsidRDefault="00681745" w:rsidP="00EE4054">
            <w:pPr>
              <w:spacing w:line="240" w:lineRule="auto"/>
              <w:jc w:val="center"/>
              <w:rPr>
                <w:rFonts w:cs="Times New Roman"/>
                <w:lang w:val="en-GB"/>
              </w:rPr>
            </w:pPr>
            <w:r w:rsidRPr="00D11DC0">
              <w:rPr>
                <w:rFonts w:cs="Times New Roman"/>
                <w:lang w:val="en-GB"/>
              </w:rPr>
              <w:t>65·2 (6·4-88·9)</w:t>
            </w:r>
          </w:p>
        </w:tc>
      </w:tr>
      <w:tr w:rsidR="00681745" w:rsidRPr="00D11DC0" w14:paraId="2A9223A5" w14:textId="77777777" w:rsidTr="00EE4054">
        <w:trPr>
          <w:cantSplit/>
          <w:trHeight w:val="619"/>
        </w:trPr>
        <w:tc>
          <w:tcPr>
            <w:tcW w:w="2970" w:type="dxa"/>
            <w:vAlign w:val="center"/>
          </w:tcPr>
          <w:p w14:paraId="211A85F4" w14:textId="77777777" w:rsidR="00681745" w:rsidRPr="00D11DC0" w:rsidRDefault="00681745" w:rsidP="00EE4054">
            <w:pPr>
              <w:spacing w:line="240" w:lineRule="auto"/>
              <w:ind w:left="336"/>
              <w:rPr>
                <w:rFonts w:cs="Times New Roman"/>
                <w:lang w:val="en-GB"/>
              </w:rPr>
            </w:pPr>
            <w:r w:rsidRPr="00D11DC0">
              <w:rPr>
                <w:rFonts w:cs="Times New Roman"/>
                <w:lang w:val="en-GB"/>
              </w:rPr>
              <w:t>Philippines</w:t>
            </w:r>
          </w:p>
        </w:tc>
        <w:tc>
          <w:tcPr>
            <w:tcW w:w="880" w:type="dxa"/>
            <w:vAlign w:val="center"/>
          </w:tcPr>
          <w:p w14:paraId="11919E09" w14:textId="77777777" w:rsidR="00681745" w:rsidRPr="00D11DC0" w:rsidRDefault="00681745" w:rsidP="00EE4054">
            <w:pPr>
              <w:spacing w:line="240" w:lineRule="auto"/>
              <w:jc w:val="center"/>
              <w:rPr>
                <w:rFonts w:cs="Times New Roman"/>
                <w:lang w:val="en-GB"/>
              </w:rPr>
            </w:pPr>
            <w:r w:rsidRPr="00D11DC0">
              <w:rPr>
                <w:rFonts w:cs="Times New Roman"/>
                <w:lang w:val="en-GB"/>
              </w:rPr>
              <w:t>0</w:t>
            </w:r>
          </w:p>
        </w:tc>
        <w:tc>
          <w:tcPr>
            <w:tcW w:w="1190" w:type="dxa"/>
            <w:vAlign w:val="center"/>
          </w:tcPr>
          <w:p w14:paraId="1A68822F" w14:textId="77777777" w:rsidR="00681745" w:rsidRPr="00D11DC0" w:rsidRDefault="00681745" w:rsidP="00EE4054">
            <w:pPr>
              <w:spacing w:line="240" w:lineRule="auto"/>
              <w:jc w:val="center"/>
              <w:rPr>
                <w:rFonts w:cs="Times New Roman"/>
                <w:lang w:val="en-GB"/>
              </w:rPr>
            </w:pPr>
            <w:r w:rsidRPr="00D11DC0">
              <w:rPr>
                <w:rFonts w:cs="Times New Roman"/>
                <w:lang w:val="en-GB"/>
              </w:rPr>
              <w:t>38·3</w:t>
            </w:r>
          </w:p>
        </w:tc>
        <w:tc>
          <w:tcPr>
            <w:tcW w:w="838" w:type="dxa"/>
            <w:vAlign w:val="center"/>
          </w:tcPr>
          <w:p w14:paraId="3657006B" w14:textId="77777777" w:rsidR="00681745" w:rsidRPr="00D11DC0" w:rsidRDefault="00681745" w:rsidP="00EE4054">
            <w:pPr>
              <w:spacing w:line="240" w:lineRule="auto"/>
              <w:jc w:val="center"/>
              <w:rPr>
                <w:rFonts w:cs="Times New Roman"/>
                <w:lang w:val="en-GB"/>
              </w:rPr>
            </w:pPr>
            <w:r w:rsidRPr="00D11DC0">
              <w:rPr>
                <w:rFonts w:cs="Times New Roman"/>
                <w:lang w:val="en-GB"/>
              </w:rPr>
              <w:t>2</w:t>
            </w:r>
          </w:p>
        </w:tc>
        <w:tc>
          <w:tcPr>
            <w:tcW w:w="1412" w:type="dxa"/>
            <w:vAlign w:val="center"/>
          </w:tcPr>
          <w:p w14:paraId="42B7DD51" w14:textId="77777777" w:rsidR="00681745" w:rsidRPr="00D11DC0" w:rsidRDefault="00681745" w:rsidP="00EE4054">
            <w:pPr>
              <w:spacing w:line="240" w:lineRule="auto"/>
              <w:jc w:val="center"/>
              <w:rPr>
                <w:rFonts w:cs="Times New Roman"/>
                <w:lang w:val="en-GB"/>
              </w:rPr>
            </w:pPr>
            <w:r w:rsidRPr="00D11DC0">
              <w:rPr>
                <w:rFonts w:cs="Times New Roman"/>
                <w:lang w:val="en-GB"/>
              </w:rPr>
              <w:t>36·1</w:t>
            </w:r>
          </w:p>
        </w:tc>
        <w:tc>
          <w:tcPr>
            <w:tcW w:w="2520" w:type="dxa"/>
            <w:vAlign w:val="center"/>
          </w:tcPr>
          <w:p w14:paraId="22B23B1A" w14:textId="77777777" w:rsidR="00681745" w:rsidRPr="00D11DC0" w:rsidRDefault="00681745" w:rsidP="00EE4054">
            <w:pPr>
              <w:spacing w:line="240" w:lineRule="auto"/>
              <w:jc w:val="center"/>
              <w:rPr>
                <w:rFonts w:cs="Times New Roman"/>
                <w:lang w:val="en-GB"/>
              </w:rPr>
            </w:pPr>
          </w:p>
        </w:tc>
      </w:tr>
      <w:tr w:rsidR="00681745" w:rsidRPr="00D11DC0" w14:paraId="2D9D35CC" w14:textId="77777777" w:rsidTr="00EE4054">
        <w:trPr>
          <w:cantSplit/>
          <w:trHeight w:val="619"/>
        </w:trPr>
        <w:tc>
          <w:tcPr>
            <w:tcW w:w="2970" w:type="dxa"/>
            <w:vAlign w:val="center"/>
          </w:tcPr>
          <w:p w14:paraId="436E4A8E" w14:textId="77777777" w:rsidR="00681745" w:rsidRPr="00D11DC0" w:rsidRDefault="00681745" w:rsidP="00EE4054">
            <w:pPr>
              <w:spacing w:line="240" w:lineRule="auto"/>
              <w:ind w:left="336"/>
              <w:rPr>
                <w:rFonts w:cs="Times New Roman"/>
                <w:lang w:val="en-GB"/>
              </w:rPr>
            </w:pPr>
            <w:r w:rsidRPr="00D11DC0">
              <w:rPr>
                <w:rFonts w:cs="Times New Roman"/>
                <w:lang w:val="en-GB"/>
              </w:rPr>
              <w:t>South Africa</w:t>
            </w:r>
          </w:p>
        </w:tc>
        <w:tc>
          <w:tcPr>
            <w:tcW w:w="880" w:type="dxa"/>
            <w:vAlign w:val="center"/>
          </w:tcPr>
          <w:p w14:paraId="792F0CB7" w14:textId="77777777" w:rsidR="00681745" w:rsidRPr="00D11DC0" w:rsidRDefault="00681745" w:rsidP="00EE4054">
            <w:pPr>
              <w:spacing w:line="240" w:lineRule="auto"/>
              <w:jc w:val="center"/>
              <w:rPr>
                <w:rFonts w:cs="Times New Roman"/>
                <w:lang w:val="en-GB"/>
              </w:rPr>
            </w:pPr>
            <w:r w:rsidRPr="00D11DC0">
              <w:rPr>
                <w:rFonts w:cs="Times New Roman"/>
                <w:lang w:val="en-GB"/>
              </w:rPr>
              <w:t>2</w:t>
            </w:r>
          </w:p>
        </w:tc>
        <w:tc>
          <w:tcPr>
            <w:tcW w:w="1190" w:type="dxa"/>
            <w:vAlign w:val="center"/>
          </w:tcPr>
          <w:p w14:paraId="1D07AE3C" w14:textId="77777777" w:rsidR="00681745" w:rsidRPr="00D11DC0" w:rsidRDefault="00681745" w:rsidP="00EE4054">
            <w:pPr>
              <w:spacing w:line="240" w:lineRule="auto"/>
              <w:jc w:val="center"/>
              <w:rPr>
                <w:rFonts w:cs="Times New Roman"/>
                <w:lang w:val="en-GB"/>
              </w:rPr>
            </w:pPr>
            <w:r w:rsidRPr="00D11DC0">
              <w:rPr>
                <w:rFonts w:cs="Times New Roman"/>
                <w:lang w:val="en-GB"/>
              </w:rPr>
              <w:t>141·0</w:t>
            </w:r>
          </w:p>
        </w:tc>
        <w:tc>
          <w:tcPr>
            <w:tcW w:w="838" w:type="dxa"/>
            <w:vAlign w:val="center"/>
          </w:tcPr>
          <w:p w14:paraId="4AB4010C" w14:textId="77777777" w:rsidR="00681745" w:rsidRPr="00D11DC0" w:rsidRDefault="00681745" w:rsidP="00EE4054">
            <w:pPr>
              <w:spacing w:line="240" w:lineRule="auto"/>
              <w:jc w:val="center"/>
              <w:rPr>
                <w:rFonts w:cs="Times New Roman"/>
                <w:lang w:val="en-GB"/>
              </w:rPr>
            </w:pPr>
            <w:r w:rsidRPr="00D11DC0">
              <w:rPr>
                <w:rFonts w:cs="Times New Roman"/>
                <w:lang w:val="en-GB"/>
              </w:rPr>
              <w:t>5</w:t>
            </w:r>
          </w:p>
        </w:tc>
        <w:tc>
          <w:tcPr>
            <w:tcW w:w="1412" w:type="dxa"/>
            <w:vAlign w:val="center"/>
          </w:tcPr>
          <w:p w14:paraId="76990D9C" w14:textId="77777777" w:rsidR="00681745" w:rsidRPr="00D11DC0" w:rsidRDefault="00681745" w:rsidP="00EE4054">
            <w:pPr>
              <w:spacing w:line="240" w:lineRule="auto"/>
              <w:jc w:val="center"/>
              <w:rPr>
                <w:rFonts w:cs="Times New Roman"/>
                <w:lang w:val="en-GB"/>
              </w:rPr>
            </w:pPr>
            <w:r w:rsidRPr="00D11DC0">
              <w:rPr>
                <w:rFonts w:cs="Times New Roman"/>
                <w:lang w:val="en-GB"/>
              </w:rPr>
              <w:t>141·1</w:t>
            </w:r>
          </w:p>
        </w:tc>
        <w:tc>
          <w:tcPr>
            <w:tcW w:w="2520" w:type="dxa"/>
            <w:vAlign w:val="center"/>
          </w:tcPr>
          <w:p w14:paraId="68AC1B39" w14:textId="77777777" w:rsidR="00681745" w:rsidRPr="00D11DC0" w:rsidRDefault="00681745" w:rsidP="00EE4054">
            <w:pPr>
              <w:spacing w:line="240" w:lineRule="auto"/>
              <w:jc w:val="center"/>
              <w:rPr>
                <w:rFonts w:cs="Times New Roman"/>
                <w:lang w:val="en-GB"/>
              </w:rPr>
            </w:pPr>
            <w:r w:rsidRPr="00D11DC0">
              <w:rPr>
                <w:rFonts w:cs="Times New Roman"/>
                <w:lang w:val="en-GB"/>
              </w:rPr>
              <w:t>60·0 (-144·5-96·2)</w:t>
            </w:r>
          </w:p>
        </w:tc>
      </w:tr>
      <w:tr w:rsidR="00681745" w:rsidRPr="00D11DC0" w14:paraId="0D180DD6" w14:textId="77777777" w:rsidTr="00EE4054">
        <w:trPr>
          <w:cantSplit/>
          <w:trHeight w:val="619"/>
        </w:trPr>
        <w:tc>
          <w:tcPr>
            <w:tcW w:w="2970" w:type="dxa"/>
            <w:vAlign w:val="center"/>
          </w:tcPr>
          <w:p w14:paraId="03258FA8" w14:textId="77777777" w:rsidR="00681745" w:rsidRPr="00D11DC0" w:rsidRDefault="00681745" w:rsidP="00EE4054">
            <w:pPr>
              <w:spacing w:line="240" w:lineRule="auto"/>
              <w:ind w:left="336"/>
              <w:rPr>
                <w:rFonts w:cs="Times New Roman"/>
                <w:lang w:val="en-GB"/>
              </w:rPr>
            </w:pPr>
            <w:r w:rsidRPr="00D11DC0">
              <w:rPr>
                <w:rFonts w:cs="Times New Roman"/>
                <w:lang w:val="en-GB"/>
              </w:rPr>
              <w:t>United States</w:t>
            </w:r>
          </w:p>
        </w:tc>
        <w:tc>
          <w:tcPr>
            <w:tcW w:w="880" w:type="dxa"/>
            <w:vAlign w:val="center"/>
          </w:tcPr>
          <w:p w14:paraId="5304CA84" w14:textId="77777777" w:rsidR="00681745" w:rsidRPr="00D11DC0" w:rsidRDefault="00681745" w:rsidP="00EE4054">
            <w:pPr>
              <w:spacing w:line="240" w:lineRule="auto"/>
              <w:jc w:val="center"/>
              <w:rPr>
                <w:rFonts w:cs="Times New Roman"/>
                <w:lang w:val="en-GB"/>
              </w:rPr>
            </w:pPr>
            <w:r w:rsidRPr="00D11DC0">
              <w:rPr>
                <w:rFonts w:cs="Times New Roman"/>
                <w:lang w:val="en-GB"/>
              </w:rPr>
              <w:t>1</w:t>
            </w:r>
          </w:p>
        </w:tc>
        <w:tc>
          <w:tcPr>
            <w:tcW w:w="1190" w:type="dxa"/>
            <w:vAlign w:val="center"/>
          </w:tcPr>
          <w:p w14:paraId="79DA036B" w14:textId="77777777" w:rsidR="00681745" w:rsidRPr="00D11DC0" w:rsidRDefault="00681745" w:rsidP="00EE4054">
            <w:pPr>
              <w:spacing w:line="240" w:lineRule="auto"/>
              <w:jc w:val="center"/>
              <w:rPr>
                <w:rFonts w:cs="Times New Roman"/>
                <w:lang w:val="en-GB"/>
              </w:rPr>
            </w:pPr>
            <w:r w:rsidRPr="00D11DC0">
              <w:rPr>
                <w:rFonts w:cs="Times New Roman"/>
                <w:lang w:val="en-GB"/>
              </w:rPr>
              <w:t>632·4</w:t>
            </w:r>
          </w:p>
        </w:tc>
        <w:tc>
          <w:tcPr>
            <w:tcW w:w="838" w:type="dxa"/>
            <w:vAlign w:val="center"/>
          </w:tcPr>
          <w:p w14:paraId="3BC20C11" w14:textId="77777777" w:rsidR="00681745" w:rsidRPr="00D11DC0" w:rsidRDefault="00681745" w:rsidP="00EE4054">
            <w:pPr>
              <w:spacing w:line="240" w:lineRule="auto"/>
              <w:jc w:val="center"/>
              <w:rPr>
                <w:rFonts w:cs="Times New Roman"/>
                <w:lang w:val="en-GB"/>
              </w:rPr>
            </w:pPr>
            <w:r w:rsidRPr="00D11DC0">
              <w:rPr>
                <w:rFonts w:cs="Times New Roman"/>
                <w:lang w:val="en-GB"/>
              </w:rPr>
              <w:t>14</w:t>
            </w:r>
          </w:p>
        </w:tc>
        <w:tc>
          <w:tcPr>
            <w:tcW w:w="1412" w:type="dxa"/>
            <w:vAlign w:val="center"/>
          </w:tcPr>
          <w:p w14:paraId="1E55CD1B" w14:textId="77777777" w:rsidR="00681745" w:rsidRPr="00D11DC0" w:rsidRDefault="00681745" w:rsidP="00EE4054">
            <w:pPr>
              <w:spacing w:line="240" w:lineRule="auto"/>
              <w:jc w:val="center"/>
              <w:rPr>
                <w:rFonts w:cs="Times New Roman"/>
                <w:lang w:val="en-GB"/>
              </w:rPr>
            </w:pPr>
            <w:r w:rsidRPr="00D11DC0">
              <w:rPr>
                <w:rFonts w:cs="Times New Roman"/>
                <w:lang w:val="en-GB"/>
              </w:rPr>
              <w:t>559·7</w:t>
            </w:r>
          </w:p>
        </w:tc>
        <w:tc>
          <w:tcPr>
            <w:tcW w:w="2520" w:type="dxa"/>
            <w:vAlign w:val="center"/>
          </w:tcPr>
          <w:p w14:paraId="5CAA51FC" w14:textId="77777777" w:rsidR="00681745" w:rsidRPr="00D11DC0" w:rsidRDefault="00681745" w:rsidP="00EE4054">
            <w:pPr>
              <w:spacing w:line="240" w:lineRule="auto"/>
              <w:jc w:val="center"/>
              <w:rPr>
                <w:rFonts w:cs="Times New Roman"/>
                <w:lang w:val="en-GB"/>
              </w:rPr>
            </w:pPr>
            <w:r w:rsidRPr="00D11DC0">
              <w:rPr>
                <w:rFonts w:cs="Times New Roman"/>
                <w:lang w:val="en-GB"/>
              </w:rPr>
              <w:t>93·7 (58·5-99·9)</w:t>
            </w:r>
          </w:p>
        </w:tc>
      </w:tr>
      <w:tr w:rsidR="00681745" w:rsidRPr="00D11DC0" w14:paraId="68125E3A" w14:textId="77777777" w:rsidTr="00EE4054">
        <w:trPr>
          <w:cantSplit/>
          <w:trHeight w:val="619"/>
        </w:trPr>
        <w:tc>
          <w:tcPr>
            <w:tcW w:w="2970" w:type="dxa"/>
            <w:vAlign w:val="center"/>
          </w:tcPr>
          <w:p w14:paraId="6ED783AF" w14:textId="77777777" w:rsidR="00681745" w:rsidRPr="00D11DC0" w:rsidRDefault="00681745" w:rsidP="00EE4054">
            <w:pPr>
              <w:spacing w:line="240" w:lineRule="auto"/>
              <w:rPr>
                <w:rFonts w:cs="Times New Roman"/>
                <w:lang w:val="en-GB"/>
              </w:rPr>
            </w:pPr>
            <w:r w:rsidRPr="00D11DC0">
              <w:rPr>
                <w:rFonts w:cs="Times New Roman"/>
                <w:lang w:val="en-GB"/>
              </w:rPr>
              <w:t>By variant</w:t>
            </w:r>
            <w:r w:rsidRPr="00D11DC0">
              <w:rPr>
                <w:rFonts w:cs="Times New Roman"/>
                <w:vertAlign w:val="superscript"/>
                <w:lang w:val="en-GB"/>
              </w:rPr>
              <w:t xml:space="preserve"> </w:t>
            </w:r>
            <w:r w:rsidRPr="00D11DC0">
              <w:rPr>
                <w:lang w:val="en-GB"/>
              </w:rPr>
              <w:t>††</w:t>
            </w:r>
            <w:r>
              <w:rPr>
                <w:lang w:val="en-GB"/>
              </w:rPr>
              <w:t>‡‡</w:t>
            </w:r>
          </w:p>
        </w:tc>
        <w:tc>
          <w:tcPr>
            <w:tcW w:w="880" w:type="dxa"/>
            <w:vAlign w:val="center"/>
          </w:tcPr>
          <w:p w14:paraId="5CE3D293" w14:textId="77777777" w:rsidR="00681745" w:rsidRPr="00D11DC0" w:rsidRDefault="00681745" w:rsidP="00EE4054">
            <w:pPr>
              <w:spacing w:line="240" w:lineRule="auto"/>
              <w:jc w:val="center"/>
              <w:rPr>
                <w:rFonts w:cs="Times New Roman"/>
                <w:lang w:val="en-GB"/>
              </w:rPr>
            </w:pPr>
          </w:p>
        </w:tc>
        <w:tc>
          <w:tcPr>
            <w:tcW w:w="1190" w:type="dxa"/>
            <w:vAlign w:val="center"/>
          </w:tcPr>
          <w:p w14:paraId="2B1230F0" w14:textId="77777777" w:rsidR="00681745" w:rsidRPr="00D11DC0" w:rsidRDefault="00681745" w:rsidP="00EE4054">
            <w:pPr>
              <w:spacing w:line="240" w:lineRule="auto"/>
              <w:jc w:val="center"/>
              <w:rPr>
                <w:rFonts w:cs="Times New Roman"/>
                <w:lang w:val="en-GB"/>
              </w:rPr>
            </w:pPr>
          </w:p>
        </w:tc>
        <w:tc>
          <w:tcPr>
            <w:tcW w:w="838" w:type="dxa"/>
            <w:vAlign w:val="center"/>
          </w:tcPr>
          <w:p w14:paraId="73EC315D" w14:textId="77777777" w:rsidR="00681745" w:rsidRPr="00D11DC0" w:rsidRDefault="00681745" w:rsidP="00EE4054">
            <w:pPr>
              <w:spacing w:line="240" w:lineRule="auto"/>
              <w:jc w:val="center"/>
              <w:rPr>
                <w:rFonts w:cs="Times New Roman"/>
                <w:lang w:val="en-GB"/>
              </w:rPr>
            </w:pPr>
          </w:p>
        </w:tc>
        <w:tc>
          <w:tcPr>
            <w:tcW w:w="1412" w:type="dxa"/>
            <w:vAlign w:val="center"/>
          </w:tcPr>
          <w:p w14:paraId="472EB63E" w14:textId="77777777" w:rsidR="00681745" w:rsidRPr="00D11DC0" w:rsidRDefault="00681745" w:rsidP="00EE4054">
            <w:pPr>
              <w:spacing w:line="240" w:lineRule="auto"/>
              <w:jc w:val="center"/>
              <w:rPr>
                <w:rFonts w:cs="Times New Roman"/>
                <w:lang w:val="en-GB"/>
              </w:rPr>
            </w:pPr>
          </w:p>
        </w:tc>
        <w:tc>
          <w:tcPr>
            <w:tcW w:w="2520" w:type="dxa"/>
            <w:vAlign w:val="center"/>
          </w:tcPr>
          <w:p w14:paraId="6612534B" w14:textId="77777777" w:rsidR="00681745" w:rsidRPr="00D11DC0" w:rsidRDefault="00681745" w:rsidP="00EE4054">
            <w:pPr>
              <w:spacing w:line="240" w:lineRule="auto"/>
              <w:jc w:val="center"/>
              <w:rPr>
                <w:rFonts w:cs="Times New Roman"/>
                <w:lang w:val="en-GB"/>
              </w:rPr>
            </w:pPr>
          </w:p>
        </w:tc>
      </w:tr>
      <w:tr w:rsidR="00681745" w:rsidRPr="00D11DC0" w14:paraId="5EDCD738" w14:textId="77777777" w:rsidTr="00EE4054">
        <w:trPr>
          <w:cantSplit/>
          <w:trHeight w:val="619"/>
        </w:trPr>
        <w:tc>
          <w:tcPr>
            <w:tcW w:w="2970" w:type="dxa"/>
            <w:vAlign w:val="center"/>
          </w:tcPr>
          <w:p w14:paraId="23B5CC2F" w14:textId="77777777" w:rsidR="00681745" w:rsidRPr="00D11DC0" w:rsidRDefault="00681745" w:rsidP="00EE4054">
            <w:pPr>
              <w:spacing w:line="240" w:lineRule="auto"/>
              <w:ind w:left="336"/>
              <w:rPr>
                <w:rFonts w:cs="Times New Roman"/>
                <w:lang w:val="en-GB"/>
              </w:rPr>
            </w:pPr>
            <w:r w:rsidRPr="00D11DC0">
              <w:rPr>
                <w:rFonts w:cs="Times New Roman"/>
                <w:lang w:val="en-GB"/>
              </w:rPr>
              <w:t>Reference strain</w:t>
            </w:r>
          </w:p>
        </w:tc>
        <w:tc>
          <w:tcPr>
            <w:tcW w:w="880" w:type="dxa"/>
            <w:vAlign w:val="center"/>
          </w:tcPr>
          <w:p w14:paraId="1066FD3F" w14:textId="77777777" w:rsidR="00681745" w:rsidRPr="00D11DC0" w:rsidRDefault="00681745" w:rsidP="00EE4054">
            <w:pPr>
              <w:spacing w:line="240" w:lineRule="auto"/>
              <w:jc w:val="center"/>
              <w:rPr>
                <w:rFonts w:cs="Times New Roman"/>
                <w:lang w:val="en-GB"/>
              </w:rPr>
            </w:pPr>
            <w:r w:rsidRPr="00D11DC0">
              <w:rPr>
                <w:rFonts w:cs="Times New Roman"/>
                <w:lang w:val="en-GB"/>
              </w:rPr>
              <w:t>0</w:t>
            </w:r>
          </w:p>
        </w:tc>
        <w:tc>
          <w:tcPr>
            <w:tcW w:w="1190" w:type="dxa"/>
            <w:vAlign w:val="center"/>
          </w:tcPr>
          <w:p w14:paraId="5A0E0904" w14:textId="77777777" w:rsidR="00681745" w:rsidRPr="00D11DC0" w:rsidRDefault="00681745" w:rsidP="00EE4054">
            <w:pPr>
              <w:spacing w:line="240" w:lineRule="auto"/>
              <w:jc w:val="center"/>
              <w:rPr>
                <w:rFonts w:cs="Times New Roman"/>
                <w:lang w:val="en-GB"/>
              </w:rPr>
            </w:pPr>
            <w:r w:rsidRPr="00D11DC0">
              <w:rPr>
                <w:rFonts w:cs="Times New Roman"/>
                <w:lang w:val="en-GB"/>
              </w:rPr>
              <w:t>1730·0</w:t>
            </w:r>
          </w:p>
        </w:tc>
        <w:tc>
          <w:tcPr>
            <w:tcW w:w="838" w:type="dxa"/>
            <w:vAlign w:val="center"/>
          </w:tcPr>
          <w:p w14:paraId="677CC1F5" w14:textId="77777777" w:rsidR="00681745" w:rsidRPr="00D11DC0" w:rsidRDefault="00681745" w:rsidP="00EE4054">
            <w:pPr>
              <w:spacing w:line="240" w:lineRule="auto"/>
              <w:jc w:val="center"/>
              <w:rPr>
                <w:rFonts w:cs="Times New Roman"/>
                <w:lang w:val="en-GB"/>
              </w:rPr>
            </w:pPr>
            <w:r w:rsidRPr="00D11DC0">
              <w:rPr>
                <w:rFonts w:cs="Times New Roman"/>
                <w:lang w:val="en-GB"/>
              </w:rPr>
              <w:t>0</w:t>
            </w:r>
          </w:p>
        </w:tc>
        <w:tc>
          <w:tcPr>
            <w:tcW w:w="1412" w:type="dxa"/>
            <w:vAlign w:val="center"/>
          </w:tcPr>
          <w:p w14:paraId="3829B63C" w14:textId="77777777" w:rsidR="00681745" w:rsidRPr="00D11DC0" w:rsidRDefault="00681745" w:rsidP="00EE4054">
            <w:pPr>
              <w:spacing w:line="240" w:lineRule="auto"/>
              <w:jc w:val="center"/>
              <w:rPr>
                <w:rFonts w:cs="Times New Roman"/>
                <w:lang w:val="en-GB"/>
              </w:rPr>
            </w:pPr>
            <w:r w:rsidRPr="00D11DC0">
              <w:rPr>
                <w:rFonts w:cs="Times New Roman"/>
                <w:lang w:val="en-GB"/>
              </w:rPr>
              <w:t>1595·0</w:t>
            </w:r>
          </w:p>
        </w:tc>
        <w:tc>
          <w:tcPr>
            <w:tcW w:w="2520" w:type="dxa"/>
            <w:vAlign w:val="center"/>
          </w:tcPr>
          <w:p w14:paraId="3340FAA8" w14:textId="77777777" w:rsidR="00681745" w:rsidRPr="00D11DC0" w:rsidRDefault="00681745" w:rsidP="00EE4054">
            <w:pPr>
              <w:spacing w:line="240" w:lineRule="auto"/>
              <w:jc w:val="center"/>
              <w:rPr>
                <w:rFonts w:cs="Times New Roman"/>
                <w:lang w:val="en-GB"/>
              </w:rPr>
            </w:pPr>
          </w:p>
        </w:tc>
      </w:tr>
      <w:tr w:rsidR="00681745" w:rsidRPr="00D11DC0" w14:paraId="7C21EC63" w14:textId="77777777" w:rsidTr="00EE4054">
        <w:trPr>
          <w:cantSplit/>
          <w:trHeight w:val="619"/>
        </w:trPr>
        <w:tc>
          <w:tcPr>
            <w:tcW w:w="2970" w:type="dxa"/>
            <w:vAlign w:val="center"/>
          </w:tcPr>
          <w:p w14:paraId="59397787" w14:textId="77777777" w:rsidR="00681745" w:rsidRPr="00D11DC0" w:rsidRDefault="00681745" w:rsidP="00EE4054">
            <w:pPr>
              <w:spacing w:line="240" w:lineRule="auto"/>
              <w:ind w:left="336"/>
              <w:rPr>
                <w:rFonts w:cs="Times New Roman"/>
                <w:lang w:val="en-GB"/>
              </w:rPr>
            </w:pPr>
            <w:r w:rsidRPr="00D11DC0">
              <w:rPr>
                <w:rFonts w:cs="Times New Roman"/>
                <w:lang w:val="en-GB"/>
              </w:rPr>
              <w:t>Variant substitution</w:t>
            </w:r>
          </w:p>
        </w:tc>
        <w:tc>
          <w:tcPr>
            <w:tcW w:w="880" w:type="dxa"/>
            <w:vAlign w:val="center"/>
          </w:tcPr>
          <w:p w14:paraId="0CAB5D5F" w14:textId="77777777" w:rsidR="00681745" w:rsidRPr="00D11DC0" w:rsidRDefault="00681745" w:rsidP="00EE4054">
            <w:pPr>
              <w:spacing w:line="240" w:lineRule="auto"/>
              <w:jc w:val="center"/>
              <w:rPr>
                <w:rFonts w:cs="Times New Roman"/>
                <w:lang w:val="en-GB"/>
              </w:rPr>
            </w:pPr>
            <w:r w:rsidRPr="00D11DC0">
              <w:rPr>
                <w:rFonts w:cs="Times New Roman"/>
                <w:lang w:val="en-GB"/>
              </w:rPr>
              <w:t>7</w:t>
            </w:r>
          </w:p>
        </w:tc>
        <w:tc>
          <w:tcPr>
            <w:tcW w:w="1190" w:type="dxa"/>
            <w:vAlign w:val="center"/>
          </w:tcPr>
          <w:p w14:paraId="2529CB7F" w14:textId="77777777" w:rsidR="00681745" w:rsidRPr="00D11DC0" w:rsidRDefault="00681745" w:rsidP="00EE4054">
            <w:pPr>
              <w:spacing w:line="240" w:lineRule="auto"/>
              <w:jc w:val="center"/>
              <w:rPr>
                <w:rFonts w:cs="Times New Roman"/>
                <w:lang w:val="en-GB"/>
              </w:rPr>
            </w:pPr>
            <w:r w:rsidRPr="00D11DC0">
              <w:rPr>
                <w:rFonts w:cs="Times New Roman"/>
                <w:lang w:val="en-GB"/>
              </w:rPr>
              <w:t>1730·0</w:t>
            </w:r>
          </w:p>
        </w:tc>
        <w:tc>
          <w:tcPr>
            <w:tcW w:w="838" w:type="dxa"/>
            <w:vAlign w:val="center"/>
          </w:tcPr>
          <w:p w14:paraId="4F7093A3" w14:textId="77777777" w:rsidR="00681745" w:rsidRPr="00D11DC0" w:rsidRDefault="00681745" w:rsidP="00EE4054">
            <w:pPr>
              <w:spacing w:line="240" w:lineRule="auto"/>
              <w:jc w:val="center"/>
              <w:rPr>
                <w:rFonts w:cs="Times New Roman"/>
                <w:lang w:val="en-GB"/>
              </w:rPr>
            </w:pPr>
            <w:r w:rsidRPr="00D11DC0">
              <w:rPr>
                <w:rFonts w:cs="Times New Roman"/>
                <w:lang w:val="en-GB"/>
              </w:rPr>
              <w:t>35</w:t>
            </w:r>
          </w:p>
        </w:tc>
        <w:tc>
          <w:tcPr>
            <w:tcW w:w="1412" w:type="dxa"/>
            <w:vAlign w:val="center"/>
          </w:tcPr>
          <w:p w14:paraId="2CDCBF83" w14:textId="77777777" w:rsidR="00681745" w:rsidRPr="00D11DC0" w:rsidRDefault="00681745" w:rsidP="00EE4054">
            <w:pPr>
              <w:spacing w:line="240" w:lineRule="auto"/>
              <w:jc w:val="center"/>
              <w:rPr>
                <w:rFonts w:cs="Times New Roman"/>
                <w:lang w:val="en-GB"/>
              </w:rPr>
            </w:pPr>
            <w:r w:rsidRPr="00D11DC0">
              <w:rPr>
                <w:rFonts w:cs="Times New Roman"/>
                <w:lang w:val="en-GB"/>
              </w:rPr>
              <w:t>1595·0</w:t>
            </w:r>
          </w:p>
        </w:tc>
        <w:tc>
          <w:tcPr>
            <w:tcW w:w="2520" w:type="dxa"/>
            <w:vAlign w:val="center"/>
          </w:tcPr>
          <w:p w14:paraId="2BABE2A0" w14:textId="77777777" w:rsidR="00681745" w:rsidRPr="00D11DC0" w:rsidRDefault="00681745" w:rsidP="00EE4054">
            <w:pPr>
              <w:spacing w:line="240" w:lineRule="auto"/>
              <w:jc w:val="center"/>
              <w:rPr>
                <w:rFonts w:cs="Times New Roman"/>
                <w:lang w:val="en-GB"/>
              </w:rPr>
            </w:pPr>
            <w:r w:rsidRPr="00D11DC0">
              <w:rPr>
                <w:rFonts w:cs="Times New Roman"/>
                <w:lang w:val="en-GB"/>
              </w:rPr>
              <w:t>81·6 (57·9-93·1)</w:t>
            </w:r>
          </w:p>
        </w:tc>
      </w:tr>
      <w:tr w:rsidR="00681745" w:rsidRPr="00D11DC0" w14:paraId="2BC4FF31" w14:textId="77777777" w:rsidTr="00EE4054">
        <w:trPr>
          <w:cantSplit/>
          <w:trHeight w:val="619"/>
        </w:trPr>
        <w:tc>
          <w:tcPr>
            <w:tcW w:w="2970" w:type="dxa"/>
            <w:vAlign w:val="center"/>
          </w:tcPr>
          <w:p w14:paraId="3C76911E" w14:textId="77777777" w:rsidR="00681745" w:rsidRPr="00D11DC0" w:rsidRDefault="00681745" w:rsidP="00EE4054">
            <w:pPr>
              <w:spacing w:line="240" w:lineRule="auto"/>
              <w:ind w:left="336"/>
              <w:rPr>
                <w:rFonts w:cs="Times New Roman"/>
                <w:lang w:val="en-GB"/>
              </w:rPr>
            </w:pPr>
            <w:r w:rsidRPr="00D11DC0">
              <w:rPr>
                <w:rFonts w:cs="Times New Roman"/>
                <w:lang w:val="en-GB"/>
              </w:rPr>
              <w:t>Alpha</w:t>
            </w:r>
          </w:p>
        </w:tc>
        <w:tc>
          <w:tcPr>
            <w:tcW w:w="880" w:type="dxa"/>
            <w:vAlign w:val="center"/>
          </w:tcPr>
          <w:p w14:paraId="2BAA0F2E" w14:textId="77777777" w:rsidR="00681745" w:rsidRPr="00D11DC0" w:rsidRDefault="00681745" w:rsidP="00EE4054">
            <w:pPr>
              <w:spacing w:line="240" w:lineRule="auto"/>
              <w:jc w:val="center"/>
              <w:rPr>
                <w:rFonts w:cs="Times New Roman"/>
                <w:lang w:val="en-GB"/>
              </w:rPr>
            </w:pPr>
            <w:r w:rsidRPr="00D11DC0">
              <w:rPr>
                <w:rFonts w:cs="Times New Roman"/>
                <w:lang w:val="en-GB"/>
              </w:rPr>
              <w:t>1</w:t>
            </w:r>
          </w:p>
        </w:tc>
        <w:tc>
          <w:tcPr>
            <w:tcW w:w="1190" w:type="dxa"/>
            <w:vAlign w:val="center"/>
          </w:tcPr>
          <w:p w14:paraId="3615250A" w14:textId="77777777" w:rsidR="00681745" w:rsidRPr="00D11DC0" w:rsidRDefault="00681745" w:rsidP="00EE4054">
            <w:pPr>
              <w:spacing w:line="240" w:lineRule="auto"/>
              <w:jc w:val="center"/>
              <w:rPr>
                <w:rFonts w:cs="Times New Roman"/>
                <w:lang w:val="en-GB"/>
              </w:rPr>
            </w:pPr>
            <w:r w:rsidRPr="00D11DC0">
              <w:rPr>
                <w:rFonts w:cs="Times New Roman"/>
                <w:lang w:val="en-GB"/>
              </w:rPr>
              <w:t>1730·0</w:t>
            </w:r>
          </w:p>
        </w:tc>
        <w:tc>
          <w:tcPr>
            <w:tcW w:w="838" w:type="dxa"/>
            <w:vAlign w:val="center"/>
          </w:tcPr>
          <w:p w14:paraId="643AB57D" w14:textId="77777777" w:rsidR="00681745" w:rsidRPr="00D11DC0" w:rsidRDefault="00681745" w:rsidP="00EE4054">
            <w:pPr>
              <w:spacing w:line="240" w:lineRule="auto"/>
              <w:jc w:val="center"/>
              <w:rPr>
                <w:rFonts w:cs="Times New Roman"/>
                <w:lang w:val="en-GB"/>
              </w:rPr>
            </w:pPr>
            <w:r w:rsidRPr="00D11DC0">
              <w:rPr>
                <w:rFonts w:cs="Times New Roman"/>
                <w:lang w:val="en-GB"/>
              </w:rPr>
              <w:t>16</w:t>
            </w:r>
          </w:p>
        </w:tc>
        <w:tc>
          <w:tcPr>
            <w:tcW w:w="1412" w:type="dxa"/>
            <w:vAlign w:val="center"/>
          </w:tcPr>
          <w:p w14:paraId="3B5179D7" w14:textId="77777777" w:rsidR="00681745" w:rsidRPr="00D11DC0" w:rsidRDefault="00681745" w:rsidP="00EE4054">
            <w:pPr>
              <w:spacing w:line="240" w:lineRule="auto"/>
              <w:jc w:val="center"/>
              <w:rPr>
                <w:rFonts w:cs="Times New Roman"/>
                <w:lang w:val="en-GB"/>
              </w:rPr>
            </w:pPr>
            <w:r w:rsidRPr="00D11DC0">
              <w:rPr>
                <w:rFonts w:cs="Times New Roman"/>
                <w:lang w:val="en-GB"/>
              </w:rPr>
              <w:t>1595·0</w:t>
            </w:r>
          </w:p>
        </w:tc>
        <w:tc>
          <w:tcPr>
            <w:tcW w:w="2520" w:type="dxa"/>
            <w:vAlign w:val="center"/>
          </w:tcPr>
          <w:p w14:paraId="3FBC097E" w14:textId="77777777" w:rsidR="00681745" w:rsidRPr="00D11DC0" w:rsidRDefault="00681745" w:rsidP="00EE4054">
            <w:pPr>
              <w:spacing w:line="240" w:lineRule="auto"/>
              <w:jc w:val="center"/>
              <w:rPr>
                <w:rFonts w:cs="Times New Roman"/>
                <w:lang w:val="en-GB"/>
              </w:rPr>
            </w:pPr>
            <w:r w:rsidRPr="00D11DC0">
              <w:rPr>
                <w:rFonts w:cs="Times New Roman"/>
                <w:lang w:val="en-GB"/>
              </w:rPr>
              <w:t>94·2 (62·9-99·9)</w:t>
            </w:r>
          </w:p>
        </w:tc>
      </w:tr>
      <w:tr w:rsidR="00681745" w:rsidRPr="00D11DC0" w14:paraId="20EC2807" w14:textId="77777777" w:rsidTr="00EE4054">
        <w:trPr>
          <w:cantSplit/>
          <w:trHeight w:val="619"/>
        </w:trPr>
        <w:tc>
          <w:tcPr>
            <w:tcW w:w="2970" w:type="dxa"/>
            <w:vAlign w:val="center"/>
          </w:tcPr>
          <w:p w14:paraId="3F7EBB2A" w14:textId="77777777" w:rsidR="00681745" w:rsidRPr="00D11DC0" w:rsidRDefault="00681745" w:rsidP="00EE4054">
            <w:pPr>
              <w:spacing w:line="240" w:lineRule="auto"/>
              <w:ind w:left="336"/>
              <w:rPr>
                <w:rFonts w:cs="Times New Roman"/>
                <w:lang w:val="en-GB"/>
              </w:rPr>
            </w:pPr>
            <w:r w:rsidRPr="00D11DC0">
              <w:rPr>
                <w:rFonts w:cs="Times New Roman"/>
                <w:lang w:val="en-GB"/>
              </w:rPr>
              <w:t>Mu</w:t>
            </w:r>
          </w:p>
        </w:tc>
        <w:tc>
          <w:tcPr>
            <w:tcW w:w="880" w:type="dxa"/>
            <w:vAlign w:val="center"/>
          </w:tcPr>
          <w:p w14:paraId="7BDF1538" w14:textId="77777777" w:rsidR="00681745" w:rsidRPr="00D11DC0" w:rsidRDefault="00681745" w:rsidP="00EE4054">
            <w:pPr>
              <w:spacing w:line="240" w:lineRule="auto"/>
              <w:jc w:val="center"/>
              <w:rPr>
                <w:rFonts w:cs="Times New Roman"/>
                <w:lang w:val="en-GB"/>
              </w:rPr>
            </w:pPr>
            <w:r w:rsidRPr="00D11DC0">
              <w:rPr>
                <w:rFonts w:cs="Times New Roman"/>
                <w:lang w:val="en-GB"/>
              </w:rPr>
              <w:t>4</w:t>
            </w:r>
          </w:p>
        </w:tc>
        <w:tc>
          <w:tcPr>
            <w:tcW w:w="1190" w:type="dxa"/>
            <w:vAlign w:val="center"/>
          </w:tcPr>
          <w:p w14:paraId="383DF2D1" w14:textId="77777777" w:rsidR="00681745" w:rsidRPr="00D11DC0" w:rsidRDefault="00681745" w:rsidP="00EE4054">
            <w:pPr>
              <w:spacing w:line="240" w:lineRule="auto"/>
              <w:jc w:val="center"/>
              <w:rPr>
                <w:rFonts w:cs="Times New Roman"/>
                <w:lang w:val="en-GB"/>
              </w:rPr>
            </w:pPr>
            <w:r w:rsidRPr="00D11DC0">
              <w:rPr>
                <w:rFonts w:cs="Times New Roman"/>
                <w:lang w:val="en-GB"/>
              </w:rPr>
              <w:t>1730·0</w:t>
            </w:r>
          </w:p>
        </w:tc>
        <w:tc>
          <w:tcPr>
            <w:tcW w:w="838" w:type="dxa"/>
            <w:vAlign w:val="center"/>
          </w:tcPr>
          <w:p w14:paraId="3B98FDF0" w14:textId="77777777" w:rsidR="00681745" w:rsidRPr="00D11DC0" w:rsidRDefault="00681745" w:rsidP="00EE4054">
            <w:pPr>
              <w:spacing w:line="240" w:lineRule="auto"/>
              <w:jc w:val="center"/>
              <w:rPr>
                <w:rFonts w:cs="Times New Roman"/>
                <w:lang w:val="en-GB"/>
              </w:rPr>
            </w:pPr>
            <w:r w:rsidRPr="00D11DC0">
              <w:rPr>
                <w:rFonts w:cs="Times New Roman"/>
                <w:lang w:val="en-GB"/>
              </w:rPr>
              <w:t>10</w:t>
            </w:r>
          </w:p>
        </w:tc>
        <w:tc>
          <w:tcPr>
            <w:tcW w:w="1412" w:type="dxa"/>
            <w:vAlign w:val="center"/>
          </w:tcPr>
          <w:p w14:paraId="7752BAFF" w14:textId="77777777" w:rsidR="00681745" w:rsidRPr="00D11DC0" w:rsidRDefault="00681745" w:rsidP="00EE4054">
            <w:pPr>
              <w:spacing w:line="240" w:lineRule="auto"/>
              <w:jc w:val="center"/>
              <w:rPr>
                <w:rFonts w:cs="Times New Roman"/>
                <w:lang w:val="en-GB"/>
              </w:rPr>
            </w:pPr>
            <w:r w:rsidRPr="00D11DC0">
              <w:rPr>
                <w:rFonts w:cs="Times New Roman"/>
                <w:lang w:val="en-GB"/>
              </w:rPr>
              <w:t>1595·0</w:t>
            </w:r>
          </w:p>
        </w:tc>
        <w:tc>
          <w:tcPr>
            <w:tcW w:w="2520" w:type="dxa"/>
            <w:vAlign w:val="center"/>
          </w:tcPr>
          <w:p w14:paraId="3BDCCE89" w14:textId="77777777" w:rsidR="00681745" w:rsidRPr="00D11DC0" w:rsidRDefault="00681745" w:rsidP="00EE4054">
            <w:pPr>
              <w:spacing w:line="240" w:lineRule="auto"/>
              <w:jc w:val="center"/>
              <w:rPr>
                <w:rFonts w:cs="Times New Roman"/>
                <w:lang w:val="en-GB"/>
              </w:rPr>
            </w:pPr>
            <w:r w:rsidRPr="00D11DC0">
              <w:rPr>
                <w:rFonts w:cs="Times New Roman"/>
                <w:lang w:val="en-GB"/>
              </w:rPr>
              <w:t>63·1 (-27·9-91·6)</w:t>
            </w:r>
          </w:p>
        </w:tc>
      </w:tr>
      <w:tr w:rsidR="00681745" w:rsidRPr="00D11DC0" w14:paraId="2E03CB17" w14:textId="77777777" w:rsidTr="00EE4054">
        <w:trPr>
          <w:cantSplit/>
          <w:trHeight w:val="619"/>
        </w:trPr>
        <w:tc>
          <w:tcPr>
            <w:tcW w:w="2970" w:type="dxa"/>
            <w:tcBorders>
              <w:bottom w:val="single" w:sz="4" w:space="0" w:color="auto"/>
            </w:tcBorders>
            <w:vAlign w:val="center"/>
          </w:tcPr>
          <w:p w14:paraId="1EC8483F" w14:textId="77777777" w:rsidR="00681745" w:rsidRPr="00D11DC0" w:rsidRDefault="00681745" w:rsidP="00EE4054">
            <w:pPr>
              <w:spacing w:line="240" w:lineRule="auto"/>
              <w:ind w:left="336"/>
              <w:rPr>
                <w:rFonts w:cs="Times New Roman"/>
                <w:lang w:val="en-GB"/>
              </w:rPr>
            </w:pPr>
            <w:r w:rsidRPr="00D11DC0">
              <w:rPr>
                <w:rFonts w:cs="Times New Roman"/>
                <w:lang w:val="en-GB"/>
              </w:rPr>
              <w:t>Other</w:t>
            </w:r>
          </w:p>
        </w:tc>
        <w:tc>
          <w:tcPr>
            <w:tcW w:w="880" w:type="dxa"/>
            <w:tcBorders>
              <w:bottom w:val="single" w:sz="4" w:space="0" w:color="auto"/>
            </w:tcBorders>
            <w:vAlign w:val="center"/>
          </w:tcPr>
          <w:p w14:paraId="0488591B" w14:textId="77777777" w:rsidR="00681745" w:rsidRPr="00D11DC0" w:rsidRDefault="00681745" w:rsidP="00EE4054">
            <w:pPr>
              <w:spacing w:line="240" w:lineRule="auto"/>
              <w:jc w:val="center"/>
              <w:rPr>
                <w:rFonts w:cs="Times New Roman"/>
                <w:lang w:val="en-GB"/>
              </w:rPr>
            </w:pPr>
            <w:r w:rsidRPr="00D11DC0">
              <w:rPr>
                <w:rFonts w:cs="Times New Roman"/>
                <w:lang w:val="en-GB"/>
              </w:rPr>
              <w:t>0</w:t>
            </w:r>
          </w:p>
        </w:tc>
        <w:tc>
          <w:tcPr>
            <w:tcW w:w="1190" w:type="dxa"/>
            <w:tcBorders>
              <w:bottom w:val="single" w:sz="4" w:space="0" w:color="auto"/>
            </w:tcBorders>
            <w:vAlign w:val="center"/>
          </w:tcPr>
          <w:p w14:paraId="7DCF0778" w14:textId="77777777" w:rsidR="00681745" w:rsidRPr="00D11DC0" w:rsidRDefault="00681745" w:rsidP="00EE4054">
            <w:pPr>
              <w:spacing w:line="240" w:lineRule="auto"/>
              <w:jc w:val="center"/>
              <w:rPr>
                <w:rFonts w:cs="Times New Roman"/>
                <w:lang w:val="en-GB"/>
              </w:rPr>
            </w:pPr>
            <w:r w:rsidRPr="00D11DC0">
              <w:rPr>
                <w:rFonts w:cs="Times New Roman"/>
                <w:lang w:val="en-GB"/>
              </w:rPr>
              <w:t>1730·0</w:t>
            </w:r>
          </w:p>
        </w:tc>
        <w:tc>
          <w:tcPr>
            <w:tcW w:w="838" w:type="dxa"/>
            <w:tcBorders>
              <w:bottom w:val="single" w:sz="4" w:space="0" w:color="auto"/>
            </w:tcBorders>
            <w:vAlign w:val="center"/>
          </w:tcPr>
          <w:p w14:paraId="0A5E7C4F" w14:textId="77777777" w:rsidR="00681745" w:rsidRPr="00D11DC0" w:rsidRDefault="00681745" w:rsidP="00EE4054">
            <w:pPr>
              <w:spacing w:line="240" w:lineRule="auto"/>
              <w:jc w:val="center"/>
              <w:rPr>
                <w:rFonts w:cs="Times New Roman"/>
                <w:lang w:val="en-GB"/>
              </w:rPr>
            </w:pPr>
            <w:r w:rsidRPr="00D11DC0">
              <w:rPr>
                <w:rFonts w:cs="Times New Roman"/>
                <w:lang w:val="en-GB"/>
              </w:rPr>
              <w:t>3</w:t>
            </w:r>
          </w:p>
        </w:tc>
        <w:tc>
          <w:tcPr>
            <w:tcW w:w="1412" w:type="dxa"/>
            <w:tcBorders>
              <w:bottom w:val="single" w:sz="4" w:space="0" w:color="auto"/>
            </w:tcBorders>
            <w:vAlign w:val="center"/>
          </w:tcPr>
          <w:p w14:paraId="65D3A3F6" w14:textId="77777777" w:rsidR="00681745" w:rsidRPr="00D11DC0" w:rsidRDefault="00681745" w:rsidP="00EE4054">
            <w:pPr>
              <w:spacing w:line="240" w:lineRule="auto"/>
              <w:jc w:val="center"/>
              <w:rPr>
                <w:rFonts w:cs="Times New Roman"/>
                <w:lang w:val="en-GB"/>
              </w:rPr>
            </w:pPr>
            <w:r w:rsidRPr="00D11DC0">
              <w:rPr>
                <w:rFonts w:cs="Times New Roman"/>
                <w:lang w:val="en-GB"/>
              </w:rPr>
              <w:t>1595·0</w:t>
            </w:r>
          </w:p>
        </w:tc>
        <w:tc>
          <w:tcPr>
            <w:tcW w:w="2520" w:type="dxa"/>
            <w:tcBorders>
              <w:bottom w:val="single" w:sz="4" w:space="0" w:color="auto"/>
            </w:tcBorders>
            <w:vAlign w:val="center"/>
          </w:tcPr>
          <w:p w14:paraId="0345F63A" w14:textId="77777777" w:rsidR="00681745" w:rsidRPr="00D11DC0" w:rsidRDefault="00681745" w:rsidP="00EE4054">
            <w:pPr>
              <w:spacing w:line="240" w:lineRule="auto"/>
              <w:jc w:val="center"/>
              <w:rPr>
                <w:rFonts w:cs="Times New Roman"/>
                <w:lang w:val="en-GB"/>
              </w:rPr>
            </w:pPr>
          </w:p>
        </w:tc>
      </w:tr>
    </w:tbl>
    <w:p w14:paraId="6292F7CA" w14:textId="77777777" w:rsidR="00681745" w:rsidRPr="00D11DC0" w:rsidRDefault="00681745" w:rsidP="00681745">
      <w:pPr>
        <w:spacing w:after="0" w:line="240" w:lineRule="auto"/>
        <w:rPr>
          <w:sz w:val="20"/>
          <w:szCs w:val="20"/>
          <w:lang w:val="en-GB"/>
        </w:rPr>
      </w:pPr>
      <w:r w:rsidRPr="00D11DC0">
        <w:rPr>
          <w:rFonts w:eastAsia="OTNEJMScalaSansLF" w:cs="Times New Roman"/>
          <w:sz w:val="20"/>
          <w:szCs w:val="20"/>
          <w:lang w:val="en-GB"/>
        </w:rPr>
        <w:t xml:space="preserve">*Follow-up time was defined as the time between primary vaccination (Ad26.COV2.S or placebo) and the time of onset of the case (for participants with molecularly-confirmed </w:t>
      </w:r>
      <w:r>
        <w:rPr>
          <w:rFonts w:eastAsia="OTNEJMScalaSansLF" w:cs="Times New Roman"/>
          <w:sz w:val="20"/>
          <w:szCs w:val="20"/>
          <w:lang w:val="en-GB"/>
        </w:rPr>
        <w:t>COVID</w:t>
      </w:r>
      <w:r w:rsidRPr="00D11DC0">
        <w:rPr>
          <w:rFonts w:eastAsia="OTNEJMScalaSansLF" w:cs="Times New Roman"/>
          <w:sz w:val="20"/>
          <w:szCs w:val="20"/>
          <w:lang w:val="en-GB"/>
        </w:rPr>
        <w:t xml:space="preserve">-19) or until the last available measurement or at the end of the double-blind phase/study discontinuation. </w:t>
      </w:r>
      <w:r w:rsidRPr="00D11DC0">
        <w:rPr>
          <w:sz w:val="20"/>
          <w:szCs w:val="20"/>
          <w:lang w:val="en-GB"/>
        </w:rPr>
        <w:t xml:space="preserve">If fewer than six cases were observed for an endpoint, vaccine efficacy was not determined. </w:t>
      </w:r>
    </w:p>
    <w:p w14:paraId="3B38E756" w14:textId="77777777" w:rsidR="00681745" w:rsidRPr="00D11DC0" w:rsidRDefault="00681745" w:rsidP="00681745">
      <w:pPr>
        <w:spacing w:after="0" w:line="240" w:lineRule="auto"/>
        <w:rPr>
          <w:sz w:val="20"/>
          <w:szCs w:val="20"/>
          <w:lang w:val="en-GB"/>
        </w:rPr>
      </w:pPr>
      <w:r w:rsidRPr="00D11DC0">
        <w:rPr>
          <w:sz w:val="20"/>
          <w:szCs w:val="20"/>
          <w:lang w:val="en-GB"/>
        </w:rPr>
        <w:t xml:space="preserve">†Data are from the at-risk population (defined as all participants of the Per Protocol Set excluding participants who had a positive PCR test between day 1 and 70 </w:t>
      </w:r>
      <w:r>
        <w:rPr>
          <w:sz w:val="20"/>
          <w:szCs w:val="20"/>
          <w:lang w:val="en-GB"/>
        </w:rPr>
        <w:t>and</w:t>
      </w:r>
      <w:r w:rsidRPr="00D11DC0">
        <w:rPr>
          <w:sz w:val="20"/>
          <w:szCs w:val="20"/>
          <w:lang w:val="en-GB"/>
        </w:rPr>
        <w:t xml:space="preserve"> participants who discontinued prior to 14 days post-booster dose).</w:t>
      </w:r>
    </w:p>
    <w:p w14:paraId="110F97C0" w14:textId="77777777" w:rsidR="00681745" w:rsidRPr="00D11DC0" w:rsidRDefault="00681745" w:rsidP="00681745">
      <w:pPr>
        <w:spacing w:after="0" w:line="240" w:lineRule="auto"/>
        <w:rPr>
          <w:sz w:val="20"/>
          <w:szCs w:val="20"/>
          <w:lang w:val="en-GB"/>
        </w:rPr>
      </w:pPr>
      <w:r w:rsidRPr="00D11DC0">
        <w:rPr>
          <w:sz w:val="20"/>
          <w:szCs w:val="20"/>
          <w:lang w:val="en-GB"/>
        </w:rPr>
        <w:t>‡Primary endpoint</w:t>
      </w:r>
    </w:p>
    <w:p w14:paraId="1E3D5B7F" w14:textId="77777777" w:rsidR="00681745" w:rsidRPr="00D11DC0" w:rsidRDefault="00681745" w:rsidP="00681745">
      <w:pPr>
        <w:spacing w:after="0" w:line="240" w:lineRule="auto"/>
        <w:rPr>
          <w:sz w:val="20"/>
          <w:szCs w:val="20"/>
          <w:lang w:val="en-GB"/>
        </w:rPr>
      </w:pPr>
      <w:r w:rsidRPr="00D11DC0">
        <w:rPr>
          <w:sz w:val="20"/>
          <w:szCs w:val="20"/>
          <w:lang w:val="en-GB"/>
        </w:rPr>
        <w:lastRenderedPageBreak/>
        <w:t>§Adjusted</w:t>
      </w:r>
      <w:r w:rsidRPr="00D11DC0">
        <w:rPr>
          <w:rFonts w:cs="Times New Roman"/>
          <w:sz w:val="20"/>
          <w:szCs w:val="20"/>
          <w:lang w:val="en-GB"/>
        </w:rPr>
        <w:t xml:space="preserve"> 95% CI, which was calculated using type I error control for multiple testing and is presented upon meeting the prespecified testing conditions. The hypothesis for asymptomatic infections was not significant at the alpha level 1·25% (obtained from all SARS-CoV-2 infections). No hypothesis testing was performed for medical intervention, for which fewer than </w:t>
      </w:r>
      <w:r w:rsidRPr="00D11DC0">
        <w:rPr>
          <w:sz w:val="20"/>
          <w:szCs w:val="20"/>
          <w:lang w:val="en-GB"/>
        </w:rPr>
        <w:t>6 cases were reported; therefore, no alpha was recycled for the hypothesis of asymptomatic infections.</w:t>
      </w:r>
    </w:p>
    <w:p w14:paraId="32EBDA33" w14:textId="77777777" w:rsidR="00681745" w:rsidRPr="00D11DC0" w:rsidRDefault="00681745" w:rsidP="00681745">
      <w:pPr>
        <w:spacing w:after="0" w:line="240" w:lineRule="auto"/>
        <w:rPr>
          <w:sz w:val="20"/>
          <w:szCs w:val="20"/>
          <w:lang w:val="en-GB"/>
        </w:rPr>
      </w:pPr>
      <w:r w:rsidRPr="00D11DC0">
        <w:rPr>
          <w:sz w:val="20"/>
          <w:szCs w:val="20"/>
          <w:lang w:val="en-GB"/>
        </w:rPr>
        <w:t>‖Confirmatory secondary endpoint</w:t>
      </w:r>
      <w:r>
        <w:rPr>
          <w:sz w:val="20"/>
          <w:szCs w:val="20"/>
          <w:lang w:val="en-GB"/>
        </w:rPr>
        <w:t>, included in the hypothesis testing, preserving the family-wise error rate</w:t>
      </w:r>
      <w:r w:rsidRPr="00D11DC0">
        <w:rPr>
          <w:sz w:val="20"/>
          <w:szCs w:val="20"/>
          <w:lang w:val="en-GB"/>
        </w:rPr>
        <w:t>.</w:t>
      </w:r>
    </w:p>
    <w:p w14:paraId="1D1E9FCF" w14:textId="77777777" w:rsidR="00681745" w:rsidRPr="00D11DC0" w:rsidRDefault="00681745" w:rsidP="00681745">
      <w:pPr>
        <w:spacing w:after="0" w:line="240" w:lineRule="auto"/>
        <w:rPr>
          <w:sz w:val="20"/>
          <w:szCs w:val="20"/>
          <w:lang w:val="en-GB"/>
        </w:rPr>
      </w:pPr>
      <w:bookmarkStart w:id="48" w:name="_Hlk108439757"/>
      <w:r w:rsidRPr="00D11DC0">
        <w:rPr>
          <w:sz w:val="20"/>
          <w:szCs w:val="20"/>
          <w:lang w:val="en-GB"/>
        </w:rPr>
        <w:t>¶</w:t>
      </w:r>
      <w:bookmarkEnd w:id="48"/>
      <w:r w:rsidRPr="00D11DC0">
        <w:rPr>
          <w:sz w:val="20"/>
          <w:szCs w:val="20"/>
          <w:lang w:val="en-GB"/>
        </w:rPr>
        <w:t>Supportive secondary endpoint</w:t>
      </w:r>
      <w:r>
        <w:rPr>
          <w:sz w:val="20"/>
          <w:szCs w:val="20"/>
          <w:lang w:val="en-GB"/>
        </w:rPr>
        <w:t>, not included in hypothesis testing</w:t>
      </w:r>
      <w:r w:rsidRPr="00D11DC0">
        <w:rPr>
          <w:sz w:val="20"/>
          <w:szCs w:val="20"/>
          <w:lang w:val="en-GB"/>
        </w:rPr>
        <w:t>.</w:t>
      </w:r>
    </w:p>
    <w:p w14:paraId="3AE59467" w14:textId="77777777" w:rsidR="00681745" w:rsidRPr="00D11DC0" w:rsidRDefault="00681745" w:rsidP="00681745">
      <w:pPr>
        <w:spacing w:after="0" w:line="240" w:lineRule="auto"/>
        <w:rPr>
          <w:sz w:val="20"/>
          <w:szCs w:val="20"/>
          <w:lang w:val="en-GB"/>
        </w:rPr>
      </w:pPr>
      <w:r w:rsidRPr="00D11DC0">
        <w:rPr>
          <w:sz w:val="20"/>
          <w:szCs w:val="20"/>
          <w:lang w:val="en-GB"/>
        </w:rPr>
        <w:t>**</w:t>
      </w:r>
      <w:r w:rsidRPr="00D11DC0">
        <w:rPr>
          <w:rFonts w:cs="Times New Roman"/>
          <w:sz w:val="20"/>
          <w:szCs w:val="20"/>
          <w:lang w:val="en-GB"/>
        </w:rPr>
        <w:t>Sequencing of severe–critical</w:t>
      </w:r>
      <w:r w:rsidRPr="00D11DC0">
        <w:rPr>
          <w:sz w:val="20"/>
          <w:szCs w:val="20"/>
          <w:lang w:val="en-GB"/>
        </w:rPr>
        <w:t xml:space="preserve"> </w:t>
      </w:r>
      <w:r>
        <w:rPr>
          <w:sz w:val="20"/>
          <w:szCs w:val="20"/>
          <w:lang w:val="en-GB"/>
        </w:rPr>
        <w:t>COVID</w:t>
      </w:r>
      <w:r w:rsidRPr="00D11DC0">
        <w:rPr>
          <w:sz w:val="20"/>
          <w:szCs w:val="20"/>
          <w:lang w:val="en-GB"/>
        </w:rPr>
        <w:t xml:space="preserve">-19 cases with onset </w:t>
      </w:r>
      <w:r w:rsidRPr="00D11DC0">
        <w:rPr>
          <w:rFonts w:cs="Times New Roman"/>
          <w:color w:val="000000"/>
          <w:sz w:val="20"/>
          <w:szCs w:val="20"/>
          <w:lang w:val="en-GB" w:eastAsia="nl-BE"/>
        </w:rPr>
        <w:t>≥</w:t>
      </w:r>
      <w:r w:rsidRPr="00D11DC0">
        <w:rPr>
          <w:sz w:val="20"/>
          <w:szCs w:val="20"/>
          <w:lang w:val="en-GB"/>
        </w:rPr>
        <w:t>14 days after booster or placebo identified one case caused by B.1.1.7 (Alpha), 2 caused by B.1.621 (Mu), and 1 caused by C.37 (Lambda); all others were not identified.</w:t>
      </w:r>
    </w:p>
    <w:p w14:paraId="147B02D8" w14:textId="77777777" w:rsidR="00681745" w:rsidRPr="00D11DC0" w:rsidRDefault="00681745" w:rsidP="00681745">
      <w:pPr>
        <w:spacing w:after="0" w:line="240" w:lineRule="auto"/>
        <w:rPr>
          <w:rFonts w:cs="Times New Roman"/>
          <w:sz w:val="20"/>
          <w:szCs w:val="20"/>
          <w:lang w:val="en-GB"/>
        </w:rPr>
      </w:pPr>
      <w:r w:rsidRPr="00D11DC0">
        <w:rPr>
          <w:rFonts w:cs="Times New Roman"/>
          <w:sz w:val="20"/>
          <w:szCs w:val="20"/>
          <w:lang w:val="en-GB"/>
        </w:rPr>
        <w:t>††</w:t>
      </w:r>
      <w:r w:rsidRPr="00D11DC0">
        <w:rPr>
          <w:sz w:val="20"/>
          <w:szCs w:val="20"/>
          <w:lang w:val="en-GB"/>
        </w:rPr>
        <w:t>Exploratory endpoint.</w:t>
      </w:r>
    </w:p>
    <w:p w14:paraId="4E28E0A0" w14:textId="77777777" w:rsidR="00681745" w:rsidRPr="00D11DC0" w:rsidRDefault="00681745" w:rsidP="00681745">
      <w:pPr>
        <w:spacing w:after="0" w:line="240" w:lineRule="auto"/>
        <w:rPr>
          <w:rFonts w:cs="Times New Roman"/>
          <w:sz w:val="20"/>
          <w:szCs w:val="20"/>
          <w:lang w:val="en-GB"/>
        </w:rPr>
      </w:pPr>
      <w:r>
        <w:rPr>
          <w:sz w:val="20"/>
          <w:szCs w:val="20"/>
          <w:lang w:val="en-GB"/>
        </w:rPr>
        <w:t>‡‡</w:t>
      </w:r>
      <w:r w:rsidRPr="00D11DC0">
        <w:rPr>
          <w:rFonts w:cs="Times New Roman"/>
          <w:sz w:val="20"/>
          <w:szCs w:val="20"/>
          <w:lang w:val="en-GB"/>
        </w:rPr>
        <w:t xml:space="preserve">Vaccine efficacy against strains not considered variants based on their mutations is indicated as “Other.” The term “variant substitution” refers to all variants combined, except for Other and reference strain. The reference strain </w:t>
      </w:r>
      <w:r w:rsidRPr="00D11DC0">
        <w:rPr>
          <w:sz w:val="20"/>
          <w:szCs w:val="20"/>
          <w:lang w:val="en-GB"/>
        </w:rPr>
        <w:t>was the Wuhan-Hu1 variant including the D614G mutation (B.1 lineage).</w:t>
      </w:r>
    </w:p>
    <w:p w14:paraId="113E30E5" w14:textId="77777777" w:rsidR="00681745" w:rsidRDefault="00681745" w:rsidP="00681745">
      <w:pPr>
        <w:spacing w:after="0" w:line="240" w:lineRule="auto"/>
      </w:pPr>
      <w:r w:rsidRPr="00D11DC0">
        <w:rPr>
          <w:sz w:val="20"/>
          <w:szCs w:val="20"/>
          <w:lang w:val="en-GB"/>
        </w:rPr>
        <w:t xml:space="preserve">CI, confidence interval; </w:t>
      </w:r>
      <w:r>
        <w:rPr>
          <w:sz w:val="20"/>
          <w:szCs w:val="20"/>
          <w:lang w:val="en-GB"/>
        </w:rPr>
        <w:t>COVID</w:t>
      </w:r>
      <w:r w:rsidRPr="00D11DC0">
        <w:rPr>
          <w:sz w:val="20"/>
          <w:szCs w:val="20"/>
          <w:lang w:val="en-GB"/>
        </w:rPr>
        <w:t xml:space="preserve">-19, coronavirus disease 2019; FDA, US Food and Drug Administration; SARS-CoV-2, severe acute respiratory syndrome coronavirus 2; </w:t>
      </w:r>
      <w:proofErr w:type="spellStart"/>
      <w:r w:rsidRPr="00D11DC0">
        <w:rPr>
          <w:sz w:val="20"/>
          <w:szCs w:val="20"/>
          <w:lang w:val="en-GB"/>
        </w:rPr>
        <w:t>yr</w:t>
      </w:r>
      <w:proofErr w:type="spellEnd"/>
      <w:r w:rsidRPr="00D11DC0">
        <w:rPr>
          <w:sz w:val="20"/>
          <w:szCs w:val="20"/>
          <w:lang w:val="en-GB"/>
        </w:rPr>
        <w:t>, year.</w:t>
      </w:r>
    </w:p>
    <w:p w14:paraId="2DC3D659" w14:textId="63EB3F81" w:rsidR="00681745" w:rsidRPr="00681745" w:rsidRDefault="00681745" w:rsidP="00FA5B89">
      <w:pPr>
        <w:rPr>
          <w:b/>
          <w:bCs/>
          <w:lang w:val="en-GB"/>
        </w:rPr>
        <w:sectPr w:rsidR="00681745" w:rsidRPr="00681745" w:rsidSect="00CB5097">
          <w:pgSz w:w="12240" w:h="15840"/>
          <w:pgMar w:top="1440" w:right="1440" w:bottom="1440" w:left="1440" w:header="720" w:footer="720" w:gutter="0"/>
          <w:lnNumType w:countBy="1" w:restart="continuous"/>
          <w:cols w:space="720"/>
          <w:docGrid w:linePitch="360"/>
        </w:sectPr>
      </w:pPr>
    </w:p>
    <w:p w14:paraId="675FA2A8" w14:textId="6331C0F8" w:rsidR="00837A24" w:rsidRPr="00D11DC0" w:rsidRDefault="00837A24" w:rsidP="00837A24">
      <w:pPr>
        <w:pStyle w:val="Heading1"/>
        <w:rPr>
          <w:lang w:val="en-GB"/>
        </w:rPr>
      </w:pPr>
      <w:r w:rsidRPr="00D11DC0">
        <w:rPr>
          <w:lang w:val="en-GB"/>
        </w:rPr>
        <w:lastRenderedPageBreak/>
        <w:t>FIGURE</w:t>
      </w:r>
      <w:r w:rsidR="00DD5FC5">
        <w:rPr>
          <w:lang w:val="en-GB"/>
        </w:rPr>
        <w:t>S</w:t>
      </w:r>
    </w:p>
    <w:p w14:paraId="26DF9E56" w14:textId="77777777" w:rsidR="00837A24" w:rsidRDefault="00837A24" w:rsidP="00837A24">
      <w:pPr>
        <w:pStyle w:val="Heading2"/>
        <w:spacing w:after="0"/>
        <w:rPr>
          <w:b w:val="0"/>
          <w:bCs w:val="0"/>
          <w:i w:val="0"/>
          <w:iCs w:val="0"/>
          <w:lang w:val="en-GB"/>
        </w:rPr>
      </w:pPr>
      <w:r w:rsidRPr="00D11DC0">
        <w:rPr>
          <w:i w:val="0"/>
          <w:iCs w:val="0"/>
          <w:lang w:val="en-GB"/>
        </w:rPr>
        <w:t>Figure 1. Participant Disposition</w:t>
      </w:r>
      <w:r w:rsidRPr="00D11DC0">
        <w:rPr>
          <w:b w:val="0"/>
          <w:bCs w:val="0"/>
          <w:i w:val="0"/>
          <w:iCs w:val="0"/>
          <w:lang w:val="en-GB"/>
        </w:rPr>
        <w:t xml:space="preserve">. </w:t>
      </w:r>
    </w:p>
    <w:p w14:paraId="57CCD56D" w14:textId="06CF1451" w:rsidR="00442F0B" w:rsidRDefault="00837A24" w:rsidP="000E7F0B">
      <w:pPr>
        <w:rPr>
          <w:lang w:val="en-GB"/>
        </w:rPr>
      </w:pPr>
      <w:r w:rsidRPr="00D11DC0">
        <w:rPr>
          <w:lang w:val="en-GB"/>
        </w:rPr>
        <w:t xml:space="preserve">Data cutoff for analysis was June 25, 2021. The full analysis set (FAS) included all participants who were randomised and received ≥1 dose of trial vaccine or placebo, regardless of protocol deviations or serostatus at enrolment. </w:t>
      </w:r>
      <w:r w:rsidR="00017CC0">
        <w:rPr>
          <w:lang w:val="en-GB"/>
        </w:rPr>
        <w:t xml:space="preserve">At the data cutoff, 28,836 participants in the FAS were ongoing on the study (2459 participants had terminated prematurely from the study, 4 had completed study participation, and 1 had missing demographic/study disposition data and could not be assigned as “completed”, “discontinued” or “ongoing”). </w:t>
      </w:r>
      <w:r w:rsidRPr="00D11DC0">
        <w:rPr>
          <w:lang w:val="en-GB"/>
        </w:rPr>
        <w:t>The per-protocol set included participants in the FAS who received primary and booster doses of study vaccine</w:t>
      </w:r>
      <w:r>
        <w:rPr>
          <w:lang w:val="en-GB"/>
        </w:rPr>
        <w:t xml:space="preserve">; </w:t>
      </w:r>
      <w:r w:rsidRPr="00674C8A">
        <w:rPr>
          <w:lang w:val="en-GB"/>
        </w:rPr>
        <w:t xml:space="preserve">participants with positive </w:t>
      </w:r>
      <w:r>
        <w:rPr>
          <w:lang w:val="en-GB"/>
        </w:rPr>
        <w:t>results by serology</w:t>
      </w:r>
      <w:r w:rsidRPr="00674C8A">
        <w:rPr>
          <w:lang w:val="en-GB"/>
        </w:rPr>
        <w:t xml:space="preserve"> </w:t>
      </w:r>
      <w:r>
        <w:rPr>
          <w:lang w:val="en-GB"/>
        </w:rPr>
        <w:t>at baseline or day 71, positive PCR results at baseline, or with major protocol deviations were excluded.</w:t>
      </w:r>
      <w:r w:rsidRPr="00D11DC0">
        <w:rPr>
          <w:lang w:val="en-GB"/>
        </w:rPr>
        <w:t xml:space="preserve"> </w:t>
      </w:r>
      <w:r>
        <w:rPr>
          <w:lang w:val="en-GB"/>
        </w:rPr>
        <w:t>The per-protocol first dose set included participants in the FAS who</w:t>
      </w:r>
      <w:r w:rsidRPr="00917BA3">
        <w:rPr>
          <w:lang w:val="en-GB"/>
        </w:rPr>
        <w:t xml:space="preserve"> received ≥1 dose of vaccine/placebo in the double-blind phase</w:t>
      </w:r>
      <w:r>
        <w:rPr>
          <w:lang w:val="en-GB"/>
        </w:rPr>
        <w:t xml:space="preserve">; those with positive results by serology or PCR at baseline or </w:t>
      </w:r>
      <w:r w:rsidRPr="00944EB6">
        <w:rPr>
          <w:lang w:val="en-GB"/>
        </w:rPr>
        <w:t>with</w:t>
      </w:r>
      <w:r>
        <w:rPr>
          <w:b/>
          <w:bCs/>
          <w:i/>
          <w:iCs/>
          <w:lang w:val="en-GB"/>
        </w:rPr>
        <w:t xml:space="preserve"> </w:t>
      </w:r>
      <w:r>
        <w:rPr>
          <w:lang w:val="en-GB"/>
        </w:rPr>
        <w:t>major protocol deviations were excluded</w:t>
      </w:r>
      <w:r w:rsidRPr="00944EB6">
        <w:rPr>
          <w:lang w:val="en-GB"/>
        </w:rPr>
        <w:t>.</w:t>
      </w:r>
      <w:r w:rsidRPr="00917BA3">
        <w:rPr>
          <w:lang w:val="en-GB"/>
        </w:rPr>
        <w:t xml:space="preserve"> </w:t>
      </w:r>
      <w:r w:rsidRPr="00D11DC0">
        <w:rPr>
          <w:lang w:val="en-GB"/>
        </w:rPr>
        <w:t xml:space="preserve">The safety subset included participants in the FAS who were monitored for solicited and unsolicited adverse events. </w:t>
      </w:r>
      <w:r>
        <w:rPr>
          <w:lang w:val="en-GB"/>
        </w:rPr>
        <w:t>*Participants could have more than one reason for exclusion.</w:t>
      </w:r>
      <w:r w:rsidRPr="00D11DC0">
        <w:rPr>
          <w:lang w:val="en-GB"/>
        </w:rPr>
        <w:t xml:space="preserve">  </w:t>
      </w:r>
    </w:p>
    <w:p w14:paraId="514B27B7" w14:textId="5FCFD53C" w:rsidR="00DD5FC5" w:rsidRDefault="00DD5FC5" w:rsidP="000E7F0B">
      <w:pPr>
        <w:rPr>
          <w:lang w:val="en-GB"/>
        </w:rPr>
      </w:pPr>
      <w:r>
        <w:rPr>
          <w:noProof/>
          <w:lang w:val="en-GB"/>
        </w:rPr>
        <w:lastRenderedPageBreak/>
        <w:drawing>
          <wp:inline distT="0" distB="0" distL="0" distR="0" wp14:anchorId="4334564F" wp14:editId="5EB93D7A">
            <wp:extent cx="8229600" cy="5902325"/>
            <wp:effectExtent l="0" t="0" r="0" b="317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229600" cy="5902325"/>
                    </a:xfrm>
                    <a:prstGeom prst="rect">
                      <a:avLst/>
                    </a:prstGeom>
                  </pic:spPr>
                </pic:pic>
              </a:graphicData>
            </a:graphic>
          </wp:inline>
        </w:drawing>
      </w:r>
    </w:p>
    <w:p w14:paraId="3C7239D1" w14:textId="77777777" w:rsidR="00DD5FC5" w:rsidRDefault="00DD5FC5" w:rsidP="00837A24">
      <w:pPr>
        <w:pStyle w:val="Heading2"/>
        <w:spacing w:after="0"/>
        <w:rPr>
          <w:i w:val="0"/>
          <w:iCs w:val="0"/>
          <w:szCs w:val="24"/>
          <w:lang w:val="en-GB"/>
        </w:rPr>
        <w:sectPr w:rsidR="00DD5FC5" w:rsidSect="00DD5FC5">
          <w:pgSz w:w="15840" w:h="12240" w:orient="landscape"/>
          <w:pgMar w:top="1440" w:right="1440" w:bottom="1440" w:left="1440" w:header="720" w:footer="720" w:gutter="0"/>
          <w:lnNumType w:countBy="1" w:restart="continuous"/>
          <w:cols w:space="720"/>
          <w:docGrid w:linePitch="360"/>
        </w:sectPr>
      </w:pPr>
    </w:p>
    <w:p w14:paraId="0ECF04B8" w14:textId="78D5C84D" w:rsidR="00837A24" w:rsidRPr="00D11DC0" w:rsidRDefault="00837A24" w:rsidP="00837A24">
      <w:pPr>
        <w:pStyle w:val="Heading2"/>
        <w:spacing w:after="0"/>
        <w:rPr>
          <w:rFonts w:cs="Times New Roman"/>
          <w:i w:val="0"/>
          <w:iCs w:val="0"/>
          <w:szCs w:val="24"/>
          <w:lang w:val="en-GB"/>
        </w:rPr>
      </w:pPr>
      <w:r w:rsidRPr="00D11DC0">
        <w:rPr>
          <w:i w:val="0"/>
          <w:iCs w:val="0"/>
          <w:szCs w:val="24"/>
          <w:lang w:val="en-GB"/>
        </w:rPr>
        <w:lastRenderedPageBreak/>
        <w:t xml:space="preserve">Figure 2. Cumulative Incidence of First Occurrence of Molecularly-Confirmed Moderate to Severe–Critical or Severe–Critical </w:t>
      </w:r>
      <w:r>
        <w:rPr>
          <w:i w:val="0"/>
          <w:iCs w:val="0"/>
          <w:szCs w:val="24"/>
          <w:lang w:val="en-GB"/>
        </w:rPr>
        <w:t>COVID</w:t>
      </w:r>
      <w:r w:rsidRPr="00D11DC0">
        <w:rPr>
          <w:i w:val="0"/>
          <w:iCs w:val="0"/>
          <w:szCs w:val="24"/>
          <w:lang w:val="en-GB"/>
        </w:rPr>
        <w:t xml:space="preserve">-19 Cases with Onset at </w:t>
      </w:r>
      <w:r w:rsidRPr="00A234E2">
        <w:rPr>
          <w:i w:val="0"/>
          <w:iCs w:val="0"/>
          <w:szCs w:val="24"/>
          <w:lang w:val="en-GB"/>
        </w:rPr>
        <w:t>Least 1 Day</w:t>
      </w:r>
      <w:r w:rsidRPr="00D11DC0">
        <w:rPr>
          <w:i w:val="0"/>
          <w:iCs w:val="0"/>
          <w:szCs w:val="24"/>
          <w:lang w:val="en-GB"/>
        </w:rPr>
        <w:t xml:space="preserve"> </w:t>
      </w:r>
      <w:r w:rsidRPr="00D11DC0">
        <w:rPr>
          <w:rFonts w:cs="Times New Roman"/>
          <w:i w:val="0"/>
          <w:iCs w:val="0"/>
          <w:szCs w:val="24"/>
          <w:lang w:val="en-GB"/>
        </w:rPr>
        <w:t xml:space="preserve">After Booster Vaccination (Per-Protocol Set). </w:t>
      </w:r>
    </w:p>
    <w:p w14:paraId="163BF59D" w14:textId="6AC82F21" w:rsidR="00837A24" w:rsidRDefault="00837A24" w:rsidP="000E7F0B">
      <w:pPr>
        <w:rPr>
          <w:noProof/>
          <w:szCs w:val="24"/>
          <w:lang w:val="en-GB"/>
        </w:rPr>
      </w:pPr>
      <w:r w:rsidRPr="00D11DC0">
        <w:rPr>
          <w:szCs w:val="24"/>
          <w:lang w:val="en-GB"/>
        </w:rPr>
        <w:t xml:space="preserve">The cumulative incidence of molecularly-confirmed moderate to severe–critical cases of </w:t>
      </w:r>
      <w:r>
        <w:rPr>
          <w:szCs w:val="24"/>
          <w:lang w:val="en-GB"/>
        </w:rPr>
        <w:t>COVID</w:t>
      </w:r>
      <w:r w:rsidRPr="00D11DC0">
        <w:rPr>
          <w:szCs w:val="24"/>
          <w:lang w:val="en-GB"/>
        </w:rPr>
        <w:t>-19 with onset at least 1 day after booster vaccination in the per-protocol (PP) set</w:t>
      </w:r>
      <w:r>
        <w:rPr>
          <w:szCs w:val="24"/>
          <w:lang w:val="en-GB"/>
        </w:rPr>
        <w:t xml:space="preserve"> </w:t>
      </w:r>
      <w:r w:rsidRPr="00D11DC0">
        <w:rPr>
          <w:szCs w:val="24"/>
          <w:lang w:val="en-GB"/>
        </w:rPr>
        <w:t xml:space="preserve">is shown in Panel A. The cumulative incidence of molecularly-confirmed moderate to severe–critical cases of </w:t>
      </w:r>
      <w:r>
        <w:rPr>
          <w:szCs w:val="24"/>
          <w:lang w:val="en-GB"/>
        </w:rPr>
        <w:t>COVID</w:t>
      </w:r>
      <w:r w:rsidRPr="00D11DC0">
        <w:rPr>
          <w:szCs w:val="24"/>
          <w:lang w:val="en-GB"/>
        </w:rPr>
        <w:t xml:space="preserve">-19 with onset at least 1 day after booster vaccination and due to Alpha (B.1.1.7) and Mu (B.1.621) variants in the PP set are shown in panels B and C, respectively. </w:t>
      </w:r>
      <w:r>
        <w:rPr>
          <w:szCs w:val="24"/>
          <w:lang w:val="en-GB"/>
        </w:rPr>
        <w:t>B</w:t>
      </w:r>
      <w:r w:rsidRPr="00FC43D7">
        <w:rPr>
          <w:szCs w:val="24"/>
          <w:lang w:val="en-GB"/>
        </w:rPr>
        <w:t xml:space="preserve">lack arrows indicate administration of the booster vaccine or </w:t>
      </w:r>
      <w:r>
        <w:rPr>
          <w:szCs w:val="24"/>
          <w:lang w:val="en-GB"/>
        </w:rPr>
        <w:t xml:space="preserve">second </w:t>
      </w:r>
      <w:r w:rsidRPr="00FC43D7">
        <w:rPr>
          <w:szCs w:val="24"/>
          <w:lang w:val="en-GB"/>
        </w:rPr>
        <w:t>placebo dose.</w:t>
      </w:r>
      <w:r>
        <w:rPr>
          <w:szCs w:val="24"/>
          <w:lang w:val="en-GB"/>
        </w:rPr>
        <w:t xml:space="preserve"> </w:t>
      </w:r>
      <w:r w:rsidRPr="00D11DC0">
        <w:rPr>
          <w:szCs w:val="24"/>
          <w:lang w:val="en-GB"/>
        </w:rPr>
        <w:t xml:space="preserve">Cases included for analysis were centrally confirmed cases in the PP set. The PP set included participants who received 2 doses of vaccine or placebo in the double-blind phase, who were seronegative (or missing) by serology at the time of the first vaccination (day 1) and at 14 days after the </w:t>
      </w:r>
      <w:r>
        <w:rPr>
          <w:szCs w:val="24"/>
          <w:lang w:val="en-GB"/>
        </w:rPr>
        <w:t>booster</w:t>
      </w:r>
      <w:r w:rsidRPr="00D11DC0">
        <w:rPr>
          <w:szCs w:val="24"/>
          <w:lang w:val="en-GB"/>
        </w:rPr>
        <w:t xml:space="preserve"> vaccination (day 71), who were negative by PCR at baseline, and who had no major protocol deviations before unblinding that were judged to possibly impact the efficacy of the vaccine.</w:t>
      </w:r>
      <w:r w:rsidRPr="000357F1">
        <w:t xml:space="preserve"> </w:t>
      </w:r>
      <w:r>
        <w:rPr>
          <w:szCs w:val="24"/>
          <w:lang w:val="en-GB"/>
        </w:rPr>
        <w:t>The number at risk</w:t>
      </w:r>
      <w:r w:rsidRPr="000357F1">
        <w:rPr>
          <w:szCs w:val="24"/>
          <w:lang w:val="en-GB"/>
        </w:rPr>
        <w:t xml:space="preserve"> </w:t>
      </w:r>
      <w:r>
        <w:rPr>
          <w:szCs w:val="24"/>
          <w:lang w:val="en-GB"/>
        </w:rPr>
        <w:t xml:space="preserve">includes </w:t>
      </w:r>
      <w:r w:rsidRPr="000357F1">
        <w:rPr>
          <w:szCs w:val="24"/>
          <w:lang w:val="en-GB"/>
        </w:rPr>
        <w:t xml:space="preserve">the </w:t>
      </w:r>
      <w:r>
        <w:rPr>
          <w:szCs w:val="24"/>
          <w:lang w:val="en-GB"/>
        </w:rPr>
        <w:t>participants</w:t>
      </w:r>
      <w:r w:rsidRPr="000357F1">
        <w:rPr>
          <w:szCs w:val="24"/>
          <w:lang w:val="en-GB"/>
        </w:rPr>
        <w:t xml:space="preserve"> from the PP set who </w:t>
      </w:r>
      <w:r>
        <w:rPr>
          <w:szCs w:val="24"/>
          <w:lang w:val="en-GB"/>
        </w:rPr>
        <w:t>had not experienced</w:t>
      </w:r>
      <w:r w:rsidRPr="000357F1">
        <w:rPr>
          <w:szCs w:val="24"/>
          <w:lang w:val="en-GB"/>
        </w:rPr>
        <w:t xml:space="preserve"> </w:t>
      </w:r>
      <w:r>
        <w:rPr>
          <w:szCs w:val="24"/>
          <w:lang w:val="en-GB"/>
        </w:rPr>
        <w:t xml:space="preserve">a positive PCR before the booster dose and had not discontinued participation in the study. </w:t>
      </w:r>
      <w:r w:rsidRPr="00D11DC0">
        <w:rPr>
          <w:szCs w:val="24"/>
          <w:lang w:val="en-GB"/>
        </w:rPr>
        <w:t xml:space="preserve">CI, confidence interval; </w:t>
      </w:r>
      <w:r>
        <w:rPr>
          <w:szCs w:val="24"/>
          <w:lang w:val="en-GB"/>
        </w:rPr>
        <w:t>COVID</w:t>
      </w:r>
      <w:r w:rsidRPr="00D11DC0">
        <w:rPr>
          <w:szCs w:val="24"/>
          <w:lang w:val="en-GB"/>
        </w:rPr>
        <w:t>-19, coronavirus disease 2019; vp, viral particles</w:t>
      </w:r>
      <w:r w:rsidR="000E7F0B">
        <w:rPr>
          <w:noProof/>
          <w:szCs w:val="24"/>
          <w:lang w:val="en-GB"/>
        </w:rPr>
        <w:t>.</w:t>
      </w:r>
      <w:r w:rsidR="00DD5FC5" w:rsidRPr="00DD5FC5">
        <w:rPr>
          <w:noProof/>
          <w:szCs w:val="24"/>
          <w:lang w:val="en-GB"/>
        </w:rPr>
        <w:t xml:space="preserve"> </w:t>
      </w:r>
      <w:r w:rsidR="00DD5FC5">
        <w:rPr>
          <w:noProof/>
          <w:szCs w:val="24"/>
          <w:lang w:val="en-GB"/>
        </w:rPr>
        <w:lastRenderedPageBreak/>
        <w:drawing>
          <wp:inline distT="0" distB="0" distL="0" distR="0" wp14:anchorId="7F8CE8D1" wp14:editId="0F479142">
            <wp:extent cx="5943600" cy="3475990"/>
            <wp:effectExtent l="0" t="0" r="0" b="0"/>
            <wp:docPr id="73" name="Picture 73"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Picture 73" descr="Chart&#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943600" cy="3475990"/>
                    </a:xfrm>
                    <a:prstGeom prst="rect">
                      <a:avLst/>
                    </a:prstGeom>
                  </pic:spPr>
                </pic:pic>
              </a:graphicData>
            </a:graphic>
          </wp:inline>
        </w:drawing>
      </w:r>
      <w:r w:rsidR="00DD5FC5">
        <w:rPr>
          <w:noProof/>
          <w:szCs w:val="24"/>
          <w:lang w:val="en-GB"/>
        </w:rPr>
        <w:drawing>
          <wp:inline distT="0" distB="0" distL="0" distR="0" wp14:anchorId="73DDA43B" wp14:editId="402DF2B1">
            <wp:extent cx="5943600" cy="3523615"/>
            <wp:effectExtent l="0" t="0" r="0" b="635"/>
            <wp:docPr id="74" name="Picture 74" descr="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Chart&#10;&#10;Description automatically generated with medium confidence"/>
                    <pic:cNvPicPr/>
                  </pic:nvPicPr>
                  <pic:blipFill>
                    <a:blip r:embed="rId14">
                      <a:extLst>
                        <a:ext uri="{28A0092B-C50C-407E-A947-70E740481C1C}">
                          <a14:useLocalDpi xmlns:a14="http://schemas.microsoft.com/office/drawing/2010/main" val="0"/>
                        </a:ext>
                      </a:extLst>
                    </a:blip>
                    <a:stretch>
                      <a:fillRect/>
                    </a:stretch>
                  </pic:blipFill>
                  <pic:spPr>
                    <a:xfrm>
                      <a:off x="0" y="0"/>
                      <a:ext cx="5943600" cy="3523615"/>
                    </a:xfrm>
                    <a:prstGeom prst="rect">
                      <a:avLst/>
                    </a:prstGeom>
                  </pic:spPr>
                </pic:pic>
              </a:graphicData>
            </a:graphic>
          </wp:inline>
        </w:drawing>
      </w:r>
      <w:r w:rsidR="00DD5FC5">
        <w:rPr>
          <w:noProof/>
          <w:szCs w:val="24"/>
          <w:lang w:val="en-GB"/>
        </w:rPr>
        <w:lastRenderedPageBreak/>
        <w:drawing>
          <wp:inline distT="0" distB="0" distL="0" distR="0" wp14:anchorId="1CC5074B" wp14:editId="0C68A157">
            <wp:extent cx="5943600" cy="3411855"/>
            <wp:effectExtent l="0" t="0" r="0" b="0"/>
            <wp:docPr id="75" name="Picture 7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Char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5943600" cy="3411855"/>
                    </a:xfrm>
                    <a:prstGeom prst="rect">
                      <a:avLst/>
                    </a:prstGeom>
                  </pic:spPr>
                </pic:pic>
              </a:graphicData>
            </a:graphic>
          </wp:inline>
        </w:drawing>
      </w:r>
    </w:p>
    <w:p w14:paraId="498DC07C" w14:textId="77777777" w:rsidR="00DD5FC5" w:rsidRDefault="00DD5FC5" w:rsidP="000E7F0B">
      <w:pPr>
        <w:rPr>
          <w:noProof/>
          <w:szCs w:val="24"/>
          <w:lang w:val="en-GB"/>
        </w:rPr>
      </w:pPr>
    </w:p>
    <w:p w14:paraId="52507AF4" w14:textId="77777777" w:rsidR="00DD5FC5" w:rsidRDefault="00DD5FC5" w:rsidP="00837A24">
      <w:pPr>
        <w:pStyle w:val="Heading2"/>
        <w:spacing w:after="0"/>
        <w:rPr>
          <w:i w:val="0"/>
          <w:iCs w:val="0"/>
          <w:lang w:val="en-GB"/>
        </w:rPr>
        <w:sectPr w:rsidR="00DD5FC5" w:rsidSect="00D75E2A">
          <w:pgSz w:w="12240" w:h="15840"/>
          <w:pgMar w:top="1440" w:right="1440" w:bottom="1440" w:left="1440" w:header="720" w:footer="720" w:gutter="0"/>
          <w:lnNumType w:countBy="1" w:restart="continuous"/>
          <w:cols w:space="720"/>
          <w:docGrid w:linePitch="360"/>
        </w:sectPr>
      </w:pPr>
    </w:p>
    <w:p w14:paraId="25B65077" w14:textId="6E587369" w:rsidR="00837A24" w:rsidRDefault="00837A24" w:rsidP="00837A24">
      <w:pPr>
        <w:pStyle w:val="Heading2"/>
        <w:spacing w:after="0"/>
        <w:rPr>
          <w:b w:val="0"/>
          <w:bCs w:val="0"/>
          <w:i w:val="0"/>
          <w:iCs w:val="0"/>
          <w:lang w:val="en-GB"/>
        </w:rPr>
      </w:pPr>
      <w:r w:rsidRPr="00D11DC0">
        <w:rPr>
          <w:i w:val="0"/>
          <w:iCs w:val="0"/>
          <w:lang w:val="en-GB"/>
        </w:rPr>
        <w:lastRenderedPageBreak/>
        <w:t>Figure 3. Solicited Local (A) and Systemic (B) Adverse Events Following Prime-Boost Vaccination Regimen in Adults (Safety Set).</w:t>
      </w:r>
      <w:r w:rsidRPr="00D11DC0">
        <w:rPr>
          <w:b w:val="0"/>
          <w:bCs w:val="0"/>
          <w:i w:val="0"/>
          <w:iCs w:val="0"/>
          <w:lang w:val="en-GB"/>
        </w:rPr>
        <w:t xml:space="preserve"> </w:t>
      </w:r>
      <w:bookmarkStart w:id="49" w:name="_Hlk103615523"/>
      <w:bookmarkStart w:id="50" w:name="_Hlk103728297"/>
    </w:p>
    <w:p w14:paraId="0AF37FAE" w14:textId="77777777" w:rsidR="00DD5FC5" w:rsidRDefault="00837A24" w:rsidP="00837A24">
      <w:pPr>
        <w:rPr>
          <w:noProof/>
          <w:lang w:val="en-GB"/>
        </w:rPr>
      </w:pPr>
      <w:r w:rsidRPr="00D11DC0">
        <w:rPr>
          <w:lang w:val="en-GB"/>
        </w:rPr>
        <w:t xml:space="preserve">Solicited local and systemic adverse events (AEs) were collected among the safety subset population in an electronic diary for 7 days after each vaccination or placebo injection. Symptom grading is described in the </w:t>
      </w:r>
      <w:r>
        <w:rPr>
          <w:lang w:val="en-GB"/>
        </w:rPr>
        <w:t>appendix on p. 17</w:t>
      </w:r>
      <w:r w:rsidRPr="00D11DC0">
        <w:rPr>
          <w:lang w:val="en-GB"/>
        </w:rPr>
        <w:t>.</w:t>
      </w:r>
      <w:bookmarkEnd w:id="49"/>
      <w:r w:rsidRPr="00D11DC0">
        <w:rPr>
          <w:lang w:val="en-GB"/>
        </w:rPr>
        <w:t xml:space="preserve"> </w:t>
      </w:r>
      <w:bookmarkStart w:id="51" w:name="_Hlk103641518"/>
      <w:r w:rsidRPr="00D11DC0">
        <w:rPr>
          <w:lang w:val="en-GB"/>
        </w:rPr>
        <w:t>Black bars represent the percentage of participants with A</w:t>
      </w:r>
      <w:r>
        <w:rPr>
          <w:lang w:val="en-GB"/>
        </w:rPr>
        <w:t>E</w:t>
      </w:r>
      <w:r w:rsidRPr="00D11DC0">
        <w:rPr>
          <w:lang w:val="en-GB"/>
        </w:rPr>
        <w:t>s of any grade reported in the Ad26.COV2.S group; grey bars represent the percentage of participants with A</w:t>
      </w:r>
      <w:r>
        <w:rPr>
          <w:lang w:val="en-GB"/>
        </w:rPr>
        <w:t>E</w:t>
      </w:r>
      <w:r w:rsidRPr="00D11DC0">
        <w:rPr>
          <w:lang w:val="en-GB"/>
        </w:rPr>
        <w:t>s of any grade reported in the placebo group. Percentages of participants specifically reporting grade 3 A</w:t>
      </w:r>
      <w:r>
        <w:rPr>
          <w:lang w:val="en-GB"/>
        </w:rPr>
        <w:t>E</w:t>
      </w:r>
      <w:r w:rsidRPr="00D11DC0">
        <w:rPr>
          <w:lang w:val="en-GB"/>
        </w:rPr>
        <w:t>s are shown in orange above each column for the vaccine and</w:t>
      </w:r>
      <w:r w:rsidR="00DD5FC5">
        <w:rPr>
          <w:lang w:val="en-GB"/>
        </w:rPr>
        <w:t xml:space="preserve"> </w:t>
      </w:r>
      <w:r w:rsidRPr="00D11DC0">
        <w:rPr>
          <w:lang w:val="en-GB"/>
        </w:rPr>
        <w:t>placebo groups</w:t>
      </w:r>
      <w:bookmarkEnd w:id="51"/>
      <w:r w:rsidRPr="00D11DC0">
        <w:rPr>
          <w:lang w:val="en-GB"/>
        </w:rPr>
        <w:t>.</w:t>
      </w:r>
      <w:bookmarkEnd w:id="50"/>
      <w:r w:rsidR="00DD5FC5" w:rsidRPr="00DD5FC5">
        <w:rPr>
          <w:noProof/>
          <w:lang w:val="en-GB"/>
        </w:rPr>
        <w:t xml:space="preserve"> </w:t>
      </w:r>
    </w:p>
    <w:p w14:paraId="5E39A2BF" w14:textId="50EF649B" w:rsidR="00837A24" w:rsidRPr="00172622" w:rsidRDefault="00DD5FC5" w:rsidP="00837A24">
      <w:pPr>
        <w:rPr>
          <w:lang w:val="en-GB"/>
        </w:rPr>
      </w:pPr>
      <w:r w:rsidRPr="00D11DC0">
        <w:rPr>
          <w:noProof/>
          <w:lang w:val="en-GB"/>
        </w:rPr>
        <w:lastRenderedPageBreak/>
        <w:drawing>
          <wp:inline distT="0" distB="0" distL="0" distR="0" wp14:anchorId="5BDACB44" wp14:editId="5C11563F">
            <wp:extent cx="5943600" cy="7945755"/>
            <wp:effectExtent l="0" t="0" r="0" b="0"/>
            <wp:docPr id="38" name="Picture 3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Graphical user interfac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943600" cy="7945755"/>
                    </a:xfrm>
                    <a:prstGeom prst="rect">
                      <a:avLst/>
                    </a:prstGeom>
                  </pic:spPr>
                </pic:pic>
              </a:graphicData>
            </a:graphic>
          </wp:inline>
        </w:drawing>
      </w:r>
    </w:p>
    <w:sectPr w:rsidR="00837A24" w:rsidRPr="00172622" w:rsidSect="00D75E2A">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0B72F" w14:textId="77777777" w:rsidR="00AB3473" w:rsidRDefault="00AB3473">
      <w:pPr>
        <w:spacing w:after="0" w:line="240" w:lineRule="auto"/>
      </w:pPr>
      <w:r>
        <w:separator/>
      </w:r>
    </w:p>
  </w:endnote>
  <w:endnote w:type="continuationSeparator" w:id="0">
    <w:p w14:paraId="3E26C0E5" w14:textId="77777777" w:rsidR="00AB3473" w:rsidRDefault="00AB3473">
      <w:pPr>
        <w:spacing w:after="0" w:line="240" w:lineRule="auto"/>
      </w:pPr>
      <w:r>
        <w:continuationSeparator/>
      </w:r>
    </w:p>
  </w:endnote>
  <w:endnote w:type="continuationNotice" w:id="1">
    <w:p w14:paraId="5B44C789" w14:textId="77777777" w:rsidR="00AB3473" w:rsidRDefault="00AB34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OTNEJMScalaSansLF">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183572"/>
      <w:docPartObj>
        <w:docPartGallery w:val="Page Numbers (Bottom of Page)"/>
        <w:docPartUnique/>
      </w:docPartObj>
    </w:sdtPr>
    <w:sdtEndPr>
      <w:rPr>
        <w:noProof/>
      </w:rPr>
    </w:sdtEndPr>
    <w:sdtContent>
      <w:p w14:paraId="2B5DF0C0" w14:textId="77777777" w:rsidR="00B8540D" w:rsidRDefault="00C97D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E9BD02" w14:textId="77777777" w:rsidR="00B8540D" w:rsidRDefault="00773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3ABEF" w14:textId="77777777" w:rsidR="00AB3473" w:rsidRDefault="00AB3473">
      <w:pPr>
        <w:spacing w:after="0" w:line="240" w:lineRule="auto"/>
      </w:pPr>
      <w:r>
        <w:separator/>
      </w:r>
    </w:p>
  </w:footnote>
  <w:footnote w:type="continuationSeparator" w:id="0">
    <w:p w14:paraId="3460EC04" w14:textId="77777777" w:rsidR="00AB3473" w:rsidRDefault="00AB3473">
      <w:pPr>
        <w:spacing w:after="0" w:line="240" w:lineRule="auto"/>
      </w:pPr>
      <w:r>
        <w:continuationSeparator/>
      </w:r>
    </w:p>
  </w:footnote>
  <w:footnote w:type="continuationNotice" w:id="1">
    <w:p w14:paraId="0B937BAA" w14:textId="77777777" w:rsidR="00AB3473" w:rsidRDefault="00AB34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67CF" w14:textId="77777777" w:rsidR="00AB3473" w:rsidRDefault="00AB34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A278C"/>
    <w:multiLevelType w:val="hybridMultilevel"/>
    <w:tmpl w:val="A60811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5E1179"/>
    <w:multiLevelType w:val="hybridMultilevel"/>
    <w:tmpl w:val="2202F57E"/>
    <w:lvl w:ilvl="0" w:tplc="05887C0C">
      <w:start w:val="1"/>
      <w:numFmt w:val="bullet"/>
      <w:pStyle w:val="Bullet11-1"/>
      <w:lvlText w:val=""/>
      <w:lvlJc w:val="left"/>
      <w:pPr>
        <w:tabs>
          <w:tab w:val="num" w:pos="432"/>
        </w:tabs>
        <w:ind w:left="432" w:hanging="432"/>
      </w:pPr>
      <w:rPr>
        <w:rFonts w:ascii="Symbol" w:hAnsi="Symbol" w:hint="default"/>
      </w:rPr>
    </w:lvl>
    <w:lvl w:ilvl="1" w:tplc="742AFA8E">
      <w:start w:val="1"/>
      <w:numFmt w:val="bullet"/>
      <w:lvlText w:val="o"/>
      <w:lvlJc w:val="left"/>
      <w:pPr>
        <w:ind w:left="1440" w:hanging="360"/>
      </w:pPr>
      <w:rPr>
        <w:rFonts w:ascii="Courier New" w:hAnsi="Courier New" w:cs="Courier New" w:hint="default"/>
      </w:rPr>
    </w:lvl>
    <w:lvl w:ilvl="2" w:tplc="E1C26366">
      <w:start w:val="1"/>
      <w:numFmt w:val="bullet"/>
      <w:lvlText w:val=""/>
      <w:lvlJc w:val="left"/>
      <w:pPr>
        <w:ind w:left="2160" w:hanging="360"/>
      </w:pPr>
      <w:rPr>
        <w:rFonts w:ascii="Wingdings" w:hAnsi="Wingdings" w:hint="default"/>
      </w:rPr>
    </w:lvl>
    <w:lvl w:ilvl="3" w:tplc="A1BE5E5C" w:tentative="1">
      <w:start w:val="1"/>
      <w:numFmt w:val="bullet"/>
      <w:lvlText w:val=""/>
      <w:lvlJc w:val="left"/>
      <w:pPr>
        <w:ind w:left="2880" w:hanging="360"/>
      </w:pPr>
      <w:rPr>
        <w:rFonts w:ascii="Symbol" w:hAnsi="Symbol" w:hint="default"/>
      </w:rPr>
    </w:lvl>
    <w:lvl w:ilvl="4" w:tplc="7E1ECEFE" w:tentative="1">
      <w:start w:val="1"/>
      <w:numFmt w:val="bullet"/>
      <w:lvlText w:val="o"/>
      <w:lvlJc w:val="left"/>
      <w:pPr>
        <w:ind w:left="3600" w:hanging="360"/>
      </w:pPr>
      <w:rPr>
        <w:rFonts w:ascii="Courier New" w:hAnsi="Courier New" w:cs="Courier New" w:hint="default"/>
      </w:rPr>
    </w:lvl>
    <w:lvl w:ilvl="5" w:tplc="9DC04A08" w:tentative="1">
      <w:start w:val="1"/>
      <w:numFmt w:val="bullet"/>
      <w:lvlText w:val=""/>
      <w:lvlJc w:val="left"/>
      <w:pPr>
        <w:ind w:left="4320" w:hanging="360"/>
      </w:pPr>
      <w:rPr>
        <w:rFonts w:ascii="Wingdings" w:hAnsi="Wingdings" w:hint="default"/>
      </w:rPr>
    </w:lvl>
    <w:lvl w:ilvl="6" w:tplc="9D68309C" w:tentative="1">
      <w:start w:val="1"/>
      <w:numFmt w:val="bullet"/>
      <w:lvlText w:val=""/>
      <w:lvlJc w:val="left"/>
      <w:pPr>
        <w:ind w:left="5040" w:hanging="360"/>
      </w:pPr>
      <w:rPr>
        <w:rFonts w:ascii="Symbol" w:hAnsi="Symbol" w:hint="default"/>
      </w:rPr>
    </w:lvl>
    <w:lvl w:ilvl="7" w:tplc="3E883640" w:tentative="1">
      <w:start w:val="1"/>
      <w:numFmt w:val="bullet"/>
      <w:lvlText w:val="o"/>
      <w:lvlJc w:val="left"/>
      <w:pPr>
        <w:ind w:left="5760" w:hanging="360"/>
      </w:pPr>
      <w:rPr>
        <w:rFonts w:ascii="Courier New" w:hAnsi="Courier New" w:cs="Courier New" w:hint="default"/>
      </w:rPr>
    </w:lvl>
    <w:lvl w:ilvl="8" w:tplc="9B80FAC0" w:tentative="1">
      <w:start w:val="1"/>
      <w:numFmt w:val="bullet"/>
      <w:lvlText w:val=""/>
      <w:lvlJc w:val="left"/>
      <w:pPr>
        <w:ind w:left="6480" w:hanging="360"/>
      </w:pPr>
      <w:rPr>
        <w:rFonts w:ascii="Wingdings" w:hAnsi="Wingdings" w:hint="default"/>
      </w:rPr>
    </w:lvl>
  </w:abstractNum>
  <w:abstractNum w:abstractNumId="2" w15:restartNumberingAfterBreak="0">
    <w:nsid w:val="1AD218AF"/>
    <w:multiLevelType w:val="hybridMultilevel"/>
    <w:tmpl w:val="4B8A7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28D25DA"/>
    <w:multiLevelType w:val="hybridMultilevel"/>
    <w:tmpl w:val="60FCFCE6"/>
    <w:lvl w:ilvl="0" w:tplc="442CD9B4">
      <w:start w:val="7008"/>
      <w:numFmt w:val="bullet"/>
      <w:lvlText w:val="-"/>
      <w:lvlJc w:val="left"/>
      <w:pPr>
        <w:ind w:left="720" w:hanging="360"/>
      </w:pPr>
      <w:rPr>
        <w:rFonts w:ascii="Times New Roman" w:eastAsiaTheme="minorHAns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25B84494"/>
    <w:multiLevelType w:val="hybridMultilevel"/>
    <w:tmpl w:val="6DEA1B10"/>
    <w:lvl w:ilvl="0" w:tplc="81700F12">
      <w:start w:val="1"/>
      <w:numFmt w:val="bullet"/>
      <w:pStyle w:val="Bullet11-2"/>
      <w:lvlText w:val=""/>
      <w:lvlJc w:val="left"/>
      <w:pPr>
        <w:tabs>
          <w:tab w:val="num" w:pos="864"/>
        </w:tabs>
        <w:ind w:left="864" w:hanging="432"/>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B7B57AF"/>
    <w:multiLevelType w:val="hybridMultilevel"/>
    <w:tmpl w:val="FB1621D0"/>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2C85EFC"/>
    <w:multiLevelType w:val="hybridMultilevel"/>
    <w:tmpl w:val="5CB06070"/>
    <w:lvl w:ilvl="0" w:tplc="10D62DC0">
      <w:start w:val="1"/>
      <w:numFmt w:val="bullet"/>
      <w:lvlText w:val="•"/>
      <w:lvlJc w:val="left"/>
      <w:pPr>
        <w:tabs>
          <w:tab w:val="num" w:pos="720"/>
        </w:tabs>
        <w:ind w:left="720" w:hanging="360"/>
      </w:pPr>
      <w:rPr>
        <w:rFonts w:ascii="Arial" w:hAnsi="Arial" w:hint="default"/>
      </w:rPr>
    </w:lvl>
    <w:lvl w:ilvl="1" w:tplc="A306995A" w:tentative="1">
      <w:start w:val="1"/>
      <w:numFmt w:val="bullet"/>
      <w:lvlText w:val="•"/>
      <w:lvlJc w:val="left"/>
      <w:pPr>
        <w:tabs>
          <w:tab w:val="num" w:pos="1440"/>
        </w:tabs>
        <w:ind w:left="1440" w:hanging="360"/>
      </w:pPr>
      <w:rPr>
        <w:rFonts w:ascii="Arial" w:hAnsi="Arial" w:hint="default"/>
      </w:rPr>
    </w:lvl>
    <w:lvl w:ilvl="2" w:tplc="9C5E326E" w:tentative="1">
      <w:start w:val="1"/>
      <w:numFmt w:val="bullet"/>
      <w:lvlText w:val="•"/>
      <w:lvlJc w:val="left"/>
      <w:pPr>
        <w:tabs>
          <w:tab w:val="num" w:pos="2160"/>
        </w:tabs>
        <w:ind w:left="2160" w:hanging="360"/>
      </w:pPr>
      <w:rPr>
        <w:rFonts w:ascii="Arial" w:hAnsi="Arial" w:hint="default"/>
      </w:rPr>
    </w:lvl>
    <w:lvl w:ilvl="3" w:tplc="04B4C6E4" w:tentative="1">
      <w:start w:val="1"/>
      <w:numFmt w:val="bullet"/>
      <w:lvlText w:val="•"/>
      <w:lvlJc w:val="left"/>
      <w:pPr>
        <w:tabs>
          <w:tab w:val="num" w:pos="2880"/>
        </w:tabs>
        <w:ind w:left="2880" w:hanging="360"/>
      </w:pPr>
      <w:rPr>
        <w:rFonts w:ascii="Arial" w:hAnsi="Arial" w:hint="default"/>
      </w:rPr>
    </w:lvl>
    <w:lvl w:ilvl="4" w:tplc="A08A675C" w:tentative="1">
      <w:start w:val="1"/>
      <w:numFmt w:val="bullet"/>
      <w:lvlText w:val="•"/>
      <w:lvlJc w:val="left"/>
      <w:pPr>
        <w:tabs>
          <w:tab w:val="num" w:pos="3600"/>
        </w:tabs>
        <w:ind w:left="3600" w:hanging="360"/>
      </w:pPr>
      <w:rPr>
        <w:rFonts w:ascii="Arial" w:hAnsi="Arial" w:hint="default"/>
      </w:rPr>
    </w:lvl>
    <w:lvl w:ilvl="5" w:tplc="D2244368" w:tentative="1">
      <w:start w:val="1"/>
      <w:numFmt w:val="bullet"/>
      <w:lvlText w:val="•"/>
      <w:lvlJc w:val="left"/>
      <w:pPr>
        <w:tabs>
          <w:tab w:val="num" w:pos="4320"/>
        </w:tabs>
        <w:ind w:left="4320" w:hanging="360"/>
      </w:pPr>
      <w:rPr>
        <w:rFonts w:ascii="Arial" w:hAnsi="Arial" w:hint="default"/>
      </w:rPr>
    </w:lvl>
    <w:lvl w:ilvl="6" w:tplc="7898C1D4" w:tentative="1">
      <w:start w:val="1"/>
      <w:numFmt w:val="bullet"/>
      <w:lvlText w:val="•"/>
      <w:lvlJc w:val="left"/>
      <w:pPr>
        <w:tabs>
          <w:tab w:val="num" w:pos="5040"/>
        </w:tabs>
        <w:ind w:left="5040" w:hanging="360"/>
      </w:pPr>
      <w:rPr>
        <w:rFonts w:ascii="Arial" w:hAnsi="Arial" w:hint="default"/>
      </w:rPr>
    </w:lvl>
    <w:lvl w:ilvl="7" w:tplc="624C72E8" w:tentative="1">
      <w:start w:val="1"/>
      <w:numFmt w:val="bullet"/>
      <w:lvlText w:val="•"/>
      <w:lvlJc w:val="left"/>
      <w:pPr>
        <w:tabs>
          <w:tab w:val="num" w:pos="5760"/>
        </w:tabs>
        <w:ind w:left="5760" w:hanging="360"/>
      </w:pPr>
      <w:rPr>
        <w:rFonts w:ascii="Arial" w:hAnsi="Arial" w:hint="default"/>
      </w:rPr>
    </w:lvl>
    <w:lvl w:ilvl="8" w:tplc="A6CA23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22F4189"/>
    <w:multiLevelType w:val="hybridMultilevel"/>
    <w:tmpl w:val="AFA00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8B06B5"/>
    <w:multiLevelType w:val="hybridMultilevel"/>
    <w:tmpl w:val="0000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C87D94"/>
    <w:multiLevelType w:val="hybridMultilevel"/>
    <w:tmpl w:val="ECBC9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CE445A"/>
    <w:multiLevelType w:val="hybridMultilevel"/>
    <w:tmpl w:val="C9A8F14A"/>
    <w:lvl w:ilvl="0" w:tplc="D2F45FD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6B3A"/>
    <w:multiLevelType w:val="hybridMultilevel"/>
    <w:tmpl w:val="1582735C"/>
    <w:lvl w:ilvl="0" w:tplc="D7BE3A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9B1C47"/>
    <w:multiLevelType w:val="hybridMultilevel"/>
    <w:tmpl w:val="AD16C990"/>
    <w:lvl w:ilvl="0" w:tplc="B94C0E9A">
      <w:start w:val="2"/>
      <w:numFmt w:val="bullet"/>
      <w:lvlText w:val="•"/>
      <w:lvlJc w:val="left"/>
      <w:pPr>
        <w:ind w:left="1080" w:hanging="72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F2A1ABE"/>
    <w:multiLevelType w:val="singleLevel"/>
    <w:tmpl w:val="B686D922"/>
    <w:lvl w:ilvl="0">
      <w:start w:val="1"/>
      <w:numFmt w:val="bullet"/>
      <w:pStyle w:val="Bullet12-1"/>
      <w:lvlText w:val=""/>
      <w:lvlJc w:val="left"/>
      <w:pPr>
        <w:tabs>
          <w:tab w:val="num" w:pos="432"/>
        </w:tabs>
        <w:ind w:left="432" w:hanging="432"/>
      </w:pPr>
      <w:rPr>
        <w:rFonts w:ascii="Symbol" w:hAnsi="Symbol" w:hint="default"/>
      </w:rPr>
    </w:lvl>
  </w:abstractNum>
  <w:abstractNum w:abstractNumId="14" w15:restartNumberingAfterBreak="0">
    <w:nsid w:val="62D72507"/>
    <w:multiLevelType w:val="hybridMultilevel"/>
    <w:tmpl w:val="ADBEE9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45D21A3"/>
    <w:multiLevelType w:val="hybridMultilevel"/>
    <w:tmpl w:val="45BC9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36401E"/>
    <w:multiLevelType w:val="hybridMultilevel"/>
    <w:tmpl w:val="FFE6E79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6B4049C3"/>
    <w:multiLevelType w:val="hybridMultilevel"/>
    <w:tmpl w:val="22F8C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1BD1D25"/>
    <w:multiLevelType w:val="hybridMultilevel"/>
    <w:tmpl w:val="B3A694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74B06458"/>
    <w:multiLevelType w:val="hybridMultilevel"/>
    <w:tmpl w:val="82847392"/>
    <w:lvl w:ilvl="0" w:tplc="384897C2">
      <w:start w:val="1"/>
      <w:numFmt w:val="bullet"/>
      <w:lvlText w:val="•"/>
      <w:lvlJc w:val="left"/>
      <w:pPr>
        <w:tabs>
          <w:tab w:val="num" w:pos="720"/>
        </w:tabs>
        <w:ind w:left="720" w:hanging="360"/>
      </w:pPr>
      <w:rPr>
        <w:rFonts w:ascii="Arial" w:hAnsi="Arial" w:hint="default"/>
      </w:rPr>
    </w:lvl>
    <w:lvl w:ilvl="1" w:tplc="557870B6" w:tentative="1">
      <w:start w:val="1"/>
      <w:numFmt w:val="bullet"/>
      <w:lvlText w:val="•"/>
      <w:lvlJc w:val="left"/>
      <w:pPr>
        <w:tabs>
          <w:tab w:val="num" w:pos="1440"/>
        </w:tabs>
        <w:ind w:left="1440" w:hanging="360"/>
      </w:pPr>
      <w:rPr>
        <w:rFonts w:ascii="Arial" w:hAnsi="Arial" w:hint="default"/>
      </w:rPr>
    </w:lvl>
    <w:lvl w:ilvl="2" w:tplc="7C24D250" w:tentative="1">
      <w:start w:val="1"/>
      <w:numFmt w:val="bullet"/>
      <w:lvlText w:val="•"/>
      <w:lvlJc w:val="left"/>
      <w:pPr>
        <w:tabs>
          <w:tab w:val="num" w:pos="2160"/>
        </w:tabs>
        <w:ind w:left="2160" w:hanging="360"/>
      </w:pPr>
      <w:rPr>
        <w:rFonts w:ascii="Arial" w:hAnsi="Arial" w:hint="default"/>
      </w:rPr>
    </w:lvl>
    <w:lvl w:ilvl="3" w:tplc="DA046F2C" w:tentative="1">
      <w:start w:val="1"/>
      <w:numFmt w:val="bullet"/>
      <w:lvlText w:val="•"/>
      <w:lvlJc w:val="left"/>
      <w:pPr>
        <w:tabs>
          <w:tab w:val="num" w:pos="2880"/>
        </w:tabs>
        <w:ind w:left="2880" w:hanging="360"/>
      </w:pPr>
      <w:rPr>
        <w:rFonts w:ascii="Arial" w:hAnsi="Arial" w:hint="default"/>
      </w:rPr>
    </w:lvl>
    <w:lvl w:ilvl="4" w:tplc="6966C470" w:tentative="1">
      <w:start w:val="1"/>
      <w:numFmt w:val="bullet"/>
      <w:lvlText w:val="•"/>
      <w:lvlJc w:val="left"/>
      <w:pPr>
        <w:tabs>
          <w:tab w:val="num" w:pos="3600"/>
        </w:tabs>
        <w:ind w:left="3600" w:hanging="360"/>
      </w:pPr>
      <w:rPr>
        <w:rFonts w:ascii="Arial" w:hAnsi="Arial" w:hint="default"/>
      </w:rPr>
    </w:lvl>
    <w:lvl w:ilvl="5" w:tplc="852E97AC" w:tentative="1">
      <w:start w:val="1"/>
      <w:numFmt w:val="bullet"/>
      <w:lvlText w:val="•"/>
      <w:lvlJc w:val="left"/>
      <w:pPr>
        <w:tabs>
          <w:tab w:val="num" w:pos="4320"/>
        </w:tabs>
        <w:ind w:left="4320" w:hanging="360"/>
      </w:pPr>
      <w:rPr>
        <w:rFonts w:ascii="Arial" w:hAnsi="Arial" w:hint="default"/>
      </w:rPr>
    </w:lvl>
    <w:lvl w:ilvl="6" w:tplc="26920974" w:tentative="1">
      <w:start w:val="1"/>
      <w:numFmt w:val="bullet"/>
      <w:lvlText w:val="•"/>
      <w:lvlJc w:val="left"/>
      <w:pPr>
        <w:tabs>
          <w:tab w:val="num" w:pos="5040"/>
        </w:tabs>
        <w:ind w:left="5040" w:hanging="360"/>
      </w:pPr>
      <w:rPr>
        <w:rFonts w:ascii="Arial" w:hAnsi="Arial" w:hint="default"/>
      </w:rPr>
    </w:lvl>
    <w:lvl w:ilvl="7" w:tplc="02525E86" w:tentative="1">
      <w:start w:val="1"/>
      <w:numFmt w:val="bullet"/>
      <w:lvlText w:val="•"/>
      <w:lvlJc w:val="left"/>
      <w:pPr>
        <w:tabs>
          <w:tab w:val="num" w:pos="5760"/>
        </w:tabs>
        <w:ind w:left="5760" w:hanging="360"/>
      </w:pPr>
      <w:rPr>
        <w:rFonts w:ascii="Arial" w:hAnsi="Arial" w:hint="default"/>
      </w:rPr>
    </w:lvl>
    <w:lvl w:ilvl="8" w:tplc="9472821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75593006"/>
    <w:multiLevelType w:val="multilevel"/>
    <w:tmpl w:val="4956C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600364"/>
    <w:multiLevelType w:val="hybridMultilevel"/>
    <w:tmpl w:val="64B852EC"/>
    <w:lvl w:ilvl="0" w:tplc="D79AB084">
      <w:start w:val="4"/>
      <w:numFmt w:val="bullet"/>
      <w:lvlText w:val=""/>
      <w:lvlJc w:val="left"/>
      <w:pPr>
        <w:ind w:left="1440" w:hanging="360"/>
      </w:pPr>
      <w:rPr>
        <w:rFonts w:ascii="Symbol" w:eastAsia="Calibr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0"/>
  </w:num>
  <w:num w:numId="2">
    <w:abstractNumId w:val="0"/>
  </w:num>
  <w:num w:numId="3">
    <w:abstractNumId w:val="19"/>
  </w:num>
  <w:num w:numId="4">
    <w:abstractNumId w:val="6"/>
  </w:num>
  <w:num w:numId="5">
    <w:abstractNumId w:val="5"/>
  </w:num>
  <w:num w:numId="6">
    <w:abstractNumId w:val="9"/>
  </w:num>
  <w:num w:numId="7">
    <w:abstractNumId w:val="8"/>
  </w:num>
  <w:num w:numId="8">
    <w:abstractNumId w:val="3"/>
  </w:num>
  <w:num w:numId="9">
    <w:abstractNumId w:val="17"/>
  </w:num>
  <w:num w:numId="10">
    <w:abstractNumId w:val="10"/>
  </w:num>
  <w:num w:numId="11">
    <w:abstractNumId w:val="18"/>
  </w:num>
  <w:num w:numId="12">
    <w:abstractNumId w:val="16"/>
  </w:num>
  <w:num w:numId="13">
    <w:abstractNumId w:val="1"/>
  </w:num>
  <w:num w:numId="14">
    <w:abstractNumId w:val="4"/>
  </w:num>
  <w:num w:numId="15">
    <w:abstractNumId w:val="13"/>
  </w:num>
  <w:num w:numId="16">
    <w:abstractNumId w:val="7"/>
  </w:num>
  <w:num w:numId="17">
    <w:abstractNumId w:val="11"/>
  </w:num>
  <w:num w:numId="18">
    <w:abstractNumId w:val="12"/>
  </w:num>
  <w:num w:numId="19">
    <w:abstractNumId w:val="2"/>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C97D09"/>
    <w:rsid w:val="0000346A"/>
    <w:rsid w:val="00007564"/>
    <w:rsid w:val="0001140B"/>
    <w:rsid w:val="00017CC0"/>
    <w:rsid w:val="000201E0"/>
    <w:rsid w:val="00024B9A"/>
    <w:rsid w:val="00033EBF"/>
    <w:rsid w:val="00041861"/>
    <w:rsid w:val="00043D6B"/>
    <w:rsid w:val="00054BC4"/>
    <w:rsid w:val="00056863"/>
    <w:rsid w:val="00064D20"/>
    <w:rsid w:val="000721D3"/>
    <w:rsid w:val="000748DA"/>
    <w:rsid w:val="00077DEB"/>
    <w:rsid w:val="000925F5"/>
    <w:rsid w:val="000C4BD1"/>
    <w:rsid w:val="000D04DD"/>
    <w:rsid w:val="000D27D4"/>
    <w:rsid w:val="000D4960"/>
    <w:rsid w:val="000E7F0B"/>
    <w:rsid w:val="001006F5"/>
    <w:rsid w:val="00104FF6"/>
    <w:rsid w:val="00107E7C"/>
    <w:rsid w:val="00111064"/>
    <w:rsid w:val="00125B00"/>
    <w:rsid w:val="001460A1"/>
    <w:rsid w:val="00151D99"/>
    <w:rsid w:val="00154EAC"/>
    <w:rsid w:val="001708FF"/>
    <w:rsid w:val="00172622"/>
    <w:rsid w:val="00173613"/>
    <w:rsid w:val="0017385F"/>
    <w:rsid w:val="00175F6C"/>
    <w:rsid w:val="001820BC"/>
    <w:rsid w:val="00191485"/>
    <w:rsid w:val="001A4B50"/>
    <w:rsid w:val="001B4482"/>
    <w:rsid w:val="001D730C"/>
    <w:rsid w:val="002021D4"/>
    <w:rsid w:val="00211222"/>
    <w:rsid w:val="002168B4"/>
    <w:rsid w:val="00223AA8"/>
    <w:rsid w:val="002248B6"/>
    <w:rsid w:val="00244EB7"/>
    <w:rsid w:val="00261311"/>
    <w:rsid w:val="00272F07"/>
    <w:rsid w:val="00273023"/>
    <w:rsid w:val="00275661"/>
    <w:rsid w:val="002762CF"/>
    <w:rsid w:val="00290BC4"/>
    <w:rsid w:val="00296492"/>
    <w:rsid w:val="002A11F1"/>
    <w:rsid w:val="002B1A2A"/>
    <w:rsid w:val="002B3569"/>
    <w:rsid w:val="002B6D93"/>
    <w:rsid w:val="002C4247"/>
    <w:rsid w:val="002C4647"/>
    <w:rsid w:val="002D2093"/>
    <w:rsid w:val="002E35EE"/>
    <w:rsid w:val="002E7DFF"/>
    <w:rsid w:val="00315221"/>
    <w:rsid w:val="00341BEE"/>
    <w:rsid w:val="00343F62"/>
    <w:rsid w:val="00345E3C"/>
    <w:rsid w:val="0034635F"/>
    <w:rsid w:val="003666FB"/>
    <w:rsid w:val="00372DDF"/>
    <w:rsid w:val="00380476"/>
    <w:rsid w:val="003A5908"/>
    <w:rsid w:val="003B25CC"/>
    <w:rsid w:val="003B4612"/>
    <w:rsid w:val="003B6A0B"/>
    <w:rsid w:val="003C2B7B"/>
    <w:rsid w:val="003C3DA6"/>
    <w:rsid w:val="003D67A2"/>
    <w:rsid w:val="003E2D7B"/>
    <w:rsid w:val="003F02D8"/>
    <w:rsid w:val="00410D9A"/>
    <w:rsid w:val="0044096E"/>
    <w:rsid w:val="00442F0B"/>
    <w:rsid w:val="00445127"/>
    <w:rsid w:val="00451464"/>
    <w:rsid w:val="004530C2"/>
    <w:rsid w:val="0045527D"/>
    <w:rsid w:val="004662B0"/>
    <w:rsid w:val="00471A2A"/>
    <w:rsid w:val="004822C6"/>
    <w:rsid w:val="004938AF"/>
    <w:rsid w:val="00496A34"/>
    <w:rsid w:val="004A2FEA"/>
    <w:rsid w:val="004A4741"/>
    <w:rsid w:val="004B1752"/>
    <w:rsid w:val="004D212F"/>
    <w:rsid w:val="004E74F8"/>
    <w:rsid w:val="00501287"/>
    <w:rsid w:val="00514407"/>
    <w:rsid w:val="005153B2"/>
    <w:rsid w:val="005203EE"/>
    <w:rsid w:val="005313EF"/>
    <w:rsid w:val="00535DA7"/>
    <w:rsid w:val="0053602F"/>
    <w:rsid w:val="005367AA"/>
    <w:rsid w:val="00544B01"/>
    <w:rsid w:val="0056702C"/>
    <w:rsid w:val="00567D63"/>
    <w:rsid w:val="00585E0B"/>
    <w:rsid w:val="005913A0"/>
    <w:rsid w:val="00592297"/>
    <w:rsid w:val="005B1374"/>
    <w:rsid w:val="005C20EF"/>
    <w:rsid w:val="005C5C33"/>
    <w:rsid w:val="005D1D8F"/>
    <w:rsid w:val="005D4BB9"/>
    <w:rsid w:val="005E4B08"/>
    <w:rsid w:val="005E5801"/>
    <w:rsid w:val="005F0997"/>
    <w:rsid w:val="005F486C"/>
    <w:rsid w:val="0060260F"/>
    <w:rsid w:val="00606B0A"/>
    <w:rsid w:val="00611A1F"/>
    <w:rsid w:val="00612002"/>
    <w:rsid w:val="006172BB"/>
    <w:rsid w:val="00621026"/>
    <w:rsid w:val="006255F0"/>
    <w:rsid w:val="00653111"/>
    <w:rsid w:val="006610C5"/>
    <w:rsid w:val="006679C6"/>
    <w:rsid w:val="00681745"/>
    <w:rsid w:val="006856E6"/>
    <w:rsid w:val="006A5E34"/>
    <w:rsid w:val="006A667B"/>
    <w:rsid w:val="006B4604"/>
    <w:rsid w:val="006C3E85"/>
    <w:rsid w:val="006E1525"/>
    <w:rsid w:val="006E59F5"/>
    <w:rsid w:val="006F05F8"/>
    <w:rsid w:val="00702BD1"/>
    <w:rsid w:val="0071400A"/>
    <w:rsid w:val="00714A0F"/>
    <w:rsid w:val="00727B55"/>
    <w:rsid w:val="00735EA7"/>
    <w:rsid w:val="007455B0"/>
    <w:rsid w:val="0074668C"/>
    <w:rsid w:val="0075361E"/>
    <w:rsid w:val="00760375"/>
    <w:rsid w:val="00761E27"/>
    <w:rsid w:val="0076296F"/>
    <w:rsid w:val="00762AE6"/>
    <w:rsid w:val="00765B95"/>
    <w:rsid w:val="00770B29"/>
    <w:rsid w:val="007730CA"/>
    <w:rsid w:val="007835D6"/>
    <w:rsid w:val="00792CE9"/>
    <w:rsid w:val="007A4B5D"/>
    <w:rsid w:val="007A61F7"/>
    <w:rsid w:val="007B0914"/>
    <w:rsid w:val="007B300D"/>
    <w:rsid w:val="007B43A0"/>
    <w:rsid w:val="007C4644"/>
    <w:rsid w:val="007C65FF"/>
    <w:rsid w:val="007C70DA"/>
    <w:rsid w:val="007D4E61"/>
    <w:rsid w:val="007E100E"/>
    <w:rsid w:val="007E14EA"/>
    <w:rsid w:val="007E5185"/>
    <w:rsid w:val="0080607F"/>
    <w:rsid w:val="00806A5D"/>
    <w:rsid w:val="00813196"/>
    <w:rsid w:val="00830E63"/>
    <w:rsid w:val="00831A8D"/>
    <w:rsid w:val="008346C8"/>
    <w:rsid w:val="0083626F"/>
    <w:rsid w:val="00837A24"/>
    <w:rsid w:val="00845D50"/>
    <w:rsid w:val="008473C8"/>
    <w:rsid w:val="00851284"/>
    <w:rsid w:val="00852420"/>
    <w:rsid w:val="00852F88"/>
    <w:rsid w:val="00854173"/>
    <w:rsid w:val="0086040A"/>
    <w:rsid w:val="00860F81"/>
    <w:rsid w:val="00883DFA"/>
    <w:rsid w:val="00894C14"/>
    <w:rsid w:val="00894CD1"/>
    <w:rsid w:val="008A060D"/>
    <w:rsid w:val="008B3A34"/>
    <w:rsid w:val="008B6D98"/>
    <w:rsid w:val="008C5620"/>
    <w:rsid w:val="008D13AF"/>
    <w:rsid w:val="008D4EE7"/>
    <w:rsid w:val="008E1800"/>
    <w:rsid w:val="008E7072"/>
    <w:rsid w:val="009003F5"/>
    <w:rsid w:val="009057C8"/>
    <w:rsid w:val="00920467"/>
    <w:rsid w:val="00931288"/>
    <w:rsid w:val="00932672"/>
    <w:rsid w:val="009408A6"/>
    <w:rsid w:val="00942057"/>
    <w:rsid w:val="00944EB6"/>
    <w:rsid w:val="009533C1"/>
    <w:rsid w:val="00960EDC"/>
    <w:rsid w:val="00962B5F"/>
    <w:rsid w:val="00970C74"/>
    <w:rsid w:val="00973085"/>
    <w:rsid w:val="0099757C"/>
    <w:rsid w:val="009C1242"/>
    <w:rsid w:val="009D299E"/>
    <w:rsid w:val="009E1AA9"/>
    <w:rsid w:val="009E342D"/>
    <w:rsid w:val="009E6747"/>
    <w:rsid w:val="009E6859"/>
    <w:rsid w:val="00A064D9"/>
    <w:rsid w:val="00A10260"/>
    <w:rsid w:val="00A141C5"/>
    <w:rsid w:val="00A15AFE"/>
    <w:rsid w:val="00A353AC"/>
    <w:rsid w:val="00A46C95"/>
    <w:rsid w:val="00A47FC1"/>
    <w:rsid w:val="00A55122"/>
    <w:rsid w:val="00A57A9B"/>
    <w:rsid w:val="00A84CB2"/>
    <w:rsid w:val="00A923C8"/>
    <w:rsid w:val="00AA1911"/>
    <w:rsid w:val="00AB3473"/>
    <w:rsid w:val="00AB3A5F"/>
    <w:rsid w:val="00AB3F95"/>
    <w:rsid w:val="00AF0E2B"/>
    <w:rsid w:val="00AF7007"/>
    <w:rsid w:val="00B10930"/>
    <w:rsid w:val="00B10988"/>
    <w:rsid w:val="00B111A9"/>
    <w:rsid w:val="00B26020"/>
    <w:rsid w:val="00B44D57"/>
    <w:rsid w:val="00B5643F"/>
    <w:rsid w:val="00B57353"/>
    <w:rsid w:val="00B603DB"/>
    <w:rsid w:val="00B64DAD"/>
    <w:rsid w:val="00B84FA0"/>
    <w:rsid w:val="00B869A8"/>
    <w:rsid w:val="00B87896"/>
    <w:rsid w:val="00B94ABF"/>
    <w:rsid w:val="00B95E67"/>
    <w:rsid w:val="00B96F0A"/>
    <w:rsid w:val="00BA40E2"/>
    <w:rsid w:val="00BB22F5"/>
    <w:rsid w:val="00BB2A80"/>
    <w:rsid w:val="00BC2EFF"/>
    <w:rsid w:val="00BC5A51"/>
    <w:rsid w:val="00BC718B"/>
    <w:rsid w:val="00BC7FFD"/>
    <w:rsid w:val="00BD32B2"/>
    <w:rsid w:val="00BD3D06"/>
    <w:rsid w:val="00BE59E5"/>
    <w:rsid w:val="00BE5D8C"/>
    <w:rsid w:val="00BF6622"/>
    <w:rsid w:val="00C00C35"/>
    <w:rsid w:val="00C04ADE"/>
    <w:rsid w:val="00C2378B"/>
    <w:rsid w:val="00C309D7"/>
    <w:rsid w:val="00C36447"/>
    <w:rsid w:val="00C413F7"/>
    <w:rsid w:val="00C52531"/>
    <w:rsid w:val="00C57EAA"/>
    <w:rsid w:val="00C6135B"/>
    <w:rsid w:val="00C63D6E"/>
    <w:rsid w:val="00C6572A"/>
    <w:rsid w:val="00C65947"/>
    <w:rsid w:val="00C66C40"/>
    <w:rsid w:val="00C72380"/>
    <w:rsid w:val="00C821C8"/>
    <w:rsid w:val="00C91D46"/>
    <w:rsid w:val="00C97D09"/>
    <w:rsid w:val="00CA55FC"/>
    <w:rsid w:val="00CA6BEE"/>
    <w:rsid w:val="00CA70E1"/>
    <w:rsid w:val="00CB5661"/>
    <w:rsid w:val="00CB5A8F"/>
    <w:rsid w:val="00CC26E1"/>
    <w:rsid w:val="00CC7016"/>
    <w:rsid w:val="00CD1A6F"/>
    <w:rsid w:val="00CE25DC"/>
    <w:rsid w:val="00CE38E5"/>
    <w:rsid w:val="00CE6C44"/>
    <w:rsid w:val="00CF42A9"/>
    <w:rsid w:val="00CF4D41"/>
    <w:rsid w:val="00D10520"/>
    <w:rsid w:val="00D105E0"/>
    <w:rsid w:val="00D20DAA"/>
    <w:rsid w:val="00D27D4B"/>
    <w:rsid w:val="00D319B1"/>
    <w:rsid w:val="00D3351D"/>
    <w:rsid w:val="00D355BD"/>
    <w:rsid w:val="00D476CD"/>
    <w:rsid w:val="00D5600D"/>
    <w:rsid w:val="00D619E5"/>
    <w:rsid w:val="00D66D43"/>
    <w:rsid w:val="00D75E6E"/>
    <w:rsid w:val="00D804C0"/>
    <w:rsid w:val="00D81D29"/>
    <w:rsid w:val="00D85BEC"/>
    <w:rsid w:val="00D85E1D"/>
    <w:rsid w:val="00D9460D"/>
    <w:rsid w:val="00D9717B"/>
    <w:rsid w:val="00DB1906"/>
    <w:rsid w:val="00DB5BA4"/>
    <w:rsid w:val="00DD5FC5"/>
    <w:rsid w:val="00E06C74"/>
    <w:rsid w:val="00E070A3"/>
    <w:rsid w:val="00E10A50"/>
    <w:rsid w:val="00E148B0"/>
    <w:rsid w:val="00E16306"/>
    <w:rsid w:val="00E22F09"/>
    <w:rsid w:val="00E267B5"/>
    <w:rsid w:val="00E3155F"/>
    <w:rsid w:val="00E326C7"/>
    <w:rsid w:val="00E4336B"/>
    <w:rsid w:val="00E708BC"/>
    <w:rsid w:val="00E73D4C"/>
    <w:rsid w:val="00E77901"/>
    <w:rsid w:val="00E81FF1"/>
    <w:rsid w:val="00E857F4"/>
    <w:rsid w:val="00E85A6D"/>
    <w:rsid w:val="00E8722F"/>
    <w:rsid w:val="00EA10D5"/>
    <w:rsid w:val="00EA729C"/>
    <w:rsid w:val="00EB049F"/>
    <w:rsid w:val="00EC02D9"/>
    <w:rsid w:val="00EC089C"/>
    <w:rsid w:val="00ED1B17"/>
    <w:rsid w:val="00ED7A73"/>
    <w:rsid w:val="00F00066"/>
    <w:rsid w:val="00F07495"/>
    <w:rsid w:val="00F16BA6"/>
    <w:rsid w:val="00F22308"/>
    <w:rsid w:val="00F324A9"/>
    <w:rsid w:val="00F36C49"/>
    <w:rsid w:val="00F44AC7"/>
    <w:rsid w:val="00F548F5"/>
    <w:rsid w:val="00F6150C"/>
    <w:rsid w:val="00F63E41"/>
    <w:rsid w:val="00F641DB"/>
    <w:rsid w:val="00F776A5"/>
    <w:rsid w:val="00F8250E"/>
    <w:rsid w:val="00F9039E"/>
    <w:rsid w:val="00FA3BDA"/>
    <w:rsid w:val="00FC3808"/>
    <w:rsid w:val="00FC7CE6"/>
    <w:rsid w:val="00FD3A6B"/>
    <w:rsid w:val="00FD6905"/>
    <w:rsid w:val="00FE1215"/>
    <w:rsid w:val="00FE5D02"/>
    <w:rsid w:val="00FF2812"/>
    <w:rsid w:val="00FF6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E677"/>
  <w15:chartTrackingRefBased/>
  <w15:docId w15:val="{9CC40C0C-14FA-4298-8904-F1DCCE4B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D09"/>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C97D09"/>
    <w:pPr>
      <w:keepNext/>
      <w:keepLines/>
      <w:spacing w:before="240" w:after="0"/>
      <w:outlineLvl w:val="0"/>
    </w:pPr>
    <w:rPr>
      <w:rFonts w:eastAsiaTheme="majorEastAsia" w:cs="Times New Roman"/>
      <w:b/>
      <w:bCs/>
      <w:szCs w:val="24"/>
    </w:rPr>
  </w:style>
  <w:style w:type="paragraph" w:styleId="Heading2">
    <w:name w:val="heading 2"/>
    <w:basedOn w:val="Normal"/>
    <w:next w:val="Normal"/>
    <w:link w:val="Heading2Char"/>
    <w:uiPriority w:val="9"/>
    <w:unhideWhenUsed/>
    <w:qFormat/>
    <w:rsid w:val="00C97D09"/>
    <w:pPr>
      <w:outlineLvl w:val="1"/>
    </w:pPr>
    <w:rPr>
      <w:b/>
      <w:bCs/>
      <w:i/>
      <w:iCs/>
    </w:rPr>
  </w:style>
  <w:style w:type="paragraph" w:styleId="Heading3">
    <w:name w:val="heading 3"/>
    <w:basedOn w:val="Normal"/>
    <w:next w:val="Normal"/>
    <w:link w:val="Heading3Char"/>
    <w:uiPriority w:val="9"/>
    <w:unhideWhenUsed/>
    <w:qFormat/>
    <w:rsid w:val="00C97D09"/>
    <w:pPr>
      <w:outlineLvl w:val="2"/>
    </w:pPr>
    <w:rPr>
      <w:u w:val="single"/>
    </w:rPr>
  </w:style>
  <w:style w:type="paragraph" w:styleId="Heading4">
    <w:name w:val="heading 4"/>
    <w:basedOn w:val="Normal"/>
    <w:next w:val="Normal"/>
    <w:link w:val="Heading4Char"/>
    <w:uiPriority w:val="9"/>
    <w:semiHidden/>
    <w:unhideWhenUsed/>
    <w:qFormat/>
    <w:rsid w:val="00C97D0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D09"/>
    <w:rPr>
      <w:rFonts w:ascii="Times New Roman" w:eastAsiaTheme="majorEastAsia" w:hAnsi="Times New Roman" w:cs="Times New Roman"/>
      <w:b/>
      <w:bCs/>
      <w:sz w:val="24"/>
      <w:szCs w:val="24"/>
    </w:rPr>
  </w:style>
  <w:style w:type="character" w:customStyle="1" w:styleId="Heading2Char">
    <w:name w:val="Heading 2 Char"/>
    <w:basedOn w:val="DefaultParagraphFont"/>
    <w:link w:val="Heading2"/>
    <w:uiPriority w:val="9"/>
    <w:rsid w:val="00C97D09"/>
    <w:rPr>
      <w:rFonts w:ascii="Times New Roman" w:hAnsi="Times New Roman"/>
      <w:b/>
      <w:bCs/>
      <w:i/>
      <w:iCs/>
      <w:sz w:val="24"/>
    </w:rPr>
  </w:style>
  <w:style w:type="character" w:customStyle="1" w:styleId="Heading3Char">
    <w:name w:val="Heading 3 Char"/>
    <w:basedOn w:val="DefaultParagraphFont"/>
    <w:link w:val="Heading3"/>
    <w:uiPriority w:val="9"/>
    <w:rsid w:val="00C97D09"/>
    <w:rPr>
      <w:rFonts w:ascii="Times New Roman" w:hAnsi="Times New Roman"/>
      <w:sz w:val="24"/>
      <w:u w:val="single"/>
    </w:rPr>
  </w:style>
  <w:style w:type="character" w:customStyle="1" w:styleId="Heading4Char">
    <w:name w:val="Heading 4 Char"/>
    <w:basedOn w:val="DefaultParagraphFont"/>
    <w:link w:val="Heading4"/>
    <w:uiPriority w:val="9"/>
    <w:semiHidden/>
    <w:rsid w:val="00C97D09"/>
    <w:rPr>
      <w:rFonts w:asciiTheme="majorHAnsi" w:eastAsiaTheme="majorEastAsia" w:hAnsiTheme="majorHAnsi" w:cstheme="majorBidi"/>
      <w:i/>
      <w:iCs/>
      <w:color w:val="2F5496" w:themeColor="accent1" w:themeShade="BF"/>
      <w:sz w:val="24"/>
    </w:rPr>
  </w:style>
  <w:style w:type="paragraph" w:customStyle="1" w:styleId="MarginNoteblue">
    <w:name w:val="Margin Note (blue)"/>
    <w:basedOn w:val="Normal"/>
    <w:link w:val="MarginNoteblueChar"/>
    <w:rsid w:val="00C97D09"/>
    <w:pPr>
      <w:framePr w:w="3456" w:wrap="around" w:vAnchor="text" w:hAnchor="page" w:xAlign="right" w:y="1"/>
      <w:suppressLineNumbers/>
      <w:shd w:val="clear" w:color="auto" w:fill="CCFFFF"/>
      <w:spacing w:after="0" w:line="240" w:lineRule="auto"/>
      <w:textAlignment w:val="center"/>
    </w:pPr>
    <w:rPr>
      <w:rFonts w:ascii="Calibri" w:eastAsia="Times New Roman" w:hAnsi="Calibri" w:cs="Times New Roman"/>
      <w:sz w:val="16"/>
      <w:szCs w:val="24"/>
    </w:rPr>
  </w:style>
  <w:style w:type="character" w:customStyle="1" w:styleId="MarginNoteblueChar">
    <w:name w:val="Margin Note (blue) Char"/>
    <w:basedOn w:val="DefaultParagraphFont"/>
    <w:link w:val="MarginNoteblue"/>
    <w:rsid w:val="00C97D09"/>
    <w:rPr>
      <w:rFonts w:ascii="Calibri" w:eastAsia="Times New Roman" w:hAnsi="Calibri" w:cs="Times New Roman"/>
      <w:sz w:val="16"/>
      <w:szCs w:val="24"/>
      <w:shd w:val="clear" w:color="auto" w:fill="CCFFFF"/>
    </w:rPr>
  </w:style>
  <w:style w:type="paragraph" w:customStyle="1" w:styleId="MarginNotegrey">
    <w:name w:val="Margin Note (grey)"/>
    <w:basedOn w:val="Normal"/>
    <w:link w:val="MarginNotegreyChar"/>
    <w:rsid w:val="00C97D09"/>
    <w:pPr>
      <w:framePr w:w="3456" w:wrap="around" w:vAnchor="text" w:hAnchor="page" w:xAlign="right" w:y="1"/>
      <w:suppressLineNumbers/>
      <w:shd w:val="clear" w:color="auto" w:fill="F2F2F2" w:themeFill="background1" w:themeFillShade="F2"/>
      <w:spacing w:after="0" w:line="240" w:lineRule="auto"/>
      <w:textAlignment w:val="center"/>
    </w:pPr>
    <w:rPr>
      <w:rFonts w:ascii="Calibri" w:eastAsia="Times New Roman" w:hAnsi="Calibri" w:cs="Times New Roman"/>
      <w:sz w:val="16"/>
    </w:rPr>
  </w:style>
  <w:style w:type="character" w:customStyle="1" w:styleId="MarginNotegreyChar">
    <w:name w:val="Margin Note (grey) Char"/>
    <w:basedOn w:val="DefaultParagraphFont"/>
    <w:link w:val="MarginNotegrey"/>
    <w:rsid w:val="00C97D09"/>
    <w:rPr>
      <w:rFonts w:ascii="Calibri" w:eastAsia="Times New Roman" w:hAnsi="Calibri" w:cs="Times New Roman"/>
      <w:sz w:val="16"/>
      <w:shd w:val="clear" w:color="auto" w:fill="F2F2F2" w:themeFill="background1" w:themeFillShade="F2"/>
    </w:rPr>
  </w:style>
  <w:style w:type="paragraph" w:customStyle="1" w:styleId="MarginNotepurple">
    <w:name w:val="Margin Note (purple)"/>
    <w:basedOn w:val="MarginNotegrey"/>
    <w:link w:val="MarginNotepurpleChar"/>
    <w:rsid w:val="00C97D09"/>
    <w:pPr>
      <w:framePr w:wrap="around"/>
      <w:shd w:val="clear" w:color="auto" w:fill="EDD9FF"/>
    </w:pPr>
    <w:rPr>
      <w:szCs w:val="24"/>
    </w:rPr>
  </w:style>
  <w:style w:type="character" w:customStyle="1" w:styleId="MarginNotepurpleChar">
    <w:name w:val="Margin Note (purple) Char"/>
    <w:basedOn w:val="MarginNotegreyChar"/>
    <w:link w:val="MarginNotepurple"/>
    <w:rsid w:val="00C97D09"/>
    <w:rPr>
      <w:rFonts w:ascii="Calibri" w:eastAsia="Times New Roman" w:hAnsi="Calibri" w:cs="Times New Roman"/>
      <w:sz w:val="16"/>
      <w:szCs w:val="24"/>
      <w:shd w:val="clear" w:color="auto" w:fill="EDD9FF"/>
    </w:rPr>
  </w:style>
  <w:style w:type="paragraph" w:customStyle="1" w:styleId="MarginNotered">
    <w:name w:val="Margin Note (red)"/>
    <w:basedOn w:val="MarginNotegrey"/>
    <w:link w:val="MarginNoteredChar"/>
    <w:rsid w:val="00C97D09"/>
    <w:pPr>
      <w:framePr w:wrap="around"/>
      <w:shd w:val="clear" w:color="auto" w:fill="FCD4D4"/>
    </w:pPr>
    <w:rPr>
      <w:szCs w:val="24"/>
    </w:rPr>
  </w:style>
  <w:style w:type="character" w:customStyle="1" w:styleId="MarginNoteredChar">
    <w:name w:val="Margin Note (red) Char"/>
    <w:basedOn w:val="MarginNotegreyChar"/>
    <w:link w:val="MarginNotered"/>
    <w:rsid w:val="00C97D09"/>
    <w:rPr>
      <w:rFonts w:ascii="Calibri" w:eastAsia="Times New Roman" w:hAnsi="Calibri" w:cs="Times New Roman"/>
      <w:sz w:val="16"/>
      <w:szCs w:val="24"/>
      <w:shd w:val="clear" w:color="auto" w:fill="FCD4D4"/>
    </w:rPr>
  </w:style>
  <w:style w:type="character" w:styleId="CommentReference">
    <w:name w:val="annotation reference"/>
    <w:basedOn w:val="DefaultParagraphFont"/>
    <w:uiPriority w:val="99"/>
    <w:unhideWhenUsed/>
    <w:rsid w:val="00C97D09"/>
    <w:rPr>
      <w:sz w:val="16"/>
      <w:szCs w:val="16"/>
    </w:rPr>
  </w:style>
  <w:style w:type="paragraph" w:styleId="CommentText">
    <w:name w:val="annotation text"/>
    <w:basedOn w:val="Normal"/>
    <w:link w:val="CommentTextChar"/>
    <w:uiPriority w:val="99"/>
    <w:unhideWhenUsed/>
    <w:rsid w:val="00C97D09"/>
    <w:pPr>
      <w:spacing w:line="240" w:lineRule="auto"/>
    </w:pPr>
    <w:rPr>
      <w:sz w:val="20"/>
      <w:szCs w:val="20"/>
    </w:rPr>
  </w:style>
  <w:style w:type="character" w:customStyle="1" w:styleId="CommentTextChar">
    <w:name w:val="Comment Text Char"/>
    <w:basedOn w:val="DefaultParagraphFont"/>
    <w:link w:val="CommentText"/>
    <w:uiPriority w:val="99"/>
    <w:rsid w:val="00C97D0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97D09"/>
    <w:rPr>
      <w:b/>
      <w:bCs/>
    </w:rPr>
  </w:style>
  <w:style w:type="character" w:customStyle="1" w:styleId="CommentSubjectChar">
    <w:name w:val="Comment Subject Char"/>
    <w:basedOn w:val="CommentTextChar"/>
    <w:link w:val="CommentSubject"/>
    <w:uiPriority w:val="99"/>
    <w:semiHidden/>
    <w:rsid w:val="00C97D09"/>
    <w:rPr>
      <w:rFonts w:ascii="Times New Roman" w:hAnsi="Times New Roman"/>
      <w:b/>
      <w:bCs/>
      <w:sz w:val="20"/>
      <w:szCs w:val="20"/>
    </w:rPr>
  </w:style>
  <w:style w:type="paragraph" w:styleId="Title">
    <w:name w:val="Title"/>
    <w:basedOn w:val="Normal"/>
    <w:next w:val="Normal"/>
    <w:link w:val="TitleChar"/>
    <w:uiPriority w:val="10"/>
    <w:qFormat/>
    <w:rsid w:val="00C97D09"/>
    <w:pPr>
      <w:spacing w:after="200" w:line="240" w:lineRule="auto"/>
      <w:jc w:val="center"/>
    </w:pPr>
    <w:rPr>
      <w:rFonts w:cs="Times New Roman"/>
      <w:b/>
      <w:szCs w:val="24"/>
    </w:rPr>
  </w:style>
  <w:style w:type="character" w:customStyle="1" w:styleId="TitleChar">
    <w:name w:val="Title Char"/>
    <w:basedOn w:val="DefaultParagraphFont"/>
    <w:link w:val="Title"/>
    <w:uiPriority w:val="10"/>
    <w:rsid w:val="00C97D09"/>
    <w:rPr>
      <w:rFonts w:ascii="Times New Roman" w:hAnsi="Times New Roman" w:cs="Times New Roman"/>
      <w:b/>
      <w:sz w:val="24"/>
      <w:szCs w:val="24"/>
    </w:rPr>
  </w:style>
  <w:style w:type="paragraph" w:customStyle="1" w:styleId="f-body">
    <w:name w:val="f-body"/>
    <w:basedOn w:val="Normal"/>
    <w:rsid w:val="00C97D09"/>
    <w:pPr>
      <w:spacing w:before="100" w:beforeAutospacing="1" w:after="100" w:afterAutospacing="1" w:line="240" w:lineRule="auto"/>
    </w:pPr>
    <w:rPr>
      <w:rFonts w:eastAsia="Times New Roman" w:cs="Times New Roman"/>
      <w:szCs w:val="24"/>
    </w:rPr>
  </w:style>
  <w:style w:type="character" w:styleId="Hyperlink">
    <w:name w:val="Hyperlink"/>
    <w:basedOn w:val="DefaultParagraphFont"/>
    <w:uiPriority w:val="99"/>
    <w:unhideWhenUsed/>
    <w:rsid w:val="00C97D09"/>
    <w:rPr>
      <w:color w:val="0563C1" w:themeColor="hyperlink"/>
      <w:u w:val="single"/>
    </w:rPr>
  </w:style>
  <w:style w:type="character" w:styleId="UnresolvedMention">
    <w:name w:val="Unresolved Mention"/>
    <w:basedOn w:val="DefaultParagraphFont"/>
    <w:uiPriority w:val="99"/>
    <w:semiHidden/>
    <w:unhideWhenUsed/>
    <w:rsid w:val="00C97D09"/>
    <w:rPr>
      <w:color w:val="605E5C"/>
      <w:shd w:val="clear" w:color="auto" w:fill="E1DFDD"/>
    </w:rPr>
  </w:style>
  <w:style w:type="paragraph" w:customStyle="1" w:styleId="EndNoteBibliographyTitle">
    <w:name w:val="EndNote Bibliography Title"/>
    <w:basedOn w:val="Normal"/>
    <w:link w:val="EndNoteBibliographyTitleChar"/>
    <w:rsid w:val="00C97D09"/>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C97D09"/>
    <w:rPr>
      <w:rFonts w:ascii="Times New Roman" w:hAnsi="Times New Roman" w:cs="Times New Roman"/>
      <w:noProof/>
      <w:sz w:val="24"/>
    </w:rPr>
  </w:style>
  <w:style w:type="paragraph" w:customStyle="1" w:styleId="EndNoteBibliography">
    <w:name w:val="EndNote Bibliography"/>
    <w:basedOn w:val="Normal"/>
    <w:link w:val="EndNoteBibliographyChar"/>
    <w:rsid w:val="00C97D09"/>
    <w:rPr>
      <w:rFonts w:cs="Times New Roman"/>
      <w:noProof/>
    </w:rPr>
  </w:style>
  <w:style w:type="character" w:customStyle="1" w:styleId="EndNoteBibliographyChar">
    <w:name w:val="EndNote Bibliography Char"/>
    <w:basedOn w:val="DefaultParagraphFont"/>
    <w:link w:val="EndNoteBibliography"/>
    <w:rsid w:val="00C97D09"/>
    <w:rPr>
      <w:rFonts w:ascii="Times New Roman" w:hAnsi="Times New Roman" w:cs="Times New Roman"/>
      <w:noProof/>
      <w:sz w:val="24"/>
    </w:rPr>
  </w:style>
  <w:style w:type="paragraph" w:styleId="ListParagraph">
    <w:name w:val="List Paragraph"/>
    <w:basedOn w:val="Normal"/>
    <w:uiPriority w:val="34"/>
    <w:qFormat/>
    <w:rsid w:val="00C97D09"/>
    <w:pPr>
      <w:ind w:left="720"/>
      <w:contextualSpacing/>
    </w:pPr>
  </w:style>
  <w:style w:type="table" w:styleId="TableGrid">
    <w:name w:val="Table Grid"/>
    <w:basedOn w:val="TableNormal"/>
    <w:uiPriority w:val="59"/>
    <w:rsid w:val="00C97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97D09"/>
    <w:pPr>
      <w:spacing w:after="0" w:line="240" w:lineRule="auto"/>
    </w:pPr>
    <w:rPr>
      <w:rFonts w:ascii="Times New Roman" w:hAnsi="Times New Roman"/>
      <w:sz w:val="24"/>
    </w:rPr>
  </w:style>
  <w:style w:type="paragraph" w:customStyle="1" w:styleId="BodyText11">
    <w:name w:val="Body Text 11"/>
    <w:link w:val="BodyText11Char"/>
    <w:qFormat/>
    <w:rsid w:val="00C97D09"/>
    <w:pPr>
      <w:spacing w:after="180" w:line="240" w:lineRule="auto"/>
      <w:jc w:val="both"/>
    </w:pPr>
    <w:rPr>
      <w:rFonts w:ascii="Times New Roman" w:eastAsia="Times New Roman" w:hAnsi="Times New Roman" w:cs="Times New Roman"/>
      <w:szCs w:val="20"/>
    </w:rPr>
  </w:style>
  <w:style w:type="character" w:customStyle="1" w:styleId="BodyText11Char">
    <w:name w:val="Body Text 11 Char"/>
    <w:link w:val="BodyText11"/>
    <w:rsid w:val="00C97D09"/>
    <w:rPr>
      <w:rFonts w:ascii="Times New Roman" w:eastAsia="Times New Roman" w:hAnsi="Times New Roman" w:cs="Times New Roman"/>
      <w:szCs w:val="20"/>
    </w:rPr>
  </w:style>
  <w:style w:type="character" w:styleId="FollowedHyperlink">
    <w:name w:val="FollowedHyperlink"/>
    <w:basedOn w:val="DefaultParagraphFont"/>
    <w:uiPriority w:val="99"/>
    <w:semiHidden/>
    <w:unhideWhenUsed/>
    <w:rsid w:val="00C97D09"/>
    <w:rPr>
      <w:color w:val="954F72" w:themeColor="followedHyperlink"/>
      <w:u w:val="single"/>
    </w:rPr>
  </w:style>
  <w:style w:type="paragraph" w:customStyle="1" w:styleId="GuideText">
    <w:name w:val="GuideText"/>
    <w:semiHidden/>
    <w:rsid w:val="00C97D09"/>
    <w:pPr>
      <w:keepLines/>
      <w:spacing w:after="100" w:line="240" w:lineRule="auto"/>
    </w:pPr>
    <w:rPr>
      <w:rFonts w:ascii="Times New Roman" w:eastAsia="Times New Roman" w:hAnsi="Times New Roman" w:cs="Times New Roman"/>
      <w:szCs w:val="20"/>
    </w:rPr>
  </w:style>
  <w:style w:type="paragraph" w:styleId="Header">
    <w:name w:val="header"/>
    <w:basedOn w:val="Normal"/>
    <w:link w:val="HeaderChar"/>
    <w:uiPriority w:val="99"/>
    <w:unhideWhenUsed/>
    <w:rsid w:val="00C97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7D09"/>
    <w:rPr>
      <w:rFonts w:ascii="Times New Roman" w:hAnsi="Times New Roman"/>
      <w:sz w:val="24"/>
    </w:rPr>
  </w:style>
  <w:style w:type="paragraph" w:styleId="Footer">
    <w:name w:val="footer"/>
    <w:basedOn w:val="Normal"/>
    <w:link w:val="FooterChar"/>
    <w:uiPriority w:val="99"/>
    <w:unhideWhenUsed/>
    <w:rsid w:val="00C97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D09"/>
    <w:rPr>
      <w:rFonts w:ascii="Times New Roman" w:hAnsi="Times New Roman"/>
      <w:sz w:val="24"/>
    </w:rPr>
  </w:style>
  <w:style w:type="paragraph" w:styleId="NormalWeb">
    <w:name w:val="Normal (Web)"/>
    <w:basedOn w:val="Normal"/>
    <w:uiPriority w:val="99"/>
    <w:unhideWhenUsed/>
    <w:rsid w:val="00C97D09"/>
    <w:pPr>
      <w:spacing w:before="100" w:beforeAutospacing="1" w:after="100" w:afterAutospacing="1" w:line="240" w:lineRule="auto"/>
    </w:pPr>
    <w:rPr>
      <w:rFonts w:eastAsia="Times New Roman" w:cs="Times New Roman"/>
      <w:szCs w:val="24"/>
      <w:lang w:val="en-GB" w:eastAsia="en-GB"/>
    </w:rPr>
  </w:style>
  <w:style w:type="table" w:customStyle="1" w:styleId="TableGrid1">
    <w:name w:val="Table Grid1"/>
    <w:basedOn w:val="TableNormal"/>
    <w:next w:val="TableGrid"/>
    <w:uiPriority w:val="39"/>
    <w:rsid w:val="00C97D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11">
    <w:name w:val="Basic 11"/>
    <w:qFormat/>
    <w:rsid w:val="00C97D09"/>
    <w:pPr>
      <w:spacing w:after="0" w:line="240" w:lineRule="auto"/>
    </w:pPr>
    <w:rPr>
      <w:rFonts w:ascii="Times New Roman" w:eastAsia="Times New Roman" w:hAnsi="Times New Roman" w:cs="Times New Roman"/>
      <w:szCs w:val="20"/>
    </w:rPr>
  </w:style>
  <w:style w:type="paragraph" w:customStyle="1" w:styleId="Bullet11-1">
    <w:name w:val="Bullet 11-1"/>
    <w:qFormat/>
    <w:rsid w:val="00C97D09"/>
    <w:pPr>
      <w:numPr>
        <w:numId w:val="13"/>
      </w:numPr>
      <w:spacing w:after="120" w:line="240" w:lineRule="auto"/>
      <w:jc w:val="both"/>
    </w:pPr>
    <w:rPr>
      <w:rFonts w:ascii="Times New Roman" w:eastAsia="Times New Roman" w:hAnsi="Times New Roman" w:cs="Times New Roman"/>
      <w:szCs w:val="20"/>
    </w:rPr>
  </w:style>
  <w:style w:type="paragraph" w:customStyle="1" w:styleId="Bullet11-2">
    <w:name w:val="Bullet 11-2"/>
    <w:qFormat/>
    <w:rsid w:val="00C97D09"/>
    <w:pPr>
      <w:numPr>
        <w:numId w:val="14"/>
      </w:numPr>
      <w:spacing w:after="120" w:line="240" w:lineRule="auto"/>
      <w:jc w:val="both"/>
    </w:pPr>
    <w:rPr>
      <w:rFonts w:ascii="Times New Roman" w:eastAsia="Times New Roman" w:hAnsi="Times New Roman" w:cs="Times New Roman"/>
      <w:szCs w:val="20"/>
    </w:rPr>
  </w:style>
  <w:style w:type="paragraph" w:customStyle="1" w:styleId="Bullet12-1">
    <w:name w:val="Bullet 12-1"/>
    <w:qFormat/>
    <w:rsid w:val="00C97D09"/>
    <w:pPr>
      <w:numPr>
        <w:numId w:val="15"/>
      </w:numPr>
      <w:spacing w:after="120" w:line="240" w:lineRule="auto"/>
      <w:jc w:val="both"/>
    </w:pPr>
    <w:rPr>
      <w:rFonts w:ascii="Times New Roman" w:eastAsia="Times New Roman" w:hAnsi="Times New Roman" w:cs="Times New Roman"/>
      <w:sz w:val="24"/>
      <w:szCs w:val="20"/>
    </w:rPr>
  </w:style>
  <w:style w:type="paragraph" w:customStyle="1" w:styleId="TableFootnote">
    <w:name w:val="Table Footnote"/>
    <w:qFormat/>
    <w:rsid w:val="00C97D09"/>
    <w:pPr>
      <w:tabs>
        <w:tab w:val="left" w:pos="288"/>
      </w:tabs>
      <w:spacing w:after="0" w:line="240" w:lineRule="auto"/>
      <w:ind w:left="288" w:hanging="288"/>
    </w:pPr>
    <w:rPr>
      <w:rFonts w:ascii="Times New Roman" w:eastAsia="Times New Roman" w:hAnsi="Times New Roman" w:cs="Times New Roman"/>
      <w:sz w:val="20"/>
      <w:szCs w:val="20"/>
    </w:rPr>
  </w:style>
  <w:style w:type="paragraph" w:customStyle="1" w:styleId="Default">
    <w:name w:val="Default"/>
    <w:rsid w:val="00C97D09"/>
    <w:pPr>
      <w:autoSpaceDE w:val="0"/>
      <w:autoSpaceDN w:val="0"/>
      <w:adjustRightInd w:val="0"/>
      <w:spacing w:after="0" w:line="240" w:lineRule="auto"/>
    </w:pPr>
    <w:rPr>
      <w:rFonts w:ascii="Times New Roman" w:hAnsi="Times New Roman" w:cs="Times New Roman"/>
      <w:color w:val="000000"/>
      <w:sz w:val="24"/>
      <w:szCs w:val="24"/>
    </w:rPr>
  </w:style>
  <w:style w:type="character" w:styleId="LineNumber">
    <w:name w:val="line number"/>
    <w:basedOn w:val="DefaultParagraphFont"/>
    <w:uiPriority w:val="99"/>
    <w:semiHidden/>
    <w:unhideWhenUsed/>
    <w:rsid w:val="00C97D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Struyf@ITS.JNJ.com"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oda.yale.edu"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s://www.janssen.com/clinical-trials/transparency"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9027</Words>
  <Characters>51457</Characters>
  <Application>Microsoft Office Word</Application>
  <DocSecurity>4</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Kolesar (PhD, CMPP)</dc:creator>
  <cp:keywords/>
  <dc:description/>
  <cp:lastModifiedBy>Helen Carter</cp:lastModifiedBy>
  <cp:revision>2</cp:revision>
  <dcterms:created xsi:type="dcterms:W3CDTF">2022-10-10T09:29:00Z</dcterms:created>
  <dcterms:modified xsi:type="dcterms:W3CDTF">2022-10-10T09:29:00Z</dcterms:modified>
</cp:coreProperties>
</file>