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65" w:rsidRDefault="009E7665" w:rsidP="009E7665">
      <w:r>
        <w:t>Tables and figures</w:t>
      </w:r>
    </w:p>
    <w:p w:rsidR="009E7665" w:rsidRDefault="009E7665" w:rsidP="009E7665"/>
    <w:p w:rsidR="009E7665" w:rsidRPr="00B83D81" w:rsidRDefault="009E7665" w:rsidP="009E7665">
      <w:pPr>
        <w:keepNext/>
        <w:keepLines/>
      </w:pPr>
      <w:r w:rsidRPr="008A754D">
        <w:t>Table 1: Confirmatory factor analysis – final model</w:t>
      </w:r>
      <w:r w:rsidRPr="00B83D81">
        <w:t xml:space="preserve"> loadings and ancillary statistics</w:t>
      </w:r>
    </w:p>
    <w:p w:rsidR="009E7665" w:rsidRDefault="009E7665" w:rsidP="009E7665">
      <w:r w:rsidRPr="00B83D81">
        <w:object w:dxaOrig="15350" w:dyaOrig="22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641.25pt" o:ole="">
            <v:imagedata r:id="rId5" o:title=""/>
          </v:shape>
          <o:OLEObject Type="Embed" ProgID="Excel.Sheet.8" ShapeID="_x0000_i1025" DrawAspect="Content" ObjectID="_1357043973" r:id="rId6"/>
        </w:object>
      </w:r>
    </w:p>
    <w:p w:rsidR="009E7665" w:rsidRPr="00EC534E" w:rsidRDefault="009E7665" w:rsidP="009E7665">
      <w:pPr>
        <w:spacing w:line="360" w:lineRule="auto"/>
        <w:rPr>
          <w:b/>
        </w:rPr>
      </w:pPr>
      <w:r w:rsidRPr="003875D6">
        <w:rPr>
          <w:b/>
        </w:rPr>
        <w:lastRenderedPageBreak/>
        <w:t xml:space="preserve">Table 3 Parameter estimates for practice nurse staffing in </w:t>
      </w:r>
      <w:r>
        <w:rPr>
          <w:b/>
        </w:rPr>
        <w:t xml:space="preserve">the </w:t>
      </w:r>
      <w:r w:rsidRPr="003875D6">
        <w:rPr>
          <w:b/>
        </w:rPr>
        <w:t>model without organisational factors</w:t>
      </w:r>
    </w:p>
    <w:p w:rsidR="009E7665" w:rsidRPr="00287FBC" w:rsidRDefault="009E7665" w:rsidP="009E7665">
      <w:pPr>
        <w:spacing w:line="360" w:lineRule="auto"/>
      </w:pPr>
      <w:r>
        <w:object w:dxaOrig="16548" w:dyaOrig="3255">
          <v:shape id="_x0000_i1026" type="#_x0000_t75" style="width:441pt;height:162.75pt" o:ole="">
            <v:imagedata r:id="rId7" o:title=""/>
          </v:shape>
          <o:OLEObject Type="Embed" ProgID="Excel.Sheet.8" ShapeID="_x0000_i1026" DrawAspect="Content" ObjectID="_1357043974" r:id="rId8"/>
        </w:object>
      </w:r>
    </w:p>
    <w:p w:rsidR="009E7665" w:rsidRDefault="009E7665" w:rsidP="009E7665"/>
    <w:p w:rsidR="009E7665" w:rsidRPr="00B83D81" w:rsidRDefault="009E7665" w:rsidP="009E7665"/>
    <w:p w:rsidR="009E7665" w:rsidRDefault="009E7665" w:rsidP="009E7665">
      <w:r>
        <w:br w:type="page"/>
      </w:r>
    </w:p>
    <w:p w:rsidR="009E7665" w:rsidRPr="00B83D81" w:rsidRDefault="009E7665" w:rsidP="009E7665">
      <w:pPr>
        <w:spacing w:line="360" w:lineRule="auto"/>
        <w:rPr>
          <w:color w:val="1F497D"/>
        </w:rPr>
      </w:pPr>
    </w:p>
    <w:p w:rsidR="009E7665" w:rsidRPr="00B83D81" w:rsidRDefault="009E7665" w:rsidP="009E7665">
      <w:pPr>
        <w:spacing w:line="360" w:lineRule="auto"/>
        <w:rPr>
          <w:color w:val="1F497D"/>
        </w:rPr>
      </w:pPr>
      <w:r w:rsidRPr="008A754D">
        <w:rPr>
          <w:color w:val="1F497D"/>
        </w:rPr>
        <w:t>Figure 1</w:t>
      </w:r>
    </w:p>
    <w:p w:rsidR="009E7665" w:rsidRPr="00B83D81" w:rsidRDefault="009E7665" w:rsidP="009E7665">
      <w:pPr>
        <w:spacing w:line="360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61B6BA72" wp14:editId="3A1B9E1A">
            <wp:extent cx="4797799" cy="3383617"/>
            <wp:effectExtent l="19050" t="0" r="21851" b="7283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7665" w:rsidRPr="00B83D81" w:rsidRDefault="009E7665" w:rsidP="009E7665">
      <w:pPr>
        <w:spacing w:line="360" w:lineRule="auto"/>
        <w:rPr>
          <w:color w:val="1F497D"/>
        </w:rPr>
      </w:pPr>
    </w:p>
    <w:p w:rsidR="009E7665" w:rsidRPr="00B83D81" w:rsidRDefault="009E7665" w:rsidP="009E7665">
      <w:pPr>
        <w:spacing w:line="360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508D1A7E" wp14:editId="503E45D0">
            <wp:extent cx="4572000" cy="284797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7665" w:rsidRPr="00B83D81" w:rsidRDefault="009E7665" w:rsidP="009E7665">
      <w:pPr>
        <w:spacing w:line="360" w:lineRule="auto"/>
        <w:rPr>
          <w:b/>
        </w:rPr>
      </w:pPr>
    </w:p>
    <w:p w:rsidR="009E7665" w:rsidRDefault="009E7665" w:rsidP="009E7665">
      <w:r>
        <w:br w:type="page"/>
      </w:r>
    </w:p>
    <w:p w:rsidR="009E7665" w:rsidRPr="00B83D81" w:rsidRDefault="009E7665" w:rsidP="009E7665">
      <w:pPr>
        <w:rPr>
          <w:b/>
        </w:rPr>
      </w:pPr>
      <w:r w:rsidRPr="008A754D">
        <w:rPr>
          <w:b/>
        </w:rPr>
        <w:lastRenderedPageBreak/>
        <w:t xml:space="preserve">Table </w:t>
      </w:r>
      <w:r>
        <w:rPr>
          <w:b/>
        </w:rPr>
        <w:t>2</w:t>
      </w:r>
      <w:r w:rsidRPr="008A754D">
        <w:rPr>
          <w:b/>
        </w:rPr>
        <w:t xml:space="preserve"> Full model</w:t>
      </w:r>
    </w:p>
    <w:p w:rsidR="009E7665" w:rsidRPr="00B83D81" w:rsidRDefault="009E7665" w:rsidP="009E7665">
      <w:pPr>
        <w:rPr>
          <w:b/>
        </w:rPr>
      </w:pPr>
    </w:p>
    <w:p w:rsidR="007E162E" w:rsidRDefault="009E7665" w:rsidP="009E7665">
      <w:r w:rsidRPr="00B83D81">
        <w:object w:dxaOrig="13140" w:dyaOrig="12705">
          <v:shape id="_x0000_i1027" type="#_x0000_t75" style="width:434.25pt;height:400.5pt" o:ole="">
            <v:imagedata r:id="rId11" o:title=""/>
          </v:shape>
          <o:OLEObject Type="Embed" ProgID="Excel.Sheet.8" ShapeID="_x0000_i1027" DrawAspect="Content" ObjectID="_1357043975" r:id="rId12"/>
        </w:object>
      </w:r>
      <w:bookmarkStart w:id="0" w:name="_GoBack"/>
      <w:bookmarkEnd w:id="0"/>
    </w:p>
    <w:sectPr w:rsidR="007E1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65"/>
    <w:rsid w:val="007E162E"/>
    <w:rsid w:val="009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665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66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2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Microsoft_Excel_97-2003_Worksheet3.xls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11" Type="http://schemas.openxmlformats.org/officeDocument/2006/relationships/image" Target="media/image3.emf"/><Relationship Id="rId5" Type="http://schemas.openxmlformats.org/officeDocument/2006/relationships/image" Target="media/image1.emf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rtoodetoo\Desktop\Recent%20documents\IJHRM%20Organisational%20factors\Factor%20score%20practice%20nurse%20descriptives%20Peter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Artoodetoo\Desktop\Recent%20documents\IJHRM%20Organisational%20factors\Factor%20score%20practice%20nurse%20descriptives%20Peter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Diabetes</a:t>
            </a:r>
          </a:p>
        </c:rich>
      </c:tx>
      <c:layout>
        <c:manualLayout>
          <c:xMode val="edge"/>
          <c:yMode val="edge"/>
          <c:x val="0.28431203558131551"/>
          <c:y val="6.0054078224574467E-2"/>
        </c:manualLayout>
      </c:layout>
      <c:overlay val="1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Graphs!$A$81</c:f>
              <c:strCache>
                <c:ptCount val="1"/>
                <c:pt idx="0">
                  <c:v>&lt;3038.01</c:v>
                </c:pt>
              </c:strCache>
            </c:strRef>
          </c:tx>
          <c:marker>
            <c:symbol val="none"/>
          </c:marker>
          <c:cat>
            <c:strRef>
              <c:f>Graphs!$B$80:$F$80</c:f>
              <c:strCache>
                <c:ptCount val="5"/>
                <c:pt idx="0">
                  <c:v>&lt;= .061</c:v>
                </c:pt>
                <c:pt idx="1">
                  <c:v>.062 - .315</c:v>
                </c:pt>
                <c:pt idx="2">
                  <c:v>.316 - .494</c:v>
                </c:pt>
                <c:pt idx="3">
                  <c:v>.495 - .668</c:v>
                </c:pt>
                <c:pt idx="4">
                  <c:v>.669+</c:v>
                </c:pt>
              </c:strCache>
            </c:strRef>
          </c:cat>
          <c:val>
            <c:numRef>
              <c:f>Graphs!$B$81:$F$81</c:f>
              <c:numCache>
                <c:formatCode>####.00</c:formatCode>
                <c:ptCount val="5"/>
                <c:pt idx="0">
                  <c:v>79.537049259259334</c:v>
                </c:pt>
                <c:pt idx="1">
                  <c:v>85.622940081632578</c:v>
                </c:pt>
                <c:pt idx="2">
                  <c:v>88.145076184738627</c:v>
                </c:pt>
                <c:pt idx="3">
                  <c:v>90.171954115384196</c:v>
                </c:pt>
                <c:pt idx="4">
                  <c:v>92.549299206349588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Graphs!$A$82</c:f>
              <c:strCache>
                <c:ptCount val="1"/>
                <c:pt idx="0">
                  <c:v>3038.02 - 3901.48</c:v>
                </c:pt>
              </c:strCache>
            </c:strRef>
          </c:tx>
          <c:marker>
            <c:symbol val="none"/>
          </c:marker>
          <c:cat>
            <c:strRef>
              <c:f>Graphs!$B$80:$F$80</c:f>
              <c:strCache>
                <c:ptCount val="5"/>
                <c:pt idx="0">
                  <c:v>&lt;= .061</c:v>
                </c:pt>
                <c:pt idx="1">
                  <c:v>.062 - .315</c:v>
                </c:pt>
                <c:pt idx="2">
                  <c:v>.316 - .494</c:v>
                </c:pt>
                <c:pt idx="3">
                  <c:v>.495 - .668</c:v>
                </c:pt>
                <c:pt idx="4">
                  <c:v>.669+</c:v>
                </c:pt>
              </c:strCache>
            </c:strRef>
          </c:cat>
          <c:val>
            <c:numRef>
              <c:f>Graphs!$B$82:$F$82</c:f>
              <c:numCache>
                <c:formatCode>####.00</c:formatCode>
                <c:ptCount val="5"/>
                <c:pt idx="0">
                  <c:v>79.027370158102414</c:v>
                </c:pt>
                <c:pt idx="1">
                  <c:v>85.8837361565826</c:v>
                </c:pt>
                <c:pt idx="2">
                  <c:v>87.925449621993167</c:v>
                </c:pt>
                <c:pt idx="3">
                  <c:v>90.286204749999996</c:v>
                </c:pt>
                <c:pt idx="4">
                  <c:v>92.010553716216123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Graphs!$A$83</c:f>
              <c:strCache>
                <c:ptCount val="1"/>
                <c:pt idx="0">
                  <c:v>3901.49 - 4823.44</c:v>
                </c:pt>
              </c:strCache>
            </c:strRef>
          </c:tx>
          <c:marker>
            <c:symbol val="none"/>
          </c:marker>
          <c:cat>
            <c:strRef>
              <c:f>Graphs!$B$80:$F$80</c:f>
              <c:strCache>
                <c:ptCount val="5"/>
                <c:pt idx="0">
                  <c:v>&lt;= .061</c:v>
                </c:pt>
                <c:pt idx="1">
                  <c:v>.062 - .315</c:v>
                </c:pt>
                <c:pt idx="2">
                  <c:v>.316 - .494</c:v>
                </c:pt>
                <c:pt idx="3">
                  <c:v>.495 - .668</c:v>
                </c:pt>
                <c:pt idx="4">
                  <c:v>.669+</c:v>
                </c:pt>
              </c:strCache>
            </c:strRef>
          </c:cat>
          <c:val>
            <c:numRef>
              <c:f>Graphs!$B$83:$F$83</c:f>
              <c:numCache>
                <c:formatCode>####.00</c:formatCode>
                <c:ptCount val="5"/>
                <c:pt idx="0">
                  <c:v>78.594698860759479</c:v>
                </c:pt>
                <c:pt idx="1">
                  <c:v>85.081585899999979</c:v>
                </c:pt>
                <c:pt idx="2">
                  <c:v>88.002594999999943</c:v>
                </c:pt>
                <c:pt idx="3">
                  <c:v>90.503792633333248</c:v>
                </c:pt>
                <c:pt idx="4">
                  <c:v>92.132896892856451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Graphs!$A$84</c:f>
              <c:strCache>
                <c:ptCount val="1"/>
                <c:pt idx="0">
                  <c:v>4823.45 - 6210.68</c:v>
                </c:pt>
              </c:strCache>
            </c:strRef>
          </c:tx>
          <c:marker>
            <c:symbol val="none"/>
          </c:marker>
          <c:cat>
            <c:strRef>
              <c:f>Graphs!$B$80:$F$80</c:f>
              <c:strCache>
                <c:ptCount val="5"/>
                <c:pt idx="0">
                  <c:v>&lt;= .061</c:v>
                </c:pt>
                <c:pt idx="1">
                  <c:v>.062 - .315</c:v>
                </c:pt>
                <c:pt idx="2">
                  <c:v>.316 - .494</c:v>
                </c:pt>
                <c:pt idx="3">
                  <c:v>.495 - .668</c:v>
                </c:pt>
                <c:pt idx="4">
                  <c:v>.669+</c:v>
                </c:pt>
              </c:strCache>
            </c:strRef>
          </c:cat>
          <c:val>
            <c:numRef>
              <c:f>Graphs!$B$84:$F$84</c:f>
              <c:numCache>
                <c:formatCode>####.00</c:formatCode>
                <c:ptCount val="5"/>
                <c:pt idx="0">
                  <c:v>79.421599033613504</c:v>
                </c:pt>
                <c:pt idx="1">
                  <c:v>85.336811880596628</c:v>
                </c:pt>
                <c:pt idx="2">
                  <c:v>87.575516688311666</c:v>
                </c:pt>
                <c:pt idx="3">
                  <c:v>89.729138936170258</c:v>
                </c:pt>
                <c:pt idx="4">
                  <c:v>91.927041800000069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Graphs!$A$85</c:f>
              <c:strCache>
                <c:ptCount val="1"/>
                <c:pt idx="0">
                  <c:v>6210.69+</c:v>
                </c:pt>
              </c:strCache>
            </c:strRef>
          </c:tx>
          <c:marker>
            <c:symbol val="none"/>
          </c:marker>
          <c:cat>
            <c:strRef>
              <c:f>Graphs!$B$80:$F$80</c:f>
              <c:strCache>
                <c:ptCount val="5"/>
                <c:pt idx="0">
                  <c:v>&lt;= .061</c:v>
                </c:pt>
                <c:pt idx="1">
                  <c:v>.062 - .315</c:v>
                </c:pt>
                <c:pt idx="2">
                  <c:v>.316 - .494</c:v>
                </c:pt>
                <c:pt idx="3">
                  <c:v>.495 - .668</c:v>
                </c:pt>
                <c:pt idx="4">
                  <c:v>.669+</c:v>
                </c:pt>
              </c:strCache>
            </c:strRef>
          </c:cat>
          <c:val>
            <c:numRef>
              <c:f>Graphs!$B$85:$F$85</c:f>
              <c:numCache>
                <c:formatCode>####.00</c:formatCode>
                <c:ptCount val="5"/>
                <c:pt idx="0">
                  <c:v>78.986404851485148</c:v>
                </c:pt>
                <c:pt idx="1">
                  <c:v>85.402728681319047</c:v>
                </c:pt>
                <c:pt idx="2">
                  <c:v>87.392019525547497</c:v>
                </c:pt>
                <c:pt idx="3">
                  <c:v>89.429199999999966</c:v>
                </c:pt>
                <c:pt idx="4">
                  <c:v>92.028748393573622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Graphs!$A$86</c:f>
              <c:strCache>
                <c:ptCount val="1"/>
                <c:pt idx="0">
                  <c:v>No practice nurse</c:v>
                </c:pt>
              </c:strCache>
            </c:strRef>
          </c:tx>
          <c:marker>
            <c:symbol val="none"/>
          </c:marker>
          <c:cat>
            <c:strRef>
              <c:f>Graphs!$B$80:$F$80</c:f>
              <c:strCache>
                <c:ptCount val="5"/>
                <c:pt idx="0">
                  <c:v>&lt;= .061</c:v>
                </c:pt>
                <c:pt idx="1">
                  <c:v>.062 - .315</c:v>
                </c:pt>
                <c:pt idx="2">
                  <c:v>.316 - .494</c:v>
                </c:pt>
                <c:pt idx="3">
                  <c:v>.495 - .668</c:v>
                </c:pt>
                <c:pt idx="4">
                  <c:v>.669+</c:v>
                </c:pt>
              </c:strCache>
            </c:strRef>
          </c:cat>
          <c:val>
            <c:numRef>
              <c:f>Graphs!$B$86:$F$86</c:f>
              <c:numCache>
                <c:formatCode>####.00</c:formatCode>
                <c:ptCount val="5"/>
                <c:pt idx="0">
                  <c:v>74.825031869918618</c:v>
                </c:pt>
                <c:pt idx="1">
                  <c:v>84.419930232558059</c:v>
                </c:pt>
                <c:pt idx="2">
                  <c:v>85.48804354166667</c:v>
                </c:pt>
                <c:pt idx="3">
                  <c:v>88.224893636363674</c:v>
                </c:pt>
                <c:pt idx="4">
                  <c:v>92.180845365853358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415232"/>
        <c:axId val="212417152"/>
      </c:lineChart>
      <c:catAx>
        <c:axId val="2124152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Factor score quintiles (Clinical recording)</a:t>
                </a:r>
              </a:p>
            </c:rich>
          </c:tx>
          <c:overlay val="0"/>
        </c:title>
        <c:majorTickMark val="out"/>
        <c:minorTickMark val="none"/>
        <c:tickLblPos val="nextTo"/>
        <c:crossAx val="212417152"/>
        <c:crosses val="autoZero"/>
        <c:auto val="1"/>
        <c:lblAlgn val="ctr"/>
        <c:lblOffset val="100"/>
        <c:noMultiLvlLbl val="0"/>
      </c:catAx>
      <c:valAx>
        <c:axId val="212417152"/>
        <c:scaling>
          <c:orientation val="minMax"/>
          <c:max val="94"/>
          <c:min val="74"/>
        </c:scaling>
        <c:delete val="0"/>
        <c:axPos val="l"/>
        <c:majorGridlines>
          <c:spPr>
            <a:ln w="0">
              <a:solidFill>
                <a:schemeClr val="bg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Doran composite score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212415232"/>
        <c:crosses val="autoZero"/>
        <c:crossBetween val="between"/>
        <c:majorUnit val="2"/>
      </c:valAx>
    </c:plotArea>
    <c:legend>
      <c:legendPos val="r"/>
      <c:layout>
        <c:manualLayout>
          <c:xMode val="edge"/>
          <c:yMode val="edge"/>
          <c:x val="0.70493365812115094"/>
          <c:y val="0.21005598446869203"/>
          <c:w val="0.27388996496101847"/>
          <c:h val="0.407232260625242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 sz="1400"/>
              <a:t>Diabetes</a:t>
            </a:r>
          </a:p>
        </c:rich>
      </c:tx>
      <c:layout>
        <c:manualLayout>
          <c:xMode val="edge"/>
          <c:yMode val="edge"/>
          <c:x val="0.20965266841644797"/>
          <c:y val="5.555555555555545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4339129483814544"/>
          <c:y val="5.8428181427154377E-2"/>
          <c:w val="0.5219698162729659"/>
          <c:h val="0.65666271649154628"/>
        </c:manualLayout>
      </c:layout>
      <c:lineChart>
        <c:grouping val="standard"/>
        <c:varyColors val="0"/>
        <c:ser>
          <c:idx val="0"/>
          <c:order val="0"/>
          <c:tx>
            <c:strRef>
              <c:f>Graphs!$A$295</c:f>
              <c:strCache>
                <c:ptCount val="1"/>
                <c:pt idx="0">
                  <c:v>&lt;3038.01</c:v>
                </c:pt>
              </c:strCache>
            </c:strRef>
          </c:tx>
          <c:marker>
            <c:symbol val="none"/>
          </c:marker>
          <c:cat>
            <c:strRef>
              <c:f>Graphs!$B$294:$F$294</c:f>
              <c:strCache>
                <c:ptCount val="5"/>
                <c:pt idx="0">
                  <c:v>&lt;= .597</c:v>
                </c:pt>
                <c:pt idx="1">
                  <c:v>.598 - .762</c:v>
                </c:pt>
                <c:pt idx="2">
                  <c:v>.763 - .823</c:v>
                </c:pt>
                <c:pt idx="3">
                  <c:v>.824 - .881</c:v>
                </c:pt>
                <c:pt idx="4">
                  <c:v>.882+</c:v>
                </c:pt>
              </c:strCache>
            </c:strRef>
          </c:cat>
          <c:val>
            <c:numRef>
              <c:f>Graphs!$B$295:$F$295</c:f>
              <c:numCache>
                <c:formatCode>####.00</c:formatCode>
                <c:ptCount val="5"/>
                <c:pt idx="0">
                  <c:v>82.45625671874997</c:v>
                </c:pt>
                <c:pt idx="1">
                  <c:v>82.962622743682303</c:v>
                </c:pt>
                <c:pt idx="2">
                  <c:v>87.639813041666699</c:v>
                </c:pt>
                <c:pt idx="3">
                  <c:v>90.181874811715389</c:v>
                </c:pt>
                <c:pt idx="4">
                  <c:v>92.554617381703522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Graphs!$A$296</c:f>
              <c:strCache>
                <c:ptCount val="1"/>
                <c:pt idx="0">
                  <c:v>3038.02 - 3901.48</c:v>
                </c:pt>
              </c:strCache>
            </c:strRef>
          </c:tx>
          <c:marker>
            <c:symbol val="none"/>
          </c:marker>
          <c:cat>
            <c:strRef>
              <c:f>Graphs!$B$294:$F$294</c:f>
              <c:strCache>
                <c:ptCount val="5"/>
                <c:pt idx="0">
                  <c:v>&lt;= .597</c:v>
                </c:pt>
                <c:pt idx="1">
                  <c:v>.598 - .762</c:v>
                </c:pt>
                <c:pt idx="2">
                  <c:v>.763 - .823</c:v>
                </c:pt>
                <c:pt idx="3">
                  <c:v>.824 - .881</c:v>
                </c:pt>
                <c:pt idx="4">
                  <c:v>.882+</c:v>
                </c:pt>
              </c:strCache>
            </c:strRef>
          </c:cat>
          <c:val>
            <c:numRef>
              <c:f>Graphs!$B$296:$F$296</c:f>
              <c:numCache>
                <c:formatCode>####.00</c:formatCode>
                <c:ptCount val="5"/>
                <c:pt idx="0">
                  <c:v>81.77988420634918</c:v>
                </c:pt>
                <c:pt idx="1">
                  <c:v>83.354091666666719</c:v>
                </c:pt>
                <c:pt idx="2">
                  <c:v>87.657837947019758</c:v>
                </c:pt>
                <c:pt idx="3">
                  <c:v>90.232316049822074</c:v>
                </c:pt>
                <c:pt idx="4">
                  <c:v>92.009479105960253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Graphs!$A$297</c:f>
              <c:strCache>
                <c:ptCount val="1"/>
                <c:pt idx="0">
                  <c:v>3901.49 - 4823.44</c:v>
                </c:pt>
              </c:strCache>
            </c:strRef>
          </c:tx>
          <c:marker>
            <c:symbol val="none"/>
          </c:marker>
          <c:cat>
            <c:strRef>
              <c:f>Graphs!$B$294:$F$294</c:f>
              <c:strCache>
                <c:ptCount val="5"/>
                <c:pt idx="0">
                  <c:v>&lt;= .597</c:v>
                </c:pt>
                <c:pt idx="1">
                  <c:v>.598 - .762</c:v>
                </c:pt>
                <c:pt idx="2">
                  <c:v>.763 - .823</c:v>
                </c:pt>
                <c:pt idx="3">
                  <c:v>.824 - .881</c:v>
                </c:pt>
                <c:pt idx="4">
                  <c:v>.882+</c:v>
                </c:pt>
              </c:strCache>
            </c:strRef>
          </c:cat>
          <c:val>
            <c:numRef>
              <c:f>Graphs!$B$297:$F$297</c:f>
              <c:numCache>
                <c:formatCode>####.00</c:formatCode>
                <c:ptCount val="5"/>
                <c:pt idx="0">
                  <c:v>81.742791201550418</c:v>
                </c:pt>
                <c:pt idx="1">
                  <c:v>83.344885854545481</c:v>
                </c:pt>
                <c:pt idx="2">
                  <c:v>87.457998943661948</c:v>
                </c:pt>
                <c:pt idx="3">
                  <c:v>90.004984313725458</c:v>
                </c:pt>
                <c:pt idx="4">
                  <c:v>92.303647951388882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Graphs!$A$298</c:f>
              <c:strCache>
                <c:ptCount val="1"/>
                <c:pt idx="0">
                  <c:v>4823.45 - 6210.68</c:v>
                </c:pt>
              </c:strCache>
            </c:strRef>
          </c:tx>
          <c:marker>
            <c:symbol val="none"/>
          </c:marker>
          <c:cat>
            <c:strRef>
              <c:f>Graphs!$B$294:$F$294</c:f>
              <c:strCache>
                <c:ptCount val="5"/>
                <c:pt idx="0">
                  <c:v>&lt;= .597</c:v>
                </c:pt>
                <c:pt idx="1">
                  <c:v>.598 - .762</c:v>
                </c:pt>
                <c:pt idx="2">
                  <c:v>.763 - .823</c:v>
                </c:pt>
                <c:pt idx="3">
                  <c:v>.824 - .881</c:v>
                </c:pt>
                <c:pt idx="4">
                  <c:v>.882+</c:v>
                </c:pt>
              </c:strCache>
            </c:strRef>
          </c:cat>
          <c:val>
            <c:numRef>
              <c:f>Graphs!$B$298:$F$298</c:f>
              <c:numCache>
                <c:formatCode>####.00</c:formatCode>
                <c:ptCount val="5"/>
                <c:pt idx="0">
                  <c:v>81.936289437229433</c:v>
                </c:pt>
                <c:pt idx="1">
                  <c:v>83.759835508196659</c:v>
                </c:pt>
                <c:pt idx="2">
                  <c:v>86.909054853801209</c:v>
                </c:pt>
                <c:pt idx="3">
                  <c:v>89.82122398576567</c:v>
                </c:pt>
                <c:pt idx="4">
                  <c:v>91.779983976377977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Graphs!$A$299</c:f>
              <c:strCache>
                <c:ptCount val="1"/>
                <c:pt idx="0">
                  <c:v>6210.69+</c:v>
                </c:pt>
              </c:strCache>
            </c:strRef>
          </c:tx>
          <c:marker>
            <c:symbol val="none"/>
          </c:marker>
          <c:cat>
            <c:strRef>
              <c:f>Graphs!$B$294:$F$294</c:f>
              <c:strCache>
                <c:ptCount val="5"/>
                <c:pt idx="0">
                  <c:v>&lt;= .597</c:v>
                </c:pt>
                <c:pt idx="1">
                  <c:v>.598 - .762</c:v>
                </c:pt>
                <c:pt idx="2">
                  <c:v>.763 - .823</c:v>
                </c:pt>
                <c:pt idx="3">
                  <c:v>.824 - .881</c:v>
                </c:pt>
                <c:pt idx="4">
                  <c:v>.882+</c:v>
                </c:pt>
              </c:strCache>
            </c:strRef>
          </c:cat>
          <c:val>
            <c:numRef>
              <c:f>Graphs!$B$299:$F$299</c:f>
              <c:numCache>
                <c:formatCode>####.00</c:formatCode>
                <c:ptCount val="5"/>
                <c:pt idx="0">
                  <c:v>81.188018286852255</c:v>
                </c:pt>
                <c:pt idx="1">
                  <c:v>82.978229737704908</c:v>
                </c:pt>
                <c:pt idx="2">
                  <c:v>86.707897612456165</c:v>
                </c:pt>
                <c:pt idx="3">
                  <c:v>89.576674984227196</c:v>
                </c:pt>
                <c:pt idx="4">
                  <c:v>91.884285142857152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Graphs!$A$300</c:f>
              <c:strCache>
                <c:ptCount val="1"/>
                <c:pt idx="0">
                  <c:v>No practice nurse</c:v>
                </c:pt>
              </c:strCache>
            </c:strRef>
          </c:tx>
          <c:marker>
            <c:symbol val="none"/>
          </c:marker>
          <c:cat>
            <c:strRef>
              <c:f>Graphs!$B$294:$F$294</c:f>
              <c:strCache>
                <c:ptCount val="5"/>
                <c:pt idx="0">
                  <c:v>&lt;= .597</c:v>
                </c:pt>
                <c:pt idx="1">
                  <c:v>.598 - .762</c:v>
                </c:pt>
                <c:pt idx="2">
                  <c:v>.763 - .823</c:v>
                </c:pt>
                <c:pt idx="3">
                  <c:v>.824 - .881</c:v>
                </c:pt>
                <c:pt idx="4">
                  <c:v>.882+</c:v>
                </c:pt>
              </c:strCache>
            </c:strRef>
          </c:cat>
          <c:val>
            <c:numRef>
              <c:f>Graphs!$B$300:$F$300</c:f>
              <c:numCache>
                <c:formatCode>####.00</c:formatCode>
                <c:ptCount val="5"/>
                <c:pt idx="0">
                  <c:v>79.782300993788354</c:v>
                </c:pt>
                <c:pt idx="1">
                  <c:v>81.008086111110799</c:v>
                </c:pt>
                <c:pt idx="2">
                  <c:v>84.4828615151512</c:v>
                </c:pt>
                <c:pt idx="3">
                  <c:v>88.442364193548386</c:v>
                </c:pt>
                <c:pt idx="4">
                  <c:v>92.272980655737683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499840"/>
        <c:axId val="212522496"/>
      </c:lineChart>
      <c:catAx>
        <c:axId val="212499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Factor</a:t>
                </a:r>
                <a:r>
                  <a:rPr lang="en-GB" baseline="0"/>
                  <a:t> score quintiles (Education &amp; Training)</a:t>
                </a:r>
                <a:endParaRPr lang="en-GB"/>
              </a:p>
            </c:rich>
          </c:tx>
          <c:overlay val="0"/>
        </c:title>
        <c:majorTickMark val="out"/>
        <c:minorTickMark val="none"/>
        <c:tickLblPos val="nextTo"/>
        <c:crossAx val="212522496"/>
        <c:crosses val="autoZero"/>
        <c:auto val="1"/>
        <c:lblAlgn val="ctr"/>
        <c:lblOffset val="100"/>
        <c:noMultiLvlLbl val="0"/>
      </c:catAx>
      <c:valAx>
        <c:axId val="212522496"/>
        <c:scaling>
          <c:orientation val="minMax"/>
          <c:max val="94"/>
          <c:min val="78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Doran composite score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212499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313888888888964"/>
          <c:y val="9.6070647419072647E-2"/>
          <c:w val="0.28741666666666915"/>
          <c:h val="0.50230314960629563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0.43174</cdr:x>
      <cdr:y>0.47408</cdr:y>
    </cdr:from>
    <cdr:to>
      <cdr:x>0.54689</cdr:x>
      <cdr:y>0.54728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71406" y="1604122"/>
          <a:ext cx="5524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p&lt;.001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0.43333</cdr:x>
      <cdr:y>0.49833</cdr:y>
    </cdr:from>
    <cdr:to>
      <cdr:x>0.55</cdr:x>
      <cdr:y>0.59532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81200" y="1419224"/>
          <a:ext cx="5334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p&lt;.001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2011-01-20T15:53:00Z</dcterms:created>
  <dcterms:modified xsi:type="dcterms:W3CDTF">2011-01-20T15:53:00Z</dcterms:modified>
</cp:coreProperties>
</file>