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DEF" w:rsidRDefault="00AC0DEF" w:rsidP="00257236">
      <w:pPr>
        <w:pStyle w:val="NoSpacing"/>
        <w:jc w:val="center"/>
        <w:rPr>
          <w:rFonts w:ascii="Times New Roman" w:hAnsi="Times New Roman" w:cs="Times New Roman"/>
          <w:b/>
          <w:bCs/>
          <w:color w:val="000000" w:themeColor="text1"/>
          <w:sz w:val="20"/>
          <w:szCs w:val="20"/>
        </w:rPr>
      </w:pPr>
      <w:r>
        <w:rPr>
          <w:rFonts w:ascii="Times New Roman" w:hAnsi="Times New Roman" w:cs="Times New Roman"/>
          <w:b/>
          <w:bCs/>
          <w:noProof/>
          <w:color w:val="000000" w:themeColor="text1"/>
          <w:sz w:val="20"/>
          <w:szCs w:val="20"/>
        </w:rPr>
        <w:drawing>
          <wp:inline distT="0" distB="0" distL="0" distR="0">
            <wp:extent cx="3029585" cy="123063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29585" cy="1230630"/>
                    </a:xfrm>
                    <a:prstGeom prst="rect">
                      <a:avLst/>
                    </a:prstGeom>
                    <a:noFill/>
                    <a:ln>
                      <a:noFill/>
                    </a:ln>
                  </pic:spPr>
                </pic:pic>
              </a:graphicData>
            </a:graphic>
          </wp:inline>
        </w:drawing>
      </w:r>
    </w:p>
    <w:p w:rsidR="00AC0DEF" w:rsidRDefault="00AC0DEF" w:rsidP="00257236">
      <w:pPr>
        <w:pStyle w:val="NoSpacing"/>
        <w:jc w:val="center"/>
        <w:rPr>
          <w:rFonts w:ascii="Times New Roman" w:hAnsi="Times New Roman" w:cs="Times New Roman"/>
          <w:b/>
          <w:bCs/>
          <w:color w:val="000000" w:themeColor="text1"/>
          <w:sz w:val="20"/>
          <w:szCs w:val="20"/>
        </w:rPr>
      </w:pPr>
    </w:p>
    <w:p w:rsidR="00453AB3" w:rsidRPr="005B79DC" w:rsidRDefault="00DF3BEC" w:rsidP="00257236">
      <w:pPr>
        <w:pStyle w:val="NoSpacing"/>
        <w:jc w:val="center"/>
        <w:rPr>
          <w:rFonts w:ascii="Times New Roman" w:hAnsi="Times New Roman" w:cs="Times New Roman"/>
          <w:b/>
          <w:bCs/>
          <w:color w:val="000000" w:themeColor="text1"/>
          <w:sz w:val="20"/>
          <w:szCs w:val="20"/>
        </w:rPr>
      </w:pPr>
      <w:r w:rsidRPr="005B79DC">
        <w:rPr>
          <w:rFonts w:ascii="Times New Roman" w:hAnsi="Times New Roman" w:cs="Times New Roman"/>
          <w:b/>
          <w:bCs/>
          <w:color w:val="000000" w:themeColor="text1"/>
          <w:sz w:val="20"/>
          <w:szCs w:val="20"/>
        </w:rPr>
        <w:t>A NOVEL APPROACH TO</w:t>
      </w:r>
      <w:r w:rsidR="00257236" w:rsidRPr="005B79DC">
        <w:rPr>
          <w:rFonts w:ascii="Times New Roman" w:hAnsi="Times New Roman" w:cs="Times New Roman"/>
          <w:b/>
          <w:bCs/>
          <w:color w:val="000000" w:themeColor="text1"/>
          <w:sz w:val="20"/>
          <w:szCs w:val="20"/>
        </w:rPr>
        <w:t xml:space="preserve"> THE CLASSIF</w:t>
      </w:r>
      <w:r w:rsidR="00152F9F" w:rsidRPr="005B79DC">
        <w:rPr>
          <w:rFonts w:ascii="Times New Roman" w:hAnsi="Times New Roman" w:cs="Times New Roman"/>
          <w:b/>
          <w:bCs/>
          <w:color w:val="000000" w:themeColor="text1"/>
          <w:sz w:val="20"/>
          <w:szCs w:val="20"/>
        </w:rPr>
        <w:t>I</w:t>
      </w:r>
      <w:r w:rsidR="00257236" w:rsidRPr="005B79DC">
        <w:rPr>
          <w:rFonts w:ascii="Times New Roman" w:hAnsi="Times New Roman" w:cs="Times New Roman"/>
          <w:b/>
          <w:bCs/>
          <w:color w:val="000000" w:themeColor="text1"/>
          <w:sz w:val="20"/>
          <w:szCs w:val="20"/>
        </w:rPr>
        <w:t xml:space="preserve">CATION </w:t>
      </w:r>
      <w:r w:rsidR="00453AB3" w:rsidRPr="005B79DC">
        <w:rPr>
          <w:rFonts w:ascii="Times New Roman" w:hAnsi="Times New Roman" w:cs="Times New Roman"/>
          <w:b/>
          <w:bCs/>
          <w:color w:val="000000" w:themeColor="text1"/>
          <w:sz w:val="20"/>
          <w:szCs w:val="20"/>
        </w:rPr>
        <w:t>OF</w:t>
      </w:r>
      <w:r w:rsidR="00EB7070" w:rsidRPr="005B79DC">
        <w:rPr>
          <w:rFonts w:ascii="Times New Roman" w:hAnsi="Times New Roman" w:cs="Times New Roman"/>
          <w:b/>
          <w:bCs/>
          <w:color w:val="000000" w:themeColor="text1"/>
          <w:sz w:val="20"/>
          <w:szCs w:val="20"/>
        </w:rPr>
        <w:t xml:space="preserve"> </w:t>
      </w:r>
      <w:r w:rsidR="00453AB3" w:rsidRPr="005B79DC">
        <w:rPr>
          <w:rFonts w:ascii="Times New Roman" w:hAnsi="Times New Roman" w:cs="Times New Roman"/>
          <w:b/>
          <w:bCs/>
          <w:color w:val="000000" w:themeColor="text1"/>
          <w:sz w:val="20"/>
          <w:szCs w:val="20"/>
        </w:rPr>
        <w:t>SCAPULAR KINEMATICS</w:t>
      </w:r>
    </w:p>
    <w:p w:rsidR="00EB7070" w:rsidRPr="005B79DC" w:rsidRDefault="00EB7070" w:rsidP="0027586F">
      <w:pPr>
        <w:pStyle w:val="NoSpacing"/>
        <w:rPr>
          <w:rFonts w:ascii="Times New Roman" w:hAnsi="Times New Roman" w:cs="Times New Roman"/>
          <w:color w:val="000000" w:themeColor="text1"/>
          <w:sz w:val="20"/>
          <w:szCs w:val="20"/>
        </w:rPr>
      </w:pPr>
    </w:p>
    <w:p w:rsidR="00257236" w:rsidRPr="005B79DC" w:rsidRDefault="00EB7070" w:rsidP="003808F4">
      <w:pPr>
        <w:pStyle w:val="NoSpacing"/>
        <w:jc w:val="center"/>
        <w:rPr>
          <w:rFonts w:ascii="Times New Roman" w:hAnsi="Times New Roman" w:cs="Times New Roman"/>
          <w:color w:val="000000" w:themeColor="text1"/>
          <w:sz w:val="20"/>
          <w:szCs w:val="20"/>
        </w:rPr>
      </w:pPr>
      <w:r w:rsidRPr="005B79DC">
        <w:rPr>
          <w:rFonts w:ascii="Times New Roman" w:hAnsi="Times New Roman" w:cs="Times New Roman"/>
          <w:color w:val="000000" w:themeColor="text1"/>
          <w:sz w:val="20"/>
          <w:szCs w:val="20"/>
        </w:rPr>
        <w:t>Martin Warner</w:t>
      </w:r>
      <w:r w:rsidRPr="005B79DC">
        <w:rPr>
          <w:rFonts w:ascii="Times New Roman" w:hAnsi="Times New Roman" w:cs="Times New Roman"/>
          <w:color w:val="000000" w:themeColor="text1"/>
          <w:sz w:val="20"/>
          <w:szCs w:val="20"/>
          <w:vertAlign w:val="superscript"/>
        </w:rPr>
        <w:t>1</w:t>
      </w:r>
      <w:r w:rsidRPr="005B79DC">
        <w:rPr>
          <w:rFonts w:ascii="Times New Roman" w:hAnsi="Times New Roman" w:cs="Times New Roman"/>
          <w:color w:val="000000" w:themeColor="text1"/>
          <w:sz w:val="20"/>
          <w:szCs w:val="20"/>
        </w:rPr>
        <w:t xml:space="preserve">, </w:t>
      </w:r>
      <w:r w:rsidR="00257236" w:rsidRPr="005B79DC">
        <w:rPr>
          <w:rFonts w:ascii="Times New Roman" w:hAnsi="Times New Roman" w:cs="Times New Roman"/>
          <w:color w:val="000000" w:themeColor="text1"/>
          <w:sz w:val="20"/>
          <w:szCs w:val="20"/>
        </w:rPr>
        <w:t>Gemma Whatling</w:t>
      </w:r>
      <w:r w:rsidR="00D10E95" w:rsidRPr="005B79DC">
        <w:rPr>
          <w:rFonts w:ascii="Times New Roman" w:hAnsi="Times New Roman" w:cs="Times New Roman"/>
          <w:color w:val="000000" w:themeColor="text1"/>
          <w:sz w:val="20"/>
          <w:szCs w:val="20"/>
          <w:vertAlign w:val="superscript"/>
        </w:rPr>
        <w:t>2</w:t>
      </w:r>
      <w:r w:rsidR="003808F4" w:rsidRPr="005B79DC">
        <w:rPr>
          <w:rFonts w:ascii="Times New Roman" w:hAnsi="Times New Roman" w:cs="Times New Roman"/>
          <w:color w:val="000000" w:themeColor="text1"/>
          <w:sz w:val="20"/>
          <w:szCs w:val="20"/>
        </w:rPr>
        <w:t>, Peter Worlsey</w:t>
      </w:r>
      <w:r w:rsidR="003808F4" w:rsidRPr="005B79DC">
        <w:rPr>
          <w:rFonts w:ascii="Times New Roman" w:hAnsi="Times New Roman" w:cs="Times New Roman"/>
          <w:color w:val="000000" w:themeColor="text1"/>
          <w:sz w:val="20"/>
          <w:szCs w:val="20"/>
          <w:vertAlign w:val="superscript"/>
        </w:rPr>
        <w:t>1</w:t>
      </w:r>
      <w:r w:rsidR="00257236" w:rsidRPr="005B79DC">
        <w:rPr>
          <w:rFonts w:ascii="Times New Roman" w:hAnsi="Times New Roman" w:cs="Times New Roman"/>
          <w:color w:val="000000" w:themeColor="text1"/>
          <w:sz w:val="20"/>
          <w:szCs w:val="20"/>
        </w:rPr>
        <w:t>, Sarah Mottram</w:t>
      </w:r>
      <w:r w:rsidR="00257236" w:rsidRPr="005B79DC">
        <w:rPr>
          <w:rFonts w:ascii="Times New Roman" w:hAnsi="Times New Roman" w:cs="Times New Roman"/>
          <w:color w:val="000000" w:themeColor="text1"/>
          <w:sz w:val="20"/>
          <w:szCs w:val="20"/>
          <w:vertAlign w:val="superscript"/>
        </w:rPr>
        <w:t>1</w:t>
      </w:r>
      <w:r w:rsidRPr="005B79DC">
        <w:rPr>
          <w:rFonts w:ascii="Times New Roman" w:hAnsi="Times New Roman" w:cs="Times New Roman"/>
          <w:color w:val="000000" w:themeColor="text1"/>
          <w:sz w:val="20"/>
          <w:szCs w:val="20"/>
        </w:rPr>
        <w:t xml:space="preserve">, </w:t>
      </w:r>
      <w:r w:rsidR="00257236" w:rsidRPr="005B79DC">
        <w:rPr>
          <w:rFonts w:ascii="Times New Roman" w:hAnsi="Times New Roman" w:cs="Times New Roman"/>
          <w:color w:val="000000" w:themeColor="text1"/>
          <w:sz w:val="20"/>
          <w:szCs w:val="20"/>
        </w:rPr>
        <w:t>Paul Chappell</w:t>
      </w:r>
      <w:r w:rsidR="00D10E95" w:rsidRPr="005B79DC">
        <w:rPr>
          <w:rFonts w:ascii="Times New Roman" w:hAnsi="Times New Roman" w:cs="Times New Roman"/>
          <w:color w:val="000000" w:themeColor="text1"/>
          <w:sz w:val="20"/>
          <w:szCs w:val="20"/>
          <w:vertAlign w:val="superscript"/>
        </w:rPr>
        <w:t>3</w:t>
      </w:r>
    </w:p>
    <w:p w:rsidR="00EB7070" w:rsidRPr="005B79DC" w:rsidRDefault="00EB7070" w:rsidP="00257236">
      <w:pPr>
        <w:pStyle w:val="NoSpacing"/>
        <w:jc w:val="center"/>
        <w:rPr>
          <w:rFonts w:ascii="Times New Roman" w:hAnsi="Times New Roman" w:cs="Times New Roman"/>
          <w:color w:val="000000" w:themeColor="text1"/>
          <w:sz w:val="20"/>
          <w:szCs w:val="20"/>
          <w:vertAlign w:val="superscript"/>
        </w:rPr>
      </w:pPr>
      <w:r w:rsidRPr="005B79DC">
        <w:rPr>
          <w:rFonts w:ascii="Times New Roman" w:hAnsi="Times New Roman" w:cs="Times New Roman"/>
          <w:color w:val="000000" w:themeColor="text1"/>
          <w:sz w:val="20"/>
          <w:szCs w:val="20"/>
        </w:rPr>
        <w:t>Cathy Holt</w:t>
      </w:r>
      <w:r w:rsidR="00D10E95" w:rsidRPr="005B79DC">
        <w:rPr>
          <w:rFonts w:ascii="Times New Roman" w:hAnsi="Times New Roman" w:cs="Times New Roman"/>
          <w:color w:val="000000" w:themeColor="text1"/>
          <w:sz w:val="20"/>
          <w:szCs w:val="20"/>
          <w:vertAlign w:val="superscript"/>
        </w:rPr>
        <w:t>2</w:t>
      </w:r>
      <w:r w:rsidRPr="005B79DC">
        <w:rPr>
          <w:rFonts w:ascii="Times New Roman" w:hAnsi="Times New Roman" w:cs="Times New Roman"/>
          <w:color w:val="000000" w:themeColor="text1"/>
          <w:sz w:val="20"/>
          <w:szCs w:val="20"/>
        </w:rPr>
        <w:t>, Maria Stokes</w:t>
      </w:r>
      <w:r w:rsidRPr="005B79DC">
        <w:rPr>
          <w:rFonts w:ascii="Times New Roman" w:hAnsi="Times New Roman" w:cs="Times New Roman"/>
          <w:color w:val="000000" w:themeColor="text1"/>
          <w:sz w:val="20"/>
          <w:szCs w:val="20"/>
          <w:vertAlign w:val="superscript"/>
        </w:rPr>
        <w:t>1</w:t>
      </w:r>
    </w:p>
    <w:p w:rsidR="00453AB3" w:rsidRPr="005B79DC" w:rsidRDefault="00453AB3" w:rsidP="0027586F">
      <w:pPr>
        <w:pStyle w:val="NoSpacing"/>
        <w:jc w:val="center"/>
        <w:rPr>
          <w:rFonts w:ascii="Times New Roman" w:hAnsi="Times New Roman" w:cs="Times New Roman"/>
          <w:color w:val="000000" w:themeColor="text1"/>
          <w:sz w:val="20"/>
          <w:szCs w:val="20"/>
        </w:rPr>
      </w:pPr>
    </w:p>
    <w:p w:rsidR="00EB7070" w:rsidRPr="005B79DC" w:rsidRDefault="00EB7070" w:rsidP="005C75C6">
      <w:pPr>
        <w:pStyle w:val="NoSpacing"/>
        <w:jc w:val="center"/>
        <w:rPr>
          <w:rFonts w:ascii="Times New Roman" w:hAnsi="Times New Roman" w:cs="Times New Roman"/>
          <w:color w:val="000000" w:themeColor="text1"/>
          <w:sz w:val="20"/>
          <w:szCs w:val="20"/>
        </w:rPr>
      </w:pPr>
      <w:r w:rsidRPr="005B79DC">
        <w:rPr>
          <w:rFonts w:ascii="Times New Roman" w:hAnsi="Times New Roman" w:cs="Times New Roman"/>
          <w:color w:val="000000" w:themeColor="text1"/>
          <w:sz w:val="20"/>
          <w:szCs w:val="20"/>
          <w:vertAlign w:val="superscript"/>
        </w:rPr>
        <w:t>1</w:t>
      </w:r>
      <w:r w:rsidRPr="005B79DC">
        <w:rPr>
          <w:rFonts w:ascii="Times New Roman" w:hAnsi="Times New Roman" w:cs="Times New Roman"/>
          <w:color w:val="000000" w:themeColor="text1"/>
          <w:sz w:val="20"/>
          <w:szCs w:val="20"/>
        </w:rPr>
        <w:t xml:space="preserve">Faculty of Health Sciences, </w:t>
      </w:r>
      <w:r w:rsidR="00257236" w:rsidRPr="005B79DC">
        <w:rPr>
          <w:rFonts w:ascii="Times New Roman" w:hAnsi="Times New Roman" w:cs="Times New Roman"/>
          <w:color w:val="000000" w:themeColor="text1"/>
          <w:sz w:val="20"/>
          <w:szCs w:val="20"/>
        </w:rPr>
        <w:t xml:space="preserve">and </w:t>
      </w:r>
      <w:r w:rsidR="00D10E95" w:rsidRPr="005B79DC">
        <w:rPr>
          <w:rFonts w:ascii="Times New Roman" w:hAnsi="Times New Roman" w:cs="Times New Roman"/>
          <w:color w:val="000000" w:themeColor="text1"/>
          <w:sz w:val="20"/>
          <w:szCs w:val="20"/>
          <w:vertAlign w:val="superscript"/>
        </w:rPr>
        <w:t>3</w:t>
      </w:r>
      <w:r w:rsidR="00257236" w:rsidRPr="005B79DC">
        <w:rPr>
          <w:rFonts w:ascii="Times New Roman" w:hAnsi="Times New Roman" w:cs="Times New Roman"/>
          <w:color w:val="000000" w:themeColor="text1"/>
          <w:sz w:val="20"/>
          <w:szCs w:val="20"/>
        </w:rPr>
        <w:t xml:space="preserve">Electronic and Computer Sciences, </w:t>
      </w:r>
      <w:r w:rsidRPr="005B79DC">
        <w:rPr>
          <w:rFonts w:ascii="Times New Roman" w:hAnsi="Times New Roman" w:cs="Times New Roman"/>
          <w:color w:val="000000" w:themeColor="text1"/>
          <w:sz w:val="20"/>
          <w:szCs w:val="20"/>
        </w:rPr>
        <w:t>University of Southampton, UK</w:t>
      </w:r>
    </w:p>
    <w:p w:rsidR="00EB7070" w:rsidRPr="005B79DC" w:rsidRDefault="00D10E95" w:rsidP="0027586F">
      <w:pPr>
        <w:pStyle w:val="NoSpacing"/>
        <w:jc w:val="center"/>
        <w:rPr>
          <w:rFonts w:ascii="Times New Roman" w:hAnsi="Times New Roman" w:cs="Times New Roman"/>
          <w:color w:val="000000" w:themeColor="text1"/>
          <w:sz w:val="20"/>
          <w:szCs w:val="20"/>
        </w:rPr>
      </w:pPr>
      <w:r w:rsidRPr="005B79DC">
        <w:rPr>
          <w:rFonts w:ascii="Times New Roman" w:hAnsi="Times New Roman" w:cs="Times New Roman"/>
          <w:color w:val="000000" w:themeColor="text1"/>
          <w:sz w:val="20"/>
          <w:szCs w:val="20"/>
          <w:vertAlign w:val="superscript"/>
        </w:rPr>
        <w:t>2</w:t>
      </w:r>
      <w:r w:rsidR="00EB7070" w:rsidRPr="005B79DC">
        <w:rPr>
          <w:rFonts w:ascii="Times New Roman" w:hAnsi="Times New Roman" w:cs="Times New Roman"/>
          <w:color w:val="000000" w:themeColor="text1"/>
          <w:sz w:val="20"/>
          <w:szCs w:val="20"/>
        </w:rPr>
        <w:t>Cardiff School of Engineering, Cardiff University, UK</w:t>
      </w:r>
    </w:p>
    <w:p w:rsidR="00EB7070" w:rsidRPr="005B79DC" w:rsidRDefault="00EB7070" w:rsidP="0027586F">
      <w:pPr>
        <w:pStyle w:val="NoSpacing"/>
        <w:jc w:val="center"/>
        <w:rPr>
          <w:rFonts w:ascii="Times New Roman" w:hAnsi="Times New Roman" w:cs="Times New Roman"/>
          <w:color w:val="000000" w:themeColor="text1"/>
          <w:sz w:val="20"/>
          <w:szCs w:val="20"/>
        </w:rPr>
      </w:pPr>
      <w:proofErr w:type="gramStart"/>
      <w:r w:rsidRPr="005B79DC">
        <w:rPr>
          <w:rFonts w:ascii="Times New Roman" w:hAnsi="Times New Roman" w:cs="Times New Roman"/>
          <w:color w:val="000000" w:themeColor="text1"/>
          <w:sz w:val="20"/>
          <w:szCs w:val="20"/>
        </w:rPr>
        <w:t>email</w:t>
      </w:r>
      <w:proofErr w:type="gramEnd"/>
      <w:r w:rsidRPr="005B79DC">
        <w:rPr>
          <w:rFonts w:ascii="Times New Roman" w:hAnsi="Times New Roman" w:cs="Times New Roman"/>
          <w:color w:val="000000" w:themeColor="text1"/>
          <w:sz w:val="20"/>
          <w:szCs w:val="20"/>
        </w:rPr>
        <w:t>: m.warner@soton.ac.uk</w:t>
      </w:r>
    </w:p>
    <w:p w:rsidR="00EB7070" w:rsidRPr="005B79DC" w:rsidRDefault="00EB7070" w:rsidP="0027586F">
      <w:pPr>
        <w:pStyle w:val="NoSpacing"/>
        <w:jc w:val="center"/>
        <w:rPr>
          <w:rFonts w:ascii="Times New Roman" w:hAnsi="Times New Roman" w:cs="Times New Roman"/>
          <w:color w:val="000000" w:themeColor="text1"/>
          <w:sz w:val="20"/>
          <w:szCs w:val="20"/>
        </w:rPr>
      </w:pPr>
    </w:p>
    <w:p w:rsidR="00EB7070" w:rsidRPr="005B79DC" w:rsidRDefault="00EB7070" w:rsidP="0027586F">
      <w:pPr>
        <w:pStyle w:val="NoSpacing"/>
        <w:jc w:val="center"/>
        <w:rPr>
          <w:rFonts w:ascii="Times New Roman" w:hAnsi="Times New Roman" w:cs="Times New Roman"/>
          <w:color w:val="000000" w:themeColor="text1"/>
          <w:sz w:val="20"/>
          <w:szCs w:val="20"/>
        </w:rPr>
        <w:sectPr w:rsidR="00EB7070" w:rsidRPr="005B79DC" w:rsidSect="00577681">
          <w:pgSz w:w="11906" w:h="16838"/>
          <w:pgMar w:top="1134" w:right="851" w:bottom="1134" w:left="851" w:header="709" w:footer="709" w:gutter="0"/>
          <w:cols w:space="708"/>
          <w:docGrid w:linePitch="360"/>
        </w:sectPr>
      </w:pPr>
    </w:p>
    <w:p w:rsidR="00AC0DEF" w:rsidRDefault="00AC0DEF" w:rsidP="00E4305D">
      <w:pPr>
        <w:pStyle w:val="NoSpacing"/>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lastRenderedPageBreak/>
        <w:t>SUMMARY</w:t>
      </w:r>
    </w:p>
    <w:p w:rsidR="00AC0DEF" w:rsidRDefault="00AC0DEF" w:rsidP="00AC0DEF">
      <w:pPr>
        <w:pStyle w:val="NoSpacing"/>
        <w:jc w:val="both"/>
        <w:rPr>
          <w:rFonts w:ascii="Times New Roman" w:hAnsi="Times New Roman" w:cs="Times New Roman"/>
          <w:sz w:val="20"/>
          <w:szCs w:val="20"/>
        </w:rPr>
      </w:pPr>
      <w:r>
        <w:rPr>
          <w:rFonts w:ascii="Times New Roman" w:hAnsi="Times New Roman" w:cs="Times New Roman"/>
          <w:sz w:val="20"/>
          <w:szCs w:val="20"/>
        </w:rPr>
        <w:t xml:space="preserve">The complex 3-dimensional rotation of the scapula and the extensive kinematic data produced during motion analysis makes it difficult to objectively classify participants as having movement faults. Classification based on </w:t>
      </w:r>
      <w:proofErr w:type="spellStart"/>
      <w:r>
        <w:rPr>
          <w:rFonts w:ascii="Times New Roman" w:hAnsi="Times New Roman" w:cs="Times New Roman"/>
          <w:sz w:val="20"/>
          <w:szCs w:val="20"/>
        </w:rPr>
        <w:t>Demspter</w:t>
      </w:r>
      <w:proofErr w:type="spellEnd"/>
      <w:r>
        <w:rPr>
          <w:rFonts w:ascii="Times New Roman" w:hAnsi="Times New Roman" w:cs="Times New Roman"/>
          <w:sz w:val="20"/>
          <w:szCs w:val="20"/>
        </w:rPr>
        <w:t xml:space="preserve">-Shafer theory of evidence (DST) has been </w:t>
      </w:r>
      <w:r w:rsidRPr="002C7218">
        <w:rPr>
          <w:rFonts w:ascii="Times New Roman" w:hAnsi="Times New Roman" w:cs="Times New Roman"/>
          <w:sz w:val="20"/>
          <w:szCs w:val="20"/>
        </w:rPr>
        <w:t>used</w:t>
      </w:r>
      <w:r w:rsidRPr="00E443FC">
        <w:rPr>
          <w:rFonts w:ascii="Times New Roman" w:hAnsi="Times New Roman" w:cs="Times New Roman"/>
          <w:color w:val="FF0000"/>
          <w:sz w:val="20"/>
          <w:szCs w:val="20"/>
        </w:rPr>
        <w:t xml:space="preserve"> </w:t>
      </w:r>
      <w:r>
        <w:rPr>
          <w:rFonts w:ascii="Times New Roman" w:hAnsi="Times New Roman" w:cs="Times New Roman"/>
          <w:sz w:val="20"/>
          <w:szCs w:val="20"/>
        </w:rPr>
        <w:t>previously in gait analysis to overcome similar issues, but has not yet been adopted in scapular kinematics. The aim of the study was to adopt the DST method of classifying participants during a motor control test of the scapula. Scapula</w:t>
      </w:r>
      <w:r w:rsidRPr="002C7218">
        <w:rPr>
          <w:rFonts w:ascii="Times New Roman" w:eastAsia="PMingLiU" w:hAnsi="Times New Roman" w:cs="Times New Roman" w:hint="eastAsia"/>
          <w:sz w:val="20"/>
          <w:szCs w:val="20"/>
          <w:lang w:eastAsia="zh-TW"/>
        </w:rPr>
        <w:t>r</w:t>
      </w:r>
      <w:r>
        <w:rPr>
          <w:rFonts w:ascii="Times New Roman" w:hAnsi="Times New Roman" w:cs="Times New Roman"/>
          <w:sz w:val="20"/>
          <w:szCs w:val="20"/>
        </w:rPr>
        <w:t xml:space="preserve"> kinematics </w:t>
      </w:r>
      <w:proofErr w:type="gramStart"/>
      <w:r w:rsidRPr="002C7218">
        <w:rPr>
          <w:rFonts w:ascii="Times New Roman" w:hAnsi="Times New Roman" w:cs="Times New Roman"/>
          <w:sz w:val="20"/>
          <w:szCs w:val="20"/>
        </w:rPr>
        <w:t>were</w:t>
      </w:r>
      <w:proofErr w:type="gramEnd"/>
      <w:r>
        <w:rPr>
          <w:rFonts w:ascii="Times New Roman" w:hAnsi="Times New Roman" w:cs="Times New Roman"/>
          <w:sz w:val="20"/>
          <w:szCs w:val="20"/>
        </w:rPr>
        <w:t xml:space="preserve"> recorded in two groups of participants: healthy control </w:t>
      </w:r>
      <w:r w:rsidRPr="002C7218">
        <w:rPr>
          <w:rFonts w:ascii="Times New Roman" w:hAnsi="Times New Roman" w:cs="Times New Roman"/>
          <w:sz w:val="20"/>
          <w:szCs w:val="20"/>
        </w:rPr>
        <w:t>(n=</w:t>
      </w:r>
      <w:r w:rsidRPr="002C7218">
        <w:rPr>
          <w:rFonts w:ascii="Times New Roman" w:eastAsia="PMingLiU" w:hAnsi="Times New Roman" w:cs="Times New Roman" w:hint="eastAsia"/>
          <w:sz w:val="20"/>
          <w:szCs w:val="20"/>
          <w:lang w:eastAsia="zh-TW"/>
        </w:rPr>
        <w:t>12</w:t>
      </w:r>
      <w:r w:rsidRPr="002C7218">
        <w:rPr>
          <w:rFonts w:ascii="Times New Roman" w:hAnsi="Times New Roman" w:cs="Times New Roman"/>
          <w:sz w:val="20"/>
          <w:szCs w:val="20"/>
        </w:rPr>
        <w:t>)</w:t>
      </w:r>
      <w:r w:rsidRPr="00E443FC">
        <w:rPr>
          <w:rFonts w:ascii="Times New Roman" w:hAnsi="Times New Roman" w:cs="Times New Roman"/>
          <w:color w:val="FF0000"/>
          <w:sz w:val="20"/>
          <w:szCs w:val="20"/>
        </w:rPr>
        <w:t xml:space="preserve"> </w:t>
      </w:r>
      <w:r>
        <w:rPr>
          <w:rFonts w:ascii="Times New Roman" w:hAnsi="Times New Roman" w:cs="Times New Roman"/>
          <w:sz w:val="20"/>
          <w:szCs w:val="20"/>
        </w:rPr>
        <w:t xml:space="preserve">and </w:t>
      </w:r>
      <w:r w:rsidRPr="00E05198">
        <w:rPr>
          <w:rFonts w:ascii="Times New Roman" w:hAnsi="Times New Roman" w:cs="Times New Roman"/>
          <w:color w:val="000000" w:themeColor="text1"/>
          <w:sz w:val="20"/>
          <w:szCs w:val="20"/>
        </w:rPr>
        <w:t xml:space="preserve">history of shoulder pain (n=6). Six kinematic variables were used as inputs into the DST classifier. The DST successfully classified 5 out of the 6 participants with a history of pain as having movement faults with an accuracy of 72.2% using </w:t>
      </w:r>
      <w:r>
        <w:rPr>
          <w:rFonts w:ascii="Times New Roman" w:hAnsi="Times New Roman" w:cs="Times New Roman"/>
          <w:sz w:val="20"/>
          <w:szCs w:val="20"/>
        </w:rPr>
        <w:t>a leave-one-out cross validation approach. This study demonstrates the use of DST classifier to successfully classify the majority of participants when measuring scapular kinematics during a motor control test.</w:t>
      </w:r>
    </w:p>
    <w:p w:rsidR="00AC0DEF" w:rsidRDefault="00AC0DEF" w:rsidP="00E4305D">
      <w:pPr>
        <w:pStyle w:val="NoSpacing"/>
        <w:jc w:val="both"/>
        <w:rPr>
          <w:rFonts w:ascii="Times New Roman" w:hAnsi="Times New Roman" w:cs="Times New Roman"/>
          <w:b/>
          <w:color w:val="000000" w:themeColor="text1"/>
          <w:sz w:val="20"/>
          <w:szCs w:val="20"/>
        </w:rPr>
      </w:pPr>
    </w:p>
    <w:p w:rsidR="00EB7070" w:rsidRPr="005B79DC" w:rsidRDefault="00EB7070" w:rsidP="00E4305D">
      <w:pPr>
        <w:pStyle w:val="NoSpacing"/>
        <w:jc w:val="both"/>
        <w:rPr>
          <w:rFonts w:ascii="Times New Roman" w:hAnsi="Times New Roman" w:cs="Times New Roman"/>
          <w:b/>
          <w:color w:val="000000" w:themeColor="text1"/>
          <w:sz w:val="20"/>
          <w:szCs w:val="20"/>
        </w:rPr>
      </w:pPr>
      <w:r w:rsidRPr="005B79DC">
        <w:rPr>
          <w:rFonts w:ascii="Times New Roman" w:hAnsi="Times New Roman" w:cs="Times New Roman"/>
          <w:b/>
          <w:color w:val="000000" w:themeColor="text1"/>
          <w:sz w:val="20"/>
          <w:szCs w:val="20"/>
        </w:rPr>
        <w:t>INTRODUCTION</w:t>
      </w:r>
    </w:p>
    <w:p w:rsidR="00EB7070" w:rsidRPr="005B79DC" w:rsidRDefault="00EB7070" w:rsidP="009F09A9">
      <w:pPr>
        <w:pStyle w:val="NoSpacing"/>
        <w:jc w:val="both"/>
        <w:rPr>
          <w:rFonts w:ascii="Times New Roman" w:hAnsi="Times New Roman" w:cs="Times New Roman"/>
          <w:bCs/>
          <w:color w:val="000000" w:themeColor="text1"/>
          <w:sz w:val="20"/>
          <w:szCs w:val="20"/>
        </w:rPr>
      </w:pPr>
      <w:r w:rsidRPr="005B79DC">
        <w:rPr>
          <w:rFonts w:ascii="Times New Roman" w:hAnsi="Times New Roman" w:cs="Times New Roman"/>
          <w:bCs/>
          <w:color w:val="000000" w:themeColor="text1"/>
          <w:sz w:val="20"/>
          <w:szCs w:val="20"/>
        </w:rPr>
        <w:t xml:space="preserve">Dynamic control of the scapula is important in the management of </w:t>
      </w:r>
      <w:proofErr w:type="spellStart"/>
      <w:r w:rsidRPr="005B79DC">
        <w:rPr>
          <w:rFonts w:ascii="Times New Roman" w:hAnsi="Times New Roman" w:cs="Times New Roman"/>
          <w:bCs/>
          <w:color w:val="000000" w:themeColor="text1"/>
          <w:sz w:val="20"/>
          <w:szCs w:val="20"/>
        </w:rPr>
        <w:t>neuromusculoskeletal</w:t>
      </w:r>
      <w:proofErr w:type="spellEnd"/>
      <w:r w:rsidRPr="005B79DC">
        <w:rPr>
          <w:rFonts w:ascii="Times New Roman" w:hAnsi="Times New Roman" w:cs="Times New Roman"/>
          <w:bCs/>
          <w:color w:val="000000" w:themeColor="text1"/>
          <w:sz w:val="20"/>
          <w:szCs w:val="20"/>
        </w:rPr>
        <w:t xml:space="preserve"> </w:t>
      </w:r>
      <w:r w:rsidR="004B1C0A" w:rsidRPr="005B79DC">
        <w:rPr>
          <w:rFonts w:ascii="Times New Roman" w:hAnsi="Times New Roman" w:cs="Times New Roman"/>
          <w:bCs/>
          <w:color w:val="000000" w:themeColor="text1"/>
          <w:sz w:val="20"/>
          <w:szCs w:val="20"/>
        </w:rPr>
        <w:t>dysfuncti</w:t>
      </w:r>
      <w:r w:rsidR="008A2223" w:rsidRPr="005B79DC">
        <w:rPr>
          <w:rFonts w:ascii="Times New Roman" w:hAnsi="Times New Roman" w:cs="Times New Roman"/>
          <w:bCs/>
          <w:color w:val="000000" w:themeColor="text1"/>
          <w:sz w:val="20"/>
          <w:szCs w:val="20"/>
        </w:rPr>
        <w:t>on of the shoulder.</w:t>
      </w:r>
      <w:r w:rsidR="004B1C0A" w:rsidRPr="005B79DC">
        <w:rPr>
          <w:rFonts w:ascii="Times New Roman" w:hAnsi="Times New Roman" w:cs="Times New Roman"/>
          <w:bCs/>
          <w:color w:val="000000" w:themeColor="text1"/>
          <w:sz w:val="20"/>
          <w:szCs w:val="20"/>
        </w:rPr>
        <w:t xml:space="preserve"> </w:t>
      </w:r>
      <w:r w:rsidR="008A2223" w:rsidRPr="005B79DC">
        <w:rPr>
          <w:rFonts w:ascii="Times New Roman" w:hAnsi="Times New Roman" w:cs="Times New Roman"/>
          <w:bCs/>
          <w:color w:val="000000" w:themeColor="text1"/>
          <w:sz w:val="20"/>
          <w:szCs w:val="20"/>
        </w:rPr>
        <w:t xml:space="preserve">A motor control test for </w:t>
      </w:r>
      <w:r w:rsidR="00A52B4F" w:rsidRPr="005B79DC">
        <w:rPr>
          <w:rFonts w:ascii="Times New Roman" w:eastAsia="PMingLiU" w:hAnsi="Times New Roman" w:cs="Times New Roman" w:hint="eastAsia"/>
          <w:bCs/>
          <w:color w:val="000000" w:themeColor="text1"/>
          <w:sz w:val="20"/>
          <w:szCs w:val="20"/>
          <w:lang w:eastAsia="zh-TW"/>
        </w:rPr>
        <w:t xml:space="preserve">the clinical assessment </w:t>
      </w:r>
      <w:r w:rsidR="009F09A9" w:rsidRPr="005B79DC">
        <w:rPr>
          <w:rFonts w:ascii="Times New Roman" w:eastAsia="PMingLiU" w:hAnsi="Times New Roman" w:cs="Times New Roman"/>
          <w:bCs/>
          <w:color w:val="000000" w:themeColor="text1"/>
          <w:sz w:val="20"/>
          <w:szCs w:val="20"/>
          <w:lang w:eastAsia="zh-TW"/>
        </w:rPr>
        <w:t xml:space="preserve">of dysfunction </w:t>
      </w:r>
      <w:r w:rsidRPr="005B79DC">
        <w:rPr>
          <w:rFonts w:ascii="Times New Roman" w:hAnsi="Times New Roman" w:cs="Times New Roman"/>
          <w:bCs/>
          <w:color w:val="000000" w:themeColor="text1"/>
          <w:sz w:val="20"/>
          <w:szCs w:val="20"/>
        </w:rPr>
        <w:t>has been proposed</w:t>
      </w:r>
      <w:r w:rsidR="005421E3" w:rsidRPr="005B79DC">
        <w:rPr>
          <w:rFonts w:ascii="Times New Roman" w:hAnsi="Times New Roman" w:cs="Times New Roman"/>
          <w:bCs/>
          <w:color w:val="000000" w:themeColor="text1"/>
          <w:sz w:val="20"/>
          <w:szCs w:val="20"/>
        </w:rPr>
        <w:t>.</w:t>
      </w:r>
      <w:r w:rsidR="00A21E9B" w:rsidRPr="005B79DC">
        <w:rPr>
          <w:rFonts w:ascii="Times New Roman" w:hAnsi="Times New Roman" w:cs="Times New Roman"/>
          <w:bCs/>
          <w:color w:val="000000" w:themeColor="text1"/>
          <w:sz w:val="20"/>
          <w:szCs w:val="20"/>
        </w:rPr>
        <w:t xml:space="preserve"> </w:t>
      </w:r>
      <w:r w:rsidR="00164773" w:rsidRPr="005B79DC">
        <w:rPr>
          <w:rFonts w:ascii="Times New Roman" w:hAnsi="Times New Roman" w:cs="Times New Roman"/>
          <w:bCs/>
          <w:color w:val="000000" w:themeColor="text1"/>
          <w:sz w:val="20"/>
          <w:szCs w:val="20"/>
        </w:rPr>
        <w:t>The test revealed that participants with a history of pain in the shoulder had an increased d</w:t>
      </w:r>
      <w:r w:rsidR="00AC0DEF">
        <w:rPr>
          <w:rFonts w:ascii="Times New Roman" w:hAnsi="Times New Roman" w:cs="Times New Roman"/>
          <w:bCs/>
          <w:color w:val="000000" w:themeColor="text1"/>
          <w:sz w:val="20"/>
          <w:szCs w:val="20"/>
        </w:rPr>
        <w:t>ownward rotation of the scapula</w:t>
      </w:r>
      <w:r w:rsidR="00164773" w:rsidRPr="005B79DC">
        <w:rPr>
          <w:rFonts w:ascii="Times New Roman" w:hAnsi="Times New Roman" w:cs="Times New Roman"/>
          <w:bCs/>
          <w:color w:val="000000" w:themeColor="text1"/>
          <w:sz w:val="20"/>
          <w:szCs w:val="20"/>
        </w:rPr>
        <w:t xml:space="preserve"> during arm lowering [1].</w:t>
      </w:r>
      <w:r w:rsidR="005421E3" w:rsidRPr="005B79DC">
        <w:rPr>
          <w:rFonts w:ascii="Times New Roman" w:hAnsi="Times New Roman" w:cs="Times New Roman"/>
          <w:bCs/>
          <w:color w:val="000000" w:themeColor="text1"/>
          <w:sz w:val="20"/>
          <w:szCs w:val="20"/>
        </w:rPr>
        <w:t xml:space="preserve"> The scapula’s movement, however, is a complex interaction of three rotations, in anyone of which abnormal movement may occur. Additionally</w:t>
      </w:r>
      <w:r w:rsidR="0010630D" w:rsidRPr="005B79DC">
        <w:rPr>
          <w:rFonts w:ascii="Times New Roman" w:hAnsi="Times New Roman" w:cs="Times New Roman"/>
          <w:bCs/>
          <w:color w:val="000000" w:themeColor="text1"/>
          <w:sz w:val="20"/>
          <w:szCs w:val="20"/>
        </w:rPr>
        <w:t xml:space="preserve"> </w:t>
      </w:r>
      <w:r w:rsidR="00A21E9B" w:rsidRPr="005B79DC">
        <w:rPr>
          <w:rFonts w:ascii="Times New Roman" w:hAnsi="Times New Roman" w:cs="Times New Roman"/>
          <w:bCs/>
          <w:color w:val="000000" w:themeColor="text1"/>
          <w:sz w:val="20"/>
          <w:szCs w:val="20"/>
        </w:rPr>
        <w:t>the large</w:t>
      </w:r>
      <w:r w:rsidR="0010630D" w:rsidRPr="005B79DC">
        <w:rPr>
          <w:rFonts w:ascii="Times New Roman" w:hAnsi="Times New Roman" w:cs="Times New Roman"/>
          <w:bCs/>
          <w:color w:val="000000" w:themeColor="text1"/>
          <w:sz w:val="20"/>
          <w:szCs w:val="20"/>
        </w:rPr>
        <w:t xml:space="preserve"> variation amongst participants</w:t>
      </w:r>
      <w:r w:rsidR="00A21E9B" w:rsidRPr="005B79DC">
        <w:rPr>
          <w:rFonts w:ascii="Times New Roman" w:hAnsi="Times New Roman" w:cs="Times New Roman"/>
          <w:bCs/>
          <w:color w:val="000000" w:themeColor="text1"/>
          <w:sz w:val="20"/>
          <w:szCs w:val="20"/>
        </w:rPr>
        <w:t xml:space="preserve"> </w:t>
      </w:r>
      <w:r w:rsidRPr="005B79DC">
        <w:rPr>
          <w:rFonts w:ascii="Times New Roman" w:hAnsi="Times New Roman" w:cs="Times New Roman"/>
          <w:bCs/>
          <w:color w:val="000000" w:themeColor="text1"/>
          <w:sz w:val="20"/>
          <w:szCs w:val="20"/>
        </w:rPr>
        <w:t xml:space="preserve">makes it difficult </w:t>
      </w:r>
      <w:r w:rsidR="005421E3" w:rsidRPr="005B79DC">
        <w:rPr>
          <w:rFonts w:ascii="Times New Roman" w:hAnsi="Times New Roman" w:cs="Times New Roman"/>
          <w:bCs/>
          <w:color w:val="000000" w:themeColor="text1"/>
          <w:sz w:val="20"/>
          <w:szCs w:val="20"/>
        </w:rPr>
        <w:t>to objectively classify</w:t>
      </w:r>
      <w:r w:rsidR="00A21E9B" w:rsidRPr="005B79DC">
        <w:rPr>
          <w:rFonts w:ascii="Times New Roman" w:hAnsi="Times New Roman" w:cs="Times New Roman"/>
          <w:bCs/>
          <w:color w:val="000000" w:themeColor="text1"/>
          <w:sz w:val="20"/>
          <w:szCs w:val="20"/>
        </w:rPr>
        <w:t xml:space="preserve"> participants as having movement faults</w:t>
      </w:r>
      <w:r w:rsidR="00DD7AEB" w:rsidRPr="005B79DC">
        <w:rPr>
          <w:rFonts w:ascii="Times New Roman" w:hAnsi="Times New Roman" w:cs="Times New Roman"/>
          <w:bCs/>
          <w:color w:val="000000" w:themeColor="text1"/>
          <w:sz w:val="20"/>
          <w:szCs w:val="20"/>
        </w:rPr>
        <w:t xml:space="preserve"> of the scapula</w:t>
      </w:r>
      <w:r w:rsidR="00A21E9B" w:rsidRPr="005B79DC">
        <w:rPr>
          <w:rFonts w:ascii="Times New Roman" w:hAnsi="Times New Roman" w:cs="Times New Roman"/>
          <w:bCs/>
          <w:color w:val="000000" w:themeColor="text1"/>
          <w:sz w:val="20"/>
          <w:szCs w:val="20"/>
        </w:rPr>
        <w:t>.</w:t>
      </w:r>
      <w:r w:rsidRPr="005B79DC">
        <w:rPr>
          <w:rFonts w:ascii="Times New Roman" w:hAnsi="Times New Roman" w:cs="Times New Roman"/>
          <w:bCs/>
          <w:color w:val="000000" w:themeColor="text1"/>
          <w:sz w:val="20"/>
          <w:szCs w:val="20"/>
        </w:rPr>
        <w:t xml:space="preserve"> </w:t>
      </w:r>
      <w:r w:rsidR="0010630D" w:rsidRPr="005B79DC">
        <w:rPr>
          <w:rFonts w:ascii="Times New Roman" w:hAnsi="Times New Roman" w:cs="Times New Roman"/>
          <w:bCs/>
          <w:color w:val="000000" w:themeColor="text1"/>
          <w:sz w:val="20"/>
          <w:szCs w:val="20"/>
        </w:rPr>
        <w:t xml:space="preserve">The </w:t>
      </w:r>
      <w:proofErr w:type="spellStart"/>
      <w:r w:rsidRPr="005B79DC">
        <w:rPr>
          <w:rFonts w:ascii="Times New Roman" w:hAnsi="Times New Roman" w:cs="Times New Roman"/>
          <w:bCs/>
          <w:color w:val="000000" w:themeColor="text1"/>
          <w:sz w:val="20"/>
          <w:szCs w:val="20"/>
        </w:rPr>
        <w:t>Dempster</w:t>
      </w:r>
      <w:proofErr w:type="spellEnd"/>
      <w:r w:rsidRPr="005B79DC">
        <w:rPr>
          <w:rFonts w:ascii="Times New Roman" w:hAnsi="Times New Roman" w:cs="Times New Roman"/>
          <w:bCs/>
          <w:color w:val="000000" w:themeColor="text1"/>
          <w:sz w:val="20"/>
          <w:szCs w:val="20"/>
        </w:rPr>
        <w:t>-Shafer theory of evidence (DS</w:t>
      </w:r>
      <w:r w:rsidR="00FD4FFD" w:rsidRPr="005B79DC">
        <w:rPr>
          <w:rFonts w:ascii="Times New Roman" w:hAnsi="Times New Roman" w:cs="Times New Roman"/>
          <w:bCs/>
          <w:color w:val="000000" w:themeColor="text1"/>
          <w:sz w:val="20"/>
          <w:szCs w:val="20"/>
        </w:rPr>
        <w:t>T</w:t>
      </w:r>
      <w:r w:rsidRPr="005B79DC">
        <w:rPr>
          <w:rFonts w:ascii="Times New Roman" w:hAnsi="Times New Roman" w:cs="Times New Roman"/>
          <w:bCs/>
          <w:color w:val="000000" w:themeColor="text1"/>
          <w:sz w:val="20"/>
          <w:szCs w:val="20"/>
        </w:rPr>
        <w:t>)</w:t>
      </w:r>
      <w:r w:rsidR="00D83E96" w:rsidRPr="005B79DC">
        <w:rPr>
          <w:rFonts w:ascii="Times New Roman" w:hAnsi="Times New Roman" w:cs="Times New Roman"/>
          <w:bCs/>
          <w:color w:val="000000" w:themeColor="text1"/>
          <w:sz w:val="20"/>
          <w:szCs w:val="20"/>
        </w:rPr>
        <w:t>,</w:t>
      </w:r>
      <w:r w:rsidR="0010630D" w:rsidRPr="005B79DC">
        <w:rPr>
          <w:rFonts w:ascii="Times New Roman" w:hAnsi="Times New Roman" w:cs="Times New Roman"/>
          <w:bCs/>
          <w:color w:val="000000" w:themeColor="text1"/>
          <w:sz w:val="20"/>
          <w:szCs w:val="20"/>
        </w:rPr>
        <w:t xml:space="preserve"> where belief values </w:t>
      </w:r>
      <w:r w:rsidR="00D83E96" w:rsidRPr="005B79DC">
        <w:rPr>
          <w:rFonts w:ascii="Times New Roman" w:hAnsi="Times New Roman" w:cs="Times New Roman"/>
          <w:bCs/>
          <w:color w:val="000000" w:themeColor="text1"/>
          <w:sz w:val="20"/>
          <w:szCs w:val="20"/>
        </w:rPr>
        <w:t xml:space="preserve">to a given hypothesis </w:t>
      </w:r>
      <w:r w:rsidR="0010630D" w:rsidRPr="005B79DC">
        <w:rPr>
          <w:rFonts w:ascii="Times New Roman" w:hAnsi="Times New Roman" w:cs="Times New Roman"/>
          <w:bCs/>
          <w:color w:val="000000" w:themeColor="text1"/>
          <w:sz w:val="20"/>
          <w:szCs w:val="20"/>
        </w:rPr>
        <w:t>are determined</w:t>
      </w:r>
      <w:r w:rsidR="00D83E96" w:rsidRPr="005B79DC">
        <w:rPr>
          <w:rFonts w:ascii="Times New Roman" w:hAnsi="Times New Roman" w:cs="Times New Roman"/>
          <w:bCs/>
          <w:color w:val="000000" w:themeColor="text1"/>
          <w:sz w:val="20"/>
          <w:szCs w:val="20"/>
        </w:rPr>
        <w:t>,</w:t>
      </w:r>
      <w:r w:rsidR="0010630D" w:rsidRPr="005B79DC">
        <w:rPr>
          <w:rFonts w:ascii="Times New Roman" w:hAnsi="Times New Roman" w:cs="Times New Roman"/>
          <w:bCs/>
          <w:color w:val="000000" w:themeColor="text1"/>
          <w:sz w:val="20"/>
          <w:szCs w:val="20"/>
        </w:rPr>
        <w:t xml:space="preserve"> </w:t>
      </w:r>
      <w:r w:rsidR="00743614" w:rsidRPr="005B79DC">
        <w:rPr>
          <w:rFonts w:ascii="Times New Roman" w:hAnsi="Times New Roman" w:cs="Times New Roman"/>
          <w:bCs/>
          <w:color w:val="000000" w:themeColor="text1"/>
          <w:sz w:val="20"/>
          <w:szCs w:val="20"/>
        </w:rPr>
        <w:t xml:space="preserve">has been used in gait analysis </w:t>
      </w:r>
      <w:r w:rsidR="00DD7AEB" w:rsidRPr="005B79DC">
        <w:rPr>
          <w:rFonts w:ascii="Times New Roman" w:hAnsi="Times New Roman" w:cs="Times New Roman"/>
          <w:bCs/>
          <w:color w:val="000000" w:themeColor="text1"/>
          <w:sz w:val="20"/>
          <w:szCs w:val="20"/>
        </w:rPr>
        <w:t xml:space="preserve">to solve </w:t>
      </w:r>
      <w:r w:rsidR="00FD4FFD" w:rsidRPr="005B79DC">
        <w:rPr>
          <w:rFonts w:ascii="Times New Roman" w:hAnsi="Times New Roman" w:cs="Times New Roman"/>
          <w:bCs/>
          <w:color w:val="000000" w:themeColor="text1"/>
          <w:sz w:val="20"/>
          <w:szCs w:val="20"/>
        </w:rPr>
        <w:t xml:space="preserve">similar </w:t>
      </w:r>
      <w:r w:rsidR="004B1C0A" w:rsidRPr="005B79DC">
        <w:rPr>
          <w:rFonts w:ascii="Times New Roman" w:hAnsi="Times New Roman" w:cs="Times New Roman"/>
          <w:bCs/>
          <w:color w:val="000000" w:themeColor="text1"/>
          <w:sz w:val="20"/>
          <w:szCs w:val="20"/>
        </w:rPr>
        <w:t>issues [2</w:t>
      </w:r>
      <w:r w:rsidR="00743614" w:rsidRPr="005B79DC">
        <w:rPr>
          <w:rFonts w:ascii="Times New Roman" w:hAnsi="Times New Roman" w:cs="Times New Roman"/>
          <w:bCs/>
          <w:color w:val="000000" w:themeColor="text1"/>
          <w:sz w:val="20"/>
          <w:szCs w:val="20"/>
        </w:rPr>
        <w:t xml:space="preserve">], but has yet to be adopted </w:t>
      </w:r>
      <w:r w:rsidR="00DD7AEB" w:rsidRPr="005B79DC">
        <w:rPr>
          <w:rFonts w:ascii="Times New Roman" w:hAnsi="Times New Roman" w:cs="Times New Roman"/>
          <w:bCs/>
          <w:color w:val="000000" w:themeColor="text1"/>
          <w:sz w:val="20"/>
          <w:szCs w:val="20"/>
        </w:rPr>
        <w:t xml:space="preserve">in </w:t>
      </w:r>
      <w:r w:rsidR="00743614" w:rsidRPr="005B79DC">
        <w:rPr>
          <w:rFonts w:ascii="Times New Roman" w:hAnsi="Times New Roman" w:cs="Times New Roman"/>
          <w:bCs/>
          <w:color w:val="000000" w:themeColor="text1"/>
          <w:sz w:val="20"/>
          <w:szCs w:val="20"/>
        </w:rPr>
        <w:t>scapular kinematics.</w:t>
      </w:r>
      <w:r w:rsidRPr="005B79DC">
        <w:rPr>
          <w:rFonts w:ascii="Times New Roman" w:hAnsi="Times New Roman" w:cs="Times New Roman"/>
          <w:bCs/>
          <w:color w:val="000000" w:themeColor="text1"/>
          <w:sz w:val="20"/>
          <w:szCs w:val="20"/>
        </w:rPr>
        <w:t xml:space="preserve"> </w:t>
      </w:r>
      <w:r w:rsidR="00743614" w:rsidRPr="005B79DC">
        <w:rPr>
          <w:rFonts w:ascii="Times New Roman" w:hAnsi="Times New Roman" w:cs="Times New Roman"/>
          <w:bCs/>
          <w:color w:val="000000" w:themeColor="text1"/>
          <w:sz w:val="20"/>
          <w:szCs w:val="20"/>
        </w:rPr>
        <w:t xml:space="preserve">The aim of the study, therefore, </w:t>
      </w:r>
      <w:r w:rsidR="00D83E96" w:rsidRPr="005B79DC">
        <w:rPr>
          <w:rFonts w:ascii="Times New Roman" w:hAnsi="Times New Roman" w:cs="Times New Roman"/>
          <w:bCs/>
          <w:color w:val="000000" w:themeColor="text1"/>
          <w:sz w:val="20"/>
          <w:szCs w:val="20"/>
        </w:rPr>
        <w:t xml:space="preserve">was to </w:t>
      </w:r>
      <w:r w:rsidR="00DD7AEB" w:rsidRPr="005B79DC">
        <w:rPr>
          <w:rFonts w:ascii="Times New Roman" w:hAnsi="Times New Roman" w:cs="Times New Roman"/>
          <w:bCs/>
          <w:color w:val="000000" w:themeColor="text1"/>
          <w:sz w:val="20"/>
          <w:szCs w:val="20"/>
        </w:rPr>
        <w:t xml:space="preserve">objectively classify participants as having movement faults of the scapula using </w:t>
      </w:r>
      <w:r w:rsidR="00743614" w:rsidRPr="005B79DC">
        <w:rPr>
          <w:rFonts w:ascii="Times New Roman" w:hAnsi="Times New Roman" w:cs="Times New Roman"/>
          <w:bCs/>
          <w:color w:val="000000" w:themeColor="text1"/>
          <w:sz w:val="20"/>
          <w:szCs w:val="20"/>
        </w:rPr>
        <w:t>DS</w:t>
      </w:r>
      <w:r w:rsidR="00FD4FFD" w:rsidRPr="005B79DC">
        <w:rPr>
          <w:rFonts w:ascii="Times New Roman" w:hAnsi="Times New Roman" w:cs="Times New Roman"/>
          <w:bCs/>
          <w:color w:val="000000" w:themeColor="text1"/>
          <w:sz w:val="20"/>
          <w:szCs w:val="20"/>
        </w:rPr>
        <w:t>T</w:t>
      </w:r>
      <w:r w:rsidR="00743614" w:rsidRPr="005B79DC">
        <w:rPr>
          <w:rFonts w:ascii="Times New Roman" w:hAnsi="Times New Roman" w:cs="Times New Roman"/>
          <w:bCs/>
          <w:color w:val="000000" w:themeColor="text1"/>
          <w:sz w:val="20"/>
          <w:szCs w:val="20"/>
        </w:rPr>
        <w:t xml:space="preserve"> </w:t>
      </w:r>
      <w:r w:rsidR="00DD7AEB" w:rsidRPr="005B79DC">
        <w:rPr>
          <w:rFonts w:ascii="Times New Roman" w:hAnsi="Times New Roman" w:cs="Times New Roman"/>
          <w:bCs/>
          <w:color w:val="000000" w:themeColor="text1"/>
          <w:sz w:val="20"/>
          <w:szCs w:val="20"/>
        </w:rPr>
        <w:t xml:space="preserve">during </w:t>
      </w:r>
      <w:r w:rsidRPr="005B79DC">
        <w:rPr>
          <w:rFonts w:ascii="Times New Roman" w:hAnsi="Times New Roman" w:cs="Times New Roman"/>
          <w:bCs/>
          <w:color w:val="000000" w:themeColor="text1"/>
          <w:sz w:val="20"/>
          <w:szCs w:val="20"/>
        </w:rPr>
        <w:t>a</w:t>
      </w:r>
      <w:r w:rsidR="00DD7AEB" w:rsidRPr="005B79DC">
        <w:rPr>
          <w:rFonts w:ascii="Times New Roman" w:hAnsi="Times New Roman" w:cs="Times New Roman"/>
          <w:bCs/>
          <w:color w:val="000000" w:themeColor="text1"/>
          <w:sz w:val="20"/>
          <w:szCs w:val="20"/>
        </w:rPr>
        <w:t xml:space="preserve"> motor</w:t>
      </w:r>
      <w:r w:rsidR="00B26A68" w:rsidRPr="005B79DC">
        <w:rPr>
          <w:rFonts w:ascii="Times New Roman" w:hAnsi="Times New Roman" w:cs="Times New Roman"/>
          <w:bCs/>
          <w:color w:val="000000" w:themeColor="text1"/>
          <w:sz w:val="20"/>
          <w:szCs w:val="20"/>
        </w:rPr>
        <w:t xml:space="preserve"> control test of the scapu</w:t>
      </w:r>
      <w:r w:rsidRPr="005B79DC">
        <w:rPr>
          <w:rFonts w:ascii="Times New Roman" w:hAnsi="Times New Roman" w:cs="Times New Roman"/>
          <w:bCs/>
          <w:color w:val="000000" w:themeColor="text1"/>
          <w:sz w:val="20"/>
          <w:szCs w:val="20"/>
        </w:rPr>
        <w:t>la.</w:t>
      </w:r>
    </w:p>
    <w:p w:rsidR="00EB7070" w:rsidRPr="005B79DC" w:rsidRDefault="00EB7070" w:rsidP="00E4305D">
      <w:pPr>
        <w:pStyle w:val="NoSpacing"/>
        <w:jc w:val="both"/>
        <w:rPr>
          <w:rFonts w:ascii="Times New Roman" w:hAnsi="Times New Roman" w:cs="Times New Roman"/>
          <w:b/>
          <w:bCs/>
          <w:color w:val="000000" w:themeColor="text1"/>
          <w:sz w:val="20"/>
          <w:szCs w:val="20"/>
        </w:rPr>
      </w:pPr>
    </w:p>
    <w:p w:rsidR="00EB7070" w:rsidRPr="005B79DC" w:rsidRDefault="00EB7070" w:rsidP="00E4305D">
      <w:pPr>
        <w:pStyle w:val="NoSpacing"/>
        <w:jc w:val="both"/>
        <w:rPr>
          <w:rFonts w:ascii="Times New Roman" w:hAnsi="Times New Roman" w:cs="Times New Roman"/>
          <w:b/>
          <w:bCs/>
          <w:color w:val="000000" w:themeColor="text1"/>
          <w:sz w:val="20"/>
          <w:szCs w:val="20"/>
        </w:rPr>
      </w:pPr>
      <w:r w:rsidRPr="005B79DC">
        <w:rPr>
          <w:rFonts w:ascii="Times New Roman" w:hAnsi="Times New Roman" w:cs="Times New Roman"/>
          <w:b/>
          <w:bCs/>
          <w:color w:val="000000" w:themeColor="text1"/>
          <w:sz w:val="20"/>
          <w:szCs w:val="20"/>
        </w:rPr>
        <w:t>METHOD</w:t>
      </w:r>
    </w:p>
    <w:p w:rsidR="00EB7070" w:rsidRPr="005B79DC" w:rsidRDefault="00EB7070" w:rsidP="009F09A9">
      <w:pPr>
        <w:pStyle w:val="NoSpacing"/>
        <w:jc w:val="both"/>
        <w:rPr>
          <w:rFonts w:ascii="Times New Roman" w:hAnsi="Times New Roman" w:cs="Times New Roman"/>
          <w:color w:val="000000" w:themeColor="text1"/>
          <w:sz w:val="20"/>
          <w:szCs w:val="20"/>
        </w:rPr>
      </w:pPr>
      <w:r w:rsidRPr="005B79DC">
        <w:rPr>
          <w:rFonts w:ascii="Times New Roman" w:hAnsi="Times New Roman" w:cs="Times New Roman"/>
          <w:color w:val="000000" w:themeColor="text1"/>
          <w:sz w:val="20"/>
          <w:szCs w:val="20"/>
        </w:rPr>
        <w:t>Two groups of participants, hea</w:t>
      </w:r>
      <w:r w:rsidR="004B1C0A" w:rsidRPr="005B79DC">
        <w:rPr>
          <w:rFonts w:ascii="Times New Roman" w:hAnsi="Times New Roman" w:cs="Times New Roman"/>
          <w:color w:val="000000" w:themeColor="text1"/>
          <w:sz w:val="20"/>
          <w:szCs w:val="20"/>
        </w:rPr>
        <w:t>lthy control (n=12</w:t>
      </w:r>
      <w:r w:rsidR="00453AB3" w:rsidRPr="005B79DC">
        <w:rPr>
          <w:rFonts w:ascii="Times New Roman" w:hAnsi="Times New Roman" w:cs="Times New Roman"/>
          <w:color w:val="000000" w:themeColor="text1"/>
          <w:sz w:val="20"/>
          <w:szCs w:val="20"/>
        </w:rPr>
        <w:t xml:space="preserve">, mean age </w:t>
      </w:r>
      <w:r w:rsidR="004B1C0A" w:rsidRPr="005B79DC">
        <w:rPr>
          <w:rFonts w:ascii="Times New Roman" w:hAnsi="Times New Roman" w:cs="Times New Roman"/>
          <w:color w:val="000000" w:themeColor="text1"/>
          <w:sz w:val="20"/>
          <w:szCs w:val="20"/>
        </w:rPr>
        <w:t>31.2 ± 9.5</w:t>
      </w:r>
      <w:r w:rsidR="00257FBD" w:rsidRPr="005B79DC">
        <w:rPr>
          <w:rFonts w:ascii="Times New Roman" w:hAnsi="Times New Roman" w:cs="Times New Roman"/>
          <w:color w:val="000000" w:themeColor="text1"/>
          <w:sz w:val="20"/>
          <w:szCs w:val="20"/>
        </w:rPr>
        <w:t xml:space="preserve"> years</w:t>
      </w:r>
      <w:r w:rsidRPr="005B79DC">
        <w:rPr>
          <w:rFonts w:ascii="Times New Roman" w:hAnsi="Times New Roman" w:cs="Times New Roman"/>
          <w:color w:val="000000" w:themeColor="text1"/>
          <w:sz w:val="20"/>
          <w:szCs w:val="20"/>
        </w:rPr>
        <w:t xml:space="preserve">), and a group of participants who </w:t>
      </w:r>
      <w:r w:rsidR="009F09A9" w:rsidRPr="005B79DC">
        <w:rPr>
          <w:rFonts w:ascii="Times New Roman" w:hAnsi="Times New Roman" w:cs="Times New Roman"/>
          <w:color w:val="000000" w:themeColor="text1"/>
          <w:sz w:val="20"/>
          <w:szCs w:val="20"/>
        </w:rPr>
        <w:t xml:space="preserve">have </w:t>
      </w:r>
      <w:r w:rsidRPr="005B79DC">
        <w:rPr>
          <w:rFonts w:ascii="Times New Roman" w:hAnsi="Times New Roman" w:cs="Times New Roman"/>
          <w:color w:val="000000" w:themeColor="text1"/>
          <w:sz w:val="20"/>
          <w:szCs w:val="20"/>
        </w:rPr>
        <w:lastRenderedPageBreak/>
        <w:t>had a history of</w:t>
      </w:r>
      <w:r w:rsidR="00FD4FFD" w:rsidRPr="005B79DC">
        <w:rPr>
          <w:rFonts w:ascii="Times New Roman" w:hAnsi="Times New Roman" w:cs="Times New Roman"/>
          <w:color w:val="000000" w:themeColor="text1"/>
          <w:sz w:val="20"/>
          <w:szCs w:val="20"/>
        </w:rPr>
        <w:t>,</w:t>
      </w:r>
      <w:r w:rsidRPr="005B79DC">
        <w:rPr>
          <w:rFonts w:ascii="Times New Roman" w:hAnsi="Times New Roman" w:cs="Times New Roman"/>
          <w:color w:val="000000" w:themeColor="text1"/>
          <w:sz w:val="20"/>
          <w:szCs w:val="20"/>
        </w:rPr>
        <w:t xml:space="preserve"> but not current</w:t>
      </w:r>
      <w:r w:rsidR="00FD4FFD" w:rsidRPr="005B79DC">
        <w:rPr>
          <w:rFonts w:ascii="Times New Roman" w:hAnsi="Times New Roman" w:cs="Times New Roman"/>
          <w:color w:val="000000" w:themeColor="text1"/>
          <w:sz w:val="20"/>
          <w:szCs w:val="20"/>
        </w:rPr>
        <w:t>,</w:t>
      </w:r>
      <w:r w:rsidRPr="005B79DC">
        <w:rPr>
          <w:rFonts w:ascii="Times New Roman" w:hAnsi="Times New Roman" w:cs="Times New Roman"/>
          <w:color w:val="000000" w:themeColor="text1"/>
          <w:sz w:val="20"/>
          <w:szCs w:val="20"/>
        </w:rPr>
        <w:t xml:space="preserve"> </w:t>
      </w:r>
      <w:r w:rsidR="00257FBD" w:rsidRPr="005B79DC">
        <w:rPr>
          <w:rFonts w:ascii="Times New Roman" w:hAnsi="Times New Roman" w:cs="Times New Roman"/>
          <w:color w:val="000000" w:themeColor="text1"/>
          <w:sz w:val="20"/>
          <w:szCs w:val="20"/>
        </w:rPr>
        <w:t>shoulder pain (n=6, mean age 44.3 ± 14.7 years</w:t>
      </w:r>
      <w:r w:rsidRPr="005B79DC">
        <w:rPr>
          <w:rFonts w:ascii="Times New Roman" w:hAnsi="Times New Roman" w:cs="Times New Roman"/>
          <w:color w:val="000000" w:themeColor="text1"/>
          <w:sz w:val="20"/>
          <w:szCs w:val="20"/>
        </w:rPr>
        <w:t>) completed a motor control test of the</w:t>
      </w:r>
      <w:r w:rsidR="00DD7AEB" w:rsidRPr="005B79DC">
        <w:rPr>
          <w:rFonts w:ascii="Times New Roman" w:hAnsi="Times New Roman" w:cs="Times New Roman"/>
          <w:color w:val="000000" w:themeColor="text1"/>
          <w:sz w:val="20"/>
          <w:szCs w:val="20"/>
        </w:rPr>
        <w:t xml:space="preserve"> scapula</w:t>
      </w:r>
      <w:r w:rsidRPr="005B79DC">
        <w:rPr>
          <w:rFonts w:ascii="Times New Roman" w:hAnsi="Times New Roman" w:cs="Times New Roman"/>
          <w:color w:val="000000" w:themeColor="text1"/>
          <w:sz w:val="20"/>
          <w:szCs w:val="20"/>
        </w:rPr>
        <w:t xml:space="preserve">. The test is based on the concept of dissociation which is defined as the ability to control one </w:t>
      </w:r>
      <w:r w:rsidR="004B1C0A" w:rsidRPr="005B79DC">
        <w:rPr>
          <w:rFonts w:ascii="Times New Roman" w:hAnsi="Times New Roman" w:cs="Times New Roman"/>
          <w:color w:val="000000" w:themeColor="text1"/>
          <w:sz w:val="20"/>
          <w:szCs w:val="20"/>
        </w:rPr>
        <w:t>segment, whi</w:t>
      </w:r>
      <w:r w:rsidR="00A52B4F" w:rsidRPr="005B79DC">
        <w:rPr>
          <w:rFonts w:ascii="Times New Roman" w:eastAsia="PMingLiU" w:hAnsi="Times New Roman" w:cs="Times New Roman" w:hint="eastAsia"/>
          <w:color w:val="000000" w:themeColor="text1"/>
          <w:sz w:val="20"/>
          <w:szCs w:val="20"/>
          <w:lang w:eastAsia="zh-TW"/>
        </w:rPr>
        <w:t>l</w:t>
      </w:r>
      <w:r w:rsidR="004B1C0A" w:rsidRPr="005B79DC">
        <w:rPr>
          <w:rFonts w:ascii="Times New Roman" w:hAnsi="Times New Roman" w:cs="Times New Roman"/>
          <w:color w:val="000000" w:themeColor="text1"/>
          <w:sz w:val="20"/>
          <w:szCs w:val="20"/>
        </w:rPr>
        <w:t>st moving another [3</w:t>
      </w:r>
      <w:r w:rsidRPr="005B79DC">
        <w:rPr>
          <w:rFonts w:ascii="Times New Roman" w:hAnsi="Times New Roman" w:cs="Times New Roman"/>
          <w:color w:val="000000" w:themeColor="text1"/>
          <w:sz w:val="20"/>
          <w:szCs w:val="20"/>
        </w:rPr>
        <w:t>]. The test consisted of manual placement of the scapul</w:t>
      </w:r>
      <w:r w:rsidR="00FD4FFD" w:rsidRPr="005B79DC">
        <w:rPr>
          <w:rFonts w:ascii="Times New Roman" w:hAnsi="Times New Roman" w:cs="Times New Roman"/>
          <w:color w:val="000000" w:themeColor="text1"/>
          <w:sz w:val="20"/>
          <w:szCs w:val="20"/>
        </w:rPr>
        <w:t>a into the neutral position (</w:t>
      </w:r>
      <w:r w:rsidRPr="005B79DC">
        <w:rPr>
          <w:rFonts w:ascii="Times New Roman" w:hAnsi="Times New Roman" w:cs="Times New Roman"/>
          <w:color w:val="000000" w:themeColor="text1"/>
          <w:sz w:val="20"/>
          <w:szCs w:val="20"/>
        </w:rPr>
        <w:t>mid-point of all directions of scapular movement) which was held by the participant. The participant then performed arm flexion</w:t>
      </w:r>
      <w:r w:rsidR="00DD7AEB" w:rsidRPr="005B79DC">
        <w:rPr>
          <w:rFonts w:ascii="Times New Roman" w:hAnsi="Times New Roman" w:cs="Times New Roman"/>
          <w:color w:val="000000" w:themeColor="text1"/>
          <w:sz w:val="20"/>
          <w:szCs w:val="20"/>
        </w:rPr>
        <w:t xml:space="preserve"> </w:t>
      </w:r>
      <w:r w:rsidR="00137532" w:rsidRPr="005B79DC">
        <w:rPr>
          <w:rFonts w:ascii="Times New Roman" w:hAnsi="Times New Roman" w:cs="Times New Roman"/>
          <w:color w:val="000000" w:themeColor="text1"/>
          <w:sz w:val="20"/>
          <w:szCs w:val="20"/>
        </w:rPr>
        <w:t>to 90° elevation</w:t>
      </w:r>
      <w:r w:rsidR="009F09A9" w:rsidRPr="005B79DC">
        <w:rPr>
          <w:rFonts w:ascii="Times New Roman" w:hAnsi="Times New Roman" w:cs="Times New Roman"/>
          <w:color w:val="000000" w:themeColor="text1"/>
          <w:sz w:val="20"/>
          <w:szCs w:val="20"/>
        </w:rPr>
        <w:t>,</w:t>
      </w:r>
      <w:r w:rsidR="00137532" w:rsidRPr="005B79DC">
        <w:rPr>
          <w:rFonts w:ascii="Times New Roman" w:hAnsi="Times New Roman" w:cs="Times New Roman"/>
          <w:color w:val="000000" w:themeColor="text1"/>
          <w:sz w:val="20"/>
          <w:szCs w:val="20"/>
        </w:rPr>
        <w:t xml:space="preserve"> </w:t>
      </w:r>
      <w:r w:rsidR="009F09A9" w:rsidRPr="005B79DC">
        <w:rPr>
          <w:rFonts w:ascii="Times New Roman" w:hAnsi="Times New Roman" w:cs="Times New Roman"/>
          <w:color w:val="000000" w:themeColor="text1"/>
          <w:sz w:val="20"/>
          <w:szCs w:val="20"/>
        </w:rPr>
        <w:t xml:space="preserve">then </w:t>
      </w:r>
      <w:r w:rsidR="00DD7AEB" w:rsidRPr="005B79DC">
        <w:rPr>
          <w:rFonts w:ascii="Times New Roman" w:hAnsi="Times New Roman" w:cs="Times New Roman"/>
          <w:color w:val="000000" w:themeColor="text1"/>
          <w:sz w:val="20"/>
          <w:szCs w:val="20"/>
        </w:rPr>
        <w:t>extension</w:t>
      </w:r>
      <w:r w:rsidR="009F09A9" w:rsidRPr="005B79DC">
        <w:rPr>
          <w:rFonts w:ascii="Times New Roman" w:hAnsi="Times New Roman" w:cs="Times New Roman"/>
          <w:color w:val="000000" w:themeColor="text1"/>
          <w:sz w:val="20"/>
          <w:szCs w:val="20"/>
        </w:rPr>
        <w:t>,</w:t>
      </w:r>
      <w:r w:rsidRPr="005B79DC">
        <w:rPr>
          <w:rFonts w:ascii="Times New Roman" w:hAnsi="Times New Roman" w:cs="Times New Roman"/>
          <w:color w:val="000000" w:themeColor="text1"/>
          <w:sz w:val="20"/>
          <w:szCs w:val="20"/>
        </w:rPr>
        <w:t xml:space="preserve"> in the sagittal plane. During the test the participants were asked to maintain control of the scapula. The test was repeated</w:t>
      </w:r>
      <w:r w:rsidR="00FD4FFD" w:rsidRPr="005B79DC">
        <w:rPr>
          <w:rFonts w:ascii="Times New Roman" w:hAnsi="Times New Roman" w:cs="Times New Roman"/>
          <w:color w:val="000000" w:themeColor="text1"/>
          <w:sz w:val="20"/>
          <w:szCs w:val="20"/>
        </w:rPr>
        <w:t xml:space="preserve"> 3 times. Scapular kinematics was</w:t>
      </w:r>
      <w:r w:rsidRPr="005B79DC">
        <w:rPr>
          <w:rFonts w:ascii="Times New Roman" w:hAnsi="Times New Roman" w:cs="Times New Roman"/>
          <w:color w:val="000000" w:themeColor="text1"/>
          <w:sz w:val="20"/>
          <w:szCs w:val="20"/>
        </w:rPr>
        <w:t xml:space="preserve"> recorded at 120Hz using a 6 camera Vicon 460 (Vicon Motion Systems, Oxford, UK) motion capture system. The acromion marker cluster, which has shown to be valid duri</w:t>
      </w:r>
      <w:r w:rsidR="004B1C0A" w:rsidRPr="005B79DC">
        <w:rPr>
          <w:rFonts w:ascii="Times New Roman" w:hAnsi="Times New Roman" w:cs="Times New Roman"/>
          <w:color w:val="000000" w:themeColor="text1"/>
          <w:sz w:val="20"/>
          <w:szCs w:val="20"/>
        </w:rPr>
        <w:t>ng arm elevation and lowering [4,5</w:t>
      </w:r>
      <w:r w:rsidRPr="005B79DC">
        <w:rPr>
          <w:rFonts w:ascii="Times New Roman" w:hAnsi="Times New Roman" w:cs="Times New Roman"/>
          <w:color w:val="000000" w:themeColor="text1"/>
          <w:sz w:val="20"/>
          <w:szCs w:val="20"/>
        </w:rPr>
        <w:t>], was used to obtain scapular kinematics. Bony landmark, local coordinate systems and Euler angle rotations were defined according t</w:t>
      </w:r>
      <w:r w:rsidR="004B1C0A" w:rsidRPr="005B79DC">
        <w:rPr>
          <w:rFonts w:ascii="Times New Roman" w:hAnsi="Times New Roman" w:cs="Times New Roman"/>
          <w:color w:val="000000" w:themeColor="text1"/>
          <w:sz w:val="20"/>
          <w:szCs w:val="20"/>
        </w:rPr>
        <w:t>o ISB recommendations [6</w:t>
      </w:r>
      <w:r w:rsidRPr="005B79DC">
        <w:rPr>
          <w:rFonts w:ascii="Times New Roman" w:hAnsi="Times New Roman" w:cs="Times New Roman"/>
          <w:color w:val="000000" w:themeColor="text1"/>
          <w:sz w:val="20"/>
          <w:szCs w:val="20"/>
        </w:rPr>
        <w:t>].</w:t>
      </w:r>
      <w:r w:rsidR="00886DB4" w:rsidRPr="005B79DC">
        <w:rPr>
          <w:rFonts w:ascii="Times New Roman" w:hAnsi="Times New Roman" w:cs="Times New Roman"/>
          <w:color w:val="000000" w:themeColor="text1"/>
          <w:sz w:val="20"/>
          <w:szCs w:val="20"/>
        </w:rPr>
        <w:t xml:space="preserve"> Various kinematic data related to the </w:t>
      </w:r>
      <w:r w:rsidR="009F09A9" w:rsidRPr="005B79DC">
        <w:rPr>
          <w:rFonts w:ascii="Times New Roman" w:hAnsi="Times New Roman" w:cs="Times New Roman"/>
          <w:color w:val="000000" w:themeColor="text1"/>
          <w:sz w:val="20"/>
          <w:szCs w:val="20"/>
        </w:rPr>
        <w:t xml:space="preserve">orientation </w:t>
      </w:r>
      <w:r w:rsidR="00886DB4" w:rsidRPr="005B79DC">
        <w:rPr>
          <w:rFonts w:ascii="Times New Roman" w:hAnsi="Times New Roman" w:cs="Times New Roman"/>
          <w:color w:val="000000" w:themeColor="text1"/>
          <w:sz w:val="20"/>
          <w:szCs w:val="20"/>
        </w:rPr>
        <w:t>of the scapula at specific points during the test</w:t>
      </w:r>
      <w:r w:rsidR="00D83E96" w:rsidRPr="005B79DC">
        <w:rPr>
          <w:rFonts w:ascii="Times New Roman" w:hAnsi="Times New Roman" w:cs="Times New Roman"/>
          <w:color w:val="000000" w:themeColor="text1"/>
          <w:sz w:val="20"/>
          <w:szCs w:val="20"/>
        </w:rPr>
        <w:t>,</w:t>
      </w:r>
      <w:r w:rsidR="00886DB4" w:rsidRPr="005B79DC">
        <w:rPr>
          <w:rFonts w:ascii="Times New Roman" w:hAnsi="Times New Roman" w:cs="Times New Roman"/>
          <w:color w:val="000000" w:themeColor="text1"/>
          <w:sz w:val="20"/>
          <w:szCs w:val="20"/>
        </w:rPr>
        <w:t xml:space="preserve"> and principal component </w:t>
      </w:r>
      <w:r w:rsidR="00D83E96" w:rsidRPr="005B79DC">
        <w:rPr>
          <w:rFonts w:ascii="Times New Roman" w:hAnsi="Times New Roman" w:cs="Times New Roman"/>
          <w:color w:val="000000" w:themeColor="text1"/>
          <w:sz w:val="20"/>
          <w:szCs w:val="20"/>
        </w:rPr>
        <w:t xml:space="preserve">(PC) </w:t>
      </w:r>
      <w:r w:rsidR="00886DB4" w:rsidRPr="005B79DC">
        <w:rPr>
          <w:rFonts w:ascii="Times New Roman" w:hAnsi="Times New Roman" w:cs="Times New Roman"/>
          <w:color w:val="000000" w:themeColor="text1"/>
          <w:sz w:val="20"/>
          <w:szCs w:val="20"/>
        </w:rPr>
        <w:t xml:space="preserve">scores </w:t>
      </w:r>
      <w:r w:rsidR="00D83E96" w:rsidRPr="005B79DC">
        <w:rPr>
          <w:rFonts w:ascii="Times New Roman" w:hAnsi="Times New Roman" w:cs="Times New Roman"/>
          <w:color w:val="000000" w:themeColor="text1"/>
          <w:sz w:val="20"/>
          <w:szCs w:val="20"/>
        </w:rPr>
        <w:t xml:space="preserve">of the kinematic waveform </w:t>
      </w:r>
      <w:r w:rsidR="00886DB4" w:rsidRPr="005B79DC">
        <w:rPr>
          <w:rFonts w:ascii="Times New Roman" w:hAnsi="Times New Roman" w:cs="Times New Roman"/>
          <w:color w:val="000000" w:themeColor="text1"/>
          <w:sz w:val="20"/>
          <w:szCs w:val="20"/>
        </w:rPr>
        <w:t>[7]</w:t>
      </w:r>
      <w:r w:rsidR="00D83E96" w:rsidRPr="005B79DC">
        <w:rPr>
          <w:rFonts w:ascii="Times New Roman" w:hAnsi="Times New Roman" w:cs="Times New Roman"/>
          <w:color w:val="000000" w:themeColor="text1"/>
          <w:sz w:val="20"/>
          <w:szCs w:val="20"/>
        </w:rPr>
        <w:t>,</w:t>
      </w:r>
      <w:r w:rsidR="00886DB4" w:rsidRPr="005B79DC">
        <w:rPr>
          <w:rFonts w:ascii="Times New Roman" w:hAnsi="Times New Roman" w:cs="Times New Roman"/>
          <w:color w:val="000000" w:themeColor="text1"/>
          <w:sz w:val="20"/>
          <w:szCs w:val="20"/>
        </w:rPr>
        <w:t xml:space="preserve"> were then extracted and used </w:t>
      </w:r>
      <w:r w:rsidR="00D83E96" w:rsidRPr="005B79DC">
        <w:rPr>
          <w:rFonts w:ascii="Times New Roman" w:hAnsi="Times New Roman" w:cs="Times New Roman"/>
          <w:color w:val="000000" w:themeColor="text1"/>
          <w:sz w:val="20"/>
          <w:szCs w:val="20"/>
        </w:rPr>
        <w:t>for classification.</w:t>
      </w:r>
    </w:p>
    <w:p w:rsidR="00D83E96" w:rsidRPr="005B79DC" w:rsidRDefault="00D83E96" w:rsidP="00D83E96">
      <w:pPr>
        <w:pStyle w:val="NoSpacing"/>
        <w:jc w:val="both"/>
        <w:rPr>
          <w:rFonts w:ascii="Times New Roman" w:hAnsi="Times New Roman" w:cs="Times New Roman"/>
          <w:color w:val="000000" w:themeColor="text1"/>
          <w:sz w:val="20"/>
          <w:szCs w:val="20"/>
        </w:rPr>
      </w:pPr>
    </w:p>
    <w:p w:rsidR="00EB7070" w:rsidRPr="005B79DC" w:rsidRDefault="0079133A" w:rsidP="00164741">
      <w:pPr>
        <w:pStyle w:val="NoSpacing"/>
        <w:jc w:val="both"/>
        <w:rPr>
          <w:rFonts w:ascii="Times New Roman" w:hAnsi="Times New Roman" w:cs="Times New Roman"/>
          <w:color w:val="000000" w:themeColor="text1"/>
          <w:sz w:val="20"/>
          <w:szCs w:val="20"/>
        </w:rPr>
      </w:pPr>
      <w:r w:rsidRPr="005B79DC">
        <w:rPr>
          <w:rFonts w:ascii="Times New Roman" w:hAnsi="Times New Roman" w:cs="Times New Roman"/>
          <w:color w:val="000000" w:themeColor="text1"/>
          <w:sz w:val="20"/>
          <w:szCs w:val="20"/>
        </w:rPr>
        <w:t>The</w:t>
      </w:r>
      <w:r w:rsidR="00547836" w:rsidRPr="005B79DC">
        <w:rPr>
          <w:rFonts w:ascii="Times New Roman" w:hAnsi="Times New Roman" w:cs="Times New Roman"/>
          <w:color w:val="000000" w:themeColor="text1"/>
          <w:sz w:val="20"/>
          <w:szCs w:val="20"/>
        </w:rPr>
        <w:t xml:space="preserve"> </w:t>
      </w:r>
      <w:r w:rsidR="002B5FB9" w:rsidRPr="005B79DC">
        <w:rPr>
          <w:rFonts w:ascii="Times New Roman" w:hAnsi="Times New Roman" w:cs="Times New Roman"/>
          <w:color w:val="000000" w:themeColor="text1"/>
          <w:sz w:val="20"/>
          <w:szCs w:val="20"/>
        </w:rPr>
        <w:t>DST</w:t>
      </w:r>
      <w:r w:rsidR="00EB7070" w:rsidRPr="005B79DC">
        <w:rPr>
          <w:rFonts w:ascii="Times New Roman" w:hAnsi="Times New Roman" w:cs="Times New Roman"/>
          <w:color w:val="000000" w:themeColor="text1"/>
          <w:sz w:val="20"/>
          <w:szCs w:val="20"/>
        </w:rPr>
        <w:t xml:space="preserve"> classification method </w:t>
      </w:r>
      <w:r w:rsidR="004B1C0A" w:rsidRPr="005B79DC">
        <w:rPr>
          <w:rFonts w:ascii="Times New Roman" w:hAnsi="Times New Roman" w:cs="Times New Roman"/>
          <w:color w:val="000000" w:themeColor="text1"/>
          <w:sz w:val="20"/>
          <w:szCs w:val="20"/>
        </w:rPr>
        <w:t xml:space="preserve">as </w:t>
      </w:r>
      <w:r w:rsidR="009F09A9" w:rsidRPr="005B79DC">
        <w:rPr>
          <w:rFonts w:ascii="Times New Roman" w:hAnsi="Times New Roman" w:cs="Times New Roman"/>
          <w:color w:val="000000" w:themeColor="text1"/>
          <w:sz w:val="20"/>
          <w:szCs w:val="20"/>
        </w:rPr>
        <w:t xml:space="preserve">described </w:t>
      </w:r>
      <w:r w:rsidR="004B1C0A" w:rsidRPr="005B79DC">
        <w:rPr>
          <w:rFonts w:ascii="Times New Roman" w:hAnsi="Times New Roman" w:cs="Times New Roman"/>
          <w:color w:val="000000" w:themeColor="text1"/>
          <w:sz w:val="20"/>
          <w:szCs w:val="20"/>
        </w:rPr>
        <w:t>by Jones et al [2</w:t>
      </w:r>
      <w:r w:rsidR="00EB7070" w:rsidRPr="005B79DC">
        <w:rPr>
          <w:rFonts w:ascii="Times New Roman" w:hAnsi="Times New Roman" w:cs="Times New Roman"/>
          <w:color w:val="000000" w:themeColor="text1"/>
          <w:sz w:val="20"/>
          <w:szCs w:val="20"/>
        </w:rPr>
        <w:t xml:space="preserve">] allows the combination of different </w:t>
      </w:r>
      <w:r w:rsidR="007B537B" w:rsidRPr="005B79DC">
        <w:rPr>
          <w:rFonts w:ascii="Times New Roman" w:hAnsi="Times New Roman" w:cs="Times New Roman"/>
          <w:color w:val="000000" w:themeColor="text1"/>
          <w:sz w:val="20"/>
          <w:szCs w:val="20"/>
        </w:rPr>
        <w:t>variable</w:t>
      </w:r>
      <w:r w:rsidR="00EB7070" w:rsidRPr="005B79DC">
        <w:rPr>
          <w:rFonts w:ascii="Times New Roman" w:hAnsi="Times New Roman" w:cs="Times New Roman"/>
          <w:color w:val="000000" w:themeColor="text1"/>
          <w:sz w:val="20"/>
          <w:szCs w:val="20"/>
        </w:rPr>
        <w:t>s to</w:t>
      </w:r>
      <w:r w:rsidR="004B1C0A" w:rsidRPr="005B79DC">
        <w:rPr>
          <w:rFonts w:ascii="Times New Roman" w:hAnsi="Times New Roman" w:cs="Times New Roman"/>
          <w:color w:val="000000" w:themeColor="text1"/>
          <w:sz w:val="20"/>
          <w:szCs w:val="20"/>
        </w:rPr>
        <w:t xml:space="preserve"> arrive at a degree of belief [8,9</w:t>
      </w:r>
      <w:r w:rsidR="00EB7070" w:rsidRPr="005B79DC">
        <w:rPr>
          <w:rFonts w:ascii="Times New Roman" w:hAnsi="Times New Roman" w:cs="Times New Roman"/>
          <w:color w:val="000000" w:themeColor="text1"/>
          <w:sz w:val="20"/>
          <w:szCs w:val="20"/>
        </w:rPr>
        <w:t xml:space="preserve">]. </w:t>
      </w:r>
      <w:r w:rsidR="00D83E96" w:rsidRPr="005B79DC">
        <w:rPr>
          <w:rFonts w:ascii="Times New Roman" w:hAnsi="Times New Roman" w:cs="Times New Roman"/>
          <w:color w:val="000000" w:themeColor="text1"/>
          <w:sz w:val="20"/>
          <w:szCs w:val="20"/>
        </w:rPr>
        <w:t xml:space="preserve">The </w:t>
      </w:r>
      <w:r w:rsidR="008877D5" w:rsidRPr="005B79DC">
        <w:rPr>
          <w:rFonts w:ascii="Times New Roman" w:hAnsi="Times New Roman" w:cs="Times New Roman"/>
          <w:color w:val="000000" w:themeColor="text1"/>
          <w:sz w:val="20"/>
          <w:szCs w:val="20"/>
        </w:rPr>
        <w:t>input</w:t>
      </w:r>
      <w:r w:rsidR="002D5F34" w:rsidRPr="005B79DC">
        <w:rPr>
          <w:rFonts w:ascii="Times New Roman" w:hAnsi="Times New Roman" w:cs="Times New Roman"/>
          <w:color w:val="000000" w:themeColor="text1"/>
          <w:sz w:val="20"/>
          <w:szCs w:val="20"/>
        </w:rPr>
        <w:t xml:space="preserve"> </w:t>
      </w:r>
      <w:r w:rsidR="00D83E96" w:rsidRPr="005B79DC">
        <w:rPr>
          <w:rFonts w:ascii="Times New Roman" w:hAnsi="Times New Roman" w:cs="Times New Roman"/>
          <w:color w:val="000000" w:themeColor="text1"/>
          <w:sz w:val="20"/>
          <w:szCs w:val="20"/>
        </w:rPr>
        <w:t xml:space="preserve">variables are </w:t>
      </w:r>
      <w:r w:rsidR="00EB7070" w:rsidRPr="005B79DC">
        <w:rPr>
          <w:rFonts w:ascii="Times New Roman" w:hAnsi="Times New Roman" w:cs="Times New Roman"/>
          <w:color w:val="000000" w:themeColor="text1"/>
          <w:sz w:val="20"/>
          <w:szCs w:val="20"/>
        </w:rPr>
        <w:t>converted into 3 “belief values”</w:t>
      </w:r>
      <w:r w:rsidR="002D5F34" w:rsidRPr="005B79DC">
        <w:rPr>
          <w:rFonts w:ascii="Times New Roman" w:hAnsi="Times New Roman" w:cs="Times New Roman"/>
          <w:color w:val="000000" w:themeColor="text1"/>
          <w:sz w:val="20"/>
          <w:szCs w:val="20"/>
        </w:rPr>
        <w:t>.</w:t>
      </w:r>
      <w:r w:rsidR="00EB7070" w:rsidRPr="005B79DC">
        <w:rPr>
          <w:rFonts w:ascii="Times New Roman" w:hAnsi="Times New Roman" w:cs="Times New Roman"/>
          <w:color w:val="000000" w:themeColor="text1"/>
          <w:sz w:val="20"/>
          <w:szCs w:val="20"/>
        </w:rPr>
        <w:t xml:space="preserve"> </w:t>
      </w:r>
      <w:r w:rsidR="002D5F34" w:rsidRPr="005B79DC">
        <w:rPr>
          <w:rFonts w:ascii="Times New Roman" w:hAnsi="Times New Roman" w:cs="Times New Roman"/>
          <w:color w:val="000000" w:themeColor="text1"/>
          <w:sz w:val="20"/>
          <w:szCs w:val="20"/>
        </w:rPr>
        <w:t xml:space="preserve">These </w:t>
      </w:r>
      <w:r w:rsidR="00EB7070" w:rsidRPr="005B79DC">
        <w:rPr>
          <w:rFonts w:ascii="Times New Roman" w:hAnsi="Times New Roman" w:cs="Times New Roman"/>
          <w:color w:val="000000" w:themeColor="text1"/>
          <w:sz w:val="20"/>
          <w:szCs w:val="20"/>
        </w:rPr>
        <w:t>denote the level of belief that a participant has movement</w:t>
      </w:r>
      <w:r w:rsidR="002D5F34" w:rsidRPr="005B79DC">
        <w:rPr>
          <w:rFonts w:ascii="Times New Roman" w:hAnsi="Times New Roman" w:cs="Times New Roman"/>
          <w:color w:val="000000" w:themeColor="text1"/>
          <w:sz w:val="20"/>
          <w:szCs w:val="20"/>
        </w:rPr>
        <w:t xml:space="preserve"> faults of the scapula</w:t>
      </w:r>
      <w:r w:rsidR="00EB7070" w:rsidRPr="005B79DC">
        <w:rPr>
          <w:rFonts w:ascii="Times New Roman" w:hAnsi="Times New Roman" w:cs="Times New Roman"/>
          <w:color w:val="000000" w:themeColor="text1"/>
          <w:sz w:val="20"/>
          <w:szCs w:val="20"/>
        </w:rPr>
        <w:t xml:space="preserve">, the level of belief that the participant </w:t>
      </w:r>
      <w:r w:rsidR="002D5F34" w:rsidRPr="005B79DC">
        <w:rPr>
          <w:rFonts w:ascii="Times New Roman" w:hAnsi="Times New Roman" w:cs="Times New Roman"/>
          <w:color w:val="000000" w:themeColor="text1"/>
          <w:sz w:val="20"/>
          <w:szCs w:val="20"/>
        </w:rPr>
        <w:t>does not have movement faults,</w:t>
      </w:r>
      <w:r w:rsidR="009F09A9" w:rsidRPr="005B79DC">
        <w:rPr>
          <w:rFonts w:ascii="Times New Roman" w:hAnsi="Times New Roman" w:cs="Times New Roman"/>
          <w:color w:val="000000" w:themeColor="text1"/>
          <w:sz w:val="20"/>
          <w:szCs w:val="20"/>
        </w:rPr>
        <w:t xml:space="preserve"> and the level of </w:t>
      </w:r>
      <w:r w:rsidR="00EB7070" w:rsidRPr="005B79DC">
        <w:rPr>
          <w:rFonts w:ascii="Times New Roman" w:hAnsi="Times New Roman" w:cs="Times New Roman"/>
          <w:color w:val="000000" w:themeColor="text1"/>
          <w:sz w:val="20"/>
          <w:szCs w:val="20"/>
        </w:rPr>
        <w:t>uncertainty. The results are then represented in a simplex plot where the apex of each point on an equilateral triangle relates to each of the belief values. The triangle is divided into regions</w:t>
      </w:r>
      <w:r w:rsidR="009B452D" w:rsidRPr="005B79DC">
        <w:rPr>
          <w:rFonts w:ascii="Times New Roman" w:hAnsi="Times New Roman" w:cs="Times New Roman"/>
          <w:color w:val="000000" w:themeColor="text1"/>
          <w:sz w:val="20"/>
          <w:szCs w:val="20"/>
        </w:rPr>
        <w:t xml:space="preserve"> of dominant and non-dominant classification</w:t>
      </w:r>
      <w:r w:rsidR="00EB7070" w:rsidRPr="005B79DC">
        <w:rPr>
          <w:rFonts w:ascii="Times New Roman" w:hAnsi="Times New Roman" w:cs="Times New Roman"/>
          <w:color w:val="000000" w:themeColor="text1"/>
          <w:sz w:val="20"/>
          <w:szCs w:val="20"/>
        </w:rPr>
        <w:t xml:space="preserve">. The lower right </w:t>
      </w:r>
      <w:r w:rsidR="00137532" w:rsidRPr="005B79DC">
        <w:rPr>
          <w:rFonts w:ascii="Times New Roman" w:hAnsi="Times New Roman" w:cs="Times New Roman"/>
          <w:color w:val="000000" w:themeColor="text1"/>
          <w:sz w:val="20"/>
          <w:szCs w:val="20"/>
        </w:rPr>
        <w:t xml:space="preserve">region </w:t>
      </w:r>
      <w:r w:rsidR="00EB7070" w:rsidRPr="005B79DC">
        <w:rPr>
          <w:rFonts w:ascii="Times New Roman" w:hAnsi="Times New Roman" w:cs="Times New Roman"/>
          <w:color w:val="000000" w:themeColor="text1"/>
          <w:sz w:val="20"/>
          <w:szCs w:val="20"/>
        </w:rPr>
        <w:t>classifies the participant as having</w:t>
      </w:r>
      <w:r w:rsidR="009B452D" w:rsidRPr="005B79DC">
        <w:rPr>
          <w:rFonts w:ascii="Times New Roman" w:hAnsi="Times New Roman" w:cs="Times New Roman"/>
          <w:color w:val="000000" w:themeColor="text1"/>
          <w:sz w:val="20"/>
          <w:szCs w:val="20"/>
        </w:rPr>
        <w:t xml:space="preserve"> </w:t>
      </w:r>
      <w:r w:rsidR="002D5F34" w:rsidRPr="005B79DC">
        <w:rPr>
          <w:rFonts w:ascii="Times New Roman" w:hAnsi="Times New Roman" w:cs="Times New Roman"/>
          <w:color w:val="000000" w:themeColor="text1"/>
          <w:sz w:val="20"/>
          <w:szCs w:val="20"/>
        </w:rPr>
        <w:t>movement faults</w:t>
      </w:r>
      <w:r w:rsidR="00D83E96" w:rsidRPr="005B79DC">
        <w:rPr>
          <w:rFonts w:ascii="Times New Roman" w:hAnsi="Times New Roman" w:cs="Times New Roman"/>
          <w:color w:val="000000" w:themeColor="text1"/>
          <w:sz w:val="20"/>
          <w:szCs w:val="20"/>
        </w:rPr>
        <w:t>.</w:t>
      </w:r>
      <w:r w:rsidR="00EB7070" w:rsidRPr="005B79DC">
        <w:rPr>
          <w:rFonts w:ascii="Times New Roman" w:hAnsi="Times New Roman" w:cs="Times New Roman"/>
          <w:color w:val="000000" w:themeColor="text1"/>
          <w:sz w:val="20"/>
          <w:szCs w:val="20"/>
        </w:rPr>
        <w:t xml:space="preserve"> </w:t>
      </w:r>
      <w:r w:rsidR="00D83E96" w:rsidRPr="005B79DC">
        <w:rPr>
          <w:rFonts w:ascii="Times New Roman" w:hAnsi="Times New Roman" w:cs="Times New Roman"/>
          <w:color w:val="000000" w:themeColor="text1"/>
          <w:sz w:val="20"/>
          <w:szCs w:val="20"/>
        </w:rPr>
        <w:t>T</w:t>
      </w:r>
      <w:r w:rsidR="00EB7070" w:rsidRPr="005B79DC">
        <w:rPr>
          <w:rFonts w:ascii="Times New Roman" w:hAnsi="Times New Roman" w:cs="Times New Roman"/>
          <w:color w:val="000000" w:themeColor="text1"/>
          <w:sz w:val="20"/>
          <w:szCs w:val="20"/>
        </w:rPr>
        <w:t xml:space="preserve">he lower left </w:t>
      </w:r>
      <w:r w:rsidR="00137532" w:rsidRPr="005B79DC">
        <w:rPr>
          <w:rFonts w:ascii="Times New Roman" w:hAnsi="Times New Roman" w:cs="Times New Roman"/>
          <w:color w:val="000000" w:themeColor="text1"/>
          <w:sz w:val="20"/>
          <w:szCs w:val="20"/>
        </w:rPr>
        <w:t xml:space="preserve">region </w:t>
      </w:r>
      <w:r w:rsidR="00EB7070" w:rsidRPr="005B79DC">
        <w:rPr>
          <w:rFonts w:ascii="Times New Roman" w:hAnsi="Times New Roman" w:cs="Times New Roman"/>
          <w:color w:val="000000" w:themeColor="text1"/>
          <w:sz w:val="20"/>
          <w:szCs w:val="20"/>
        </w:rPr>
        <w:t>classifies the participant as</w:t>
      </w:r>
      <w:r w:rsidR="002D5F34" w:rsidRPr="005B79DC">
        <w:rPr>
          <w:rFonts w:ascii="Times New Roman" w:hAnsi="Times New Roman" w:cs="Times New Roman"/>
          <w:color w:val="000000" w:themeColor="text1"/>
          <w:sz w:val="20"/>
          <w:szCs w:val="20"/>
        </w:rPr>
        <w:t xml:space="preserve"> not having movement faults</w:t>
      </w:r>
      <w:r w:rsidR="00EB7070" w:rsidRPr="005B79DC">
        <w:rPr>
          <w:rFonts w:ascii="Times New Roman" w:hAnsi="Times New Roman" w:cs="Times New Roman"/>
          <w:color w:val="000000" w:themeColor="text1"/>
          <w:sz w:val="20"/>
          <w:szCs w:val="20"/>
        </w:rPr>
        <w:t xml:space="preserve">. The top apex of the triangle relates to the level of uncertainty of the classification. </w:t>
      </w:r>
      <w:r w:rsidR="002D5F34" w:rsidRPr="005B79DC">
        <w:rPr>
          <w:rFonts w:ascii="Times New Roman" w:hAnsi="Times New Roman" w:cs="Times New Roman"/>
          <w:color w:val="000000" w:themeColor="text1"/>
          <w:sz w:val="20"/>
          <w:szCs w:val="20"/>
        </w:rPr>
        <w:t>The closer the participant to an apex of the triangle, the greater the belief</w:t>
      </w:r>
      <w:r w:rsidR="00F218A9" w:rsidRPr="005B79DC">
        <w:rPr>
          <w:rFonts w:ascii="Times New Roman" w:hAnsi="Times New Roman" w:cs="Times New Roman"/>
          <w:color w:val="000000" w:themeColor="text1"/>
          <w:sz w:val="20"/>
          <w:szCs w:val="20"/>
        </w:rPr>
        <w:t xml:space="preserve"> associated with that apex</w:t>
      </w:r>
      <w:r w:rsidR="008877D5" w:rsidRPr="005B79DC">
        <w:rPr>
          <w:rFonts w:ascii="Times New Roman" w:hAnsi="Times New Roman" w:cs="Times New Roman"/>
          <w:color w:val="000000" w:themeColor="text1"/>
          <w:sz w:val="20"/>
          <w:szCs w:val="20"/>
        </w:rPr>
        <w:t xml:space="preserve"> [2]</w:t>
      </w:r>
      <w:r w:rsidR="002D5F34" w:rsidRPr="005B79DC">
        <w:rPr>
          <w:rFonts w:ascii="Times New Roman" w:hAnsi="Times New Roman" w:cs="Times New Roman"/>
          <w:color w:val="000000" w:themeColor="text1"/>
          <w:sz w:val="20"/>
          <w:szCs w:val="20"/>
        </w:rPr>
        <w:t xml:space="preserve">. </w:t>
      </w:r>
      <w:r w:rsidR="008A2223" w:rsidRPr="005B79DC">
        <w:rPr>
          <w:rFonts w:ascii="Times New Roman" w:hAnsi="Times New Roman" w:cs="Times New Roman"/>
          <w:color w:val="000000" w:themeColor="text1"/>
          <w:sz w:val="20"/>
          <w:szCs w:val="20"/>
        </w:rPr>
        <w:t>An objective function was used t</w:t>
      </w:r>
      <w:r w:rsidR="00EB7070" w:rsidRPr="005B79DC">
        <w:rPr>
          <w:rFonts w:ascii="Times New Roman" w:hAnsi="Times New Roman" w:cs="Times New Roman"/>
          <w:color w:val="000000" w:themeColor="text1"/>
          <w:sz w:val="20"/>
          <w:szCs w:val="20"/>
        </w:rPr>
        <w:t>o rank and therefore determine the most relevant variables to classify participants.</w:t>
      </w:r>
    </w:p>
    <w:p w:rsidR="009B452D" w:rsidRPr="005B79DC" w:rsidRDefault="009B452D" w:rsidP="00E4305D">
      <w:pPr>
        <w:pStyle w:val="NoSpacing"/>
        <w:jc w:val="both"/>
        <w:rPr>
          <w:rFonts w:ascii="Times New Roman" w:hAnsi="Times New Roman" w:cs="Times New Roman"/>
          <w:b/>
          <w:bCs/>
          <w:color w:val="000000" w:themeColor="text1"/>
          <w:sz w:val="20"/>
          <w:szCs w:val="20"/>
        </w:rPr>
      </w:pPr>
    </w:p>
    <w:p w:rsidR="00EB7070" w:rsidRPr="005B79DC" w:rsidRDefault="00EB7070" w:rsidP="00E4305D">
      <w:pPr>
        <w:pStyle w:val="NoSpacing"/>
        <w:jc w:val="both"/>
        <w:rPr>
          <w:rFonts w:ascii="Times New Roman" w:hAnsi="Times New Roman" w:cs="Times New Roman"/>
          <w:b/>
          <w:bCs/>
          <w:color w:val="000000" w:themeColor="text1"/>
          <w:sz w:val="20"/>
          <w:szCs w:val="20"/>
        </w:rPr>
      </w:pPr>
      <w:r w:rsidRPr="005B79DC">
        <w:rPr>
          <w:rFonts w:ascii="Times New Roman" w:hAnsi="Times New Roman" w:cs="Times New Roman"/>
          <w:b/>
          <w:bCs/>
          <w:color w:val="000000" w:themeColor="text1"/>
          <w:sz w:val="20"/>
          <w:szCs w:val="20"/>
        </w:rPr>
        <w:lastRenderedPageBreak/>
        <w:t>RESULTS AND DISCUSSION</w:t>
      </w:r>
    </w:p>
    <w:p w:rsidR="00B47B57" w:rsidRPr="005B79DC" w:rsidRDefault="00716683" w:rsidP="005924CC">
      <w:pPr>
        <w:pStyle w:val="NoSpacing"/>
        <w:jc w:val="both"/>
        <w:rPr>
          <w:rFonts w:ascii="Times New Roman" w:hAnsi="Times New Roman" w:cs="Times New Roman"/>
          <w:color w:val="000000" w:themeColor="text1"/>
          <w:sz w:val="20"/>
          <w:szCs w:val="20"/>
        </w:rPr>
      </w:pPr>
      <w:r w:rsidRPr="005B79DC">
        <w:rPr>
          <w:rFonts w:ascii="Times New Roman" w:hAnsi="Times New Roman" w:cs="Times New Roman"/>
          <w:color w:val="000000" w:themeColor="text1"/>
          <w:sz w:val="20"/>
          <w:szCs w:val="20"/>
        </w:rPr>
        <w:t xml:space="preserve">Six </w:t>
      </w:r>
      <w:r w:rsidR="004B1C0A" w:rsidRPr="005B79DC">
        <w:rPr>
          <w:rFonts w:ascii="Times New Roman" w:hAnsi="Times New Roman" w:cs="Times New Roman"/>
          <w:color w:val="000000" w:themeColor="text1"/>
          <w:sz w:val="20"/>
          <w:szCs w:val="20"/>
        </w:rPr>
        <w:t xml:space="preserve">kinematic </w:t>
      </w:r>
      <w:r w:rsidR="007B537B" w:rsidRPr="005B79DC">
        <w:rPr>
          <w:rFonts w:ascii="Times New Roman" w:hAnsi="Times New Roman" w:cs="Times New Roman"/>
          <w:color w:val="000000" w:themeColor="text1"/>
          <w:sz w:val="20"/>
          <w:szCs w:val="20"/>
        </w:rPr>
        <w:t>variable</w:t>
      </w:r>
      <w:r w:rsidR="004B1C0A" w:rsidRPr="005B79DC">
        <w:rPr>
          <w:rFonts w:ascii="Times New Roman" w:hAnsi="Times New Roman" w:cs="Times New Roman"/>
          <w:color w:val="000000" w:themeColor="text1"/>
          <w:sz w:val="20"/>
          <w:szCs w:val="20"/>
        </w:rPr>
        <w:t>s were used for c</w:t>
      </w:r>
      <w:r w:rsidR="00EB7070" w:rsidRPr="005B79DC">
        <w:rPr>
          <w:rFonts w:ascii="Times New Roman" w:hAnsi="Times New Roman" w:cs="Times New Roman"/>
          <w:color w:val="000000" w:themeColor="text1"/>
          <w:sz w:val="20"/>
          <w:szCs w:val="20"/>
        </w:rPr>
        <w:t xml:space="preserve">lassification </w:t>
      </w:r>
      <w:r w:rsidR="004B1C0A" w:rsidRPr="005B79DC">
        <w:rPr>
          <w:rFonts w:ascii="Times New Roman" w:hAnsi="Times New Roman" w:cs="Times New Roman"/>
          <w:color w:val="000000" w:themeColor="text1"/>
          <w:sz w:val="20"/>
          <w:szCs w:val="20"/>
        </w:rPr>
        <w:t xml:space="preserve">(Table 1), and </w:t>
      </w:r>
      <w:r w:rsidR="0038710E" w:rsidRPr="005B79DC">
        <w:rPr>
          <w:rFonts w:ascii="Times New Roman" w:hAnsi="Times New Roman" w:cs="Times New Roman"/>
          <w:color w:val="000000" w:themeColor="text1"/>
          <w:sz w:val="20"/>
          <w:szCs w:val="20"/>
        </w:rPr>
        <w:t xml:space="preserve">resulted in a classification certainty score of </w:t>
      </w:r>
      <w:r w:rsidR="005924CC" w:rsidRPr="005B79DC">
        <w:rPr>
          <w:rFonts w:ascii="Times New Roman" w:eastAsia="PMingLiU" w:hAnsi="Times New Roman" w:cs="Times New Roman"/>
          <w:color w:val="000000" w:themeColor="text1"/>
          <w:sz w:val="20"/>
          <w:szCs w:val="20"/>
          <w:lang w:eastAsia="zh-TW"/>
        </w:rPr>
        <w:t>72</w:t>
      </w:r>
      <w:r w:rsidR="0038710E" w:rsidRPr="005B79DC">
        <w:rPr>
          <w:rFonts w:ascii="Times New Roman" w:eastAsia="PMingLiU" w:hAnsi="Times New Roman" w:cs="Times New Roman" w:hint="eastAsia"/>
          <w:color w:val="000000" w:themeColor="text1"/>
          <w:sz w:val="20"/>
          <w:szCs w:val="20"/>
          <w:lang w:eastAsia="zh-TW"/>
        </w:rPr>
        <w:t>.</w:t>
      </w:r>
      <w:r w:rsidR="005924CC" w:rsidRPr="005B79DC">
        <w:rPr>
          <w:rFonts w:ascii="Times New Roman" w:eastAsia="PMingLiU" w:hAnsi="Times New Roman" w:cs="Times New Roman"/>
          <w:color w:val="000000" w:themeColor="text1"/>
          <w:sz w:val="20"/>
          <w:szCs w:val="20"/>
          <w:lang w:eastAsia="zh-TW"/>
        </w:rPr>
        <w:t>2</w:t>
      </w:r>
      <w:r w:rsidR="0038710E" w:rsidRPr="005B79DC">
        <w:rPr>
          <w:rFonts w:ascii="Times New Roman" w:hAnsi="Times New Roman" w:cs="Times New Roman"/>
          <w:color w:val="000000" w:themeColor="text1"/>
          <w:sz w:val="20"/>
          <w:szCs w:val="20"/>
        </w:rPr>
        <w:t>%</w:t>
      </w:r>
      <w:r w:rsidR="009B452D" w:rsidRPr="005B79DC">
        <w:rPr>
          <w:rFonts w:ascii="Times New Roman" w:hAnsi="Times New Roman" w:cs="Times New Roman"/>
          <w:color w:val="000000" w:themeColor="text1"/>
          <w:sz w:val="20"/>
          <w:szCs w:val="20"/>
        </w:rPr>
        <w:t>, using a leave-one-out cross validation approach</w:t>
      </w:r>
      <w:r w:rsidR="0038710E" w:rsidRPr="005B79DC">
        <w:rPr>
          <w:rFonts w:ascii="Times New Roman" w:eastAsia="PMingLiU" w:hAnsi="Times New Roman" w:cs="Times New Roman" w:hint="eastAsia"/>
          <w:color w:val="000000" w:themeColor="text1"/>
          <w:sz w:val="20"/>
          <w:szCs w:val="20"/>
          <w:lang w:eastAsia="zh-TW"/>
        </w:rPr>
        <w:t xml:space="preserve">. </w:t>
      </w:r>
      <w:r w:rsidR="0038710E" w:rsidRPr="005B79DC">
        <w:rPr>
          <w:rFonts w:ascii="Times New Roman" w:hAnsi="Times New Roman" w:cs="Times New Roman"/>
          <w:color w:val="000000" w:themeColor="text1"/>
          <w:sz w:val="20"/>
          <w:szCs w:val="20"/>
        </w:rPr>
        <w:t>The highest ranked variables were concerned with upward rotation of the scapula which corresponds well with previou</w:t>
      </w:r>
      <w:r w:rsidR="0038710E" w:rsidRPr="005B79DC">
        <w:rPr>
          <w:rFonts w:ascii="Times New Roman" w:eastAsia="PMingLiU" w:hAnsi="Times New Roman" w:cs="Times New Roman" w:hint="eastAsia"/>
          <w:color w:val="000000" w:themeColor="text1"/>
          <w:sz w:val="20"/>
          <w:szCs w:val="20"/>
          <w:lang w:eastAsia="zh-TW"/>
        </w:rPr>
        <w:t>s</w:t>
      </w:r>
      <w:r w:rsidR="0038710E" w:rsidRPr="005B79DC">
        <w:rPr>
          <w:rFonts w:ascii="Times New Roman" w:hAnsi="Times New Roman" w:cs="Times New Roman"/>
          <w:color w:val="000000" w:themeColor="text1"/>
          <w:sz w:val="20"/>
          <w:szCs w:val="20"/>
        </w:rPr>
        <w:t xml:space="preserve"> re</w:t>
      </w:r>
      <w:r w:rsidR="0038710E" w:rsidRPr="005B79DC">
        <w:rPr>
          <w:rFonts w:ascii="Times New Roman" w:eastAsia="PMingLiU" w:hAnsi="Times New Roman" w:cs="Times New Roman" w:hint="eastAsia"/>
          <w:color w:val="000000" w:themeColor="text1"/>
          <w:sz w:val="20"/>
          <w:szCs w:val="20"/>
          <w:lang w:eastAsia="zh-TW"/>
        </w:rPr>
        <w:t>s</w:t>
      </w:r>
      <w:r w:rsidR="0038710E" w:rsidRPr="005B79DC">
        <w:rPr>
          <w:rFonts w:ascii="Times New Roman" w:hAnsi="Times New Roman" w:cs="Times New Roman"/>
          <w:color w:val="000000" w:themeColor="text1"/>
          <w:sz w:val="20"/>
          <w:szCs w:val="20"/>
        </w:rPr>
        <w:t>ults that</w:t>
      </w:r>
      <w:r w:rsidR="0038710E" w:rsidRPr="005B79DC">
        <w:rPr>
          <w:rFonts w:ascii="Times New Roman" w:eastAsia="PMingLiU" w:hAnsi="Times New Roman" w:cs="Times New Roman" w:hint="eastAsia"/>
          <w:color w:val="000000" w:themeColor="text1"/>
          <w:sz w:val="20"/>
          <w:szCs w:val="20"/>
          <w:lang w:eastAsia="zh-TW"/>
        </w:rPr>
        <w:t xml:space="preserve"> </w:t>
      </w:r>
      <w:r w:rsidR="0038710E" w:rsidRPr="005B79DC">
        <w:rPr>
          <w:rFonts w:ascii="Times New Roman" w:eastAsia="PMingLiU" w:hAnsi="Times New Roman" w:cs="Times New Roman"/>
          <w:color w:val="000000" w:themeColor="text1"/>
          <w:sz w:val="20"/>
          <w:szCs w:val="20"/>
          <w:lang w:eastAsia="zh-TW"/>
        </w:rPr>
        <w:t>found</w:t>
      </w:r>
      <w:r w:rsidR="0038710E" w:rsidRPr="005B79DC">
        <w:rPr>
          <w:rFonts w:ascii="Times New Roman" w:eastAsia="PMingLiU" w:hAnsi="Times New Roman" w:cs="Times New Roman" w:hint="eastAsia"/>
          <w:color w:val="000000" w:themeColor="text1"/>
          <w:sz w:val="20"/>
          <w:szCs w:val="20"/>
          <w:lang w:eastAsia="zh-TW"/>
        </w:rPr>
        <w:t xml:space="preserve"> an increased downward rotation at the end of the test [1]. </w:t>
      </w:r>
      <w:r w:rsidR="0038710E" w:rsidRPr="005B79DC">
        <w:rPr>
          <w:rFonts w:ascii="Times New Roman" w:hAnsi="Times New Roman" w:cs="Times New Roman"/>
          <w:color w:val="000000" w:themeColor="text1"/>
          <w:sz w:val="20"/>
          <w:szCs w:val="20"/>
        </w:rPr>
        <w:t xml:space="preserve"> </w:t>
      </w:r>
    </w:p>
    <w:tbl>
      <w:tblPr>
        <w:tblpPr w:leftFromText="180" w:rightFromText="180" w:vertAnchor="text" w:horzAnchor="margin" w:tblpY="244"/>
        <w:tblOverlap w:val="never"/>
        <w:tblW w:w="4666" w:type="dxa"/>
        <w:tblLook w:val="01E0" w:firstRow="1" w:lastRow="1" w:firstColumn="1" w:lastColumn="1" w:noHBand="0" w:noVBand="0"/>
      </w:tblPr>
      <w:tblGrid>
        <w:gridCol w:w="648"/>
        <w:gridCol w:w="2880"/>
        <w:gridCol w:w="1138"/>
      </w:tblGrid>
      <w:tr w:rsidR="00AC0DEF" w:rsidRPr="005B79DC" w:rsidTr="00AC0DEF">
        <w:tc>
          <w:tcPr>
            <w:tcW w:w="4666" w:type="dxa"/>
            <w:gridSpan w:val="3"/>
            <w:tcBorders>
              <w:bottom w:val="single" w:sz="4" w:space="0" w:color="auto"/>
            </w:tcBorders>
          </w:tcPr>
          <w:p w:rsidR="00AC0DEF" w:rsidRPr="005B79DC" w:rsidRDefault="00AC0DEF" w:rsidP="00AC0DEF">
            <w:pPr>
              <w:pStyle w:val="NoSpacing"/>
              <w:spacing w:after="200"/>
              <w:rPr>
                <w:rFonts w:ascii="Times New Roman" w:hAnsi="Times New Roman" w:cs="Times New Roman"/>
                <w:color w:val="000000" w:themeColor="text1"/>
                <w:sz w:val="20"/>
                <w:szCs w:val="20"/>
              </w:rPr>
            </w:pPr>
            <w:r w:rsidRPr="005B79DC">
              <w:rPr>
                <w:rFonts w:ascii="Times New Roman" w:hAnsi="Times New Roman" w:cs="Times New Roman"/>
                <w:color w:val="000000" w:themeColor="text1"/>
                <w:sz w:val="20"/>
                <w:szCs w:val="20"/>
              </w:rPr>
              <w:t xml:space="preserve">Table 1: Ranked variables used in </w:t>
            </w:r>
            <w:proofErr w:type="spellStart"/>
            <w:r w:rsidRPr="005B79DC">
              <w:rPr>
                <w:rFonts w:ascii="Times New Roman" w:hAnsi="Times New Roman" w:cs="Times New Roman"/>
                <w:color w:val="000000" w:themeColor="text1"/>
                <w:sz w:val="20"/>
                <w:szCs w:val="20"/>
              </w:rPr>
              <w:t>Dempster</w:t>
            </w:r>
            <w:proofErr w:type="spellEnd"/>
            <w:r w:rsidRPr="005B79DC">
              <w:rPr>
                <w:rFonts w:ascii="Times New Roman" w:hAnsi="Times New Roman" w:cs="Times New Roman"/>
                <w:color w:val="000000" w:themeColor="text1"/>
                <w:sz w:val="20"/>
                <w:szCs w:val="20"/>
              </w:rPr>
              <w:t>-Shafer classification</w:t>
            </w:r>
          </w:p>
        </w:tc>
      </w:tr>
      <w:tr w:rsidR="00AC0DEF" w:rsidRPr="005B79DC" w:rsidTr="00AC0DEF">
        <w:tc>
          <w:tcPr>
            <w:tcW w:w="648" w:type="dxa"/>
            <w:tcBorders>
              <w:top w:val="single" w:sz="4" w:space="0" w:color="auto"/>
              <w:bottom w:val="single" w:sz="4" w:space="0" w:color="auto"/>
            </w:tcBorders>
          </w:tcPr>
          <w:p w:rsidR="00AC0DEF" w:rsidRPr="005B79DC" w:rsidRDefault="00AC0DEF" w:rsidP="00AC0DEF">
            <w:pPr>
              <w:pStyle w:val="NoSpacing"/>
              <w:spacing w:after="200"/>
              <w:jc w:val="center"/>
              <w:rPr>
                <w:rFonts w:ascii="Times New Roman" w:hAnsi="Times New Roman" w:cs="Times New Roman"/>
                <w:color w:val="000000" w:themeColor="text1"/>
                <w:sz w:val="20"/>
                <w:szCs w:val="20"/>
              </w:rPr>
            </w:pPr>
            <w:r w:rsidRPr="005B79DC">
              <w:rPr>
                <w:rFonts w:ascii="Times New Roman" w:hAnsi="Times New Roman" w:cs="Times New Roman"/>
                <w:color w:val="000000" w:themeColor="text1"/>
                <w:sz w:val="20"/>
                <w:szCs w:val="20"/>
              </w:rPr>
              <w:t>Rank</w:t>
            </w:r>
          </w:p>
        </w:tc>
        <w:tc>
          <w:tcPr>
            <w:tcW w:w="2880" w:type="dxa"/>
            <w:tcBorders>
              <w:top w:val="single" w:sz="4" w:space="0" w:color="auto"/>
              <w:bottom w:val="single" w:sz="4" w:space="0" w:color="auto"/>
            </w:tcBorders>
          </w:tcPr>
          <w:p w:rsidR="00AC0DEF" w:rsidRPr="005B79DC" w:rsidRDefault="00AC0DEF" w:rsidP="00AC0DEF">
            <w:pPr>
              <w:pStyle w:val="NoSpacing"/>
              <w:spacing w:after="200"/>
              <w:jc w:val="center"/>
              <w:rPr>
                <w:rFonts w:ascii="Times New Roman" w:hAnsi="Times New Roman" w:cs="Times New Roman"/>
                <w:color w:val="000000" w:themeColor="text1"/>
                <w:sz w:val="20"/>
                <w:szCs w:val="20"/>
              </w:rPr>
            </w:pPr>
            <w:r w:rsidRPr="005B79DC">
              <w:rPr>
                <w:rFonts w:ascii="Times New Roman" w:hAnsi="Times New Roman" w:cs="Times New Roman"/>
                <w:color w:val="000000" w:themeColor="text1"/>
                <w:sz w:val="20"/>
                <w:szCs w:val="20"/>
              </w:rPr>
              <w:t>Variable</w:t>
            </w:r>
          </w:p>
        </w:tc>
        <w:tc>
          <w:tcPr>
            <w:tcW w:w="1138" w:type="dxa"/>
            <w:tcBorders>
              <w:top w:val="single" w:sz="4" w:space="0" w:color="auto"/>
              <w:bottom w:val="single" w:sz="4" w:space="0" w:color="auto"/>
            </w:tcBorders>
          </w:tcPr>
          <w:p w:rsidR="00AC0DEF" w:rsidRPr="005B79DC" w:rsidRDefault="00AC0DEF" w:rsidP="00AC0DEF">
            <w:pPr>
              <w:pStyle w:val="NoSpacing"/>
              <w:spacing w:after="200"/>
              <w:jc w:val="center"/>
              <w:rPr>
                <w:rFonts w:ascii="Times New Roman" w:hAnsi="Times New Roman" w:cs="Times New Roman"/>
                <w:color w:val="000000" w:themeColor="text1"/>
                <w:sz w:val="20"/>
                <w:szCs w:val="20"/>
              </w:rPr>
            </w:pPr>
            <w:r w:rsidRPr="005B79DC">
              <w:rPr>
                <w:rFonts w:ascii="Times New Roman" w:hAnsi="Times New Roman" w:cs="Times New Roman"/>
                <w:color w:val="000000" w:themeColor="text1"/>
                <w:sz w:val="20"/>
                <w:szCs w:val="20"/>
              </w:rPr>
              <w:t>Confidence factor</w:t>
            </w:r>
          </w:p>
        </w:tc>
      </w:tr>
      <w:tr w:rsidR="00AC0DEF" w:rsidRPr="005B79DC" w:rsidTr="00AC0DEF">
        <w:tc>
          <w:tcPr>
            <w:tcW w:w="648" w:type="dxa"/>
            <w:tcBorders>
              <w:top w:val="single" w:sz="4" w:space="0" w:color="auto"/>
            </w:tcBorders>
          </w:tcPr>
          <w:p w:rsidR="00AC0DEF" w:rsidRPr="005B79DC" w:rsidRDefault="00AC0DEF" w:rsidP="00AC0DEF">
            <w:pPr>
              <w:pStyle w:val="NoSpacing"/>
              <w:spacing w:after="200"/>
              <w:jc w:val="center"/>
              <w:rPr>
                <w:rFonts w:ascii="Times New Roman" w:hAnsi="Times New Roman" w:cs="Times New Roman"/>
                <w:color w:val="000000" w:themeColor="text1"/>
                <w:sz w:val="20"/>
                <w:szCs w:val="20"/>
              </w:rPr>
            </w:pPr>
            <w:r w:rsidRPr="005B79DC">
              <w:rPr>
                <w:rFonts w:ascii="Times New Roman" w:hAnsi="Times New Roman" w:cs="Times New Roman"/>
                <w:color w:val="000000" w:themeColor="text1"/>
                <w:sz w:val="20"/>
                <w:szCs w:val="20"/>
              </w:rPr>
              <w:t>1</w:t>
            </w:r>
          </w:p>
        </w:tc>
        <w:tc>
          <w:tcPr>
            <w:tcW w:w="2880" w:type="dxa"/>
            <w:tcBorders>
              <w:top w:val="single" w:sz="4" w:space="0" w:color="auto"/>
            </w:tcBorders>
          </w:tcPr>
          <w:p w:rsidR="00AC0DEF" w:rsidRPr="005B79DC" w:rsidRDefault="00AC0DEF" w:rsidP="00AC0DEF">
            <w:pPr>
              <w:pStyle w:val="NoSpacing"/>
              <w:spacing w:after="200"/>
              <w:jc w:val="center"/>
              <w:rPr>
                <w:rFonts w:ascii="Times New Roman" w:hAnsi="Times New Roman" w:cs="Times New Roman"/>
                <w:color w:val="000000" w:themeColor="text1"/>
                <w:sz w:val="20"/>
                <w:szCs w:val="20"/>
              </w:rPr>
            </w:pPr>
            <w:r w:rsidRPr="005B79DC">
              <w:rPr>
                <w:rFonts w:ascii="Times New Roman" w:hAnsi="Times New Roman" w:cs="Times New Roman"/>
                <w:color w:val="000000" w:themeColor="text1"/>
                <w:sz w:val="20"/>
                <w:szCs w:val="20"/>
              </w:rPr>
              <w:t>Upward rotation at end of test</w:t>
            </w:r>
          </w:p>
        </w:tc>
        <w:tc>
          <w:tcPr>
            <w:tcW w:w="1138" w:type="dxa"/>
            <w:tcBorders>
              <w:top w:val="single" w:sz="4" w:space="0" w:color="auto"/>
            </w:tcBorders>
          </w:tcPr>
          <w:p w:rsidR="00AC0DEF" w:rsidRPr="005B79DC" w:rsidRDefault="00AC0DEF" w:rsidP="00AC0DEF">
            <w:pPr>
              <w:pStyle w:val="NoSpacing"/>
              <w:spacing w:after="200"/>
              <w:jc w:val="center"/>
              <w:rPr>
                <w:rFonts w:ascii="Times New Roman" w:hAnsi="Times New Roman" w:cs="Times New Roman"/>
                <w:color w:val="000000" w:themeColor="text1"/>
                <w:sz w:val="20"/>
                <w:szCs w:val="20"/>
              </w:rPr>
            </w:pPr>
            <w:r w:rsidRPr="005B79DC">
              <w:rPr>
                <w:rFonts w:ascii="Times New Roman" w:hAnsi="Times New Roman" w:cs="Times New Roman"/>
                <w:color w:val="000000" w:themeColor="text1"/>
                <w:sz w:val="20"/>
                <w:szCs w:val="20"/>
              </w:rPr>
              <w:t>77.8%</w:t>
            </w:r>
          </w:p>
        </w:tc>
      </w:tr>
      <w:tr w:rsidR="00AC0DEF" w:rsidRPr="005B79DC" w:rsidTr="00AC0DEF">
        <w:tc>
          <w:tcPr>
            <w:tcW w:w="648" w:type="dxa"/>
          </w:tcPr>
          <w:p w:rsidR="00AC0DEF" w:rsidRPr="005B79DC" w:rsidRDefault="00AC0DEF" w:rsidP="00AC0DEF">
            <w:pPr>
              <w:pStyle w:val="NoSpacing"/>
              <w:spacing w:after="200"/>
              <w:jc w:val="center"/>
              <w:rPr>
                <w:rFonts w:ascii="Times New Roman" w:hAnsi="Times New Roman" w:cs="Times New Roman"/>
                <w:color w:val="000000" w:themeColor="text1"/>
                <w:sz w:val="20"/>
                <w:szCs w:val="20"/>
              </w:rPr>
            </w:pPr>
            <w:r w:rsidRPr="005B79DC">
              <w:rPr>
                <w:rFonts w:ascii="Times New Roman" w:hAnsi="Times New Roman" w:cs="Times New Roman"/>
                <w:color w:val="000000" w:themeColor="text1"/>
                <w:sz w:val="20"/>
                <w:szCs w:val="20"/>
              </w:rPr>
              <w:t>2</w:t>
            </w:r>
          </w:p>
        </w:tc>
        <w:tc>
          <w:tcPr>
            <w:tcW w:w="2880" w:type="dxa"/>
          </w:tcPr>
          <w:p w:rsidR="00AC0DEF" w:rsidRPr="005B79DC" w:rsidRDefault="00AC0DEF" w:rsidP="00AC0DEF">
            <w:pPr>
              <w:pStyle w:val="NoSpacing"/>
              <w:spacing w:after="200"/>
              <w:jc w:val="center"/>
              <w:rPr>
                <w:rFonts w:ascii="Times New Roman" w:hAnsi="Times New Roman" w:cs="Times New Roman"/>
                <w:color w:val="000000" w:themeColor="text1"/>
                <w:sz w:val="20"/>
                <w:szCs w:val="20"/>
              </w:rPr>
            </w:pPr>
            <w:r w:rsidRPr="005B79DC">
              <w:rPr>
                <w:rFonts w:ascii="Times New Roman" w:hAnsi="Times New Roman" w:cs="Times New Roman"/>
                <w:color w:val="000000" w:themeColor="text1"/>
                <w:sz w:val="20"/>
                <w:szCs w:val="20"/>
              </w:rPr>
              <w:t>PC1 score for upward rotation</w:t>
            </w:r>
          </w:p>
        </w:tc>
        <w:tc>
          <w:tcPr>
            <w:tcW w:w="1138" w:type="dxa"/>
          </w:tcPr>
          <w:p w:rsidR="00AC0DEF" w:rsidRPr="005B79DC" w:rsidRDefault="00AC0DEF" w:rsidP="00AC0DEF">
            <w:pPr>
              <w:pStyle w:val="NoSpacing"/>
              <w:spacing w:after="200"/>
              <w:jc w:val="center"/>
              <w:rPr>
                <w:rFonts w:ascii="Times New Roman" w:hAnsi="Times New Roman" w:cs="Times New Roman"/>
                <w:color w:val="000000" w:themeColor="text1"/>
                <w:sz w:val="20"/>
                <w:szCs w:val="20"/>
              </w:rPr>
            </w:pPr>
            <w:r w:rsidRPr="005B79DC">
              <w:rPr>
                <w:rFonts w:ascii="Times New Roman" w:hAnsi="Times New Roman" w:cs="Times New Roman"/>
                <w:color w:val="000000" w:themeColor="text1"/>
                <w:sz w:val="20"/>
                <w:szCs w:val="20"/>
              </w:rPr>
              <w:t>72.2%</w:t>
            </w:r>
          </w:p>
        </w:tc>
      </w:tr>
      <w:tr w:rsidR="00AC0DEF" w:rsidRPr="005B79DC" w:rsidTr="00AC0DEF">
        <w:tc>
          <w:tcPr>
            <w:tcW w:w="648" w:type="dxa"/>
          </w:tcPr>
          <w:p w:rsidR="00AC0DEF" w:rsidRPr="005B79DC" w:rsidRDefault="00AC0DEF" w:rsidP="00AC0DEF">
            <w:pPr>
              <w:pStyle w:val="NoSpacing"/>
              <w:spacing w:after="200"/>
              <w:jc w:val="center"/>
              <w:rPr>
                <w:rFonts w:ascii="Times New Roman" w:hAnsi="Times New Roman" w:cs="Times New Roman"/>
                <w:color w:val="000000" w:themeColor="text1"/>
                <w:sz w:val="20"/>
                <w:szCs w:val="20"/>
              </w:rPr>
            </w:pPr>
            <w:r w:rsidRPr="005B79DC">
              <w:rPr>
                <w:rFonts w:ascii="Times New Roman" w:hAnsi="Times New Roman" w:cs="Times New Roman"/>
                <w:color w:val="000000" w:themeColor="text1"/>
                <w:sz w:val="20"/>
                <w:szCs w:val="20"/>
              </w:rPr>
              <w:t>3</w:t>
            </w:r>
          </w:p>
        </w:tc>
        <w:tc>
          <w:tcPr>
            <w:tcW w:w="2880" w:type="dxa"/>
          </w:tcPr>
          <w:p w:rsidR="00AC0DEF" w:rsidRPr="005B79DC" w:rsidRDefault="00AC0DEF" w:rsidP="00AC0DEF">
            <w:pPr>
              <w:pStyle w:val="NoSpacing"/>
              <w:jc w:val="center"/>
              <w:rPr>
                <w:rFonts w:ascii="Times New Roman" w:hAnsi="Times New Roman" w:cs="Times New Roman"/>
                <w:color w:val="000000" w:themeColor="text1"/>
                <w:sz w:val="20"/>
                <w:szCs w:val="20"/>
              </w:rPr>
            </w:pPr>
            <w:r w:rsidRPr="005B79DC">
              <w:rPr>
                <w:rFonts w:ascii="Times New Roman" w:hAnsi="Times New Roman" w:cs="Times New Roman"/>
                <w:color w:val="000000" w:themeColor="text1"/>
                <w:sz w:val="20"/>
                <w:szCs w:val="20"/>
              </w:rPr>
              <w:t xml:space="preserve">Upward rotation at rest </w:t>
            </w:r>
          </w:p>
          <w:p w:rsidR="00AC0DEF" w:rsidRPr="005B79DC" w:rsidRDefault="00AC0DEF" w:rsidP="00AC0DEF">
            <w:pPr>
              <w:pStyle w:val="NoSpacing"/>
              <w:spacing w:after="200"/>
              <w:jc w:val="center"/>
              <w:rPr>
                <w:rFonts w:ascii="Times New Roman" w:hAnsi="Times New Roman" w:cs="Times New Roman"/>
                <w:color w:val="000000" w:themeColor="text1"/>
                <w:sz w:val="20"/>
                <w:szCs w:val="20"/>
              </w:rPr>
            </w:pPr>
            <w:r w:rsidRPr="005B79DC">
              <w:rPr>
                <w:rFonts w:ascii="Times New Roman" w:hAnsi="Times New Roman" w:cs="Times New Roman"/>
                <w:color w:val="000000" w:themeColor="text1"/>
                <w:sz w:val="20"/>
                <w:szCs w:val="20"/>
              </w:rPr>
              <w:t>(before setting to neutral)</w:t>
            </w:r>
          </w:p>
        </w:tc>
        <w:tc>
          <w:tcPr>
            <w:tcW w:w="1138" w:type="dxa"/>
          </w:tcPr>
          <w:p w:rsidR="00AC0DEF" w:rsidRPr="005B79DC" w:rsidRDefault="00AC0DEF" w:rsidP="00AC0DEF">
            <w:pPr>
              <w:pStyle w:val="NoSpacing"/>
              <w:spacing w:after="200"/>
              <w:jc w:val="center"/>
              <w:rPr>
                <w:rFonts w:ascii="Times New Roman" w:hAnsi="Times New Roman" w:cs="Times New Roman"/>
                <w:color w:val="000000" w:themeColor="text1"/>
                <w:sz w:val="20"/>
                <w:szCs w:val="20"/>
              </w:rPr>
            </w:pPr>
            <w:r w:rsidRPr="005B79DC">
              <w:rPr>
                <w:rFonts w:ascii="Times New Roman" w:hAnsi="Times New Roman" w:cs="Times New Roman"/>
                <w:color w:val="000000" w:themeColor="text1"/>
                <w:sz w:val="20"/>
                <w:szCs w:val="20"/>
              </w:rPr>
              <w:t>66.7%</w:t>
            </w:r>
          </w:p>
        </w:tc>
      </w:tr>
      <w:tr w:rsidR="00AC0DEF" w:rsidRPr="005B79DC" w:rsidTr="00AC0DEF">
        <w:tc>
          <w:tcPr>
            <w:tcW w:w="648" w:type="dxa"/>
          </w:tcPr>
          <w:p w:rsidR="00AC0DEF" w:rsidRPr="005B79DC" w:rsidRDefault="00AC0DEF" w:rsidP="00AC0DEF">
            <w:pPr>
              <w:pStyle w:val="NoSpacing"/>
              <w:spacing w:after="200"/>
              <w:jc w:val="center"/>
              <w:rPr>
                <w:rFonts w:ascii="Times New Roman" w:hAnsi="Times New Roman" w:cs="Times New Roman"/>
                <w:color w:val="000000" w:themeColor="text1"/>
                <w:sz w:val="20"/>
                <w:szCs w:val="20"/>
              </w:rPr>
            </w:pPr>
            <w:r w:rsidRPr="005B79DC">
              <w:rPr>
                <w:rFonts w:ascii="Times New Roman" w:hAnsi="Times New Roman" w:cs="Times New Roman"/>
                <w:color w:val="000000" w:themeColor="text1"/>
                <w:sz w:val="20"/>
                <w:szCs w:val="20"/>
              </w:rPr>
              <w:t>4</w:t>
            </w:r>
          </w:p>
        </w:tc>
        <w:tc>
          <w:tcPr>
            <w:tcW w:w="2880" w:type="dxa"/>
          </w:tcPr>
          <w:p w:rsidR="00AC0DEF" w:rsidRPr="005B79DC" w:rsidRDefault="00AC0DEF" w:rsidP="00AC0DEF">
            <w:pPr>
              <w:pStyle w:val="NoSpacing"/>
              <w:spacing w:after="200"/>
              <w:jc w:val="center"/>
              <w:rPr>
                <w:rFonts w:ascii="Times New Roman" w:hAnsi="Times New Roman" w:cs="Times New Roman"/>
                <w:color w:val="000000" w:themeColor="text1"/>
                <w:sz w:val="20"/>
                <w:szCs w:val="20"/>
              </w:rPr>
            </w:pPr>
            <w:r w:rsidRPr="005B79DC">
              <w:rPr>
                <w:rFonts w:ascii="Times New Roman" w:hAnsi="Times New Roman" w:cs="Times New Roman"/>
                <w:color w:val="000000" w:themeColor="text1"/>
                <w:sz w:val="20"/>
                <w:szCs w:val="20"/>
              </w:rPr>
              <w:t>Internal rotation at end of test</w:t>
            </w:r>
          </w:p>
        </w:tc>
        <w:tc>
          <w:tcPr>
            <w:tcW w:w="1138" w:type="dxa"/>
          </w:tcPr>
          <w:p w:rsidR="00AC0DEF" w:rsidRPr="005B79DC" w:rsidRDefault="00AC0DEF" w:rsidP="00AC0DEF">
            <w:pPr>
              <w:pStyle w:val="NoSpacing"/>
              <w:spacing w:after="200"/>
              <w:jc w:val="center"/>
              <w:rPr>
                <w:rFonts w:ascii="Times New Roman" w:hAnsi="Times New Roman" w:cs="Times New Roman"/>
                <w:color w:val="000000" w:themeColor="text1"/>
                <w:sz w:val="20"/>
                <w:szCs w:val="20"/>
              </w:rPr>
            </w:pPr>
            <w:r w:rsidRPr="005B79DC">
              <w:rPr>
                <w:rFonts w:ascii="Times New Roman" w:hAnsi="Times New Roman" w:cs="Times New Roman"/>
                <w:color w:val="000000" w:themeColor="text1"/>
                <w:sz w:val="20"/>
                <w:szCs w:val="20"/>
              </w:rPr>
              <w:t>61.1%</w:t>
            </w:r>
          </w:p>
        </w:tc>
      </w:tr>
      <w:tr w:rsidR="00AC0DEF" w:rsidRPr="005B79DC" w:rsidTr="00AC0DEF">
        <w:tc>
          <w:tcPr>
            <w:tcW w:w="648" w:type="dxa"/>
          </w:tcPr>
          <w:p w:rsidR="00AC0DEF" w:rsidRPr="005B79DC" w:rsidRDefault="00AC0DEF" w:rsidP="00AC0DEF">
            <w:pPr>
              <w:pStyle w:val="NoSpacing"/>
              <w:spacing w:after="200"/>
              <w:jc w:val="center"/>
              <w:rPr>
                <w:rFonts w:ascii="Times New Roman" w:hAnsi="Times New Roman" w:cs="Times New Roman"/>
                <w:color w:val="000000" w:themeColor="text1"/>
                <w:sz w:val="20"/>
                <w:szCs w:val="20"/>
              </w:rPr>
            </w:pPr>
            <w:r w:rsidRPr="005B79DC">
              <w:rPr>
                <w:rFonts w:ascii="Times New Roman" w:hAnsi="Times New Roman" w:cs="Times New Roman"/>
                <w:color w:val="000000" w:themeColor="text1"/>
                <w:sz w:val="20"/>
                <w:szCs w:val="20"/>
              </w:rPr>
              <w:t>5</w:t>
            </w:r>
          </w:p>
        </w:tc>
        <w:tc>
          <w:tcPr>
            <w:tcW w:w="2880" w:type="dxa"/>
          </w:tcPr>
          <w:p w:rsidR="00AC0DEF" w:rsidRPr="005B79DC" w:rsidRDefault="00AC0DEF" w:rsidP="00AC0DEF">
            <w:pPr>
              <w:pStyle w:val="NoSpacing"/>
              <w:spacing w:after="200"/>
              <w:jc w:val="center"/>
              <w:rPr>
                <w:rFonts w:ascii="Times New Roman" w:hAnsi="Times New Roman" w:cs="Times New Roman"/>
                <w:color w:val="000000" w:themeColor="text1"/>
                <w:sz w:val="20"/>
                <w:szCs w:val="20"/>
              </w:rPr>
            </w:pPr>
            <w:r w:rsidRPr="005B79DC">
              <w:rPr>
                <w:rFonts w:ascii="Times New Roman" w:hAnsi="Times New Roman" w:cs="Times New Roman"/>
                <w:color w:val="000000" w:themeColor="text1"/>
                <w:sz w:val="20"/>
                <w:szCs w:val="20"/>
              </w:rPr>
              <w:t>Internal rotation at start of test</w:t>
            </w:r>
          </w:p>
        </w:tc>
        <w:tc>
          <w:tcPr>
            <w:tcW w:w="1138" w:type="dxa"/>
          </w:tcPr>
          <w:p w:rsidR="00AC0DEF" w:rsidRPr="005B79DC" w:rsidRDefault="00AC0DEF" w:rsidP="00AC0DEF">
            <w:pPr>
              <w:pStyle w:val="NoSpacing"/>
              <w:spacing w:after="200"/>
              <w:jc w:val="center"/>
              <w:rPr>
                <w:rFonts w:ascii="Times New Roman" w:hAnsi="Times New Roman" w:cs="Times New Roman"/>
                <w:color w:val="000000" w:themeColor="text1"/>
                <w:sz w:val="20"/>
                <w:szCs w:val="20"/>
              </w:rPr>
            </w:pPr>
            <w:r w:rsidRPr="005B79DC">
              <w:rPr>
                <w:rFonts w:ascii="Times New Roman" w:hAnsi="Times New Roman" w:cs="Times New Roman"/>
                <w:color w:val="000000" w:themeColor="text1"/>
                <w:sz w:val="20"/>
                <w:szCs w:val="20"/>
              </w:rPr>
              <w:t>61.1%</w:t>
            </w:r>
          </w:p>
        </w:tc>
      </w:tr>
      <w:tr w:rsidR="00AC0DEF" w:rsidRPr="005B79DC" w:rsidTr="00AC0DEF">
        <w:tc>
          <w:tcPr>
            <w:tcW w:w="648" w:type="dxa"/>
            <w:tcBorders>
              <w:bottom w:val="single" w:sz="4" w:space="0" w:color="auto"/>
            </w:tcBorders>
          </w:tcPr>
          <w:p w:rsidR="00AC0DEF" w:rsidRPr="005B79DC" w:rsidRDefault="00AC0DEF" w:rsidP="00AC0DEF">
            <w:pPr>
              <w:pStyle w:val="NoSpacing"/>
              <w:jc w:val="center"/>
              <w:rPr>
                <w:rFonts w:ascii="Times New Roman" w:hAnsi="Times New Roman" w:cs="Times New Roman"/>
                <w:color w:val="000000" w:themeColor="text1"/>
                <w:sz w:val="20"/>
                <w:szCs w:val="20"/>
              </w:rPr>
            </w:pPr>
            <w:r w:rsidRPr="005B79DC">
              <w:rPr>
                <w:rFonts w:ascii="Times New Roman" w:hAnsi="Times New Roman" w:cs="Times New Roman"/>
                <w:color w:val="000000" w:themeColor="text1"/>
                <w:sz w:val="20"/>
                <w:szCs w:val="20"/>
              </w:rPr>
              <w:t>6</w:t>
            </w:r>
          </w:p>
        </w:tc>
        <w:tc>
          <w:tcPr>
            <w:tcW w:w="2880" w:type="dxa"/>
            <w:tcBorders>
              <w:bottom w:val="single" w:sz="4" w:space="0" w:color="auto"/>
            </w:tcBorders>
          </w:tcPr>
          <w:p w:rsidR="00AC0DEF" w:rsidRPr="005B79DC" w:rsidRDefault="00AC0DEF" w:rsidP="00AC0DEF">
            <w:pPr>
              <w:pStyle w:val="NoSpacing"/>
              <w:jc w:val="center"/>
              <w:rPr>
                <w:rFonts w:ascii="Times New Roman" w:hAnsi="Times New Roman" w:cs="Times New Roman"/>
                <w:color w:val="000000" w:themeColor="text1"/>
                <w:sz w:val="20"/>
                <w:szCs w:val="20"/>
              </w:rPr>
            </w:pPr>
            <w:r w:rsidRPr="005B79DC">
              <w:rPr>
                <w:rFonts w:ascii="Times New Roman" w:hAnsi="Times New Roman" w:cs="Times New Roman"/>
                <w:color w:val="000000" w:themeColor="text1"/>
                <w:sz w:val="20"/>
                <w:szCs w:val="20"/>
              </w:rPr>
              <w:t>Upward rotation at 90° arm elevation</w:t>
            </w:r>
          </w:p>
        </w:tc>
        <w:tc>
          <w:tcPr>
            <w:tcW w:w="1138" w:type="dxa"/>
            <w:tcBorders>
              <w:bottom w:val="single" w:sz="4" w:space="0" w:color="auto"/>
            </w:tcBorders>
          </w:tcPr>
          <w:p w:rsidR="00AC0DEF" w:rsidRPr="005B79DC" w:rsidRDefault="00AC0DEF" w:rsidP="00AC0DEF">
            <w:pPr>
              <w:pStyle w:val="NoSpacing"/>
              <w:jc w:val="center"/>
              <w:rPr>
                <w:rFonts w:ascii="Times New Roman" w:hAnsi="Times New Roman" w:cs="Times New Roman"/>
                <w:color w:val="000000" w:themeColor="text1"/>
                <w:sz w:val="20"/>
                <w:szCs w:val="20"/>
              </w:rPr>
            </w:pPr>
            <w:r w:rsidRPr="005B79DC">
              <w:rPr>
                <w:rFonts w:ascii="Times New Roman" w:hAnsi="Times New Roman" w:cs="Times New Roman"/>
                <w:color w:val="000000" w:themeColor="text1"/>
                <w:sz w:val="20"/>
                <w:szCs w:val="20"/>
              </w:rPr>
              <w:t>61.1%</w:t>
            </w:r>
          </w:p>
        </w:tc>
      </w:tr>
    </w:tbl>
    <w:p w:rsidR="00B47B57" w:rsidRPr="005B79DC" w:rsidRDefault="00B47B57" w:rsidP="009F09A9">
      <w:pPr>
        <w:pStyle w:val="NoSpacing"/>
        <w:jc w:val="both"/>
        <w:rPr>
          <w:rFonts w:ascii="Times New Roman" w:hAnsi="Times New Roman" w:cs="Times New Roman"/>
          <w:color w:val="000000" w:themeColor="text1"/>
          <w:sz w:val="20"/>
          <w:szCs w:val="20"/>
        </w:rPr>
      </w:pPr>
    </w:p>
    <w:p w:rsidR="00AC0DEF" w:rsidRDefault="00AC0DEF" w:rsidP="000A464A">
      <w:pPr>
        <w:pStyle w:val="NoSpacing"/>
        <w:jc w:val="both"/>
        <w:rPr>
          <w:rFonts w:ascii="Times New Roman" w:eastAsia="PMingLiU" w:hAnsi="Times New Roman" w:cs="Times New Roman"/>
          <w:color w:val="000000" w:themeColor="text1"/>
          <w:sz w:val="20"/>
          <w:szCs w:val="20"/>
          <w:lang w:eastAsia="zh-TW"/>
        </w:rPr>
      </w:pPr>
    </w:p>
    <w:p w:rsidR="00EB7070" w:rsidRPr="005B79DC" w:rsidRDefault="0038710E" w:rsidP="000A464A">
      <w:pPr>
        <w:pStyle w:val="NoSpacing"/>
        <w:jc w:val="both"/>
        <w:rPr>
          <w:rFonts w:ascii="Times New Roman" w:eastAsia="PMingLiU" w:hAnsi="Times New Roman" w:cs="Times New Roman"/>
          <w:color w:val="000000" w:themeColor="text1"/>
          <w:sz w:val="20"/>
          <w:szCs w:val="20"/>
          <w:lang w:eastAsia="zh-TW"/>
        </w:rPr>
      </w:pPr>
      <w:r w:rsidRPr="005B79DC">
        <w:rPr>
          <w:rFonts w:ascii="Times New Roman" w:eastAsia="PMingLiU" w:hAnsi="Times New Roman" w:cs="Times New Roman" w:hint="eastAsia"/>
          <w:color w:val="000000" w:themeColor="text1"/>
          <w:sz w:val="20"/>
          <w:szCs w:val="20"/>
          <w:lang w:eastAsia="zh-TW"/>
        </w:rPr>
        <w:t>A</w:t>
      </w:r>
      <w:r w:rsidRPr="005B79DC">
        <w:rPr>
          <w:rFonts w:ascii="Times New Roman" w:hAnsi="Times New Roman" w:cs="Times New Roman"/>
          <w:color w:val="000000" w:themeColor="text1"/>
          <w:sz w:val="20"/>
          <w:szCs w:val="20"/>
        </w:rPr>
        <w:t>ll history of pain participants</w:t>
      </w:r>
      <w:r w:rsidR="00AD438C" w:rsidRPr="005B79DC">
        <w:rPr>
          <w:rFonts w:ascii="Times New Roman" w:hAnsi="Times New Roman" w:cs="Times New Roman"/>
          <w:color w:val="000000" w:themeColor="text1"/>
          <w:sz w:val="20"/>
          <w:szCs w:val="20"/>
        </w:rPr>
        <w:t xml:space="preserve">, </w:t>
      </w:r>
      <w:r w:rsidRPr="005B79DC">
        <w:rPr>
          <w:rFonts w:ascii="Times New Roman" w:eastAsia="PMingLiU" w:hAnsi="Times New Roman" w:cs="Times New Roman" w:hint="eastAsia"/>
          <w:color w:val="000000" w:themeColor="text1"/>
          <w:sz w:val="20"/>
          <w:szCs w:val="20"/>
          <w:lang w:eastAsia="zh-TW"/>
        </w:rPr>
        <w:t xml:space="preserve">were </w:t>
      </w:r>
      <w:r w:rsidRPr="005B79DC">
        <w:rPr>
          <w:rFonts w:ascii="Times New Roman" w:hAnsi="Times New Roman" w:cs="Times New Roman"/>
          <w:color w:val="000000" w:themeColor="text1"/>
          <w:sz w:val="20"/>
          <w:szCs w:val="20"/>
        </w:rPr>
        <w:t>classified into the movement fault (lower right)</w:t>
      </w:r>
      <w:r w:rsidR="00137532" w:rsidRPr="005B79DC">
        <w:rPr>
          <w:rFonts w:ascii="Times New Roman" w:hAnsi="Times New Roman" w:cs="Times New Roman"/>
          <w:color w:val="000000" w:themeColor="text1"/>
          <w:sz w:val="20"/>
          <w:szCs w:val="20"/>
        </w:rPr>
        <w:t xml:space="preserve"> region </w:t>
      </w:r>
      <w:r w:rsidRPr="005B79DC">
        <w:rPr>
          <w:rFonts w:ascii="Times New Roman" w:hAnsi="Times New Roman" w:cs="Times New Roman"/>
          <w:color w:val="000000" w:themeColor="text1"/>
          <w:sz w:val="20"/>
          <w:szCs w:val="20"/>
        </w:rPr>
        <w:t>of the simplex plot</w:t>
      </w:r>
      <w:r w:rsidR="00AD438C" w:rsidRPr="005B79DC">
        <w:rPr>
          <w:rFonts w:ascii="Times New Roman" w:hAnsi="Times New Roman" w:cs="Times New Roman"/>
          <w:color w:val="000000" w:themeColor="text1"/>
          <w:sz w:val="20"/>
          <w:szCs w:val="20"/>
        </w:rPr>
        <w:t>, with the exception of one participant</w:t>
      </w:r>
      <w:r w:rsidRPr="005B79DC">
        <w:rPr>
          <w:rFonts w:ascii="Times New Roman" w:hAnsi="Times New Roman" w:cs="Times New Roman"/>
          <w:color w:val="000000" w:themeColor="text1"/>
          <w:sz w:val="20"/>
          <w:szCs w:val="20"/>
        </w:rPr>
        <w:t xml:space="preserve"> (Figure 1)</w:t>
      </w:r>
      <w:r w:rsidR="00137532" w:rsidRPr="005B79DC">
        <w:rPr>
          <w:rFonts w:ascii="Times New Roman" w:hAnsi="Times New Roman" w:cs="Times New Roman"/>
          <w:color w:val="000000" w:themeColor="text1"/>
          <w:sz w:val="20"/>
          <w:szCs w:val="20"/>
        </w:rPr>
        <w:t>.</w:t>
      </w:r>
      <w:r w:rsidR="003538E3" w:rsidRPr="005B79DC">
        <w:rPr>
          <w:rFonts w:ascii="Times New Roman" w:hAnsi="Times New Roman" w:cs="Times New Roman"/>
          <w:color w:val="000000" w:themeColor="text1"/>
          <w:sz w:val="20"/>
          <w:szCs w:val="20"/>
        </w:rPr>
        <w:t xml:space="preserve"> </w:t>
      </w:r>
      <w:r w:rsidR="00137532" w:rsidRPr="005B79DC">
        <w:rPr>
          <w:rFonts w:ascii="Times New Roman" w:hAnsi="Times New Roman" w:cs="Times New Roman"/>
          <w:color w:val="000000" w:themeColor="text1"/>
          <w:sz w:val="20"/>
          <w:szCs w:val="20"/>
        </w:rPr>
        <w:t xml:space="preserve">This </w:t>
      </w:r>
      <w:r w:rsidR="00AD438C" w:rsidRPr="005B79DC">
        <w:rPr>
          <w:rFonts w:ascii="Times New Roman" w:hAnsi="Times New Roman" w:cs="Times New Roman"/>
          <w:color w:val="000000" w:themeColor="text1"/>
          <w:sz w:val="20"/>
          <w:szCs w:val="20"/>
        </w:rPr>
        <w:t xml:space="preserve">generally </w:t>
      </w:r>
      <w:r w:rsidR="009F09A9" w:rsidRPr="005B79DC">
        <w:rPr>
          <w:rFonts w:ascii="Times New Roman" w:hAnsi="Times New Roman" w:cs="Times New Roman"/>
          <w:color w:val="000000" w:themeColor="text1"/>
          <w:sz w:val="20"/>
          <w:szCs w:val="20"/>
        </w:rPr>
        <w:t xml:space="preserve">agrees with </w:t>
      </w:r>
      <w:r w:rsidR="003538E3" w:rsidRPr="005B79DC">
        <w:rPr>
          <w:rFonts w:ascii="Times New Roman" w:hAnsi="Times New Roman" w:cs="Times New Roman"/>
          <w:color w:val="000000" w:themeColor="text1"/>
          <w:sz w:val="20"/>
          <w:szCs w:val="20"/>
        </w:rPr>
        <w:t xml:space="preserve">the </w:t>
      </w:r>
      <w:r w:rsidR="00DA4BA2" w:rsidRPr="005B79DC">
        <w:rPr>
          <w:rFonts w:ascii="Times New Roman" w:hAnsi="Times New Roman" w:cs="Times New Roman"/>
          <w:color w:val="000000" w:themeColor="text1"/>
          <w:sz w:val="20"/>
          <w:szCs w:val="20"/>
        </w:rPr>
        <w:t xml:space="preserve">physiotherapist’s </w:t>
      </w:r>
      <w:r w:rsidR="003538E3" w:rsidRPr="005B79DC">
        <w:rPr>
          <w:rFonts w:ascii="Times New Roman" w:hAnsi="Times New Roman" w:cs="Times New Roman"/>
          <w:color w:val="000000" w:themeColor="text1"/>
          <w:sz w:val="20"/>
          <w:szCs w:val="20"/>
        </w:rPr>
        <w:t xml:space="preserve">clinical </w:t>
      </w:r>
      <w:r w:rsidR="003808F4" w:rsidRPr="005B79DC">
        <w:rPr>
          <w:rFonts w:ascii="Times New Roman" w:hAnsi="Times New Roman" w:cs="Times New Roman"/>
          <w:color w:val="000000" w:themeColor="text1"/>
          <w:sz w:val="20"/>
          <w:szCs w:val="20"/>
        </w:rPr>
        <w:t xml:space="preserve">observation </w:t>
      </w:r>
      <w:r w:rsidR="003538E3" w:rsidRPr="005B79DC">
        <w:rPr>
          <w:rFonts w:ascii="Times New Roman" w:hAnsi="Times New Roman" w:cs="Times New Roman"/>
          <w:color w:val="000000" w:themeColor="text1"/>
          <w:sz w:val="20"/>
          <w:szCs w:val="20"/>
        </w:rPr>
        <w:t>that</w:t>
      </w:r>
      <w:r w:rsidR="003808F4" w:rsidRPr="005B79DC">
        <w:rPr>
          <w:rFonts w:ascii="Times New Roman" w:hAnsi="Times New Roman" w:cs="Times New Roman"/>
          <w:color w:val="000000" w:themeColor="text1"/>
          <w:sz w:val="20"/>
          <w:szCs w:val="20"/>
        </w:rPr>
        <w:t xml:space="preserve"> identified t</w:t>
      </w:r>
      <w:r w:rsidR="00DA4BA2" w:rsidRPr="005B79DC">
        <w:rPr>
          <w:rFonts w:ascii="Times New Roman" w:hAnsi="Times New Roman" w:cs="Times New Roman"/>
          <w:color w:val="000000" w:themeColor="text1"/>
          <w:sz w:val="20"/>
          <w:szCs w:val="20"/>
        </w:rPr>
        <w:t xml:space="preserve">hese participants as having movement </w:t>
      </w:r>
      <w:r w:rsidR="003538E3" w:rsidRPr="005B79DC">
        <w:rPr>
          <w:rFonts w:ascii="Times New Roman" w:hAnsi="Times New Roman" w:cs="Times New Roman"/>
          <w:color w:val="000000" w:themeColor="text1"/>
          <w:sz w:val="20"/>
          <w:szCs w:val="20"/>
        </w:rPr>
        <w:t>faults</w:t>
      </w:r>
      <w:r w:rsidR="00DA4BA2" w:rsidRPr="005B79DC">
        <w:rPr>
          <w:rFonts w:ascii="Times New Roman" w:hAnsi="Times New Roman" w:cs="Times New Roman"/>
          <w:color w:val="000000" w:themeColor="text1"/>
          <w:sz w:val="20"/>
          <w:szCs w:val="20"/>
        </w:rPr>
        <w:t xml:space="preserve"> of the scapula</w:t>
      </w:r>
      <w:r w:rsidR="003538E3" w:rsidRPr="005B79DC">
        <w:rPr>
          <w:rFonts w:ascii="Times New Roman" w:hAnsi="Times New Roman" w:cs="Times New Roman"/>
          <w:color w:val="000000" w:themeColor="text1"/>
          <w:sz w:val="20"/>
          <w:szCs w:val="20"/>
        </w:rPr>
        <w:t>.</w:t>
      </w:r>
      <w:r w:rsidR="004B1C0A" w:rsidRPr="005B79DC">
        <w:rPr>
          <w:rFonts w:ascii="Times New Roman" w:hAnsi="Times New Roman" w:cs="Times New Roman"/>
          <w:color w:val="000000" w:themeColor="text1"/>
          <w:sz w:val="20"/>
          <w:szCs w:val="20"/>
        </w:rPr>
        <w:t xml:space="preserve"> </w:t>
      </w:r>
      <w:r w:rsidRPr="005B79DC">
        <w:rPr>
          <w:rFonts w:ascii="Times New Roman" w:eastAsia="PMingLiU" w:hAnsi="Times New Roman" w:cs="Times New Roman" w:hint="eastAsia"/>
          <w:color w:val="000000" w:themeColor="text1"/>
          <w:sz w:val="20"/>
          <w:szCs w:val="20"/>
          <w:lang w:eastAsia="zh-TW"/>
        </w:rPr>
        <w:t xml:space="preserve">Three </w:t>
      </w:r>
      <w:r w:rsidR="00EB7070" w:rsidRPr="005B79DC">
        <w:rPr>
          <w:rFonts w:ascii="Times New Roman" w:hAnsi="Times New Roman" w:cs="Times New Roman"/>
          <w:color w:val="000000" w:themeColor="text1"/>
          <w:sz w:val="20"/>
          <w:szCs w:val="20"/>
        </w:rPr>
        <w:t xml:space="preserve">healthy </w:t>
      </w:r>
      <w:r w:rsidR="00DA4BA2" w:rsidRPr="005B79DC">
        <w:rPr>
          <w:rFonts w:ascii="Times New Roman" w:hAnsi="Times New Roman" w:cs="Times New Roman"/>
          <w:color w:val="000000" w:themeColor="text1"/>
          <w:sz w:val="20"/>
          <w:szCs w:val="20"/>
        </w:rPr>
        <w:t xml:space="preserve">control </w:t>
      </w:r>
      <w:r w:rsidR="00EB7070" w:rsidRPr="005B79DC">
        <w:rPr>
          <w:rFonts w:ascii="Times New Roman" w:hAnsi="Times New Roman" w:cs="Times New Roman"/>
          <w:color w:val="000000" w:themeColor="text1"/>
          <w:sz w:val="20"/>
          <w:szCs w:val="20"/>
        </w:rPr>
        <w:t>participants</w:t>
      </w:r>
      <w:r w:rsidRPr="005B79DC">
        <w:rPr>
          <w:rFonts w:ascii="Times New Roman" w:eastAsia="PMingLiU" w:hAnsi="Times New Roman" w:cs="Times New Roman" w:hint="eastAsia"/>
          <w:color w:val="000000" w:themeColor="text1"/>
          <w:sz w:val="20"/>
          <w:szCs w:val="20"/>
          <w:lang w:eastAsia="zh-TW"/>
        </w:rPr>
        <w:t>, however,</w:t>
      </w:r>
      <w:r w:rsidR="00EB7070" w:rsidRPr="005B79DC">
        <w:rPr>
          <w:rFonts w:ascii="Times New Roman" w:hAnsi="Times New Roman" w:cs="Times New Roman"/>
          <w:color w:val="000000" w:themeColor="text1"/>
          <w:sz w:val="20"/>
          <w:szCs w:val="20"/>
        </w:rPr>
        <w:t xml:space="preserve"> were classified into this region.</w:t>
      </w:r>
      <w:r w:rsidR="004305D9" w:rsidRPr="005B79DC">
        <w:rPr>
          <w:rFonts w:ascii="Times New Roman" w:hAnsi="Times New Roman" w:cs="Times New Roman"/>
          <w:color w:val="000000" w:themeColor="text1"/>
          <w:sz w:val="20"/>
          <w:szCs w:val="20"/>
        </w:rPr>
        <w:t xml:space="preserve"> These </w:t>
      </w:r>
      <w:r w:rsidR="003800EE">
        <w:rPr>
          <w:rFonts w:ascii="Times New Roman" w:hAnsi="Times New Roman" w:cs="Times New Roman"/>
          <w:color w:val="000000" w:themeColor="text1"/>
          <w:sz w:val="20"/>
          <w:szCs w:val="20"/>
        </w:rPr>
        <w:t>three</w:t>
      </w:r>
      <w:bookmarkStart w:id="0" w:name="_GoBack"/>
      <w:bookmarkEnd w:id="0"/>
      <w:r w:rsidR="00B47B57" w:rsidRPr="005B79DC">
        <w:rPr>
          <w:rFonts w:ascii="Times New Roman" w:hAnsi="Times New Roman" w:cs="Times New Roman"/>
          <w:color w:val="000000" w:themeColor="text1"/>
          <w:sz w:val="20"/>
          <w:szCs w:val="20"/>
        </w:rPr>
        <w:t xml:space="preserve"> </w:t>
      </w:r>
      <w:r w:rsidR="004305D9" w:rsidRPr="005B79DC">
        <w:rPr>
          <w:rFonts w:ascii="Times New Roman" w:hAnsi="Times New Roman" w:cs="Times New Roman"/>
          <w:color w:val="000000" w:themeColor="text1"/>
          <w:sz w:val="20"/>
          <w:szCs w:val="20"/>
        </w:rPr>
        <w:t>participants were not classified as having movement faults by the physiotherapist’s clinical observation</w:t>
      </w:r>
      <w:r w:rsidR="00B47B57" w:rsidRPr="005B79DC">
        <w:rPr>
          <w:rFonts w:ascii="Times New Roman" w:hAnsi="Times New Roman" w:cs="Times New Roman"/>
          <w:color w:val="000000" w:themeColor="text1"/>
          <w:sz w:val="20"/>
          <w:szCs w:val="20"/>
        </w:rPr>
        <w:t>,</w:t>
      </w:r>
      <w:r w:rsidR="004305D9" w:rsidRPr="005B79DC">
        <w:rPr>
          <w:rFonts w:ascii="Times New Roman" w:hAnsi="Times New Roman" w:cs="Times New Roman"/>
          <w:color w:val="000000" w:themeColor="text1"/>
          <w:sz w:val="20"/>
          <w:szCs w:val="20"/>
        </w:rPr>
        <w:t xml:space="preserve"> </w:t>
      </w:r>
      <w:r w:rsidR="00B47B57" w:rsidRPr="005B79DC">
        <w:rPr>
          <w:rFonts w:ascii="Times New Roman" w:hAnsi="Times New Roman" w:cs="Times New Roman"/>
          <w:color w:val="000000" w:themeColor="text1"/>
          <w:sz w:val="20"/>
          <w:szCs w:val="20"/>
        </w:rPr>
        <w:t>t</w:t>
      </w:r>
      <w:r w:rsidR="004305D9" w:rsidRPr="005B79DC">
        <w:rPr>
          <w:rFonts w:ascii="Times New Roman" w:hAnsi="Times New Roman" w:cs="Times New Roman"/>
          <w:color w:val="000000" w:themeColor="text1"/>
          <w:sz w:val="20"/>
          <w:szCs w:val="20"/>
        </w:rPr>
        <w:t xml:space="preserve">herefore </w:t>
      </w:r>
      <w:r w:rsidR="00B47B57" w:rsidRPr="005B79DC">
        <w:rPr>
          <w:rFonts w:ascii="Times New Roman" w:hAnsi="Times New Roman" w:cs="Times New Roman"/>
          <w:color w:val="000000" w:themeColor="text1"/>
          <w:sz w:val="20"/>
          <w:szCs w:val="20"/>
        </w:rPr>
        <w:t xml:space="preserve">they </w:t>
      </w:r>
      <w:r w:rsidR="004305D9" w:rsidRPr="005B79DC">
        <w:rPr>
          <w:rFonts w:ascii="Times New Roman" w:hAnsi="Times New Roman" w:cs="Times New Roman"/>
          <w:color w:val="000000" w:themeColor="text1"/>
          <w:sz w:val="20"/>
          <w:szCs w:val="20"/>
        </w:rPr>
        <w:t>could be considered as being misclassified</w:t>
      </w:r>
      <w:r w:rsidR="00B47B57" w:rsidRPr="005B79DC">
        <w:rPr>
          <w:rFonts w:ascii="Times New Roman" w:hAnsi="Times New Roman" w:cs="Times New Roman"/>
          <w:color w:val="000000" w:themeColor="text1"/>
          <w:sz w:val="20"/>
          <w:szCs w:val="20"/>
        </w:rPr>
        <w:t xml:space="preserve"> by the</w:t>
      </w:r>
      <w:r w:rsidR="000A464A" w:rsidRPr="005B79DC">
        <w:rPr>
          <w:rFonts w:ascii="Times New Roman" w:hAnsi="Times New Roman" w:cs="Times New Roman"/>
          <w:color w:val="000000" w:themeColor="text1"/>
          <w:sz w:val="20"/>
          <w:szCs w:val="20"/>
        </w:rPr>
        <w:t xml:space="preserve"> </w:t>
      </w:r>
      <w:r w:rsidR="00B47B57" w:rsidRPr="005B79DC">
        <w:rPr>
          <w:rFonts w:ascii="Times New Roman" w:hAnsi="Times New Roman" w:cs="Times New Roman"/>
          <w:color w:val="000000" w:themeColor="text1"/>
          <w:sz w:val="20"/>
          <w:szCs w:val="20"/>
        </w:rPr>
        <w:t>DST</w:t>
      </w:r>
      <w:r w:rsidR="004305D9" w:rsidRPr="005B79DC">
        <w:rPr>
          <w:rFonts w:ascii="Times New Roman" w:hAnsi="Times New Roman" w:cs="Times New Roman"/>
          <w:color w:val="000000" w:themeColor="text1"/>
          <w:sz w:val="20"/>
          <w:szCs w:val="20"/>
        </w:rPr>
        <w:t>.</w:t>
      </w:r>
      <w:r w:rsidR="00EB7070" w:rsidRPr="005B79DC">
        <w:rPr>
          <w:rFonts w:ascii="Times New Roman" w:hAnsi="Times New Roman" w:cs="Times New Roman"/>
          <w:color w:val="000000" w:themeColor="text1"/>
          <w:sz w:val="20"/>
          <w:szCs w:val="20"/>
        </w:rPr>
        <w:t xml:space="preserve"> On further examinatio</w:t>
      </w:r>
      <w:r w:rsidR="008877D5" w:rsidRPr="005B79DC">
        <w:rPr>
          <w:rFonts w:ascii="Times New Roman" w:hAnsi="Times New Roman" w:cs="Times New Roman"/>
          <w:color w:val="000000" w:themeColor="text1"/>
          <w:sz w:val="20"/>
          <w:szCs w:val="20"/>
        </w:rPr>
        <w:t>n</w:t>
      </w:r>
      <w:r w:rsidR="00EB7070" w:rsidRPr="005B79DC">
        <w:rPr>
          <w:rFonts w:ascii="Times New Roman" w:hAnsi="Times New Roman" w:cs="Times New Roman"/>
          <w:color w:val="000000" w:themeColor="text1"/>
          <w:sz w:val="20"/>
          <w:szCs w:val="20"/>
        </w:rPr>
        <w:t xml:space="preserve">, </w:t>
      </w:r>
      <w:r w:rsidRPr="005B79DC">
        <w:rPr>
          <w:rFonts w:ascii="Times New Roman" w:eastAsia="PMingLiU" w:hAnsi="Times New Roman" w:cs="Times New Roman" w:hint="eastAsia"/>
          <w:color w:val="000000" w:themeColor="text1"/>
          <w:sz w:val="20"/>
          <w:szCs w:val="20"/>
          <w:lang w:eastAsia="zh-TW"/>
        </w:rPr>
        <w:t>the</w:t>
      </w:r>
      <w:r w:rsidR="00B47B57" w:rsidRPr="005B79DC">
        <w:rPr>
          <w:rFonts w:ascii="Times New Roman" w:eastAsia="PMingLiU" w:hAnsi="Times New Roman" w:cs="Times New Roman"/>
          <w:color w:val="000000" w:themeColor="text1"/>
          <w:sz w:val="20"/>
          <w:szCs w:val="20"/>
          <w:lang w:eastAsia="zh-TW"/>
        </w:rPr>
        <w:t xml:space="preserve">se participants </w:t>
      </w:r>
      <w:r w:rsidRPr="005B79DC">
        <w:rPr>
          <w:rFonts w:ascii="Times New Roman" w:eastAsia="PMingLiU" w:hAnsi="Times New Roman" w:cs="Times New Roman" w:hint="eastAsia"/>
          <w:color w:val="000000" w:themeColor="text1"/>
          <w:sz w:val="20"/>
          <w:szCs w:val="20"/>
          <w:lang w:eastAsia="zh-TW"/>
        </w:rPr>
        <w:t xml:space="preserve">had </w:t>
      </w:r>
      <w:r w:rsidR="00EB7070" w:rsidRPr="005B79DC">
        <w:rPr>
          <w:rFonts w:ascii="Times New Roman" w:hAnsi="Times New Roman" w:cs="Times New Roman"/>
          <w:color w:val="000000" w:themeColor="text1"/>
          <w:sz w:val="20"/>
          <w:szCs w:val="20"/>
        </w:rPr>
        <w:t>exhibited upward rotation values at the mid-point (90° arm elevation) and end of the test that were similar to those observed by the history of pain participants</w:t>
      </w:r>
      <w:r w:rsidR="009F09A9" w:rsidRPr="005B79DC">
        <w:rPr>
          <w:rFonts w:ascii="Times New Roman" w:hAnsi="Times New Roman" w:cs="Times New Roman"/>
          <w:color w:val="000000" w:themeColor="text1"/>
          <w:sz w:val="20"/>
          <w:szCs w:val="20"/>
        </w:rPr>
        <w:t>.</w:t>
      </w:r>
      <w:r w:rsidR="004305D9" w:rsidRPr="005B79DC">
        <w:rPr>
          <w:rFonts w:ascii="Times New Roman" w:hAnsi="Times New Roman" w:cs="Times New Roman"/>
          <w:color w:val="000000" w:themeColor="text1"/>
          <w:sz w:val="20"/>
          <w:szCs w:val="20"/>
        </w:rPr>
        <w:t xml:space="preserve"> </w:t>
      </w:r>
      <w:r w:rsidR="009F09A9" w:rsidRPr="005B79DC">
        <w:rPr>
          <w:rFonts w:ascii="Times New Roman" w:hAnsi="Times New Roman" w:cs="Times New Roman"/>
          <w:color w:val="000000" w:themeColor="text1"/>
          <w:sz w:val="20"/>
          <w:szCs w:val="20"/>
        </w:rPr>
        <w:t xml:space="preserve">This </w:t>
      </w:r>
      <w:r w:rsidR="004305D9" w:rsidRPr="005B79DC">
        <w:rPr>
          <w:rFonts w:ascii="Times New Roman" w:hAnsi="Times New Roman" w:cs="Times New Roman"/>
          <w:color w:val="000000" w:themeColor="text1"/>
          <w:sz w:val="20"/>
          <w:szCs w:val="20"/>
        </w:rPr>
        <w:t>is the likely cause of them being classified into the movement fault</w:t>
      </w:r>
      <w:r w:rsidR="00137532" w:rsidRPr="005B79DC">
        <w:rPr>
          <w:rFonts w:ascii="Times New Roman" w:hAnsi="Times New Roman" w:cs="Times New Roman"/>
          <w:color w:val="000000" w:themeColor="text1"/>
          <w:sz w:val="20"/>
          <w:szCs w:val="20"/>
        </w:rPr>
        <w:t xml:space="preserve"> region</w:t>
      </w:r>
      <w:r w:rsidR="00EB7070" w:rsidRPr="005B79DC">
        <w:rPr>
          <w:rFonts w:ascii="Times New Roman" w:hAnsi="Times New Roman" w:cs="Times New Roman"/>
          <w:color w:val="000000" w:themeColor="text1"/>
          <w:sz w:val="20"/>
          <w:szCs w:val="20"/>
        </w:rPr>
        <w:t>.</w:t>
      </w:r>
      <w:r w:rsidR="008877D5" w:rsidRPr="005B79DC">
        <w:rPr>
          <w:rFonts w:ascii="Times New Roman" w:hAnsi="Times New Roman" w:cs="Times New Roman"/>
          <w:color w:val="000000" w:themeColor="text1"/>
          <w:sz w:val="20"/>
          <w:szCs w:val="20"/>
        </w:rPr>
        <w:t xml:space="preserve"> </w:t>
      </w:r>
      <w:r w:rsidR="005C4254" w:rsidRPr="005B79DC">
        <w:rPr>
          <w:rFonts w:ascii="Times New Roman" w:eastAsia="PMingLiU" w:hAnsi="Times New Roman" w:cs="Times New Roman" w:hint="eastAsia"/>
          <w:color w:val="000000" w:themeColor="text1"/>
          <w:sz w:val="20"/>
          <w:szCs w:val="20"/>
          <w:lang w:eastAsia="zh-TW"/>
        </w:rPr>
        <w:t>C</w:t>
      </w:r>
      <w:r w:rsidR="005C4254" w:rsidRPr="005B79DC">
        <w:rPr>
          <w:rFonts w:ascii="Times New Roman" w:eastAsia="PMingLiU" w:hAnsi="Times New Roman" w:cs="Times New Roman"/>
          <w:color w:val="000000" w:themeColor="text1"/>
          <w:sz w:val="20"/>
          <w:szCs w:val="20"/>
          <w:lang w:eastAsia="zh-TW"/>
        </w:rPr>
        <w:t>onsidering</w:t>
      </w:r>
      <w:r w:rsidR="005C4254" w:rsidRPr="005B79DC">
        <w:rPr>
          <w:rFonts w:ascii="Times New Roman" w:eastAsia="PMingLiU" w:hAnsi="Times New Roman" w:cs="Times New Roman" w:hint="eastAsia"/>
          <w:color w:val="000000" w:themeColor="text1"/>
          <w:sz w:val="20"/>
          <w:szCs w:val="20"/>
          <w:lang w:eastAsia="zh-TW"/>
        </w:rPr>
        <w:t xml:space="preserve"> the large variability </w:t>
      </w:r>
      <w:r w:rsidR="003808F4" w:rsidRPr="005B79DC">
        <w:rPr>
          <w:rFonts w:ascii="Times New Roman" w:eastAsia="PMingLiU" w:hAnsi="Times New Roman" w:cs="Times New Roman" w:hint="eastAsia"/>
          <w:color w:val="000000" w:themeColor="text1"/>
          <w:sz w:val="20"/>
          <w:szCs w:val="20"/>
          <w:lang w:eastAsia="zh-TW"/>
        </w:rPr>
        <w:t>observed in scapular kinematics</w:t>
      </w:r>
      <w:r w:rsidR="003808F4" w:rsidRPr="005B79DC">
        <w:rPr>
          <w:rFonts w:ascii="Times New Roman" w:eastAsia="PMingLiU" w:hAnsi="Times New Roman" w:cs="Times New Roman"/>
          <w:color w:val="000000" w:themeColor="text1"/>
          <w:sz w:val="20"/>
          <w:szCs w:val="20"/>
          <w:lang w:eastAsia="zh-TW"/>
        </w:rPr>
        <w:t xml:space="preserve"> and </w:t>
      </w:r>
      <w:r w:rsidR="005C4254" w:rsidRPr="005B79DC">
        <w:rPr>
          <w:rFonts w:ascii="Times New Roman" w:eastAsia="PMingLiU" w:hAnsi="Times New Roman" w:cs="Times New Roman" w:hint="eastAsia"/>
          <w:color w:val="000000" w:themeColor="text1"/>
          <w:sz w:val="20"/>
          <w:szCs w:val="20"/>
          <w:lang w:eastAsia="zh-TW"/>
        </w:rPr>
        <w:t xml:space="preserve">the </w:t>
      </w:r>
      <w:r w:rsidR="005C4254" w:rsidRPr="005B79DC">
        <w:rPr>
          <w:rFonts w:ascii="Times New Roman" w:eastAsia="PMingLiU" w:hAnsi="Times New Roman" w:cs="Times New Roman"/>
          <w:color w:val="000000" w:themeColor="text1"/>
          <w:sz w:val="20"/>
          <w:szCs w:val="20"/>
          <w:lang w:eastAsia="zh-TW"/>
        </w:rPr>
        <w:t>small</w:t>
      </w:r>
      <w:r w:rsidR="005C4254" w:rsidRPr="005B79DC">
        <w:rPr>
          <w:rFonts w:ascii="Times New Roman" w:eastAsia="PMingLiU" w:hAnsi="Times New Roman" w:cs="Times New Roman" w:hint="eastAsia"/>
          <w:color w:val="000000" w:themeColor="text1"/>
          <w:sz w:val="20"/>
          <w:szCs w:val="20"/>
          <w:lang w:eastAsia="zh-TW"/>
        </w:rPr>
        <w:t xml:space="preserve"> participant numbers, the DST provided a more than acceptable classification and could be used for future analyses.</w:t>
      </w:r>
    </w:p>
    <w:p w:rsidR="00DA4BA2" w:rsidRPr="005B79DC" w:rsidRDefault="00DA4BA2" w:rsidP="00BF16A4">
      <w:pPr>
        <w:pStyle w:val="NoSpacing"/>
        <w:jc w:val="both"/>
        <w:rPr>
          <w:rFonts w:ascii="Times New Roman" w:hAnsi="Times New Roman" w:cs="Times New Roman"/>
          <w:b/>
          <w:color w:val="000000" w:themeColor="text1"/>
          <w:sz w:val="20"/>
          <w:szCs w:val="20"/>
        </w:rPr>
      </w:pPr>
    </w:p>
    <w:p w:rsidR="00DA4BA2" w:rsidRPr="005B79DC" w:rsidRDefault="00DA4BA2" w:rsidP="00BF16A4">
      <w:pPr>
        <w:pStyle w:val="NoSpacing"/>
        <w:jc w:val="both"/>
        <w:rPr>
          <w:rFonts w:ascii="Times New Roman" w:hAnsi="Times New Roman" w:cs="Times New Roman"/>
          <w:b/>
          <w:color w:val="000000" w:themeColor="text1"/>
          <w:sz w:val="20"/>
          <w:szCs w:val="20"/>
        </w:rPr>
      </w:pPr>
    </w:p>
    <w:p w:rsidR="00DA4BA2" w:rsidRPr="005B79DC" w:rsidRDefault="00DA4BA2" w:rsidP="00BF16A4">
      <w:pPr>
        <w:pStyle w:val="NoSpacing"/>
        <w:jc w:val="both"/>
        <w:rPr>
          <w:rFonts w:ascii="Times New Roman" w:hAnsi="Times New Roman" w:cs="Times New Roman"/>
          <w:b/>
          <w:color w:val="000000" w:themeColor="text1"/>
          <w:sz w:val="20"/>
          <w:szCs w:val="20"/>
        </w:rPr>
      </w:pPr>
    </w:p>
    <w:p w:rsidR="00DA4BA2" w:rsidRPr="005B79DC" w:rsidRDefault="00DA4BA2" w:rsidP="00BF16A4">
      <w:pPr>
        <w:pStyle w:val="NoSpacing"/>
        <w:jc w:val="both"/>
        <w:rPr>
          <w:rFonts w:ascii="Times New Roman" w:hAnsi="Times New Roman" w:cs="Times New Roman"/>
          <w:b/>
          <w:color w:val="000000" w:themeColor="text1"/>
          <w:sz w:val="20"/>
          <w:szCs w:val="20"/>
        </w:rPr>
      </w:pPr>
    </w:p>
    <w:p w:rsidR="00DA4BA2" w:rsidRPr="005B79DC" w:rsidRDefault="00DA4BA2" w:rsidP="00BF16A4">
      <w:pPr>
        <w:pStyle w:val="NoSpacing"/>
        <w:jc w:val="both"/>
        <w:rPr>
          <w:rFonts w:ascii="Times New Roman" w:hAnsi="Times New Roman" w:cs="Times New Roman"/>
          <w:b/>
          <w:color w:val="000000" w:themeColor="text1"/>
          <w:sz w:val="20"/>
          <w:szCs w:val="20"/>
        </w:rPr>
      </w:pPr>
    </w:p>
    <w:p w:rsidR="00DA4BA2" w:rsidRPr="005B79DC" w:rsidRDefault="00DA4BA2" w:rsidP="00BF16A4">
      <w:pPr>
        <w:pStyle w:val="NoSpacing"/>
        <w:jc w:val="both"/>
        <w:rPr>
          <w:rFonts w:ascii="Times New Roman" w:hAnsi="Times New Roman" w:cs="Times New Roman"/>
          <w:b/>
          <w:color w:val="000000" w:themeColor="text1"/>
          <w:sz w:val="20"/>
          <w:szCs w:val="20"/>
        </w:rPr>
      </w:pPr>
    </w:p>
    <w:p w:rsidR="00DA4BA2" w:rsidRPr="005B79DC" w:rsidRDefault="00DA4BA2" w:rsidP="00BF16A4">
      <w:pPr>
        <w:pStyle w:val="NoSpacing"/>
        <w:jc w:val="both"/>
        <w:rPr>
          <w:rFonts w:ascii="Times New Roman" w:hAnsi="Times New Roman" w:cs="Times New Roman"/>
          <w:b/>
          <w:color w:val="000000" w:themeColor="text1"/>
          <w:sz w:val="20"/>
          <w:szCs w:val="20"/>
        </w:rPr>
      </w:pPr>
    </w:p>
    <w:p w:rsidR="00DA4BA2" w:rsidRPr="005B79DC" w:rsidRDefault="00DA4BA2" w:rsidP="00BF16A4">
      <w:pPr>
        <w:pStyle w:val="NoSpacing"/>
        <w:jc w:val="both"/>
        <w:rPr>
          <w:rFonts w:ascii="Times New Roman" w:hAnsi="Times New Roman" w:cs="Times New Roman"/>
          <w:b/>
          <w:color w:val="000000" w:themeColor="text1"/>
          <w:sz w:val="20"/>
          <w:szCs w:val="20"/>
        </w:rPr>
      </w:pPr>
    </w:p>
    <w:p w:rsidR="00DA4BA2" w:rsidRPr="005B79DC" w:rsidRDefault="00DA4BA2" w:rsidP="00BF16A4">
      <w:pPr>
        <w:pStyle w:val="NoSpacing"/>
        <w:jc w:val="both"/>
        <w:rPr>
          <w:rFonts w:ascii="Times New Roman" w:hAnsi="Times New Roman" w:cs="Times New Roman"/>
          <w:b/>
          <w:color w:val="000000" w:themeColor="text1"/>
          <w:sz w:val="20"/>
          <w:szCs w:val="20"/>
        </w:rPr>
      </w:pPr>
    </w:p>
    <w:p w:rsidR="00DA4BA2" w:rsidRPr="005B79DC" w:rsidRDefault="00DA4BA2" w:rsidP="00BF16A4">
      <w:pPr>
        <w:pStyle w:val="NoSpacing"/>
        <w:jc w:val="both"/>
        <w:rPr>
          <w:rFonts w:ascii="Times New Roman" w:hAnsi="Times New Roman" w:cs="Times New Roman"/>
          <w:b/>
          <w:color w:val="000000" w:themeColor="text1"/>
          <w:sz w:val="20"/>
          <w:szCs w:val="20"/>
        </w:rPr>
      </w:pPr>
    </w:p>
    <w:p w:rsidR="00DA4BA2" w:rsidRPr="005B79DC" w:rsidRDefault="00DA4BA2" w:rsidP="00BF16A4">
      <w:pPr>
        <w:pStyle w:val="NoSpacing"/>
        <w:jc w:val="both"/>
        <w:rPr>
          <w:rFonts w:ascii="Times New Roman" w:hAnsi="Times New Roman" w:cs="Times New Roman"/>
          <w:b/>
          <w:color w:val="000000" w:themeColor="text1"/>
          <w:sz w:val="20"/>
          <w:szCs w:val="20"/>
        </w:rPr>
      </w:pPr>
    </w:p>
    <w:p w:rsidR="00AC0DEF" w:rsidRDefault="00AC0DEF" w:rsidP="00BF16A4">
      <w:pPr>
        <w:pStyle w:val="NoSpacing"/>
        <w:jc w:val="both"/>
        <w:rPr>
          <w:rFonts w:ascii="Times New Roman" w:hAnsi="Times New Roman" w:cs="Times New Roman"/>
          <w:b/>
          <w:color w:val="000000" w:themeColor="text1"/>
          <w:sz w:val="20"/>
          <w:szCs w:val="20"/>
        </w:rPr>
      </w:pPr>
    </w:p>
    <w:tbl>
      <w:tblPr>
        <w:tblpPr w:leftFromText="180" w:rightFromText="180" w:vertAnchor="text" w:horzAnchor="margin" w:tblpXSpec="right" w:tblpY="-118"/>
        <w:tblW w:w="0" w:type="auto"/>
        <w:tblLook w:val="01E0" w:firstRow="1" w:lastRow="1" w:firstColumn="1" w:lastColumn="1" w:noHBand="0" w:noVBand="0"/>
      </w:tblPr>
      <w:tblGrid>
        <w:gridCol w:w="4964"/>
      </w:tblGrid>
      <w:tr w:rsidR="00AC0DEF" w:rsidRPr="005B79DC" w:rsidTr="00AC0DEF">
        <w:tc>
          <w:tcPr>
            <w:tcW w:w="4964" w:type="dxa"/>
          </w:tcPr>
          <w:p w:rsidR="00AC0DEF" w:rsidRPr="005B79DC" w:rsidRDefault="00AC0DEF" w:rsidP="00AC0DEF">
            <w:pPr>
              <w:pStyle w:val="NoSpacing"/>
              <w:spacing w:after="200" w:line="276" w:lineRule="auto"/>
              <w:jc w:val="both"/>
              <w:rPr>
                <w:rFonts w:ascii="Times New Roman" w:hAnsi="Times New Roman" w:cs="Times New Roman"/>
                <w:color w:val="000000" w:themeColor="text1"/>
                <w:sz w:val="20"/>
                <w:szCs w:val="20"/>
              </w:rPr>
            </w:pPr>
            <w:r w:rsidRPr="005B79DC">
              <w:rPr>
                <w:rFonts w:ascii="Times New Roman" w:hAnsi="Times New Roman" w:cs="Times New Roman"/>
                <w:noProof/>
                <w:color w:val="000000" w:themeColor="text1"/>
              </w:rPr>
              <w:drawing>
                <wp:inline distT="0" distB="0" distL="0" distR="0" wp14:anchorId="40A3FFCA" wp14:editId="6E98B841">
                  <wp:extent cx="3094355" cy="2232660"/>
                  <wp:effectExtent l="0" t="0" r="0" b="0"/>
                  <wp:docPr id="1" name="Picture 1" descr="\\soton.ac.uk\ude\PersonalFiles\Users\mw7\mydocuments\Research documents\PhD\Shoulder movement dysfunction\Feasibility study\PCA and classification\Figur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ton.ac.uk\ude\PersonalFiles\Users\mw7\mydocuments\Research documents\PhD\Shoulder movement dysfunction\Feasibility study\PCA and classification\Figure 2.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94355" cy="2232660"/>
                          </a:xfrm>
                          <a:prstGeom prst="rect">
                            <a:avLst/>
                          </a:prstGeom>
                          <a:noFill/>
                          <a:ln>
                            <a:noFill/>
                          </a:ln>
                        </pic:spPr>
                      </pic:pic>
                    </a:graphicData>
                  </a:graphic>
                </wp:inline>
              </w:drawing>
            </w:r>
          </w:p>
        </w:tc>
      </w:tr>
      <w:tr w:rsidR="00AC0DEF" w:rsidRPr="005B79DC" w:rsidTr="00AC0DEF">
        <w:tc>
          <w:tcPr>
            <w:tcW w:w="4964" w:type="dxa"/>
          </w:tcPr>
          <w:p w:rsidR="00AC0DEF" w:rsidRPr="005B79DC" w:rsidRDefault="00AC0DEF" w:rsidP="00AC0DEF">
            <w:pPr>
              <w:pStyle w:val="NoSpacing"/>
              <w:rPr>
                <w:rFonts w:ascii="Times New Roman" w:hAnsi="Times New Roman" w:cs="Times New Roman"/>
                <w:color w:val="000000" w:themeColor="text1"/>
                <w:sz w:val="20"/>
                <w:szCs w:val="20"/>
              </w:rPr>
            </w:pPr>
            <w:r w:rsidRPr="005B79DC">
              <w:rPr>
                <w:rFonts w:ascii="Times New Roman" w:hAnsi="Times New Roman" w:cs="Times New Roman"/>
                <w:color w:val="000000" w:themeColor="text1"/>
                <w:sz w:val="20"/>
                <w:szCs w:val="20"/>
              </w:rPr>
              <w:t>Figure 1: Simplex plot of DST classification. Healthy (circles) and history of pain (crosses) participants were classified into either movement fault (MF) or non-movement fault (NMF) regions of the plot. The level of uncertainty is represented as participants are positioned towards the top of the plot (NMF, MF)</w:t>
            </w:r>
          </w:p>
        </w:tc>
      </w:tr>
    </w:tbl>
    <w:p w:rsidR="00AC0DEF" w:rsidRDefault="00AC0DEF" w:rsidP="00BF16A4">
      <w:pPr>
        <w:pStyle w:val="NoSpacing"/>
        <w:jc w:val="both"/>
        <w:rPr>
          <w:rFonts w:ascii="Times New Roman" w:hAnsi="Times New Roman" w:cs="Times New Roman"/>
          <w:b/>
          <w:color w:val="000000" w:themeColor="text1"/>
          <w:sz w:val="20"/>
          <w:szCs w:val="20"/>
        </w:rPr>
      </w:pPr>
    </w:p>
    <w:p w:rsidR="00BF16A4" w:rsidRPr="005B79DC" w:rsidRDefault="00AC0DEF" w:rsidP="00BF16A4">
      <w:pPr>
        <w:pStyle w:val="NoSpacing"/>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C</w:t>
      </w:r>
      <w:r w:rsidR="00EB7070" w:rsidRPr="005B79DC">
        <w:rPr>
          <w:rFonts w:ascii="Times New Roman" w:hAnsi="Times New Roman" w:cs="Times New Roman"/>
          <w:b/>
          <w:color w:val="000000" w:themeColor="text1"/>
          <w:sz w:val="20"/>
          <w:szCs w:val="20"/>
        </w:rPr>
        <w:t>ONCLUSION</w:t>
      </w:r>
    </w:p>
    <w:p w:rsidR="00C8760C" w:rsidRPr="005B79DC" w:rsidRDefault="00743614" w:rsidP="0079133A">
      <w:pPr>
        <w:pStyle w:val="NoSpacing"/>
        <w:jc w:val="both"/>
        <w:rPr>
          <w:rFonts w:ascii="Times New Roman" w:hAnsi="Times New Roman" w:cs="Times New Roman"/>
          <w:color w:val="000000" w:themeColor="text1"/>
          <w:sz w:val="20"/>
          <w:szCs w:val="20"/>
        </w:rPr>
      </w:pPr>
      <w:r w:rsidRPr="005B79DC">
        <w:rPr>
          <w:rFonts w:ascii="Times New Roman" w:hAnsi="Times New Roman" w:cs="Times New Roman"/>
          <w:color w:val="000000" w:themeColor="text1"/>
          <w:sz w:val="20"/>
          <w:szCs w:val="20"/>
        </w:rPr>
        <w:t xml:space="preserve">The </w:t>
      </w:r>
      <w:r w:rsidR="002B5FB9" w:rsidRPr="005B79DC">
        <w:rPr>
          <w:rFonts w:ascii="Times New Roman" w:hAnsi="Times New Roman" w:cs="Times New Roman"/>
          <w:color w:val="000000" w:themeColor="text1"/>
          <w:sz w:val="20"/>
          <w:szCs w:val="20"/>
        </w:rPr>
        <w:t>DST</w:t>
      </w:r>
      <w:r w:rsidR="000A464A" w:rsidRPr="005B79DC">
        <w:rPr>
          <w:rFonts w:ascii="Times New Roman" w:hAnsi="Times New Roman" w:cs="Times New Roman"/>
          <w:color w:val="000000" w:themeColor="text1"/>
          <w:sz w:val="20"/>
          <w:szCs w:val="20"/>
        </w:rPr>
        <w:t xml:space="preserve"> </w:t>
      </w:r>
      <w:r w:rsidRPr="005B79DC">
        <w:rPr>
          <w:rFonts w:ascii="Times New Roman" w:hAnsi="Times New Roman" w:cs="Times New Roman"/>
          <w:color w:val="000000" w:themeColor="text1"/>
          <w:sz w:val="20"/>
          <w:szCs w:val="20"/>
        </w:rPr>
        <w:t xml:space="preserve">classification </w:t>
      </w:r>
      <w:r w:rsidR="00547836" w:rsidRPr="005B79DC">
        <w:rPr>
          <w:rFonts w:ascii="Times New Roman" w:hAnsi="Times New Roman" w:cs="Times New Roman"/>
          <w:color w:val="000000" w:themeColor="text1"/>
          <w:sz w:val="20"/>
          <w:szCs w:val="20"/>
        </w:rPr>
        <w:t xml:space="preserve">method </w:t>
      </w:r>
      <w:r w:rsidR="00EB7070" w:rsidRPr="005B79DC">
        <w:rPr>
          <w:rFonts w:ascii="Times New Roman" w:hAnsi="Times New Roman" w:cs="Times New Roman"/>
          <w:color w:val="000000" w:themeColor="text1"/>
          <w:sz w:val="20"/>
          <w:szCs w:val="20"/>
        </w:rPr>
        <w:t>was successful at classifying participants</w:t>
      </w:r>
      <w:r w:rsidRPr="005B79DC">
        <w:rPr>
          <w:rFonts w:ascii="Times New Roman" w:hAnsi="Times New Roman" w:cs="Times New Roman"/>
          <w:color w:val="000000" w:themeColor="text1"/>
          <w:sz w:val="20"/>
          <w:szCs w:val="20"/>
        </w:rPr>
        <w:t xml:space="preserve"> </w:t>
      </w:r>
      <w:r w:rsidR="00FD4FFD" w:rsidRPr="005B79DC">
        <w:rPr>
          <w:rFonts w:ascii="Times New Roman" w:hAnsi="Times New Roman" w:cs="Times New Roman"/>
          <w:color w:val="000000" w:themeColor="text1"/>
          <w:sz w:val="20"/>
          <w:szCs w:val="20"/>
        </w:rPr>
        <w:t xml:space="preserve">with a history of pain </w:t>
      </w:r>
      <w:r w:rsidRPr="005B79DC">
        <w:rPr>
          <w:rFonts w:ascii="Times New Roman" w:hAnsi="Times New Roman" w:cs="Times New Roman"/>
          <w:color w:val="000000" w:themeColor="text1"/>
          <w:sz w:val="20"/>
          <w:szCs w:val="20"/>
        </w:rPr>
        <w:t>as having</w:t>
      </w:r>
      <w:r w:rsidR="00AC0DEF">
        <w:rPr>
          <w:rFonts w:ascii="Times New Roman" w:hAnsi="Times New Roman" w:cs="Times New Roman"/>
          <w:color w:val="000000" w:themeColor="text1"/>
          <w:sz w:val="20"/>
          <w:szCs w:val="20"/>
        </w:rPr>
        <w:t xml:space="preserve"> movement faults of the scapula</w:t>
      </w:r>
      <w:r w:rsidRPr="005B79DC">
        <w:rPr>
          <w:rFonts w:ascii="Times New Roman" w:hAnsi="Times New Roman" w:cs="Times New Roman"/>
          <w:color w:val="000000" w:themeColor="text1"/>
          <w:sz w:val="20"/>
          <w:szCs w:val="20"/>
        </w:rPr>
        <w:t xml:space="preserve"> during the</w:t>
      </w:r>
      <w:r w:rsidR="002D5F34" w:rsidRPr="005B79DC">
        <w:rPr>
          <w:rFonts w:ascii="Times New Roman" w:hAnsi="Times New Roman" w:cs="Times New Roman"/>
          <w:color w:val="000000" w:themeColor="text1"/>
          <w:sz w:val="20"/>
          <w:szCs w:val="20"/>
        </w:rPr>
        <w:t xml:space="preserve"> motor</w:t>
      </w:r>
      <w:r w:rsidRPr="005B79DC">
        <w:rPr>
          <w:rFonts w:ascii="Times New Roman" w:hAnsi="Times New Roman" w:cs="Times New Roman"/>
          <w:color w:val="000000" w:themeColor="text1"/>
          <w:sz w:val="20"/>
          <w:szCs w:val="20"/>
        </w:rPr>
        <w:t xml:space="preserve"> control test</w:t>
      </w:r>
      <w:r w:rsidR="00EB7070" w:rsidRPr="005B79DC">
        <w:rPr>
          <w:rFonts w:ascii="Times New Roman" w:hAnsi="Times New Roman" w:cs="Times New Roman"/>
          <w:color w:val="000000" w:themeColor="text1"/>
          <w:sz w:val="20"/>
          <w:szCs w:val="20"/>
        </w:rPr>
        <w:t xml:space="preserve">. This demonstrates the potential of adopting </w:t>
      </w:r>
      <w:r w:rsidR="00F740B6" w:rsidRPr="005B79DC">
        <w:rPr>
          <w:rFonts w:ascii="Times New Roman" w:hAnsi="Times New Roman" w:cs="Times New Roman"/>
          <w:color w:val="000000" w:themeColor="text1"/>
          <w:sz w:val="20"/>
          <w:szCs w:val="20"/>
        </w:rPr>
        <w:t xml:space="preserve">the DST </w:t>
      </w:r>
      <w:r w:rsidR="00EB7070" w:rsidRPr="005B79DC">
        <w:rPr>
          <w:rFonts w:ascii="Times New Roman" w:hAnsi="Times New Roman" w:cs="Times New Roman"/>
          <w:color w:val="000000" w:themeColor="text1"/>
          <w:sz w:val="20"/>
          <w:szCs w:val="20"/>
        </w:rPr>
        <w:t>to provide a way of determining</w:t>
      </w:r>
      <w:r w:rsidR="002D5F34" w:rsidRPr="005B79DC">
        <w:rPr>
          <w:rFonts w:ascii="Times New Roman" w:hAnsi="Times New Roman" w:cs="Times New Roman"/>
          <w:color w:val="000000" w:themeColor="text1"/>
          <w:sz w:val="20"/>
          <w:szCs w:val="20"/>
        </w:rPr>
        <w:t xml:space="preserve"> </w:t>
      </w:r>
      <w:r w:rsidR="007B537B" w:rsidRPr="005B79DC">
        <w:rPr>
          <w:rFonts w:ascii="Times New Roman" w:hAnsi="Times New Roman" w:cs="Times New Roman"/>
          <w:color w:val="000000" w:themeColor="text1"/>
          <w:sz w:val="20"/>
          <w:szCs w:val="20"/>
        </w:rPr>
        <w:t>variable</w:t>
      </w:r>
      <w:r w:rsidR="002D5F34" w:rsidRPr="005B79DC">
        <w:rPr>
          <w:rFonts w:ascii="Times New Roman" w:hAnsi="Times New Roman" w:cs="Times New Roman"/>
          <w:color w:val="000000" w:themeColor="text1"/>
          <w:sz w:val="20"/>
          <w:szCs w:val="20"/>
        </w:rPr>
        <w:t>s</w:t>
      </w:r>
      <w:r w:rsidR="00EB7070" w:rsidRPr="005B79DC">
        <w:rPr>
          <w:rFonts w:ascii="Times New Roman" w:hAnsi="Times New Roman" w:cs="Times New Roman"/>
          <w:color w:val="000000" w:themeColor="text1"/>
          <w:sz w:val="20"/>
          <w:szCs w:val="20"/>
        </w:rPr>
        <w:t xml:space="preserve"> that are most discriminatory and be able to confidently identify participants that have movement</w:t>
      </w:r>
      <w:r w:rsidRPr="005B79DC">
        <w:rPr>
          <w:rFonts w:ascii="Times New Roman" w:hAnsi="Times New Roman" w:cs="Times New Roman"/>
          <w:color w:val="000000" w:themeColor="text1"/>
          <w:sz w:val="20"/>
          <w:szCs w:val="20"/>
        </w:rPr>
        <w:t xml:space="preserve"> faults of the scapula</w:t>
      </w:r>
      <w:r w:rsidR="00EB7070" w:rsidRPr="005B79DC">
        <w:rPr>
          <w:rFonts w:ascii="Times New Roman" w:hAnsi="Times New Roman" w:cs="Times New Roman"/>
          <w:color w:val="000000" w:themeColor="text1"/>
          <w:sz w:val="20"/>
          <w:szCs w:val="20"/>
        </w:rPr>
        <w:t>.</w:t>
      </w:r>
    </w:p>
    <w:p w:rsidR="00DA4BA2" w:rsidRPr="005B79DC" w:rsidRDefault="00DA4BA2" w:rsidP="00C8760C">
      <w:pPr>
        <w:pStyle w:val="NoSpacing"/>
        <w:jc w:val="both"/>
        <w:rPr>
          <w:rFonts w:ascii="Times New Roman" w:hAnsi="Times New Roman" w:cs="Times New Roman"/>
          <w:b/>
          <w:color w:val="000000" w:themeColor="text1"/>
          <w:sz w:val="20"/>
          <w:szCs w:val="20"/>
        </w:rPr>
      </w:pPr>
    </w:p>
    <w:p w:rsidR="00C8760C" w:rsidRPr="005B79DC" w:rsidRDefault="00C8760C" w:rsidP="00C8760C">
      <w:pPr>
        <w:pStyle w:val="NoSpacing"/>
        <w:jc w:val="both"/>
        <w:rPr>
          <w:rFonts w:ascii="Times New Roman" w:hAnsi="Times New Roman" w:cs="Times New Roman"/>
          <w:b/>
          <w:color w:val="000000" w:themeColor="text1"/>
          <w:sz w:val="20"/>
          <w:szCs w:val="20"/>
        </w:rPr>
      </w:pPr>
      <w:r w:rsidRPr="005B79DC">
        <w:rPr>
          <w:rFonts w:ascii="Times New Roman" w:hAnsi="Times New Roman" w:cs="Times New Roman"/>
          <w:b/>
          <w:color w:val="000000" w:themeColor="text1"/>
          <w:sz w:val="20"/>
          <w:szCs w:val="20"/>
        </w:rPr>
        <w:t>REFERENCES</w:t>
      </w:r>
    </w:p>
    <w:p w:rsidR="00C8760C" w:rsidRPr="005B79DC" w:rsidRDefault="00C8760C" w:rsidP="00C8760C">
      <w:pPr>
        <w:pStyle w:val="NoSpacing"/>
        <w:numPr>
          <w:ilvl w:val="0"/>
          <w:numId w:val="2"/>
        </w:numPr>
        <w:tabs>
          <w:tab w:val="clear" w:pos="720"/>
          <w:tab w:val="num" w:pos="360"/>
        </w:tabs>
        <w:ind w:left="360"/>
        <w:rPr>
          <w:rFonts w:ascii="Times New Roman" w:hAnsi="Times New Roman" w:cs="Times New Roman"/>
          <w:color w:val="000000" w:themeColor="text1"/>
          <w:sz w:val="20"/>
          <w:szCs w:val="20"/>
        </w:rPr>
      </w:pPr>
      <w:proofErr w:type="spellStart"/>
      <w:r w:rsidRPr="005B79DC">
        <w:rPr>
          <w:rFonts w:ascii="Times New Roman" w:hAnsi="Times New Roman" w:cs="Times New Roman"/>
          <w:color w:val="000000" w:themeColor="text1"/>
          <w:sz w:val="20"/>
          <w:szCs w:val="20"/>
        </w:rPr>
        <w:t>Mottram</w:t>
      </w:r>
      <w:proofErr w:type="spellEnd"/>
      <w:r w:rsidRPr="005B79DC">
        <w:rPr>
          <w:rFonts w:ascii="Times New Roman" w:hAnsi="Times New Roman" w:cs="Times New Roman"/>
          <w:color w:val="000000" w:themeColor="text1"/>
          <w:sz w:val="20"/>
          <w:szCs w:val="20"/>
        </w:rPr>
        <w:t xml:space="preserve"> S, et al., </w:t>
      </w:r>
      <w:r w:rsidRPr="005B79DC">
        <w:rPr>
          <w:rFonts w:ascii="Times New Roman" w:hAnsi="Times New Roman" w:cs="Times New Roman"/>
          <w:noProof/>
          <w:color w:val="000000" w:themeColor="text1"/>
          <w:sz w:val="20"/>
          <w:szCs w:val="20"/>
        </w:rPr>
        <w:t>3rd International Conference on Movement Dysfunction, Edinburgh, UK, 2009.</w:t>
      </w:r>
    </w:p>
    <w:p w:rsidR="00C8760C" w:rsidRPr="005B79DC" w:rsidRDefault="00C8760C" w:rsidP="00C8760C">
      <w:pPr>
        <w:pStyle w:val="NoSpacing"/>
        <w:numPr>
          <w:ilvl w:val="0"/>
          <w:numId w:val="2"/>
        </w:numPr>
        <w:tabs>
          <w:tab w:val="clear" w:pos="720"/>
          <w:tab w:val="num" w:pos="360"/>
        </w:tabs>
        <w:ind w:left="360"/>
        <w:rPr>
          <w:rFonts w:ascii="Times New Roman" w:hAnsi="Times New Roman" w:cs="Times New Roman"/>
          <w:color w:val="000000" w:themeColor="text1"/>
          <w:sz w:val="20"/>
          <w:szCs w:val="20"/>
        </w:rPr>
      </w:pPr>
      <w:r w:rsidRPr="005B79DC">
        <w:rPr>
          <w:rFonts w:ascii="Times New Roman" w:hAnsi="Times New Roman" w:cs="Times New Roman"/>
          <w:color w:val="000000" w:themeColor="text1"/>
          <w:sz w:val="20"/>
          <w:szCs w:val="20"/>
        </w:rPr>
        <w:t xml:space="preserve">Jones L, et al., </w:t>
      </w:r>
      <w:r w:rsidRPr="005B79DC">
        <w:rPr>
          <w:rFonts w:ascii="Times New Roman" w:hAnsi="Times New Roman" w:cs="Times New Roman"/>
          <w:i/>
          <w:color w:val="000000" w:themeColor="text1"/>
          <w:sz w:val="20"/>
          <w:szCs w:val="20"/>
        </w:rPr>
        <w:t>Computer Methods in Biomechanics and Biomedical Engineering</w:t>
      </w:r>
      <w:r w:rsidRPr="005B79DC">
        <w:rPr>
          <w:rFonts w:ascii="Times New Roman" w:hAnsi="Times New Roman" w:cs="Times New Roman"/>
          <w:color w:val="000000" w:themeColor="text1"/>
          <w:sz w:val="20"/>
          <w:szCs w:val="20"/>
        </w:rPr>
        <w:t xml:space="preserve">. </w:t>
      </w:r>
      <w:r w:rsidRPr="005B79DC">
        <w:rPr>
          <w:rFonts w:ascii="Times New Roman" w:hAnsi="Times New Roman" w:cs="Times New Roman"/>
          <w:b/>
          <w:color w:val="000000" w:themeColor="text1"/>
          <w:sz w:val="20"/>
          <w:szCs w:val="20"/>
        </w:rPr>
        <w:t>11(1)</w:t>
      </w:r>
      <w:r w:rsidRPr="005B79DC">
        <w:rPr>
          <w:rFonts w:ascii="Times New Roman" w:hAnsi="Times New Roman" w:cs="Times New Roman"/>
          <w:color w:val="000000" w:themeColor="text1"/>
          <w:sz w:val="20"/>
          <w:szCs w:val="20"/>
        </w:rPr>
        <w:t>:31-40. 2008.</w:t>
      </w:r>
    </w:p>
    <w:p w:rsidR="00C8760C" w:rsidRPr="005B79DC" w:rsidRDefault="00C8760C" w:rsidP="00C8760C">
      <w:pPr>
        <w:pStyle w:val="NoSpacing"/>
        <w:numPr>
          <w:ilvl w:val="0"/>
          <w:numId w:val="2"/>
        </w:numPr>
        <w:tabs>
          <w:tab w:val="clear" w:pos="720"/>
          <w:tab w:val="num" w:pos="360"/>
        </w:tabs>
        <w:ind w:left="360"/>
        <w:rPr>
          <w:rFonts w:ascii="Times New Roman" w:hAnsi="Times New Roman" w:cs="Times New Roman"/>
          <w:color w:val="000000" w:themeColor="text1"/>
          <w:sz w:val="20"/>
          <w:szCs w:val="20"/>
        </w:rPr>
      </w:pPr>
      <w:r w:rsidRPr="005B79DC">
        <w:rPr>
          <w:rFonts w:ascii="Times New Roman" w:hAnsi="Times New Roman" w:cs="Times New Roman"/>
          <w:noProof/>
          <w:color w:val="000000" w:themeColor="text1"/>
          <w:sz w:val="20"/>
          <w:szCs w:val="20"/>
        </w:rPr>
        <w:t xml:space="preserve">Comerford, MJ &amp; Mottram, S, </w:t>
      </w:r>
      <w:r w:rsidRPr="005B79DC">
        <w:rPr>
          <w:rFonts w:ascii="Times New Roman" w:hAnsi="Times New Roman" w:cs="Times New Roman"/>
          <w:i/>
          <w:noProof/>
          <w:color w:val="000000" w:themeColor="text1"/>
          <w:sz w:val="20"/>
          <w:szCs w:val="20"/>
        </w:rPr>
        <w:t>Manual Therapy</w:t>
      </w:r>
      <w:r w:rsidRPr="005B79DC">
        <w:rPr>
          <w:rFonts w:ascii="Times New Roman" w:hAnsi="Times New Roman" w:cs="Times New Roman"/>
          <w:noProof/>
          <w:color w:val="000000" w:themeColor="text1"/>
          <w:sz w:val="20"/>
          <w:szCs w:val="20"/>
        </w:rPr>
        <w:t xml:space="preserve">. </w:t>
      </w:r>
      <w:r w:rsidRPr="005B79DC">
        <w:rPr>
          <w:rFonts w:ascii="Times New Roman" w:hAnsi="Times New Roman" w:cs="Times New Roman"/>
          <w:b/>
          <w:noProof/>
          <w:color w:val="000000" w:themeColor="text1"/>
          <w:sz w:val="20"/>
          <w:szCs w:val="20"/>
        </w:rPr>
        <w:t>6(1)</w:t>
      </w:r>
      <w:r w:rsidRPr="005B79DC">
        <w:rPr>
          <w:rFonts w:ascii="Times New Roman" w:hAnsi="Times New Roman" w:cs="Times New Roman"/>
          <w:noProof/>
          <w:color w:val="000000" w:themeColor="text1"/>
          <w:sz w:val="20"/>
          <w:szCs w:val="20"/>
        </w:rPr>
        <w:t>: 15-26, 2001.</w:t>
      </w:r>
    </w:p>
    <w:p w:rsidR="00C8760C" w:rsidRPr="005B79DC" w:rsidRDefault="00C8760C" w:rsidP="00C8760C">
      <w:pPr>
        <w:pStyle w:val="NoSpacing"/>
        <w:numPr>
          <w:ilvl w:val="0"/>
          <w:numId w:val="2"/>
        </w:numPr>
        <w:tabs>
          <w:tab w:val="clear" w:pos="720"/>
          <w:tab w:val="num" w:pos="360"/>
        </w:tabs>
        <w:ind w:left="360"/>
        <w:rPr>
          <w:rFonts w:ascii="Times New Roman" w:hAnsi="Times New Roman" w:cs="Times New Roman"/>
          <w:color w:val="000000" w:themeColor="text1"/>
          <w:sz w:val="20"/>
          <w:szCs w:val="20"/>
        </w:rPr>
      </w:pPr>
      <w:proofErr w:type="spellStart"/>
      <w:r w:rsidRPr="005B79DC">
        <w:rPr>
          <w:rFonts w:ascii="Times New Roman" w:hAnsi="Times New Roman" w:cs="Times New Roman"/>
          <w:color w:val="000000" w:themeColor="text1"/>
          <w:sz w:val="20"/>
          <w:szCs w:val="20"/>
        </w:rPr>
        <w:t>Karduna</w:t>
      </w:r>
      <w:proofErr w:type="spellEnd"/>
      <w:r w:rsidRPr="005B79DC">
        <w:rPr>
          <w:rFonts w:ascii="Times New Roman" w:hAnsi="Times New Roman" w:cs="Times New Roman"/>
          <w:color w:val="000000" w:themeColor="text1"/>
          <w:sz w:val="20"/>
          <w:szCs w:val="20"/>
        </w:rPr>
        <w:t xml:space="preserve"> A, et al., </w:t>
      </w:r>
      <w:r w:rsidRPr="005B79DC">
        <w:rPr>
          <w:rFonts w:ascii="Times New Roman" w:hAnsi="Times New Roman" w:cs="Times New Roman"/>
          <w:i/>
          <w:color w:val="000000" w:themeColor="text1"/>
          <w:sz w:val="20"/>
          <w:szCs w:val="20"/>
        </w:rPr>
        <w:t>Journal of Biomechanical Engineering</w:t>
      </w:r>
      <w:r w:rsidRPr="005B79DC">
        <w:rPr>
          <w:rFonts w:ascii="Times New Roman" w:hAnsi="Times New Roman" w:cs="Times New Roman"/>
          <w:color w:val="000000" w:themeColor="text1"/>
          <w:sz w:val="20"/>
          <w:szCs w:val="20"/>
        </w:rPr>
        <w:t xml:space="preserve">. </w:t>
      </w:r>
      <w:r w:rsidRPr="005B79DC">
        <w:rPr>
          <w:rFonts w:ascii="Times New Roman" w:hAnsi="Times New Roman" w:cs="Times New Roman"/>
          <w:b/>
          <w:color w:val="000000" w:themeColor="text1"/>
          <w:sz w:val="20"/>
          <w:szCs w:val="20"/>
        </w:rPr>
        <w:t>123(2)</w:t>
      </w:r>
      <w:r w:rsidRPr="005B79DC">
        <w:rPr>
          <w:rFonts w:ascii="Times New Roman" w:hAnsi="Times New Roman" w:cs="Times New Roman"/>
          <w:color w:val="000000" w:themeColor="text1"/>
          <w:sz w:val="20"/>
          <w:szCs w:val="20"/>
        </w:rPr>
        <w:t>:99-109. 2001.</w:t>
      </w:r>
    </w:p>
    <w:p w:rsidR="00C8760C" w:rsidRPr="005B79DC" w:rsidRDefault="00C8760C" w:rsidP="00C8760C">
      <w:pPr>
        <w:pStyle w:val="NoSpacing"/>
        <w:numPr>
          <w:ilvl w:val="0"/>
          <w:numId w:val="2"/>
        </w:numPr>
        <w:tabs>
          <w:tab w:val="clear" w:pos="720"/>
          <w:tab w:val="num" w:pos="360"/>
        </w:tabs>
        <w:ind w:left="360"/>
        <w:rPr>
          <w:rFonts w:ascii="Times New Roman" w:hAnsi="Times New Roman" w:cs="Times New Roman"/>
          <w:color w:val="000000" w:themeColor="text1"/>
          <w:sz w:val="20"/>
          <w:szCs w:val="20"/>
        </w:rPr>
      </w:pPr>
      <w:r w:rsidRPr="005B79DC">
        <w:rPr>
          <w:rFonts w:ascii="Times New Roman" w:hAnsi="Times New Roman" w:cs="Times New Roman"/>
          <w:color w:val="000000" w:themeColor="text1"/>
          <w:sz w:val="20"/>
          <w:szCs w:val="20"/>
        </w:rPr>
        <w:t xml:space="preserve">Warner M, et al., </w:t>
      </w:r>
      <w:r w:rsidRPr="005B79DC">
        <w:rPr>
          <w:rFonts w:ascii="Times New Roman" w:hAnsi="Times New Roman" w:cs="Times New Roman"/>
          <w:i/>
          <w:iCs/>
          <w:noProof/>
          <w:color w:val="000000" w:themeColor="text1"/>
          <w:sz w:val="20"/>
          <w:szCs w:val="20"/>
        </w:rPr>
        <w:t>The 8th meeting of the International Shoulder Group</w:t>
      </w:r>
      <w:r w:rsidRPr="005B79DC">
        <w:rPr>
          <w:rFonts w:ascii="Times New Roman" w:hAnsi="Times New Roman" w:cs="Times New Roman"/>
          <w:noProof/>
          <w:color w:val="000000" w:themeColor="text1"/>
          <w:sz w:val="20"/>
          <w:szCs w:val="20"/>
        </w:rPr>
        <w:t>, Minneapolis, MN, USA, 2010.</w:t>
      </w:r>
    </w:p>
    <w:p w:rsidR="00C8760C" w:rsidRPr="005B79DC" w:rsidRDefault="00C8760C" w:rsidP="00C8760C">
      <w:pPr>
        <w:pStyle w:val="NoSpacing"/>
        <w:numPr>
          <w:ilvl w:val="0"/>
          <w:numId w:val="2"/>
        </w:numPr>
        <w:tabs>
          <w:tab w:val="clear" w:pos="720"/>
          <w:tab w:val="num" w:pos="360"/>
        </w:tabs>
        <w:ind w:left="360"/>
        <w:rPr>
          <w:rFonts w:ascii="Times New Roman" w:hAnsi="Times New Roman" w:cs="Times New Roman"/>
          <w:color w:val="000000" w:themeColor="text1"/>
          <w:sz w:val="20"/>
          <w:szCs w:val="20"/>
        </w:rPr>
      </w:pPr>
      <w:r w:rsidRPr="005B79DC">
        <w:rPr>
          <w:rFonts w:ascii="Times New Roman" w:hAnsi="Times New Roman" w:cs="Times New Roman"/>
          <w:color w:val="000000" w:themeColor="text1"/>
          <w:sz w:val="20"/>
          <w:szCs w:val="20"/>
        </w:rPr>
        <w:t xml:space="preserve">Wu G, et al., </w:t>
      </w:r>
      <w:r w:rsidRPr="005B79DC">
        <w:rPr>
          <w:rFonts w:ascii="Times New Roman" w:hAnsi="Times New Roman" w:cs="Times New Roman"/>
          <w:i/>
          <w:color w:val="000000" w:themeColor="text1"/>
          <w:sz w:val="20"/>
          <w:szCs w:val="20"/>
        </w:rPr>
        <w:t>Journal of Biomechanics</w:t>
      </w:r>
      <w:r w:rsidRPr="005B79DC">
        <w:rPr>
          <w:rFonts w:ascii="Times New Roman" w:hAnsi="Times New Roman" w:cs="Times New Roman"/>
          <w:color w:val="000000" w:themeColor="text1"/>
          <w:sz w:val="20"/>
          <w:szCs w:val="20"/>
        </w:rPr>
        <w:t xml:space="preserve">. </w:t>
      </w:r>
      <w:r w:rsidRPr="005B79DC">
        <w:rPr>
          <w:rFonts w:ascii="Times New Roman" w:hAnsi="Times New Roman" w:cs="Times New Roman"/>
          <w:b/>
          <w:color w:val="000000" w:themeColor="text1"/>
          <w:sz w:val="20"/>
          <w:szCs w:val="20"/>
        </w:rPr>
        <w:t>38</w:t>
      </w:r>
      <w:r w:rsidRPr="005B79DC">
        <w:rPr>
          <w:rFonts w:ascii="Times New Roman" w:hAnsi="Times New Roman" w:cs="Times New Roman"/>
          <w:color w:val="000000" w:themeColor="text1"/>
          <w:sz w:val="20"/>
          <w:szCs w:val="20"/>
        </w:rPr>
        <w:t>:981-992, 2005.</w:t>
      </w:r>
    </w:p>
    <w:p w:rsidR="00C8760C" w:rsidRPr="005B79DC" w:rsidRDefault="00C8760C" w:rsidP="00C8760C">
      <w:pPr>
        <w:pStyle w:val="NoSpacing"/>
        <w:numPr>
          <w:ilvl w:val="0"/>
          <w:numId w:val="2"/>
        </w:numPr>
        <w:tabs>
          <w:tab w:val="clear" w:pos="720"/>
          <w:tab w:val="num" w:pos="360"/>
        </w:tabs>
        <w:ind w:left="360"/>
        <w:rPr>
          <w:rFonts w:ascii="Times New Roman" w:hAnsi="Times New Roman" w:cs="Times New Roman"/>
          <w:color w:val="000000" w:themeColor="text1"/>
          <w:sz w:val="20"/>
          <w:szCs w:val="20"/>
        </w:rPr>
      </w:pPr>
      <w:proofErr w:type="spellStart"/>
      <w:r w:rsidRPr="005B79DC">
        <w:rPr>
          <w:rFonts w:ascii="Times New Roman" w:hAnsi="Times New Roman" w:cs="Times New Roman"/>
          <w:color w:val="000000" w:themeColor="text1"/>
          <w:sz w:val="20"/>
          <w:szCs w:val="20"/>
        </w:rPr>
        <w:t>Jolliffe</w:t>
      </w:r>
      <w:proofErr w:type="spellEnd"/>
      <w:r w:rsidRPr="005B79DC">
        <w:rPr>
          <w:rFonts w:ascii="Times New Roman" w:hAnsi="Times New Roman" w:cs="Times New Roman"/>
          <w:color w:val="000000" w:themeColor="text1"/>
          <w:sz w:val="20"/>
          <w:szCs w:val="20"/>
        </w:rPr>
        <w:t xml:space="preserve"> IT, </w:t>
      </w:r>
      <w:r w:rsidRPr="005B79DC">
        <w:rPr>
          <w:rFonts w:ascii="Times New Roman" w:hAnsi="Times New Roman" w:cs="Times New Roman"/>
          <w:i/>
          <w:iCs/>
          <w:color w:val="000000" w:themeColor="text1"/>
          <w:sz w:val="20"/>
          <w:szCs w:val="20"/>
        </w:rPr>
        <w:t>Principal Component Analysis.</w:t>
      </w:r>
      <w:r w:rsidRPr="005B79DC">
        <w:rPr>
          <w:rFonts w:ascii="Times New Roman" w:hAnsi="Times New Roman" w:cs="Times New Roman"/>
          <w:color w:val="000000" w:themeColor="text1"/>
          <w:sz w:val="20"/>
          <w:szCs w:val="20"/>
        </w:rPr>
        <w:t xml:space="preserve"> 2002.</w:t>
      </w:r>
    </w:p>
    <w:p w:rsidR="00C8760C" w:rsidRPr="005B79DC" w:rsidRDefault="00C8760C" w:rsidP="00C8760C">
      <w:pPr>
        <w:pStyle w:val="NoSpacing"/>
        <w:numPr>
          <w:ilvl w:val="0"/>
          <w:numId w:val="2"/>
        </w:numPr>
        <w:tabs>
          <w:tab w:val="clear" w:pos="720"/>
          <w:tab w:val="num" w:pos="360"/>
        </w:tabs>
        <w:ind w:left="360"/>
        <w:rPr>
          <w:rFonts w:ascii="Times New Roman" w:hAnsi="Times New Roman" w:cs="Times New Roman"/>
          <w:color w:val="000000" w:themeColor="text1"/>
          <w:sz w:val="20"/>
          <w:szCs w:val="20"/>
        </w:rPr>
      </w:pPr>
      <w:proofErr w:type="spellStart"/>
      <w:r w:rsidRPr="005B79DC">
        <w:rPr>
          <w:rFonts w:ascii="Times New Roman" w:hAnsi="Times New Roman" w:cs="Times New Roman"/>
          <w:color w:val="000000" w:themeColor="text1"/>
          <w:sz w:val="20"/>
          <w:szCs w:val="20"/>
        </w:rPr>
        <w:t>Dempster</w:t>
      </w:r>
      <w:proofErr w:type="spellEnd"/>
      <w:r w:rsidRPr="005B79DC">
        <w:rPr>
          <w:rFonts w:ascii="Times New Roman" w:hAnsi="Times New Roman" w:cs="Times New Roman"/>
          <w:color w:val="000000" w:themeColor="text1"/>
          <w:sz w:val="20"/>
          <w:szCs w:val="20"/>
        </w:rPr>
        <w:t xml:space="preserve"> AP, </w:t>
      </w:r>
      <w:r w:rsidRPr="005B79DC">
        <w:rPr>
          <w:rFonts w:ascii="Times New Roman" w:hAnsi="Times New Roman" w:cs="Times New Roman"/>
          <w:i/>
          <w:iCs/>
          <w:color w:val="000000" w:themeColor="text1"/>
          <w:sz w:val="20"/>
          <w:szCs w:val="20"/>
        </w:rPr>
        <w:t>Journal of the Royal Statistical Society Series B</w:t>
      </w:r>
      <w:r w:rsidRPr="005B79DC">
        <w:rPr>
          <w:rFonts w:ascii="Times New Roman" w:hAnsi="Times New Roman" w:cs="Times New Roman"/>
          <w:color w:val="000000" w:themeColor="text1"/>
          <w:sz w:val="20"/>
          <w:szCs w:val="20"/>
        </w:rPr>
        <w:t xml:space="preserve">. </w:t>
      </w:r>
      <w:r w:rsidRPr="005B79DC">
        <w:rPr>
          <w:rFonts w:ascii="Times New Roman" w:hAnsi="Times New Roman" w:cs="Times New Roman"/>
          <w:b/>
          <w:bCs/>
          <w:color w:val="000000" w:themeColor="text1"/>
          <w:sz w:val="20"/>
          <w:szCs w:val="20"/>
        </w:rPr>
        <w:t>30(2)</w:t>
      </w:r>
      <w:r w:rsidRPr="005B79DC">
        <w:rPr>
          <w:rFonts w:ascii="Times New Roman" w:hAnsi="Times New Roman" w:cs="Times New Roman"/>
          <w:color w:val="000000" w:themeColor="text1"/>
          <w:sz w:val="20"/>
          <w:szCs w:val="20"/>
        </w:rPr>
        <w:t>: 205-247. 1968.</w:t>
      </w:r>
    </w:p>
    <w:p w:rsidR="00C8760C" w:rsidRPr="005B79DC" w:rsidRDefault="00C8760C" w:rsidP="00C8760C">
      <w:pPr>
        <w:pStyle w:val="NoSpacing"/>
        <w:numPr>
          <w:ilvl w:val="0"/>
          <w:numId w:val="2"/>
        </w:numPr>
        <w:tabs>
          <w:tab w:val="clear" w:pos="720"/>
          <w:tab w:val="num" w:pos="360"/>
        </w:tabs>
        <w:ind w:left="360"/>
        <w:rPr>
          <w:rFonts w:ascii="Times New Roman" w:hAnsi="Times New Roman" w:cs="Times New Roman"/>
          <w:color w:val="000000" w:themeColor="text1"/>
          <w:sz w:val="20"/>
          <w:szCs w:val="20"/>
        </w:rPr>
      </w:pPr>
      <w:r w:rsidRPr="005B79DC">
        <w:rPr>
          <w:rFonts w:ascii="Times New Roman" w:hAnsi="Times New Roman" w:cs="Times New Roman"/>
          <w:color w:val="000000" w:themeColor="text1"/>
          <w:sz w:val="20"/>
          <w:szCs w:val="20"/>
        </w:rPr>
        <w:t xml:space="preserve">Shafer G, </w:t>
      </w:r>
      <w:r w:rsidRPr="005B79DC">
        <w:rPr>
          <w:rFonts w:ascii="Times New Roman" w:hAnsi="Times New Roman" w:cs="Times New Roman"/>
          <w:i/>
          <w:iCs/>
          <w:color w:val="000000" w:themeColor="text1"/>
          <w:sz w:val="20"/>
          <w:szCs w:val="20"/>
        </w:rPr>
        <w:t>A Mathematical Theory of Evidence</w:t>
      </w:r>
      <w:r w:rsidRPr="005B79DC">
        <w:rPr>
          <w:rFonts w:ascii="Times New Roman" w:hAnsi="Times New Roman" w:cs="Times New Roman"/>
          <w:color w:val="000000" w:themeColor="text1"/>
          <w:sz w:val="20"/>
          <w:szCs w:val="20"/>
        </w:rPr>
        <w:t>. 1976.</w:t>
      </w:r>
    </w:p>
    <w:p w:rsidR="00C8760C" w:rsidRPr="005B79DC" w:rsidRDefault="00C8760C" w:rsidP="00C8760C">
      <w:pPr>
        <w:pStyle w:val="NoSpacing"/>
        <w:rPr>
          <w:rFonts w:ascii="Times New Roman" w:hAnsi="Times New Roman" w:cs="Times New Roman"/>
          <w:color w:val="000000" w:themeColor="text1"/>
          <w:sz w:val="20"/>
          <w:szCs w:val="20"/>
        </w:rPr>
      </w:pPr>
    </w:p>
    <w:p w:rsidR="00C8760C" w:rsidRPr="005B79DC" w:rsidRDefault="00C8760C" w:rsidP="00C8760C">
      <w:pPr>
        <w:pStyle w:val="NoSpacing"/>
        <w:rPr>
          <w:rFonts w:ascii="Times New Roman" w:hAnsi="Times New Roman" w:cs="Times New Roman"/>
          <w:b/>
          <w:color w:val="000000" w:themeColor="text1"/>
          <w:sz w:val="20"/>
          <w:szCs w:val="20"/>
        </w:rPr>
      </w:pPr>
      <w:r w:rsidRPr="005B79DC">
        <w:rPr>
          <w:rFonts w:ascii="Times New Roman" w:hAnsi="Times New Roman" w:cs="Times New Roman"/>
          <w:b/>
          <w:color w:val="000000" w:themeColor="text1"/>
          <w:sz w:val="20"/>
          <w:szCs w:val="20"/>
        </w:rPr>
        <w:t>ACKNOWLEDGEMENTS</w:t>
      </w:r>
    </w:p>
    <w:p w:rsidR="00C8760C" w:rsidRPr="005B79DC" w:rsidRDefault="00C8760C" w:rsidP="00C8760C">
      <w:pPr>
        <w:spacing w:after="0" w:line="240" w:lineRule="auto"/>
        <w:rPr>
          <w:rFonts w:ascii="Times New Roman" w:hAnsi="Times New Roman" w:cs="Times New Roman"/>
          <w:color w:val="000000" w:themeColor="text1"/>
          <w:sz w:val="20"/>
          <w:szCs w:val="20"/>
        </w:rPr>
      </w:pPr>
      <w:r w:rsidRPr="005B79DC">
        <w:rPr>
          <w:rFonts w:asciiTheme="majorBidi" w:hAnsiTheme="majorBidi" w:cstheme="majorBidi"/>
          <w:color w:val="000000" w:themeColor="text1"/>
          <w:sz w:val="20"/>
          <w:szCs w:val="20"/>
        </w:rPr>
        <w:t xml:space="preserve">The authors thank the Private Physiotherapy Education Foundation and Vicon (Oxford, UK) for financial support (M. Warner is supported by a Vicon PhD studentship), </w:t>
      </w:r>
      <w:proofErr w:type="spellStart"/>
      <w:r w:rsidRPr="005B79DC">
        <w:rPr>
          <w:rFonts w:asciiTheme="majorBidi" w:hAnsiTheme="majorBidi" w:cstheme="majorBidi"/>
          <w:color w:val="000000" w:themeColor="text1"/>
          <w:sz w:val="20"/>
          <w:szCs w:val="20"/>
        </w:rPr>
        <w:t>Faizura</w:t>
      </w:r>
      <w:proofErr w:type="spellEnd"/>
      <w:r w:rsidRPr="005B79DC">
        <w:rPr>
          <w:rFonts w:asciiTheme="majorBidi" w:hAnsiTheme="majorBidi" w:cstheme="majorBidi"/>
          <w:color w:val="000000" w:themeColor="text1"/>
          <w:sz w:val="20"/>
          <w:szCs w:val="20"/>
        </w:rPr>
        <w:t xml:space="preserve"> </w:t>
      </w:r>
      <w:proofErr w:type="spellStart"/>
      <w:r w:rsidRPr="005B79DC">
        <w:rPr>
          <w:rFonts w:asciiTheme="majorBidi" w:hAnsiTheme="majorBidi" w:cstheme="majorBidi"/>
          <w:color w:val="000000" w:themeColor="text1"/>
          <w:sz w:val="20"/>
          <w:szCs w:val="20"/>
        </w:rPr>
        <w:t>Fadzil</w:t>
      </w:r>
      <w:proofErr w:type="spellEnd"/>
      <w:r w:rsidRPr="005B79DC">
        <w:rPr>
          <w:rFonts w:asciiTheme="majorBidi" w:hAnsiTheme="majorBidi" w:cstheme="majorBidi"/>
          <w:color w:val="000000" w:themeColor="text1"/>
          <w:sz w:val="20"/>
          <w:szCs w:val="20"/>
        </w:rPr>
        <w:t xml:space="preserve"> for technical assistance and the participants for taking part in the study.</w:t>
      </w:r>
    </w:p>
    <w:p w:rsidR="00C8760C" w:rsidRPr="005B79DC" w:rsidRDefault="00C8760C" w:rsidP="00C8760C">
      <w:pPr>
        <w:pStyle w:val="NoSpacing"/>
        <w:rPr>
          <w:rFonts w:ascii="Times New Roman" w:hAnsi="Times New Roman" w:cs="Times New Roman"/>
          <w:color w:val="000000" w:themeColor="text1"/>
          <w:sz w:val="20"/>
          <w:szCs w:val="20"/>
        </w:rPr>
      </w:pPr>
    </w:p>
    <w:p w:rsidR="00C8760C" w:rsidRPr="005B79DC" w:rsidRDefault="00C8760C" w:rsidP="00C8760C">
      <w:pPr>
        <w:pStyle w:val="NoSpacing"/>
        <w:jc w:val="both"/>
        <w:rPr>
          <w:rFonts w:ascii="Times New Roman" w:hAnsi="Times New Roman" w:cs="Times New Roman"/>
          <w:b/>
          <w:color w:val="000000" w:themeColor="text1"/>
          <w:sz w:val="20"/>
          <w:szCs w:val="20"/>
        </w:rPr>
      </w:pPr>
    </w:p>
    <w:p w:rsidR="00EB7070" w:rsidRPr="005B79DC" w:rsidRDefault="00EB7070" w:rsidP="00D26A8E">
      <w:pPr>
        <w:pStyle w:val="NoSpacing"/>
        <w:rPr>
          <w:rFonts w:ascii="Times New Roman" w:hAnsi="Times New Roman" w:cs="Times New Roman"/>
          <w:color w:val="000000" w:themeColor="text1"/>
          <w:sz w:val="20"/>
          <w:szCs w:val="20"/>
        </w:rPr>
      </w:pPr>
    </w:p>
    <w:p w:rsidR="00807481" w:rsidRPr="005B79DC" w:rsidRDefault="00807481" w:rsidP="00807481">
      <w:pPr>
        <w:pStyle w:val="NoSpacing"/>
        <w:rPr>
          <w:rFonts w:ascii="Times New Roman" w:eastAsia="PMingLiU" w:hAnsi="Times New Roman" w:cs="Times New Roman"/>
          <w:color w:val="000000" w:themeColor="text1"/>
          <w:sz w:val="20"/>
          <w:szCs w:val="20"/>
          <w:lang w:eastAsia="zh-TW"/>
        </w:rPr>
      </w:pPr>
    </w:p>
    <w:p w:rsidR="005C4254" w:rsidRPr="005B79DC" w:rsidRDefault="005C4254" w:rsidP="00807481">
      <w:pPr>
        <w:pStyle w:val="NoSpacing"/>
        <w:rPr>
          <w:rFonts w:ascii="Times New Roman" w:eastAsia="PMingLiU" w:hAnsi="Times New Roman" w:cs="Times New Roman"/>
          <w:color w:val="000000" w:themeColor="text1"/>
          <w:sz w:val="20"/>
          <w:szCs w:val="20"/>
          <w:lang w:eastAsia="zh-TW"/>
        </w:rPr>
      </w:pPr>
    </w:p>
    <w:sectPr w:rsidR="005C4254" w:rsidRPr="005B79DC" w:rsidSect="00282B1F">
      <w:type w:val="continuous"/>
      <w:pgSz w:w="11906" w:h="16838"/>
      <w:pgMar w:top="1134" w:right="851" w:bottom="1134"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D87826"/>
    <w:multiLevelType w:val="hybridMultilevel"/>
    <w:tmpl w:val="090C503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52B0764F"/>
    <w:multiLevelType w:val="hybridMultilevel"/>
    <w:tmpl w:val="415CCA4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86F"/>
    <w:rsid w:val="00074C05"/>
    <w:rsid w:val="00093B5F"/>
    <w:rsid w:val="000A464A"/>
    <w:rsid w:val="000B332D"/>
    <w:rsid w:val="000C2788"/>
    <w:rsid w:val="000F7AFC"/>
    <w:rsid w:val="0010630D"/>
    <w:rsid w:val="00137532"/>
    <w:rsid w:val="00152F9F"/>
    <w:rsid w:val="00164741"/>
    <w:rsid w:val="00164773"/>
    <w:rsid w:val="00192C43"/>
    <w:rsid w:val="001B346B"/>
    <w:rsid w:val="001F0332"/>
    <w:rsid w:val="001F6DD0"/>
    <w:rsid w:val="00257236"/>
    <w:rsid w:val="00257FBD"/>
    <w:rsid w:val="0027586F"/>
    <w:rsid w:val="00282B1F"/>
    <w:rsid w:val="0028420C"/>
    <w:rsid w:val="00294BF8"/>
    <w:rsid w:val="002B5FB9"/>
    <w:rsid w:val="002D5F34"/>
    <w:rsid w:val="002E011E"/>
    <w:rsid w:val="003036BE"/>
    <w:rsid w:val="00310253"/>
    <w:rsid w:val="00331765"/>
    <w:rsid w:val="003538E3"/>
    <w:rsid w:val="00371808"/>
    <w:rsid w:val="0037194A"/>
    <w:rsid w:val="003777DE"/>
    <w:rsid w:val="003800EE"/>
    <w:rsid w:val="003808F4"/>
    <w:rsid w:val="0038710E"/>
    <w:rsid w:val="003A2B0F"/>
    <w:rsid w:val="003A6C21"/>
    <w:rsid w:val="003E0C66"/>
    <w:rsid w:val="004305D9"/>
    <w:rsid w:val="00433EC7"/>
    <w:rsid w:val="004346F4"/>
    <w:rsid w:val="00453AB3"/>
    <w:rsid w:val="00467210"/>
    <w:rsid w:val="004B1C0A"/>
    <w:rsid w:val="004F5FEA"/>
    <w:rsid w:val="00523618"/>
    <w:rsid w:val="00523EDA"/>
    <w:rsid w:val="005421E3"/>
    <w:rsid w:val="00545275"/>
    <w:rsid w:val="00547836"/>
    <w:rsid w:val="00570DFE"/>
    <w:rsid w:val="00577681"/>
    <w:rsid w:val="005924CC"/>
    <w:rsid w:val="005B6321"/>
    <w:rsid w:val="005B79DC"/>
    <w:rsid w:val="005C0685"/>
    <w:rsid w:val="005C4254"/>
    <w:rsid w:val="005C75C6"/>
    <w:rsid w:val="005F1C6A"/>
    <w:rsid w:val="005F5E3A"/>
    <w:rsid w:val="00662D6A"/>
    <w:rsid w:val="00676E11"/>
    <w:rsid w:val="006D5844"/>
    <w:rsid w:val="00716683"/>
    <w:rsid w:val="00743614"/>
    <w:rsid w:val="00754C6A"/>
    <w:rsid w:val="00761B74"/>
    <w:rsid w:val="0079025D"/>
    <w:rsid w:val="0079133A"/>
    <w:rsid w:val="007965A9"/>
    <w:rsid w:val="007B537B"/>
    <w:rsid w:val="00807481"/>
    <w:rsid w:val="00857DC6"/>
    <w:rsid w:val="00886DB4"/>
    <w:rsid w:val="008877D5"/>
    <w:rsid w:val="008A2223"/>
    <w:rsid w:val="008C6BDF"/>
    <w:rsid w:val="008E5E49"/>
    <w:rsid w:val="008E640F"/>
    <w:rsid w:val="00911A55"/>
    <w:rsid w:val="00971059"/>
    <w:rsid w:val="009B452D"/>
    <w:rsid w:val="009B50AB"/>
    <w:rsid w:val="009C3434"/>
    <w:rsid w:val="009D48CE"/>
    <w:rsid w:val="009F0302"/>
    <w:rsid w:val="009F09A9"/>
    <w:rsid w:val="009F53B4"/>
    <w:rsid w:val="00A21E9B"/>
    <w:rsid w:val="00A267A0"/>
    <w:rsid w:val="00A52B4F"/>
    <w:rsid w:val="00A52BB2"/>
    <w:rsid w:val="00A90867"/>
    <w:rsid w:val="00AC0DEF"/>
    <w:rsid w:val="00AD438C"/>
    <w:rsid w:val="00AE3C88"/>
    <w:rsid w:val="00AF31E8"/>
    <w:rsid w:val="00B20A95"/>
    <w:rsid w:val="00B26A68"/>
    <w:rsid w:val="00B47B57"/>
    <w:rsid w:val="00B64CF2"/>
    <w:rsid w:val="00B97D7C"/>
    <w:rsid w:val="00BB46C1"/>
    <w:rsid w:val="00BF16A4"/>
    <w:rsid w:val="00C00BD8"/>
    <w:rsid w:val="00C12D25"/>
    <w:rsid w:val="00C43232"/>
    <w:rsid w:val="00C52E15"/>
    <w:rsid w:val="00C8760C"/>
    <w:rsid w:val="00CD469B"/>
    <w:rsid w:val="00CE0D22"/>
    <w:rsid w:val="00D00C4A"/>
    <w:rsid w:val="00D10E95"/>
    <w:rsid w:val="00D26A8E"/>
    <w:rsid w:val="00D5349B"/>
    <w:rsid w:val="00D6259A"/>
    <w:rsid w:val="00D628C7"/>
    <w:rsid w:val="00D64870"/>
    <w:rsid w:val="00D648DC"/>
    <w:rsid w:val="00D773A4"/>
    <w:rsid w:val="00D80706"/>
    <w:rsid w:val="00D83D25"/>
    <w:rsid w:val="00D83E96"/>
    <w:rsid w:val="00DA2172"/>
    <w:rsid w:val="00DA4BA2"/>
    <w:rsid w:val="00DD7AEB"/>
    <w:rsid w:val="00DF3BEC"/>
    <w:rsid w:val="00DF7D06"/>
    <w:rsid w:val="00E4305D"/>
    <w:rsid w:val="00E55DB5"/>
    <w:rsid w:val="00E762A3"/>
    <w:rsid w:val="00E81A3E"/>
    <w:rsid w:val="00E96EE3"/>
    <w:rsid w:val="00EB7070"/>
    <w:rsid w:val="00EC0395"/>
    <w:rsid w:val="00F218A9"/>
    <w:rsid w:val="00F31E1B"/>
    <w:rsid w:val="00F34254"/>
    <w:rsid w:val="00F740B6"/>
    <w:rsid w:val="00F9709B"/>
    <w:rsid w:val="00FB0797"/>
    <w:rsid w:val="00FB770F"/>
    <w:rsid w:val="00FD4FFD"/>
    <w:rsid w:val="00FF25DA"/>
    <w:rsid w:val="00FF3551"/>
    <w:rsid w:val="00FF4DF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C05"/>
    <w:pPr>
      <w:spacing w:after="200" w:line="276" w:lineRule="auto"/>
    </w:pPr>
    <w:rPr>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27586F"/>
    <w:rPr>
      <w:lang w:val="en-GB" w:eastAsia="zh-CN"/>
    </w:rPr>
  </w:style>
  <w:style w:type="table" w:styleId="TableGrid">
    <w:name w:val="Table Grid"/>
    <w:basedOn w:val="TableNormal"/>
    <w:uiPriority w:val="99"/>
    <w:locked/>
    <w:rsid w:val="00433EC7"/>
    <w:pPr>
      <w:spacing w:after="200" w:line="276"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53A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AB3"/>
    <w:rPr>
      <w:rFonts w:ascii="Tahoma" w:hAnsi="Tahoma" w:cs="Tahoma"/>
      <w:sz w:val="16"/>
      <w:szCs w:val="16"/>
      <w:lang w:val="en-GB" w:eastAsia="zh-CN"/>
    </w:rPr>
  </w:style>
  <w:style w:type="character" w:styleId="CommentReference">
    <w:name w:val="annotation reference"/>
    <w:basedOn w:val="DefaultParagraphFont"/>
    <w:uiPriority w:val="99"/>
    <w:semiHidden/>
    <w:unhideWhenUsed/>
    <w:rsid w:val="00093B5F"/>
    <w:rPr>
      <w:sz w:val="16"/>
      <w:szCs w:val="16"/>
    </w:rPr>
  </w:style>
  <w:style w:type="paragraph" w:styleId="CommentText">
    <w:name w:val="annotation text"/>
    <w:basedOn w:val="Normal"/>
    <w:link w:val="CommentTextChar"/>
    <w:uiPriority w:val="99"/>
    <w:semiHidden/>
    <w:unhideWhenUsed/>
    <w:rsid w:val="00093B5F"/>
    <w:pPr>
      <w:spacing w:line="240" w:lineRule="auto"/>
    </w:pPr>
    <w:rPr>
      <w:sz w:val="20"/>
      <w:szCs w:val="20"/>
    </w:rPr>
  </w:style>
  <w:style w:type="character" w:customStyle="1" w:styleId="CommentTextChar">
    <w:name w:val="Comment Text Char"/>
    <w:basedOn w:val="DefaultParagraphFont"/>
    <w:link w:val="CommentText"/>
    <w:uiPriority w:val="99"/>
    <w:semiHidden/>
    <w:rsid w:val="00093B5F"/>
    <w:rPr>
      <w:sz w:val="20"/>
      <w:szCs w:val="20"/>
      <w:lang w:val="en-GB" w:eastAsia="zh-CN"/>
    </w:rPr>
  </w:style>
  <w:style w:type="paragraph" w:styleId="CommentSubject">
    <w:name w:val="annotation subject"/>
    <w:basedOn w:val="CommentText"/>
    <w:next w:val="CommentText"/>
    <w:link w:val="CommentSubjectChar"/>
    <w:uiPriority w:val="99"/>
    <w:semiHidden/>
    <w:unhideWhenUsed/>
    <w:rsid w:val="00093B5F"/>
    <w:rPr>
      <w:b/>
      <w:bCs/>
    </w:rPr>
  </w:style>
  <w:style w:type="character" w:customStyle="1" w:styleId="CommentSubjectChar">
    <w:name w:val="Comment Subject Char"/>
    <w:basedOn w:val="CommentTextChar"/>
    <w:link w:val="CommentSubject"/>
    <w:uiPriority w:val="99"/>
    <w:semiHidden/>
    <w:rsid w:val="00093B5F"/>
    <w:rPr>
      <w:b/>
      <w:bCs/>
      <w:sz w:val="20"/>
      <w:szCs w:val="20"/>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C05"/>
    <w:pPr>
      <w:spacing w:after="200" w:line="276" w:lineRule="auto"/>
    </w:pPr>
    <w:rPr>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27586F"/>
    <w:rPr>
      <w:lang w:val="en-GB" w:eastAsia="zh-CN"/>
    </w:rPr>
  </w:style>
  <w:style w:type="table" w:styleId="TableGrid">
    <w:name w:val="Table Grid"/>
    <w:basedOn w:val="TableNormal"/>
    <w:uiPriority w:val="99"/>
    <w:locked/>
    <w:rsid w:val="00433EC7"/>
    <w:pPr>
      <w:spacing w:after="200" w:line="276"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53A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AB3"/>
    <w:rPr>
      <w:rFonts w:ascii="Tahoma" w:hAnsi="Tahoma" w:cs="Tahoma"/>
      <w:sz w:val="16"/>
      <w:szCs w:val="16"/>
      <w:lang w:val="en-GB" w:eastAsia="zh-CN"/>
    </w:rPr>
  </w:style>
  <w:style w:type="character" w:styleId="CommentReference">
    <w:name w:val="annotation reference"/>
    <w:basedOn w:val="DefaultParagraphFont"/>
    <w:uiPriority w:val="99"/>
    <w:semiHidden/>
    <w:unhideWhenUsed/>
    <w:rsid w:val="00093B5F"/>
    <w:rPr>
      <w:sz w:val="16"/>
      <w:szCs w:val="16"/>
    </w:rPr>
  </w:style>
  <w:style w:type="paragraph" w:styleId="CommentText">
    <w:name w:val="annotation text"/>
    <w:basedOn w:val="Normal"/>
    <w:link w:val="CommentTextChar"/>
    <w:uiPriority w:val="99"/>
    <w:semiHidden/>
    <w:unhideWhenUsed/>
    <w:rsid w:val="00093B5F"/>
    <w:pPr>
      <w:spacing w:line="240" w:lineRule="auto"/>
    </w:pPr>
    <w:rPr>
      <w:sz w:val="20"/>
      <w:szCs w:val="20"/>
    </w:rPr>
  </w:style>
  <w:style w:type="character" w:customStyle="1" w:styleId="CommentTextChar">
    <w:name w:val="Comment Text Char"/>
    <w:basedOn w:val="DefaultParagraphFont"/>
    <w:link w:val="CommentText"/>
    <w:uiPriority w:val="99"/>
    <w:semiHidden/>
    <w:rsid w:val="00093B5F"/>
    <w:rPr>
      <w:sz w:val="20"/>
      <w:szCs w:val="20"/>
      <w:lang w:val="en-GB" w:eastAsia="zh-CN"/>
    </w:rPr>
  </w:style>
  <w:style w:type="paragraph" w:styleId="CommentSubject">
    <w:name w:val="annotation subject"/>
    <w:basedOn w:val="CommentText"/>
    <w:next w:val="CommentText"/>
    <w:link w:val="CommentSubjectChar"/>
    <w:uiPriority w:val="99"/>
    <w:semiHidden/>
    <w:unhideWhenUsed/>
    <w:rsid w:val="00093B5F"/>
    <w:rPr>
      <w:b/>
      <w:bCs/>
    </w:rPr>
  </w:style>
  <w:style w:type="character" w:customStyle="1" w:styleId="CommentSubjectChar">
    <w:name w:val="Comment Subject Char"/>
    <w:basedOn w:val="CommentTextChar"/>
    <w:link w:val="CommentSubject"/>
    <w:uiPriority w:val="99"/>
    <w:semiHidden/>
    <w:rsid w:val="00093B5F"/>
    <w:rPr>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1312</Words>
  <Characters>7104</Characters>
  <Application>Microsoft Office Word</Application>
  <DocSecurity>0</DocSecurity>
  <Lines>208</Lines>
  <Paragraphs>86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Warner M.</dc:creator>
  <cp:lastModifiedBy>Warner M.</cp:lastModifiedBy>
  <cp:revision>11</cp:revision>
  <cp:lastPrinted>2011-06-07T13:11:00Z</cp:lastPrinted>
  <dcterms:created xsi:type="dcterms:W3CDTF">2011-03-14T10:04:00Z</dcterms:created>
  <dcterms:modified xsi:type="dcterms:W3CDTF">2011-06-08T13:20:00Z</dcterms:modified>
</cp:coreProperties>
</file>