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04C79" w:rsidRPr="00131D52" w:rsidRDefault="00904C79" w:rsidP="00904C79">
      <w:pPr>
        <w:spacing w:after="0"/>
        <w:jc w:val="center"/>
        <w:rPr>
          <w:b/>
          <w:color w:val="365F91" w:themeColor="accent1" w:themeShade="BF"/>
          <w:sz w:val="30"/>
          <w:lang w:val="en-GB"/>
        </w:rPr>
      </w:pPr>
      <w:r w:rsidRPr="00131D52">
        <w:rPr>
          <w:b/>
          <w:color w:val="365F91" w:themeColor="accent1" w:themeShade="BF"/>
          <w:sz w:val="30"/>
          <w:lang w:val="en-GB"/>
        </w:rPr>
        <w:t>NEW METRICS FOR RESEARCH OUTPUTS</w:t>
      </w:r>
    </w:p>
    <w:p w:rsidR="00904C79" w:rsidRPr="00131D52" w:rsidRDefault="00904C79" w:rsidP="00904C79">
      <w:pPr>
        <w:spacing w:after="0"/>
        <w:jc w:val="center"/>
        <w:rPr>
          <w:b/>
          <w:color w:val="365F91" w:themeColor="accent1" w:themeShade="BF"/>
          <w:sz w:val="30"/>
          <w:lang w:val="en-GB"/>
        </w:rPr>
      </w:pPr>
    </w:p>
    <w:p w:rsidR="00904C79" w:rsidRPr="00131D52" w:rsidRDefault="00904C79" w:rsidP="00904C79">
      <w:pPr>
        <w:spacing w:after="0"/>
        <w:jc w:val="center"/>
        <w:rPr>
          <w:b/>
          <w:color w:val="365F91" w:themeColor="accent1" w:themeShade="BF"/>
          <w:sz w:val="30"/>
          <w:lang w:val="en-GB"/>
        </w:rPr>
      </w:pPr>
      <w:r w:rsidRPr="00131D52">
        <w:rPr>
          <w:b/>
          <w:color w:val="365F91" w:themeColor="accent1" w:themeShade="BF"/>
          <w:sz w:val="30"/>
          <w:lang w:val="en-GB"/>
        </w:rPr>
        <w:t>OVERVIEW OF THE MAIN ISSUES</w:t>
      </w:r>
    </w:p>
    <w:p w:rsidR="00904C79" w:rsidRDefault="00904C79" w:rsidP="00904C79">
      <w:pPr>
        <w:spacing w:after="0"/>
        <w:rPr>
          <w:lang w:val="en-GB"/>
        </w:rPr>
      </w:pPr>
    </w:p>
    <w:p w:rsidR="00904C79" w:rsidRDefault="00904C79" w:rsidP="00904C79">
      <w:pPr>
        <w:spacing w:after="0"/>
        <w:rPr>
          <w:lang w:val="en-GB"/>
        </w:rPr>
      </w:pPr>
    </w:p>
    <w:p w:rsidR="00904C79" w:rsidRPr="00D926BA" w:rsidRDefault="002F560C" w:rsidP="00904C79">
      <w:pPr>
        <w:spacing w:after="0"/>
        <w:rPr>
          <w:b/>
          <w:color w:val="365F91" w:themeColor="accent1" w:themeShade="BF"/>
          <w:sz w:val="30"/>
          <w:lang w:val="en-GB"/>
        </w:rPr>
      </w:pPr>
      <w:r>
        <w:rPr>
          <w:b/>
          <w:color w:val="365F91" w:themeColor="accent1" w:themeShade="BF"/>
          <w:sz w:val="30"/>
          <w:lang w:val="en-GB"/>
        </w:rPr>
        <w:t xml:space="preserve">A.   </w:t>
      </w:r>
      <w:r w:rsidR="00904C79" w:rsidRPr="00D926BA">
        <w:rPr>
          <w:b/>
          <w:color w:val="365F91" w:themeColor="accent1" w:themeShade="BF"/>
          <w:sz w:val="30"/>
          <w:lang w:val="en-GB"/>
        </w:rPr>
        <w:t>B</w:t>
      </w:r>
      <w:r w:rsidR="0060682D" w:rsidRPr="00D926BA">
        <w:rPr>
          <w:b/>
          <w:color w:val="365F91" w:themeColor="accent1" w:themeShade="BF"/>
          <w:sz w:val="30"/>
          <w:lang w:val="en-GB"/>
        </w:rPr>
        <w:t>ackground</w:t>
      </w:r>
    </w:p>
    <w:p w:rsidR="0060682D" w:rsidRDefault="00904C79" w:rsidP="00904C79">
      <w:pPr>
        <w:spacing w:after="0"/>
        <w:rPr>
          <w:lang w:val="en-GB"/>
        </w:rPr>
      </w:pPr>
      <w:r>
        <w:rPr>
          <w:lang w:val="en-GB"/>
        </w:rPr>
        <w:t xml:space="preserve">The only metric </w:t>
      </w:r>
      <w:r w:rsidR="00F3185B">
        <w:rPr>
          <w:lang w:val="en-GB"/>
        </w:rPr>
        <w:t xml:space="preserve">that has been </w:t>
      </w:r>
      <w:r>
        <w:rPr>
          <w:lang w:val="en-GB"/>
        </w:rPr>
        <w:t>in widespread use hitherto is the Journal Impact Factor (JIF), developed by the Institute for Scientific Information, ISI (now part of the Thomson Reuters group). The metric was originally developed as a measure of the impact of individual journals and was intended as a tool for publishers. It is calculated annually for all the journals covered by Thomson’s Web of Science (</w:t>
      </w:r>
      <w:proofErr w:type="spellStart"/>
      <w:r>
        <w:rPr>
          <w:lang w:val="en-GB"/>
        </w:rPr>
        <w:t>W</w:t>
      </w:r>
      <w:r w:rsidR="000E63E7">
        <w:rPr>
          <w:lang w:val="en-GB"/>
        </w:rPr>
        <w:t>oS</w:t>
      </w:r>
      <w:proofErr w:type="spellEnd"/>
      <w:r w:rsidR="000E63E7">
        <w:rPr>
          <w:lang w:val="en-GB"/>
        </w:rPr>
        <w:t>) database. The JIF prevailed</w:t>
      </w:r>
      <w:r>
        <w:rPr>
          <w:lang w:val="en-GB"/>
        </w:rPr>
        <w:t xml:space="preserve"> pretty well</w:t>
      </w:r>
      <w:r w:rsidR="000E63E7">
        <w:rPr>
          <w:lang w:val="en-GB"/>
        </w:rPr>
        <w:t xml:space="preserve"> unrivalled</w:t>
      </w:r>
      <w:r>
        <w:rPr>
          <w:lang w:val="en-GB"/>
        </w:rPr>
        <w:t xml:space="preserve"> over two decades because no other provider had the breadth and depth of content to create alternative, meaningful metrics for measuring anything else from the research literature. </w:t>
      </w:r>
    </w:p>
    <w:p w:rsidR="0060682D" w:rsidRDefault="0060682D" w:rsidP="00904C79">
      <w:pPr>
        <w:spacing w:after="0"/>
        <w:rPr>
          <w:lang w:val="en-GB"/>
        </w:rPr>
      </w:pPr>
    </w:p>
    <w:p w:rsidR="0060682D" w:rsidRDefault="00377105" w:rsidP="00904C79">
      <w:pPr>
        <w:spacing w:after="0"/>
        <w:rPr>
          <w:lang w:val="en-GB"/>
        </w:rPr>
      </w:pPr>
      <w:r>
        <w:rPr>
          <w:noProof/>
        </w:rPr>
        <w:pict>
          <v:shapetype id="_x0000_t202" coordsize="21600,21600" o:spt="202" path="m0,0l0,21600,21600,21600,21600,0xe">
            <v:stroke joinstyle="miter"/>
            <v:path gradientshapeok="t" o:connecttype="rect"/>
          </v:shapetype>
          <v:shape id="_x0000_s1026" type="#_x0000_t202" style="position:absolute;margin-left:0;margin-top:4.8pt;width:2in;height:274.1pt;z-index:251658240;mso-wrap-edited:f;mso-position-horizontal:absolute;mso-position-vertical:absolute" wrapcoords="0 0 21600 0 21600 21600 0 21600 0 0" fillcolor="#dbe5f1 [660]" stroked="f">
            <v:fill o:detectmouseclick="t"/>
            <v:textbox inset=",7.2pt,,7.2pt">
              <w:txbxContent>
                <w:p w:rsidR="00E53316" w:rsidRPr="00D926BA" w:rsidRDefault="00E53316" w:rsidP="0060682D">
                  <w:pPr>
                    <w:jc w:val="center"/>
                    <w:rPr>
                      <w:b/>
                      <w:color w:val="365F91" w:themeColor="accent1" w:themeShade="BF"/>
                      <w:sz w:val="22"/>
                      <w:lang w:val="en-GB"/>
                    </w:rPr>
                  </w:pPr>
                  <w:r w:rsidRPr="00D926BA">
                    <w:rPr>
                      <w:b/>
                      <w:color w:val="365F91" w:themeColor="accent1" w:themeShade="BF"/>
                      <w:sz w:val="22"/>
                      <w:lang w:val="en-GB"/>
                    </w:rPr>
                    <w:t>Quick facts</w:t>
                  </w:r>
                </w:p>
                <w:p w:rsidR="00E53316" w:rsidRPr="00DA3381" w:rsidRDefault="00E53316" w:rsidP="0060682D">
                  <w:pPr>
                    <w:spacing w:after="0"/>
                    <w:rPr>
                      <w:b/>
                      <w:i/>
                      <w:sz w:val="20"/>
                      <w:lang w:val="en-GB"/>
                    </w:rPr>
                  </w:pPr>
                  <w:r w:rsidRPr="00DA3381">
                    <w:rPr>
                      <w:b/>
                      <w:i/>
                      <w:sz w:val="20"/>
                      <w:lang w:val="en-GB"/>
                    </w:rPr>
                    <w:t xml:space="preserve">Web of Science: </w:t>
                  </w:r>
                  <w:r w:rsidRPr="00DA3381">
                    <w:rPr>
                      <w:b/>
                      <w:i/>
                      <w:sz w:val="20"/>
                      <w:lang w:val="en-GB"/>
                    </w:rPr>
                    <w:tab/>
                  </w:r>
                </w:p>
                <w:p w:rsidR="00E53316" w:rsidRDefault="00E53316" w:rsidP="0060682D">
                  <w:pPr>
                    <w:spacing w:after="0"/>
                    <w:rPr>
                      <w:sz w:val="20"/>
                      <w:lang w:val="en-GB"/>
                    </w:rPr>
                  </w:pPr>
                  <w:r w:rsidRPr="00611BB9">
                    <w:rPr>
                      <w:sz w:val="20"/>
                      <w:lang w:val="en-GB"/>
                    </w:rPr>
                    <w:t>10,000</w:t>
                  </w:r>
                  <w:r w:rsidRPr="00DA3381">
                    <w:rPr>
                      <w:sz w:val="20"/>
                      <w:lang w:val="en-GB"/>
                    </w:rPr>
                    <w:t xml:space="preserve"> journals</w:t>
                  </w:r>
                </w:p>
                <w:p w:rsidR="00E53316" w:rsidRPr="00DA3381" w:rsidRDefault="00E53316" w:rsidP="0060682D">
                  <w:pPr>
                    <w:spacing w:after="0"/>
                    <w:rPr>
                      <w:sz w:val="20"/>
                      <w:lang w:val="en-GB"/>
                    </w:rPr>
                  </w:pPr>
                  <w:r>
                    <w:rPr>
                      <w:sz w:val="20"/>
                      <w:lang w:val="en-GB"/>
                    </w:rPr>
                    <w:t>110,000 conference proceedings</w:t>
                  </w:r>
                  <w:r w:rsidRPr="00DA3381">
                    <w:rPr>
                      <w:sz w:val="20"/>
                      <w:lang w:val="en-GB"/>
                    </w:rPr>
                    <w:t xml:space="preserve"> </w:t>
                  </w:r>
                </w:p>
                <w:p w:rsidR="00E53316" w:rsidRDefault="00E53316" w:rsidP="0060682D">
                  <w:pPr>
                    <w:spacing w:after="0"/>
                    <w:rPr>
                      <w:b/>
                      <w:i/>
                      <w:sz w:val="20"/>
                      <w:lang w:val="en-GB"/>
                    </w:rPr>
                  </w:pPr>
                </w:p>
                <w:p w:rsidR="00E53316" w:rsidRPr="00DA3381" w:rsidRDefault="00E53316" w:rsidP="0060682D">
                  <w:pPr>
                    <w:spacing w:after="0"/>
                    <w:rPr>
                      <w:b/>
                      <w:i/>
                      <w:sz w:val="20"/>
                      <w:lang w:val="en-GB"/>
                    </w:rPr>
                  </w:pPr>
                  <w:r w:rsidRPr="00DA3381">
                    <w:rPr>
                      <w:b/>
                      <w:i/>
                      <w:sz w:val="20"/>
                      <w:lang w:val="en-GB"/>
                    </w:rPr>
                    <w:t>Scopus:</w:t>
                  </w:r>
                  <w:r w:rsidRPr="00DA3381">
                    <w:rPr>
                      <w:b/>
                      <w:i/>
                      <w:sz w:val="20"/>
                      <w:lang w:val="en-GB"/>
                    </w:rPr>
                    <w:tab/>
                  </w:r>
                  <w:r w:rsidRPr="00DA3381">
                    <w:rPr>
                      <w:b/>
                      <w:i/>
                      <w:sz w:val="20"/>
                      <w:lang w:val="en-GB"/>
                    </w:rPr>
                    <w:tab/>
                  </w:r>
                </w:p>
                <w:p w:rsidR="00E53316" w:rsidRDefault="00E53316" w:rsidP="0060682D">
                  <w:pPr>
                    <w:spacing w:after="0"/>
                    <w:rPr>
                      <w:sz w:val="20"/>
                      <w:lang w:val="en-GB"/>
                    </w:rPr>
                  </w:pPr>
                  <w:r w:rsidRPr="00611BB9">
                    <w:rPr>
                      <w:sz w:val="20"/>
                      <w:lang w:val="en-GB"/>
                    </w:rPr>
                    <w:t>16,000</w:t>
                  </w:r>
                  <w:r w:rsidRPr="00DA3381">
                    <w:rPr>
                      <w:sz w:val="20"/>
                      <w:lang w:val="en-GB"/>
                    </w:rPr>
                    <w:t xml:space="preserve"> journals</w:t>
                  </w:r>
                </w:p>
                <w:p w:rsidR="00E53316" w:rsidRDefault="00E53316" w:rsidP="0060682D">
                  <w:pPr>
                    <w:spacing w:after="0"/>
                    <w:rPr>
                      <w:sz w:val="20"/>
                      <w:lang w:val="en-GB"/>
                    </w:rPr>
                  </w:pPr>
                  <w:r>
                    <w:rPr>
                      <w:sz w:val="20"/>
                      <w:lang w:val="en-GB"/>
                    </w:rPr>
                    <w:t>520 conference proceedings</w:t>
                  </w:r>
                </w:p>
                <w:p w:rsidR="00E53316" w:rsidRDefault="00E53316" w:rsidP="0060682D">
                  <w:pPr>
                    <w:spacing w:after="0"/>
                    <w:rPr>
                      <w:sz w:val="20"/>
                      <w:lang w:val="en-GB"/>
                    </w:rPr>
                  </w:pPr>
                  <w:r>
                    <w:rPr>
                      <w:sz w:val="20"/>
                      <w:lang w:val="en-GB"/>
                    </w:rPr>
                    <w:t>315 book series</w:t>
                  </w:r>
                </w:p>
                <w:p w:rsidR="00E53316" w:rsidRPr="00DA3381" w:rsidRDefault="00E53316" w:rsidP="0060682D">
                  <w:pPr>
                    <w:spacing w:after="0"/>
                    <w:rPr>
                      <w:sz w:val="20"/>
                      <w:lang w:val="en-GB"/>
                    </w:rPr>
                  </w:pPr>
                  <w:r>
                    <w:rPr>
                      <w:sz w:val="20"/>
                      <w:lang w:val="en-GB"/>
                    </w:rPr>
                    <w:t>36 million items in total</w:t>
                  </w:r>
                </w:p>
                <w:p w:rsidR="00E53316" w:rsidRDefault="00E53316" w:rsidP="0060682D">
                  <w:pPr>
                    <w:spacing w:after="0"/>
                    <w:rPr>
                      <w:sz w:val="20"/>
                      <w:lang w:val="en-GB"/>
                    </w:rPr>
                  </w:pPr>
                </w:p>
                <w:p w:rsidR="00E53316" w:rsidRPr="000E63E7" w:rsidRDefault="00E53316" w:rsidP="0060682D">
                  <w:pPr>
                    <w:spacing w:after="0"/>
                    <w:rPr>
                      <w:b/>
                      <w:i/>
                      <w:sz w:val="20"/>
                      <w:lang w:val="en-GB"/>
                    </w:rPr>
                  </w:pPr>
                  <w:r w:rsidRPr="000E63E7">
                    <w:rPr>
                      <w:b/>
                      <w:i/>
                      <w:sz w:val="20"/>
                      <w:lang w:val="en-GB"/>
                    </w:rPr>
                    <w:t>Open Access journals (data from the DOAJ):</w:t>
                  </w:r>
                </w:p>
                <w:p w:rsidR="00E53316" w:rsidRDefault="00E53316" w:rsidP="0060682D">
                  <w:pPr>
                    <w:spacing w:after="0"/>
                    <w:rPr>
                      <w:sz w:val="20"/>
                      <w:lang w:val="en-GB"/>
                    </w:rPr>
                  </w:pPr>
                  <w:r w:rsidRPr="00611BB9">
                    <w:rPr>
                      <w:sz w:val="20"/>
                      <w:lang w:val="en-GB"/>
                    </w:rPr>
                    <w:t>3750 journals</w:t>
                  </w:r>
                </w:p>
                <w:p w:rsidR="00E53316" w:rsidRDefault="00E53316" w:rsidP="0060682D">
                  <w:pPr>
                    <w:spacing w:after="0"/>
                    <w:rPr>
                      <w:sz w:val="20"/>
                      <w:lang w:val="en-GB"/>
                    </w:rPr>
                  </w:pPr>
                  <w:r>
                    <w:rPr>
                      <w:sz w:val="20"/>
                      <w:lang w:val="en-GB"/>
                    </w:rPr>
                    <w:t>222,400 articles</w:t>
                  </w:r>
                </w:p>
                <w:p w:rsidR="00E53316" w:rsidRDefault="00E53316" w:rsidP="0060682D">
                  <w:pPr>
                    <w:spacing w:after="0"/>
                    <w:rPr>
                      <w:sz w:val="20"/>
                      <w:lang w:val="en-GB"/>
                    </w:rPr>
                  </w:pPr>
                </w:p>
                <w:p w:rsidR="00E53316" w:rsidRDefault="00E53316" w:rsidP="0060682D">
                  <w:pPr>
                    <w:spacing w:after="0"/>
                    <w:rPr>
                      <w:sz w:val="20"/>
                      <w:lang w:val="en-GB"/>
                    </w:rPr>
                  </w:pPr>
                  <w:r>
                    <w:rPr>
                      <w:b/>
                      <w:i/>
                      <w:sz w:val="20"/>
                      <w:lang w:val="en-GB"/>
                    </w:rPr>
                    <w:t>Open access repositories</w:t>
                  </w:r>
                  <w:r>
                    <w:rPr>
                      <w:sz w:val="20"/>
                      <w:lang w:val="en-GB"/>
                    </w:rPr>
                    <w:t xml:space="preserve"> </w:t>
                  </w:r>
                  <w:r w:rsidRPr="00611BB9">
                    <w:rPr>
                      <w:b/>
                      <w:sz w:val="20"/>
                      <w:lang w:val="en-GB"/>
                    </w:rPr>
                    <w:t xml:space="preserve">(data from </w:t>
                  </w:r>
                  <w:proofErr w:type="spellStart"/>
                  <w:r w:rsidRPr="00611BB9">
                    <w:rPr>
                      <w:b/>
                      <w:sz w:val="20"/>
                      <w:lang w:val="en-GB"/>
                    </w:rPr>
                    <w:t>OpenDOAR</w:t>
                  </w:r>
                  <w:proofErr w:type="spellEnd"/>
                  <w:r w:rsidRPr="00611BB9">
                    <w:rPr>
                      <w:b/>
                      <w:sz w:val="20"/>
                      <w:lang w:val="en-GB"/>
                    </w:rPr>
                    <w:t>):</w:t>
                  </w:r>
                </w:p>
                <w:p w:rsidR="00E53316" w:rsidRDefault="00E53316" w:rsidP="0060682D">
                  <w:pPr>
                    <w:spacing w:after="0"/>
                    <w:rPr>
                      <w:sz w:val="20"/>
                      <w:lang w:val="en-GB"/>
                    </w:rPr>
                  </w:pPr>
                  <w:r>
                    <w:rPr>
                      <w:sz w:val="20"/>
                      <w:lang w:val="en-GB"/>
                    </w:rPr>
                    <w:t>1280 repositories (article total unknown)</w:t>
                  </w:r>
                </w:p>
                <w:p w:rsidR="00E53316" w:rsidRPr="00DA3381" w:rsidRDefault="00E53316" w:rsidP="0060682D">
                  <w:pPr>
                    <w:spacing w:after="0"/>
                    <w:rPr>
                      <w:sz w:val="20"/>
                      <w:lang w:val="en-GB"/>
                    </w:rPr>
                  </w:pPr>
                </w:p>
              </w:txbxContent>
            </v:textbox>
            <w10:wrap type="tight"/>
          </v:shape>
        </w:pict>
      </w:r>
      <w:r w:rsidR="00824504">
        <w:rPr>
          <w:lang w:val="en-GB"/>
        </w:rPr>
        <w:t>This has changed now</w:t>
      </w:r>
      <w:r w:rsidR="00904C79">
        <w:rPr>
          <w:lang w:val="en-GB"/>
        </w:rPr>
        <w:t xml:space="preserve"> with </w:t>
      </w:r>
      <w:r w:rsidR="00824504">
        <w:rPr>
          <w:lang w:val="en-GB"/>
        </w:rPr>
        <w:t xml:space="preserve">the launch in 2004 of </w:t>
      </w:r>
      <w:r w:rsidR="00904C79">
        <w:rPr>
          <w:lang w:val="en-GB"/>
        </w:rPr>
        <w:t xml:space="preserve">Elsevier’s Scopus, a database that contains journals and other source items. Elsevier is </w:t>
      </w:r>
      <w:proofErr w:type="gramStart"/>
      <w:r w:rsidR="00904C79">
        <w:rPr>
          <w:lang w:val="en-GB"/>
        </w:rPr>
        <w:t>well-placed</w:t>
      </w:r>
      <w:proofErr w:type="gramEnd"/>
      <w:r w:rsidR="00904C79">
        <w:rPr>
          <w:lang w:val="en-GB"/>
        </w:rPr>
        <w:t xml:space="preserve"> to</w:t>
      </w:r>
      <w:r w:rsidR="0060682D">
        <w:rPr>
          <w:lang w:val="en-GB"/>
        </w:rPr>
        <w:t xml:space="preserve"> develop new impact measures using the content of Scopus and indeed is actively courting the research community with this in mind.</w:t>
      </w:r>
    </w:p>
    <w:p w:rsidR="0060682D" w:rsidRDefault="0060682D" w:rsidP="00904C79">
      <w:pPr>
        <w:spacing w:after="0"/>
        <w:rPr>
          <w:lang w:val="en-GB"/>
        </w:rPr>
      </w:pPr>
    </w:p>
    <w:p w:rsidR="000E63E7" w:rsidRDefault="0060682D" w:rsidP="00904C79">
      <w:pPr>
        <w:spacing w:after="0"/>
        <w:rPr>
          <w:lang w:val="en-GB"/>
        </w:rPr>
      </w:pPr>
      <w:r>
        <w:rPr>
          <w:lang w:val="en-GB"/>
        </w:rPr>
        <w:t>A third front has</w:t>
      </w:r>
      <w:r w:rsidR="00A34AFA">
        <w:rPr>
          <w:lang w:val="en-GB"/>
        </w:rPr>
        <w:t xml:space="preserve"> also opened up in the form of O</w:t>
      </w:r>
      <w:r>
        <w:rPr>
          <w:lang w:val="en-GB"/>
        </w:rPr>
        <w:t>pe</w:t>
      </w:r>
      <w:r w:rsidR="00A34AFA">
        <w:rPr>
          <w:lang w:val="en-GB"/>
        </w:rPr>
        <w:t>n A</w:t>
      </w:r>
      <w:r>
        <w:rPr>
          <w:lang w:val="en-GB"/>
        </w:rPr>
        <w:t xml:space="preserve">ccess literature. This resides in the open article databases of commercial open access publishers, such as </w:t>
      </w:r>
      <w:proofErr w:type="spellStart"/>
      <w:r>
        <w:rPr>
          <w:lang w:val="en-GB"/>
        </w:rPr>
        <w:t>PLoS</w:t>
      </w:r>
      <w:proofErr w:type="spellEnd"/>
      <w:r>
        <w:rPr>
          <w:lang w:val="en-GB"/>
        </w:rPr>
        <w:t xml:space="preserve"> and </w:t>
      </w:r>
      <w:proofErr w:type="spellStart"/>
      <w:r>
        <w:rPr>
          <w:lang w:val="en-GB"/>
        </w:rPr>
        <w:t>BioMed</w:t>
      </w:r>
      <w:proofErr w:type="spellEnd"/>
      <w:r>
        <w:rPr>
          <w:lang w:val="en-GB"/>
        </w:rPr>
        <w:t xml:space="preserve"> Central (BMC), </w:t>
      </w:r>
      <w:r w:rsidR="00DA3381">
        <w:rPr>
          <w:lang w:val="en-GB"/>
        </w:rPr>
        <w:t>in the open article databases produced by the not-for-profit open access publishers</w:t>
      </w:r>
      <w:r w:rsidR="00DA3381">
        <w:rPr>
          <w:rStyle w:val="FootnoteReference"/>
          <w:lang w:val="en-GB"/>
        </w:rPr>
        <w:footnoteReference w:id="0"/>
      </w:r>
      <w:r w:rsidR="00DA3381">
        <w:rPr>
          <w:lang w:val="en-GB"/>
        </w:rPr>
        <w:t xml:space="preserve">, </w:t>
      </w:r>
      <w:r>
        <w:rPr>
          <w:lang w:val="en-GB"/>
        </w:rPr>
        <w:t>as a portion of the content of subscription-based publishers (the portion that has been opened up as a result of so-called ‘</w:t>
      </w:r>
      <w:r w:rsidR="00824504">
        <w:rPr>
          <w:lang w:val="en-GB"/>
        </w:rPr>
        <w:t xml:space="preserve">hybrid, </w:t>
      </w:r>
      <w:r>
        <w:rPr>
          <w:lang w:val="en-GB"/>
        </w:rPr>
        <w:t xml:space="preserve">author pays’ options) and in institutional or subject-based </w:t>
      </w:r>
      <w:r w:rsidR="000E63E7">
        <w:rPr>
          <w:lang w:val="en-GB"/>
        </w:rPr>
        <w:t>repositories</w:t>
      </w:r>
      <w:r>
        <w:rPr>
          <w:lang w:val="en-GB"/>
        </w:rPr>
        <w:t xml:space="preserve"> such as </w:t>
      </w:r>
      <w:proofErr w:type="spellStart"/>
      <w:r>
        <w:rPr>
          <w:lang w:val="en-GB"/>
        </w:rPr>
        <w:t>arXiv</w:t>
      </w:r>
      <w:proofErr w:type="spellEnd"/>
      <w:r>
        <w:rPr>
          <w:lang w:val="en-GB"/>
        </w:rPr>
        <w:t xml:space="preserve"> and </w:t>
      </w:r>
      <w:proofErr w:type="spellStart"/>
      <w:r>
        <w:rPr>
          <w:lang w:val="en-GB"/>
        </w:rPr>
        <w:t>PubMed</w:t>
      </w:r>
      <w:proofErr w:type="spellEnd"/>
      <w:r>
        <w:rPr>
          <w:lang w:val="en-GB"/>
        </w:rPr>
        <w:t xml:space="preserve"> Central</w:t>
      </w:r>
      <w:r w:rsidR="000E63E7">
        <w:rPr>
          <w:rStyle w:val="FootnoteReference"/>
          <w:lang w:val="en-GB"/>
        </w:rPr>
        <w:footnoteReference w:id="1"/>
      </w:r>
      <w:r>
        <w:rPr>
          <w:lang w:val="en-GB"/>
        </w:rPr>
        <w:t>.</w:t>
      </w:r>
    </w:p>
    <w:p w:rsidR="000E63E7" w:rsidRDefault="000E63E7" w:rsidP="00904C79">
      <w:pPr>
        <w:spacing w:after="0"/>
        <w:rPr>
          <w:lang w:val="en-GB"/>
        </w:rPr>
      </w:pPr>
    </w:p>
    <w:p w:rsidR="00252C28" w:rsidRDefault="000E63E7" w:rsidP="00904C79">
      <w:pPr>
        <w:spacing w:after="0"/>
        <w:rPr>
          <w:lang w:val="en-GB"/>
        </w:rPr>
      </w:pPr>
      <w:r>
        <w:rPr>
          <w:lang w:val="en-GB"/>
        </w:rPr>
        <w:t>None of these sources alone, though, approximates to the whole journal literat</w:t>
      </w:r>
      <w:r w:rsidR="00252C28">
        <w:rPr>
          <w:lang w:val="en-GB"/>
        </w:rPr>
        <w:t>ure and the one that gets close</w:t>
      </w:r>
      <w:r>
        <w:rPr>
          <w:lang w:val="en-GB"/>
        </w:rPr>
        <w:t>s</w:t>
      </w:r>
      <w:r w:rsidR="00252C28">
        <w:rPr>
          <w:lang w:val="en-GB"/>
        </w:rPr>
        <w:t>t</w:t>
      </w:r>
      <w:r>
        <w:rPr>
          <w:lang w:val="en-GB"/>
        </w:rPr>
        <w:t>, Scopus, is proprie</w:t>
      </w:r>
      <w:r w:rsidR="00252C28">
        <w:rPr>
          <w:lang w:val="en-GB"/>
        </w:rPr>
        <w:t>tary. It should be noted in that</w:t>
      </w:r>
      <w:r>
        <w:rPr>
          <w:lang w:val="en-GB"/>
        </w:rPr>
        <w:t xml:space="preserve"> respect that Scopus collects </w:t>
      </w:r>
      <w:r w:rsidR="000B3BB7">
        <w:rPr>
          <w:lang w:val="en-GB"/>
        </w:rPr>
        <w:t>its</w:t>
      </w:r>
      <w:r>
        <w:rPr>
          <w:lang w:val="en-GB"/>
        </w:rPr>
        <w:t xml:space="preserve"> content by means of</w:t>
      </w:r>
      <w:r w:rsidR="000B3BB7">
        <w:rPr>
          <w:lang w:val="en-GB"/>
        </w:rPr>
        <w:t xml:space="preserve"> the</w:t>
      </w:r>
      <w:r>
        <w:rPr>
          <w:lang w:val="en-GB"/>
        </w:rPr>
        <w:t xml:space="preserve"> donation of </w:t>
      </w:r>
      <w:r w:rsidR="000B3BB7">
        <w:rPr>
          <w:lang w:val="en-GB"/>
        </w:rPr>
        <w:t>journal data</w:t>
      </w:r>
      <w:r>
        <w:rPr>
          <w:lang w:val="en-GB"/>
        </w:rPr>
        <w:t xml:space="preserve"> by other publishers.</w:t>
      </w:r>
      <w:r w:rsidR="00252C28">
        <w:rPr>
          <w:lang w:val="en-GB"/>
        </w:rPr>
        <w:t xml:space="preserve"> This is significant in the context of anticipated publisher attitudes towards participation in any scheme to develop a new corpus of open literature on which to develop novel metrics for research measurement. </w:t>
      </w:r>
    </w:p>
    <w:p w:rsidR="00252C28" w:rsidRDefault="00252C28" w:rsidP="00904C79">
      <w:pPr>
        <w:spacing w:after="0"/>
        <w:rPr>
          <w:lang w:val="en-GB"/>
        </w:rPr>
      </w:pPr>
    </w:p>
    <w:p w:rsidR="00131D52" w:rsidRPr="00D926BA" w:rsidRDefault="002F560C" w:rsidP="00904C79">
      <w:pPr>
        <w:spacing w:after="0"/>
        <w:rPr>
          <w:color w:val="365F91" w:themeColor="accent1" w:themeShade="BF"/>
          <w:sz w:val="30"/>
          <w:lang w:val="en-GB"/>
        </w:rPr>
      </w:pPr>
      <w:r>
        <w:rPr>
          <w:b/>
          <w:color w:val="365F91" w:themeColor="accent1" w:themeShade="BF"/>
          <w:sz w:val="30"/>
          <w:lang w:val="en-GB"/>
        </w:rPr>
        <w:t xml:space="preserve">B.   </w:t>
      </w:r>
      <w:r w:rsidR="00131D52" w:rsidRPr="00D926BA">
        <w:rPr>
          <w:b/>
          <w:color w:val="365F91" w:themeColor="accent1" w:themeShade="BF"/>
          <w:sz w:val="30"/>
          <w:lang w:val="en-GB"/>
        </w:rPr>
        <w:t>Issues</w:t>
      </w:r>
    </w:p>
    <w:p w:rsidR="009B2864" w:rsidRDefault="00131D52" w:rsidP="00904C79">
      <w:pPr>
        <w:spacing w:after="0"/>
        <w:rPr>
          <w:lang w:val="en-GB"/>
        </w:rPr>
      </w:pPr>
      <w:r>
        <w:rPr>
          <w:lang w:val="en-GB"/>
        </w:rPr>
        <w:t>There are a number of issues pertinent to the development of new ways of measuring research and the main ones are as follows:</w:t>
      </w:r>
    </w:p>
    <w:p w:rsidR="00131D52" w:rsidRDefault="00131D52" w:rsidP="00904C79">
      <w:pPr>
        <w:spacing w:after="0"/>
        <w:rPr>
          <w:lang w:val="en-GB"/>
        </w:rPr>
      </w:pPr>
    </w:p>
    <w:p w:rsidR="00131D52" w:rsidRPr="000C68E3" w:rsidRDefault="002F560C" w:rsidP="00904C79">
      <w:pPr>
        <w:spacing w:after="0"/>
        <w:rPr>
          <w:b/>
          <w:color w:val="365F91" w:themeColor="accent1" w:themeShade="BF"/>
          <w:sz w:val="26"/>
          <w:lang w:val="en-GB"/>
        </w:rPr>
      </w:pPr>
      <w:proofErr w:type="spellStart"/>
      <w:r>
        <w:rPr>
          <w:b/>
          <w:color w:val="365F91" w:themeColor="accent1" w:themeShade="BF"/>
          <w:sz w:val="26"/>
          <w:lang w:val="en-GB"/>
        </w:rPr>
        <w:t>i</w:t>
      </w:r>
      <w:proofErr w:type="spellEnd"/>
      <w:r>
        <w:rPr>
          <w:b/>
          <w:color w:val="365F91" w:themeColor="accent1" w:themeShade="BF"/>
          <w:sz w:val="26"/>
          <w:lang w:val="en-GB"/>
        </w:rPr>
        <w:t xml:space="preserve">.   </w:t>
      </w:r>
      <w:r w:rsidR="00131D52" w:rsidRPr="000C68E3">
        <w:rPr>
          <w:b/>
          <w:color w:val="365F91" w:themeColor="accent1" w:themeShade="BF"/>
          <w:sz w:val="26"/>
          <w:lang w:val="en-GB"/>
        </w:rPr>
        <w:t>Inappr</w:t>
      </w:r>
      <w:r w:rsidR="009B2864" w:rsidRPr="000C68E3">
        <w:rPr>
          <w:b/>
          <w:color w:val="365F91" w:themeColor="accent1" w:themeShade="BF"/>
          <w:sz w:val="26"/>
          <w:lang w:val="en-GB"/>
        </w:rPr>
        <w:t>opriateness of a single metric</w:t>
      </w:r>
    </w:p>
    <w:p w:rsidR="00131D52" w:rsidRDefault="00131D52" w:rsidP="00904C79">
      <w:pPr>
        <w:spacing w:after="0"/>
        <w:rPr>
          <w:lang w:val="en-GB"/>
        </w:rPr>
      </w:pPr>
      <w:r>
        <w:rPr>
          <w:lang w:val="en-GB"/>
        </w:rPr>
        <w:t xml:space="preserve">There has been over-reliance on the JIF as a research measure. In fact, it has never measured research. </w:t>
      </w:r>
      <w:r w:rsidR="00A34AFA">
        <w:rPr>
          <w:lang w:val="en-GB"/>
        </w:rPr>
        <w:t xml:space="preserve">It </w:t>
      </w:r>
      <w:r w:rsidR="000C68E3">
        <w:rPr>
          <w:lang w:val="en-GB"/>
        </w:rPr>
        <w:t>h</w:t>
      </w:r>
      <w:r w:rsidR="00A34AFA">
        <w:rPr>
          <w:lang w:val="en-GB"/>
        </w:rPr>
        <w:t>a</w:t>
      </w:r>
      <w:r w:rsidR="000C68E3">
        <w:rPr>
          <w:lang w:val="en-GB"/>
        </w:rPr>
        <w:t xml:space="preserve">s measured something to do with research journals. </w:t>
      </w:r>
      <w:r>
        <w:rPr>
          <w:lang w:val="en-GB"/>
        </w:rPr>
        <w:t>This metric was intended to be a comparative tool for publishers but it has been used – incorrectly – to assess the performance of individuals, departments and even institutions.</w:t>
      </w:r>
      <w:r w:rsidR="008B1D5A">
        <w:rPr>
          <w:lang w:val="en-GB"/>
        </w:rPr>
        <w:t xml:space="preserve"> Whether or not it measures something about a researcher or research group, it is clear that use of a single metric is not an appropriate way to conduct comparative analysis of such a complex set of activities that research represents (unless that single metric is the product of multivariate regression).</w:t>
      </w:r>
    </w:p>
    <w:p w:rsidR="00131D52" w:rsidRDefault="00131D52" w:rsidP="00904C79">
      <w:pPr>
        <w:spacing w:after="0"/>
        <w:rPr>
          <w:lang w:val="en-GB"/>
        </w:rPr>
      </w:pPr>
    </w:p>
    <w:p w:rsidR="00131D52" w:rsidRPr="000C68E3" w:rsidRDefault="002F560C" w:rsidP="00904C79">
      <w:pPr>
        <w:spacing w:after="0"/>
        <w:rPr>
          <w:b/>
          <w:color w:val="365F91" w:themeColor="accent1" w:themeShade="BF"/>
          <w:sz w:val="26"/>
          <w:lang w:val="en-GB"/>
        </w:rPr>
      </w:pPr>
      <w:r>
        <w:rPr>
          <w:b/>
          <w:color w:val="365F91" w:themeColor="accent1" w:themeShade="BF"/>
          <w:sz w:val="26"/>
          <w:lang w:val="en-GB"/>
        </w:rPr>
        <w:t xml:space="preserve">ii.   </w:t>
      </w:r>
      <w:r w:rsidR="008B1D5A">
        <w:rPr>
          <w:b/>
          <w:color w:val="365F91" w:themeColor="accent1" w:themeShade="BF"/>
          <w:sz w:val="26"/>
          <w:lang w:val="en-GB"/>
        </w:rPr>
        <w:t>Primary b</w:t>
      </w:r>
      <w:r w:rsidR="00131D52" w:rsidRPr="000C68E3">
        <w:rPr>
          <w:b/>
          <w:color w:val="365F91" w:themeColor="accent1" w:themeShade="BF"/>
          <w:sz w:val="26"/>
          <w:lang w:val="en-GB"/>
        </w:rPr>
        <w:t>ases for measuring research</w:t>
      </w:r>
    </w:p>
    <w:p w:rsidR="001D3C61" w:rsidRDefault="001D3C61" w:rsidP="001D3C61">
      <w:pPr>
        <w:spacing w:after="0"/>
        <w:rPr>
          <w:lang w:val="en-GB"/>
        </w:rPr>
      </w:pPr>
      <w:r>
        <w:rPr>
          <w:lang w:val="en-GB"/>
        </w:rPr>
        <w:t>In the broadest sense there are two main types of metric:</w:t>
      </w:r>
    </w:p>
    <w:p w:rsidR="001D3C61" w:rsidRPr="001D3C61" w:rsidRDefault="001D3C61" w:rsidP="001D3C61">
      <w:pPr>
        <w:pStyle w:val="ListParagraph"/>
        <w:numPr>
          <w:ilvl w:val="0"/>
          <w:numId w:val="1"/>
        </w:numPr>
        <w:spacing w:after="0"/>
        <w:rPr>
          <w:lang w:val="en-GB"/>
        </w:rPr>
      </w:pPr>
      <w:r w:rsidRPr="001D3C61">
        <w:rPr>
          <w:lang w:val="en-GB"/>
        </w:rPr>
        <w:t>User (reader)-generated metrics = usage</w:t>
      </w:r>
      <w:r>
        <w:rPr>
          <w:lang w:val="en-GB"/>
        </w:rPr>
        <w:t xml:space="preserve">-based </w:t>
      </w:r>
      <w:r w:rsidRPr="001D3C61">
        <w:rPr>
          <w:lang w:val="en-GB"/>
        </w:rPr>
        <w:t>analysis</w:t>
      </w:r>
      <w:r>
        <w:rPr>
          <w:lang w:val="en-GB"/>
        </w:rPr>
        <w:t xml:space="preserve"> (e.g. downloads, ‘reads’, abstract views, etc)</w:t>
      </w:r>
    </w:p>
    <w:p w:rsidR="001D3C61" w:rsidRPr="001D3C61" w:rsidRDefault="001D3C61" w:rsidP="001D3C61">
      <w:pPr>
        <w:pStyle w:val="ListParagraph"/>
        <w:numPr>
          <w:ilvl w:val="0"/>
          <w:numId w:val="1"/>
        </w:numPr>
        <w:spacing w:after="0"/>
        <w:rPr>
          <w:lang w:val="en-GB"/>
        </w:rPr>
      </w:pPr>
      <w:r w:rsidRPr="001D3C61">
        <w:rPr>
          <w:lang w:val="en-GB"/>
        </w:rPr>
        <w:t>Author-generated metrics = citation</w:t>
      </w:r>
      <w:r>
        <w:rPr>
          <w:lang w:val="en-GB"/>
        </w:rPr>
        <w:t>-based</w:t>
      </w:r>
      <w:r w:rsidRPr="001D3C61">
        <w:rPr>
          <w:lang w:val="en-GB"/>
        </w:rPr>
        <w:t xml:space="preserve"> analysis </w:t>
      </w:r>
      <w:r>
        <w:rPr>
          <w:lang w:val="en-GB"/>
        </w:rPr>
        <w:t>(formal citations, acknowledgments, links, etc)</w:t>
      </w:r>
    </w:p>
    <w:p w:rsidR="001D3C61" w:rsidRDefault="001D3C61" w:rsidP="001D3C61">
      <w:pPr>
        <w:spacing w:after="0"/>
        <w:rPr>
          <w:lang w:val="en-GB"/>
        </w:rPr>
      </w:pPr>
    </w:p>
    <w:p w:rsidR="001D3C61" w:rsidRDefault="00824504" w:rsidP="00904C79">
      <w:pPr>
        <w:spacing w:after="0"/>
        <w:rPr>
          <w:lang w:val="en-GB"/>
        </w:rPr>
      </w:pPr>
      <w:r>
        <w:rPr>
          <w:lang w:val="en-GB"/>
        </w:rPr>
        <w:t xml:space="preserve">The focus for the publisher discussion group has been the latter – citation-based metrics. </w:t>
      </w:r>
      <w:r w:rsidR="001D3C61">
        <w:rPr>
          <w:lang w:val="en-GB"/>
        </w:rPr>
        <w:t>It</w:t>
      </w:r>
      <w:r w:rsidR="00131D52">
        <w:rPr>
          <w:lang w:val="en-GB"/>
        </w:rPr>
        <w:t xml:space="preserve"> is possible to develop many relevant and incisi</w:t>
      </w:r>
      <w:r>
        <w:rPr>
          <w:lang w:val="en-GB"/>
        </w:rPr>
        <w:t>ve metrics given a substantial Open A</w:t>
      </w:r>
      <w:r w:rsidR="00131D52">
        <w:rPr>
          <w:lang w:val="en-GB"/>
        </w:rPr>
        <w:t>ccess literature</w:t>
      </w:r>
      <w:r w:rsidR="00316B6A">
        <w:rPr>
          <w:lang w:val="en-GB"/>
        </w:rPr>
        <w:t xml:space="preserve">, as well as to develop new techniques for tracking and monitoring research developments using the research literature and </w:t>
      </w:r>
      <w:r w:rsidR="000C68E3">
        <w:rPr>
          <w:lang w:val="en-GB"/>
        </w:rPr>
        <w:t>other forms of output</w:t>
      </w:r>
      <w:r w:rsidR="00131D52">
        <w:rPr>
          <w:lang w:val="en-GB"/>
        </w:rPr>
        <w:t xml:space="preserve">. The </w:t>
      </w:r>
      <w:r w:rsidR="000C68E3">
        <w:rPr>
          <w:lang w:val="en-GB"/>
        </w:rPr>
        <w:t>primary need will be the</w:t>
      </w:r>
      <w:r w:rsidR="00131D52">
        <w:rPr>
          <w:lang w:val="en-GB"/>
        </w:rPr>
        <w:t xml:space="preserve"> develop</w:t>
      </w:r>
      <w:r w:rsidR="000C68E3">
        <w:rPr>
          <w:lang w:val="en-GB"/>
        </w:rPr>
        <w:t>ment of</w:t>
      </w:r>
      <w:r w:rsidR="00131D52">
        <w:rPr>
          <w:lang w:val="en-GB"/>
        </w:rPr>
        <w:t xml:space="preserve"> metrics that fit the needs of particular research communities, acknowledging that few measures are comfortably and sensibly applicable across the boa</w:t>
      </w:r>
      <w:r w:rsidR="001D3C61">
        <w:rPr>
          <w:lang w:val="en-GB"/>
        </w:rPr>
        <w:t>rd. Research outputs</w:t>
      </w:r>
      <w:r w:rsidR="00131D52">
        <w:rPr>
          <w:lang w:val="en-GB"/>
        </w:rPr>
        <w:t xml:space="preserve"> differ markedly </w:t>
      </w:r>
      <w:r w:rsidR="001D3C61">
        <w:rPr>
          <w:lang w:val="en-GB"/>
        </w:rPr>
        <w:t>across disciplines and measures that fit well the products of humanities research will be different to those that are appropriate for</w:t>
      </w:r>
      <w:r w:rsidR="009B2864">
        <w:rPr>
          <w:lang w:val="en-GB"/>
        </w:rPr>
        <w:t xml:space="preserve"> the social sciences, which </w:t>
      </w:r>
      <w:r w:rsidR="00131D52">
        <w:rPr>
          <w:lang w:val="en-GB"/>
        </w:rPr>
        <w:t>in turn may not suit</w:t>
      </w:r>
      <w:r w:rsidR="001D3C61">
        <w:rPr>
          <w:lang w:val="en-GB"/>
        </w:rPr>
        <w:t xml:space="preserve"> the requirements of</w:t>
      </w:r>
      <w:r w:rsidR="00131D52">
        <w:rPr>
          <w:lang w:val="en-GB"/>
        </w:rPr>
        <w:t xml:space="preserve"> the natural and physical sciences.</w:t>
      </w:r>
    </w:p>
    <w:p w:rsidR="001D3C61" w:rsidRDefault="001D3C61" w:rsidP="00904C79">
      <w:pPr>
        <w:spacing w:after="0"/>
        <w:rPr>
          <w:lang w:val="en-GB"/>
        </w:rPr>
      </w:pPr>
    </w:p>
    <w:p w:rsidR="0088307A" w:rsidRPr="000C68E3" w:rsidRDefault="002F560C" w:rsidP="00904C79">
      <w:pPr>
        <w:spacing w:after="0"/>
        <w:rPr>
          <w:b/>
          <w:color w:val="365F91" w:themeColor="accent1" w:themeShade="BF"/>
          <w:sz w:val="26"/>
          <w:lang w:val="en-GB"/>
        </w:rPr>
      </w:pPr>
      <w:r>
        <w:rPr>
          <w:b/>
          <w:color w:val="365F91" w:themeColor="accent1" w:themeShade="BF"/>
          <w:sz w:val="26"/>
          <w:lang w:val="en-GB"/>
        </w:rPr>
        <w:t xml:space="preserve">iii.   </w:t>
      </w:r>
      <w:r w:rsidR="0088307A" w:rsidRPr="000C68E3">
        <w:rPr>
          <w:b/>
          <w:color w:val="365F91" w:themeColor="accent1" w:themeShade="BF"/>
          <w:sz w:val="26"/>
          <w:lang w:val="en-GB"/>
        </w:rPr>
        <w:t>Publisher compliance</w:t>
      </w:r>
    </w:p>
    <w:p w:rsidR="0088307A" w:rsidRDefault="00A34AFA" w:rsidP="00904C79">
      <w:pPr>
        <w:spacing w:after="0"/>
        <w:rPr>
          <w:lang w:val="en-GB"/>
        </w:rPr>
      </w:pPr>
      <w:r>
        <w:rPr>
          <w:lang w:val="en-GB"/>
        </w:rPr>
        <w:t>Until</w:t>
      </w:r>
      <w:r w:rsidR="0088307A">
        <w:rPr>
          <w:lang w:val="en-GB"/>
        </w:rPr>
        <w:t xml:space="preserve"> Open Access is </w:t>
      </w:r>
      <w:r w:rsidR="009B2864">
        <w:rPr>
          <w:lang w:val="en-GB"/>
        </w:rPr>
        <w:t xml:space="preserve">the </w:t>
      </w:r>
      <w:proofErr w:type="gramStart"/>
      <w:r>
        <w:rPr>
          <w:lang w:val="en-GB"/>
        </w:rPr>
        <w:t>strongly-</w:t>
      </w:r>
      <w:r w:rsidR="0088307A">
        <w:rPr>
          <w:lang w:val="en-GB"/>
        </w:rPr>
        <w:t>predominant</w:t>
      </w:r>
      <w:proofErr w:type="gramEnd"/>
      <w:r w:rsidR="009B2864">
        <w:rPr>
          <w:lang w:val="en-GB"/>
        </w:rPr>
        <w:t xml:space="preserve"> format for research outputs</w:t>
      </w:r>
      <w:r w:rsidR="0088307A">
        <w:rPr>
          <w:lang w:val="en-GB"/>
        </w:rPr>
        <w:t xml:space="preserve">, which may take another </w:t>
      </w:r>
      <w:r w:rsidR="00824504">
        <w:rPr>
          <w:lang w:val="en-GB"/>
        </w:rPr>
        <w:t>three-to-</w:t>
      </w:r>
      <w:r w:rsidR="0088307A">
        <w:rPr>
          <w:lang w:val="en-GB"/>
        </w:rPr>
        <w:t xml:space="preserve">five years, </w:t>
      </w:r>
      <w:r w:rsidR="00824504">
        <w:rPr>
          <w:lang w:val="en-GB"/>
        </w:rPr>
        <w:t xml:space="preserve">some degree of Closed Access </w:t>
      </w:r>
      <w:r w:rsidR="0088307A">
        <w:rPr>
          <w:lang w:val="en-GB"/>
        </w:rPr>
        <w:t xml:space="preserve">publisher compliance will be needed to build </w:t>
      </w:r>
      <w:r w:rsidR="00824504">
        <w:rPr>
          <w:lang w:val="en-GB"/>
        </w:rPr>
        <w:t>the database upon which new</w:t>
      </w:r>
      <w:r w:rsidR="0088307A">
        <w:rPr>
          <w:lang w:val="en-GB"/>
        </w:rPr>
        <w:t xml:space="preserve"> metrics can be developed. For metrics based on citation analysis, publishers </w:t>
      </w:r>
      <w:r w:rsidR="00474567">
        <w:rPr>
          <w:lang w:val="en-GB"/>
        </w:rPr>
        <w:t xml:space="preserve">will </w:t>
      </w:r>
      <w:r w:rsidR="0088307A">
        <w:rPr>
          <w:lang w:val="en-GB"/>
        </w:rPr>
        <w:t>need to supply, at a minimum, citation data from the articles they publish. For metrics based on usage, publishers and repositories</w:t>
      </w:r>
      <w:r w:rsidR="00474567">
        <w:rPr>
          <w:lang w:val="en-GB"/>
        </w:rPr>
        <w:t xml:space="preserve"> will</w:t>
      </w:r>
      <w:r w:rsidR="0088307A">
        <w:rPr>
          <w:lang w:val="en-GB"/>
        </w:rPr>
        <w:t xml:space="preserve"> need to supply usage data for collation into a single database. For other </w:t>
      </w:r>
      <w:r w:rsidR="00824504">
        <w:rPr>
          <w:lang w:val="en-GB"/>
        </w:rPr>
        <w:t>kind</w:t>
      </w:r>
      <w:r w:rsidR="0088307A">
        <w:rPr>
          <w:lang w:val="en-GB"/>
        </w:rPr>
        <w:t xml:space="preserve">s of metric, such as those measuring </w:t>
      </w:r>
      <w:r w:rsidR="008B1D5A">
        <w:rPr>
          <w:lang w:val="en-GB"/>
        </w:rPr>
        <w:t>certain types of trend,</w:t>
      </w:r>
      <w:r w:rsidR="0088307A">
        <w:rPr>
          <w:lang w:val="en-GB"/>
        </w:rPr>
        <w:t xml:space="preserve"> for example, article </w:t>
      </w:r>
      <w:r w:rsidR="008B1D5A">
        <w:rPr>
          <w:lang w:val="en-GB"/>
        </w:rPr>
        <w:t xml:space="preserve">full-texts </w:t>
      </w:r>
      <w:r w:rsidR="0088307A">
        <w:rPr>
          <w:lang w:val="en-GB"/>
        </w:rPr>
        <w:t xml:space="preserve">will be needed. Preliminary work is going on in </w:t>
      </w:r>
      <w:r w:rsidR="00474567">
        <w:rPr>
          <w:lang w:val="en-GB"/>
        </w:rPr>
        <w:t>all the</w:t>
      </w:r>
      <w:r w:rsidR="0088307A">
        <w:rPr>
          <w:lang w:val="en-GB"/>
        </w:rPr>
        <w:t>s</w:t>
      </w:r>
      <w:r w:rsidR="00474567">
        <w:rPr>
          <w:lang w:val="en-GB"/>
        </w:rPr>
        <w:t>e</w:t>
      </w:r>
      <w:r w:rsidR="0088307A">
        <w:rPr>
          <w:lang w:val="en-GB"/>
        </w:rPr>
        <w:t xml:space="preserve"> area</w:t>
      </w:r>
      <w:r w:rsidR="00474567">
        <w:rPr>
          <w:lang w:val="en-GB"/>
        </w:rPr>
        <w:t>s</w:t>
      </w:r>
      <w:r w:rsidR="0088307A">
        <w:rPr>
          <w:lang w:val="en-GB"/>
        </w:rPr>
        <w:t xml:space="preserve"> using the currently available Open Access corpus and this work can be accelerated as </w:t>
      </w:r>
      <w:r w:rsidR="00EB25B2">
        <w:rPr>
          <w:lang w:val="en-GB"/>
        </w:rPr>
        <w:t xml:space="preserve">soon as </w:t>
      </w:r>
      <w:r w:rsidR="0088307A">
        <w:rPr>
          <w:lang w:val="en-GB"/>
        </w:rPr>
        <w:t>access to the full-text of more of the research literature increases.</w:t>
      </w:r>
    </w:p>
    <w:p w:rsidR="0088307A" w:rsidRDefault="0088307A" w:rsidP="00904C79">
      <w:pPr>
        <w:spacing w:after="0"/>
        <w:rPr>
          <w:lang w:val="en-GB"/>
        </w:rPr>
      </w:pPr>
    </w:p>
    <w:p w:rsidR="0088307A" w:rsidRPr="000C68E3" w:rsidRDefault="002F560C" w:rsidP="00904C79">
      <w:pPr>
        <w:spacing w:after="0"/>
        <w:rPr>
          <w:b/>
          <w:color w:val="365F91" w:themeColor="accent1" w:themeShade="BF"/>
          <w:sz w:val="26"/>
          <w:lang w:val="en-GB"/>
        </w:rPr>
      </w:pPr>
      <w:r>
        <w:rPr>
          <w:b/>
          <w:color w:val="365F91" w:themeColor="accent1" w:themeShade="BF"/>
          <w:sz w:val="26"/>
          <w:lang w:val="en-GB"/>
        </w:rPr>
        <w:t xml:space="preserve">iv.   </w:t>
      </w:r>
      <w:r w:rsidR="0088307A" w:rsidRPr="000C68E3">
        <w:rPr>
          <w:b/>
          <w:color w:val="365F91" w:themeColor="accent1" w:themeShade="BF"/>
          <w:sz w:val="26"/>
          <w:lang w:val="en-GB"/>
        </w:rPr>
        <w:t>Collation of the data for analysis</w:t>
      </w:r>
    </w:p>
    <w:p w:rsidR="008B1D5A" w:rsidRDefault="0088307A" w:rsidP="00904C79">
      <w:pPr>
        <w:spacing w:after="0"/>
        <w:rPr>
          <w:lang w:val="en-GB"/>
        </w:rPr>
      </w:pPr>
      <w:proofErr w:type="gramStart"/>
      <w:r>
        <w:rPr>
          <w:lang w:val="en-GB"/>
        </w:rPr>
        <w:t>The database(s) that will provide the raw material for</w:t>
      </w:r>
      <w:r w:rsidR="009B2864">
        <w:rPr>
          <w:lang w:val="en-GB"/>
        </w:rPr>
        <w:t xml:space="preserve"> the development of new metrics</w:t>
      </w:r>
      <w:r>
        <w:rPr>
          <w:lang w:val="en-GB"/>
        </w:rPr>
        <w:t xml:space="preserve"> </w:t>
      </w:r>
      <w:r w:rsidR="009B2864">
        <w:rPr>
          <w:lang w:val="en-GB"/>
        </w:rPr>
        <w:t>must be collated from various sources</w:t>
      </w:r>
      <w:r w:rsidR="008B1D5A">
        <w:rPr>
          <w:lang w:val="en-GB"/>
        </w:rPr>
        <w:t xml:space="preserve"> (</w:t>
      </w:r>
      <w:r w:rsidR="00824504">
        <w:rPr>
          <w:lang w:val="en-GB"/>
        </w:rPr>
        <w:t xml:space="preserve">from different </w:t>
      </w:r>
      <w:r w:rsidR="008B1D5A">
        <w:rPr>
          <w:lang w:val="en-GB"/>
        </w:rPr>
        <w:t>publishers and, p</w:t>
      </w:r>
      <w:r w:rsidR="00824504">
        <w:rPr>
          <w:lang w:val="en-GB"/>
        </w:rPr>
        <w:t>robably</w:t>
      </w:r>
      <w:r w:rsidR="008B1D5A">
        <w:rPr>
          <w:lang w:val="en-GB"/>
        </w:rPr>
        <w:t xml:space="preserve">, </w:t>
      </w:r>
      <w:r w:rsidR="00824504">
        <w:rPr>
          <w:lang w:val="en-GB"/>
        </w:rPr>
        <w:t xml:space="preserve">from </w:t>
      </w:r>
      <w:r w:rsidR="008B1D5A">
        <w:rPr>
          <w:lang w:val="en-GB"/>
        </w:rPr>
        <w:t>repositories)</w:t>
      </w:r>
      <w:r w:rsidR="009B2864">
        <w:rPr>
          <w:lang w:val="en-GB"/>
        </w:rPr>
        <w:t>.</w:t>
      </w:r>
      <w:proofErr w:type="gramEnd"/>
      <w:r w:rsidR="009B2864">
        <w:rPr>
          <w:lang w:val="en-GB"/>
        </w:rPr>
        <w:t xml:space="preserve"> </w:t>
      </w:r>
      <w:r w:rsidR="008B1D5A">
        <w:rPr>
          <w:lang w:val="en-GB"/>
        </w:rPr>
        <w:t xml:space="preserve">The question of which party should be </w:t>
      </w:r>
      <w:r w:rsidR="008B1D5A" w:rsidRPr="00084242">
        <w:rPr>
          <w:lang w:val="en-GB"/>
        </w:rPr>
        <w:t>entrusted</w:t>
      </w:r>
      <w:r w:rsidR="008B1D5A">
        <w:rPr>
          <w:lang w:val="en-GB"/>
        </w:rPr>
        <w:t xml:space="preserve"> </w:t>
      </w:r>
      <w:r w:rsidR="00474567">
        <w:rPr>
          <w:lang w:val="en-GB"/>
        </w:rPr>
        <w:t xml:space="preserve">to collect data from publishers and </w:t>
      </w:r>
      <w:r w:rsidR="00824504">
        <w:rPr>
          <w:lang w:val="en-GB"/>
        </w:rPr>
        <w:t>make them available as a single</w:t>
      </w:r>
      <w:r w:rsidR="00474567">
        <w:rPr>
          <w:lang w:val="en-GB"/>
        </w:rPr>
        <w:t xml:space="preserve"> database is still undecided. </w:t>
      </w:r>
    </w:p>
    <w:p w:rsidR="008B1D5A" w:rsidRDefault="008B1D5A" w:rsidP="00904C79">
      <w:pPr>
        <w:spacing w:after="0"/>
        <w:rPr>
          <w:lang w:val="en-GB"/>
        </w:rPr>
      </w:pPr>
    </w:p>
    <w:p w:rsidR="00F45B0A" w:rsidRDefault="009B2864" w:rsidP="00904C79">
      <w:pPr>
        <w:spacing w:after="0"/>
        <w:rPr>
          <w:lang w:val="en-GB"/>
        </w:rPr>
      </w:pPr>
      <w:r>
        <w:rPr>
          <w:lang w:val="en-GB"/>
        </w:rPr>
        <w:t xml:space="preserve">Discussions within the </w:t>
      </w:r>
      <w:r w:rsidR="00474567">
        <w:rPr>
          <w:lang w:val="en-GB"/>
        </w:rPr>
        <w:t xml:space="preserve">‘pioneer’ </w:t>
      </w:r>
      <w:r>
        <w:rPr>
          <w:lang w:val="en-GB"/>
        </w:rPr>
        <w:t xml:space="preserve">publisher </w:t>
      </w:r>
      <w:r w:rsidR="00824504">
        <w:rPr>
          <w:lang w:val="en-GB"/>
        </w:rPr>
        <w:t xml:space="preserve">discussion </w:t>
      </w:r>
      <w:r>
        <w:rPr>
          <w:lang w:val="en-GB"/>
        </w:rPr>
        <w:t>group have identified a number of possible candidates and major contributors: amongst the non-</w:t>
      </w:r>
      <w:r w:rsidR="00474567">
        <w:rPr>
          <w:lang w:val="en-GB"/>
        </w:rPr>
        <w:t>commerc</w:t>
      </w:r>
      <w:r>
        <w:rPr>
          <w:lang w:val="en-GB"/>
        </w:rPr>
        <w:t xml:space="preserve">ial candidates </w:t>
      </w:r>
      <w:r w:rsidR="00474567">
        <w:rPr>
          <w:lang w:val="en-GB"/>
        </w:rPr>
        <w:t xml:space="preserve">the front-runners </w:t>
      </w:r>
      <w:r>
        <w:rPr>
          <w:lang w:val="en-GB"/>
        </w:rPr>
        <w:t xml:space="preserve">are </w:t>
      </w:r>
      <w:proofErr w:type="spellStart"/>
      <w:r>
        <w:rPr>
          <w:lang w:val="en-GB"/>
        </w:rPr>
        <w:t>CrossRef</w:t>
      </w:r>
      <w:proofErr w:type="spellEnd"/>
      <w:r w:rsidR="00474567">
        <w:rPr>
          <w:lang w:val="en-GB"/>
        </w:rPr>
        <w:t xml:space="preserve"> and</w:t>
      </w:r>
      <w:r>
        <w:rPr>
          <w:lang w:val="en-GB"/>
        </w:rPr>
        <w:t xml:space="preserve"> </w:t>
      </w:r>
      <w:r w:rsidR="00474567">
        <w:rPr>
          <w:lang w:val="en-GB"/>
        </w:rPr>
        <w:t>the NLM (</w:t>
      </w:r>
      <w:proofErr w:type="spellStart"/>
      <w:r>
        <w:rPr>
          <w:lang w:val="en-GB"/>
        </w:rPr>
        <w:t>PubMed</w:t>
      </w:r>
      <w:proofErr w:type="spellEnd"/>
      <w:r w:rsidR="00474567">
        <w:rPr>
          <w:lang w:val="en-GB"/>
        </w:rPr>
        <w:t>), with a preference for the former</w:t>
      </w:r>
      <w:r w:rsidR="00F45B0A">
        <w:rPr>
          <w:lang w:val="en-GB"/>
        </w:rPr>
        <w:t xml:space="preserve"> (see section D)</w:t>
      </w:r>
      <w:r>
        <w:rPr>
          <w:lang w:val="en-GB"/>
        </w:rPr>
        <w:t>.</w:t>
      </w:r>
    </w:p>
    <w:p w:rsidR="00F45B0A" w:rsidRDefault="00F45B0A" w:rsidP="00904C79">
      <w:pPr>
        <w:spacing w:after="0"/>
        <w:rPr>
          <w:lang w:val="en-GB"/>
        </w:rPr>
      </w:pPr>
    </w:p>
    <w:p w:rsidR="009B2864" w:rsidRDefault="00F45B0A" w:rsidP="00904C79">
      <w:pPr>
        <w:spacing w:after="0"/>
        <w:rPr>
          <w:lang w:val="en-GB"/>
        </w:rPr>
      </w:pPr>
      <w:r>
        <w:rPr>
          <w:lang w:val="en-GB"/>
        </w:rPr>
        <w:t>Whatever the final solution in this regard, there will be considerable technical work ahead to bring data in different formats together into one, internally-consistent database that can be queried effectively.</w:t>
      </w:r>
    </w:p>
    <w:p w:rsidR="009B2864" w:rsidRDefault="009B2864" w:rsidP="00904C79">
      <w:pPr>
        <w:spacing w:after="0"/>
        <w:rPr>
          <w:lang w:val="en-GB"/>
        </w:rPr>
      </w:pPr>
    </w:p>
    <w:p w:rsidR="000C68E3" w:rsidRPr="00D926BA" w:rsidRDefault="002F560C" w:rsidP="000C68E3">
      <w:pPr>
        <w:spacing w:after="0"/>
        <w:rPr>
          <w:b/>
          <w:color w:val="365F91" w:themeColor="accent1" w:themeShade="BF"/>
          <w:sz w:val="26"/>
          <w:lang w:val="en-GB"/>
        </w:rPr>
      </w:pPr>
      <w:r>
        <w:rPr>
          <w:b/>
          <w:color w:val="365F91" w:themeColor="accent1" w:themeShade="BF"/>
          <w:sz w:val="26"/>
          <w:lang w:val="en-GB"/>
        </w:rPr>
        <w:t xml:space="preserve">v.   </w:t>
      </w:r>
      <w:r w:rsidR="000C68E3" w:rsidRPr="00D926BA">
        <w:rPr>
          <w:b/>
          <w:color w:val="365F91" w:themeColor="accent1" w:themeShade="BF"/>
          <w:sz w:val="26"/>
          <w:lang w:val="en-GB"/>
        </w:rPr>
        <w:t>Metrics development and service provision</w:t>
      </w:r>
    </w:p>
    <w:p w:rsidR="00CB7E06" w:rsidRDefault="00B40F32" w:rsidP="00904C79">
      <w:pPr>
        <w:spacing w:after="0"/>
        <w:rPr>
          <w:lang w:val="en-GB"/>
        </w:rPr>
      </w:pPr>
      <w:r>
        <w:rPr>
          <w:lang w:val="en-GB"/>
        </w:rPr>
        <w:t xml:space="preserve">The </w:t>
      </w:r>
      <w:r w:rsidR="00851C34">
        <w:rPr>
          <w:lang w:val="en-GB"/>
        </w:rPr>
        <w:t xml:space="preserve">overall </w:t>
      </w:r>
      <w:r>
        <w:rPr>
          <w:lang w:val="en-GB"/>
        </w:rPr>
        <w:t xml:space="preserve">aim is to provide an Open Access database available to all-comers, some of </w:t>
      </w:r>
      <w:proofErr w:type="gramStart"/>
      <w:r>
        <w:rPr>
          <w:lang w:val="en-GB"/>
        </w:rPr>
        <w:t>whom</w:t>
      </w:r>
      <w:proofErr w:type="gramEnd"/>
      <w:r>
        <w:rPr>
          <w:lang w:val="en-GB"/>
        </w:rPr>
        <w:t xml:space="preserve"> may wish to invest </w:t>
      </w:r>
      <w:r w:rsidR="00851C34">
        <w:rPr>
          <w:lang w:val="en-GB"/>
        </w:rPr>
        <w:t>in the</w:t>
      </w:r>
      <w:r>
        <w:rPr>
          <w:lang w:val="en-GB"/>
        </w:rPr>
        <w:t xml:space="preserve"> develop</w:t>
      </w:r>
      <w:r w:rsidR="00851C34">
        <w:rPr>
          <w:lang w:val="en-GB"/>
        </w:rPr>
        <w:t>ment</w:t>
      </w:r>
      <w:r>
        <w:rPr>
          <w:lang w:val="en-GB"/>
        </w:rPr>
        <w:t xml:space="preserve"> </w:t>
      </w:r>
      <w:r w:rsidR="00084242">
        <w:rPr>
          <w:lang w:val="en-GB"/>
        </w:rPr>
        <w:t xml:space="preserve">of </w:t>
      </w:r>
      <w:r>
        <w:rPr>
          <w:lang w:val="en-GB"/>
        </w:rPr>
        <w:t xml:space="preserve">new metrics and/or new services based upon the use of these metrics. </w:t>
      </w:r>
      <w:r w:rsidR="00084242">
        <w:rPr>
          <w:lang w:val="en-GB"/>
        </w:rPr>
        <w:t>S</w:t>
      </w:r>
      <w:r w:rsidR="00851C34">
        <w:rPr>
          <w:lang w:val="en-GB"/>
        </w:rPr>
        <w:t xml:space="preserve">ome </w:t>
      </w:r>
      <w:r w:rsidR="000C68E3">
        <w:rPr>
          <w:lang w:val="en-GB"/>
        </w:rPr>
        <w:t xml:space="preserve">commercial </w:t>
      </w:r>
      <w:r>
        <w:rPr>
          <w:lang w:val="en-GB"/>
        </w:rPr>
        <w:t xml:space="preserve">database providers </w:t>
      </w:r>
      <w:r w:rsidR="00084242">
        <w:rPr>
          <w:lang w:val="en-GB"/>
        </w:rPr>
        <w:t>are likely</w:t>
      </w:r>
      <w:r>
        <w:rPr>
          <w:lang w:val="en-GB"/>
        </w:rPr>
        <w:t xml:space="preserve"> to pursue this path</w:t>
      </w:r>
      <w:r w:rsidR="00084242">
        <w:rPr>
          <w:lang w:val="en-GB"/>
        </w:rPr>
        <w:t xml:space="preserve"> (as some already are) and it is also</w:t>
      </w:r>
      <w:r>
        <w:rPr>
          <w:lang w:val="en-GB"/>
        </w:rPr>
        <w:t xml:space="preserve"> </w:t>
      </w:r>
      <w:r w:rsidR="000C68E3">
        <w:rPr>
          <w:lang w:val="en-GB"/>
        </w:rPr>
        <w:t xml:space="preserve">likely that many non-commercial players will be interested in developing new metrics and possibly services based on these. </w:t>
      </w:r>
      <w:r w:rsidR="001E5D8F">
        <w:rPr>
          <w:lang w:val="en-GB"/>
        </w:rPr>
        <w:t>There are already examples of such enterprises.</w:t>
      </w:r>
    </w:p>
    <w:p w:rsidR="00CB7E06" w:rsidRDefault="00CB7E06" w:rsidP="00904C79">
      <w:pPr>
        <w:spacing w:after="0"/>
        <w:rPr>
          <w:lang w:val="en-GB"/>
        </w:rPr>
      </w:pPr>
    </w:p>
    <w:p w:rsidR="005D5AE7" w:rsidRDefault="00E53316" w:rsidP="00904C79">
      <w:pPr>
        <w:spacing w:after="0"/>
        <w:rPr>
          <w:lang w:val="en-GB"/>
        </w:rPr>
      </w:pPr>
      <w:r>
        <w:rPr>
          <w:noProof/>
        </w:rPr>
        <w:pict>
          <v:shape id="_x0000_s1032" type="#_x0000_t202" style="position:absolute;margin-left:0;margin-top:3.8pt;width:3in;height:234pt;z-index:251660288;mso-wrap-edited:f;mso-position-horizontal:absolute;mso-position-vertical:absolute" wrapcoords="0 0 21600 0 21600 21600 0 21600 0 0" fillcolor="#dbe5f1 [660]" stroked="f">
            <v:fill o:detectmouseclick="t"/>
            <v:textbox inset=",7.2pt,,7.2pt">
              <w:txbxContent>
                <w:p w:rsidR="00E53316" w:rsidRPr="009D20A1" w:rsidRDefault="00E53316" w:rsidP="00451337">
                  <w:pPr>
                    <w:jc w:val="center"/>
                    <w:rPr>
                      <w:b/>
                      <w:color w:val="365F91" w:themeColor="accent1" w:themeShade="BF"/>
                      <w:sz w:val="22"/>
                      <w:lang w:val="en-GB"/>
                    </w:rPr>
                  </w:pPr>
                  <w:r w:rsidRPr="009D20A1">
                    <w:rPr>
                      <w:b/>
                      <w:color w:val="365F91" w:themeColor="accent1" w:themeShade="BF"/>
                      <w:sz w:val="22"/>
                      <w:lang w:val="en-GB"/>
                    </w:rPr>
                    <w:t>University-ranking services and the metric(s) they use</w:t>
                  </w:r>
                </w:p>
                <w:p w:rsidR="00E53316" w:rsidRPr="00562AFE" w:rsidRDefault="00E53316" w:rsidP="00562AFE">
                  <w:pPr>
                    <w:spacing w:after="0"/>
                    <w:rPr>
                      <w:b/>
                      <w:i/>
                      <w:sz w:val="20"/>
                      <w:lang w:val="en-GB"/>
                    </w:rPr>
                  </w:pPr>
                  <w:r w:rsidRPr="00562AFE">
                    <w:rPr>
                      <w:b/>
                      <w:i/>
                      <w:sz w:val="20"/>
                      <w:lang w:val="en-GB"/>
                    </w:rPr>
                    <w:t>THE-QS World University Rankings</w:t>
                  </w:r>
                </w:p>
                <w:p w:rsidR="00E53316" w:rsidRDefault="00E53316" w:rsidP="00562AFE">
                  <w:pPr>
                    <w:spacing w:after="0"/>
                    <w:rPr>
                      <w:sz w:val="20"/>
                      <w:lang w:val="en-GB"/>
                    </w:rPr>
                  </w:pPr>
                  <w:r>
                    <w:rPr>
                      <w:sz w:val="20"/>
                      <w:lang w:val="en-GB"/>
                    </w:rPr>
                    <w:t xml:space="preserve">Uses academic peer review, employer survey, faculty/student ratio, citations, international faculty numbers and international student numbers in a weighted algorithm to produce overall </w:t>
                  </w:r>
                  <w:proofErr w:type="spellStart"/>
                  <w:r>
                    <w:rPr>
                      <w:sz w:val="20"/>
                      <w:lang w:val="en-GB"/>
                    </w:rPr>
                    <w:t>placings</w:t>
                  </w:r>
                  <w:proofErr w:type="spellEnd"/>
                </w:p>
                <w:p w:rsidR="00E53316" w:rsidRPr="009D20A1" w:rsidRDefault="00E53316" w:rsidP="00562AFE">
                  <w:pPr>
                    <w:spacing w:after="0"/>
                    <w:rPr>
                      <w:sz w:val="20"/>
                      <w:lang w:val="en-GB"/>
                    </w:rPr>
                  </w:pPr>
                  <w:hyperlink r:id="rId6" w:history="1">
                    <w:r w:rsidRPr="002628FA">
                      <w:rPr>
                        <w:rStyle w:val="Hyperlink"/>
                        <w:sz w:val="20"/>
                        <w:lang w:val="en-GB"/>
                      </w:rPr>
                      <w:t>http://www.topuniversities.com/worlduniversityrankings/</w:t>
                    </w:r>
                  </w:hyperlink>
                  <w:r>
                    <w:rPr>
                      <w:sz w:val="20"/>
                      <w:lang w:val="en-GB"/>
                    </w:rPr>
                    <w:t xml:space="preserve"> </w:t>
                  </w:r>
                </w:p>
                <w:p w:rsidR="00E53316" w:rsidRDefault="00E53316" w:rsidP="00451337">
                  <w:pPr>
                    <w:spacing w:after="0"/>
                    <w:rPr>
                      <w:sz w:val="20"/>
                      <w:lang w:val="en-GB"/>
                    </w:rPr>
                  </w:pPr>
                </w:p>
                <w:p w:rsidR="00E53316" w:rsidRPr="001F71B8" w:rsidRDefault="00E53316" w:rsidP="00451337">
                  <w:pPr>
                    <w:spacing w:after="0"/>
                    <w:rPr>
                      <w:b/>
                      <w:i/>
                      <w:sz w:val="20"/>
                      <w:lang w:val="en-GB"/>
                    </w:rPr>
                  </w:pPr>
                  <w:r w:rsidRPr="001F71B8">
                    <w:rPr>
                      <w:b/>
                      <w:i/>
                      <w:sz w:val="20"/>
                      <w:lang w:val="en-GB"/>
                    </w:rPr>
                    <w:t>Academic Ranking of World Universities (produced by Shanghai Jiao Tong University)</w:t>
                  </w:r>
                </w:p>
                <w:p w:rsidR="00E53316" w:rsidRDefault="00E53316" w:rsidP="00451337">
                  <w:pPr>
                    <w:spacing w:after="0"/>
                    <w:rPr>
                      <w:sz w:val="20"/>
                      <w:lang w:val="en-GB"/>
                    </w:rPr>
                  </w:pPr>
                  <w:r>
                    <w:rPr>
                      <w:sz w:val="20"/>
                      <w:lang w:val="en-GB"/>
                    </w:rPr>
                    <w:t xml:space="preserve">Uses weighted system comprising four factors: quality of faculty, quality of education, research output and size of institution </w:t>
                  </w:r>
                </w:p>
                <w:p w:rsidR="00E53316" w:rsidRDefault="00E53316" w:rsidP="00451337">
                  <w:pPr>
                    <w:spacing w:after="0"/>
                    <w:rPr>
                      <w:sz w:val="20"/>
                      <w:lang w:val="en-GB"/>
                    </w:rPr>
                  </w:pPr>
                  <w:hyperlink r:id="rId7" w:history="1">
                    <w:r w:rsidRPr="002628FA">
                      <w:rPr>
                        <w:rStyle w:val="Hyperlink"/>
                        <w:sz w:val="20"/>
                        <w:lang w:val="en-GB"/>
                      </w:rPr>
                      <w:t>http://ed.sjtu.edu.cn/ranking.htm</w:t>
                    </w:r>
                  </w:hyperlink>
                  <w:r>
                    <w:rPr>
                      <w:sz w:val="20"/>
                      <w:lang w:val="en-GB"/>
                    </w:rPr>
                    <w:t xml:space="preserve"> </w:t>
                  </w:r>
                </w:p>
                <w:p w:rsidR="00E53316" w:rsidRDefault="00E53316" w:rsidP="00451337">
                  <w:pPr>
                    <w:spacing w:after="0"/>
                    <w:rPr>
                      <w:sz w:val="20"/>
                      <w:lang w:val="en-GB"/>
                    </w:rPr>
                  </w:pPr>
                </w:p>
                <w:p w:rsidR="00E53316" w:rsidRDefault="00E53316">
                  <w:pPr>
                    <w:rPr>
                      <w:lang w:val="en-GB"/>
                    </w:rPr>
                  </w:pPr>
                </w:p>
                <w:p w:rsidR="00E53316" w:rsidRPr="009D20A1" w:rsidRDefault="00E53316">
                  <w:pPr>
                    <w:rPr>
                      <w:lang w:val="en-GB"/>
                    </w:rPr>
                  </w:pPr>
                </w:p>
              </w:txbxContent>
            </v:textbox>
            <w10:wrap type="tight"/>
          </v:shape>
        </w:pict>
      </w:r>
      <w:r w:rsidR="001E5D8F">
        <w:rPr>
          <w:noProof/>
        </w:rPr>
        <w:t>For</w:t>
      </w:r>
      <w:r w:rsidR="001E5D8F">
        <w:rPr>
          <w:lang w:val="en-GB"/>
        </w:rPr>
        <w:t xml:space="preserve"> instanc</w:t>
      </w:r>
      <w:r w:rsidR="00CB7E06">
        <w:rPr>
          <w:lang w:val="en-GB"/>
        </w:rPr>
        <w:t xml:space="preserve">e, </w:t>
      </w:r>
      <w:r w:rsidR="000C68E3">
        <w:rPr>
          <w:lang w:val="en-GB"/>
        </w:rPr>
        <w:t xml:space="preserve">there </w:t>
      </w:r>
      <w:r w:rsidR="001E5D8F">
        <w:rPr>
          <w:lang w:val="en-GB"/>
        </w:rPr>
        <w:t>exist</w:t>
      </w:r>
      <w:r w:rsidR="000C68E3">
        <w:rPr>
          <w:lang w:val="en-GB"/>
        </w:rPr>
        <w:t xml:space="preserve"> several university-ranking services</w:t>
      </w:r>
      <w:r w:rsidR="00CB7E06">
        <w:rPr>
          <w:lang w:val="en-GB"/>
        </w:rPr>
        <w:t>, each based on a different metric,</w:t>
      </w:r>
      <w:r w:rsidR="000C68E3">
        <w:rPr>
          <w:lang w:val="en-GB"/>
        </w:rPr>
        <w:t xml:space="preserve"> provided on a free-to-use Web access model (see </w:t>
      </w:r>
      <w:proofErr w:type="spellStart"/>
      <w:r w:rsidR="000C68E3">
        <w:rPr>
          <w:lang w:val="en-GB"/>
        </w:rPr>
        <w:t>sidebox</w:t>
      </w:r>
      <w:proofErr w:type="spellEnd"/>
      <w:r w:rsidR="009D20A1">
        <w:rPr>
          <w:lang w:val="en-GB"/>
        </w:rPr>
        <w:t>, left</w:t>
      </w:r>
      <w:r w:rsidR="00C267B4">
        <w:rPr>
          <w:lang w:val="en-GB"/>
        </w:rPr>
        <w:t>, for the main two services</w:t>
      </w:r>
      <w:r w:rsidR="000C68E3">
        <w:rPr>
          <w:lang w:val="en-GB"/>
        </w:rPr>
        <w:t>)</w:t>
      </w:r>
      <w:r w:rsidR="00CB7E06">
        <w:rPr>
          <w:lang w:val="en-GB"/>
        </w:rPr>
        <w:t>. Given access to a reasonably comprehensive citation database, such players – and others – may rise to the challenge of dev</w:t>
      </w:r>
      <w:r w:rsidR="009D20A1">
        <w:rPr>
          <w:lang w:val="en-GB"/>
        </w:rPr>
        <w:t xml:space="preserve">eloping appropriate metrics and rankings, plus other types of serve based on the metrics, for the world’s research community. Some of these players will be existing commercial companies, perhaps some </w:t>
      </w:r>
      <w:r>
        <w:rPr>
          <w:lang w:val="en-GB"/>
        </w:rPr>
        <w:t xml:space="preserve">of them </w:t>
      </w:r>
      <w:r w:rsidR="009D20A1">
        <w:rPr>
          <w:lang w:val="en-GB"/>
        </w:rPr>
        <w:t>scholarly publishers themselves: others will be within the research community itself or new start-ups, and a variety of business models</w:t>
      </w:r>
      <w:r w:rsidR="00CB7E06">
        <w:rPr>
          <w:lang w:val="en-GB"/>
        </w:rPr>
        <w:t xml:space="preserve"> </w:t>
      </w:r>
      <w:r w:rsidR="009D20A1">
        <w:rPr>
          <w:lang w:val="en-GB"/>
        </w:rPr>
        <w:t>can be expected.</w:t>
      </w:r>
    </w:p>
    <w:p w:rsidR="00D926BA" w:rsidRDefault="00D926BA" w:rsidP="00904C79">
      <w:pPr>
        <w:spacing w:after="0"/>
        <w:rPr>
          <w:lang w:val="en-GB"/>
        </w:rPr>
      </w:pPr>
    </w:p>
    <w:p w:rsidR="00D926BA" w:rsidRDefault="009D20A1" w:rsidP="00904C79">
      <w:pPr>
        <w:spacing w:after="0"/>
        <w:rPr>
          <w:lang w:val="en-GB"/>
        </w:rPr>
      </w:pPr>
      <w:r>
        <w:rPr>
          <w:lang w:val="en-GB"/>
        </w:rPr>
        <w:t>Meanwhile, v</w:t>
      </w:r>
      <w:r w:rsidR="005D5AE7">
        <w:rPr>
          <w:lang w:val="en-GB"/>
        </w:rPr>
        <w:t xml:space="preserve">arious projects are </w:t>
      </w:r>
      <w:r>
        <w:rPr>
          <w:lang w:val="en-GB"/>
        </w:rPr>
        <w:t>already attempting to study stakeholder</w:t>
      </w:r>
      <w:r w:rsidR="005D5AE7">
        <w:rPr>
          <w:lang w:val="en-GB"/>
        </w:rPr>
        <w:t xml:space="preserve"> </w:t>
      </w:r>
      <w:r>
        <w:rPr>
          <w:lang w:val="en-GB"/>
        </w:rPr>
        <w:t>requirements</w:t>
      </w:r>
      <w:r w:rsidR="005D5AE7">
        <w:rPr>
          <w:lang w:val="en-GB"/>
        </w:rPr>
        <w:t xml:space="preserve"> and develop metrics that can be applied in different situations. For example, the EU-funded EERQI project (European Education Research Quality Indicators)</w:t>
      </w:r>
      <w:r w:rsidR="005D5AE7">
        <w:rPr>
          <w:rStyle w:val="FootnoteReference"/>
          <w:lang w:val="en-GB"/>
        </w:rPr>
        <w:footnoteReference w:id="2"/>
      </w:r>
      <w:r w:rsidR="005D5AE7">
        <w:rPr>
          <w:lang w:val="en-GB"/>
        </w:rPr>
        <w:t xml:space="preserve"> has recently begun, aiming to develop markers and indicators of quality for education research</w:t>
      </w:r>
      <w:r w:rsidR="005D5AE7" w:rsidRPr="00B07170">
        <w:rPr>
          <w:lang w:val="en-GB"/>
        </w:rPr>
        <w:t xml:space="preserve">.  </w:t>
      </w:r>
      <w:r w:rsidR="00D926BA" w:rsidRPr="00B07170">
        <w:rPr>
          <w:lang w:val="en-GB"/>
        </w:rPr>
        <w:t xml:space="preserve">The British Academy published a report last year </w:t>
      </w:r>
      <w:r w:rsidR="00B07170">
        <w:rPr>
          <w:lang w:val="en-GB"/>
        </w:rPr>
        <w:t>on peer review in the humanities and social sciences that contains a chapter addressing the issue of appropriate metrics in these disciplines</w:t>
      </w:r>
      <w:r w:rsidR="00B07170">
        <w:rPr>
          <w:rStyle w:val="FootnoteReference"/>
          <w:lang w:val="en-GB"/>
        </w:rPr>
        <w:footnoteReference w:id="3"/>
      </w:r>
      <w:r w:rsidR="00B07170">
        <w:rPr>
          <w:lang w:val="en-GB"/>
        </w:rPr>
        <w:t xml:space="preserve"> and has followed up with a consultation exercise this year. These are just examples of many activities </w:t>
      </w:r>
      <w:r w:rsidR="00C267B4">
        <w:rPr>
          <w:lang w:val="en-GB"/>
        </w:rPr>
        <w:t xml:space="preserve">currently underway </w:t>
      </w:r>
      <w:r w:rsidR="00B07170">
        <w:rPr>
          <w:lang w:val="en-GB"/>
        </w:rPr>
        <w:t>on this front as new research assessment frameworks are developed in the UK</w:t>
      </w:r>
      <w:r w:rsidR="000D127C">
        <w:rPr>
          <w:rStyle w:val="FootnoteReference"/>
          <w:lang w:val="en-GB"/>
        </w:rPr>
        <w:footnoteReference w:id="4"/>
      </w:r>
      <w:r w:rsidR="000D127C">
        <w:rPr>
          <w:lang w:val="en-GB"/>
        </w:rPr>
        <w:t xml:space="preserve"> and Australia</w:t>
      </w:r>
      <w:r w:rsidR="000D127C">
        <w:rPr>
          <w:rStyle w:val="FootnoteReference"/>
          <w:lang w:val="en-GB"/>
        </w:rPr>
        <w:footnoteReference w:id="5"/>
      </w:r>
      <w:r w:rsidR="000D127C">
        <w:rPr>
          <w:lang w:val="en-GB"/>
        </w:rPr>
        <w:t>.</w:t>
      </w:r>
    </w:p>
    <w:p w:rsidR="00E53316" w:rsidRDefault="00E53316" w:rsidP="00904C79">
      <w:pPr>
        <w:spacing w:after="0"/>
        <w:rPr>
          <w:lang w:val="en-GB"/>
        </w:rPr>
      </w:pPr>
    </w:p>
    <w:p w:rsidR="001410AF" w:rsidRDefault="001410AF" w:rsidP="001410AF">
      <w:pPr>
        <w:spacing w:after="0"/>
        <w:rPr>
          <w:lang w:val="en-GB"/>
        </w:rPr>
      </w:pPr>
      <w:r>
        <w:rPr>
          <w:lang w:val="en-GB"/>
        </w:rPr>
        <w:t xml:space="preserve">A number of tools are already built that can deliver citation-based rankings and other metrics based on citation analysis of Open Access content. The main ones are </w:t>
      </w:r>
      <w:proofErr w:type="spellStart"/>
      <w:r>
        <w:rPr>
          <w:lang w:val="en-GB"/>
        </w:rPr>
        <w:t>Citebase</w:t>
      </w:r>
      <w:proofErr w:type="spellEnd"/>
      <w:r>
        <w:rPr>
          <w:rStyle w:val="FootnoteReference"/>
          <w:lang w:val="en-GB"/>
        </w:rPr>
        <w:footnoteReference w:id="6"/>
      </w:r>
      <w:r>
        <w:rPr>
          <w:lang w:val="en-GB"/>
        </w:rPr>
        <w:t xml:space="preserve"> (currently working on </w:t>
      </w:r>
      <w:proofErr w:type="spellStart"/>
      <w:r>
        <w:rPr>
          <w:lang w:val="en-GB"/>
        </w:rPr>
        <w:t>arXiv</w:t>
      </w:r>
      <w:proofErr w:type="spellEnd"/>
      <w:r>
        <w:rPr>
          <w:lang w:val="en-GB"/>
        </w:rPr>
        <w:t xml:space="preserve">), </w:t>
      </w:r>
      <w:proofErr w:type="spellStart"/>
      <w:r>
        <w:rPr>
          <w:lang w:val="en-GB"/>
        </w:rPr>
        <w:t>Citeseer</w:t>
      </w:r>
      <w:proofErr w:type="spellEnd"/>
      <w:r>
        <w:rPr>
          <w:rStyle w:val="FootnoteReference"/>
          <w:lang w:val="en-GB"/>
        </w:rPr>
        <w:footnoteReference w:id="7"/>
      </w:r>
      <w:r>
        <w:rPr>
          <w:lang w:val="en-GB"/>
        </w:rPr>
        <w:t xml:space="preserve"> (currently working on the Open Access computer science literature) and </w:t>
      </w:r>
      <w:proofErr w:type="spellStart"/>
      <w:r>
        <w:rPr>
          <w:lang w:val="en-GB"/>
        </w:rPr>
        <w:t>CitEc</w:t>
      </w:r>
      <w:proofErr w:type="spellEnd"/>
      <w:r>
        <w:rPr>
          <w:rStyle w:val="FootnoteReference"/>
          <w:lang w:val="en-GB"/>
        </w:rPr>
        <w:footnoteReference w:id="8"/>
      </w:r>
      <w:r>
        <w:rPr>
          <w:lang w:val="en-GB"/>
        </w:rPr>
        <w:t xml:space="preserve"> (working on the </w:t>
      </w:r>
      <w:proofErr w:type="spellStart"/>
      <w:r>
        <w:rPr>
          <w:lang w:val="en-GB"/>
        </w:rPr>
        <w:t>Repec</w:t>
      </w:r>
      <w:proofErr w:type="spellEnd"/>
      <w:r>
        <w:rPr>
          <w:lang w:val="en-GB"/>
        </w:rPr>
        <w:t xml:space="preserve"> Open Access economics database).</w:t>
      </w:r>
    </w:p>
    <w:p w:rsidR="00D926BA" w:rsidRDefault="00D926BA" w:rsidP="00904C79">
      <w:pPr>
        <w:spacing w:after="0"/>
        <w:rPr>
          <w:lang w:val="en-GB"/>
        </w:rPr>
      </w:pPr>
    </w:p>
    <w:p w:rsidR="00D926BA" w:rsidRPr="001410AF" w:rsidRDefault="002F560C" w:rsidP="00D926BA">
      <w:pPr>
        <w:spacing w:after="0"/>
        <w:rPr>
          <w:b/>
          <w:color w:val="365F91" w:themeColor="accent1" w:themeShade="BF"/>
          <w:sz w:val="26"/>
          <w:lang w:val="en-GB"/>
        </w:rPr>
      </w:pPr>
      <w:r w:rsidRPr="001410AF">
        <w:rPr>
          <w:b/>
          <w:color w:val="365F91" w:themeColor="accent1" w:themeShade="BF"/>
          <w:sz w:val="26"/>
          <w:lang w:val="en-GB"/>
        </w:rPr>
        <w:t xml:space="preserve">vi.   </w:t>
      </w:r>
      <w:r w:rsidR="00D926BA" w:rsidRPr="001410AF">
        <w:rPr>
          <w:b/>
          <w:color w:val="365F91" w:themeColor="accent1" w:themeShade="BF"/>
          <w:sz w:val="26"/>
          <w:lang w:val="en-GB"/>
        </w:rPr>
        <w:t>Author identification and other</w:t>
      </w:r>
      <w:r w:rsidR="00A614CD" w:rsidRPr="001410AF">
        <w:rPr>
          <w:b/>
          <w:color w:val="365F91" w:themeColor="accent1" w:themeShade="BF"/>
          <w:sz w:val="26"/>
          <w:lang w:val="en-GB"/>
        </w:rPr>
        <w:t xml:space="preserve"> technical issues</w:t>
      </w:r>
      <w:r w:rsidR="00D926BA" w:rsidRPr="001410AF">
        <w:rPr>
          <w:b/>
          <w:color w:val="365F91" w:themeColor="accent1" w:themeShade="BF"/>
          <w:sz w:val="26"/>
          <w:lang w:val="en-GB"/>
        </w:rPr>
        <w:t xml:space="preserve"> </w:t>
      </w:r>
      <w:r w:rsidR="00FE421E" w:rsidRPr="001410AF">
        <w:rPr>
          <w:b/>
          <w:color w:val="365F91" w:themeColor="accent1" w:themeShade="BF"/>
          <w:sz w:val="26"/>
          <w:lang w:val="en-GB"/>
        </w:rPr>
        <w:t xml:space="preserve"> </w:t>
      </w:r>
    </w:p>
    <w:p w:rsidR="00D926BA" w:rsidRDefault="00D926BA" w:rsidP="00D926BA">
      <w:pPr>
        <w:spacing w:after="0"/>
        <w:rPr>
          <w:lang w:val="en-GB"/>
        </w:rPr>
      </w:pPr>
      <w:r>
        <w:rPr>
          <w:lang w:val="en-GB"/>
        </w:rPr>
        <w:t xml:space="preserve">There are a </w:t>
      </w:r>
      <w:r w:rsidR="00A614CD">
        <w:rPr>
          <w:lang w:val="en-GB"/>
        </w:rPr>
        <w:t xml:space="preserve">number of technical issues </w:t>
      </w:r>
      <w:r>
        <w:rPr>
          <w:lang w:val="en-GB"/>
        </w:rPr>
        <w:t>pertain</w:t>
      </w:r>
      <w:r w:rsidR="00A614CD">
        <w:rPr>
          <w:lang w:val="en-GB"/>
        </w:rPr>
        <w:t>ing</w:t>
      </w:r>
      <w:r>
        <w:rPr>
          <w:lang w:val="en-GB"/>
        </w:rPr>
        <w:t xml:space="preserve"> to the development of metrics for measuring individual author performance. Not least of these is being able to identify individual authors satisfactorily. At present, the only really significant development in this area has been that in the Netherlands, a country </w:t>
      </w:r>
      <w:r w:rsidR="00A614CD">
        <w:rPr>
          <w:lang w:val="en-GB"/>
        </w:rPr>
        <w:t>that has had the foresight to establish</w:t>
      </w:r>
      <w:r>
        <w:rPr>
          <w:lang w:val="en-GB"/>
        </w:rPr>
        <w:t xml:space="preserve"> a national research activity database (METIS)</w:t>
      </w:r>
      <w:r w:rsidR="00084242">
        <w:rPr>
          <w:lang w:val="en-GB"/>
        </w:rPr>
        <w:t xml:space="preserve"> and to assign a unique personal number (digital author identifier, DAI) to every researcher employed by or affiliated to a Dutch university.</w:t>
      </w:r>
      <w:r>
        <w:rPr>
          <w:lang w:val="en-GB"/>
        </w:rPr>
        <w:t xml:space="preserve"> In every other situation author disambiguation remains a problem.  </w:t>
      </w:r>
      <w:r w:rsidR="00E53316">
        <w:rPr>
          <w:lang w:val="en-GB"/>
        </w:rPr>
        <w:t>It is something</w:t>
      </w:r>
      <w:r>
        <w:rPr>
          <w:lang w:val="en-GB"/>
        </w:rPr>
        <w:t xml:space="preserve"> </w:t>
      </w:r>
      <w:r w:rsidR="00084242">
        <w:rPr>
          <w:lang w:val="en-GB"/>
        </w:rPr>
        <w:t>with which</w:t>
      </w:r>
      <w:r>
        <w:rPr>
          <w:lang w:val="en-GB"/>
        </w:rPr>
        <w:t xml:space="preserve"> Thomson ISI (and, presumably, Scopu</w:t>
      </w:r>
      <w:r w:rsidR="00084242">
        <w:rPr>
          <w:lang w:val="en-GB"/>
        </w:rPr>
        <w:t>s) has wrestled</w:t>
      </w:r>
      <w:r>
        <w:rPr>
          <w:lang w:val="en-GB"/>
        </w:rPr>
        <w:t xml:space="preserve"> but no satisfactory solution has emanated so far from commercial database producers. </w:t>
      </w:r>
    </w:p>
    <w:p w:rsidR="00D926BA" w:rsidRDefault="00D926BA" w:rsidP="00D926BA">
      <w:pPr>
        <w:spacing w:after="0"/>
        <w:rPr>
          <w:lang w:val="en-GB"/>
        </w:rPr>
      </w:pPr>
    </w:p>
    <w:p w:rsidR="00D926BA" w:rsidRDefault="00D926BA" w:rsidP="00D926BA">
      <w:pPr>
        <w:spacing w:after="0"/>
        <w:rPr>
          <w:lang w:val="en-GB"/>
        </w:rPr>
      </w:pPr>
      <w:r>
        <w:rPr>
          <w:lang w:val="en-GB"/>
        </w:rPr>
        <w:t xml:space="preserve">Individual institutional repositories can disambiguate authors within the institution, usually by means of a system based upon unique identifiers referenced against an institutional personnel database. </w:t>
      </w:r>
    </w:p>
    <w:p w:rsidR="00FE421E" w:rsidRDefault="00FE421E" w:rsidP="00904C79">
      <w:pPr>
        <w:spacing w:after="0"/>
        <w:rPr>
          <w:lang w:val="en-GB"/>
        </w:rPr>
      </w:pPr>
    </w:p>
    <w:p w:rsidR="00FE421E" w:rsidRPr="001410AF" w:rsidRDefault="00FE421E" w:rsidP="00904C79">
      <w:pPr>
        <w:spacing w:after="0"/>
        <w:rPr>
          <w:b/>
          <w:color w:val="365F91" w:themeColor="accent1" w:themeShade="BF"/>
          <w:sz w:val="26"/>
          <w:lang w:val="en-GB"/>
        </w:rPr>
      </w:pPr>
      <w:r w:rsidRPr="001410AF">
        <w:rPr>
          <w:b/>
          <w:color w:val="365F91" w:themeColor="accent1" w:themeShade="BF"/>
          <w:sz w:val="26"/>
          <w:lang w:val="en-GB"/>
        </w:rPr>
        <w:t>vii.   Usage indicators</w:t>
      </w:r>
    </w:p>
    <w:p w:rsidR="00FE421E" w:rsidRDefault="00FE421E" w:rsidP="00904C79">
      <w:pPr>
        <w:spacing w:after="0"/>
        <w:rPr>
          <w:lang w:val="en-GB"/>
        </w:rPr>
      </w:pPr>
      <w:r>
        <w:rPr>
          <w:lang w:val="en-GB"/>
        </w:rPr>
        <w:t>The possibility of complementing citation analysis with a usage statistics service is a future option. COUNTER has established codes of practice with respect to how vendors report usage, standardising this reporting so that libraries and publishers can make full use of the data for comparative analysis.</w:t>
      </w:r>
    </w:p>
    <w:p w:rsidR="00FE421E" w:rsidRDefault="00FE421E" w:rsidP="00904C79">
      <w:pPr>
        <w:spacing w:after="0"/>
        <w:rPr>
          <w:lang w:val="en-GB"/>
        </w:rPr>
      </w:pPr>
    </w:p>
    <w:p w:rsidR="00FE421E" w:rsidRDefault="00FE421E" w:rsidP="00904C79">
      <w:pPr>
        <w:spacing w:after="0"/>
        <w:rPr>
          <w:lang w:val="en-GB"/>
        </w:rPr>
      </w:pPr>
      <w:r>
        <w:rPr>
          <w:lang w:val="en-GB"/>
        </w:rPr>
        <w:t>Many institutional repositories are also collecting data on usage, reporting on downloads and other factors such as where usage is coming from and referral patterns.</w:t>
      </w:r>
    </w:p>
    <w:p w:rsidR="00FE421E" w:rsidRDefault="00FE421E" w:rsidP="00904C79">
      <w:pPr>
        <w:spacing w:after="0"/>
        <w:rPr>
          <w:lang w:val="en-GB"/>
        </w:rPr>
      </w:pPr>
    </w:p>
    <w:p w:rsidR="00E07D8E" w:rsidRDefault="00FE421E" w:rsidP="00904C79">
      <w:pPr>
        <w:spacing w:after="0"/>
        <w:rPr>
          <w:lang w:val="en-GB"/>
        </w:rPr>
      </w:pPr>
      <w:r>
        <w:rPr>
          <w:lang w:val="en-GB"/>
        </w:rPr>
        <w:t xml:space="preserve">The </w:t>
      </w:r>
      <w:r w:rsidR="00E07D8E">
        <w:rPr>
          <w:lang w:val="en-GB"/>
        </w:rPr>
        <w:t xml:space="preserve">promise, therefore, is of a </w:t>
      </w:r>
      <w:r>
        <w:rPr>
          <w:lang w:val="en-GB"/>
        </w:rPr>
        <w:t xml:space="preserve">future aggregation of </w:t>
      </w:r>
      <w:r w:rsidR="00E07D8E">
        <w:rPr>
          <w:lang w:val="en-GB"/>
        </w:rPr>
        <w:t>publisher and repository</w:t>
      </w:r>
      <w:r>
        <w:rPr>
          <w:lang w:val="en-GB"/>
        </w:rPr>
        <w:t xml:space="preserve"> reporting servic</w:t>
      </w:r>
      <w:r w:rsidR="00E07D8E">
        <w:rPr>
          <w:lang w:val="en-GB"/>
        </w:rPr>
        <w:t xml:space="preserve">es to provide a single point of reference. This is already being investigated on a project basis through a JISC-funded project involving COUNTER and </w:t>
      </w:r>
      <w:proofErr w:type="spellStart"/>
      <w:r w:rsidR="00E07D8E">
        <w:rPr>
          <w:lang w:val="en-GB"/>
        </w:rPr>
        <w:t>Cranfield</w:t>
      </w:r>
      <w:proofErr w:type="spellEnd"/>
      <w:r w:rsidR="00E07D8E">
        <w:rPr>
          <w:lang w:val="en-GB"/>
        </w:rPr>
        <w:t xml:space="preserve"> University</w:t>
      </w:r>
      <w:r w:rsidR="00E53316">
        <w:rPr>
          <w:lang w:val="en-GB"/>
        </w:rPr>
        <w:t xml:space="preserve"> as project partners</w:t>
      </w:r>
      <w:r w:rsidR="00E07D8E">
        <w:rPr>
          <w:lang w:val="en-GB"/>
        </w:rPr>
        <w:t>. The findings from that project may pave the way for developments in this area.</w:t>
      </w:r>
    </w:p>
    <w:p w:rsidR="00376489" w:rsidRDefault="00376489" w:rsidP="00904C79">
      <w:pPr>
        <w:spacing w:after="0"/>
        <w:rPr>
          <w:lang w:val="en-GB"/>
        </w:rPr>
      </w:pPr>
    </w:p>
    <w:p w:rsidR="005D5AE7" w:rsidRPr="00C267B4" w:rsidRDefault="005D5AE7" w:rsidP="00904C79">
      <w:pPr>
        <w:spacing w:after="0"/>
        <w:rPr>
          <w:b/>
          <w:color w:val="365F91" w:themeColor="accent1" w:themeShade="BF"/>
          <w:lang w:val="en-GB"/>
        </w:rPr>
      </w:pPr>
    </w:p>
    <w:p w:rsidR="002F560C" w:rsidRPr="002F560C" w:rsidRDefault="002F560C" w:rsidP="00904C79">
      <w:pPr>
        <w:spacing w:after="0"/>
        <w:rPr>
          <w:b/>
          <w:color w:val="365F91" w:themeColor="accent1" w:themeShade="BF"/>
          <w:sz w:val="30"/>
          <w:lang w:val="en-GB"/>
        </w:rPr>
      </w:pPr>
      <w:r w:rsidRPr="002F560C">
        <w:rPr>
          <w:b/>
          <w:color w:val="365F91" w:themeColor="accent1" w:themeShade="BF"/>
          <w:sz w:val="30"/>
          <w:lang w:val="en-GB"/>
        </w:rPr>
        <w:t>C.   Aims</w:t>
      </w:r>
      <w:r w:rsidR="00103F2A">
        <w:rPr>
          <w:b/>
          <w:color w:val="365F91" w:themeColor="accent1" w:themeShade="BF"/>
          <w:sz w:val="30"/>
          <w:lang w:val="en-GB"/>
        </w:rPr>
        <w:t xml:space="preserve"> for the source database</w:t>
      </w:r>
    </w:p>
    <w:p w:rsidR="002F560C" w:rsidRDefault="002F560C" w:rsidP="00904C79">
      <w:pPr>
        <w:spacing w:after="0"/>
        <w:rPr>
          <w:lang w:val="en-GB"/>
        </w:rPr>
      </w:pPr>
    </w:p>
    <w:p w:rsidR="002F560C" w:rsidRDefault="00376489" w:rsidP="00904C79">
      <w:pPr>
        <w:spacing w:after="0"/>
        <w:rPr>
          <w:lang w:val="en-GB"/>
        </w:rPr>
      </w:pPr>
      <w:r>
        <w:rPr>
          <w:lang w:val="en-GB"/>
        </w:rPr>
        <w:t>The aims in</w:t>
      </w:r>
      <w:r w:rsidR="002F560C">
        <w:rPr>
          <w:lang w:val="en-GB"/>
        </w:rPr>
        <w:t xml:space="preserve"> compiling a database of citation data for the purpose of developing new metrics are</w:t>
      </w:r>
      <w:r>
        <w:rPr>
          <w:lang w:val="en-GB"/>
        </w:rPr>
        <w:t xml:space="preserve"> that it should</w:t>
      </w:r>
      <w:r w:rsidR="002F560C">
        <w:rPr>
          <w:lang w:val="en-GB"/>
        </w:rPr>
        <w:t>:</w:t>
      </w:r>
    </w:p>
    <w:p w:rsidR="00376489" w:rsidRDefault="00376489" w:rsidP="00376489">
      <w:pPr>
        <w:pStyle w:val="ListBullet"/>
        <w:rPr>
          <w:lang w:val="en-GB"/>
        </w:rPr>
      </w:pPr>
      <w:proofErr w:type="gramStart"/>
      <w:r>
        <w:rPr>
          <w:lang w:val="en-GB"/>
        </w:rPr>
        <w:t>be</w:t>
      </w:r>
      <w:proofErr w:type="gramEnd"/>
      <w:r>
        <w:rPr>
          <w:lang w:val="en-GB"/>
        </w:rPr>
        <w:t xml:space="preserve"> </w:t>
      </w:r>
      <w:r w:rsidR="002D046B">
        <w:rPr>
          <w:lang w:val="en-GB"/>
        </w:rPr>
        <w:t>an Open Access citation database</w:t>
      </w:r>
      <w:r>
        <w:rPr>
          <w:lang w:val="en-GB"/>
        </w:rPr>
        <w:t>: the intent is to produce a database that any player can use to develop metrics or rankings</w:t>
      </w:r>
      <w:r w:rsidR="00D43EA7">
        <w:rPr>
          <w:lang w:val="en-GB"/>
        </w:rPr>
        <w:t xml:space="preserve">, or to carry out </w:t>
      </w:r>
      <w:proofErr w:type="spellStart"/>
      <w:r w:rsidR="00D43EA7">
        <w:rPr>
          <w:lang w:val="en-GB"/>
        </w:rPr>
        <w:t>bibliometric</w:t>
      </w:r>
      <w:proofErr w:type="spellEnd"/>
      <w:r w:rsidR="00D43EA7">
        <w:rPr>
          <w:lang w:val="en-GB"/>
        </w:rPr>
        <w:t xml:space="preserve"> research</w:t>
      </w:r>
    </w:p>
    <w:p w:rsidR="00376489" w:rsidRDefault="00376489" w:rsidP="00376489">
      <w:pPr>
        <w:pStyle w:val="ListBullet"/>
        <w:rPr>
          <w:lang w:val="en-GB"/>
        </w:rPr>
      </w:pPr>
      <w:proofErr w:type="gramStart"/>
      <w:r>
        <w:rPr>
          <w:lang w:val="en-GB"/>
        </w:rPr>
        <w:t>minimally</w:t>
      </w:r>
      <w:proofErr w:type="gramEnd"/>
      <w:r>
        <w:rPr>
          <w:lang w:val="en-GB"/>
        </w:rPr>
        <w:t>, provide citation data</w:t>
      </w:r>
    </w:p>
    <w:p w:rsidR="002D046B" w:rsidRDefault="00376489" w:rsidP="00376489">
      <w:pPr>
        <w:pStyle w:val="ListBullet"/>
        <w:rPr>
          <w:lang w:val="en-GB"/>
        </w:rPr>
      </w:pPr>
      <w:proofErr w:type="gramStart"/>
      <w:r>
        <w:rPr>
          <w:lang w:val="en-GB"/>
        </w:rPr>
        <w:t>optimally</w:t>
      </w:r>
      <w:proofErr w:type="gramEnd"/>
      <w:r>
        <w:rPr>
          <w:lang w:val="en-GB"/>
        </w:rPr>
        <w:t>, provide full-text content so that indicators using data contained in the text may also be developed</w:t>
      </w:r>
      <w:r w:rsidR="00D43EA7">
        <w:rPr>
          <w:lang w:val="en-GB"/>
        </w:rPr>
        <w:t xml:space="preserve"> and </w:t>
      </w:r>
      <w:proofErr w:type="spellStart"/>
      <w:r w:rsidR="00D43EA7">
        <w:rPr>
          <w:lang w:val="en-GB"/>
        </w:rPr>
        <w:t>bibliometricians</w:t>
      </w:r>
      <w:proofErr w:type="spellEnd"/>
      <w:r w:rsidR="00D43EA7">
        <w:rPr>
          <w:lang w:val="en-GB"/>
        </w:rPr>
        <w:t xml:space="preserve"> can exploit the data to study research trends and other characteristics</w:t>
      </w:r>
    </w:p>
    <w:p w:rsidR="00D43EA7" w:rsidRDefault="00D43EA7" w:rsidP="00376489">
      <w:pPr>
        <w:pStyle w:val="ListBullet"/>
        <w:rPr>
          <w:lang w:val="en-GB"/>
        </w:rPr>
      </w:pPr>
      <w:proofErr w:type="gramStart"/>
      <w:r>
        <w:rPr>
          <w:lang w:val="en-GB"/>
        </w:rPr>
        <w:t>be</w:t>
      </w:r>
      <w:proofErr w:type="gramEnd"/>
      <w:r>
        <w:rPr>
          <w:lang w:val="en-GB"/>
        </w:rPr>
        <w:t xml:space="preserve"> </w:t>
      </w:r>
      <w:r w:rsidR="002D046B">
        <w:rPr>
          <w:lang w:val="en-GB"/>
        </w:rPr>
        <w:t>as comprehensive as possible, combining data from all relevant sources</w:t>
      </w:r>
      <w:r w:rsidR="00376489">
        <w:rPr>
          <w:lang w:val="en-GB"/>
        </w:rPr>
        <w:t>: the sources that must be included are</w:t>
      </w:r>
      <w:r>
        <w:rPr>
          <w:lang w:val="en-GB"/>
        </w:rPr>
        <w:t>:</w:t>
      </w:r>
    </w:p>
    <w:p w:rsidR="00D43EA7" w:rsidRDefault="00D43EA7" w:rsidP="00D43EA7">
      <w:pPr>
        <w:pStyle w:val="ListBullet"/>
        <w:tabs>
          <w:tab w:val="clear" w:pos="360"/>
          <w:tab w:val="num" w:pos="720"/>
        </w:tabs>
        <w:ind w:left="720"/>
        <w:rPr>
          <w:lang w:val="en-GB"/>
        </w:rPr>
      </w:pPr>
      <w:proofErr w:type="gramStart"/>
      <w:r>
        <w:rPr>
          <w:lang w:val="en-GB"/>
        </w:rPr>
        <w:t>data</w:t>
      </w:r>
      <w:proofErr w:type="gramEnd"/>
      <w:r>
        <w:rPr>
          <w:lang w:val="en-GB"/>
        </w:rPr>
        <w:t xml:space="preserve"> from Closed Access publishers </w:t>
      </w:r>
    </w:p>
    <w:p w:rsidR="00C267B4" w:rsidRDefault="00D43EA7" w:rsidP="00D43EA7">
      <w:pPr>
        <w:pStyle w:val="ListBullet"/>
        <w:tabs>
          <w:tab w:val="clear" w:pos="360"/>
          <w:tab w:val="num" w:pos="720"/>
        </w:tabs>
        <w:ind w:left="720"/>
        <w:rPr>
          <w:lang w:val="en-GB"/>
        </w:rPr>
      </w:pPr>
      <w:proofErr w:type="gramStart"/>
      <w:r>
        <w:rPr>
          <w:lang w:val="en-GB"/>
        </w:rPr>
        <w:t>data</w:t>
      </w:r>
      <w:proofErr w:type="gramEnd"/>
      <w:r>
        <w:rPr>
          <w:lang w:val="en-GB"/>
        </w:rPr>
        <w:t xml:space="preserve"> from all Open Access sources – subject repositories, institutional repositories and Open Access publisher databases</w:t>
      </w:r>
    </w:p>
    <w:p w:rsidR="002D046B" w:rsidRDefault="00E07D8E" w:rsidP="00F21A5E">
      <w:pPr>
        <w:pStyle w:val="ListBullet"/>
        <w:spacing w:after="0"/>
        <w:rPr>
          <w:lang w:val="en-GB"/>
        </w:rPr>
      </w:pPr>
      <w:proofErr w:type="gramStart"/>
      <w:r>
        <w:rPr>
          <w:lang w:val="en-GB"/>
        </w:rPr>
        <w:t>be</w:t>
      </w:r>
      <w:proofErr w:type="gramEnd"/>
      <w:r>
        <w:rPr>
          <w:lang w:val="en-GB"/>
        </w:rPr>
        <w:t xml:space="preserve"> current;</w:t>
      </w:r>
      <w:r w:rsidR="00F21A5E">
        <w:rPr>
          <w:lang w:val="en-GB"/>
        </w:rPr>
        <w:t xml:space="preserve"> that is, provide data immediately without an embargo period</w:t>
      </w:r>
    </w:p>
    <w:p w:rsidR="00F21A5E" w:rsidRDefault="00F21A5E" w:rsidP="00F21A5E">
      <w:pPr>
        <w:spacing w:after="0"/>
        <w:rPr>
          <w:lang w:val="en-GB"/>
        </w:rPr>
      </w:pPr>
    </w:p>
    <w:p w:rsidR="005C5B50" w:rsidRDefault="005C5B50" w:rsidP="00F21A5E">
      <w:pPr>
        <w:spacing w:after="0"/>
        <w:rPr>
          <w:lang w:val="en-GB"/>
        </w:rPr>
      </w:pPr>
    </w:p>
    <w:p w:rsidR="002D046B" w:rsidRPr="005C5B50" w:rsidRDefault="005C5B50" w:rsidP="00904C79">
      <w:pPr>
        <w:spacing w:after="0"/>
        <w:rPr>
          <w:b/>
          <w:color w:val="365F91" w:themeColor="accent1" w:themeShade="BF"/>
          <w:sz w:val="30"/>
          <w:lang w:val="en-GB"/>
        </w:rPr>
      </w:pPr>
      <w:r>
        <w:rPr>
          <w:b/>
          <w:color w:val="365F91" w:themeColor="accent1" w:themeShade="BF"/>
          <w:sz w:val="30"/>
          <w:lang w:val="en-GB"/>
        </w:rPr>
        <w:t xml:space="preserve">D.   </w:t>
      </w:r>
      <w:r w:rsidRPr="005C5B50">
        <w:rPr>
          <w:b/>
          <w:color w:val="365F91" w:themeColor="accent1" w:themeShade="BF"/>
          <w:sz w:val="30"/>
          <w:lang w:val="en-GB"/>
        </w:rPr>
        <w:t>Possible solutions</w:t>
      </w:r>
    </w:p>
    <w:p w:rsidR="006B4BC3" w:rsidRDefault="006B4BC3" w:rsidP="00904C79">
      <w:pPr>
        <w:spacing w:after="0"/>
        <w:rPr>
          <w:lang w:val="en-GB"/>
        </w:rPr>
      </w:pPr>
      <w:r>
        <w:rPr>
          <w:lang w:val="en-GB"/>
        </w:rPr>
        <w:t>Two</w:t>
      </w:r>
      <w:r w:rsidR="005C5B50">
        <w:rPr>
          <w:lang w:val="en-GB"/>
        </w:rPr>
        <w:t xml:space="preserve"> </w:t>
      </w:r>
      <w:r w:rsidR="001429D4">
        <w:rPr>
          <w:lang w:val="en-GB"/>
        </w:rPr>
        <w:t xml:space="preserve">players with large collections of </w:t>
      </w:r>
      <w:r w:rsidR="00E53316">
        <w:rPr>
          <w:lang w:val="en-GB"/>
        </w:rPr>
        <w:t xml:space="preserve">current </w:t>
      </w:r>
      <w:r w:rsidR="001429D4">
        <w:rPr>
          <w:lang w:val="en-GB"/>
        </w:rPr>
        <w:t xml:space="preserve">citation data have so far been identified as </w:t>
      </w:r>
      <w:r w:rsidR="005C5B50">
        <w:rPr>
          <w:lang w:val="en-GB"/>
        </w:rPr>
        <w:t>possibl</w:t>
      </w:r>
      <w:r>
        <w:rPr>
          <w:lang w:val="en-GB"/>
        </w:rPr>
        <w:t xml:space="preserve">e solutions </w:t>
      </w:r>
      <w:r w:rsidR="001429D4">
        <w:rPr>
          <w:lang w:val="en-GB"/>
        </w:rPr>
        <w:t>from</w:t>
      </w:r>
      <w:r>
        <w:rPr>
          <w:lang w:val="en-GB"/>
        </w:rPr>
        <w:t xml:space="preserve"> discussions in the publisher group:</w:t>
      </w:r>
    </w:p>
    <w:p w:rsidR="006B4BC3" w:rsidRDefault="006B4BC3" w:rsidP="00904C79">
      <w:pPr>
        <w:spacing w:after="0"/>
        <w:rPr>
          <w:lang w:val="en-GB"/>
        </w:rPr>
      </w:pPr>
    </w:p>
    <w:p w:rsidR="006B4BC3" w:rsidRPr="001410AF" w:rsidRDefault="001410AF" w:rsidP="00904C79">
      <w:pPr>
        <w:spacing w:after="0"/>
        <w:rPr>
          <w:b/>
          <w:color w:val="365F91" w:themeColor="accent1" w:themeShade="BF"/>
          <w:sz w:val="26"/>
          <w:lang w:val="en-GB"/>
        </w:rPr>
      </w:pPr>
      <w:proofErr w:type="spellStart"/>
      <w:r w:rsidRPr="001410AF">
        <w:rPr>
          <w:b/>
          <w:color w:val="365F91" w:themeColor="accent1" w:themeShade="BF"/>
          <w:sz w:val="26"/>
          <w:lang w:val="en-GB"/>
        </w:rPr>
        <w:t>i</w:t>
      </w:r>
      <w:proofErr w:type="spellEnd"/>
      <w:r w:rsidRPr="001410AF">
        <w:rPr>
          <w:b/>
          <w:color w:val="365F91" w:themeColor="accent1" w:themeShade="BF"/>
          <w:sz w:val="26"/>
          <w:lang w:val="en-GB"/>
        </w:rPr>
        <w:t xml:space="preserve">.   </w:t>
      </w:r>
      <w:proofErr w:type="spellStart"/>
      <w:r w:rsidR="006B4BC3" w:rsidRPr="001410AF">
        <w:rPr>
          <w:b/>
          <w:color w:val="365F91" w:themeColor="accent1" w:themeShade="BF"/>
          <w:sz w:val="26"/>
          <w:lang w:val="en-GB"/>
        </w:rPr>
        <w:t>CrossRef</w:t>
      </w:r>
      <w:proofErr w:type="spellEnd"/>
      <w:r w:rsidR="006B4BC3" w:rsidRPr="001410AF">
        <w:rPr>
          <w:b/>
          <w:color w:val="365F91" w:themeColor="accent1" w:themeShade="BF"/>
          <w:sz w:val="26"/>
          <w:lang w:val="en-GB"/>
        </w:rPr>
        <w:t xml:space="preserve"> builds the citation database</w:t>
      </w:r>
    </w:p>
    <w:p w:rsidR="001429D4" w:rsidRDefault="006B4BC3" w:rsidP="00904C79">
      <w:pPr>
        <w:spacing w:after="0"/>
        <w:rPr>
          <w:lang w:val="en-GB"/>
        </w:rPr>
      </w:pPr>
      <w:proofErr w:type="spellStart"/>
      <w:r>
        <w:rPr>
          <w:lang w:val="en-GB"/>
        </w:rPr>
        <w:t>CrossRef</w:t>
      </w:r>
      <w:proofErr w:type="spellEnd"/>
      <w:r>
        <w:rPr>
          <w:lang w:val="en-GB"/>
        </w:rPr>
        <w:t xml:space="preserve"> currently </w:t>
      </w:r>
      <w:r w:rsidR="00E53316">
        <w:rPr>
          <w:lang w:val="en-GB"/>
        </w:rPr>
        <w:t>has</w:t>
      </w:r>
      <w:r>
        <w:rPr>
          <w:lang w:val="en-GB"/>
        </w:rPr>
        <w:t xml:space="preserve"> around </w:t>
      </w:r>
      <w:r w:rsidR="00FE421E">
        <w:rPr>
          <w:lang w:val="en-GB"/>
        </w:rPr>
        <w:t>120</w:t>
      </w:r>
      <w:r>
        <w:rPr>
          <w:lang w:val="en-GB"/>
        </w:rPr>
        <w:t xml:space="preserve"> </w:t>
      </w:r>
      <w:r w:rsidR="00E53316">
        <w:rPr>
          <w:lang w:val="en-GB"/>
        </w:rPr>
        <w:t xml:space="preserve">member </w:t>
      </w:r>
      <w:r>
        <w:rPr>
          <w:lang w:val="en-GB"/>
        </w:rPr>
        <w:t xml:space="preserve">publishers and covers </w:t>
      </w:r>
      <w:r w:rsidR="00FE421E">
        <w:rPr>
          <w:lang w:val="en-GB"/>
        </w:rPr>
        <w:t xml:space="preserve">approximately 5000 journals. </w:t>
      </w:r>
      <w:r w:rsidR="00E07D8E">
        <w:rPr>
          <w:lang w:val="en-GB"/>
        </w:rPr>
        <w:t xml:space="preserve">Not all member publishers provide citation data to the service and publishers may opt into or </w:t>
      </w:r>
      <w:r w:rsidR="001429D4">
        <w:rPr>
          <w:lang w:val="en-GB"/>
        </w:rPr>
        <w:t xml:space="preserve">out of allowing specific third </w:t>
      </w:r>
      <w:r w:rsidR="00E07D8E">
        <w:rPr>
          <w:lang w:val="en-GB"/>
        </w:rPr>
        <w:t>p</w:t>
      </w:r>
      <w:r w:rsidR="001429D4">
        <w:rPr>
          <w:lang w:val="en-GB"/>
        </w:rPr>
        <w:t>a</w:t>
      </w:r>
      <w:r w:rsidR="00E07D8E">
        <w:rPr>
          <w:lang w:val="en-GB"/>
        </w:rPr>
        <w:t>rties to access and index the</w:t>
      </w:r>
      <w:r w:rsidR="001429D4">
        <w:rPr>
          <w:lang w:val="en-GB"/>
        </w:rPr>
        <w:t>ir data via the</w:t>
      </w:r>
      <w:r w:rsidR="00E07D8E">
        <w:rPr>
          <w:lang w:val="en-GB"/>
        </w:rPr>
        <w:t xml:space="preserve"> </w:t>
      </w:r>
      <w:proofErr w:type="spellStart"/>
      <w:r w:rsidR="00E07D8E">
        <w:rPr>
          <w:lang w:val="en-GB"/>
        </w:rPr>
        <w:t>CrossRef</w:t>
      </w:r>
      <w:proofErr w:type="spellEnd"/>
      <w:r w:rsidR="00E07D8E">
        <w:rPr>
          <w:lang w:val="en-GB"/>
        </w:rPr>
        <w:t xml:space="preserve"> data</w:t>
      </w:r>
      <w:r w:rsidR="001429D4">
        <w:rPr>
          <w:lang w:val="en-GB"/>
        </w:rPr>
        <w:t xml:space="preserve">base. </w:t>
      </w:r>
      <w:r w:rsidR="00A34AFA">
        <w:rPr>
          <w:lang w:val="en-GB"/>
        </w:rPr>
        <w:t xml:space="preserve">Some member publishers are, though, willing to release data to third parties and </w:t>
      </w:r>
      <w:r w:rsidR="005D1D67">
        <w:rPr>
          <w:lang w:val="en-GB"/>
        </w:rPr>
        <w:t xml:space="preserve">content from </w:t>
      </w:r>
      <w:r w:rsidR="00A34AFA">
        <w:rPr>
          <w:lang w:val="en-GB"/>
        </w:rPr>
        <w:t xml:space="preserve">these </w:t>
      </w:r>
      <w:r w:rsidR="005D1D67">
        <w:rPr>
          <w:lang w:val="en-GB"/>
        </w:rPr>
        <w:t xml:space="preserve">publishers </w:t>
      </w:r>
      <w:r w:rsidR="00A34AFA">
        <w:rPr>
          <w:lang w:val="en-GB"/>
        </w:rPr>
        <w:t xml:space="preserve">would form the core of the database. </w:t>
      </w:r>
      <w:r w:rsidR="001429D4">
        <w:rPr>
          <w:lang w:val="en-GB"/>
        </w:rPr>
        <w:t xml:space="preserve">Optimally, </w:t>
      </w:r>
      <w:r w:rsidR="001429D4" w:rsidRPr="005D1D67">
        <w:rPr>
          <w:u w:val="single"/>
          <w:lang w:val="en-GB"/>
        </w:rPr>
        <w:t>all</w:t>
      </w:r>
      <w:r w:rsidR="001429D4">
        <w:rPr>
          <w:lang w:val="en-GB"/>
        </w:rPr>
        <w:t xml:space="preserve"> member publisher</w:t>
      </w:r>
      <w:r w:rsidR="00220CE3">
        <w:rPr>
          <w:lang w:val="en-GB"/>
        </w:rPr>
        <w:t>s</w:t>
      </w:r>
      <w:r w:rsidR="001429D4">
        <w:rPr>
          <w:lang w:val="en-GB"/>
        </w:rPr>
        <w:t xml:space="preserve"> would permit </w:t>
      </w:r>
      <w:proofErr w:type="spellStart"/>
      <w:r w:rsidR="001429D4">
        <w:rPr>
          <w:lang w:val="en-GB"/>
        </w:rPr>
        <w:t>CrossRef</w:t>
      </w:r>
      <w:proofErr w:type="spellEnd"/>
      <w:r w:rsidR="001429D4">
        <w:rPr>
          <w:lang w:val="en-GB"/>
        </w:rPr>
        <w:t xml:space="preserve"> to build a citation database that is freely accessible by all-comers who would wish to develop research metrics and services based upon them. </w:t>
      </w:r>
      <w:r w:rsidR="00E53316">
        <w:rPr>
          <w:lang w:val="en-GB"/>
        </w:rPr>
        <w:t xml:space="preserve">It is unlikely, however, that Elsevier would cooperate in such a venture since it would undermine </w:t>
      </w:r>
      <w:proofErr w:type="spellStart"/>
      <w:r w:rsidR="00E53316">
        <w:rPr>
          <w:lang w:val="en-GB"/>
        </w:rPr>
        <w:t>Scopus’s</w:t>
      </w:r>
      <w:proofErr w:type="spellEnd"/>
      <w:r w:rsidR="00E53316">
        <w:rPr>
          <w:lang w:val="en-GB"/>
        </w:rPr>
        <w:t xml:space="preserve"> offering. A database formed from the rest of </w:t>
      </w:r>
      <w:proofErr w:type="spellStart"/>
      <w:r w:rsidR="00E53316">
        <w:rPr>
          <w:lang w:val="en-GB"/>
        </w:rPr>
        <w:t>CrossRef</w:t>
      </w:r>
      <w:proofErr w:type="spellEnd"/>
      <w:r w:rsidR="00E53316">
        <w:rPr>
          <w:lang w:val="en-GB"/>
        </w:rPr>
        <w:t xml:space="preserve"> member publishers’ content would represent around 105 of the total journal literature.</w:t>
      </w:r>
    </w:p>
    <w:p w:rsidR="001429D4" w:rsidRDefault="001429D4" w:rsidP="00904C79">
      <w:pPr>
        <w:spacing w:after="0"/>
        <w:rPr>
          <w:lang w:val="en-GB"/>
        </w:rPr>
      </w:pPr>
    </w:p>
    <w:p w:rsidR="001429D4" w:rsidRPr="001410AF" w:rsidRDefault="001410AF" w:rsidP="00904C79">
      <w:pPr>
        <w:spacing w:after="0"/>
        <w:rPr>
          <w:b/>
          <w:color w:val="365F91" w:themeColor="accent1" w:themeShade="BF"/>
          <w:sz w:val="26"/>
          <w:lang w:val="en-GB"/>
        </w:rPr>
      </w:pPr>
      <w:r w:rsidRPr="001410AF">
        <w:rPr>
          <w:b/>
          <w:color w:val="365F91" w:themeColor="accent1" w:themeShade="BF"/>
          <w:sz w:val="26"/>
          <w:lang w:val="en-GB"/>
        </w:rPr>
        <w:t xml:space="preserve">ii.   </w:t>
      </w:r>
      <w:r w:rsidR="001429D4" w:rsidRPr="001410AF">
        <w:rPr>
          <w:b/>
          <w:color w:val="365F91" w:themeColor="accent1" w:themeShade="BF"/>
          <w:sz w:val="26"/>
          <w:lang w:val="en-GB"/>
        </w:rPr>
        <w:t>The US National Library of Medicine</w:t>
      </w:r>
    </w:p>
    <w:p w:rsidR="00F45B0A" w:rsidRDefault="001429D4" w:rsidP="00904C79">
      <w:pPr>
        <w:spacing w:after="0"/>
        <w:rPr>
          <w:lang w:val="en-GB"/>
        </w:rPr>
      </w:pPr>
      <w:r>
        <w:rPr>
          <w:lang w:val="en-GB"/>
        </w:rPr>
        <w:t xml:space="preserve">The NLM holds huge volumes of publication data including the </w:t>
      </w:r>
      <w:proofErr w:type="spellStart"/>
      <w:r>
        <w:rPr>
          <w:lang w:val="en-GB"/>
        </w:rPr>
        <w:t>PubMed</w:t>
      </w:r>
      <w:proofErr w:type="spellEnd"/>
      <w:r>
        <w:rPr>
          <w:lang w:val="en-GB"/>
        </w:rPr>
        <w:t xml:space="preserve"> Central </w:t>
      </w:r>
      <w:proofErr w:type="gramStart"/>
      <w:r>
        <w:rPr>
          <w:lang w:val="en-GB"/>
        </w:rPr>
        <w:t>database which</w:t>
      </w:r>
      <w:proofErr w:type="gramEnd"/>
      <w:r>
        <w:rPr>
          <w:lang w:val="en-GB"/>
        </w:rPr>
        <w:t xml:space="preserve"> represents the biggest single source of such data in the life sciences. </w:t>
      </w:r>
      <w:r w:rsidR="00F45B0A">
        <w:rPr>
          <w:lang w:val="en-GB"/>
        </w:rPr>
        <w:t>One option is for the NLM to negotiate with publishers with the aim of collecting citation data from as many as possible in order to augment the biomedical content of the NLM with data from other disciplines</w:t>
      </w:r>
    </w:p>
    <w:p w:rsidR="00F45B0A" w:rsidRDefault="00F45B0A" w:rsidP="00904C79">
      <w:pPr>
        <w:spacing w:after="0"/>
        <w:rPr>
          <w:lang w:val="en-GB"/>
        </w:rPr>
      </w:pPr>
    </w:p>
    <w:p w:rsidR="00F45B0A" w:rsidRPr="001410AF" w:rsidRDefault="001410AF" w:rsidP="00904C79">
      <w:pPr>
        <w:spacing w:after="0"/>
        <w:rPr>
          <w:b/>
          <w:color w:val="365F91" w:themeColor="accent1" w:themeShade="BF"/>
          <w:sz w:val="26"/>
          <w:lang w:val="en-GB"/>
        </w:rPr>
      </w:pPr>
      <w:r w:rsidRPr="001410AF">
        <w:rPr>
          <w:b/>
          <w:color w:val="365F91" w:themeColor="accent1" w:themeShade="BF"/>
          <w:sz w:val="26"/>
          <w:lang w:val="en-GB"/>
        </w:rPr>
        <w:t xml:space="preserve">iii.   </w:t>
      </w:r>
      <w:r w:rsidR="00F45B0A" w:rsidRPr="001410AF">
        <w:rPr>
          <w:b/>
          <w:color w:val="365F91" w:themeColor="accent1" w:themeShade="BF"/>
          <w:sz w:val="26"/>
          <w:lang w:val="en-GB"/>
        </w:rPr>
        <w:t xml:space="preserve">The NLM and </w:t>
      </w:r>
      <w:proofErr w:type="spellStart"/>
      <w:r w:rsidR="00F45B0A" w:rsidRPr="001410AF">
        <w:rPr>
          <w:b/>
          <w:color w:val="365F91" w:themeColor="accent1" w:themeShade="BF"/>
          <w:sz w:val="26"/>
          <w:lang w:val="en-GB"/>
        </w:rPr>
        <w:t>CrossRef</w:t>
      </w:r>
      <w:proofErr w:type="spellEnd"/>
      <w:r w:rsidR="00F45B0A" w:rsidRPr="001410AF">
        <w:rPr>
          <w:b/>
          <w:color w:val="365F91" w:themeColor="accent1" w:themeShade="BF"/>
          <w:sz w:val="26"/>
          <w:lang w:val="en-GB"/>
        </w:rPr>
        <w:t xml:space="preserve"> work together</w:t>
      </w:r>
    </w:p>
    <w:p w:rsidR="00F45B0A" w:rsidRDefault="00F45B0A" w:rsidP="00904C79">
      <w:pPr>
        <w:spacing w:after="0"/>
        <w:rPr>
          <w:lang w:val="en-GB"/>
        </w:rPr>
      </w:pPr>
      <w:r>
        <w:rPr>
          <w:lang w:val="en-GB"/>
        </w:rPr>
        <w:t xml:space="preserve">Under this option the NLM might collect citation data provided by </w:t>
      </w:r>
      <w:proofErr w:type="spellStart"/>
      <w:r>
        <w:rPr>
          <w:lang w:val="en-GB"/>
        </w:rPr>
        <w:t>CrossRef</w:t>
      </w:r>
      <w:proofErr w:type="spellEnd"/>
      <w:r>
        <w:rPr>
          <w:lang w:val="en-GB"/>
        </w:rPr>
        <w:t xml:space="preserve"> (at least, the data that </w:t>
      </w:r>
      <w:proofErr w:type="spellStart"/>
      <w:r>
        <w:rPr>
          <w:lang w:val="en-GB"/>
        </w:rPr>
        <w:t>CrossRef</w:t>
      </w:r>
      <w:proofErr w:type="spellEnd"/>
      <w:r>
        <w:rPr>
          <w:lang w:val="en-GB"/>
        </w:rPr>
        <w:t xml:space="preserve"> member publishers opt into providing) and aggregate those with the citation data that the NLM already collects, providing a broad-scope database that would be made available to would-be users via the NLM.</w:t>
      </w:r>
    </w:p>
    <w:p w:rsidR="00F45B0A" w:rsidRDefault="00F45B0A" w:rsidP="00904C79">
      <w:pPr>
        <w:spacing w:after="0"/>
        <w:rPr>
          <w:lang w:val="en-GB"/>
        </w:rPr>
      </w:pPr>
    </w:p>
    <w:p w:rsidR="001D41C7" w:rsidRPr="001410AF" w:rsidRDefault="001410AF" w:rsidP="00904C79">
      <w:pPr>
        <w:spacing w:after="0"/>
        <w:rPr>
          <w:b/>
          <w:color w:val="365F91" w:themeColor="accent1" w:themeShade="BF"/>
          <w:sz w:val="26"/>
          <w:lang w:val="en-GB"/>
        </w:rPr>
      </w:pPr>
      <w:r w:rsidRPr="001410AF">
        <w:rPr>
          <w:b/>
          <w:color w:val="365F91" w:themeColor="accent1" w:themeShade="BF"/>
          <w:sz w:val="26"/>
          <w:lang w:val="en-GB"/>
        </w:rPr>
        <w:t xml:space="preserve">iv.   </w:t>
      </w:r>
      <w:r w:rsidR="00E53316" w:rsidRPr="001410AF">
        <w:rPr>
          <w:b/>
          <w:color w:val="365F91" w:themeColor="accent1" w:themeShade="BF"/>
          <w:sz w:val="26"/>
          <w:lang w:val="en-GB"/>
        </w:rPr>
        <w:t>Other</w:t>
      </w:r>
      <w:r w:rsidR="001D41C7" w:rsidRPr="001410AF">
        <w:rPr>
          <w:b/>
          <w:color w:val="365F91" w:themeColor="accent1" w:themeShade="BF"/>
          <w:sz w:val="26"/>
          <w:lang w:val="en-GB"/>
        </w:rPr>
        <w:t xml:space="preserve"> solutions</w:t>
      </w:r>
    </w:p>
    <w:p w:rsidR="00E53316" w:rsidRDefault="001D41C7" w:rsidP="00904C79">
      <w:pPr>
        <w:spacing w:after="0"/>
        <w:rPr>
          <w:lang w:val="en-GB"/>
        </w:rPr>
      </w:pPr>
      <w:r>
        <w:rPr>
          <w:lang w:val="en-GB"/>
        </w:rPr>
        <w:t xml:space="preserve">The options above are not the only possibilities but they do represent </w:t>
      </w:r>
      <w:r w:rsidR="00E53316">
        <w:rPr>
          <w:lang w:val="en-GB"/>
        </w:rPr>
        <w:t>the simpl</w:t>
      </w:r>
      <w:r w:rsidR="00220CE3">
        <w:rPr>
          <w:lang w:val="en-GB"/>
        </w:rPr>
        <w:t xml:space="preserve">est </w:t>
      </w:r>
      <w:r w:rsidR="00A34AFA">
        <w:rPr>
          <w:lang w:val="en-GB"/>
        </w:rPr>
        <w:t xml:space="preserve">currently </w:t>
      </w:r>
      <w:r w:rsidR="00220CE3">
        <w:rPr>
          <w:lang w:val="en-GB"/>
        </w:rPr>
        <w:t xml:space="preserve">available ‘big’ solutions. </w:t>
      </w:r>
      <w:r w:rsidR="00E53316">
        <w:rPr>
          <w:lang w:val="en-GB"/>
        </w:rPr>
        <w:t>There are two other main routes to the goal:</w:t>
      </w:r>
    </w:p>
    <w:p w:rsidR="00E53316" w:rsidRDefault="00E53316" w:rsidP="001410AF">
      <w:pPr>
        <w:pStyle w:val="ListBullet"/>
        <w:rPr>
          <w:lang w:val="en-GB"/>
        </w:rPr>
      </w:pPr>
      <w:r>
        <w:rPr>
          <w:lang w:val="en-GB"/>
        </w:rPr>
        <w:t>Establish</w:t>
      </w:r>
      <w:r w:rsidR="001410AF">
        <w:rPr>
          <w:lang w:val="en-GB"/>
        </w:rPr>
        <w:t>ment of</w:t>
      </w:r>
      <w:r>
        <w:rPr>
          <w:lang w:val="en-GB"/>
        </w:rPr>
        <w:t xml:space="preserve"> a new database from scratch. Scopus covers 16,000 journals and, with the exception of its own 2350 titles, the data from all of them are contributed free by other publishers keen </w:t>
      </w:r>
      <w:r w:rsidR="001410AF">
        <w:rPr>
          <w:lang w:val="en-GB"/>
        </w:rPr>
        <w:t>promote</w:t>
      </w:r>
      <w:r>
        <w:rPr>
          <w:lang w:val="en-GB"/>
        </w:rPr>
        <w:t xml:space="preserve"> their content </w:t>
      </w:r>
      <w:r w:rsidR="001410AF">
        <w:rPr>
          <w:lang w:val="en-GB"/>
        </w:rPr>
        <w:t>through this service</w:t>
      </w:r>
      <w:r>
        <w:rPr>
          <w:lang w:val="en-GB"/>
        </w:rPr>
        <w:t xml:space="preserve">. </w:t>
      </w:r>
      <w:r w:rsidR="001410AF">
        <w:rPr>
          <w:lang w:val="en-GB"/>
        </w:rPr>
        <w:t>Setting up another database and asking those same publishers to contribute data to that is an option. If they all complied, the database would represent about two-thirds of the journal literature.</w:t>
      </w:r>
    </w:p>
    <w:p w:rsidR="001410AF" w:rsidRPr="001410AF" w:rsidRDefault="00220CE3" w:rsidP="001410AF">
      <w:pPr>
        <w:pStyle w:val="ListBullet"/>
        <w:rPr>
          <w:lang w:val="en-GB"/>
        </w:rPr>
      </w:pPr>
      <w:r>
        <w:rPr>
          <w:lang w:val="en-GB"/>
        </w:rPr>
        <w:t>As funder and institutional</w:t>
      </w:r>
      <w:r w:rsidR="001410AF">
        <w:rPr>
          <w:lang w:val="en-GB"/>
        </w:rPr>
        <w:t xml:space="preserve"> Open Access mandates increase </w:t>
      </w:r>
      <w:r>
        <w:rPr>
          <w:lang w:val="en-GB"/>
        </w:rPr>
        <w:t>there will be a rapid growth in source content available for harvesting</w:t>
      </w:r>
      <w:r w:rsidR="00A34AFA">
        <w:rPr>
          <w:lang w:val="en-GB"/>
        </w:rPr>
        <w:t xml:space="preserve"> from institutional and subject-based Open Access repositories</w:t>
      </w:r>
      <w:r>
        <w:rPr>
          <w:lang w:val="en-GB"/>
        </w:rPr>
        <w:t>. This material will be available in most cases after a short embargo and in many cases pr</w:t>
      </w:r>
      <w:r w:rsidR="005D1D67">
        <w:rPr>
          <w:lang w:val="en-GB"/>
        </w:rPr>
        <w:t xml:space="preserve">ior to publication in </w:t>
      </w:r>
      <w:proofErr w:type="spellStart"/>
      <w:r w:rsidR="005D1D67">
        <w:rPr>
          <w:lang w:val="en-GB"/>
        </w:rPr>
        <w:t>journals</w:t>
      </w:r>
      <w:proofErr w:type="spellEnd"/>
      <w:r w:rsidR="005D1D67">
        <w:rPr>
          <w:lang w:val="en-GB"/>
        </w:rPr>
        <w:t>. A</w:t>
      </w:r>
      <w:r w:rsidR="00A34AFA">
        <w:rPr>
          <w:lang w:val="en-GB"/>
        </w:rPr>
        <w:t>ggregated with the content from Open Access journal publishers</w:t>
      </w:r>
      <w:r w:rsidR="005D1D67">
        <w:rPr>
          <w:lang w:val="en-GB"/>
        </w:rPr>
        <w:t>,</w:t>
      </w:r>
      <w:r w:rsidR="00A34AFA">
        <w:rPr>
          <w:lang w:val="en-GB"/>
        </w:rPr>
        <w:t xml:space="preserve"> along with the Open Access articles from ‘hybrid’ journals, </w:t>
      </w:r>
      <w:r w:rsidR="005D1D67">
        <w:rPr>
          <w:lang w:val="en-GB"/>
        </w:rPr>
        <w:t xml:space="preserve">this </w:t>
      </w:r>
      <w:r w:rsidR="00A34AFA">
        <w:rPr>
          <w:lang w:val="en-GB"/>
        </w:rPr>
        <w:t>will quite shortly constitute a sizeable database on which to develop new metrics.</w:t>
      </w:r>
    </w:p>
    <w:p w:rsidR="001410AF" w:rsidRDefault="001410AF" w:rsidP="00904C79">
      <w:pPr>
        <w:spacing w:after="0"/>
        <w:rPr>
          <w:lang w:val="en-GB"/>
        </w:rPr>
      </w:pPr>
    </w:p>
    <w:p w:rsidR="001410AF" w:rsidRDefault="001410AF" w:rsidP="00904C79">
      <w:pPr>
        <w:spacing w:after="0"/>
        <w:rPr>
          <w:lang w:val="en-GB"/>
        </w:rPr>
      </w:pPr>
      <w:r>
        <w:rPr>
          <w:lang w:val="en-GB"/>
        </w:rPr>
        <w:t>Alma Swan</w:t>
      </w:r>
    </w:p>
    <w:p w:rsidR="00904C79" w:rsidRPr="001410AF" w:rsidRDefault="001410AF" w:rsidP="00904C79">
      <w:pPr>
        <w:spacing w:after="0"/>
        <w:rPr>
          <w:i/>
          <w:lang w:val="en-GB"/>
        </w:rPr>
      </w:pPr>
      <w:r w:rsidRPr="001410AF">
        <w:rPr>
          <w:i/>
          <w:lang w:val="en-GB"/>
        </w:rPr>
        <w:t>22 November 2008</w:t>
      </w:r>
    </w:p>
    <w:sectPr w:rsidR="00904C79" w:rsidRPr="001410AF" w:rsidSect="0060682D">
      <w:pgSz w:w="11900" w:h="16840"/>
      <w:pgMar w:top="1440" w:right="1418" w:bottom="1440" w:left="1418" w:header="709" w:footer="709" w:gutter="0"/>
      <w:cols w:space="708"/>
      <w:printerSettings r:id="rId8"/>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id="0">
    <w:p w:rsidR="00E53316" w:rsidRPr="00131D52" w:rsidRDefault="00E53316">
      <w:pPr>
        <w:pStyle w:val="FootnoteText"/>
        <w:rPr>
          <w:sz w:val="20"/>
        </w:rPr>
      </w:pPr>
      <w:r w:rsidRPr="00131D52">
        <w:rPr>
          <w:rStyle w:val="FootnoteReference"/>
          <w:sz w:val="20"/>
        </w:rPr>
        <w:footnoteRef/>
      </w:r>
      <w:r w:rsidRPr="00131D52">
        <w:rPr>
          <w:sz w:val="20"/>
        </w:rPr>
        <w:t xml:space="preserve"> The outputs of both commercial and not-for-profit open access publishers are collated by the Directory of Open Access Journals: </w:t>
      </w:r>
      <w:hyperlink r:id="rId1" w:history="1">
        <w:r w:rsidRPr="00131D52">
          <w:rPr>
            <w:rStyle w:val="Hyperlink"/>
            <w:sz w:val="20"/>
          </w:rPr>
          <w:t>www.doaj.org</w:t>
        </w:r>
      </w:hyperlink>
      <w:r w:rsidRPr="00131D52">
        <w:rPr>
          <w:sz w:val="20"/>
        </w:rPr>
        <w:t xml:space="preserve"> </w:t>
      </w:r>
    </w:p>
  </w:footnote>
  <w:footnote w:id="1">
    <w:p w:rsidR="00E53316" w:rsidRDefault="00E53316">
      <w:pPr>
        <w:pStyle w:val="FootnoteText"/>
      </w:pPr>
      <w:r w:rsidRPr="00131D52">
        <w:rPr>
          <w:rStyle w:val="FootnoteReference"/>
          <w:sz w:val="20"/>
        </w:rPr>
        <w:footnoteRef/>
      </w:r>
      <w:r w:rsidRPr="00131D52">
        <w:rPr>
          <w:sz w:val="20"/>
        </w:rPr>
        <w:t xml:space="preserve"> </w:t>
      </w:r>
      <w:proofErr w:type="spellStart"/>
      <w:r w:rsidRPr="00131D52">
        <w:rPr>
          <w:sz w:val="20"/>
        </w:rPr>
        <w:t>OpenDOAR</w:t>
      </w:r>
      <w:proofErr w:type="spellEnd"/>
      <w:r w:rsidRPr="00131D52">
        <w:rPr>
          <w:sz w:val="20"/>
        </w:rPr>
        <w:t xml:space="preserve"> (</w:t>
      </w:r>
      <w:hyperlink r:id="rId2" w:history="1">
        <w:r w:rsidRPr="00131D52">
          <w:rPr>
            <w:rStyle w:val="Hyperlink"/>
            <w:sz w:val="20"/>
          </w:rPr>
          <w:t>www.opendoar.org</w:t>
        </w:r>
      </w:hyperlink>
      <w:r w:rsidRPr="00131D52">
        <w:rPr>
          <w:sz w:val="20"/>
        </w:rPr>
        <w:t>) or ROAR (</w:t>
      </w:r>
      <w:hyperlink r:id="rId3" w:history="1">
        <w:r w:rsidRPr="00131D52">
          <w:rPr>
            <w:rStyle w:val="Hyperlink"/>
            <w:sz w:val="20"/>
          </w:rPr>
          <w:t>http://roar.eprints.org</w:t>
        </w:r>
      </w:hyperlink>
      <w:r w:rsidRPr="00131D52">
        <w:rPr>
          <w:sz w:val="20"/>
        </w:rPr>
        <w:t>)</w:t>
      </w:r>
      <w:r>
        <w:t xml:space="preserve"> </w:t>
      </w:r>
    </w:p>
  </w:footnote>
  <w:footnote w:id="2">
    <w:p w:rsidR="00E53316" w:rsidRPr="00B07170" w:rsidRDefault="00E53316">
      <w:pPr>
        <w:pStyle w:val="FootnoteText"/>
        <w:rPr>
          <w:sz w:val="20"/>
        </w:rPr>
      </w:pPr>
      <w:r w:rsidRPr="00B07170">
        <w:rPr>
          <w:rStyle w:val="FootnoteReference"/>
          <w:sz w:val="20"/>
        </w:rPr>
        <w:footnoteRef/>
      </w:r>
      <w:r w:rsidRPr="00B07170">
        <w:rPr>
          <w:sz w:val="20"/>
        </w:rPr>
        <w:t xml:space="preserve"> </w:t>
      </w:r>
      <w:hyperlink r:id="rId4" w:history="1">
        <w:r w:rsidRPr="00B07170">
          <w:rPr>
            <w:rStyle w:val="Hyperlink"/>
            <w:sz w:val="20"/>
          </w:rPr>
          <w:t>http://www.eerqi.eu/</w:t>
        </w:r>
      </w:hyperlink>
      <w:r w:rsidRPr="00B07170">
        <w:rPr>
          <w:sz w:val="20"/>
        </w:rPr>
        <w:t xml:space="preserve"> </w:t>
      </w:r>
    </w:p>
  </w:footnote>
  <w:footnote w:id="3">
    <w:p w:rsidR="00E53316" w:rsidRPr="000D127C" w:rsidRDefault="00E53316">
      <w:pPr>
        <w:pStyle w:val="FootnoteText"/>
        <w:rPr>
          <w:sz w:val="20"/>
        </w:rPr>
      </w:pPr>
      <w:r w:rsidRPr="000D127C">
        <w:rPr>
          <w:rStyle w:val="FootnoteReference"/>
          <w:sz w:val="20"/>
        </w:rPr>
        <w:footnoteRef/>
      </w:r>
      <w:r w:rsidRPr="000D127C">
        <w:rPr>
          <w:sz w:val="20"/>
        </w:rPr>
        <w:t xml:space="preserve"> </w:t>
      </w:r>
      <w:hyperlink r:id="rId5" w:history="1">
        <w:r w:rsidRPr="000D127C">
          <w:rPr>
            <w:rStyle w:val="Hyperlink"/>
            <w:sz w:val="20"/>
          </w:rPr>
          <w:t>http://www.britac.ac.uk/reports/peer-review/index.cfm</w:t>
        </w:r>
      </w:hyperlink>
      <w:r w:rsidRPr="000D127C">
        <w:rPr>
          <w:sz w:val="20"/>
        </w:rPr>
        <w:t xml:space="preserve"> </w:t>
      </w:r>
    </w:p>
  </w:footnote>
  <w:footnote w:id="4">
    <w:p w:rsidR="00E53316" w:rsidRPr="000D127C" w:rsidRDefault="00E53316">
      <w:pPr>
        <w:pStyle w:val="FootnoteText"/>
        <w:rPr>
          <w:sz w:val="18"/>
        </w:rPr>
      </w:pPr>
      <w:r w:rsidRPr="000D127C">
        <w:rPr>
          <w:rStyle w:val="FootnoteReference"/>
          <w:sz w:val="18"/>
        </w:rPr>
        <w:footnoteRef/>
      </w:r>
      <w:r w:rsidRPr="000D127C">
        <w:rPr>
          <w:sz w:val="18"/>
        </w:rPr>
        <w:t xml:space="preserve"> </w:t>
      </w:r>
      <w:hyperlink r:id="rId6" w:history="1">
        <w:r w:rsidRPr="002628FA">
          <w:rPr>
            <w:rStyle w:val="Hyperlink"/>
            <w:sz w:val="18"/>
          </w:rPr>
          <w:t>http://www.hero.ac.uk/uk/research/research_quality_and_evaluation/research_excellence_framework__ref_.cfm</w:t>
        </w:r>
      </w:hyperlink>
      <w:r>
        <w:rPr>
          <w:sz w:val="18"/>
        </w:rPr>
        <w:t xml:space="preserve"> </w:t>
      </w:r>
    </w:p>
  </w:footnote>
  <w:footnote w:id="5">
    <w:p w:rsidR="00E53316" w:rsidRPr="000D127C" w:rsidRDefault="00E53316">
      <w:pPr>
        <w:pStyle w:val="FootnoteText"/>
        <w:rPr>
          <w:sz w:val="20"/>
        </w:rPr>
      </w:pPr>
      <w:r w:rsidRPr="000D127C">
        <w:rPr>
          <w:rStyle w:val="FootnoteReference"/>
          <w:sz w:val="20"/>
        </w:rPr>
        <w:footnoteRef/>
      </w:r>
      <w:r w:rsidRPr="000D127C">
        <w:rPr>
          <w:sz w:val="20"/>
        </w:rPr>
        <w:t xml:space="preserve"> </w:t>
      </w:r>
      <w:hyperlink r:id="rId7" w:history="1">
        <w:r w:rsidRPr="002628FA">
          <w:rPr>
            <w:rStyle w:val="Hyperlink"/>
            <w:sz w:val="20"/>
          </w:rPr>
          <w:t>http://www.arc.gov.au/era/default.htm</w:t>
        </w:r>
      </w:hyperlink>
      <w:r>
        <w:rPr>
          <w:sz w:val="20"/>
        </w:rPr>
        <w:t xml:space="preserve"> </w:t>
      </w:r>
    </w:p>
  </w:footnote>
  <w:footnote w:id="6">
    <w:p w:rsidR="001410AF" w:rsidRPr="00F3185B" w:rsidRDefault="001410AF" w:rsidP="001410AF">
      <w:pPr>
        <w:pStyle w:val="FootnoteText"/>
        <w:rPr>
          <w:sz w:val="20"/>
        </w:rPr>
      </w:pPr>
      <w:r w:rsidRPr="00F3185B">
        <w:rPr>
          <w:rStyle w:val="FootnoteReference"/>
          <w:sz w:val="20"/>
        </w:rPr>
        <w:footnoteRef/>
      </w:r>
      <w:r w:rsidRPr="00F3185B">
        <w:rPr>
          <w:sz w:val="20"/>
        </w:rPr>
        <w:t xml:space="preserve"> </w:t>
      </w:r>
      <w:hyperlink r:id="rId8" w:history="1">
        <w:r w:rsidRPr="00F3185B">
          <w:rPr>
            <w:rStyle w:val="Hyperlink"/>
            <w:sz w:val="20"/>
          </w:rPr>
          <w:t>http://www.citebase.org</w:t>
        </w:r>
      </w:hyperlink>
      <w:r w:rsidRPr="00F3185B">
        <w:rPr>
          <w:sz w:val="20"/>
        </w:rPr>
        <w:t xml:space="preserve"> </w:t>
      </w:r>
    </w:p>
  </w:footnote>
  <w:footnote w:id="7">
    <w:p w:rsidR="001410AF" w:rsidRPr="00F3185B" w:rsidRDefault="001410AF" w:rsidP="001410AF">
      <w:pPr>
        <w:pStyle w:val="FootnoteText"/>
        <w:rPr>
          <w:sz w:val="20"/>
        </w:rPr>
      </w:pPr>
      <w:r w:rsidRPr="00F3185B">
        <w:rPr>
          <w:rStyle w:val="FootnoteReference"/>
          <w:sz w:val="20"/>
        </w:rPr>
        <w:footnoteRef/>
      </w:r>
      <w:r w:rsidRPr="00F3185B">
        <w:rPr>
          <w:sz w:val="20"/>
        </w:rPr>
        <w:t xml:space="preserve"> </w:t>
      </w:r>
      <w:hyperlink r:id="rId9" w:history="1">
        <w:r w:rsidRPr="00F3185B">
          <w:rPr>
            <w:rStyle w:val="Hyperlink"/>
            <w:sz w:val="20"/>
          </w:rPr>
          <w:t>http://citeseer.ist.psu.edu/citeseer.html</w:t>
        </w:r>
      </w:hyperlink>
      <w:r w:rsidRPr="00F3185B">
        <w:rPr>
          <w:sz w:val="20"/>
        </w:rPr>
        <w:t xml:space="preserve"> </w:t>
      </w:r>
    </w:p>
  </w:footnote>
  <w:footnote w:id="8">
    <w:p w:rsidR="001410AF" w:rsidRDefault="001410AF" w:rsidP="001410AF">
      <w:pPr>
        <w:pStyle w:val="FootnoteText"/>
      </w:pPr>
      <w:r w:rsidRPr="00F3185B">
        <w:rPr>
          <w:rStyle w:val="FootnoteReference"/>
          <w:sz w:val="20"/>
        </w:rPr>
        <w:footnoteRef/>
      </w:r>
      <w:r w:rsidRPr="00F3185B">
        <w:rPr>
          <w:sz w:val="20"/>
        </w:rPr>
        <w:t xml:space="preserve"> </w:t>
      </w:r>
      <w:hyperlink r:id="rId10" w:history="1">
        <w:r w:rsidRPr="00F3185B">
          <w:rPr>
            <w:rStyle w:val="Hyperlink"/>
            <w:sz w:val="20"/>
          </w:rPr>
          <w:t>http://citec.repec.org/</w:t>
        </w:r>
      </w:hyperlink>
      <w:r>
        <w:t xml:space="preserve"> </w:t>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89"/>
    <w:multiLevelType w:val="singleLevel"/>
    <w:tmpl w:val="F848A9E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13361B7"/>
    <w:multiLevelType w:val="hybridMultilevel"/>
    <w:tmpl w:val="D62043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F5C2859"/>
    <w:multiLevelType w:val="hybridMultilevel"/>
    <w:tmpl w:val="F1864CC0"/>
    <w:lvl w:ilvl="0" w:tplc="1AD6D562">
      <w:start w:val="1"/>
      <w:numFmt w:val="bullet"/>
      <w:lvlText w:val=""/>
      <w:lvlJc w:val="left"/>
      <w:pPr>
        <w:tabs>
          <w:tab w:val="num" w:pos="340"/>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doNotVertAlignCellWithSp/>
    <w:doNotBreakConstrainedForcedTable/>
    <w:useAnsiKerningPairs/>
    <w:cachedColBalance/>
    <w:splitPgBreakAndParaMark/>
  </w:compat>
  <w:rsids>
    <w:rsidRoot w:val="00904C79"/>
    <w:rsid w:val="00084242"/>
    <w:rsid w:val="000B3BB7"/>
    <w:rsid w:val="000C68E3"/>
    <w:rsid w:val="000D127C"/>
    <w:rsid w:val="000E63E7"/>
    <w:rsid w:val="00103F2A"/>
    <w:rsid w:val="00131D52"/>
    <w:rsid w:val="001410AF"/>
    <w:rsid w:val="001429D4"/>
    <w:rsid w:val="001702AD"/>
    <w:rsid w:val="00191466"/>
    <w:rsid w:val="001D3C61"/>
    <w:rsid w:val="001D41C7"/>
    <w:rsid w:val="001E5D8F"/>
    <w:rsid w:val="001F71B8"/>
    <w:rsid w:val="002007D1"/>
    <w:rsid w:val="00220CE3"/>
    <w:rsid w:val="00252C28"/>
    <w:rsid w:val="002D046B"/>
    <w:rsid w:val="002F560C"/>
    <w:rsid w:val="00316B6A"/>
    <w:rsid w:val="00376489"/>
    <w:rsid w:val="00377105"/>
    <w:rsid w:val="00451337"/>
    <w:rsid w:val="00474567"/>
    <w:rsid w:val="00562AFE"/>
    <w:rsid w:val="005C5B50"/>
    <w:rsid w:val="005D1D67"/>
    <w:rsid w:val="005D5AE7"/>
    <w:rsid w:val="0060682D"/>
    <w:rsid w:val="00611BB9"/>
    <w:rsid w:val="006B4BC3"/>
    <w:rsid w:val="00824504"/>
    <w:rsid w:val="00851C34"/>
    <w:rsid w:val="0088307A"/>
    <w:rsid w:val="008B1D5A"/>
    <w:rsid w:val="00904C79"/>
    <w:rsid w:val="009B2864"/>
    <w:rsid w:val="009D20A1"/>
    <w:rsid w:val="00A34AFA"/>
    <w:rsid w:val="00A4516F"/>
    <w:rsid w:val="00A614CD"/>
    <w:rsid w:val="00B07170"/>
    <w:rsid w:val="00B40F32"/>
    <w:rsid w:val="00C267B4"/>
    <w:rsid w:val="00C45C52"/>
    <w:rsid w:val="00CB7E06"/>
    <w:rsid w:val="00D1601E"/>
    <w:rsid w:val="00D43EA7"/>
    <w:rsid w:val="00D926BA"/>
    <w:rsid w:val="00DA3381"/>
    <w:rsid w:val="00DF2669"/>
    <w:rsid w:val="00E07D8E"/>
    <w:rsid w:val="00E53316"/>
    <w:rsid w:val="00EB25B2"/>
    <w:rsid w:val="00F21A5E"/>
    <w:rsid w:val="00F3185B"/>
    <w:rsid w:val="00F45B0A"/>
    <w:rsid w:val="00FE421E"/>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8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semiHidden/>
    <w:unhideWhenUsed/>
    <w:rsid w:val="00DA3381"/>
    <w:pPr>
      <w:spacing w:after="0"/>
    </w:pPr>
  </w:style>
  <w:style w:type="character" w:customStyle="1" w:styleId="FootnoteTextChar">
    <w:name w:val="Footnote Text Char"/>
    <w:basedOn w:val="DefaultParagraphFont"/>
    <w:link w:val="FootnoteText"/>
    <w:uiPriority w:val="99"/>
    <w:semiHidden/>
    <w:rsid w:val="00DA3381"/>
  </w:style>
  <w:style w:type="character" w:styleId="FootnoteReference">
    <w:name w:val="footnote reference"/>
    <w:basedOn w:val="DefaultParagraphFont"/>
    <w:uiPriority w:val="99"/>
    <w:semiHidden/>
    <w:unhideWhenUsed/>
    <w:rsid w:val="00DA3381"/>
    <w:rPr>
      <w:vertAlign w:val="superscript"/>
    </w:rPr>
  </w:style>
  <w:style w:type="character" w:styleId="Hyperlink">
    <w:name w:val="Hyperlink"/>
    <w:basedOn w:val="DefaultParagraphFont"/>
    <w:uiPriority w:val="99"/>
    <w:semiHidden/>
    <w:unhideWhenUsed/>
    <w:rsid w:val="00DA3381"/>
    <w:rPr>
      <w:color w:val="0000FF" w:themeColor="hyperlink"/>
      <w:u w:val="single"/>
    </w:rPr>
  </w:style>
  <w:style w:type="paragraph" w:styleId="ListParagraph">
    <w:name w:val="List Paragraph"/>
    <w:basedOn w:val="Normal"/>
    <w:uiPriority w:val="34"/>
    <w:qFormat/>
    <w:rsid w:val="001D3C61"/>
    <w:pPr>
      <w:ind w:left="720"/>
      <w:contextualSpacing/>
    </w:pPr>
  </w:style>
  <w:style w:type="paragraph" w:styleId="ListBullet">
    <w:name w:val="List Bullet"/>
    <w:basedOn w:val="Normal"/>
    <w:uiPriority w:val="99"/>
    <w:unhideWhenUsed/>
    <w:rsid w:val="00376489"/>
    <w:pPr>
      <w:numPr>
        <w:numId w:val="2"/>
      </w:numPr>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printerSettings" Target="printerSettings/printerSettings1.bin"/><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footnotes" Target="footnotes.xml"/><Relationship Id="rId7" Type="http://schemas.openxmlformats.org/officeDocument/2006/relationships/hyperlink" Target="http://ed.sjtu.edu.cn/ranking.htm" TargetMode="Externa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hyperlink" Target="http://www.topuniversities.com/worlduniversityranking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citebase.org" TargetMode="External"/><Relationship Id="rId4" Type="http://schemas.openxmlformats.org/officeDocument/2006/relationships/hyperlink" Target="http://www.eerqi.eu/" TargetMode="External"/><Relationship Id="rId10" Type="http://schemas.openxmlformats.org/officeDocument/2006/relationships/hyperlink" Target="http://citec.repec.org/" TargetMode="External"/><Relationship Id="rId5" Type="http://schemas.openxmlformats.org/officeDocument/2006/relationships/hyperlink" Target="http://www.britac.ac.uk/reports/peer-review/index.cfm" TargetMode="External"/><Relationship Id="rId7" Type="http://schemas.openxmlformats.org/officeDocument/2006/relationships/hyperlink" Target="http://www.arc.gov.au/era/default.htm" TargetMode="External"/><Relationship Id="rId1" Type="http://schemas.openxmlformats.org/officeDocument/2006/relationships/hyperlink" Target="http://www.doaj.org" TargetMode="External"/><Relationship Id="rId2" Type="http://schemas.openxmlformats.org/officeDocument/2006/relationships/hyperlink" Target="http://www.opendoar.org" TargetMode="External"/><Relationship Id="rId9" Type="http://schemas.openxmlformats.org/officeDocument/2006/relationships/hyperlink" Target="http://citeseer.ist.psu.edu/citeseer.html" TargetMode="External"/><Relationship Id="rId3" Type="http://schemas.openxmlformats.org/officeDocument/2006/relationships/hyperlink" Target="http://roar.eprints.org" TargetMode="External"/><Relationship Id="rId6" Type="http://schemas.openxmlformats.org/officeDocument/2006/relationships/hyperlink" Target="http://www.hero.ac.uk/uk/research/research_quality_and_evaluation/research_excellence_framework__ref_.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1667</TotalTime>
  <Pages>6</Pages>
  <Words>1960</Words>
  <Characters>11177</Characters>
  <Application>Microsoft Macintosh Word</Application>
  <DocSecurity>0</DocSecurity>
  <Lines>93</Lines>
  <Paragraphs>22</Paragraphs>
  <ScaleCrop>false</ScaleCrop>
  <Company>KEY PERSPECTIVES LTD</Company>
  <LinksUpToDate>false</LinksUpToDate>
  <CharactersWithSpaces>13726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ALMA SWAN</cp:lastModifiedBy>
  <cp:revision>26</cp:revision>
  <dcterms:created xsi:type="dcterms:W3CDTF">2008-10-12T09:49:00Z</dcterms:created>
  <dcterms:modified xsi:type="dcterms:W3CDTF">2008-11-22T15:37:00Z</dcterms:modified>
</cp:coreProperties>
</file>