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n-GB"/>
        </w:rPr>
        <w:id w:val="37709089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42"/>
          </w:tblGrid>
          <w:tr w:rsidR="00E43452">
            <w:trPr>
              <w:trHeight w:val="2880"/>
              <w:jc w:val="center"/>
            </w:trPr>
            <w:sdt>
              <w:sdtPr>
                <w:rPr>
                  <w:rFonts w:asciiTheme="majorHAnsi" w:eastAsiaTheme="majorEastAsia" w:hAnsiTheme="majorHAnsi" w:cstheme="majorBidi"/>
                  <w:caps/>
                  <w:lang w:val="en-GB"/>
                </w:rPr>
                <w:alias w:val="Company"/>
                <w:id w:val="15524243"/>
                <w:placeholder>
                  <w:docPart w:val="53B14FBA732E4A1E9423AE9CBAB9E329"/>
                </w:placeholder>
                <w:dataBinding w:prefixMappings="xmlns:ns0='http://schemas.openxmlformats.org/officeDocument/2006/extended-properties'" w:xpath="/ns0:Properties[1]/ns0:Company[1]" w:storeItemID="{6668398D-A668-4E3E-A5EB-62B293D839F1}"/>
                <w:text/>
              </w:sdtPr>
              <w:sdtEndPr>
                <w:rPr>
                  <w:lang w:val="en-US"/>
                </w:rPr>
              </w:sdtEndPr>
              <w:sdtContent>
                <w:tc>
                  <w:tcPr>
                    <w:tcW w:w="5000" w:type="pct"/>
                  </w:tcPr>
                  <w:p w:rsidR="00E43452" w:rsidRDefault="00E43452">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Intelligence, Agents, Multimedia Group. University of Southampton</w:t>
                    </w:r>
                    <w:r>
                      <w:rPr>
                        <w:rFonts w:asciiTheme="majorHAnsi" w:eastAsiaTheme="majorEastAsia" w:hAnsiTheme="majorHAnsi" w:cstheme="majorBidi"/>
                        <w:caps/>
                        <w:lang w:val="en-GB"/>
                      </w:rPr>
                      <w:t xml:space="preserve"> </w:t>
                    </w:r>
                  </w:p>
                </w:tc>
              </w:sdtContent>
            </w:sdt>
          </w:tr>
          <w:tr w:rsidR="00E43452">
            <w:trPr>
              <w:trHeight w:val="1440"/>
              <w:jc w:val="center"/>
            </w:trPr>
            <w:sdt>
              <w:sdtPr>
                <w:rPr>
                  <w:rFonts w:asciiTheme="majorHAnsi" w:eastAsiaTheme="majorEastAsia" w:hAnsiTheme="majorHAnsi" w:cstheme="majorBidi"/>
                  <w:color w:val="17365D" w:themeColor="text2" w:themeShade="BF"/>
                  <w:spacing w:val="5"/>
                  <w:kern w:val="28"/>
                  <w:sz w:val="52"/>
                  <w:szCs w:val="52"/>
                </w:rPr>
                <w:alias w:val="Title"/>
                <w:id w:val="15524250"/>
                <w:placeholder>
                  <w:docPart w:val="B4BF970BB5E7457E89528C902C9F445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43452" w:rsidRDefault="00E43452">
                    <w:pPr>
                      <w:pStyle w:val="NoSpacing"/>
                      <w:jc w:val="center"/>
                      <w:rPr>
                        <w:rFonts w:asciiTheme="majorHAnsi" w:eastAsiaTheme="majorEastAsia" w:hAnsiTheme="majorHAnsi" w:cstheme="majorBidi"/>
                        <w:sz w:val="80"/>
                        <w:szCs w:val="80"/>
                      </w:rPr>
                    </w:pPr>
                    <w:r w:rsidRPr="00E43452">
                      <w:rPr>
                        <w:rFonts w:asciiTheme="majorHAnsi" w:eastAsiaTheme="majorEastAsia" w:hAnsiTheme="majorHAnsi" w:cstheme="majorBidi"/>
                        <w:color w:val="17365D" w:themeColor="text2" w:themeShade="BF"/>
                        <w:spacing w:val="5"/>
                        <w:kern w:val="28"/>
                        <w:sz w:val="52"/>
                        <w:szCs w:val="52"/>
                      </w:rPr>
                      <w:t>UK Institutional Repository Activity</w:t>
                    </w:r>
                  </w:p>
                </w:tc>
              </w:sdtContent>
            </w:sdt>
          </w:tr>
          <w:tr w:rsidR="00E43452">
            <w:trPr>
              <w:trHeight w:val="720"/>
              <w:jc w:val="center"/>
            </w:trPr>
            <w:sdt>
              <w:sdtPr>
                <w:rPr>
                  <w:rFonts w:asciiTheme="majorHAnsi" w:eastAsiaTheme="majorEastAsia" w:hAnsiTheme="majorHAnsi" w:cstheme="majorBidi"/>
                  <w:sz w:val="44"/>
                  <w:szCs w:val="44"/>
                </w:rPr>
                <w:alias w:val="Subtitle"/>
                <w:id w:val="15524255"/>
                <w:placeholder>
                  <w:docPart w:val="A48B7FC4DB274CA2836F97B5B97C0C3E"/>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43452" w:rsidRDefault="00E43452" w:rsidP="00E4345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longitudinal study</w:t>
                    </w:r>
                  </w:p>
                </w:tc>
              </w:sdtContent>
            </w:sdt>
          </w:tr>
          <w:tr w:rsidR="00E43452">
            <w:trPr>
              <w:trHeight w:val="360"/>
              <w:jc w:val="center"/>
            </w:trPr>
            <w:tc>
              <w:tcPr>
                <w:tcW w:w="5000" w:type="pct"/>
                <w:vAlign w:val="center"/>
              </w:tcPr>
              <w:p w:rsidR="00E43452" w:rsidRDefault="00E43452">
                <w:pPr>
                  <w:pStyle w:val="NoSpacing"/>
                  <w:jc w:val="center"/>
                </w:pPr>
              </w:p>
            </w:tc>
          </w:tr>
          <w:tr w:rsidR="00E43452">
            <w:trPr>
              <w:trHeight w:val="360"/>
              <w:jc w:val="center"/>
            </w:trPr>
            <w:sdt>
              <w:sdtPr>
                <w:rPr>
                  <w:b/>
                  <w:bCs/>
                </w:rPr>
                <w:alias w:val="Author"/>
                <w:id w:val="15524260"/>
                <w:placeholder>
                  <w:docPart w:val="1395F933F3B74FCD8670CEE7B4A6094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E43452" w:rsidRDefault="00E43452">
                    <w:pPr>
                      <w:pStyle w:val="NoSpacing"/>
                      <w:jc w:val="center"/>
                      <w:rPr>
                        <w:b/>
                        <w:bCs/>
                      </w:rPr>
                    </w:pPr>
                    <w:r>
                      <w:rPr>
                        <w:b/>
                        <w:bCs/>
                        <w:lang w:val="en-GB"/>
                      </w:rPr>
                      <w:t>Tim Brody</w:t>
                    </w:r>
                  </w:p>
                </w:tc>
              </w:sdtContent>
            </w:sdt>
          </w:tr>
          <w:tr w:rsidR="00E43452">
            <w:trPr>
              <w:trHeight w:val="360"/>
              <w:jc w:val="center"/>
            </w:trPr>
            <w:sdt>
              <w:sdtPr>
                <w:rPr>
                  <w:b/>
                  <w:bCs/>
                </w:rPr>
                <w:alias w:val="Date"/>
                <w:id w:val="516659546"/>
                <w:placeholder>
                  <w:docPart w:val="8A8359B845A14558BD253134902BF107"/>
                </w:placeholder>
                <w:dataBinding w:prefixMappings="xmlns:ns0='http://schemas.microsoft.com/office/2006/coverPageProps'" w:xpath="/ns0:CoverPageProperties[1]/ns0:PublishDate[1]" w:storeItemID="{55AF091B-3C7A-41E3-B477-F2FDAA23CFDA}"/>
                <w:date w:fullDate="2008-02-11T00:00:00Z">
                  <w:dateFormat w:val="M/d/yyyy"/>
                  <w:lid w:val="en-US"/>
                  <w:storeMappedDataAs w:val="dateTime"/>
                  <w:calendar w:val="gregorian"/>
                </w:date>
              </w:sdtPr>
              <w:sdtContent>
                <w:tc>
                  <w:tcPr>
                    <w:tcW w:w="5000" w:type="pct"/>
                    <w:vAlign w:val="center"/>
                  </w:tcPr>
                  <w:p w:rsidR="00E43452" w:rsidRDefault="00B20175" w:rsidP="00B20175">
                    <w:pPr>
                      <w:pStyle w:val="NoSpacing"/>
                      <w:jc w:val="center"/>
                      <w:rPr>
                        <w:b/>
                        <w:bCs/>
                      </w:rPr>
                    </w:pPr>
                    <w:r>
                      <w:rPr>
                        <w:b/>
                        <w:bCs/>
                      </w:rPr>
                      <w:t>2/11/2008</w:t>
                    </w:r>
                  </w:p>
                </w:tc>
              </w:sdtContent>
            </w:sdt>
          </w:tr>
        </w:tbl>
        <w:p w:rsidR="00E43452" w:rsidRDefault="00E43452"/>
        <w:p w:rsidR="00E43452" w:rsidRDefault="00E43452"/>
        <w:tbl>
          <w:tblPr>
            <w:tblpPr w:leftFromText="187" w:rightFromText="187" w:horzAnchor="margin" w:tblpXSpec="center" w:tblpYSpec="bottom"/>
            <w:tblW w:w="5000" w:type="pct"/>
            <w:tblLook w:val="04A0"/>
          </w:tblPr>
          <w:tblGrid>
            <w:gridCol w:w="9242"/>
          </w:tblGrid>
          <w:tr w:rsidR="00E43452">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43452" w:rsidRDefault="00E43452" w:rsidP="00E43452">
                    <w:pPr>
                      <w:pStyle w:val="NoSpacing"/>
                    </w:pPr>
                    <w:r>
                      <w:t>A longitudinal study of UK Institutional Repository activity based on data from the Registry of Open Access Repositories (ROAR).</w:t>
                    </w:r>
                  </w:p>
                </w:tc>
              </w:sdtContent>
            </w:sdt>
          </w:tr>
        </w:tbl>
        <w:p w:rsidR="00E43452" w:rsidRDefault="00E43452"/>
        <w:p w:rsidR="00E43452" w:rsidRDefault="00E43452">
          <w:r>
            <w:br w:type="page"/>
          </w:r>
        </w:p>
      </w:sdtContent>
    </w:sdt>
    <w:p w:rsidR="00F23170" w:rsidRDefault="00F23170" w:rsidP="00E43452">
      <w:pPr>
        <w:pStyle w:val="Heading1"/>
      </w:pPr>
      <w:bookmarkStart w:id="0" w:name="_Toc183244035"/>
      <w:r>
        <w:lastRenderedPageBreak/>
        <w:t>Revision History</w:t>
      </w:r>
      <w:bookmarkEnd w:id="0"/>
    </w:p>
    <w:tbl>
      <w:tblPr>
        <w:tblStyle w:val="TableGrid"/>
        <w:tblW w:w="0" w:type="auto"/>
        <w:tblLook w:val="04A0"/>
      </w:tblPr>
      <w:tblGrid>
        <w:gridCol w:w="4621"/>
        <w:gridCol w:w="4621"/>
      </w:tblGrid>
      <w:tr w:rsidR="00F23170" w:rsidTr="00F23170">
        <w:tc>
          <w:tcPr>
            <w:tcW w:w="4621" w:type="dxa"/>
          </w:tcPr>
          <w:p w:rsidR="00F23170" w:rsidRDefault="00F23170" w:rsidP="00F23170">
            <w:r>
              <w:t>Revision</w:t>
            </w:r>
          </w:p>
        </w:tc>
        <w:tc>
          <w:tcPr>
            <w:tcW w:w="4621" w:type="dxa"/>
          </w:tcPr>
          <w:p w:rsidR="00F23170" w:rsidRDefault="00F23170" w:rsidP="00F23170">
            <w:r>
              <w:t>Notes</w:t>
            </w:r>
          </w:p>
        </w:tc>
      </w:tr>
      <w:tr w:rsidR="00F23170" w:rsidTr="00F23170">
        <w:tc>
          <w:tcPr>
            <w:tcW w:w="4621" w:type="dxa"/>
          </w:tcPr>
          <w:p w:rsidR="00F23170" w:rsidRDefault="00F23170" w:rsidP="00F23170">
            <w:r>
              <w:t>1.0</w:t>
            </w:r>
          </w:p>
        </w:tc>
        <w:tc>
          <w:tcPr>
            <w:tcW w:w="4621" w:type="dxa"/>
          </w:tcPr>
          <w:p w:rsidR="00F23170" w:rsidRDefault="00F23170" w:rsidP="00F23170">
            <w:r>
              <w:t>Initial version</w:t>
            </w:r>
          </w:p>
        </w:tc>
      </w:tr>
      <w:tr w:rsidR="00E43452" w:rsidTr="00F23170">
        <w:tc>
          <w:tcPr>
            <w:tcW w:w="4621" w:type="dxa"/>
          </w:tcPr>
          <w:p w:rsidR="00E43452" w:rsidRDefault="00E43452" w:rsidP="00F23170">
            <w:r>
              <w:t>1.1</w:t>
            </w:r>
          </w:p>
        </w:tc>
        <w:tc>
          <w:tcPr>
            <w:tcW w:w="4621" w:type="dxa"/>
          </w:tcPr>
          <w:p w:rsidR="00E43452" w:rsidRDefault="00E43452" w:rsidP="00F23170">
            <w:r>
              <w:t>Readability revisions, added caveat about full-text vs. metadata-only to conclusions</w:t>
            </w:r>
          </w:p>
        </w:tc>
      </w:tr>
      <w:tr w:rsidR="0018375B" w:rsidTr="00F23170">
        <w:tc>
          <w:tcPr>
            <w:tcW w:w="4621" w:type="dxa"/>
          </w:tcPr>
          <w:p w:rsidR="0018375B" w:rsidRDefault="0018375B" w:rsidP="00F23170">
            <w:r>
              <w:t>1.2</w:t>
            </w:r>
          </w:p>
        </w:tc>
        <w:tc>
          <w:tcPr>
            <w:tcW w:w="4621" w:type="dxa"/>
          </w:tcPr>
          <w:p w:rsidR="0018375B" w:rsidRDefault="0018375B" w:rsidP="00F23170">
            <w:r>
              <w:t>Removed erroneous Geometric Mean graph/section</w:t>
            </w:r>
          </w:p>
        </w:tc>
      </w:tr>
    </w:tbl>
    <w:p w:rsidR="00F23170" w:rsidRDefault="00E43452" w:rsidP="00F23170">
      <w:pPr>
        <w:pStyle w:val="Heading1"/>
      </w:pPr>
      <w:bookmarkStart w:id="1" w:name="_Toc183244036"/>
      <w:r>
        <w:t>D</w:t>
      </w:r>
      <w:r w:rsidR="00F23170">
        <w:t>efinitions, Acronyms and Abbreviations</w:t>
      </w:r>
      <w:bookmarkEnd w:id="1"/>
    </w:p>
    <w:tbl>
      <w:tblPr>
        <w:tblStyle w:val="TableGrid"/>
        <w:tblW w:w="0" w:type="auto"/>
        <w:tblLook w:val="04A0"/>
      </w:tblPr>
      <w:tblGrid>
        <w:gridCol w:w="1526"/>
        <w:gridCol w:w="7716"/>
      </w:tblGrid>
      <w:tr w:rsidR="00F23170" w:rsidTr="00F23170">
        <w:tc>
          <w:tcPr>
            <w:tcW w:w="1526" w:type="dxa"/>
          </w:tcPr>
          <w:p w:rsidR="00F23170" w:rsidRDefault="00F23170" w:rsidP="00F23170">
            <w:r>
              <w:t>Term</w:t>
            </w:r>
          </w:p>
        </w:tc>
        <w:tc>
          <w:tcPr>
            <w:tcW w:w="7716" w:type="dxa"/>
          </w:tcPr>
          <w:p w:rsidR="00F23170" w:rsidRDefault="00F23170" w:rsidP="00F23170">
            <w:r>
              <w:t>Definition</w:t>
            </w:r>
          </w:p>
        </w:tc>
      </w:tr>
      <w:tr w:rsidR="00F23170" w:rsidTr="00F23170">
        <w:tc>
          <w:tcPr>
            <w:tcW w:w="1526" w:type="dxa"/>
          </w:tcPr>
          <w:p w:rsidR="00F23170" w:rsidRDefault="00F23170" w:rsidP="00F23170">
            <w:r>
              <w:t>UK</w:t>
            </w:r>
          </w:p>
        </w:tc>
        <w:tc>
          <w:tcPr>
            <w:tcW w:w="7716" w:type="dxa"/>
          </w:tcPr>
          <w:p w:rsidR="00F23170" w:rsidRDefault="00F23170" w:rsidP="00F23170">
            <w:r>
              <w:t>Refers to any Institutional Repository that caters to UK authors – covering the regions of England, Scotland, Wales and Northern Island.</w:t>
            </w:r>
          </w:p>
        </w:tc>
      </w:tr>
      <w:tr w:rsidR="00F23170" w:rsidTr="00F23170">
        <w:tc>
          <w:tcPr>
            <w:tcW w:w="1526" w:type="dxa"/>
          </w:tcPr>
          <w:p w:rsidR="00F23170" w:rsidRDefault="00F23170" w:rsidP="00F23170">
            <w:r>
              <w:t>Institutional Repository</w:t>
            </w:r>
          </w:p>
        </w:tc>
        <w:tc>
          <w:tcPr>
            <w:tcW w:w="7716" w:type="dxa"/>
          </w:tcPr>
          <w:p w:rsidR="00F23170" w:rsidRDefault="00F23170" w:rsidP="00F23170">
            <w:r>
              <w:t>Loosely defined in ROAR as being a repository that restricts depositions to a UK HE institution or research department. Contains some form of primary research output (journal or conference articles, mongraphs, etc.).</w:t>
            </w:r>
          </w:p>
        </w:tc>
      </w:tr>
      <w:tr w:rsidR="00F23170" w:rsidTr="00F23170">
        <w:tc>
          <w:tcPr>
            <w:tcW w:w="1526" w:type="dxa"/>
          </w:tcPr>
          <w:p w:rsidR="00F23170" w:rsidRDefault="00F23170" w:rsidP="00F23170">
            <w:r>
              <w:t>IR</w:t>
            </w:r>
          </w:p>
        </w:tc>
        <w:tc>
          <w:tcPr>
            <w:tcW w:w="7716" w:type="dxa"/>
          </w:tcPr>
          <w:p w:rsidR="00F23170" w:rsidRDefault="00F23170" w:rsidP="00F23170">
            <w:r>
              <w:t>Institutional Repository</w:t>
            </w:r>
          </w:p>
        </w:tc>
      </w:tr>
      <w:tr w:rsidR="00F23170" w:rsidTr="00F23170">
        <w:tc>
          <w:tcPr>
            <w:tcW w:w="1526" w:type="dxa"/>
          </w:tcPr>
          <w:p w:rsidR="00F23170" w:rsidRDefault="00F23170" w:rsidP="00F23170">
            <w:r>
              <w:t>ROAR</w:t>
            </w:r>
          </w:p>
        </w:tc>
        <w:tc>
          <w:tcPr>
            <w:tcW w:w="7716" w:type="dxa"/>
          </w:tcPr>
          <w:p w:rsidR="00F23170" w:rsidRDefault="00F23170" w:rsidP="00F23170">
            <w:r>
              <w:t>Registry of Open Access Repositories (</w:t>
            </w:r>
            <w:hyperlink r:id="rId8" w:history="1">
              <w:r w:rsidRPr="00B170EE">
                <w:rPr>
                  <w:rStyle w:val="Hyperlink"/>
                </w:rPr>
                <w:t>http://roar.eprints.org/</w:t>
              </w:r>
            </w:hyperlink>
            <w:r>
              <w:t>)</w:t>
            </w:r>
          </w:p>
        </w:tc>
      </w:tr>
      <w:tr w:rsidR="00F23170" w:rsidTr="00F23170">
        <w:tc>
          <w:tcPr>
            <w:tcW w:w="1526" w:type="dxa"/>
          </w:tcPr>
          <w:p w:rsidR="00F23170" w:rsidRDefault="00F23170" w:rsidP="00F23170">
            <w:r>
              <w:t>OAI-PMH</w:t>
            </w:r>
          </w:p>
        </w:tc>
        <w:tc>
          <w:tcPr>
            <w:tcW w:w="7716" w:type="dxa"/>
          </w:tcPr>
          <w:p w:rsidR="00F23170" w:rsidRDefault="00F23170" w:rsidP="00F23170">
            <w:r>
              <w:t>Open Access Initiative’s Protocol for Metadata Harvesting (</w:t>
            </w:r>
            <w:hyperlink r:id="rId9" w:history="1">
              <w:r w:rsidRPr="00B170EE">
                <w:rPr>
                  <w:rStyle w:val="Hyperlink"/>
                </w:rPr>
                <w:t>http://www.openarchives.org/</w:t>
              </w:r>
            </w:hyperlink>
            <w:r>
              <w:t>)</w:t>
            </w:r>
          </w:p>
        </w:tc>
      </w:tr>
      <w:tr w:rsidR="00F23170" w:rsidTr="00F23170">
        <w:tc>
          <w:tcPr>
            <w:tcW w:w="1526" w:type="dxa"/>
          </w:tcPr>
          <w:p w:rsidR="00F23170" w:rsidRDefault="00F500C1" w:rsidP="00F23170">
            <w:r>
              <w:t>OpenDOAR</w:t>
            </w:r>
          </w:p>
        </w:tc>
        <w:tc>
          <w:tcPr>
            <w:tcW w:w="7716" w:type="dxa"/>
          </w:tcPr>
          <w:p w:rsidR="00F23170" w:rsidRDefault="00F500C1" w:rsidP="00F23170">
            <w:r>
              <w:t>Directory of Open Access Repositories (</w:t>
            </w:r>
            <w:hyperlink r:id="rId10" w:history="1">
              <w:r w:rsidRPr="00B170EE">
                <w:rPr>
                  <w:rStyle w:val="Hyperlink"/>
                </w:rPr>
                <w:t>http://www.opendoar.org/</w:t>
              </w:r>
            </w:hyperlink>
            <w:r>
              <w:t>)</w:t>
            </w:r>
          </w:p>
        </w:tc>
      </w:tr>
      <w:tr w:rsidR="00F500C1" w:rsidTr="00F23170">
        <w:tc>
          <w:tcPr>
            <w:tcW w:w="1526" w:type="dxa"/>
          </w:tcPr>
          <w:p w:rsidR="00F500C1" w:rsidRDefault="00F500C1" w:rsidP="00F23170"/>
        </w:tc>
        <w:tc>
          <w:tcPr>
            <w:tcW w:w="7716" w:type="dxa"/>
          </w:tcPr>
          <w:p w:rsidR="00F500C1" w:rsidRDefault="00F500C1" w:rsidP="00F23170"/>
        </w:tc>
      </w:tr>
    </w:tbl>
    <w:p w:rsidR="00E43452" w:rsidRDefault="00E43452" w:rsidP="00E43452">
      <w:pPr>
        <w:pStyle w:val="TOCHeading"/>
      </w:pPr>
      <w:bookmarkStart w:id="2" w:name="_Toc183244037"/>
    </w:p>
    <w:p w:rsidR="00E43452" w:rsidRDefault="00E43452" w:rsidP="00E43452">
      <w:pPr>
        <w:rPr>
          <w:rFonts w:asciiTheme="majorHAnsi" w:eastAsiaTheme="majorEastAsia" w:hAnsiTheme="majorHAnsi" w:cstheme="majorBidi"/>
          <w:color w:val="365F91" w:themeColor="accent1" w:themeShade="BF"/>
          <w:sz w:val="28"/>
          <w:szCs w:val="28"/>
          <w:lang w:val="en-US"/>
        </w:rPr>
      </w:pPr>
      <w:r>
        <w:br w:type="page"/>
      </w:r>
    </w:p>
    <w:sdt>
      <w:sdtPr>
        <w:rPr>
          <w:rFonts w:asciiTheme="minorHAnsi" w:eastAsiaTheme="minorHAnsi" w:hAnsiTheme="minorHAnsi" w:cstheme="minorBidi"/>
          <w:b w:val="0"/>
          <w:bCs w:val="0"/>
          <w:color w:val="auto"/>
          <w:sz w:val="22"/>
          <w:szCs w:val="22"/>
          <w:lang w:val="en-GB"/>
        </w:rPr>
        <w:id w:val="377090876"/>
        <w:docPartObj>
          <w:docPartGallery w:val="Table of Contents"/>
          <w:docPartUnique/>
        </w:docPartObj>
      </w:sdtPr>
      <w:sdtContent>
        <w:p w:rsidR="00E43452" w:rsidRDefault="00E43452" w:rsidP="00E43452">
          <w:pPr>
            <w:pStyle w:val="TOCHeading"/>
          </w:pPr>
          <w:r>
            <w:t>Contents</w:t>
          </w:r>
        </w:p>
        <w:p w:rsidR="00E43452" w:rsidRDefault="00A1363E" w:rsidP="00E43452">
          <w:pPr>
            <w:pStyle w:val="TOC2"/>
            <w:tabs>
              <w:tab w:val="right" w:leader="dot" w:pos="9016"/>
            </w:tabs>
            <w:rPr>
              <w:rFonts w:eastAsiaTheme="minorEastAsia"/>
              <w:noProof/>
              <w:lang w:eastAsia="en-GB"/>
            </w:rPr>
          </w:pPr>
          <w:r>
            <w:fldChar w:fldCharType="begin"/>
          </w:r>
          <w:r w:rsidR="00E43452">
            <w:instrText xml:space="preserve"> TOC \o "1-3" \h \z \u </w:instrText>
          </w:r>
          <w:r>
            <w:fldChar w:fldCharType="separate"/>
          </w:r>
          <w:hyperlink w:anchor="_Toc183244035" w:history="1">
            <w:r w:rsidR="00E43452" w:rsidRPr="00DB0960">
              <w:rPr>
                <w:rStyle w:val="Hyperlink"/>
                <w:noProof/>
              </w:rPr>
              <w:t>Revision History</w:t>
            </w:r>
            <w:r w:rsidR="00E43452">
              <w:rPr>
                <w:noProof/>
                <w:webHidden/>
              </w:rPr>
              <w:tab/>
            </w:r>
            <w:r>
              <w:rPr>
                <w:noProof/>
                <w:webHidden/>
              </w:rPr>
              <w:fldChar w:fldCharType="begin"/>
            </w:r>
            <w:r w:rsidR="00E43452">
              <w:rPr>
                <w:noProof/>
                <w:webHidden/>
              </w:rPr>
              <w:instrText xml:space="preserve"> PAGEREF _Toc183244035 \h </w:instrText>
            </w:r>
            <w:r>
              <w:rPr>
                <w:noProof/>
                <w:webHidden/>
              </w:rPr>
            </w:r>
            <w:r>
              <w:rPr>
                <w:noProof/>
                <w:webHidden/>
              </w:rPr>
              <w:fldChar w:fldCharType="separate"/>
            </w:r>
            <w:r w:rsidR="00972304">
              <w:rPr>
                <w:noProof/>
                <w:webHidden/>
              </w:rPr>
              <w:t>2</w:t>
            </w:r>
            <w:r>
              <w:rPr>
                <w:noProof/>
                <w:webHidden/>
              </w:rPr>
              <w:fldChar w:fldCharType="end"/>
            </w:r>
          </w:hyperlink>
        </w:p>
        <w:p w:rsidR="00E43452" w:rsidRDefault="00A1363E" w:rsidP="00E43452">
          <w:pPr>
            <w:pStyle w:val="TOC1"/>
            <w:tabs>
              <w:tab w:val="right" w:leader="dot" w:pos="9016"/>
            </w:tabs>
            <w:rPr>
              <w:noProof/>
            </w:rPr>
          </w:pPr>
          <w:hyperlink w:anchor="_Toc183244036" w:history="1">
            <w:r w:rsidR="00E43452" w:rsidRPr="00DB0960">
              <w:rPr>
                <w:rStyle w:val="Hyperlink"/>
                <w:noProof/>
              </w:rPr>
              <w:t>Definitions, Acronyms and Abbreviations</w:t>
            </w:r>
            <w:r w:rsidR="00E43452">
              <w:rPr>
                <w:noProof/>
                <w:webHidden/>
              </w:rPr>
              <w:tab/>
            </w:r>
            <w:r>
              <w:rPr>
                <w:noProof/>
                <w:webHidden/>
              </w:rPr>
              <w:fldChar w:fldCharType="begin"/>
            </w:r>
            <w:r w:rsidR="00E43452">
              <w:rPr>
                <w:noProof/>
                <w:webHidden/>
              </w:rPr>
              <w:instrText xml:space="preserve"> PAGEREF _Toc183244036 \h </w:instrText>
            </w:r>
            <w:r>
              <w:rPr>
                <w:noProof/>
                <w:webHidden/>
              </w:rPr>
            </w:r>
            <w:r>
              <w:rPr>
                <w:noProof/>
                <w:webHidden/>
              </w:rPr>
              <w:fldChar w:fldCharType="separate"/>
            </w:r>
            <w:r w:rsidR="00972304">
              <w:rPr>
                <w:noProof/>
                <w:webHidden/>
              </w:rPr>
              <w:t>2</w:t>
            </w:r>
            <w:r>
              <w:rPr>
                <w:noProof/>
                <w:webHidden/>
              </w:rPr>
              <w:fldChar w:fldCharType="end"/>
            </w:r>
          </w:hyperlink>
        </w:p>
        <w:p w:rsidR="00E43452" w:rsidRDefault="00A1363E" w:rsidP="00E43452">
          <w:pPr>
            <w:pStyle w:val="TOC1"/>
            <w:tabs>
              <w:tab w:val="right" w:leader="dot" w:pos="9016"/>
            </w:tabs>
            <w:rPr>
              <w:noProof/>
            </w:rPr>
          </w:pPr>
          <w:hyperlink w:anchor="_Toc183244037" w:history="1">
            <w:r w:rsidR="00E43452" w:rsidRPr="00DB0960">
              <w:rPr>
                <w:rStyle w:val="Hyperlink"/>
                <w:noProof/>
              </w:rPr>
              <w:t>Brief</w:t>
            </w:r>
            <w:r w:rsidR="00E43452">
              <w:rPr>
                <w:noProof/>
                <w:webHidden/>
              </w:rPr>
              <w:tab/>
            </w:r>
            <w:r>
              <w:rPr>
                <w:noProof/>
                <w:webHidden/>
              </w:rPr>
              <w:fldChar w:fldCharType="begin"/>
            </w:r>
            <w:r w:rsidR="00E43452">
              <w:rPr>
                <w:noProof/>
                <w:webHidden/>
              </w:rPr>
              <w:instrText xml:space="preserve"> PAGEREF _Toc183244037 \h </w:instrText>
            </w:r>
            <w:r>
              <w:rPr>
                <w:noProof/>
                <w:webHidden/>
              </w:rPr>
            </w:r>
            <w:r>
              <w:rPr>
                <w:noProof/>
                <w:webHidden/>
              </w:rPr>
              <w:fldChar w:fldCharType="separate"/>
            </w:r>
            <w:r w:rsidR="00972304">
              <w:rPr>
                <w:noProof/>
                <w:webHidden/>
              </w:rPr>
              <w:t>3</w:t>
            </w:r>
            <w:r>
              <w:rPr>
                <w:noProof/>
                <w:webHidden/>
              </w:rPr>
              <w:fldChar w:fldCharType="end"/>
            </w:r>
          </w:hyperlink>
        </w:p>
        <w:p w:rsidR="00E43452" w:rsidRDefault="00A1363E" w:rsidP="00E43452">
          <w:pPr>
            <w:pStyle w:val="TOC1"/>
            <w:tabs>
              <w:tab w:val="right" w:leader="dot" w:pos="9016"/>
            </w:tabs>
            <w:rPr>
              <w:noProof/>
            </w:rPr>
          </w:pPr>
          <w:hyperlink w:anchor="_Toc183244038" w:history="1">
            <w:r w:rsidR="00E43452" w:rsidRPr="00DB0960">
              <w:rPr>
                <w:rStyle w:val="Hyperlink"/>
                <w:noProof/>
              </w:rPr>
              <w:t>Design</w:t>
            </w:r>
            <w:r w:rsidR="00E43452">
              <w:rPr>
                <w:noProof/>
                <w:webHidden/>
              </w:rPr>
              <w:tab/>
            </w:r>
            <w:r>
              <w:rPr>
                <w:noProof/>
                <w:webHidden/>
              </w:rPr>
              <w:fldChar w:fldCharType="begin"/>
            </w:r>
            <w:r w:rsidR="00E43452">
              <w:rPr>
                <w:noProof/>
                <w:webHidden/>
              </w:rPr>
              <w:instrText xml:space="preserve"> PAGEREF _Toc183244038 \h </w:instrText>
            </w:r>
            <w:r>
              <w:rPr>
                <w:noProof/>
                <w:webHidden/>
              </w:rPr>
            </w:r>
            <w:r>
              <w:rPr>
                <w:noProof/>
                <w:webHidden/>
              </w:rPr>
              <w:fldChar w:fldCharType="separate"/>
            </w:r>
            <w:r w:rsidR="00972304">
              <w:rPr>
                <w:noProof/>
                <w:webHidden/>
              </w:rPr>
              <w:t>4</w:t>
            </w:r>
            <w:r>
              <w:rPr>
                <w:noProof/>
                <w:webHidden/>
              </w:rPr>
              <w:fldChar w:fldCharType="end"/>
            </w:r>
          </w:hyperlink>
        </w:p>
        <w:p w:rsidR="00E43452" w:rsidRDefault="00A1363E" w:rsidP="00E43452">
          <w:pPr>
            <w:pStyle w:val="TOC2"/>
            <w:tabs>
              <w:tab w:val="right" w:leader="dot" w:pos="9016"/>
            </w:tabs>
            <w:rPr>
              <w:rFonts w:eastAsiaTheme="minorEastAsia"/>
              <w:noProof/>
              <w:lang w:eastAsia="en-GB"/>
            </w:rPr>
          </w:pPr>
          <w:hyperlink w:anchor="_Toc183244039" w:history="1">
            <w:r w:rsidR="00E43452" w:rsidRPr="00DB0960">
              <w:rPr>
                <w:rStyle w:val="Hyperlink"/>
                <w:noProof/>
              </w:rPr>
              <w:t>The Activity Metric</w:t>
            </w:r>
            <w:r w:rsidR="00E43452">
              <w:rPr>
                <w:noProof/>
                <w:webHidden/>
              </w:rPr>
              <w:tab/>
            </w:r>
            <w:r>
              <w:rPr>
                <w:noProof/>
                <w:webHidden/>
              </w:rPr>
              <w:fldChar w:fldCharType="begin"/>
            </w:r>
            <w:r w:rsidR="00E43452">
              <w:rPr>
                <w:noProof/>
                <w:webHidden/>
              </w:rPr>
              <w:instrText xml:space="preserve"> PAGEREF _Toc183244039 \h </w:instrText>
            </w:r>
            <w:r>
              <w:rPr>
                <w:noProof/>
                <w:webHidden/>
              </w:rPr>
            </w:r>
            <w:r>
              <w:rPr>
                <w:noProof/>
                <w:webHidden/>
              </w:rPr>
              <w:fldChar w:fldCharType="separate"/>
            </w:r>
            <w:r w:rsidR="00972304">
              <w:rPr>
                <w:noProof/>
                <w:webHidden/>
              </w:rPr>
              <w:t>4</w:t>
            </w:r>
            <w:r>
              <w:rPr>
                <w:noProof/>
                <w:webHidden/>
              </w:rPr>
              <w:fldChar w:fldCharType="end"/>
            </w:r>
          </w:hyperlink>
        </w:p>
        <w:p w:rsidR="00E43452" w:rsidRDefault="00A1363E" w:rsidP="00E43452">
          <w:pPr>
            <w:pStyle w:val="TOC2"/>
            <w:tabs>
              <w:tab w:val="right" w:leader="dot" w:pos="9016"/>
            </w:tabs>
            <w:rPr>
              <w:rFonts w:eastAsiaTheme="minorEastAsia"/>
              <w:noProof/>
              <w:lang w:eastAsia="en-GB"/>
            </w:rPr>
          </w:pPr>
          <w:hyperlink w:anchor="_Toc183244040" w:history="1">
            <w:r w:rsidR="00E43452" w:rsidRPr="00DB0960">
              <w:rPr>
                <w:rStyle w:val="Hyperlink"/>
                <w:noProof/>
              </w:rPr>
              <w:t>Longitudinal Study</w:t>
            </w:r>
            <w:r w:rsidR="00E43452">
              <w:rPr>
                <w:noProof/>
                <w:webHidden/>
              </w:rPr>
              <w:tab/>
            </w:r>
            <w:r>
              <w:rPr>
                <w:noProof/>
                <w:webHidden/>
              </w:rPr>
              <w:fldChar w:fldCharType="begin"/>
            </w:r>
            <w:r w:rsidR="00E43452">
              <w:rPr>
                <w:noProof/>
                <w:webHidden/>
              </w:rPr>
              <w:instrText xml:space="preserve"> PAGEREF _Toc183244040 \h </w:instrText>
            </w:r>
            <w:r>
              <w:rPr>
                <w:noProof/>
                <w:webHidden/>
              </w:rPr>
            </w:r>
            <w:r>
              <w:rPr>
                <w:noProof/>
                <w:webHidden/>
              </w:rPr>
              <w:fldChar w:fldCharType="separate"/>
            </w:r>
            <w:r w:rsidR="00972304">
              <w:rPr>
                <w:noProof/>
                <w:webHidden/>
              </w:rPr>
              <w:t>4</w:t>
            </w:r>
            <w:r>
              <w:rPr>
                <w:noProof/>
                <w:webHidden/>
              </w:rPr>
              <w:fldChar w:fldCharType="end"/>
            </w:r>
          </w:hyperlink>
        </w:p>
        <w:p w:rsidR="00E43452" w:rsidRDefault="00A1363E" w:rsidP="00E43452">
          <w:pPr>
            <w:pStyle w:val="TOC1"/>
            <w:tabs>
              <w:tab w:val="right" w:leader="dot" w:pos="9016"/>
            </w:tabs>
            <w:rPr>
              <w:noProof/>
            </w:rPr>
          </w:pPr>
          <w:hyperlink w:anchor="_Toc183244041" w:history="1">
            <w:r w:rsidR="00E43452" w:rsidRPr="00DB0960">
              <w:rPr>
                <w:rStyle w:val="Hyperlink"/>
                <w:noProof/>
              </w:rPr>
              <w:t>Results</w:t>
            </w:r>
            <w:r w:rsidR="00E43452">
              <w:rPr>
                <w:noProof/>
                <w:webHidden/>
              </w:rPr>
              <w:tab/>
            </w:r>
            <w:r>
              <w:rPr>
                <w:noProof/>
                <w:webHidden/>
              </w:rPr>
              <w:fldChar w:fldCharType="begin"/>
            </w:r>
            <w:r w:rsidR="00E43452">
              <w:rPr>
                <w:noProof/>
                <w:webHidden/>
              </w:rPr>
              <w:instrText xml:space="preserve"> PAGEREF _Toc183244041 \h </w:instrText>
            </w:r>
            <w:r>
              <w:rPr>
                <w:noProof/>
                <w:webHidden/>
              </w:rPr>
            </w:r>
            <w:r>
              <w:rPr>
                <w:noProof/>
                <w:webHidden/>
              </w:rPr>
              <w:fldChar w:fldCharType="separate"/>
            </w:r>
            <w:r w:rsidR="00972304">
              <w:rPr>
                <w:noProof/>
                <w:webHidden/>
              </w:rPr>
              <w:t>5</w:t>
            </w:r>
            <w:r>
              <w:rPr>
                <w:noProof/>
                <w:webHidden/>
              </w:rPr>
              <w:fldChar w:fldCharType="end"/>
            </w:r>
          </w:hyperlink>
        </w:p>
        <w:p w:rsidR="00E43452" w:rsidRDefault="00A1363E" w:rsidP="00E43452">
          <w:pPr>
            <w:pStyle w:val="TOC2"/>
            <w:tabs>
              <w:tab w:val="right" w:leader="dot" w:pos="9016"/>
            </w:tabs>
            <w:rPr>
              <w:rFonts w:eastAsiaTheme="minorEastAsia"/>
              <w:noProof/>
              <w:lang w:eastAsia="en-GB"/>
            </w:rPr>
          </w:pPr>
          <w:hyperlink w:anchor="_Toc183244042" w:history="1">
            <w:r w:rsidR="00E43452" w:rsidRPr="00DB0960">
              <w:rPr>
                <w:rStyle w:val="Hyperlink"/>
                <w:noProof/>
              </w:rPr>
              <w:t>Raw Data Table</w:t>
            </w:r>
            <w:r w:rsidR="00E43452">
              <w:rPr>
                <w:noProof/>
                <w:webHidden/>
              </w:rPr>
              <w:tab/>
            </w:r>
            <w:r>
              <w:rPr>
                <w:noProof/>
                <w:webHidden/>
              </w:rPr>
              <w:fldChar w:fldCharType="begin"/>
            </w:r>
            <w:r w:rsidR="00E43452">
              <w:rPr>
                <w:noProof/>
                <w:webHidden/>
              </w:rPr>
              <w:instrText xml:space="preserve"> PAGEREF _Toc183244042 \h </w:instrText>
            </w:r>
            <w:r>
              <w:rPr>
                <w:noProof/>
                <w:webHidden/>
              </w:rPr>
            </w:r>
            <w:r>
              <w:rPr>
                <w:noProof/>
                <w:webHidden/>
              </w:rPr>
              <w:fldChar w:fldCharType="separate"/>
            </w:r>
            <w:r w:rsidR="00972304">
              <w:rPr>
                <w:noProof/>
                <w:webHidden/>
              </w:rPr>
              <w:t>7</w:t>
            </w:r>
            <w:r>
              <w:rPr>
                <w:noProof/>
                <w:webHidden/>
              </w:rPr>
              <w:fldChar w:fldCharType="end"/>
            </w:r>
          </w:hyperlink>
        </w:p>
        <w:p w:rsidR="00E43452" w:rsidRDefault="00A1363E" w:rsidP="00E43452">
          <w:pPr>
            <w:pStyle w:val="TOC2"/>
            <w:tabs>
              <w:tab w:val="right" w:leader="dot" w:pos="9016"/>
            </w:tabs>
            <w:rPr>
              <w:rFonts w:eastAsiaTheme="minorEastAsia"/>
              <w:noProof/>
              <w:lang w:eastAsia="en-GB"/>
            </w:rPr>
          </w:pPr>
          <w:hyperlink w:anchor="_Toc183244043" w:history="1">
            <w:r w:rsidR="00E43452" w:rsidRPr="00DB0960">
              <w:rPr>
                <w:rStyle w:val="Hyperlink"/>
                <w:noProof/>
              </w:rPr>
              <w:t>Average Activity per Repository</w:t>
            </w:r>
            <w:r w:rsidR="00E43452">
              <w:rPr>
                <w:noProof/>
                <w:webHidden/>
              </w:rPr>
              <w:tab/>
            </w:r>
            <w:r>
              <w:rPr>
                <w:noProof/>
                <w:webHidden/>
              </w:rPr>
              <w:fldChar w:fldCharType="begin"/>
            </w:r>
            <w:r w:rsidR="00E43452">
              <w:rPr>
                <w:noProof/>
                <w:webHidden/>
              </w:rPr>
              <w:instrText xml:space="preserve"> PAGEREF _Toc183244043 \h </w:instrText>
            </w:r>
            <w:r>
              <w:rPr>
                <w:noProof/>
                <w:webHidden/>
              </w:rPr>
            </w:r>
            <w:r>
              <w:rPr>
                <w:noProof/>
                <w:webHidden/>
              </w:rPr>
              <w:fldChar w:fldCharType="separate"/>
            </w:r>
            <w:r w:rsidR="00972304">
              <w:rPr>
                <w:noProof/>
                <w:webHidden/>
              </w:rPr>
              <w:t>8</w:t>
            </w:r>
            <w:r>
              <w:rPr>
                <w:noProof/>
                <w:webHidden/>
              </w:rPr>
              <w:fldChar w:fldCharType="end"/>
            </w:r>
          </w:hyperlink>
        </w:p>
        <w:p w:rsidR="00E43452" w:rsidRDefault="00A1363E" w:rsidP="00E43452">
          <w:pPr>
            <w:pStyle w:val="TOC2"/>
            <w:tabs>
              <w:tab w:val="right" w:leader="dot" w:pos="9016"/>
            </w:tabs>
            <w:rPr>
              <w:rFonts w:eastAsiaTheme="minorEastAsia"/>
              <w:noProof/>
              <w:lang w:eastAsia="en-GB"/>
            </w:rPr>
          </w:pPr>
          <w:hyperlink w:anchor="_Toc183244044" w:history="1">
            <w:r w:rsidR="00E43452" w:rsidRPr="00DB0960">
              <w:rPr>
                <w:rStyle w:val="Hyperlink"/>
                <w:noProof/>
              </w:rPr>
              <w:t>Weighted Average Repository Activity</w:t>
            </w:r>
            <w:r w:rsidR="00E43452">
              <w:rPr>
                <w:noProof/>
                <w:webHidden/>
              </w:rPr>
              <w:tab/>
            </w:r>
            <w:r>
              <w:rPr>
                <w:noProof/>
                <w:webHidden/>
              </w:rPr>
              <w:fldChar w:fldCharType="begin"/>
            </w:r>
            <w:r w:rsidR="00E43452">
              <w:rPr>
                <w:noProof/>
                <w:webHidden/>
              </w:rPr>
              <w:instrText xml:space="preserve"> PAGEREF _Toc183244044 \h </w:instrText>
            </w:r>
            <w:r>
              <w:rPr>
                <w:noProof/>
                <w:webHidden/>
              </w:rPr>
            </w:r>
            <w:r>
              <w:rPr>
                <w:noProof/>
                <w:webHidden/>
              </w:rPr>
              <w:fldChar w:fldCharType="separate"/>
            </w:r>
            <w:r w:rsidR="00972304">
              <w:rPr>
                <w:noProof/>
                <w:webHidden/>
              </w:rPr>
              <w:t>8</w:t>
            </w:r>
            <w:r>
              <w:rPr>
                <w:noProof/>
                <w:webHidden/>
              </w:rPr>
              <w:fldChar w:fldCharType="end"/>
            </w:r>
          </w:hyperlink>
        </w:p>
        <w:p w:rsidR="00E43452" w:rsidRDefault="00A1363E" w:rsidP="00E43452">
          <w:pPr>
            <w:pStyle w:val="TOC1"/>
            <w:tabs>
              <w:tab w:val="right" w:leader="dot" w:pos="9016"/>
            </w:tabs>
            <w:rPr>
              <w:noProof/>
            </w:rPr>
          </w:pPr>
          <w:hyperlink w:anchor="_Toc183244045" w:history="1">
            <w:r w:rsidR="00E43452" w:rsidRPr="00DB0960">
              <w:rPr>
                <w:rStyle w:val="Hyperlink"/>
                <w:noProof/>
              </w:rPr>
              <w:t>References</w:t>
            </w:r>
            <w:r w:rsidR="00E43452">
              <w:rPr>
                <w:noProof/>
                <w:webHidden/>
              </w:rPr>
              <w:tab/>
            </w:r>
            <w:r>
              <w:rPr>
                <w:noProof/>
                <w:webHidden/>
              </w:rPr>
              <w:fldChar w:fldCharType="begin"/>
            </w:r>
            <w:r w:rsidR="00E43452">
              <w:rPr>
                <w:noProof/>
                <w:webHidden/>
              </w:rPr>
              <w:instrText xml:space="preserve"> PAGEREF _Toc183244045 \h </w:instrText>
            </w:r>
            <w:r>
              <w:rPr>
                <w:noProof/>
                <w:webHidden/>
              </w:rPr>
            </w:r>
            <w:r>
              <w:rPr>
                <w:noProof/>
                <w:webHidden/>
              </w:rPr>
              <w:fldChar w:fldCharType="separate"/>
            </w:r>
            <w:r w:rsidR="00972304">
              <w:rPr>
                <w:noProof/>
                <w:webHidden/>
              </w:rPr>
              <w:t>10</w:t>
            </w:r>
            <w:r>
              <w:rPr>
                <w:noProof/>
                <w:webHidden/>
              </w:rPr>
              <w:fldChar w:fldCharType="end"/>
            </w:r>
          </w:hyperlink>
        </w:p>
        <w:p w:rsidR="00E43452" w:rsidRDefault="00A1363E" w:rsidP="00E43452">
          <w:r>
            <w:fldChar w:fldCharType="end"/>
          </w:r>
        </w:p>
      </w:sdtContent>
    </w:sdt>
    <w:p w:rsidR="00E43452" w:rsidRDefault="00E43452">
      <w:pPr>
        <w:rPr>
          <w:rFonts w:asciiTheme="majorHAnsi" w:eastAsiaTheme="majorEastAsia" w:hAnsiTheme="majorHAnsi" w:cstheme="majorBidi"/>
          <w:b/>
          <w:bCs/>
          <w:color w:val="365F91" w:themeColor="accent1" w:themeShade="BF"/>
          <w:sz w:val="28"/>
          <w:szCs w:val="28"/>
        </w:rPr>
      </w:pPr>
      <w:r>
        <w:br w:type="page"/>
      </w:r>
    </w:p>
    <w:p w:rsidR="00F23170" w:rsidRDefault="00F23170" w:rsidP="00F23170">
      <w:pPr>
        <w:pStyle w:val="Heading1"/>
      </w:pPr>
      <w:r>
        <w:lastRenderedPageBreak/>
        <w:t>Brief</w:t>
      </w:r>
      <w:bookmarkEnd w:id="2"/>
    </w:p>
    <w:p w:rsidR="00F23170" w:rsidRDefault="00CD675E" w:rsidP="00F23170">
      <w:r>
        <w:t>Perform a longitudinal comparison of UK institutional repository activity using our ‘activity’ metric.</w:t>
      </w:r>
    </w:p>
    <w:p w:rsidR="00CD675E" w:rsidRDefault="00CD675E" w:rsidP="00CD675E">
      <w:pPr>
        <w:pStyle w:val="Heading1"/>
      </w:pPr>
      <w:bookmarkStart w:id="3" w:name="_Toc183244038"/>
      <w:r>
        <w:t>Design</w:t>
      </w:r>
      <w:bookmarkEnd w:id="3"/>
    </w:p>
    <w:p w:rsidR="00CD675E" w:rsidRDefault="00CD675E" w:rsidP="00CD675E">
      <w:pPr>
        <w:pStyle w:val="Heading2"/>
      </w:pPr>
      <w:bookmarkStart w:id="4" w:name="_Toc183244039"/>
      <w:r>
        <w:t>The Activity Metric</w:t>
      </w:r>
      <w:bookmarkEnd w:id="4"/>
    </w:p>
    <w:p w:rsidR="00CD675E" w:rsidRDefault="00CD675E" w:rsidP="00CD675E">
      <w:r>
        <w:t xml:space="preserve">In Carr 2007 we describe a method of evaluating the degree of </w:t>
      </w:r>
      <w:r>
        <w:rPr>
          <w:i/>
        </w:rPr>
        <w:t>activity</w:t>
      </w:r>
      <w:r>
        <w:t xml:space="preserve"> an IR has based on the </w:t>
      </w:r>
      <w:r w:rsidR="004E1B5A">
        <w:t>frequency of record deposits</w:t>
      </w:r>
      <w:r>
        <w:t xml:space="preserve">. </w:t>
      </w:r>
      <w:r w:rsidR="004E1B5A">
        <w:t>The goal of measuring activity is to determine the degree to which faculty are using their IR, which is critical to the long-term success of IRs and to getting Open Access to UK research output. W</w:t>
      </w:r>
      <w:r>
        <w:t xml:space="preserve">e argue that </w:t>
      </w:r>
      <w:r w:rsidR="004E1B5A">
        <w:t xml:space="preserve">activity is a better measure of IR success than </w:t>
      </w:r>
      <w:r>
        <w:t xml:space="preserve">the total number of records, because often </w:t>
      </w:r>
      <w:r w:rsidR="004E1B5A">
        <w:t xml:space="preserve">the total </w:t>
      </w:r>
      <w:r>
        <w:t xml:space="preserve">can be inflated by </w:t>
      </w:r>
      <w:r w:rsidR="004E1B5A">
        <w:t xml:space="preserve">the bulk import of data sets or </w:t>
      </w:r>
      <w:r>
        <w:t>existing bibliographic data.</w:t>
      </w:r>
    </w:p>
    <w:p w:rsidR="00913F6D" w:rsidRDefault="00913F6D" w:rsidP="00913F6D">
      <w:r>
        <w:t xml:space="preserve">Instead of measuring the total number of records in an IR, activity counts the number of days </w:t>
      </w:r>
      <w:r w:rsidR="004E1B5A">
        <w:t xml:space="preserve">in which </w:t>
      </w:r>
      <w:r>
        <w:t xml:space="preserve">deposits have been made in. This is further broken down into three broad categories of ‘low’, ‘medium’ and ‘high’ daily activity which correspond </w:t>
      </w:r>
      <w:r w:rsidR="004E1B5A">
        <w:t xml:space="preserve">respectively </w:t>
      </w:r>
      <w:r>
        <w:t xml:space="preserve">to 1-9 deposits, 10-99 deposits </w:t>
      </w:r>
      <w:r w:rsidR="004E1B5A">
        <w:t xml:space="preserve">or </w:t>
      </w:r>
      <w:r>
        <w:t xml:space="preserve">100 deposits or more. Broadly speaking an </w:t>
      </w:r>
      <w:r w:rsidR="004E1B5A">
        <w:t xml:space="preserve">IR </w:t>
      </w:r>
      <w:r>
        <w:t xml:space="preserve">will want to have consistent ‘medium’ activity, which reflects ongoing, </w:t>
      </w:r>
      <w:r w:rsidR="004E1B5A">
        <w:t xml:space="preserve">substantial </w:t>
      </w:r>
      <w:r>
        <w:t xml:space="preserve">use of the </w:t>
      </w:r>
      <w:r w:rsidR="004E1B5A">
        <w:t xml:space="preserve">IR </w:t>
      </w:r>
      <w:r>
        <w:t xml:space="preserve">by a significant number of faculty. Of course these boundaries are artificial and, ideally, would be adjusted for the </w:t>
      </w:r>
      <w:r w:rsidR="004E1B5A">
        <w:t>amount</w:t>
      </w:r>
      <w:r>
        <w:t xml:space="preserve"> of research activity in each institution.</w:t>
      </w:r>
    </w:p>
    <w:p w:rsidR="00913F6D" w:rsidRDefault="00913F6D" w:rsidP="00913F6D">
      <w:pPr>
        <w:pStyle w:val="Heading2"/>
      </w:pPr>
      <w:bookmarkStart w:id="5" w:name="_Toc183244040"/>
      <w:r>
        <w:t>Longitudinal Study</w:t>
      </w:r>
      <w:bookmarkEnd w:id="5"/>
    </w:p>
    <w:p w:rsidR="00913F6D" w:rsidRDefault="00913F6D" w:rsidP="00913F6D">
      <w:r>
        <w:t>The goal of this study is to develop a mechanism for assessing the success (or not) of the investment in UK IR capability. That investment has two outputs: the setting up of IRs and the deposit of research outputs in those IRs.</w:t>
      </w:r>
      <w:r w:rsidR="00F500C1">
        <w:t xml:space="preserve"> Identifying the number of IR installations is relatively easy as both of the main IR registries </w:t>
      </w:r>
      <w:r w:rsidR="004E1B5A">
        <w:t xml:space="preserve">(OpenDOAR and ROAR) </w:t>
      </w:r>
      <w:r w:rsidR="00F500C1">
        <w:t xml:space="preserve">can provide this data. </w:t>
      </w:r>
      <w:r w:rsidR="00A1363E">
        <w:fldChar w:fldCharType="begin"/>
      </w:r>
      <w:r w:rsidR="00F500C1">
        <w:instrText xml:space="preserve"> REF _Ref183239883 \h </w:instrText>
      </w:r>
      <w:r w:rsidR="00A1363E">
        <w:fldChar w:fldCharType="separate"/>
      </w:r>
      <w:r w:rsidR="00972304">
        <w:t xml:space="preserve">Figure </w:t>
      </w:r>
      <w:r w:rsidR="00972304">
        <w:rPr>
          <w:noProof/>
        </w:rPr>
        <w:t>1</w:t>
      </w:r>
      <w:r w:rsidR="00A1363E">
        <w:fldChar w:fldCharType="end"/>
      </w:r>
      <w:r w:rsidR="00F500C1">
        <w:t xml:space="preserve"> shows the number of UK IRs registered in OpenDOAR and </w:t>
      </w:r>
      <w:r w:rsidR="00A1363E">
        <w:fldChar w:fldCharType="begin"/>
      </w:r>
      <w:r w:rsidR="00F500C1">
        <w:instrText xml:space="preserve"> REF _Ref183239902 \h </w:instrText>
      </w:r>
      <w:r w:rsidR="00A1363E">
        <w:fldChar w:fldCharType="separate"/>
      </w:r>
      <w:r w:rsidR="00972304">
        <w:t xml:space="preserve">Figure </w:t>
      </w:r>
      <w:r w:rsidR="00972304">
        <w:rPr>
          <w:noProof/>
        </w:rPr>
        <w:t>2</w:t>
      </w:r>
      <w:r w:rsidR="00A1363E">
        <w:fldChar w:fldCharType="end"/>
      </w:r>
      <w:r w:rsidR="00F500C1">
        <w:t xml:space="preserve"> for ROAR</w:t>
      </w:r>
      <w:r w:rsidR="004E1B5A">
        <w:t>, which have 84 and 65 registered IRs respectively</w:t>
      </w:r>
      <w:r w:rsidR="00F500C1">
        <w:rPr>
          <w:rStyle w:val="FootnoteReference"/>
        </w:rPr>
        <w:footnoteReference w:id="2"/>
      </w:r>
      <w:r w:rsidR="00F500C1">
        <w:t xml:space="preserve">. In the RAE 2001 there were submissions from 173 HE institutions, which suggests there remain a number of </w:t>
      </w:r>
      <w:r w:rsidR="004E1B5A">
        <w:t xml:space="preserve">research-active HE </w:t>
      </w:r>
      <w:r w:rsidR="00F500C1">
        <w:t xml:space="preserve">institutions that have not </w:t>
      </w:r>
      <w:r w:rsidR="004E1B5A">
        <w:t xml:space="preserve">yet </w:t>
      </w:r>
      <w:r w:rsidR="00F500C1">
        <w:t>implemented an IR.</w:t>
      </w:r>
    </w:p>
    <w:p w:rsidR="00F500C1" w:rsidRDefault="004E1B5A" w:rsidP="00913F6D">
      <w:r>
        <w:t>Applying</w:t>
      </w:r>
      <w:r w:rsidR="00F500C1">
        <w:t xml:space="preserve"> the activity metric </w:t>
      </w:r>
      <w:r>
        <w:t xml:space="preserve">at the level of the </w:t>
      </w:r>
      <w:r w:rsidR="00F500C1">
        <w:t xml:space="preserve">UK has required aggregating the activity of all UK IRs. This presents some problems, for instance if one normalises the total activity by dividing by the number of active repositories, then the rapid increase in the number of repositories (but lack of corresponding </w:t>
      </w:r>
      <w:r w:rsidR="00F500C1">
        <w:rPr>
          <w:b/>
        </w:rPr>
        <w:t>use</w:t>
      </w:r>
      <w:r w:rsidR="00F500C1">
        <w:t xml:space="preserve"> of those repositories) would appear to show a </w:t>
      </w:r>
      <w:r w:rsidR="00F500C1">
        <w:rPr>
          <w:i/>
        </w:rPr>
        <w:t>decrease</w:t>
      </w:r>
      <w:r w:rsidR="00F500C1">
        <w:t xml:space="preserve"> in activity. This is obviously not the case – that there is increasing IR capacity doesn’t infer that activity is dropping.</w:t>
      </w:r>
    </w:p>
    <w:p w:rsidR="00B37BDF" w:rsidRPr="00F500C1" w:rsidRDefault="00B37BDF" w:rsidP="00913F6D">
      <w:r>
        <w:t xml:space="preserve">In order to evaluate activity across the UK we have provided a series of metrics. The last of these is to simply count the total number of repository-active days (i.e. across all active repositories, how many days have been ‘active’ in the given year). This is the current metric we would like to use, as it - with the low/medium/high breakdown - gives a clear view of total IR activity across the UK. As UK IR activity approaches saturation we expect to see close to 220 (available work days) times the </w:t>
      </w:r>
      <w:r>
        <w:lastRenderedPageBreak/>
        <w:t>number of HE institutions’ (about 173 based on RAE 2001) repository-activity days</w:t>
      </w:r>
      <w:r w:rsidR="004E1B5A">
        <w:t xml:space="preserve"> i.e.</w:t>
      </w:r>
      <w:r>
        <w:t xml:space="preserve"> </w:t>
      </w:r>
      <w:r w:rsidRPr="00B37BDF">
        <w:t>38</w:t>
      </w:r>
      <w:r>
        <w:t>,</w:t>
      </w:r>
      <w:r w:rsidRPr="00B37BDF">
        <w:t>060</w:t>
      </w:r>
      <w:r>
        <w:t xml:space="preserve"> </w:t>
      </w:r>
      <w:r w:rsidR="004E1B5A">
        <w:t xml:space="preserve">repository-active </w:t>
      </w:r>
      <w:r>
        <w:t>days per annum.</w:t>
      </w:r>
    </w:p>
    <w:p w:rsidR="00F500C1" w:rsidRDefault="00F500C1" w:rsidP="00F500C1">
      <w:pPr>
        <w:keepNext/>
      </w:pPr>
      <w:r w:rsidRPr="00F500C1">
        <w:rPr>
          <w:noProof/>
          <w:lang w:eastAsia="en-GB"/>
        </w:rPr>
        <w:drawing>
          <wp:inline distT="0" distB="0" distL="0" distR="0">
            <wp:extent cx="5715000" cy="3333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15000" cy="3333750"/>
                    </a:xfrm>
                    <a:prstGeom prst="rect">
                      <a:avLst/>
                    </a:prstGeom>
                    <a:noFill/>
                    <a:ln w="9525">
                      <a:noFill/>
                      <a:miter lim="800000"/>
                      <a:headEnd/>
                      <a:tailEnd/>
                    </a:ln>
                  </pic:spPr>
                </pic:pic>
              </a:graphicData>
            </a:graphic>
          </wp:inline>
        </w:drawing>
      </w:r>
    </w:p>
    <w:p w:rsidR="00F500C1" w:rsidRDefault="00F500C1" w:rsidP="00F500C1">
      <w:pPr>
        <w:pStyle w:val="Caption"/>
        <w:rPr>
          <w:noProof/>
        </w:rPr>
      </w:pPr>
      <w:bookmarkStart w:id="6" w:name="_Ref183239883"/>
      <w:r>
        <w:t xml:space="preserve">Figure </w:t>
      </w:r>
      <w:fldSimple w:instr=" SEQ Figure \* ARABIC ">
        <w:r w:rsidR="00972304">
          <w:rPr>
            <w:noProof/>
          </w:rPr>
          <w:t>1</w:t>
        </w:r>
      </w:fldSimple>
      <w:bookmarkEnd w:id="6"/>
      <w:r>
        <w:t xml:space="preserve"> Number of UK Institutional </w:t>
      </w:r>
      <w:r>
        <w:rPr>
          <w:noProof/>
        </w:rPr>
        <w:t>Repositories registered in OpenDOAR over time (84 as-of 19</w:t>
      </w:r>
      <w:r w:rsidRPr="00F500C1">
        <w:rPr>
          <w:noProof/>
          <w:vertAlign w:val="superscript"/>
        </w:rPr>
        <w:t>th</w:t>
      </w:r>
      <w:r>
        <w:rPr>
          <w:noProof/>
        </w:rPr>
        <w:t xml:space="preserve"> November 2007).</w:t>
      </w:r>
    </w:p>
    <w:p w:rsidR="00F500C1" w:rsidRDefault="00F500C1" w:rsidP="00F500C1">
      <w:pPr>
        <w:keepNext/>
      </w:pPr>
      <w:r w:rsidRPr="00F500C1">
        <w:rPr>
          <w:noProof/>
          <w:lang w:eastAsia="en-GB"/>
        </w:rPr>
        <w:drawing>
          <wp:inline distT="0" distB="0" distL="0" distR="0">
            <wp:extent cx="5731510" cy="2149316"/>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731510" cy="2149316"/>
                    </a:xfrm>
                    <a:prstGeom prst="rect">
                      <a:avLst/>
                    </a:prstGeom>
                    <a:noFill/>
                    <a:ln w="9525">
                      <a:noFill/>
                      <a:miter lim="800000"/>
                      <a:headEnd/>
                      <a:tailEnd/>
                    </a:ln>
                  </pic:spPr>
                </pic:pic>
              </a:graphicData>
            </a:graphic>
          </wp:inline>
        </w:drawing>
      </w:r>
    </w:p>
    <w:p w:rsidR="00F500C1" w:rsidRDefault="00F500C1" w:rsidP="00F500C1">
      <w:pPr>
        <w:pStyle w:val="Caption"/>
      </w:pPr>
      <w:bookmarkStart w:id="7" w:name="_Ref183239902"/>
      <w:r>
        <w:t xml:space="preserve">Figure </w:t>
      </w:r>
      <w:fldSimple w:instr=" SEQ Figure \* ARABIC ">
        <w:r w:rsidR="00972304">
          <w:rPr>
            <w:noProof/>
          </w:rPr>
          <w:t>2</w:t>
        </w:r>
      </w:fldSimple>
      <w:bookmarkEnd w:id="7"/>
      <w:r>
        <w:t xml:space="preserve"> Number of UK Institutional Repositories in ROAR over time (65 as-of 19</w:t>
      </w:r>
      <w:r w:rsidRPr="00F500C1">
        <w:rPr>
          <w:vertAlign w:val="superscript"/>
        </w:rPr>
        <w:t>th</w:t>
      </w:r>
      <w:r>
        <w:t xml:space="preserve"> November 2007).</w:t>
      </w:r>
    </w:p>
    <w:p w:rsidR="00B37BDF" w:rsidRDefault="00B37BDF" w:rsidP="00B37BDF">
      <w:pPr>
        <w:pStyle w:val="Heading1"/>
      </w:pPr>
      <w:bookmarkStart w:id="8" w:name="_Toc183244041"/>
      <w:r>
        <w:t>Results</w:t>
      </w:r>
      <w:bookmarkEnd w:id="8"/>
    </w:p>
    <w:p w:rsidR="00B37BDF" w:rsidRDefault="00F03FDE" w:rsidP="00B37BDF">
      <w:r>
        <w:t>All t</w:t>
      </w:r>
      <w:r w:rsidR="00B37BDF">
        <w:t>he data used in this study comes from ROAR. A total of 65 U</w:t>
      </w:r>
      <w:r>
        <w:t>K IRs are registered, of which 4</w:t>
      </w:r>
      <w:r w:rsidR="00B37BDF">
        <w:t xml:space="preserve"> have no data available due to their OAI-PMH interface being unavailable or unknown</w:t>
      </w:r>
      <w:r>
        <w:t xml:space="preserve"> or just having no data for the period looked at</w:t>
      </w:r>
      <w:r w:rsidR="00B37BDF">
        <w:t>.</w:t>
      </w:r>
      <w:r>
        <w:t xml:space="preserve"> </w:t>
      </w:r>
      <w:r w:rsidR="00A1363E">
        <w:fldChar w:fldCharType="begin"/>
      </w:r>
      <w:r>
        <w:instrText xml:space="preserve"> REF _Ref183242397 \h </w:instrText>
      </w:r>
      <w:r w:rsidR="00A1363E">
        <w:fldChar w:fldCharType="separate"/>
      </w:r>
      <w:r w:rsidR="00972304">
        <w:t xml:space="preserve">Figure </w:t>
      </w:r>
      <w:r w:rsidR="00972304">
        <w:rPr>
          <w:noProof/>
        </w:rPr>
        <w:t>3</w:t>
      </w:r>
      <w:r w:rsidR="00A1363E">
        <w:fldChar w:fldCharType="end"/>
      </w:r>
      <w:r>
        <w:t xml:space="preserve"> shows the number of active repositories over time and </w:t>
      </w:r>
      <w:r w:rsidR="00A1363E">
        <w:fldChar w:fldCharType="begin"/>
      </w:r>
      <w:r>
        <w:instrText xml:space="preserve"> REF _Ref183242439 \h </w:instrText>
      </w:r>
      <w:r w:rsidR="00A1363E">
        <w:fldChar w:fldCharType="separate"/>
      </w:r>
      <w:r w:rsidR="00972304">
        <w:t xml:space="preserve">Figure </w:t>
      </w:r>
      <w:r w:rsidR="00972304">
        <w:rPr>
          <w:noProof/>
        </w:rPr>
        <w:t>4</w:t>
      </w:r>
      <w:r w:rsidR="00A1363E">
        <w:fldChar w:fldCharType="end"/>
      </w:r>
      <w:r>
        <w:t xml:space="preserve"> the total number of OAI-PMH records harvested from them.</w:t>
      </w:r>
    </w:p>
    <w:p w:rsidR="00F03FDE" w:rsidRDefault="00F03FDE" w:rsidP="00B37BDF">
      <w:r>
        <w:t xml:space="preserve">The total UK repository-active days were calculated for each year there has been an active repository (starting 1999). Two averages were also calculated: the average activity per-repository </w:t>
      </w:r>
      <w:r>
        <w:lastRenderedPageBreak/>
        <w:t>normalised by the number of days available (220) and the geometric-mean. These are described in the following sections.</w:t>
      </w:r>
    </w:p>
    <w:p w:rsidR="00F03FDE" w:rsidRDefault="00F03FDE" w:rsidP="00F03FDE">
      <w:pPr>
        <w:keepNext/>
      </w:pPr>
      <w:r w:rsidRPr="00F03FDE">
        <w:rPr>
          <w:noProof/>
          <w:lang w:eastAsia="en-GB"/>
        </w:rPr>
        <w:drawing>
          <wp:inline distT="0" distB="0" distL="0" distR="0">
            <wp:extent cx="5476875" cy="2743200"/>
            <wp:effectExtent l="19050" t="0" r="9525"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3FDE" w:rsidRPr="00B37BDF" w:rsidRDefault="00F03FDE" w:rsidP="00F03FDE">
      <w:pPr>
        <w:pStyle w:val="Caption"/>
      </w:pPr>
      <w:bookmarkStart w:id="9" w:name="_Ref183242397"/>
      <w:r>
        <w:t xml:space="preserve">Figure </w:t>
      </w:r>
      <w:fldSimple w:instr=" SEQ Figure \* ARABIC ">
        <w:r w:rsidR="00972304">
          <w:rPr>
            <w:noProof/>
          </w:rPr>
          <w:t>3</w:t>
        </w:r>
      </w:fldSimple>
      <w:bookmarkEnd w:id="9"/>
      <w:r>
        <w:t xml:space="preserve"> Active UK IRs registered in ROAR. Each repository must have had at least one record deposited in the year to be classed as ‘active’.</w:t>
      </w:r>
      <w:r w:rsidR="00F302A8">
        <w:t xml:space="preserve"> 2007 is upto November 19</w:t>
      </w:r>
      <w:r w:rsidR="00F302A8" w:rsidRPr="00F302A8">
        <w:rPr>
          <w:vertAlign w:val="superscript"/>
        </w:rPr>
        <w:t>th</w:t>
      </w:r>
      <w:r w:rsidR="00F302A8">
        <w:t>.</w:t>
      </w:r>
    </w:p>
    <w:p w:rsidR="00F03FDE" w:rsidRDefault="00F03FDE" w:rsidP="00F03FDE">
      <w:pPr>
        <w:keepNext/>
      </w:pPr>
      <w:r w:rsidRPr="00B37BDF">
        <w:rPr>
          <w:noProof/>
          <w:lang w:eastAsia="en-GB"/>
        </w:rPr>
        <w:drawing>
          <wp:inline distT="0" distB="0" distL="0" distR="0">
            <wp:extent cx="5486400" cy="2752725"/>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3FDE" w:rsidRDefault="00F03FDE" w:rsidP="00F03FDE">
      <w:pPr>
        <w:pStyle w:val="Caption"/>
      </w:pPr>
      <w:bookmarkStart w:id="10" w:name="_Ref183242439"/>
      <w:r>
        <w:t xml:space="preserve">Figure </w:t>
      </w:r>
      <w:fldSimple w:instr=" SEQ Figure \* ARABIC ">
        <w:r w:rsidR="00972304">
          <w:rPr>
            <w:noProof/>
          </w:rPr>
          <w:t>4</w:t>
        </w:r>
      </w:fldSimple>
      <w:bookmarkEnd w:id="10"/>
      <w:r>
        <w:t xml:space="preserve"> Total number of records deposited in UK IRs registered in ROAR. A </w:t>
      </w:r>
      <w:r>
        <w:rPr>
          <w:i/>
        </w:rPr>
        <w:t>record</w:t>
      </w:r>
      <w:r>
        <w:t xml:space="preserve"> is an OAI-PMH metadata record, hence may only contain metadata and no digital object(s).</w:t>
      </w:r>
      <w:r w:rsidR="00F302A8">
        <w:t xml:space="preserve"> 2007 is upto November 19</w:t>
      </w:r>
      <w:r w:rsidR="00F302A8" w:rsidRPr="00F302A8">
        <w:rPr>
          <w:vertAlign w:val="superscript"/>
        </w:rPr>
        <w:t>th</w:t>
      </w:r>
      <w:r w:rsidR="00F302A8">
        <w:t>.</w:t>
      </w:r>
    </w:p>
    <w:p w:rsidR="00F03FDE" w:rsidRDefault="00F03FDE" w:rsidP="00B37BDF">
      <w:pPr>
        <w:sectPr w:rsidR="00F03FDE" w:rsidSect="00E43452">
          <w:pgSz w:w="11906" w:h="16838"/>
          <w:pgMar w:top="1440" w:right="1440" w:bottom="1440" w:left="1440" w:header="708" w:footer="708" w:gutter="0"/>
          <w:cols w:space="708"/>
          <w:titlePg/>
          <w:docGrid w:linePitch="360"/>
        </w:sectPr>
      </w:pPr>
    </w:p>
    <w:p w:rsidR="00F03FDE" w:rsidRDefault="00F03FDE" w:rsidP="00F03FDE">
      <w:pPr>
        <w:pStyle w:val="Heading2"/>
      </w:pPr>
      <w:bookmarkStart w:id="11" w:name="_Toc183244042"/>
      <w:r>
        <w:lastRenderedPageBreak/>
        <w:t>Raw Data Table</w:t>
      </w:r>
      <w:bookmarkEnd w:id="11"/>
    </w:p>
    <w:tbl>
      <w:tblPr>
        <w:tblW w:w="13601" w:type="dxa"/>
        <w:tblInd w:w="103" w:type="dxa"/>
        <w:tblLook w:val="04A0"/>
      </w:tblPr>
      <w:tblGrid>
        <w:gridCol w:w="717"/>
        <w:gridCol w:w="1446"/>
        <w:gridCol w:w="928"/>
        <w:gridCol w:w="1599"/>
        <w:gridCol w:w="1235"/>
        <w:gridCol w:w="928"/>
        <w:gridCol w:w="1637"/>
        <w:gridCol w:w="1273"/>
        <w:gridCol w:w="928"/>
        <w:gridCol w:w="1637"/>
        <w:gridCol w:w="1273"/>
      </w:tblGrid>
      <w:tr w:rsidR="0018375B" w:rsidRPr="0018375B" w:rsidTr="0018375B">
        <w:trPr>
          <w:trHeight w:val="304"/>
        </w:trPr>
        <w:tc>
          <w:tcPr>
            <w:tcW w:w="717" w:type="dxa"/>
            <w:tcBorders>
              <w:top w:val="single" w:sz="4" w:space="0" w:color="95B3D7"/>
              <w:left w:val="single" w:sz="4" w:space="0" w:color="95B3D7"/>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Year</w:t>
            </w:r>
          </w:p>
        </w:tc>
        <w:tc>
          <w:tcPr>
            <w:tcW w:w="1446"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Repositories</w:t>
            </w:r>
          </w:p>
        </w:tc>
        <w:tc>
          <w:tcPr>
            <w:tcW w:w="928"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Low</w:t>
            </w:r>
          </w:p>
        </w:tc>
        <w:tc>
          <w:tcPr>
            <w:tcW w:w="1599"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Low GeoMean</w:t>
            </w:r>
          </w:p>
        </w:tc>
        <w:tc>
          <w:tcPr>
            <w:tcW w:w="1235"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Low Mean</w:t>
            </w:r>
          </w:p>
        </w:tc>
        <w:tc>
          <w:tcPr>
            <w:tcW w:w="928"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Med</w:t>
            </w:r>
          </w:p>
        </w:tc>
        <w:tc>
          <w:tcPr>
            <w:tcW w:w="1637"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Med GeoMean</w:t>
            </w:r>
          </w:p>
        </w:tc>
        <w:tc>
          <w:tcPr>
            <w:tcW w:w="1273"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Med Mean</w:t>
            </w:r>
          </w:p>
        </w:tc>
        <w:tc>
          <w:tcPr>
            <w:tcW w:w="928"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High</w:t>
            </w:r>
          </w:p>
        </w:tc>
        <w:tc>
          <w:tcPr>
            <w:tcW w:w="1637" w:type="dxa"/>
            <w:tcBorders>
              <w:top w:val="single" w:sz="4" w:space="0" w:color="95B3D7"/>
              <w:left w:val="nil"/>
              <w:bottom w:val="single" w:sz="4" w:space="0" w:color="95B3D7"/>
              <w:right w:val="nil"/>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High GeoMean</w:t>
            </w:r>
          </w:p>
        </w:tc>
        <w:tc>
          <w:tcPr>
            <w:tcW w:w="1273" w:type="dxa"/>
            <w:tcBorders>
              <w:top w:val="single" w:sz="4" w:space="0" w:color="95B3D7"/>
              <w:left w:val="nil"/>
              <w:bottom w:val="single" w:sz="4" w:space="0" w:color="95B3D7"/>
              <w:right w:val="single" w:sz="4" w:space="0" w:color="95B3D7"/>
            </w:tcBorders>
            <w:shd w:val="clear" w:color="4F81BD" w:fill="4F81BD"/>
            <w:noWrap/>
            <w:vAlign w:val="bottom"/>
            <w:hideMark/>
          </w:tcPr>
          <w:p w:rsidR="0018375B" w:rsidRPr="0018375B" w:rsidRDefault="0018375B" w:rsidP="0018375B">
            <w:pPr>
              <w:spacing w:after="0" w:line="240" w:lineRule="auto"/>
              <w:jc w:val="right"/>
              <w:rPr>
                <w:rFonts w:ascii="Calibri" w:eastAsia="Times New Roman" w:hAnsi="Calibri" w:cs="Times New Roman"/>
                <w:b/>
                <w:bCs/>
                <w:color w:val="FFFFFF"/>
                <w:sz w:val="20"/>
                <w:szCs w:val="20"/>
                <w:lang w:eastAsia="en-GB"/>
              </w:rPr>
            </w:pPr>
            <w:r w:rsidRPr="0018375B">
              <w:rPr>
                <w:rFonts w:ascii="Calibri" w:eastAsia="Times New Roman" w:hAnsi="Calibri" w:cs="Times New Roman"/>
                <w:b/>
                <w:bCs/>
                <w:color w:val="FFFFFF"/>
                <w:sz w:val="20"/>
                <w:szCs w:val="20"/>
                <w:lang w:eastAsia="en-GB"/>
              </w:rPr>
              <w:t>High Mean</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1999</w:t>
            </w:r>
          </w:p>
        </w:tc>
        <w:tc>
          <w:tcPr>
            <w:tcW w:w="1446"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53</w:t>
            </w:r>
          </w:p>
        </w:tc>
        <w:tc>
          <w:tcPr>
            <w:tcW w:w="1599"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53</w:t>
            </w:r>
          </w:p>
        </w:tc>
        <w:tc>
          <w:tcPr>
            <w:tcW w:w="1235"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0.24</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32</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32</w:t>
            </w:r>
          </w:p>
        </w:tc>
        <w:tc>
          <w:tcPr>
            <w:tcW w:w="1273"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0.15</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w:t>
            </w:r>
          </w:p>
        </w:tc>
        <w:tc>
          <w:tcPr>
            <w:tcW w:w="1273" w:type="dxa"/>
            <w:tcBorders>
              <w:top w:val="nil"/>
              <w:left w:val="nil"/>
              <w:bottom w:val="single" w:sz="4" w:space="0" w:color="95B3D7"/>
              <w:right w:val="single" w:sz="4" w:space="0" w:color="95B3D7"/>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0.01</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2000</w:t>
            </w:r>
          </w:p>
        </w:tc>
        <w:tc>
          <w:tcPr>
            <w:tcW w:w="1446"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119</w:t>
            </w:r>
          </w:p>
        </w:tc>
        <w:tc>
          <w:tcPr>
            <w:tcW w:w="1599"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119</w:t>
            </w:r>
          </w:p>
        </w:tc>
        <w:tc>
          <w:tcPr>
            <w:tcW w:w="1235"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0.54</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57</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57</w:t>
            </w:r>
          </w:p>
        </w:tc>
        <w:tc>
          <w:tcPr>
            <w:tcW w:w="1273"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0.26</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1273" w:type="dxa"/>
            <w:tcBorders>
              <w:top w:val="nil"/>
              <w:left w:val="nil"/>
              <w:bottom w:val="single" w:sz="4" w:space="0" w:color="95B3D7"/>
              <w:right w:val="single" w:sz="4" w:space="0" w:color="95B3D7"/>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2001</w:t>
            </w:r>
          </w:p>
        </w:tc>
        <w:tc>
          <w:tcPr>
            <w:tcW w:w="1446"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136</w:t>
            </w:r>
          </w:p>
        </w:tc>
        <w:tc>
          <w:tcPr>
            <w:tcW w:w="1599"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41</w:t>
            </w:r>
          </w:p>
        </w:tc>
        <w:tc>
          <w:tcPr>
            <w:tcW w:w="1235"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0.31</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22</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w:t>
            </w:r>
          </w:p>
        </w:tc>
        <w:tc>
          <w:tcPr>
            <w:tcW w:w="1273"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0.05</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1273" w:type="dxa"/>
            <w:tcBorders>
              <w:top w:val="nil"/>
              <w:left w:val="nil"/>
              <w:bottom w:val="single" w:sz="4" w:space="0" w:color="95B3D7"/>
              <w:right w:val="single" w:sz="4" w:space="0" w:color="95B3D7"/>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2002</w:t>
            </w:r>
          </w:p>
        </w:tc>
        <w:tc>
          <w:tcPr>
            <w:tcW w:w="1446"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107</w:t>
            </w:r>
          </w:p>
        </w:tc>
        <w:tc>
          <w:tcPr>
            <w:tcW w:w="1599"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23</w:t>
            </w:r>
          </w:p>
        </w:tc>
        <w:tc>
          <w:tcPr>
            <w:tcW w:w="1235"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0.24</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19</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19</w:t>
            </w:r>
          </w:p>
        </w:tc>
        <w:tc>
          <w:tcPr>
            <w:tcW w:w="1273"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0.04</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w:t>
            </w:r>
          </w:p>
        </w:tc>
        <w:tc>
          <w:tcPr>
            <w:tcW w:w="1273" w:type="dxa"/>
            <w:tcBorders>
              <w:top w:val="nil"/>
              <w:left w:val="nil"/>
              <w:bottom w:val="single" w:sz="4" w:space="0" w:color="95B3D7"/>
              <w:right w:val="single" w:sz="4" w:space="0" w:color="95B3D7"/>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2003</w:t>
            </w:r>
          </w:p>
        </w:tc>
        <w:tc>
          <w:tcPr>
            <w:tcW w:w="1446"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9</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190</w:t>
            </w:r>
          </w:p>
        </w:tc>
        <w:tc>
          <w:tcPr>
            <w:tcW w:w="1599"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8</w:t>
            </w:r>
          </w:p>
        </w:tc>
        <w:tc>
          <w:tcPr>
            <w:tcW w:w="1235"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0.10</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39</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w:t>
            </w:r>
          </w:p>
        </w:tc>
        <w:tc>
          <w:tcPr>
            <w:tcW w:w="1273"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0.02</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w:t>
            </w:r>
          </w:p>
        </w:tc>
        <w:tc>
          <w:tcPr>
            <w:tcW w:w="1273" w:type="dxa"/>
            <w:tcBorders>
              <w:top w:val="nil"/>
              <w:left w:val="nil"/>
              <w:bottom w:val="single" w:sz="4" w:space="0" w:color="95B3D7"/>
              <w:right w:val="single" w:sz="4" w:space="0" w:color="95B3D7"/>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2004</w:t>
            </w:r>
          </w:p>
        </w:tc>
        <w:tc>
          <w:tcPr>
            <w:tcW w:w="1446"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21</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607</w:t>
            </w:r>
          </w:p>
        </w:tc>
        <w:tc>
          <w:tcPr>
            <w:tcW w:w="1599"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13</w:t>
            </w:r>
          </w:p>
        </w:tc>
        <w:tc>
          <w:tcPr>
            <w:tcW w:w="1235"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0.13</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175</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w:t>
            </w:r>
          </w:p>
        </w:tc>
        <w:tc>
          <w:tcPr>
            <w:tcW w:w="1273"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0.04</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6</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w:t>
            </w:r>
          </w:p>
        </w:tc>
        <w:tc>
          <w:tcPr>
            <w:tcW w:w="1273" w:type="dxa"/>
            <w:tcBorders>
              <w:top w:val="nil"/>
              <w:left w:val="nil"/>
              <w:bottom w:val="single" w:sz="4" w:space="0" w:color="95B3D7"/>
              <w:right w:val="single" w:sz="4" w:space="0" w:color="95B3D7"/>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2005</w:t>
            </w:r>
          </w:p>
        </w:tc>
        <w:tc>
          <w:tcPr>
            <w:tcW w:w="1446"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39</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1251</w:t>
            </w:r>
          </w:p>
        </w:tc>
        <w:tc>
          <w:tcPr>
            <w:tcW w:w="1599"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22</w:t>
            </w:r>
          </w:p>
        </w:tc>
        <w:tc>
          <w:tcPr>
            <w:tcW w:w="1235"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0.15</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372</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4</w:t>
            </w:r>
          </w:p>
        </w:tc>
        <w:tc>
          <w:tcPr>
            <w:tcW w:w="1273"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0.04</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29</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w:t>
            </w:r>
          </w:p>
        </w:tc>
        <w:tc>
          <w:tcPr>
            <w:tcW w:w="1273" w:type="dxa"/>
            <w:tcBorders>
              <w:top w:val="nil"/>
              <w:left w:val="nil"/>
              <w:bottom w:val="single" w:sz="4" w:space="0" w:color="95B3D7"/>
              <w:right w:val="single" w:sz="4" w:space="0" w:color="95B3D7"/>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2006</w:t>
            </w:r>
          </w:p>
        </w:tc>
        <w:tc>
          <w:tcPr>
            <w:tcW w:w="1446"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58</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1923</w:t>
            </w:r>
          </w:p>
        </w:tc>
        <w:tc>
          <w:tcPr>
            <w:tcW w:w="1599"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15</w:t>
            </w:r>
          </w:p>
        </w:tc>
        <w:tc>
          <w:tcPr>
            <w:tcW w:w="1235"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0.15</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712</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8</w:t>
            </w:r>
          </w:p>
        </w:tc>
        <w:tc>
          <w:tcPr>
            <w:tcW w:w="1273"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0.06</w:t>
            </w:r>
          </w:p>
        </w:tc>
        <w:tc>
          <w:tcPr>
            <w:tcW w:w="928"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81</w:t>
            </w:r>
          </w:p>
        </w:tc>
        <w:tc>
          <w:tcPr>
            <w:tcW w:w="1637" w:type="dxa"/>
            <w:tcBorders>
              <w:top w:val="nil"/>
              <w:left w:val="nil"/>
              <w:bottom w:val="single" w:sz="4" w:space="0" w:color="95B3D7"/>
              <w:right w:val="nil"/>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3</w:t>
            </w:r>
          </w:p>
        </w:tc>
        <w:tc>
          <w:tcPr>
            <w:tcW w:w="1273" w:type="dxa"/>
            <w:tcBorders>
              <w:top w:val="nil"/>
              <w:left w:val="nil"/>
              <w:bottom w:val="single" w:sz="4" w:space="0" w:color="95B3D7"/>
              <w:right w:val="single" w:sz="4" w:space="0" w:color="95B3D7"/>
            </w:tcBorders>
            <w:shd w:val="clear" w:color="auto" w:fill="auto"/>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0.01</w:t>
            </w:r>
          </w:p>
        </w:tc>
      </w:tr>
      <w:tr w:rsidR="0018375B" w:rsidRPr="0018375B" w:rsidTr="0018375B">
        <w:trPr>
          <w:trHeight w:val="304"/>
        </w:trPr>
        <w:tc>
          <w:tcPr>
            <w:tcW w:w="717" w:type="dxa"/>
            <w:tcBorders>
              <w:top w:val="nil"/>
              <w:left w:val="single" w:sz="4" w:space="0" w:color="95B3D7"/>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2007</w:t>
            </w:r>
          </w:p>
        </w:tc>
        <w:tc>
          <w:tcPr>
            <w:tcW w:w="1446"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61</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2543</w:t>
            </w:r>
          </w:p>
        </w:tc>
        <w:tc>
          <w:tcPr>
            <w:tcW w:w="1599"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27</w:t>
            </w:r>
          </w:p>
        </w:tc>
        <w:tc>
          <w:tcPr>
            <w:tcW w:w="1235"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0.19</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925</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10</w:t>
            </w:r>
          </w:p>
        </w:tc>
        <w:tc>
          <w:tcPr>
            <w:tcW w:w="1273"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0.07</w:t>
            </w:r>
          </w:p>
        </w:tc>
        <w:tc>
          <w:tcPr>
            <w:tcW w:w="928"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18</w:t>
            </w:r>
          </w:p>
        </w:tc>
        <w:tc>
          <w:tcPr>
            <w:tcW w:w="1637" w:type="dxa"/>
            <w:tcBorders>
              <w:top w:val="nil"/>
              <w:left w:val="nil"/>
              <w:bottom w:val="single" w:sz="4" w:space="0" w:color="95B3D7"/>
              <w:right w:val="nil"/>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2</w:t>
            </w:r>
          </w:p>
        </w:tc>
        <w:tc>
          <w:tcPr>
            <w:tcW w:w="1273" w:type="dxa"/>
            <w:tcBorders>
              <w:top w:val="nil"/>
              <w:left w:val="nil"/>
              <w:bottom w:val="single" w:sz="4" w:space="0" w:color="95B3D7"/>
              <w:right w:val="single" w:sz="4" w:space="0" w:color="95B3D7"/>
            </w:tcBorders>
            <w:shd w:val="clear" w:color="DBE5F1" w:fill="DBE5F1"/>
            <w:noWrap/>
            <w:vAlign w:val="bottom"/>
            <w:hideMark/>
          </w:tcPr>
          <w:p w:rsidR="0018375B" w:rsidRPr="0018375B" w:rsidRDefault="0018375B" w:rsidP="0018375B">
            <w:pPr>
              <w:spacing w:after="0" w:line="240" w:lineRule="auto"/>
              <w:jc w:val="right"/>
              <w:rPr>
                <w:rFonts w:ascii="Calibri" w:eastAsia="Times New Roman" w:hAnsi="Calibri" w:cs="Times New Roman"/>
                <w:color w:val="000000"/>
                <w:sz w:val="20"/>
                <w:szCs w:val="20"/>
                <w:lang w:eastAsia="en-GB"/>
              </w:rPr>
            </w:pPr>
            <w:r w:rsidRPr="0018375B">
              <w:rPr>
                <w:rFonts w:ascii="Calibri" w:eastAsia="Times New Roman" w:hAnsi="Calibri" w:cs="Times New Roman"/>
                <w:color w:val="000000"/>
                <w:sz w:val="20"/>
                <w:szCs w:val="20"/>
                <w:lang w:eastAsia="en-GB"/>
              </w:rPr>
              <w:t>0.00</w:t>
            </w:r>
          </w:p>
        </w:tc>
      </w:tr>
    </w:tbl>
    <w:p w:rsidR="00F03FDE" w:rsidRDefault="00F03FDE" w:rsidP="00F03FDE">
      <w:pPr>
        <w:keepNext/>
      </w:pPr>
    </w:p>
    <w:p w:rsidR="00F03FDE" w:rsidRDefault="00F03FDE" w:rsidP="00F03FDE">
      <w:pPr>
        <w:pStyle w:val="Caption"/>
        <w:sectPr w:rsidR="00F03FDE" w:rsidSect="00F03FDE">
          <w:pgSz w:w="16838" w:h="11906" w:orient="landscape"/>
          <w:pgMar w:top="1440" w:right="1440" w:bottom="1440" w:left="1440" w:header="708" w:footer="708" w:gutter="0"/>
          <w:cols w:space="708"/>
          <w:docGrid w:linePitch="360"/>
        </w:sectPr>
      </w:pPr>
      <w:r>
        <w:t xml:space="preserve">Figure </w:t>
      </w:r>
      <w:fldSimple w:instr=" SEQ Figure \* ARABIC ">
        <w:r w:rsidR="00972304">
          <w:rPr>
            <w:noProof/>
          </w:rPr>
          <w:t>5</w:t>
        </w:r>
      </w:fldSimple>
      <w:r>
        <w:t xml:space="preserve"> ROAR does not provide aggregated activity data – activity metrics are only available per-repository and only for the last year. Therefore additional data was generated for this study based on the OAI-PMH records.</w:t>
      </w:r>
    </w:p>
    <w:p w:rsidR="00F03FDE" w:rsidRDefault="00F03FDE" w:rsidP="00B37BDF"/>
    <w:p w:rsidR="00F03FDE" w:rsidRDefault="00F03FDE" w:rsidP="00F03FDE">
      <w:pPr>
        <w:pStyle w:val="Heading2"/>
      </w:pPr>
      <w:bookmarkStart w:id="12" w:name="_Toc183244043"/>
      <w:r>
        <w:t>Average Activity per Repository</w:t>
      </w:r>
      <w:bookmarkEnd w:id="12"/>
    </w:p>
    <w:p w:rsidR="00F03FDE" w:rsidRDefault="00F03FDE" w:rsidP="00F03FDE">
      <w:r>
        <w:t xml:space="preserve">This is an attempt to normalise for the increase in the number of IRs over time. It is intended to show how high the activity is on a per-repository basis i.e. while it </w:t>
      </w:r>
      <w:r w:rsidR="0018375B">
        <w:t xml:space="preserve">may be </w:t>
      </w:r>
      <w:r>
        <w:t xml:space="preserve">relatively easy to install and set up IR software, how far have repository managers succeeded at getting their faculty to </w:t>
      </w:r>
      <w:r w:rsidR="004E1B5A">
        <w:t xml:space="preserve">actually </w:t>
      </w:r>
      <w:r>
        <w:rPr>
          <w:i/>
        </w:rPr>
        <w:t>use</w:t>
      </w:r>
      <w:r w:rsidR="0018375B">
        <w:t xml:space="preserve"> the IR?</w:t>
      </w:r>
    </w:p>
    <w:p w:rsidR="00F03FDE" w:rsidRPr="00930281" w:rsidRDefault="00F03FDE" w:rsidP="00F03FDE">
      <w:r>
        <w:t>The total repository-active days for the year were divided by the number of active IRs multiplied by the number of working days available (220). In 1999/2001 there was only one active IR (</w:t>
      </w:r>
      <w:r w:rsidR="00930281" w:rsidRPr="00930281">
        <w:rPr>
          <w:i/>
        </w:rPr>
        <w:t>University of Southampton: Department of Electronics and Computer Science</w:t>
      </w:r>
      <w:r w:rsidR="00930281">
        <w:t xml:space="preserve">). The </w:t>
      </w:r>
      <w:r w:rsidR="00930281">
        <w:rPr>
          <w:i/>
        </w:rPr>
        <w:t>decrease</w:t>
      </w:r>
      <w:r w:rsidR="00930281">
        <w:t xml:space="preserve"> in activity post-2000 is due to new IRs coming online, but without the level of activity that the existing repository had. The level of activity has steadily increased from 2003 onwards, suggesting that as IRs mature they attract more deposits. The majority of activity is still constrained to ‘low’, suggesting there is a lot of scope to increase the </w:t>
      </w:r>
      <w:r w:rsidR="00930281">
        <w:rPr>
          <w:i/>
        </w:rPr>
        <w:t>number</w:t>
      </w:r>
      <w:r w:rsidR="00930281">
        <w:t xml:space="preserve"> of deposits as well as the consistency.</w:t>
      </w:r>
    </w:p>
    <w:p w:rsidR="00F03FDE" w:rsidRDefault="00F03FDE" w:rsidP="00F03FDE">
      <w:pPr>
        <w:keepNext/>
      </w:pPr>
      <w:r w:rsidRPr="00F03FDE">
        <w:rPr>
          <w:noProof/>
          <w:lang w:eastAsia="en-GB"/>
        </w:rPr>
        <w:drawing>
          <wp:inline distT="0" distB="0" distL="0" distR="0">
            <wp:extent cx="5476875" cy="2743200"/>
            <wp:effectExtent l="19050" t="0" r="9525"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3FDE" w:rsidRDefault="00F03FDE" w:rsidP="00F03FDE">
      <w:pPr>
        <w:pStyle w:val="Caption"/>
      </w:pPr>
      <w:r>
        <w:t xml:space="preserve">Figure </w:t>
      </w:r>
      <w:fldSimple w:instr=" SEQ Figure \* ARABIC ">
        <w:r w:rsidR="00972304">
          <w:rPr>
            <w:noProof/>
          </w:rPr>
          <w:t>6</w:t>
        </w:r>
      </w:fldSimple>
      <w:r>
        <w:t xml:space="preserve"> The average active days per IR, as a percentage of total work days available (220).</w:t>
      </w:r>
    </w:p>
    <w:p w:rsidR="00930281" w:rsidRDefault="00930281" w:rsidP="00930281">
      <w:pPr>
        <w:pStyle w:val="Heading2"/>
      </w:pPr>
      <w:r>
        <w:t>Total UK Repository Active Days</w:t>
      </w:r>
    </w:p>
    <w:p w:rsidR="00930281" w:rsidRPr="00930281" w:rsidRDefault="00930281" w:rsidP="00930281">
      <w:r>
        <w:t xml:space="preserve">Each IR studied has low, medium and high days of activity. Totalling these gives us an approximation for the amount of use of those repositories by depositing users. </w:t>
      </w:r>
      <w:r w:rsidR="00A1363E">
        <w:fldChar w:fldCharType="begin"/>
      </w:r>
      <w:r>
        <w:instrText xml:space="preserve"> REF _Ref183244364 \h </w:instrText>
      </w:r>
      <w:r w:rsidR="00A1363E">
        <w:fldChar w:fldCharType="separate"/>
      </w:r>
      <w:r w:rsidR="0018375B">
        <w:t xml:space="preserve">Figure </w:t>
      </w:r>
      <w:r w:rsidR="0018375B">
        <w:rPr>
          <w:noProof/>
        </w:rPr>
        <w:t>7</w:t>
      </w:r>
      <w:r w:rsidR="00A1363E">
        <w:fldChar w:fldCharType="end"/>
      </w:r>
      <w:r>
        <w:t xml:space="preserve"> shows the total repository-active days across all UK IRs. The number of IRs has only significantly increased from 2003 onwards. As the number of IRs has steadily increased so has the total amount of activity.</w:t>
      </w:r>
      <w:r w:rsidR="00005F04">
        <w:t xml:space="preserve"> Most of this activity i</w:t>
      </w:r>
      <w:r w:rsidR="0043351E">
        <w:t>s less than 10 deposits per day, however.</w:t>
      </w:r>
    </w:p>
    <w:p w:rsidR="00930281" w:rsidRDefault="00930281" w:rsidP="00930281">
      <w:pPr>
        <w:keepNext/>
      </w:pPr>
      <w:r w:rsidRPr="00930281">
        <w:rPr>
          <w:noProof/>
          <w:lang w:eastAsia="en-GB"/>
        </w:rPr>
        <w:lastRenderedPageBreak/>
        <w:drawing>
          <wp:inline distT="0" distB="0" distL="0" distR="0">
            <wp:extent cx="5400675" cy="2743200"/>
            <wp:effectExtent l="19050" t="0" r="9525" b="0"/>
            <wp:docPr id="1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0281" w:rsidRDefault="00930281" w:rsidP="00930281">
      <w:pPr>
        <w:pStyle w:val="Caption"/>
      </w:pPr>
      <w:bookmarkStart w:id="13" w:name="_Ref183244364"/>
      <w:r>
        <w:t xml:space="preserve">Figure </w:t>
      </w:r>
      <w:fldSimple w:instr=" SEQ Figure \* ARABIC ">
        <w:r w:rsidR="0018375B">
          <w:rPr>
            <w:noProof/>
          </w:rPr>
          <w:t>7</w:t>
        </w:r>
      </w:fldSimple>
      <w:bookmarkEnd w:id="13"/>
      <w:r>
        <w:t xml:space="preserve"> The total number of repository-active days per annum in the UK.</w:t>
      </w:r>
    </w:p>
    <w:p w:rsidR="00930281" w:rsidRDefault="00930281" w:rsidP="00930281">
      <w:pPr>
        <w:pStyle w:val="Heading1"/>
      </w:pPr>
      <w:r>
        <w:t>Conclusions</w:t>
      </w:r>
    </w:p>
    <w:p w:rsidR="00930281" w:rsidRDefault="00930281" w:rsidP="00930281">
      <w:r>
        <w:t xml:space="preserve">As more IRs are brought online so the </w:t>
      </w:r>
      <w:r>
        <w:rPr>
          <w:i/>
        </w:rPr>
        <w:t>capacity</w:t>
      </w:r>
      <w:r>
        <w:t xml:space="preserve"> of the IR network increases. The maximum activity of an IR has been defined as 220 (working days). Each of those working days can have any number of deposits, but we have assumed somewhere between 10 and 100 is ‘normal’ (less than that is too quiet, more than that is likely to be bulk imports from other sources).</w:t>
      </w:r>
    </w:p>
    <w:p w:rsidR="00930281" w:rsidRDefault="00930281" w:rsidP="00930281">
      <w:r>
        <w:t>The total potential UK capacity is therefore 220 times the number of institutions for whom an IR is appropriate. Based on the RAE 2001</w:t>
      </w:r>
      <w:r w:rsidR="0018375B">
        <w:rPr>
          <w:rStyle w:val="FootnoteReference"/>
        </w:rPr>
        <w:footnoteReference w:id="3"/>
      </w:r>
      <w:r>
        <w:t xml:space="preserve"> we estimate there are 173 potential (research-based) IR locations. That means the total UK capacity is close to </w:t>
      </w:r>
      <w:r w:rsidRPr="00B37BDF">
        <w:t>38</w:t>
      </w:r>
      <w:r>
        <w:t>,</w:t>
      </w:r>
      <w:r w:rsidRPr="00B37BDF">
        <w:t>060</w:t>
      </w:r>
      <w:r>
        <w:t xml:space="preserve"> repository-active days – somewhere to aim at.</w:t>
      </w:r>
    </w:p>
    <w:p w:rsidR="00930281" w:rsidRDefault="00930281" w:rsidP="00930281">
      <w:r>
        <w:t>In 2007 there have been approximately 3,500 repository-active days – representing less than a tenth of our estimate of the potential UK IR activity.</w:t>
      </w:r>
    </w:p>
    <w:p w:rsidR="00323955" w:rsidRPr="00930281" w:rsidRDefault="00323955" w:rsidP="00930281">
      <w:r>
        <w:t>It should also be kept in mind that these figures are only data for OAI-PMH records – most of which do not have an associated ‘full-text’ (or other digital object). To achieve Open Access users must also deposit a freely accessible version of their research, but we don’t currently have the capability to distinguish Open Access records from metadata-only records. It is assumed, however, that as IRs become a natural part of academics’ work-flow so it will become natural for them to deposit the full-text as well as entering the bibliographic data.</w:t>
      </w:r>
    </w:p>
    <w:p w:rsidR="00CD675E" w:rsidRDefault="00CD675E" w:rsidP="00CD675E">
      <w:pPr>
        <w:pStyle w:val="Heading1"/>
      </w:pPr>
      <w:bookmarkStart w:id="14" w:name="_Toc183244045"/>
      <w:r>
        <w:t>References</w:t>
      </w:r>
      <w:bookmarkEnd w:id="14"/>
    </w:p>
    <w:p w:rsidR="00CD675E" w:rsidRPr="00CD675E" w:rsidRDefault="00CD675E" w:rsidP="00CD675E">
      <w:r w:rsidRPr="00CD675E">
        <w:t>Carr, L. and Brody, T. (2007) Size Isn’t Everything: Sustainable Repositories as Evidenced by Sustainable Deposit Profiles. DLib Magazine, 13 (7/8). ISSN 1082-9873</w:t>
      </w:r>
    </w:p>
    <w:sectPr w:rsidR="00CD675E" w:rsidRPr="00CD675E" w:rsidSect="00FC5EB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718" w:rsidRDefault="00583718" w:rsidP="00F500C1">
      <w:pPr>
        <w:spacing w:after="0" w:line="240" w:lineRule="auto"/>
      </w:pPr>
      <w:r>
        <w:separator/>
      </w:r>
    </w:p>
  </w:endnote>
  <w:endnote w:type="continuationSeparator" w:id="1">
    <w:p w:rsidR="00583718" w:rsidRDefault="00583718" w:rsidP="00F50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718" w:rsidRDefault="00583718" w:rsidP="00F500C1">
      <w:pPr>
        <w:spacing w:after="0" w:line="240" w:lineRule="auto"/>
      </w:pPr>
      <w:r>
        <w:separator/>
      </w:r>
    </w:p>
  </w:footnote>
  <w:footnote w:type="continuationSeparator" w:id="1">
    <w:p w:rsidR="00583718" w:rsidRDefault="00583718" w:rsidP="00F500C1">
      <w:pPr>
        <w:spacing w:after="0" w:line="240" w:lineRule="auto"/>
      </w:pPr>
      <w:r>
        <w:continuationSeparator/>
      </w:r>
    </w:p>
  </w:footnote>
  <w:footnote w:id="2">
    <w:p w:rsidR="00B641CC" w:rsidRDefault="00B641CC">
      <w:pPr>
        <w:pStyle w:val="FootnoteText"/>
      </w:pPr>
      <w:r>
        <w:rPr>
          <w:rStyle w:val="FootnoteReference"/>
        </w:rPr>
        <w:footnoteRef/>
      </w:r>
      <w:r>
        <w:t xml:space="preserve"> The different number of entries in OpenDOAR and ROAR are due to different editorial policies (ROAR separates out demonstrations/prototypes and funding-body IRs).</w:t>
      </w:r>
    </w:p>
  </w:footnote>
  <w:footnote w:id="3">
    <w:p w:rsidR="0018375B" w:rsidRDefault="0018375B">
      <w:pPr>
        <w:pStyle w:val="FootnoteText"/>
      </w:pPr>
      <w:r>
        <w:rPr>
          <w:rStyle w:val="FootnoteReference"/>
        </w:rPr>
        <w:footnoteRef/>
      </w:r>
      <w:r>
        <w:t xml:space="preserve"> Institutions that submitted to the 2001 RAE: </w:t>
      </w:r>
      <w:r w:rsidRPr="0018375B">
        <w:t>http://www.hero.ac.uk/rae/rae_dynamic.cfm?myURL=http://195.194.167.103/submissions/inst.asp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3170"/>
    <w:rsid w:val="00005F04"/>
    <w:rsid w:val="0009059C"/>
    <w:rsid w:val="0018375B"/>
    <w:rsid w:val="00323955"/>
    <w:rsid w:val="003B052B"/>
    <w:rsid w:val="0043351E"/>
    <w:rsid w:val="0048540B"/>
    <w:rsid w:val="004E1B5A"/>
    <w:rsid w:val="005012E4"/>
    <w:rsid w:val="00583718"/>
    <w:rsid w:val="00913F6D"/>
    <w:rsid w:val="00930281"/>
    <w:rsid w:val="00972304"/>
    <w:rsid w:val="00A1363E"/>
    <w:rsid w:val="00A9772A"/>
    <w:rsid w:val="00B20175"/>
    <w:rsid w:val="00B37BDF"/>
    <w:rsid w:val="00B641CC"/>
    <w:rsid w:val="00B65AFF"/>
    <w:rsid w:val="00BD418D"/>
    <w:rsid w:val="00CD675E"/>
    <w:rsid w:val="00E43452"/>
    <w:rsid w:val="00F03FDE"/>
    <w:rsid w:val="00F23170"/>
    <w:rsid w:val="00F302A8"/>
    <w:rsid w:val="00F411F4"/>
    <w:rsid w:val="00F500C1"/>
    <w:rsid w:val="00FC5E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BE"/>
  </w:style>
  <w:style w:type="paragraph" w:styleId="Heading1">
    <w:name w:val="heading 1"/>
    <w:basedOn w:val="Normal"/>
    <w:next w:val="Normal"/>
    <w:link w:val="Heading1Char"/>
    <w:uiPriority w:val="9"/>
    <w:qFormat/>
    <w:rsid w:val="00F231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1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1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17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2317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231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31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23170"/>
    <w:pPr>
      <w:outlineLvl w:val="9"/>
    </w:pPr>
    <w:rPr>
      <w:lang w:val="en-US"/>
    </w:rPr>
  </w:style>
  <w:style w:type="paragraph" w:styleId="TOC2">
    <w:name w:val="toc 2"/>
    <w:basedOn w:val="Normal"/>
    <w:next w:val="Normal"/>
    <w:autoRedefine/>
    <w:uiPriority w:val="39"/>
    <w:unhideWhenUsed/>
    <w:rsid w:val="00F23170"/>
    <w:pPr>
      <w:spacing w:after="100"/>
      <w:ind w:left="220"/>
    </w:pPr>
  </w:style>
  <w:style w:type="character" w:styleId="Hyperlink">
    <w:name w:val="Hyperlink"/>
    <w:basedOn w:val="DefaultParagraphFont"/>
    <w:uiPriority w:val="99"/>
    <w:unhideWhenUsed/>
    <w:rsid w:val="00F23170"/>
    <w:rPr>
      <w:color w:val="0000FF" w:themeColor="hyperlink"/>
      <w:u w:val="single"/>
    </w:rPr>
  </w:style>
  <w:style w:type="paragraph" w:styleId="BalloonText">
    <w:name w:val="Balloon Text"/>
    <w:basedOn w:val="Normal"/>
    <w:link w:val="BalloonTextChar"/>
    <w:uiPriority w:val="99"/>
    <w:semiHidden/>
    <w:unhideWhenUsed/>
    <w:rsid w:val="00F23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170"/>
    <w:rPr>
      <w:rFonts w:ascii="Tahoma" w:hAnsi="Tahoma" w:cs="Tahoma"/>
      <w:sz w:val="16"/>
      <w:szCs w:val="16"/>
    </w:rPr>
  </w:style>
  <w:style w:type="paragraph" w:styleId="Caption">
    <w:name w:val="caption"/>
    <w:basedOn w:val="Normal"/>
    <w:next w:val="Normal"/>
    <w:uiPriority w:val="35"/>
    <w:unhideWhenUsed/>
    <w:qFormat/>
    <w:rsid w:val="00F500C1"/>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F500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0C1"/>
    <w:rPr>
      <w:sz w:val="20"/>
      <w:szCs w:val="20"/>
    </w:rPr>
  </w:style>
  <w:style w:type="character" w:styleId="FootnoteReference">
    <w:name w:val="footnote reference"/>
    <w:basedOn w:val="DefaultParagraphFont"/>
    <w:uiPriority w:val="99"/>
    <w:semiHidden/>
    <w:unhideWhenUsed/>
    <w:rsid w:val="00F500C1"/>
    <w:rPr>
      <w:vertAlign w:val="superscript"/>
    </w:rPr>
  </w:style>
  <w:style w:type="paragraph" w:styleId="TOC1">
    <w:name w:val="toc 1"/>
    <w:basedOn w:val="Normal"/>
    <w:next w:val="Normal"/>
    <w:autoRedefine/>
    <w:uiPriority w:val="39"/>
    <w:unhideWhenUsed/>
    <w:rsid w:val="00930281"/>
    <w:pPr>
      <w:spacing w:after="100"/>
    </w:pPr>
  </w:style>
  <w:style w:type="paragraph" w:styleId="NoSpacing">
    <w:name w:val="No Spacing"/>
    <w:link w:val="NoSpacingChar"/>
    <w:uiPriority w:val="1"/>
    <w:qFormat/>
    <w:rsid w:val="00E4345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43452"/>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589581380">
      <w:bodyDiv w:val="1"/>
      <w:marLeft w:val="0"/>
      <w:marRight w:val="0"/>
      <w:marTop w:val="0"/>
      <w:marBottom w:val="0"/>
      <w:divBdr>
        <w:top w:val="none" w:sz="0" w:space="0" w:color="auto"/>
        <w:left w:val="none" w:sz="0" w:space="0" w:color="auto"/>
        <w:bottom w:val="none" w:sz="0" w:space="0" w:color="auto"/>
        <w:right w:val="none" w:sz="0" w:space="0" w:color="auto"/>
      </w:divBdr>
    </w:div>
    <w:div w:id="942344358">
      <w:bodyDiv w:val="1"/>
      <w:marLeft w:val="0"/>
      <w:marRight w:val="0"/>
      <w:marTop w:val="0"/>
      <w:marBottom w:val="0"/>
      <w:divBdr>
        <w:top w:val="none" w:sz="0" w:space="0" w:color="auto"/>
        <w:left w:val="none" w:sz="0" w:space="0" w:color="auto"/>
        <w:bottom w:val="none" w:sz="0" w:space="0" w:color="auto"/>
        <w:right w:val="none" w:sz="0" w:space="0" w:color="auto"/>
      </w:divBdr>
    </w:div>
    <w:div w:id="1541167507">
      <w:bodyDiv w:val="1"/>
      <w:marLeft w:val="0"/>
      <w:marRight w:val="0"/>
      <w:marTop w:val="0"/>
      <w:marBottom w:val="0"/>
      <w:divBdr>
        <w:top w:val="none" w:sz="0" w:space="0" w:color="auto"/>
        <w:left w:val="none" w:sz="0" w:space="0" w:color="auto"/>
        <w:bottom w:val="none" w:sz="0" w:space="0" w:color="auto"/>
        <w:right w:val="none" w:sz="0" w:space="0" w:color="auto"/>
      </w:divBdr>
    </w:div>
    <w:div w:id="21160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ar.eprints.org/" TargetMode="External"/><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opendoa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enarchives.org/"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db2\Desktop\activity_u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db2\Desktop\activity_u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db2\Desktop\activity_u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db2\Desktop\activity_u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US"/>
              <a:t>Active Repositories</a:t>
            </a:r>
          </a:p>
        </c:rich>
      </c:tx>
    </c:title>
    <c:view3D>
      <c:rAngAx val="1"/>
    </c:view3D>
    <c:plotArea>
      <c:layout/>
      <c:bar3DChart>
        <c:barDir val="col"/>
        <c:grouping val="clustered"/>
        <c:ser>
          <c:idx val="1"/>
          <c:order val="0"/>
          <c:tx>
            <c:strRef>
              <c:f>activity_uk!$B$1</c:f>
              <c:strCache>
                <c:ptCount val="1"/>
                <c:pt idx="0">
                  <c:v>Repositories</c:v>
                </c:pt>
              </c:strCache>
            </c:strRef>
          </c:tx>
          <c:dLbls>
            <c:showVal val="1"/>
          </c:dLbls>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activity_uk!$B$2:$B$10</c:f>
              <c:numCache>
                <c:formatCode>General</c:formatCode>
                <c:ptCount val="9"/>
                <c:pt idx="0">
                  <c:v>1</c:v>
                </c:pt>
                <c:pt idx="1">
                  <c:v>1</c:v>
                </c:pt>
                <c:pt idx="2">
                  <c:v>2</c:v>
                </c:pt>
                <c:pt idx="3">
                  <c:v>2</c:v>
                </c:pt>
                <c:pt idx="4">
                  <c:v>9</c:v>
                </c:pt>
                <c:pt idx="5">
                  <c:v>21</c:v>
                </c:pt>
                <c:pt idx="6">
                  <c:v>39</c:v>
                </c:pt>
                <c:pt idx="7">
                  <c:v>58</c:v>
                </c:pt>
                <c:pt idx="8">
                  <c:v>61</c:v>
                </c:pt>
              </c:numCache>
            </c:numRef>
          </c:val>
        </c:ser>
        <c:shape val="box"/>
        <c:axId val="91099904"/>
        <c:axId val="91101440"/>
        <c:axId val="0"/>
      </c:bar3DChart>
      <c:catAx>
        <c:axId val="91099904"/>
        <c:scaling>
          <c:orientation val="minMax"/>
        </c:scaling>
        <c:axPos val="b"/>
        <c:numFmt formatCode="General" sourceLinked="1"/>
        <c:tickLblPos val="nextTo"/>
        <c:crossAx val="91101440"/>
        <c:crosses val="autoZero"/>
        <c:auto val="1"/>
        <c:lblAlgn val="ctr"/>
        <c:lblOffset val="100"/>
      </c:catAx>
      <c:valAx>
        <c:axId val="91101440"/>
        <c:scaling>
          <c:orientation val="minMax"/>
        </c:scaling>
        <c:axPos val="l"/>
        <c:majorGridlines/>
        <c:numFmt formatCode="General" sourceLinked="1"/>
        <c:tickLblPos val="nextTo"/>
        <c:crossAx val="910999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pivotSource>
    <c:name>[activity_uk.xlsx]Sheet2!PivotTable1</c:name>
    <c:fmtId val="8"/>
  </c:pivotSource>
  <c:chart>
    <c:title>
      <c:tx>
        <c:rich>
          <a:bodyPr/>
          <a:lstStyle/>
          <a:p>
            <a:pPr>
              <a:defRPr/>
            </a:pPr>
            <a:r>
              <a:rPr lang="en-US"/>
              <a:t>Total Records</a:t>
            </a:r>
          </a:p>
        </c:rich>
      </c:tx>
    </c:title>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s>
    <c:view3D>
      <c:rAngAx val="1"/>
    </c:view3D>
    <c:plotArea>
      <c:layout/>
      <c:bar3DChart>
        <c:barDir val="col"/>
        <c:grouping val="clustered"/>
        <c:ser>
          <c:idx val="0"/>
          <c:order val="0"/>
          <c:tx>
            <c:strRef>
              <c:f>Sheet2!$B$3</c:f>
              <c:strCache>
                <c:ptCount val="1"/>
                <c:pt idx="0">
                  <c:v>Total</c:v>
                </c:pt>
              </c:strCache>
            </c:strRef>
          </c:tx>
          <c:cat>
            <c:strRef>
              <c:f>Sheet2!$A$4:$A$13</c:f>
              <c:strCache>
                <c:ptCount val="9"/>
                <c:pt idx="0">
                  <c:v>1999</c:v>
                </c:pt>
                <c:pt idx="1">
                  <c:v>2000</c:v>
                </c:pt>
                <c:pt idx="2">
                  <c:v>2001</c:v>
                </c:pt>
                <c:pt idx="3">
                  <c:v>2002</c:v>
                </c:pt>
                <c:pt idx="4">
                  <c:v>2003</c:v>
                </c:pt>
                <c:pt idx="5">
                  <c:v>2004</c:v>
                </c:pt>
                <c:pt idx="6">
                  <c:v>2005</c:v>
                </c:pt>
                <c:pt idx="7">
                  <c:v>2006</c:v>
                </c:pt>
                <c:pt idx="8">
                  <c:v>2007</c:v>
                </c:pt>
              </c:strCache>
            </c:strRef>
          </c:cat>
          <c:val>
            <c:numRef>
              <c:f>Sheet2!$B$4:$B$13</c:f>
              <c:numCache>
                <c:formatCode>General</c:formatCode>
                <c:ptCount val="9"/>
                <c:pt idx="0">
                  <c:v>1542</c:v>
                </c:pt>
                <c:pt idx="1">
                  <c:v>3406</c:v>
                </c:pt>
                <c:pt idx="2">
                  <c:v>5391</c:v>
                </c:pt>
                <c:pt idx="3">
                  <c:v>6033</c:v>
                </c:pt>
                <c:pt idx="4">
                  <c:v>7809</c:v>
                </c:pt>
                <c:pt idx="5">
                  <c:v>24534</c:v>
                </c:pt>
                <c:pt idx="6">
                  <c:v>128905</c:v>
                </c:pt>
                <c:pt idx="7">
                  <c:v>241334</c:v>
                </c:pt>
                <c:pt idx="8">
                  <c:v>282189</c:v>
                </c:pt>
              </c:numCache>
            </c:numRef>
          </c:val>
        </c:ser>
        <c:shape val="box"/>
        <c:axId val="91794816"/>
        <c:axId val="91874432"/>
        <c:axId val="0"/>
      </c:bar3DChart>
      <c:catAx>
        <c:axId val="91794816"/>
        <c:scaling>
          <c:orientation val="minMax"/>
        </c:scaling>
        <c:axPos val="b"/>
        <c:tickLblPos val="nextTo"/>
        <c:crossAx val="91874432"/>
        <c:crosses val="autoZero"/>
        <c:auto val="1"/>
        <c:lblAlgn val="ctr"/>
        <c:lblOffset val="100"/>
      </c:catAx>
      <c:valAx>
        <c:axId val="91874432"/>
        <c:scaling>
          <c:orientation val="minMax"/>
        </c:scaling>
        <c:axPos val="l"/>
        <c:majorGridlines/>
        <c:numFmt formatCode="General" sourceLinked="1"/>
        <c:tickLblPos val="nextTo"/>
        <c:crossAx val="9179481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style val="5"/>
  <c:chart>
    <c:view3D>
      <c:rAngAx val="1"/>
    </c:view3D>
    <c:plotArea>
      <c:layout/>
      <c:bar3DChart>
        <c:barDir val="col"/>
        <c:grouping val="stacked"/>
        <c:ser>
          <c:idx val="0"/>
          <c:order val="0"/>
          <c:tx>
            <c:strRef>
              <c:f>activity_uk!$E$1</c:f>
              <c:strCache>
                <c:ptCount val="1"/>
                <c:pt idx="0">
                  <c:v>Low Mean</c:v>
                </c:pt>
              </c:strCache>
            </c:strRef>
          </c:tx>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activity_uk!$E$2:$E$10</c:f>
              <c:numCache>
                <c:formatCode>General</c:formatCode>
                <c:ptCount val="9"/>
                <c:pt idx="0">
                  <c:v>0.24090909090909107</c:v>
                </c:pt>
                <c:pt idx="1">
                  <c:v>0.54090909090909145</c:v>
                </c:pt>
                <c:pt idx="2">
                  <c:v>0.30909090909090947</c:v>
                </c:pt>
                <c:pt idx="3">
                  <c:v>0.24318181818181819</c:v>
                </c:pt>
                <c:pt idx="4">
                  <c:v>9.595959595959612E-2</c:v>
                </c:pt>
                <c:pt idx="5">
                  <c:v>0.13138528138528141</c:v>
                </c:pt>
                <c:pt idx="6">
                  <c:v>0.14580419580419599</c:v>
                </c:pt>
                <c:pt idx="7">
                  <c:v>0.15070532915360504</c:v>
                </c:pt>
                <c:pt idx="8">
                  <c:v>0.18949329359165457</c:v>
                </c:pt>
              </c:numCache>
            </c:numRef>
          </c:val>
        </c:ser>
        <c:ser>
          <c:idx val="1"/>
          <c:order val="1"/>
          <c:tx>
            <c:strRef>
              <c:f>activity_uk!$H$1</c:f>
              <c:strCache>
                <c:ptCount val="1"/>
                <c:pt idx="0">
                  <c:v>Med Mean</c:v>
                </c:pt>
              </c:strCache>
            </c:strRef>
          </c:tx>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activity_uk!$H$2:$H$10</c:f>
              <c:numCache>
                <c:formatCode>General</c:formatCode>
                <c:ptCount val="9"/>
                <c:pt idx="0">
                  <c:v>0.14545454545454545</c:v>
                </c:pt>
                <c:pt idx="1">
                  <c:v>0.25909090909090932</c:v>
                </c:pt>
                <c:pt idx="2">
                  <c:v>0.05</c:v>
                </c:pt>
                <c:pt idx="3">
                  <c:v>4.3181818181818155E-2</c:v>
                </c:pt>
                <c:pt idx="4">
                  <c:v>1.9696969696969713E-2</c:v>
                </c:pt>
                <c:pt idx="5">
                  <c:v>3.7878787878787915E-2</c:v>
                </c:pt>
                <c:pt idx="6">
                  <c:v>4.3356643356643451E-2</c:v>
                </c:pt>
                <c:pt idx="7">
                  <c:v>5.5799373040752394E-2</c:v>
                </c:pt>
                <c:pt idx="8">
                  <c:v>6.8926974664679577E-2</c:v>
                </c:pt>
              </c:numCache>
            </c:numRef>
          </c:val>
        </c:ser>
        <c:ser>
          <c:idx val="2"/>
          <c:order val="2"/>
          <c:tx>
            <c:strRef>
              <c:f>activity_uk!$K$1</c:f>
              <c:strCache>
                <c:ptCount val="1"/>
                <c:pt idx="0">
                  <c:v>High Mean</c:v>
                </c:pt>
              </c:strCache>
            </c:strRef>
          </c:tx>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activity_uk!$K$2:$K$10</c:f>
              <c:numCache>
                <c:formatCode>General</c:formatCode>
                <c:ptCount val="9"/>
                <c:pt idx="0">
                  <c:v>1.3636363636363641E-2</c:v>
                </c:pt>
                <c:pt idx="1">
                  <c:v>4.5454545454545496E-3</c:v>
                </c:pt>
                <c:pt idx="2">
                  <c:v>2.2727272727272787E-3</c:v>
                </c:pt>
                <c:pt idx="3">
                  <c:v>0</c:v>
                </c:pt>
                <c:pt idx="4">
                  <c:v>1.0101010101010101E-3</c:v>
                </c:pt>
                <c:pt idx="5">
                  <c:v>1.2987012987012987E-3</c:v>
                </c:pt>
                <c:pt idx="6">
                  <c:v>3.3799533799533802E-3</c:v>
                </c:pt>
                <c:pt idx="7">
                  <c:v>6.3479623824451471E-3</c:v>
                </c:pt>
                <c:pt idx="8">
                  <c:v>1.3412816691505229E-3</c:v>
                </c:pt>
              </c:numCache>
            </c:numRef>
          </c:val>
        </c:ser>
        <c:shape val="box"/>
        <c:axId val="91966848"/>
        <c:axId val="92071040"/>
        <c:axId val="0"/>
      </c:bar3DChart>
      <c:catAx>
        <c:axId val="91966848"/>
        <c:scaling>
          <c:orientation val="minMax"/>
        </c:scaling>
        <c:axPos val="b"/>
        <c:numFmt formatCode="General" sourceLinked="1"/>
        <c:tickLblPos val="nextTo"/>
        <c:crossAx val="92071040"/>
        <c:crosses val="autoZero"/>
        <c:auto val="1"/>
        <c:lblAlgn val="ctr"/>
        <c:lblOffset val="100"/>
      </c:catAx>
      <c:valAx>
        <c:axId val="92071040"/>
        <c:scaling>
          <c:orientation val="minMax"/>
        </c:scaling>
        <c:axPos val="l"/>
        <c:majorGridlines/>
        <c:title>
          <c:tx>
            <c:rich>
              <a:bodyPr rot="-5400000" vert="horz"/>
              <a:lstStyle/>
              <a:p>
                <a:pPr>
                  <a:defRPr/>
                </a:pPr>
                <a:r>
                  <a:rPr lang="en-GB"/>
                  <a:t>Repository Activity</a:t>
                </a:r>
              </a:p>
            </c:rich>
          </c:tx>
        </c:title>
        <c:numFmt formatCode="0%" sourceLinked="0"/>
        <c:tickLblPos val="nextTo"/>
        <c:crossAx val="9196684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style val="5"/>
  <c:chart>
    <c:view3D>
      <c:rAngAx val="1"/>
    </c:view3D>
    <c:plotArea>
      <c:layout/>
      <c:bar3DChart>
        <c:barDir val="col"/>
        <c:grouping val="stacked"/>
        <c:ser>
          <c:idx val="0"/>
          <c:order val="0"/>
          <c:tx>
            <c:strRef>
              <c:f>activity_uk!$C$1</c:f>
              <c:strCache>
                <c:ptCount val="1"/>
                <c:pt idx="0">
                  <c:v>Low</c:v>
                </c:pt>
              </c:strCache>
            </c:strRef>
          </c:tx>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activity_uk!$C$2:$C$10</c:f>
              <c:numCache>
                <c:formatCode>General</c:formatCode>
                <c:ptCount val="9"/>
                <c:pt idx="0">
                  <c:v>53</c:v>
                </c:pt>
                <c:pt idx="1">
                  <c:v>119</c:v>
                </c:pt>
                <c:pt idx="2">
                  <c:v>136</c:v>
                </c:pt>
                <c:pt idx="3">
                  <c:v>107</c:v>
                </c:pt>
                <c:pt idx="4">
                  <c:v>190</c:v>
                </c:pt>
                <c:pt idx="5">
                  <c:v>607</c:v>
                </c:pt>
                <c:pt idx="6">
                  <c:v>1251</c:v>
                </c:pt>
                <c:pt idx="7">
                  <c:v>1923</c:v>
                </c:pt>
                <c:pt idx="8">
                  <c:v>2543</c:v>
                </c:pt>
              </c:numCache>
            </c:numRef>
          </c:val>
        </c:ser>
        <c:ser>
          <c:idx val="1"/>
          <c:order val="1"/>
          <c:tx>
            <c:strRef>
              <c:f>activity_uk!$F$1</c:f>
              <c:strCache>
                <c:ptCount val="1"/>
                <c:pt idx="0">
                  <c:v>Med</c:v>
                </c:pt>
              </c:strCache>
            </c:strRef>
          </c:tx>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activity_uk!$F$2:$F$10</c:f>
              <c:numCache>
                <c:formatCode>General</c:formatCode>
                <c:ptCount val="9"/>
                <c:pt idx="0">
                  <c:v>32</c:v>
                </c:pt>
                <c:pt idx="1">
                  <c:v>57</c:v>
                </c:pt>
                <c:pt idx="2">
                  <c:v>22</c:v>
                </c:pt>
                <c:pt idx="3">
                  <c:v>19</c:v>
                </c:pt>
                <c:pt idx="4">
                  <c:v>39</c:v>
                </c:pt>
                <c:pt idx="5">
                  <c:v>175</c:v>
                </c:pt>
                <c:pt idx="6">
                  <c:v>372</c:v>
                </c:pt>
                <c:pt idx="7">
                  <c:v>712</c:v>
                </c:pt>
                <c:pt idx="8">
                  <c:v>925</c:v>
                </c:pt>
              </c:numCache>
            </c:numRef>
          </c:val>
        </c:ser>
        <c:ser>
          <c:idx val="2"/>
          <c:order val="2"/>
          <c:tx>
            <c:strRef>
              <c:f>activity_uk!$I$1</c:f>
              <c:strCache>
                <c:ptCount val="1"/>
                <c:pt idx="0">
                  <c:v>High</c:v>
                </c:pt>
              </c:strCache>
            </c:strRef>
          </c:tx>
          <c:cat>
            <c:numRef>
              <c:f>activity_uk!$A$2:$A$10</c:f>
              <c:numCache>
                <c:formatCode>General</c:formatCode>
                <c:ptCount val="9"/>
                <c:pt idx="0">
                  <c:v>1999</c:v>
                </c:pt>
                <c:pt idx="1">
                  <c:v>2000</c:v>
                </c:pt>
                <c:pt idx="2">
                  <c:v>2001</c:v>
                </c:pt>
                <c:pt idx="3">
                  <c:v>2002</c:v>
                </c:pt>
                <c:pt idx="4">
                  <c:v>2003</c:v>
                </c:pt>
                <c:pt idx="5">
                  <c:v>2004</c:v>
                </c:pt>
                <c:pt idx="6">
                  <c:v>2005</c:v>
                </c:pt>
                <c:pt idx="7">
                  <c:v>2006</c:v>
                </c:pt>
                <c:pt idx="8">
                  <c:v>2007</c:v>
                </c:pt>
              </c:numCache>
            </c:numRef>
          </c:cat>
          <c:val>
            <c:numRef>
              <c:f>activity_uk!$I$2:$I$10</c:f>
              <c:numCache>
                <c:formatCode>General</c:formatCode>
                <c:ptCount val="9"/>
                <c:pt idx="0">
                  <c:v>3</c:v>
                </c:pt>
                <c:pt idx="1">
                  <c:v>1</c:v>
                </c:pt>
                <c:pt idx="2">
                  <c:v>1</c:v>
                </c:pt>
                <c:pt idx="3">
                  <c:v>0</c:v>
                </c:pt>
                <c:pt idx="4">
                  <c:v>2</c:v>
                </c:pt>
                <c:pt idx="5">
                  <c:v>6</c:v>
                </c:pt>
                <c:pt idx="6">
                  <c:v>29</c:v>
                </c:pt>
                <c:pt idx="7">
                  <c:v>81</c:v>
                </c:pt>
                <c:pt idx="8">
                  <c:v>18</c:v>
                </c:pt>
              </c:numCache>
            </c:numRef>
          </c:val>
        </c:ser>
        <c:shape val="box"/>
        <c:axId val="92688384"/>
        <c:axId val="92690304"/>
        <c:axId val="0"/>
      </c:bar3DChart>
      <c:catAx>
        <c:axId val="92688384"/>
        <c:scaling>
          <c:orientation val="minMax"/>
        </c:scaling>
        <c:axPos val="b"/>
        <c:numFmt formatCode="General" sourceLinked="1"/>
        <c:tickLblPos val="nextTo"/>
        <c:crossAx val="92690304"/>
        <c:crosses val="autoZero"/>
        <c:auto val="1"/>
        <c:lblAlgn val="ctr"/>
        <c:lblOffset val="100"/>
      </c:catAx>
      <c:valAx>
        <c:axId val="92690304"/>
        <c:scaling>
          <c:orientation val="minMax"/>
        </c:scaling>
        <c:axPos val="l"/>
        <c:majorGridlines/>
        <c:title>
          <c:tx>
            <c:rich>
              <a:bodyPr rot="-5400000" vert="horz"/>
              <a:lstStyle/>
              <a:p>
                <a:pPr>
                  <a:defRPr/>
                </a:pPr>
                <a:r>
                  <a:rPr lang="en-GB"/>
                  <a:t>UK Repository Active Days</a:t>
                </a:r>
              </a:p>
            </c:rich>
          </c:tx>
        </c:title>
        <c:numFmt formatCode="General" sourceLinked="1"/>
        <c:tickLblPos val="nextTo"/>
        <c:crossAx val="92688384"/>
        <c:crosses val="autoZero"/>
        <c:crossBetween val="between"/>
      </c:valAx>
    </c:plotArea>
    <c:legend>
      <c:legendPos val="r"/>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B14FBA732E4A1E9423AE9CBAB9E329"/>
        <w:category>
          <w:name w:val="General"/>
          <w:gallery w:val="placeholder"/>
        </w:category>
        <w:types>
          <w:type w:val="bbPlcHdr"/>
        </w:types>
        <w:behaviors>
          <w:behavior w:val="content"/>
        </w:behaviors>
        <w:guid w:val="{21647D25-3890-4839-8EF6-19A11FA10749}"/>
      </w:docPartPr>
      <w:docPartBody>
        <w:p w:rsidR="000A11FB" w:rsidRDefault="000A11FB" w:rsidP="000A11FB">
          <w:pPr>
            <w:pStyle w:val="53B14FBA732E4A1E9423AE9CBAB9E329"/>
          </w:pPr>
          <w:r>
            <w:rPr>
              <w:rFonts w:asciiTheme="majorHAnsi" w:eastAsiaTheme="majorEastAsia" w:hAnsiTheme="majorHAnsi" w:cstheme="majorBidi"/>
              <w:caps/>
            </w:rPr>
            <w:t>[Type the company name]</w:t>
          </w:r>
        </w:p>
      </w:docPartBody>
    </w:docPart>
    <w:docPart>
      <w:docPartPr>
        <w:name w:val="B4BF970BB5E7457E89528C902C9F4457"/>
        <w:category>
          <w:name w:val="General"/>
          <w:gallery w:val="placeholder"/>
        </w:category>
        <w:types>
          <w:type w:val="bbPlcHdr"/>
        </w:types>
        <w:behaviors>
          <w:behavior w:val="content"/>
        </w:behaviors>
        <w:guid w:val="{604EA7B9-B6E4-4D1A-A848-AF4E228F8EB8}"/>
      </w:docPartPr>
      <w:docPartBody>
        <w:p w:rsidR="000A11FB" w:rsidRDefault="000A11FB" w:rsidP="000A11FB">
          <w:pPr>
            <w:pStyle w:val="B4BF970BB5E7457E89528C902C9F4457"/>
          </w:pPr>
          <w:r>
            <w:rPr>
              <w:rFonts w:asciiTheme="majorHAnsi" w:eastAsiaTheme="majorEastAsia" w:hAnsiTheme="majorHAnsi" w:cstheme="majorBidi"/>
              <w:sz w:val="80"/>
              <w:szCs w:val="80"/>
            </w:rPr>
            <w:t>[Type the document title]</w:t>
          </w:r>
        </w:p>
      </w:docPartBody>
    </w:docPart>
    <w:docPart>
      <w:docPartPr>
        <w:name w:val="A48B7FC4DB274CA2836F97B5B97C0C3E"/>
        <w:category>
          <w:name w:val="General"/>
          <w:gallery w:val="placeholder"/>
        </w:category>
        <w:types>
          <w:type w:val="bbPlcHdr"/>
        </w:types>
        <w:behaviors>
          <w:behavior w:val="content"/>
        </w:behaviors>
        <w:guid w:val="{316492A4-C79D-4381-86F4-950205DE64F1}"/>
      </w:docPartPr>
      <w:docPartBody>
        <w:p w:rsidR="000A11FB" w:rsidRDefault="000A11FB" w:rsidP="000A11FB">
          <w:pPr>
            <w:pStyle w:val="A48B7FC4DB274CA2836F97B5B97C0C3E"/>
          </w:pPr>
          <w:r>
            <w:rPr>
              <w:rFonts w:asciiTheme="majorHAnsi" w:eastAsiaTheme="majorEastAsia" w:hAnsiTheme="majorHAnsi" w:cstheme="majorBidi"/>
              <w:sz w:val="44"/>
              <w:szCs w:val="44"/>
            </w:rPr>
            <w:t>[Type the document subtitle]</w:t>
          </w:r>
        </w:p>
      </w:docPartBody>
    </w:docPart>
    <w:docPart>
      <w:docPartPr>
        <w:name w:val="1395F933F3B74FCD8670CEE7B4A60941"/>
        <w:category>
          <w:name w:val="General"/>
          <w:gallery w:val="placeholder"/>
        </w:category>
        <w:types>
          <w:type w:val="bbPlcHdr"/>
        </w:types>
        <w:behaviors>
          <w:behavior w:val="content"/>
        </w:behaviors>
        <w:guid w:val="{A60D03D5-FF7E-4E1C-9088-80DFCC91CE91}"/>
      </w:docPartPr>
      <w:docPartBody>
        <w:p w:rsidR="000A11FB" w:rsidRDefault="000A11FB" w:rsidP="000A11FB">
          <w:pPr>
            <w:pStyle w:val="1395F933F3B74FCD8670CEE7B4A60941"/>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A11FB"/>
    <w:rsid w:val="000A11FB"/>
    <w:rsid w:val="008125E7"/>
    <w:rsid w:val="00CD07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5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58A9491DBA490C97131DE58F168BA4">
    <w:name w:val="BD58A9491DBA490C97131DE58F168BA4"/>
    <w:rsid w:val="000A11FB"/>
  </w:style>
  <w:style w:type="paragraph" w:customStyle="1" w:styleId="C7953CF0596541F6BDB6B5F4719BD795">
    <w:name w:val="C7953CF0596541F6BDB6B5F4719BD795"/>
    <w:rsid w:val="000A11FB"/>
  </w:style>
  <w:style w:type="paragraph" w:customStyle="1" w:styleId="4418DCE445DE40DBB72432D37CB7EF25">
    <w:name w:val="4418DCE445DE40DBB72432D37CB7EF25"/>
    <w:rsid w:val="000A11FB"/>
  </w:style>
  <w:style w:type="paragraph" w:customStyle="1" w:styleId="848BE7FAC2374FE78C836001F89426B9">
    <w:name w:val="848BE7FAC2374FE78C836001F89426B9"/>
    <w:rsid w:val="000A11FB"/>
  </w:style>
  <w:style w:type="paragraph" w:customStyle="1" w:styleId="264C117E633C421F8B7E697645C0BE0D">
    <w:name w:val="264C117E633C421F8B7E697645C0BE0D"/>
    <w:rsid w:val="000A11FB"/>
  </w:style>
  <w:style w:type="paragraph" w:customStyle="1" w:styleId="53B14FBA732E4A1E9423AE9CBAB9E329">
    <w:name w:val="53B14FBA732E4A1E9423AE9CBAB9E329"/>
    <w:rsid w:val="000A11FB"/>
  </w:style>
  <w:style w:type="paragraph" w:customStyle="1" w:styleId="B4BF970BB5E7457E89528C902C9F4457">
    <w:name w:val="B4BF970BB5E7457E89528C902C9F4457"/>
    <w:rsid w:val="000A11FB"/>
  </w:style>
  <w:style w:type="paragraph" w:customStyle="1" w:styleId="A48B7FC4DB274CA2836F97B5B97C0C3E">
    <w:name w:val="A48B7FC4DB274CA2836F97B5B97C0C3E"/>
    <w:rsid w:val="000A11FB"/>
  </w:style>
  <w:style w:type="paragraph" w:customStyle="1" w:styleId="1395F933F3B74FCD8670CEE7B4A60941">
    <w:name w:val="1395F933F3B74FCD8670CEE7B4A60941"/>
    <w:rsid w:val="000A11FB"/>
  </w:style>
  <w:style w:type="paragraph" w:customStyle="1" w:styleId="8A8359B845A14558BD253134902BF107">
    <w:name w:val="8A8359B845A14558BD253134902BF107"/>
    <w:rsid w:val="000A11FB"/>
  </w:style>
  <w:style w:type="paragraph" w:customStyle="1" w:styleId="178A45088974419380969B8402A33957">
    <w:name w:val="178A45088974419380969B8402A33957"/>
    <w:rsid w:val="000A11F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2008-02-11T00:00:00</PublishDate>
  <Abstract>A longitudinal study of UK Institutional Repository activity based on data from the Registry of Open Access Repositories (ROAR).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609D89-AF9B-4624-8F57-4AF47431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1621</Words>
  <Characters>9244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Intelligence, Agents, Multimedia Group. University of Southampton </Company>
  <LinksUpToDate>false</LinksUpToDate>
  <CharactersWithSpaces>10844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Institutional Repository Activity</dc:title>
  <dc:subject>A longitudinal study</dc:subject>
  <dc:creator>Tim Brody</dc:creator>
  <cp:keywords/>
  <dc:description/>
  <cp:lastModifiedBy>Tim Brody</cp:lastModifiedBy>
  <cp:revision>4</cp:revision>
  <cp:lastPrinted>2007-11-19T14:20:00Z</cp:lastPrinted>
  <dcterms:created xsi:type="dcterms:W3CDTF">2008-02-11T10:49:00Z</dcterms:created>
  <dcterms:modified xsi:type="dcterms:W3CDTF">2008-02-11T10:53:00Z</dcterms:modified>
</cp:coreProperties>
</file>