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E0" w:rsidRDefault="006466E0" w:rsidP="006466E0">
      <w:pPr>
        <w:keepNext/>
        <w:overflowPunct w:val="0"/>
        <w:autoSpaceDE w:val="0"/>
        <w:autoSpaceDN w:val="0"/>
        <w:adjustRightInd w:val="0"/>
        <w:spacing w:after="0"/>
        <w:jc w:val="center"/>
        <w:textAlignment w:val="baseline"/>
        <w:outlineLvl w:val="0"/>
        <w:rPr>
          <w:rFonts w:eastAsia="Times New Roman" w:cs="Times New Roman"/>
          <w:b/>
          <w:bCs/>
          <w:szCs w:val="20"/>
        </w:rPr>
      </w:pPr>
      <w:r w:rsidRPr="006466E0">
        <w:rPr>
          <w:rFonts w:eastAsia="Times New Roman" w:cs="Times New Roman"/>
          <w:b/>
          <w:bCs/>
          <w:szCs w:val="20"/>
        </w:rPr>
        <w:t>The Temptation</w:t>
      </w:r>
      <w:r w:rsidR="00F14882">
        <w:rPr>
          <w:rFonts w:eastAsia="Times New Roman" w:cs="Times New Roman"/>
          <w:b/>
          <w:bCs/>
          <w:szCs w:val="20"/>
        </w:rPr>
        <w:t xml:space="preserve">s of Phenomenology: Wittgenstein, </w:t>
      </w:r>
      <w:r w:rsidR="00FD2FC7">
        <w:rPr>
          <w:rFonts w:eastAsia="Times New Roman" w:cs="Times New Roman"/>
          <w:b/>
          <w:bCs/>
          <w:szCs w:val="20"/>
        </w:rPr>
        <w:t>the Synthetic a Priori</w:t>
      </w:r>
      <w:r w:rsidR="00F14882">
        <w:rPr>
          <w:rFonts w:eastAsia="Times New Roman" w:cs="Times New Roman"/>
          <w:b/>
          <w:bCs/>
          <w:szCs w:val="20"/>
        </w:rPr>
        <w:t xml:space="preserve"> and the ‘Analytic a Posteriori’</w:t>
      </w:r>
    </w:p>
    <w:p w:rsidR="00A57760" w:rsidRDefault="00A57760" w:rsidP="006466E0">
      <w:pPr>
        <w:keepNext/>
        <w:overflowPunct w:val="0"/>
        <w:autoSpaceDE w:val="0"/>
        <w:autoSpaceDN w:val="0"/>
        <w:adjustRightInd w:val="0"/>
        <w:spacing w:after="0"/>
        <w:jc w:val="center"/>
        <w:textAlignment w:val="baseline"/>
        <w:outlineLvl w:val="0"/>
        <w:rPr>
          <w:rFonts w:eastAsia="Times New Roman" w:cs="Times New Roman"/>
          <w:b/>
          <w:bCs/>
          <w:szCs w:val="20"/>
        </w:rPr>
      </w:pPr>
      <w:r>
        <w:rPr>
          <w:rFonts w:eastAsia="Times New Roman" w:cs="Times New Roman"/>
          <w:b/>
          <w:bCs/>
          <w:szCs w:val="20"/>
        </w:rPr>
        <w:t>Ray Monk</w:t>
      </w:r>
    </w:p>
    <w:p w:rsidR="00A57760" w:rsidRPr="006466E0" w:rsidRDefault="00A57760" w:rsidP="006466E0">
      <w:pPr>
        <w:keepNext/>
        <w:overflowPunct w:val="0"/>
        <w:autoSpaceDE w:val="0"/>
        <w:autoSpaceDN w:val="0"/>
        <w:adjustRightInd w:val="0"/>
        <w:spacing w:after="0"/>
        <w:jc w:val="center"/>
        <w:textAlignment w:val="baseline"/>
        <w:outlineLvl w:val="0"/>
        <w:rPr>
          <w:rFonts w:eastAsia="Times New Roman" w:cs="Times New Roman"/>
          <w:b/>
          <w:bCs/>
          <w:szCs w:val="20"/>
        </w:rPr>
      </w:pPr>
      <w:r>
        <w:rPr>
          <w:rFonts w:eastAsia="Times New Roman" w:cs="Times New Roman"/>
          <w:b/>
          <w:bCs/>
          <w:szCs w:val="20"/>
        </w:rPr>
        <w:t>University of Southampton</w:t>
      </w:r>
    </w:p>
    <w:p w:rsidR="006466E0" w:rsidRDefault="006466E0" w:rsidP="006466E0">
      <w:pPr>
        <w:overflowPunct w:val="0"/>
        <w:autoSpaceDE w:val="0"/>
        <w:autoSpaceDN w:val="0"/>
        <w:adjustRightInd w:val="0"/>
        <w:spacing w:after="0" w:line="240" w:lineRule="auto"/>
        <w:textAlignment w:val="baseline"/>
        <w:rPr>
          <w:rFonts w:eastAsia="Times New Roman" w:cs="Times New Roman"/>
          <w:szCs w:val="20"/>
        </w:rPr>
      </w:pPr>
    </w:p>
    <w:p w:rsidR="00A05471" w:rsidRPr="00A05471" w:rsidRDefault="00A05471" w:rsidP="006466E0">
      <w:pPr>
        <w:overflowPunct w:val="0"/>
        <w:autoSpaceDE w:val="0"/>
        <w:autoSpaceDN w:val="0"/>
        <w:adjustRightInd w:val="0"/>
        <w:spacing w:after="0" w:line="240" w:lineRule="auto"/>
        <w:textAlignment w:val="baseline"/>
        <w:rPr>
          <w:rFonts w:eastAsia="Times New Roman" w:cs="Times New Roman"/>
          <w:szCs w:val="20"/>
        </w:rPr>
      </w:pPr>
      <w:r>
        <w:rPr>
          <w:rFonts w:eastAsia="Times New Roman" w:cs="Times New Roman"/>
          <w:b/>
          <w:szCs w:val="20"/>
        </w:rPr>
        <w:t xml:space="preserve">Abstract: </w:t>
      </w:r>
      <w:r>
        <w:rPr>
          <w:rFonts w:eastAsia="Times New Roman" w:cs="Times New Roman"/>
          <w:szCs w:val="20"/>
        </w:rPr>
        <w:t xml:space="preserve">Wittgenstein’s use of the “phenomenology” to describe his own work in </w:t>
      </w:r>
      <w:r>
        <w:rPr>
          <w:rFonts w:eastAsia="Times New Roman" w:cs="Times New Roman"/>
          <w:i/>
          <w:szCs w:val="20"/>
        </w:rPr>
        <w:t>Philosophical Remarks</w:t>
      </w:r>
      <w:r>
        <w:rPr>
          <w:rFonts w:eastAsia="Times New Roman" w:cs="Times New Roman"/>
          <w:szCs w:val="20"/>
        </w:rPr>
        <w:t xml:space="preserve"> and </w:t>
      </w:r>
      <w:r>
        <w:rPr>
          <w:rFonts w:eastAsia="Times New Roman" w:cs="Times New Roman"/>
          <w:i/>
          <w:szCs w:val="20"/>
        </w:rPr>
        <w:t>The Big Typescript</w:t>
      </w:r>
      <w:r>
        <w:rPr>
          <w:rFonts w:eastAsia="Times New Roman" w:cs="Times New Roman"/>
          <w:szCs w:val="20"/>
        </w:rPr>
        <w:t xml:space="preserve"> has occasioned much puzzlement and confusion. This paper seeks to shed light on what Wittgenstein meant by the word through a close analysis of key passages in those two works. I argue against both the view espoused by Nicholas </w:t>
      </w:r>
      <w:proofErr w:type="spellStart"/>
      <w:r>
        <w:rPr>
          <w:rFonts w:eastAsia="Times New Roman" w:cs="Times New Roman"/>
          <w:szCs w:val="20"/>
        </w:rPr>
        <w:t>Gier</w:t>
      </w:r>
      <w:proofErr w:type="spellEnd"/>
      <w:r>
        <w:rPr>
          <w:rFonts w:eastAsia="Times New Roman" w:cs="Times New Roman"/>
          <w:szCs w:val="20"/>
        </w:rPr>
        <w:t xml:space="preserve"> that Wittgenstein held “grammatical” phenomenological remarks to be synthetic a priori and the view expressed by Moritz </w:t>
      </w:r>
      <w:proofErr w:type="spellStart"/>
      <w:r>
        <w:rPr>
          <w:rFonts w:eastAsia="Times New Roman" w:cs="Times New Roman"/>
          <w:szCs w:val="20"/>
        </w:rPr>
        <w:t>Schlick</w:t>
      </w:r>
      <w:proofErr w:type="spellEnd"/>
      <w:r>
        <w:rPr>
          <w:rFonts w:eastAsia="Times New Roman" w:cs="Times New Roman"/>
          <w:szCs w:val="20"/>
        </w:rPr>
        <w:t xml:space="preserve"> that Wittgenstein held grammar to be tautological. During a very short period, this papers argues, lasting no longer than a few months in 1929, Wittgenstein conceived of phenomenology as something that sought to establish what one might call "analytic a posteriori” truths through an essentially </w:t>
      </w:r>
      <w:proofErr w:type="spellStart"/>
      <w:r>
        <w:rPr>
          <w:rFonts w:eastAsia="Times New Roman" w:cs="Times New Roman"/>
          <w:szCs w:val="20"/>
        </w:rPr>
        <w:t>Husserlian</w:t>
      </w:r>
      <w:proofErr w:type="spellEnd"/>
      <w:r>
        <w:rPr>
          <w:rFonts w:eastAsia="Times New Roman" w:cs="Times New Roman"/>
          <w:szCs w:val="20"/>
        </w:rPr>
        <w:t xml:space="preserve"> method. By the end of 1929, I argue, he had abandoned that in favour of the view expressed in the slogan “phenomenology is grammar”, though “grammar” here is </w:t>
      </w:r>
      <w:r>
        <w:rPr>
          <w:rFonts w:eastAsia="Times New Roman" w:cs="Times New Roman"/>
          <w:i/>
          <w:szCs w:val="20"/>
        </w:rPr>
        <w:t>not</w:t>
      </w:r>
      <w:r>
        <w:rPr>
          <w:rFonts w:eastAsia="Times New Roman" w:cs="Times New Roman"/>
          <w:szCs w:val="20"/>
        </w:rPr>
        <w:t xml:space="preserve"> confined to the tautological</w:t>
      </w:r>
      <w:r w:rsidR="0033070E">
        <w:rPr>
          <w:rFonts w:eastAsia="Times New Roman" w:cs="Times New Roman"/>
          <w:szCs w:val="20"/>
        </w:rPr>
        <w:t>, but intimately linked to Wittgenstein’s notion of “the understanding that consists in seeing connection”&gt;</w:t>
      </w:r>
      <w:bookmarkStart w:id="0" w:name="_GoBack"/>
      <w:bookmarkEnd w:id="0"/>
    </w:p>
    <w:p w:rsidR="006466E0" w:rsidRPr="006466E0" w:rsidRDefault="006466E0" w:rsidP="006466E0">
      <w:pPr>
        <w:overflowPunct w:val="0"/>
        <w:autoSpaceDE w:val="0"/>
        <w:autoSpaceDN w:val="0"/>
        <w:adjustRightInd w:val="0"/>
        <w:spacing w:after="0"/>
        <w:jc w:val="center"/>
        <w:textAlignment w:val="baseline"/>
        <w:rPr>
          <w:rFonts w:eastAsia="Times New Roman" w:cs="Times New Roman"/>
          <w:szCs w:val="20"/>
        </w:rPr>
      </w:pPr>
    </w:p>
    <w:p w:rsidR="006466E0" w:rsidRPr="006466E0" w:rsidRDefault="00F66CEA" w:rsidP="006466E0">
      <w:pPr>
        <w:overflowPunct w:val="0"/>
        <w:autoSpaceDE w:val="0"/>
        <w:autoSpaceDN w:val="0"/>
        <w:adjustRightInd w:val="0"/>
        <w:spacing w:after="0"/>
        <w:jc w:val="center"/>
        <w:textAlignment w:val="baseline"/>
        <w:rPr>
          <w:rFonts w:eastAsia="Times New Roman" w:cs="Times New Roman"/>
          <w:szCs w:val="20"/>
        </w:rPr>
      </w:pPr>
      <w:r>
        <w:rPr>
          <w:rFonts w:eastAsia="Times New Roman" w:cs="Times New Roman"/>
          <w:szCs w:val="20"/>
        </w:rPr>
        <w:t>‘</w:t>
      </w:r>
      <w:r w:rsidR="006466E0" w:rsidRPr="006466E0">
        <w:rPr>
          <w:rFonts w:eastAsia="Times New Roman" w:cs="Times New Roman"/>
          <w:szCs w:val="20"/>
        </w:rPr>
        <w:t>The temptation to believe in a phenomenology, something midway between s</w:t>
      </w:r>
      <w:r>
        <w:rPr>
          <w:rFonts w:eastAsia="Times New Roman" w:cs="Times New Roman"/>
          <w:szCs w:val="20"/>
        </w:rPr>
        <w:t>cience and logic, is very great’</w:t>
      </w:r>
    </w:p>
    <w:p w:rsidR="006466E0" w:rsidRDefault="006466E0" w:rsidP="006466E0">
      <w:pPr>
        <w:overflowPunct w:val="0"/>
        <w:autoSpaceDE w:val="0"/>
        <w:autoSpaceDN w:val="0"/>
        <w:adjustRightInd w:val="0"/>
        <w:spacing w:after="0"/>
        <w:jc w:val="center"/>
        <w:textAlignment w:val="baseline"/>
        <w:rPr>
          <w:rFonts w:eastAsia="Times New Roman" w:cs="Times New Roman"/>
          <w:szCs w:val="20"/>
        </w:rPr>
      </w:pPr>
      <w:r w:rsidRPr="006466E0">
        <w:rPr>
          <w:rFonts w:eastAsia="Times New Roman" w:cs="Times New Roman"/>
          <w:szCs w:val="20"/>
        </w:rPr>
        <w:t>(</w:t>
      </w:r>
      <w:r w:rsidRPr="006466E0">
        <w:rPr>
          <w:rFonts w:eastAsia="Times New Roman" w:cs="Times New Roman"/>
          <w:i/>
          <w:iCs/>
          <w:szCs w:val="20"/>
        </w:rPr>
        <w:t>On Colour</w:t>
      </w:r>
      <w:r w:rsidRPr="006466E0">
        <w:rPr>
          <w:rFonts w:eastAsia="Times New Roman" w:cs="Times New Roman"/>
          <w:szCs w:val="20"/>
        </w:rPr>
        <w:t>, II3)</w:t>
      </w:r>
    </w:p>
    <w:p w:rsidR="00F66CEA" w:rsidRPr="006466E0" w:rsidRDefault="00F66CEA" w:rsidP="006466E0">
      <w:pPr>
        <w:overflowPunct w:val="0"/>
        <w:autoSpaceDE w:val="0"/>
        <w:autoSpaceDN w:val="0"/>
        <w:adjustRightInd w:val="0"/>
        <w:spacing w:after="0"/>
        <w:jc w:val="center"/>
        <w:textAlignment w:val="baseline"/>
        <w:rPr>
          <w:rFonts w:eastAsia="Times New Roman" w:cs="Times New Roman"/>
          <w:szCs w:val="20"/>
        </w:rPr>
      </w:pPr>
    </w:p>
    <w:p w:rsidR="006466E0" w:rsidRPr="008E5649" w:rsidRDefault="006466E0" w:rsidP="006466E0">
      <w:pPr>
        <w:overflowPunct w:val="0"/>
        <w:autoSpaceDE w:val="0"/>
        <w:autoSpaceDN w:val="0"/>
        <w:adjustRightInd w:val="0"/>
        <w:spacing w:after="0"/>
        <w:textAlignment w:val="baseline"/>
        <w:rPr>
          <w:rFonts w:eastAsia="Times New Roman" w:cs="Times New Roman"/>
          <w:bCs/>
          <w:szCs w:val="20"/>
        </w:rPr>
      </w:pPr>
      <w:r w:rsidRPr="006466E0">
        <w:rPr>
          <w:rFonts w:eastAsia="Times New Roman" w:cs="Times New Roman"/>
          <w:bCs/>
          <w:szCs w:val="20"/>
        </w:rPr>
        <w:t xml:space="preserve">During his first year back at Cambridge in 1929, Wittgenstein wrote a great deal, including </w:t>
      </w:r>
      <w:r w:rsidR="00B807BA">
        <w:rPr>
          <w:rFonts w:eastAsia="Times New Roman" w:cs="Times New Roman"/>
          <w:bCs/>
          <w:szCs w:val="20"/>
        </w:rPr>
        <w:t xml:space="preserve">– indeed, centring on - </w:t>
      </w:r>
      <w:r w:rsidRPr="006466E0">
        <w:rPr>
          <w:rFonts w:eastAsia="Times New Roman" w:cs="Times New Roman"/>
          <w:bCs/>
          <w:szCs w:val="20"/>
        </w:rPr>
        <w:t xml:space="preserve">an extended discussion of what he called “phenomenology”. </w:t>
      </w:r>
      <w:r w:rsidR="00733937">
        <w:rPr>
          <w:rFonts w:eastAsia="Times New Roman" w:cs="Times New Roman"/>
          <w:bCs/>
          <w:szCs w:val="20"/>
        </w:rPr>
        <w:t>When</w:t>
      </w:r>
      <w:r w:rsidRPr="006466E0">
        <w:rPr>
          <w:rFonts w:eastAsia="Times New Roman" w:cs="Times New Roman"/>
          <w:bCs/>
          <w:szCs w:val="20"/>
        </w:rPr>
        <w:t xml:space="preserve">, in the spring of 1930, he </w:t>
      </w:r>
      <w:r w:rsidR="00733937">
        <w:rPr>
          <w:rFonts w:eastAsia="Times New Roman" w:cs="Times New Roman"/>
          <w:bCs/>
          <w:szCs w:val="20"/>
        </w:rPr>
        <w:t xml:space="preserve">was asked by Trinity College, Cambridge to show some of his recent work to Bertrand Russell, he </w:t>
      </w:r>
      <w:r w:rsidRPr="006466E0">
        <w:rPr>
          <w:rFonts w:eastAsia="Times New Roman" w:cs="Times New Roman"/>
          <w:bCs/>
          <w:szCs w:val="20"/>
        </w:rPr>
        <w:t xml:space="preserve">made a selection of </w:t>
      </w:r>
      <w:r w:rsidR="00733937">
        <w:rPr>
          <w:rFonts w:eastAsia="Times New Roman" w:cs="Times New Roman"/>
          <w:bCs/>
          <w:szCs w:val="20"/>
        </w:rPr>
        <w:t xml:space="preserve">the </w:t>
      </w:r>
      <w:r w:rsidRPr="006466E0">
        <w:rPr>
          <w:rFonts w:eastAsia="Times New Roman" w:cs="Times New Roman"/>
          <w:bCs/>
          <w:szCs w:val="20"/>
        </w:rPr>
        <w:t xml:space="preserve">remarks </w:t>
      </w:r>
      <w:r w:rsidR="00733937">
        <w:rPr>
          <w:rFonts w:eastAsia="Times New Roman" w:cs="Times New Roman"/>
          <w:bCs/>
          <w:szCs w:val="20"/>
        </w:rPr>
        <w:t>he had written the previous year and</w:t>
      </w:r>
      <w:r w:rsidRPr="006466E0">
        <w:rPr>
          <w:rFonts w:eastAsia="Times New Roman" w:cs="Times New Roman"/>
          <w:bCs/>
          <w:szCs w:val="20"/>
        </w:rPr>
        <w:t xml:space="preserve"> had them typed. After it had been</w:t>
      </w:r>
      <w:r w:rsidR="00733937">
        <w:rPr>
          <w:rFonts w:eastAsia="Times New Roman" w:cs="Times New Roman"/>
          <w:bCs/>
          <w:szCs w:val="20"/>
        </w:rPr>
        <w:t xml:space="preserve"> read by Russell, </w:t>
      </w:r>
      <w:r w:rsidR="0092160E">
        <w:rPr>
          <w:rFonts w:eastAsia="Times New Roman" w:cs="Times New Roman"/>
          <w:bCs/>
          <w:szCs w:val="20"/>
        </w:rPr>
        <w:t xml:space="preserve">this typescript - </w:t>
      </w:r>
      <w:r w:rsidR="00733937">
        <w:rPr>
          <w:rFonts w:eastAsia="Times New Roman" w:cs="Times New Roman"/>
          <w:bCs/>
          <w:szCs w:val="20"/>
        </w:rPr>
        <w:t xml:space="preserve">TS 209 </w:t>
      </w:r>
      <w:r w:rsidR="0092160E">
        <w:rPr>
          <w:rFonts w:eastAsia="Times New Roman" w:cs="Times New Roman"/>
          <w:bCs/>
          <w:szCs w:val="20"/>
        </w:rPr>
        <w:t xml:space="preserve">in von Wright’s catalogue - </w:t>
      </w:r>
      <w:r w:rsidRPr="006466E0">
        <w:rPr>
          <w:rFonts w:eastAsia="Times New Roman" w:cs="Times New Roman"/>
          <w:bCs/>
          <w:szCs w:val="20"/>
        </w:rPr>
        <w:t>was returned to Wittgenstein and remained in his possession until his death, when it became the responsibility of his executors. In 1964</w:t>
      </w:r>
      <w:r w:rsidR="00733937">
        <w:rPr>
          <w:rFonts w:eastAsia="Times New Roman" w:cs="Times New Roman"/>
          <w:bCs/>
          <w:szCs w:val="20"/>
        </w:rPr>
        <w:t>, some thirty-five years after most of the remarks in it were written,</w:t>
      </w:r>
      <w:r w:rsidRPr="006466E0">
        <w:rPr>
          <w:rFonts w:eastAsia="Times New Roman" w:cs="Times New Roman"/>
          <w:bCs/>
          <w:szCs w:val="20"/>
        </w:rPr>
        <w:t xml:space="preserve"> it was published as </w:t>
      </w:r>
      <w:r w:rsidRPr="006466E0">
        <w:rPr>
          <w:rFonts w:eastAsia="Times New Roman" w:cs="Times New Roman"/>
          <w:bCs/>
          <w:i/>
          <w:szCs w:val="20"/>
        </w:rPr>
        <w:t>Philosophische Bermerkungen</w:t>
      </w:r>
      <w:r w:rsidRPr="006466E0">
        <w:rPr>
          <w:rFonts w:eastAsia="Times New Roman" w:cs="Times New Roman"/>
          <w:bCs/>
          <w:szCs w:val="20"/>
        </w:rPr>
        <w:t>, an English translation of which</w:t>
      </w:r>
      <w:r w:rsidR="00B807BA">
        <w:rPr>
          <w:rFonts w:eastAsia="Times New Roman" w:cs="Times New Roman"/>
          <w:bCs/>
          <w:szCs w:val="20"/>
        </w:rPr>
        <w:t xml:space="preserve">, </w:t>
      </w:r>
      <w:r w:rsidR="00B807BA">
        <w:rPr>
          <w:rFonts w:eastAsia="Times New Roman" w:cs="Times New Roman"/>
          <w:bCs/>
          <w:i/>
          <w:szCs w:val="20"/>
        </w:rPr>
        <w:t>Philosophical Remarks</w:t>
      </w:r>
      <w:r w:rsidR="00B807BA">
        <w:rPr>
          <w:rFonts w:eastAsia="Times New Roman" w:cs="Times New Roman"/>
          <w:bCs/>
          <w:szCs w:val="20"/>
        </w:rPr>
        <w:t>,</w:t>
      </w:r>
      <w:r w:rsidRPr="006466E0">
        <w:rPr>
          <w:rFonts w:eastAsia="Times New Roman" w:cs="Times New Roman"/>
          <w:bCs/>
          <w:szCs w:val="20"/>
        </w:rPr>
        <w:t xml:space="preserve"> was published in </w:t>
      </w:r>
      <w:r w:rsidRPr="006466E0">
        <w:rPr>
          <w:rFonts w:eastAsia="Times New Roman" w:cs="Times New Roman"/>
          <w:bCs/>
          <w:szCs w:val="20"/>
        </w:rPr>
        <w:lastRenderedPageBreak/>
        <w:t>1975.</w:t>
      </w:r>
      <w:r w:rsidR="00B807BA">
        <w:rPr>
          <w:rFonts w:eastAsia="Times New Roman" w:cs="Times New Roman"/>
          <w:bCs/>
          <w:szCs w:val="20"/>
        </w:rPr>
        <w:t xml:space="preserve"> A later typescript, </w:t>
      </w:r>
      <w:r w:rsidR="008E5649">
        <w:rPr>
          <w:rFonts w:eastAsia="Times New Roman" w:cs="Times New Roman"/>
          <w:bCs/>
          <w:szCs w:val="20"/>
        </w:rPr>
        <w:t xml:space="preserve">TS 213, usually referred to as ‘The Big Typescript’, </w:t>
      </w:r>
      <w:r w:rsidR="00B807BA">
        <w:rPr>
          <w:rFonts w:eastAsia="Times New Roman" w:cs="Times New Roman"/>
          <w:bCs/>
          <w:szCs w:val="20"/>
        </w:rPr>
        <w:t>which contained a large section entitled ‘Phenomenology’</w:t>
      </w:r>
      <w:r w:rsidR="008E5649">
        <w:rPr>
          <w:rFonts w:eastAsia="Times New Roman" w:cs="Times New Roman"/>
          <w:bCs/>
          <w:szCs w:val="20"/>
        </w:rPr>
        <w:t>,</w:t>
      </w:r>
      <w:r w:rsidR="00B807BA">
        <w:rPr>
          <w:rFonts w:eastAsia="Times New Roman" w:cs="Times New Roman"/>
          <w:bCs/>
          <w:szCs w:val="20"/>
        </w:rPr>
        <w:t xml:space="preserve"> was finally published in its entirety in 2005, after </w:t>
      </w:r>
      <w:r w:rsidR="008E5649">
        <w:rPr>
          <w:rFonts w:eastAsia="Times New Roman" w:cs="Times New Roman"/>
          <w:bCs/>
          <w:szCs w:val="20"/>
        </w:rPr>
        <w:t xml:space="preserve">parts of it (but not, controversially, the section on phenomenology) had been published in 1974 as </w:t>
      </w:r>
      <w:r w:rsidR="008E5649">
        <w:rPr>
          <w:rFonts w:eastAsia="Times New Roman" w:cs="Times New Roman"/>
          <w:bCs/>
          <w:i/>
          <w:szCs w:val="20"/>
        </w:rPr>
        <w:t>Philosophical Grammar</w:t>
      </w:r>
      <w:r w:rsidR="008E5649">
        <w:rPr>
          <w:rFonts w:eastAsia="Times New Roman" w:cs="Times New Roman"/>
          <w:bCs/>
          <w:szCs w:val="20"/>
        </w:rPr>
        <w:t>.</w:t>
      </w:r>
      <w:r w:rsidR="008E5649">
        <w:rPr>
          <w:rStyle w:val="FootnoteReference"/>
          <w:rFonts w:eastAsia="Times New Roman" w:cs="Times New Roman"/>
          <w:bCs/>
          <w:szCs w:val="20"/>
        </w:rPr>
        <w:footnoteReference w:id="1"/>
      </w:r>
    </w:p>
    <w:p w:rsidR="006466E0" w:rsidRPr="006466E0" w:rsidRDefault="006466E0" w:rsidP="006466E0">
      <w:pPr>
        <w:overflowPunct w:val="0"/>
        <w:autoSpaceDE w:val="0"/>
        <w:autoSpaceDN w:val="0"/>
        <w:adjustRightInd w:val="0"/>
        <w:spacing w:after="0"/>
        <w:textAlignment w:val="baseline"/>
        <w:rPr>
          <w:rFonts w:eastAsia="Times New Roman" w:cs="Times New Roman"/>
          <w:bCs/>
          <w:szCs w:val="20"/>
        </w:rPr>
      </w:pPr>
    </w:p>
    <w:p w:rsidR="006466E0" w:rsidRPr="006466E0" w:rsidRDefault="006466E0" w:rsidP="006466E0">
      <w:pPr>
        <w:overflowPunct w:val="0"/>
        <w:autoSpaceDE w:val="0"/>
        <w:autoSpaceDN w:val="0"/>
        <w:adjustRightInd w:val="0"/>
        <w:spacing w:after="0"/>
        <w:textAlignment w:val="baseline"/>
        <w:rPr>
          <w:rFonts w:eastAsia="Times New Roman" w:cs="Times New Roman"/>
          <w:bCs/>
          <w:szCs w:val="20"/>
        </w:rPr>
      </w:pPr>
      <w:r w:rsidRPr="006466E0">
        <w:rPr>
          <w:rFonts w:eastAsia="Times New Roman" w:cs="Times New Roman"/>
          <w:bCs/>
          <w:szCs w:val="20"/>
        </w:rPr>
        <w:t xml:space="preserve">Even before the publication of </w:t>
      </w:r>
      <w:r w:rsidR="004E1599">
        <w:rPr>
          <w:rFonts w:eastAsia="Times New Roman" w:cs="Times New Roman"/>
          <w:bCs/>
          <w:szCs w:val="20"/>
        </w:rPr>
        <w:t>these typescripts</w:t>
      </w:r>
      <w:r w:rsidRPr="006466E0">
        <w:rPr>
          <w:rFonts w:eastAsia="Times New Roman" w:cs="Times New Roman"/>
          <w:bCs/>
          <w:szCs w:val="20"/>
        </w:rPr>
        <w:t>, two commentators, C. A. van Peursen and Thomas N. Munson, had noticed affinities between Wittgenstein’s work and Husserlian phenomenology.</w:t>
      </w:r>
      <w:r w:rsidRPr="006466E0">
        <w:rPr>
          <w:rFonts w:eastAsia="Times New Roman" w:cs="Times New Roman"/>
          <w:bCs/>
          <w:szCs w:val="20"/>
          <w:vertAlign w:val="superscript"/>
        </w:rPr>
        <w:footnoteReference w:id="2"/>
      </w:r>
      <w:r w:rsidRPr="006466E0">
        <w:rPr>
          <w:rFonts w:eastAsia="Times New Roman" w:cs="Times New Roman"/>
          <w:bCs/>
          <w:szCs w:val="20"/>
        </w:rPr>
        <w:t xml:space="preserve"> Their discussions of these affinities, however, were</w:t>
      </w:r>
      <w:r w:rsidR="008E5649">
        <w:rPr>
          <w:rFonts w:eastAsia="Times New Roman" w:cs="Times New Roman"/>
          <w:bCs/>
          <w:szCs w:val="20"/>
        </w:rPr>
        <w:t>, of necessity,</w:t>
      </w:r>
      <w:r w:rsidRPr="006466E0">
        <w:rPr>
          <w:rFonts w:eastAsia="Times New Roman" w:cs="Times New Roman"/>
          <w:bCs/>
          <w:szCs w:val="20"/>
        </w:rPr>
        <w:t xml:space="preserve"> </w:t>
      </w:r>
      <w:r w:rsidR="008909CA">
        <w:rPr>
          <w:rFonts w:eastAsia="Times New Roman" w:cs="Times New Roman"/>
          <w:bCs/>
          <w:szCs w:val="20"/>
        </w:rPr>
        <w:t>short on detail</w:t>
      </w:r>
      <w:r w:rsidRPr="006466E0">
        <w:rPr>
          <w:rFonts w:eastAsia="Times New Roman" w:cs="Times New Roman"/>
          <w:bCs/>
          <w:szCs w:val="20"/>
        </w:rPr>
        <w:t xml:space="preserve">, </w:t>
      </w:r>
      <w:r w:rsidR="008909CA">
        <w:rPr>
          <w:rFonts w:eastAsia="Times New Roman" w:cs="Times New Roman"/>
          <w:bCs/>
          <w:szCs w:val="20"/>
        </w:rPr>
        <w:t xml:space="preserve">concentrating </w:t>
      </w:r>
      <w:r w:rsidRPr="006466E0">
        <w:rPr>
          <w:rFonts w:eastAsia="Times New Roman" w:cs="Times New Roman"/>
          <w:bCs/>
          <w:szCs w:val="20"/>
        </w:rPr>
        <w:t xml:space="preserve">for the most part on </w:t>
      </w:r>
      <w:r w:rsidR="008909CA">
        <w:rPr>
          <w:rFonts w:eastAsia="Times New Roman" w:cs="Times New Roman"/>
          <w:bCs/>
          <w:szCs w:val="20"/>
        </w:rPr>
        <w:t xml:space="preserve">the entirely general point that </w:t>
      </w:r>
      <w:r w:rsidRPr="006466E0">
        <w:rPr>
          <w:rFonts w:eastAsia="Times New Roman" w:cs="Times New Roman"/>
          <w:bCs/>
          <w:szCs w:val="20"/>
        </w:rPr>
        <w:t>Wittgenstein’s emphasis on</w:t>
      </w:r>
      <w:r w:rsidR="008909CA">
        <w:rPr>
          <w:rFonts w:eastAsia="Times New Roman" w:cs="Times New Roman"/>
          <w:bCs/>
          <w:szCs w:val="20"/>
        </w:rPr>
        <w:t>, and preference for,</w:t>
      </w:r>
      <w:r w:rsidRPr="006466E0">
        <w:rPr>
          <w:rFonts w:eastAsia="Times New Roman" w:cs="Times New Roman"/>
          <w:bCs/>
          <w:szCs w:val="20"/>
        </w:rPr>
        <w:t xml:space="preserve"> </w:t>
      </w:r>
      <w:r w:rsidR="008909CA">
        <w:rPr>
          <w:rFonts w:eastAsia="Times New Roman" w:cs="Times New Roman"/>
          <w:bCs/>
          <w:szCs w:val="20"/>
        </w:rPr>
        <w:t xml:space="preserve">a conception of philosophy that saw it as </w:t>
      </w:r>
      <w:r w:rsidRPr="006466E0">
        <w:rPr>
          <w:rFonts w:eastAsia="Times New Roman" w:cs="Times New Roman"/>
          <w:bCs/>
          <w:szCs w:val="20"/>
        </w:rPr>
        <w:t>descriptive rather than explanatory</w:t>
      </w:r>
      <w:r w:rsidR="008909CA">
        <w:rPr>
          <w:rFonts w:eastAsia="Times New Roman" w:cs="Times New Roman"/>
          <w:bCs/>
          <w:szCs w:val="20"/>
        </w:rPr>
        <w:t xml:space="preserve"> was something he shared with Husserl</w:t>
      </w:r>
      <w:r w:rsidRPr="006466E0">
        <w:rPr>
          <w:rFonts w:eastAsia="Times New Roman" w:cs="Times New Roman"/>
          <w:bCs/>
          <w:szCs w:val="20"/>
        </w:rPr>
        <w:t>.</w:t>
      </w:r>
    </w:p>
    <w:p w:rsidR="006466E0" w:rsidRPr="006466E0" w:rsidRDefault="006466E0" w:rsidP="006466E0">
      <w:pPr>
        <w:overflowPunct w:val="0"/>
        <w:autoSpaceDE w:val="0"/>
        <w:autoSpaceDN w:val="0"/>
        <w:adjustRightInd w:val="0"/>
        <w:spacing w:after="0"/>
        <w:textAlignment w:val="baseline"/>
        <w:rPr>
          <w:rFonts w:eastAsia="Times New Roman" w:cs="Times New Roman"/>
          <w:bCs/>
          <w:szCs w:val="20"/>
        </w:rPr>
      </w:pPr>
    </w:p>
    <w:p w:rsidR="00B850BF" w:rsidRDefault="006466E0" w:rsidP="006457A0">
      <w:pPr>
        <w:overflowPunct w:val="0"/>
        <w:autoSpaceDE w:val="0"/>
        <w:autoSpaceDN w:val="0"/>
        <w:adjustRightInd w:val="0"/>
        <w:spacing w:after="0"/>
        <w:textAlignment w:val="baseline"/>
        <w:rPr>
          <w:rFonts w:eastAsia="Times New Roman" w:cs="Times New Roman"/>
          <w:bCs/>
          <w:szCs w:val="20"/>
        </w:rPr>
      </w:pPr>
      <w:r w:rsidRPr="006466E0">
        <w:rPr>
          <w:rFonts w:eastAsia="Times New Roman" w:cs="Times New Roman"/>
          <w:bCs/>
          <w:szCs w:val="20"/>
        </w:rPr>
        <w:t xml:space="preserve">With the publication of </w:t>
      </w:r>
      <w:r w:rsidRPr="006466E0">
        <w:rPr>
          <w:rFonts w:eastAsia="Times New Roman" w:cs="Times New Roman"/>
          <w:bCs/>
          <w:i/>
          <w:szCs w:val="20"/>
        </w:rPr>
        <w:t>Philosophische Bemerkungen</w:t>
      </w:r>
      <w:r w:rsidR="004E1599">
        <w:rPr>
          <w:rFonts w:eastAsia="Times New Roman" w:cs="Times New Roman"/>
          <w:bCs/>
          <w:szCs w:val="20"/>
        </w:rPr>
        <w:t xml:space="preserve"> in 1964</w:t>
      </w:r>
      <w:r w:rsidRPr="006466E0">
        <w:rPr>
          <w:rFonts w:eastAsia="Times New Roman" w:cs="Times New Roman"/>
          <w:bCs/>
          <w:szCs w:val="20"/>
        </w:rPr>
        <w:t xml:space="preserve">, it was possible to explore </w:t>
      </w:r>
      <w:r w:rsidR="005B5EC7">
        <w:rPr>
          <w:rFonts w:eastAsia="Times New Roman" w:cs="Times New Roman"/>
          <w:bCs/>
          <w:szCs w:val="20"/>
        </w:rPr>
        <w:t xml:space="preserve">these alleged affinities in greater </w:t>
      </w:r>
      <w:r w:rsidRPr="006466E0">
        <w:rPr>
          <w:rFonts w:eastAsia="Times New Roman" w:cs="Times New Roman"/>
          <w:bCs/>
          <w:szCs w:val="20"/>
        </w:rPr>
        <w:t>detail</w:t>
      </w:r>
      <w:r w:rsidR="00BC6163">
        <w:rPr>
          <w:rFonts w:eastAsia="Times New Roman" w:cs="Times New Roman"/>
          <w:bCs/>
          <w:szCs w:val="20"/>
        </w:rPr>
        <w:t>.</w:t>
      </w:r>
      <w:r w:rsidR="005B5EC7">
        <w:rPr>
          <w:rFonts w:eastAsia="Times New Roman" w:cs="Times New Roman"/>
          <w:bCs/>
          <w:szCs w:val="20"/>
        </w:rPr>
        <w:t xml:space="preserve"> </w:t>
      </w:r>
      <w:r w:rsidR="00BC6163">
        <w:rPr>
          <w:rFonts w:eastAsia="Times New Roman" w:cs="Times New Roman"/>
          <w:bCs/>
          <w:szCs w:val="20"/>
        </w:rPr>
        <w:t>T</w:t>
      </w:r>
      <w:r w:rsidR="005B5EC7">
        <w:rPr>
          <w:rFonts w:eastAsia="Times New Roman" w:cs="Times New Roman"/>
          <w:bCs/>
          <w:szCs w:val="20"/>
        </w:rPr>
        <w:t>he fact that</w:t>
      </w:r>
      <w:r w:rsidRPr="006466E0">
        <w:rPr>
          <w:rFonts w:eastAsia="Times New Roman" w:cs="Times New Roman"/>
          <w:bCs/>
          <w:szCs w:val="20"/>
        </w:rPr>
        <w:t xml:space="preserve"> Wittgenstein </w:t>
      </w:r>
      <w:r w:rsidR="005B5EC7">
        <w:rPr>
          <w:rFonts w:eastAsia="Times New Roman" w:cs="Times New Roman"/>
          <w:bCs/>
          <w:szCs w:val="20"/>
        </w:rPr>
        <w:t xml:space="preserve">evidently regarded his own work as (in some sense) </w:t>
      </w:r>
      <w:r w:rsidRPr="006466E0">
        <w:rPr>
          <w:rFonts w:eastAsia="Times New Roman" w:cs="Times New Roman"/>
          <w:bCs/>
          <w:szCs w:val="20"/>
        </w:rPr>
        <w:t>phenomenology</w:t>
      </w:r>
      <w:r w:rsidR="005B5EC7" w:rsidRPr="005B5EC7">
        <w:rPr>
          <w:rFonts w:eastAsia="Times New Roman" w:cs="Times New Roman"/>
          <w:bCs/>
          <w:szCs w:val="20"/>
        </w:rPr>
        <w:t>, even if only for a short time,</w:t>
      </w:r>
      <w:r w:rsidRPr="006466E0">
        <w:rPr>
          <w:rFonts w:eastAsia="Times New Roman" w:cs="Times New Roman"/>
          <w:bCs/>
          <w:szCs w:val="20"/>
        </w:rPr>
        <w:t xml:space="preserve"> </w:t>
      </w:r>
      <w:r w:rsidR="00BC6163">
        <w:rPr>
          <w:rFonts w:eastAsia="Times New Roman" w:cs="Times New Roman"/>
          <w:bCs/>
          <w:szCs w:val="20"/>
        </w:rPr>
        <w:t xml:space="preserve">seemed to </w:t>
      </w:r>
      <w:r w:rsidR="005B5EC7">
        <w:rPr>
          <w:rFonts w:eastAsia="Times New Roman" w:cs="Times New Roman"/>
          <w:bCs/>
          <w:szCs w:val="20"/>
        </w:rPr>
        <w:t>provid</w:t>
      </w:r>
      <w:r w:rsidR="00BC6163">
        <w:rPr>
          <w:rFonts w:eastAsia="Times New Roman" w:cs="Times New Roman"/>
          <w:bCs/>
          <w:szCs w:val="20"/>
        </w:rPr>
        <w:t>e</w:t>
      </w:r>
      <w:r w:rsidR="005B5EC7">
        <w:rPr>
          <w:rFonts w:eastAsia="Times New Roman" w:cs="Times New Roman"/>
          <w:bCs/>
          <w:szCs w:val="20"/>
        </w:rPr>
        <w:t xml:space="preserve">, at least prima facie, some justification for the links made by van Peursen and Munson. </w:t>
      </w:r>
      <w:r w:rsidR="00CD2DBD">
        <w:rPr>
          <w:rFonts w:eastAsia="Times New Roman" w:cs="Times New Roman"/>
          <w:bCs/>
          <w:szCs w:val="20"/>
        </w:rPr>
        <w:t xml:space="preserve">The </w:t>
      </w:r>
      <w:r w:rsidR="005B5EC7">
        <w:rPr>
          <w:rFonts w:eastAsia="Times New Roman" w:cs="Times New Roman"/>
          <w:bCs/>
          <w:szCs w:val="20"/>
        </w:rPr>
        <w:t xml:space="preserve">possibility that Wittgenstein, </w:t>
      </w:r>
      <w:r w:rsidR="002326B8">
        <w:rPr>
          <w:rFonts w:eastAsia="Times New Roman" w:cs="Times New Roman"/>
          <w:bCs/>
          <w:szCs w:val="20"/>
        </w:rPr>
        <w:t xml:space="preserve">widely </w:t>
      </w:r>
      <w:r w:rsidR="00CD2DBD">
        <w:rPr>
          <w:rFonts w:eastAsia="Times New Roman" w:cs="Times New Roman"/>
          <w:bCs/>
          <w:szCs w:val="20"/>
        </w:rPr>
        <w:t xml:space="preserve">regarded at that time as the very paradigm of </w:t>
      </w:r>
      <w:r w:rsidR="005B5EC7">
        <w:rPr>
          <w:rFonts w:eastAsia="Times New Roman" w:cs="Times New Roman"/>
          <w:bCs/>
          <w:szCs w:val="20"/>
        </w:rPr>
        <w:t xml:space="preserve">an analytic philosopher, </w:t>
      </w:r>
      <w:r w:rsidR="00733937">
        <w:rPr>
          <w:rFonts w:eastAsia="Times New Roman" w:cs="Times New Roman"/>
          <w:bCs/>
          <w:szCs w:val="20"/>
        </w:rPr>
        <w:t>might</w:t>
      </w:r>
      <w:r w:rsidR="00CD2DBD">
        <w:rPr>
          <w:rFonts w:eastAsia="Times New Roman" w:cs="Times New Roman"/>
          <w:bCs/>
          <w:szCs w:val="20"/>
        </w:rPr>
        <w:t xml:space="preserve"> </w:t>
      </w:r>
      <w:r w:rsidR="00B850BF">
        <w:rPr>
          <w:rFonts w:eastAsia="Times New Roman" w:cs="Times New Roman"/>
          <w:bCs/>
          <w:szCs w:val="20"/>
        </w:rPr>
        <w:t>have important things in common with the phenomenological tradition</w:t>
      </w:r>
      <w:r w:rsidR="00CD2DBD">
        <w:rPr>
          <w:rFonts w:eastAsia="Times New Roman" w:cs="Times New Roman"/>
          <w:bCs/>
          <w:szCs w:val="20"/>
        </w:rPr>
        <w:t xml:space="preserve"> </w:t>
      </w:r>
      <w:r w:rsidR="006C4E3E">
        <w:rPr>
          <w:rFonts w:eastAsia="Times New Roman" w:cs="Times New Roman"/>
          <w:bCs/>
          <w:szCs w:val="20"/>
        </w:rPr>
        <w:t>should have been a topic of intense</w:t>
      </w:r>
      <w:r w:rsidRPr="006466E0">
        <w:rPr>
          <w:rFonts w:eastAsia="Times New Roman" w:cs="Times New Roman"/>
          <w:bCs/>
          <w:szCs w:val="20"/>
        </w:rPr>
        <w:t xml:space="preserve"> interest. After all, just a few years earlier, in 1958, at the now infamous Royaumont conference, several analytic philosophers had</w:t>
      </w:r>
      <w:r w:rsidR="005B5EC7">
        <w:rPr>
          <w:rFonts w:eastAsia="Times New Roman" w:cs="Times New Roman"/>
          <w:bCs/>
          <w:szCs w:val="20"/>
        </w:rPr>
        <w:t>, notoriously,</w:t>
      </w:r>
      <w:r w:rsidRPr="006466E0">
        <w:rPr>
          <w:rFonts w:eastAsia="Times New Roman" w:cs="Times New Roman"/>
          <w:bCs/>
          <w:szCs w:val="20"/>
        </w:rPr>
        <w:t xml:space="preserve"> defined their method and style of thinking by contrasting it </w:t>
      </w:r>
      <w:r w:rsidR="006C4E3E">
        <w:rPr>
          <w:rFonts w:eastAsia="Times New Roman" w:cs="Times New Roman"/>
          <w:bCs/>
          <w:szCs w:val="20"/>
        </w:rPr>
        <w:t xml:space="preserve">explicitly </w:t>
      </w:r>
      <w:r w:rsidRPr="006466E0">
        <w:rPr>
          <w:rFonts w:eastAsia="Times New Roman" w:cs="Times New Roman"/>
          <w:bCs/>
          <w:szCs w:val="20"/>
        </w:rPr>
        <w:t xml:space="preserve">with the phenomenological </w:t>
      </w:r>
      <w:r w:rsidRPr="006466E0">
        <w:rPr>
          <w:rFonts w:eastAsia="Times New Roman" w:cs="Times New Roman"/>
          <w:bCs/>
          <w:szCs w:val="20"/>
        </w:rPr>
        <w:lastRenderedPageBreak/>
        <w:t>school.</w:t>
      </w:r>
      <w:r>
        <w:rPr>
          <w:rStyle w:val="FootnoteReference"/>
          <w:rFonts w:eastAsia="Times New Roman" w:cs="Times New Roman"/>
          <w:bCs/>
          <w:szCs w:val="20"/>
        </w:rPr>
        <w:footnoteReference w:id="3"/>
      </w:r>
      <w:r w:rsidR="006457A0">
        <w:rPr>
          <w:rFonts w:eastAsia="Times New Roman" w:cs="Times New Roman"/>
          <w:bCs/>
          <w:szCs w:val="20"/>
        </w:rPr>
        <w:t xml:space="preserve"> </w:t>
      </w:r>
      <w:r w:rsidR="005B5EC7">
        <w:rPr>
          <w:rFonts w:eastAsia="Times New Roman" w:cs="Times New Roman"/>
          <w:bCs/>
          <w:szCs w:val="20"/>
        </w:rPr>
        <w:t xml:space="preserve">The most combative in this respect was </w:t>
      </w:r>
      <w:r w:rsidR="006457A0">
        <w:rPr>
          <w:rFonts w:eastAsia="Times New Roman" w:cs="Times New Roman"/>
          <w:bCs/>
          <w:szCs w:val="20"/>
        </w:rPr>
        <w:t>Gilbert Ryle</w:t>
      </w:r>
      <w:r w:rsidR="00B850BF">
        <w:rPr>
          <w:rFonts w:eastAsia="Times New Roman" w:cs="Times New Roman"/>
          <w:bCs/>
          <w:szCs w:val="20"/>
        </w:rPr>
        <w:t>’s</w:t>
      </w:r>
      <w:r w:rsidR="006457A0">
        <w:rPr>
          <w:rFonts w:eastAsia="Times New Roman" w:cs="Times New Roman"/>
          <w:bCs/>
          <w:szCs w:val="20"/>
        </w:rPr>
        <w:t xml:space="preserve"> paper</w:t>
      </w:r>
      <w:r w:rsidR="005B5EC7">
        <w:rPr>
          <w:rFonts w:eastAsia="Times New Roman" w:cs="Times New Roman"/>
          <w:bCs/>
          <w:szCs w:val="20"/>
        </w:rPr>
        <w:t xml:space="preserve">, </w:t>
      </w:r>
      <w:r w:rsidR="006C4E3E" w:rsidRPr="006C4E3E">
        <w:rPr>
          <w:rFonts w:eastAsia="Times New Roman" w:cs="Times New Roman"/>
          <w:bCs/>
          <w:szCs w:val="20"/>
        </w:rPr>
        <w:t>‘Phenomenology versus ‘‘The Concept of Mind’’’</w:t>
      </w:r>
      <w:r w:rsidR="005B5EC7">
        <w:rPr>
          <w:rFonts w:eastAsia="Times New Roman" w:cs="Times New Roman"/>
          <w:bCs/>
          <w:szCs w:val="20"/>
        </w:rPr>
        <w:t xml:space="preserve">, in which Ryle’s dismissive attitude towards Husserl contrasted sharply with his admiration for </w:t>
      </w:r>
      <w:r w:rsidR="009D28FF">
        <w:rPr>
          <w:rFonts w:eastAsia="Times New Roman" w:cs="Times New Roman"/>
          <w:bCs/>
          <w:szCs w:val="20"/>
        </w:rPr>
        <w:t>Wittgenstein, who</w:t>
      </w:r>
      <w:r w:rsidR="00972645">
        <w:rPr>
          <w:rFonts w:eastAsia="Times New Roman" w:cs="Times New Roman"/>
          <w:bCs/>
          <w:szCs w:val="20"/>
        </w:rPr>
        <w:t>m</w:t>
      </w:r>
      <w:r w:rsidR="009D28FF">
        <w:rPr>
          <w:rFonts w:eastAsia="Times New Roman" w:cs="Times New Roman"/>
          <w:bCs/>
          <w:szCs w:val="20"/>
        </w:rPr>
        <w:t xml:space="preserve"> </w:t>
      </w:r>
      <w:r w:rsidR="00972645">
        <w:rPr>
          <w:rFonts w:eastAsia="Times New Roman" w:cs="Times New Roman"/>
          <w:bCs/>
          <w:szCs w:val="20"/>
        </w:rPr>
        <w:t xml:space="preserve">he </w:t>
      </w:r>
      <w:r w:rsidR="009D28FF">
        <w:rPr>
          <w:rFonts w:eastAsia="Times New Roman" w:cs="Times New Roman"/>
          <w:bCs/>
          <w:szCs w:val="20"/>
        </w:rPr>
        <w:t>credited, along with Frege and Russell, with having played a leading part in ‘</w:t>
      </w:r>
      <w:r w:rsidR="009D28FF" w:rsidRPr="009D28FF">
        <w:rPr>
          <w:rFonts w:eastAsia="Times New Roman" w:cs="Times New Roman"/>
          <w:bCs/>
          <w:szCs w:val="20"/>
        </w:rPr>
        <w:t>the massive dev</w:t>
      </w:r>
      <w:r w:rsidR="009D28FF">
        <w:rPr>
          <w:rFonts w:eastAsia="Times New Roman" w:cs="Times New Roman"/>
          <w:bCs/>
          <w:szCs w:val="20"/>
        </w:rPr>
        <w:t>elopments of our logical theory’</w:t>
      </w:r>
      <w:r w:rsidR="005B5EC7">
        <w:rPr>
          <w:rFonts w:eastAsia="Times New Roman" w:cs="Times New Roman"/>
          <w:bCs/>
          <w:szCs w:val="20"/>
        </w:rPr>
        <w:t>. The</w:t>
      </w:r>
      <w:r w:rsidR="009D28FF">
        <w:rPr>
          <w:rFonts w:eastAsia="Times New Roman" w:cs="Times New Roman"/>
          <w:bCs/>
          <w:szCs w:val="20"/>
        </w:rPr>
        <w:t xml:space="preserve"> study of </w:t>
      </w:r>
      <w:r w:rsidR="005B5EC7">
        <w:rPr>
          <w:rFonts w:eastAsia="Times New Roman" w:cs="Times New Roman"/>
          <w:bCs/>
          <w:szCs w:val="20"/>
        </w:rPr>
        <w:t>this latter</w:t>
      </w:r>
      <w:r w:rsidR="009D28FF">
        <w:rPr>
          <w:rFonts w:eastAsia="Times New Roman" w:cs="Times New Roman"/>
          <w:bCs/>
          <w:szCs w:val="20"/>
        </w:rPr>
        <w:t>, Ryle insisted, was a prerequisite for understanding</w:t>
      </w:r>
      <w:r w:rsidR="005B5EC7">
        <w:rPr>
          <w:rFonts w:eastAsia="Times New Roman" w:cs="Times New Roman"/>
          <w:bCs/>
          <w:szCs w:val="20"/>
        </w:rPr>
        <w:t xml:space="preserve"> ‘our philosophical thinking’, </w:t>
      </w:r>
      <w:r w:rsidR="009D28FF">
        <w:rPr>
          <w:rFonts w:eastAsia="Times New Roman" w:cs="Times New Roman"/>
          <w:bCs/>
          <w:szCs w:val="20"/>
        </w:rPr>
        <w:t>a fact which ‘</w:t>
      </w:r>
      <w:r w:rsidR="009D28FF" w:rsidRPr="009D28FF">
        <w:rPr>
          <w:rFonts w:eastAsia="Times New Roman" w:cs="Times New Roman"/>
          <w:bCs/>
          <w:szCs w:val="20"/>
        </w:rPr>
        <w:t>is partly responsible for the wide gulf that has existed for three-quarters of a century for the wide gulf between Anglo-S</w:t>
      </w:r>
      <w:r w:rsidR="009D28FF">
        <w:rPr>
          <w:rFonts w:eastAsia="Times New Roman" w:cs="Times New Roman"/>
          <w:bCs/>
          <w:szCs w:val="20"/>
        </w:rPr>
        <w:t>axon and Continental philosophy’</w:t>
      </w:r>
      <w:r w:rsidR="009D28FF" w:rsidRPr="009D28FF">
        <w:rPr>
          <w:rFonts w:eastAsia="Times New Roman" w:cs="Times New Roman"/>
          <w:bCs/>
          <w:szCs w:val="20"/>
        </w:rPr>
        <w:t>.</w:t>
      </w:r>
      <w:r w:rsidR="009D28FF">
        <w:rPr>
          <w:rStyle w:val="FootnoteReference"/>
          <w:rFonts w:eastAsia="Times New Roman" w:cs="Times New Roman"/>
          <w:bCs/>
          <w:szCs w:val="20"/>
        </w:rPr>
        <w:footnoteReference w:id="4"/>
      </w:r>
    </w:p>
    <w:p w:rsidR="009D28FF" w:rsidRDefault="009D28FF" w:rsidP="006457A0">
      <w:pPr>
        <w:overflowPunct w:val="0"/>
        <w:autoSpaceDE w:val="0"/>
        <w:autoSpaceDN w:val="0"/>
        <w:adjustRightInd w:val="0"/>
        <w:spacing w:after="0"/>
        <w:textAlignment w:val="baseline"/>
        <w:rPr>
          <w:rFonts w:eastAsia="Times New Roman" w:cs="Times New Roman"/>
          <w:bCs/>
          <w:szCs w:val="20"/>
        </w:rPr>
      </w:pPr>
    </w:p>
    <w:p w:rsidR="0034041C" w:rsidRDefault="006F1AE1" w:rsidP="002A57F2">
      <w:pPr>
        <w:rPr>
          <w:rFonts w:eastAsia="Times New Roman" w:cs="Times New Roman"/>
          <w:bCs/>
          <w:szCs w:val="20"/>
        </w:rPr>
      </w:pPr>
      <w:r>
        <w:rPr>
          <w:rFonts w:eastAsia="Times New Roman" w:cs="Times New Roman"/>
          <w:bCs/>
          <w:szCs w:val="20"/>
        </w:rPr>
        <w:t xml:space="preserve">There was, manifestly, </w:t>
      </w:r>
      <w:r w:rsidR="002B5B3D">
        <w:rPr>
          <w:rFonts w:eastAsia="Times New Roman" w:cs="Times New Roman"/>
          <w:bCs/>
          <w:szCs w:val="20"/>
        </w:rPr>
        <w:t xml:space="preserve">something </w:t>
      </w:r>
      <w:r w:rsidR="00972645">
        <w:rPr>
          <w:rFonts w:eastAsia="Times New Roman" w:cs="Times New Roman"/>
          <w:bCs/>
          <w:szCs w:val="20"/>
        </w:rPr>
        <w:t xml:space="preserve">almost </w:t>
      </w:r>
      <w:r w:rsidR="002B5B3D">
        <w:rPr>
          <w:rFonts w:eastAsia="Times New Roman" w:cs="Times New Roman"/>
          <w:bCs/>
          <w:szCs w:val="20"/>
        </w:rPr>
        <w:t xml:space="preserve">wilfully blind about </w:t>
      </w:r>
      <w:r w:rsidR="00303724">
        <w:rPr>
          <w:rFonts w:eastAsia="Times New Roman" w:cs="Times New Roman"/>
          <w:bCs/>
          <w:szCs w:val="20"/>
        </w:rPr>
        <w:t>Ryle’s</w:t>
      </w:r>
      <w:r w:rsidR="002B5B3D">
        <w:rPr>
          <w:rFonts w:eastAsia="Times New Roman" w:cs="Times New Roman"/>
          <w:bCs/>
          <w:szCs w:val="20"/>
        </w:rPr>
        <w:t xml:space="preserve"> attempt to </w:t>
      </w:r>
      <w:r w:rsidR="00303724">
        <w:rPr>
          <w:rFonts w:eastAsia="Times New Roman" w:cs="Times New Roman"/>
          <w:bCs/>
          <w:szCs w:val="20"/>
        </w:rPr>
        <w:t>characterise</w:t>
      </w:r>
      <w:r w:rsidR="002B5B3D">
        <w:rPr>
          <w:rFonts w:eastAsia="Times New Roman" w:cs="Times New Roman"/>
          <w:bCs/>
          <w:szCs w:val="20"/>
        </w:rPr>
        <w:t xml:space="preserve"> </w:t>
      </w:r>
      <w:r w:rsidR="00303724">
        <w:rPr>
          <w:rFonts w:eastAsia="Times New Roman" w:cs="Times New Roman"/>
          <w:bCs/>
          <w:szCs w:val="20"/>
        </w:rPr>
        <w:t xml:space="preserve">as </w:t>
      </w:r>
      <w:r w:rsidR="00303724" w:rsidRPr="00303724">
        <w:rPr>
          <w:rFonts w:eastAsia="Times New Roman" w:cs="Times New Roman"/>
          <w:bCs/>
          <w:szCs w:val="20"/>
        </w:rPr>
        <w:t>“Anglo-Saxon”</w:t>
      </w:r>
      <w:r w:rsidR="00303724">
        <w:rPr>
          <w:rFonts w:eastAsia="Times New Roman" w:cs="Times New Roman"/>
          <w:bCs/>
          <w:szCs w:val="20"/>
        </w:rPr>
        <w:t xml:space="preserve"> </w:t>
      </w:r>
      <w:r w:rsidR="002B5B3D">
        <w:rPr>
          <w:rFonts w:eastAsia="Times New Roman" w:cs="Times New Roman"/>
          <w:bCs/>
          <w:szCs w:val="20"/>
        </w:rPr>
        <w:t>a logical theory developed</w:t>
      </w:r>
      <w:r>
        <w:rPr>
          <w:rFonts w:eastAsia="Times New Roman" w:cs="Times New Roman"/>
          <w:bCs/>
          <w:szCs w:val="20"/>
        </w:rPr>
        <w:t xml:space="preserve"> largely</w:t>
      </w:r>
      <w:r w:rsidR="002B5B3D">
        <w:rPr>
          <w:rFonts w:eastAsia="Times New Roman" w:cs="Times New Roman"/>
          <w:bCs/>
          <w:szCs w:val="20"/>
        </w:rPr>
        <w:t xml:space="preserve"> by Frege and Wittgenstein, </w:t>
      </w:r>
      <w:r w:rsidR="00B678B6">
        <w:rPr>
          <w:rFonts w:eastAsia="Times New Roman" w:cs="Times New Roman"/>
          <w:bCs/>
          <w:szCs w:val="20"/>
        </w:rPr>
        <w:t>and in 1993 Michael Dummett</w:t>
      </w:r>
      <w:r w:rsidR="006C4E3E">
        <w:rPr>
          <w:rFonts w:eastAsia="Times New Roman" w:cs="Times New Roman"/>
          <w:bCs/>
          <w:szCs w:val="20"/>
        </w:rPr>
        <w:t xml:space="preserve">, in his </w:t>
      </w:r>
      <w:r w:rsidR="006C4E3E">
        <w:rPr>
          <w:rFonts w:eastAsia="Times New Roman" w:cs="Times New Roman"/>
          <w:bCs/>
          <w:i/>
          <w:szCs w:val="20"/>
        </w:rPr>
        <w:t>Origins of Analytical Philos</w:t>
      </w:r>
      <w:r w:rsidR="00733937">
        <w:rPr>
          <w:rFonts w:eastAsia="Times New Roman" w:cs="Times New Roman"/>
          <w:bCs/>
          <w:i/>
          <w:szCs w:val="20"/>
        </w:rPr>
        <w:t>o</w:t>
      </w:r>
      <w:r w:rsidR="006C4E3E">
        <w:rPr>
          <w:rFonts w:eastAsia="Times New Roman" w:cs="Times New Roman"/>
          <w:bCs/>
          <w:i/>
          <w:szCs w:val="20"/>
        </w:rPr>
        <w:t>phy</w:t>
      </w:r>
      <w:r w:rsidR="006C4E3E">
        <w:rPr>
          <w:rFonts w:eastAsia="Times New Roman" w:cs="Times New Roman"/>
          <w:bCs/>
          <w:szCs w:val="20"/>
        </w:rPr>
        <w:t>,</w:t>
      </w:r>
      <w:r w:rsidR="00B678B6">
        <w:rPr>
          <w:rFonts w:eastAsia="Times New Roman" w:cs="Times New Roman"/>
          <w:bCs/>
          <w:szCs w:val="20"/>
        </w:rPr>
        <w:t xml:space="preserve"> </w:t>
      </w:r>
      <w:r w:rsidR="006C4E3E">
        <w:rPr>
          <w:rFonts w:eastAsia="Times New Roman" w:cs="Times New Roman"/>
          <w:bCs/>
          <w:szCs w:val="20"/>
        </w:rPr>
        <w:t xml:space="preserve">took steps to </w:t>
      </w:r>
      <w:r w:rsidR="00B678B6">
        <w:rPr>
          <w:rFonts w:eastAsia="Times New Roman" w:cs="Times New Roman"/>
          <w:bCs/>
          <w:szCs w:val="20"/>
        </w:rPr>
        <w:t>correct</w:t>
      </w:r>
      <w:r w:rsidR="006C4E3E">
        <w:rPr>
          <w:rFonts w:eastAsia="Times New Roman" w:cs="Times New Roman"/>
          <w:bCs/>
          <w:szCs w:val="20"/>
        </w:rPr>
        <w:t xml:space="preserve"> </w:t>
      </w:r>
      <w:r w:rsidR="00B678B6">
        <w:rPr>
          <w:rFonts w:eastAsia="Times New Roman" w:cs="Times New Roman"/>
          <w:bCs/>
          <w:szCs w:val="20"/>
        </w:rPr>
        <w:t>this bizarre conception of the history of the analytic tradition.</w:t>
      </w:r>
      <w:r w:rsidR="00B678B6">
        <w:rPr>
          <w:rStyle w:val="FootnoteReference"/>
          <w:rFonts w:eastAsia="Times New Roman" w:cs="Times New Roman"/>
          <w:bCs/>
          <w:szCs w:val="20"/>
        </w:rPr>
        <w:footnoteReference w:id="5"/>
      </w:r>
      <w:r w:rsidR="002A57F2">
        <w:rPr>
          <w:rFonts w:eastAsia="Times New Roman" w:cs="Times New Roman"/>
          <w:bCs/>
          <w:szCs w:val="20"/>
        </w:rPr>
        <w:t xml:space="preserve"> On Dummett’s rival account, what Ryle calls ‘o</w:t>
      </w:r>
      <w:r w:rsidR="002A57F2" w:rsidRPr="002A57F2">
        <w:rPr>
          <w:rFonts w:eastAsia="Times New Roman" w:cs="Times New Roman"/>
          <w:bCs/>
          <w:szCs w:val="20"/>
        </w:rPr>
        <w:t>ur logical theory</w:t>
      </w:r>
      <w:r w:rsidR="002A57F2">
        <w:rPr>
          <w:rFonts w:eastAsia="Times New Roman" w:cs="Times New Roman"/>
          <w:bCs/>
          <w:szCs w:val="20"/>
        </w:rPr>
        <w:t>’ has</w:t>
      </w:r>
      <w:r w:rsidR="002A57F2" w:rsidRPr="002A57F2">
        <w:rPr>
          <w:rFonts w:eastAsia="Times New Roman" w:cs="Times New Roman"/>
          <w:bCs/>
          <w:szCs w:val="20"/>
        </w:rPr>
        <w:t xml:space="preserve"> its origins not in Cambridge, but in Germany</w:t>
      </w:r>
      <w:r w:rsidR="002A57F2">
        <w:rPr>
          <w:rFonts w:eastAsia="Times New Roman" w:cs="Times New Roman"/>
          <w:bCs/>
          <w:szCs w:val="20"/>
        </w:rPr>
        <w:t>. ‘</w:t>
      </w:r>
      <w:r w:rsidR="002A57F2" w:rsidRPr="002A57F2">
        <w:rPr>
          <w:rFonts w:eastAsia="Times New Roman" w:cs="Times New Roman"/>
          <w:bCs/>
          <w:szCs w:val="20"/>
        </w:rPr>
        <w:t xml:space="preserve">The roots of analytical philosophy', </w:t>
      </w:r>
      <w:r w:rsidR="00303724">
        <w:rPr>
          <w:rFonts w:eastAsia="Times New Roman" w:cs="Times New Roman"/>
          <w:bCs/>
          <w:szCs w:val="20"/>
        </w:rPr>
        <w:t>Dummett pointed out</w:t>
      </w:r>
      <w:r w:rsidR="002A57F2" w:rsidRPr="002A57F2">
        <w:rPr>
          <w:rFonts w:eastAsia="Times New Roman" w:cs="Times New Roman"/>
          <w:bCs/>
          <w:szCs w:val="20"/>
        </w:rPr>
        <w:t xml:space="preserve">, `are the </w:t>
      </w:r>
      <w:r w:rsidR="002A57F2" w:rsidRPr="002A57F2">
        <w:rPr>
          <w:rFonts w:eastAsia="Times New Roman" w:cs="Times New Roman"/>
          <w:bCs/>
          <w:i/>
          <w:szCs w:val="20"/>
        </w:rPr>
        <w:t>same</w:t>
      </w:r>
      <w:r w:rsidR="002A57F2" w:rsidRPr="002A57F2">
        <w:rPr>
          <w:rFonts w:eastAsia="Times New Roman" w:cs="Times New Roman"/>
          <w:bCs/>
          <w:szCs w:val="20"/>
        </w:rPr>
        <w:t xml:space="preserve"> roots as those</w:t>
      </w:r>
      <w:r w:rsidR="002A57F2">
        <w:rPr>
          <w:rFonts w:eastAsia="Times New Roman" w:cs="Times New Roman"/>
          <w:bCs/>
          <w:szCs w:val="20"/>
        </w:rPr>
        <w:t xml:space="preserve"> of the phenomenological school’</w:t>
      </w:r>
      <w:r w:rsidR="002A57F2" w:rsidRPr="002A57F2">
        <w:rPr>
          <w:rFonts w:eastAsia="Times New Roman" w:cs="Times New Roman"/>
          <w:bCs/>
          <w:szCs w:val="20"/>
        </w:rPr>
        <w:t>.</w:t>
      </w:r>
      <w:r w:rsidR="002A57F2">
        <w:rPr>
          <w:rStyle w:val="FootnoteReference"/>
          <w:rFonts w:eastAsia="Times New Roman" w:cs="Times New Roman"/>
          <w:bCs/>
          <w:szCs w:val="20"/>
        </w:rPr>
        <w:footnoteReference w:id="6"/>
      </w:r>
      <w:r w:rsidR="002A57F2" w:rsidRPr="002A57F2">
        <w:rPr>
          <w:rFonts w:eastAsia="Times New Roman" w:cs="Times New Roman"/>
          <w:bCs/>
          <w:szCs w:val="20"/>
        </w:rPr>
        <w:t xml:space="preserve"> The two traditions</w:t>
      </w:r>
      <w:r w:rsidR="00303724">
        <w:rPr>
          <w:rFonts w:eastAsia="Times New Roman" w:cs="Times New Roman"/>
          <w:bCs/>
          <w:szCs w:val="20"/>
        </w:rPr>
        <w:t>, however,</w:t>
      </w:r>
      <w:r w:rsidR="002A57F2">
        <w:rPr>
          <w:rFonts w:eastAsia="Times New Roman" w:cs="Times New Roman"/>
          <w:bCs/>
          <w:szCs w:val="20"/>
        </w:rPr>
        <w:t xml:space="preserve"> ‘</w:t>
      </w:r>
      <w:r w:rsidR="002A57F2" w:rsidRPr="002A57F2">
        <w:rPr>
          <w:rFonts w:eastAsia="Times New Roman" w:cs="Times New Roman"/>
          <w:bCs/>
          <w:szCs w:val="20"/>
        </w:rPr>
        <w:t>may be compared with the Rhine and the Danube, which rise quite close to one another and for a time pursue roughly parallel courses, only to diverge in utterly different directio</w:t>
      </w:r>
      <w:r w:rsidR="002A57F2">
        <w:rPr>
          <w:rFonts w:eastAsia="Times New Roman" w:cs="Times New Roman"/>
          <w:bCs/>
          <w:szCs w:val="20"/>
        </w:rPr>
        <w:t>ns and flow into different seas’</w:t>
      </w:r>
      <w:r w:rsidR="002A57F2" w:rsidRPr="002A57F2">
        <w:rPr>
          <w:rFonts w:eastAsia="Times New Roman" w:cs="Times New Roman"/>
          <w:bCs/>
          <w:szCs w:val="20"/>
        </w:rPr>
        <w:t>.</w:t>
      </w:r>
      <w:r w:rsidR="002A57F2">
        <w:rPr>
          <w:rStyle w:val="FootnoteReference"/>
          <w:rFonts w:eastAsia="Times New Roman" w:cs="Times New Roman"/>
          <w:bCs/>
          <w:szCs w:val="20"/>
        </w:rPr>
        <w:footnoteReference w:id="7"/>
      </w:r>
      <w:r w:rsidR="0034041C">
        <w:rPr>
          <w:rFonts w:eastAsia="Times New Roman" w:cs="Times New Roman"/>
          <w:bCs/>
          <w:szCs w:val="20"/>
        </w:rPr>
        <w:t xml:space="preserve"> </w:t>
      </w:r>
      <w:r w:rsidR="00AB4D06">
        <w:rPr>
          <w:rFonts w:eastAsia="Times New Roman" w:cs="Times New Roman"/>
          <w:bCs/>
          <w:szCs w:val="20"/>
        </w:rPr>
        <w:t>Thus, t</w:t>
      </w:r>
      <w:r w:rsidR="0034041C">
        <w:rPr>
          <w:rFonts w:eastAsia="Times New Roman" w:cs="Times New Roman"/>
          <w:bCs/>
          <w:szCs w:val="20"/>
        </w:rPr>
        <w:t xml:space="preserve">hough Dummett’s account put the </w:t>
      </w:r>
      <w:r w:rsidR="0034041C">
        <w:rPr>
          <w:rFonts w:eastAsia="Times New Roman" w:cs="Times New Roman"/>
          <w:bCs/>
          <w:i/>
          <w:szCs w:val="20"/>
        </w:rPr>
        <w:t xml:space="preserve">origins </w:t>
      </w:r>
      <w:r w:rsidR="0034041C">
        <w:rPr>
          <w:rFonts w:eastAsia="Times New Roman" w:cs="Times New Roman"/>
          <w:bCs/>
          <w:szCs w:val="20"/>
        </w:rPr>
        <w:t xml:space="preserve">of the analytic and the phenomenological traditions close to one another, </w:t>
      </w:r>
      <w:r w:rsidR="00303724">
        <w:rPr>
          <w:rFonts w:eastAsia="Times New Roman" w:cs="Times New Roman"/>
          <w:bCs/>
          <w:szCs w:val="20"/>
        </w:rPr>
        <w:t>it placed</w:t>
      </w:r>
      <w:r w:rsidR="00AB4D06">
        <w:rPr>
          <w:rFonts w:eastAsia="Times New Roman" w:cs="Times New Roman"/>
          <w:bCs/>
          <w:szCs w:val="20"/>
        </w:rPr>
        <w:t xml:space="preserve"> their </w:t>
      </w:r>
      <w:r w:rsidR="0034041C">
        <w:rPr>
          <w:rFonts w:eastAsia="Times New Roman" w:cs="Times New Roman"/>
          <w:bCs/>
          <w:szCs w:val="20"/>
        </w:rPr>
        <w:t>final destinations far apart</w:t>
      </w:r>
      <w:r w:rsidR="00303724">
        <w:rPr>
          <w:rFonts w:eastAsia="Times New Roman" w:cs="Times New Roman"/>
          <w:bCs/>
          <w:szCs w:val="20"/>
        </w:rPr>
        <w:t xml:space="preserve"> from each other.</w:t>
      </w:r>
    </w:p>
    <w:p w:rsidR="0034041C" w:rsidRDefault="0034041C" w:rsidP="002A57F2">
      <w:pPr>
        <w:rPr>
          <w:rFonts w:eastAsia="Times New Roman" w:cs="Times New Roman"/>
          <w:bCs/>
          <w:szCs w:val="20"/>
        </w:rPr>
      </w:pPr>
    </w:p>
    <w:p w:rsidR="006457A0" w:rsidRDefault="0034041C" w:rsidP="006457A0">
      <w:pPr>
        <w:overflowPunct w:val="0"/>
        <w:autoSpaceDE w:val="0"/>
        <w:autoSpaceDN w:val="0"/>
        <w:adjustRightInd w:val="0"/>
        <w:spacing w:after="0"/>
        <w:textAlignment w:val="baseline"/>
        <w:rPr>
          <w:rFonts w:eastAsia="Times New Roman" w:cs="Times New Roman"/>
          <w:bCs/>
          <w:szCs w:val="20"/>
        </w:rPr>
      </w:pPr>
      <w:r>
        <w:rPr>
          <w:rFonts w:eastAsia="Times New Roman" w:cs="Times New Roman"/>
          <w:bCs/>
          <w:szCs w:val="20"/>
        </w:rPr>
        <w:t xml:space="preserve">On either Ryle’s or Dummett’s account of the history of the two movements, </w:t>
      </w:r>
      <w:r w:rsidR="00E27C8E">
        <w:rPr>
          <w:rFonts w:eastAsia="Times New Roman" w:cs="Times New Roman"/>
          <w:bCs/>
          <w:szCs w:val="20"/>
        </w:rPr>
        <w:t xml:space="preserve">then, </w:t>
      </w:r>
      <w:r w:rsidR="006457A0">
        <w:rPr>
          <w:rFonts w:eastAsia="Times New Roman" w:cs="Times New Roman"/>
          <w:bCs/>
          <w:szCs w:val="20"/>
        </w:rPr>
        <w:t xml:space="preserve">the apparent revelation in </w:t>
      </w:r>
      <w:r w:rsidR="006457A0">
        <w:rPr>
          <w:rFonts w:eastAsia="Times New Roman" w:cs="Times New Roman"/>
          <w:bCs/>
          <w:i/>
          <w:szCs w:val="20"/>
        </w:rPr>
        <w:t>Philosophische Bermerkungen</w:t>
      </w:r>
      <w:r w:rsidR="006457A0">
        <w:rPr>
          <w:rFonts w:eastAsia="Times New Roman" w:cs="Times New Roman"/>
          <w:bCs/>
          <w:szCs w:val="20"/>
        </w:rPr>
        <w:t xml:space="preserve"> that Wittgenstein regarded himself – in 1929 and 1930 at any rate – as a phenomenologist</w:t>
      </w:r>
      <w:r w:rsidR="00A40754">
        <w:rPr>
          <w:rFonts w:eastAsia="Times New Roman" w:cs="Times New Roman"/>
          <w:bCs/>
          <w:szCs w:val="20"/>
        </w:rPr>
        <w:t xml:space="preserve"> surely deserved sustained attention and analysis.</w:t>
      </w:r>
      <w:r w:rsidR="00544B16">
        <w:rPr>
          <w:rFonts w:eastAsia="Times New Roman" w:cs="Times New Roman"/>
          <w:bCs/>
          <w:szCs w:val="20"/>
        </w:rPr>
        <w:t xml:space="preserve"> And yet, to begin with at least</w:t>
      </w:r>
      <w:r w:rsidR="00A40754">
        <w:rPr>
          <w:rFonts w:eastAsia="Times New Roman" w:cs="Times New Roman"/>
          <w:bCs/>
          <w:szCs w:val="20"/>
        </w:rPr>
        <w:t>, there was a curious silence on the subject. None of the early reviews of the book discussed in any detail Wittgenst</w:t>
      </w:r>
      <w:r w:rsidR="00303724">
        <w:rPr>
          <w:rFonts w:eastAsia="Times New Roman" w:cs="Times New Roman"/>
          <w:bCs/>
          <w:szCs w:val="20"/>
        </w:rPr>
        <w:t>ein’s repeated use of the word “phenomenology”</w:t>
      </w:r>
      <w:r w:rsidR="00A40754">
        <w:rPr>
          <w:rFonts w:eastAsia="Times New Roman" w:cs="Times New Roman"/>
          <w:bCs/>
          <w:szCs w:val="20"/>
        </w:rPr>
        <w:t xml:space="preserve">, and many of them ignored it altogether. The first sustained attempt to wrestle with the issue </w:t>
      </w:r>
      <w:r w:rsidR="00862117">
        <w:rPr>
          <w:rFonts w:eastAsia="Times New Roman" w:cs="Times New Roman"/>
          <w:bCs/>
          <w:szCs w:val="20"/>
        </w:rPr>
        <w:t>did not appear</w:t>
      </w:r>
      <w:r w:rsidR="00A40754">
        <w:rPr>
          <w:rFonts w:eastAsia="Times New Roman" w:cs="Times New Roman"/>
          <w:bCs/>
          <w:szCs w:val="20"/>
        </w:rPr>
        <w:t xml:space="preserve"> until four years after the </w:t>
      </w:r>
      <w:r w:rsidR="00A40754">
        <w:rPr>
          <w:rFonts w:eastAsia="Times New Roman" w:cs="Times New Roman"/>
          <w:bCs/>
          <w:i/>
          <w:szCs w:val="20"/>
        </w:rPr>
        <w:t>Bermerkungen</w:t>
      </w:r>
      <w:r w:rsidR="00A40754">
        <w:rPr>
          <w:rFonts w:eastAsia="Times New Roman" w:cs="Times New Roman"/>
          <w:bCs/>
          <w:szCs w:val="20"/>
        </w:rPr>
        <w:t xml:space="preserve"> appeared</w:t>
      </w:r>
      <w:r w:rsidR="00234DE4">
        <w:rPr>
          <w:rFonts w:eastAsia="Times New Roman" w:cs="Times New Roman"/>
          <w:bCs/>
          <w:szCs w:val="20"/>
        </w:rPr>
        <w:t xml:space="preserve">, when Herbert Spiegelberg </w:t>
      </w:r>
      <w:r w:rsidR="00862117">
        <w:rPr>
          <w:rFonts w:eastAsia="Times New Roman" w:cs="Times New Roman"/>
          <w:bCs/>
          <w:szCs w:val="20"/>
        </w:rPr>
        <w:t>published</w:t>
      </w:r>
      <w:r>
        <w:rPr>
          <w:rFonts w:eastAsia="Times New Roman" w:cs="Times New Roman"/>
          <w:bCs/>
          <w:szCs w:val="20"/>
        </w:rPr>
        <w:t xml:space="preserve"> an article that finally </w:t>
      </w:r>
      <w:r w:rsidR="00234DE4">
        <w:rPr>
          <w:rFonts w:eastAsia="Times New Roman" w:cs="Times New Roman"/>
          <w:bCs/>
          <w:szCs w:val="20"/>
        </w:rPr>
        <w:t xml:space="preserve">made a concerted effort to </w:t>
      </w:r>
      <w:r w:rsidR="00862117">
        <w:rPr>
          <w:rFonts w:eastAsia="Times New Roman" w:cs="Times New Roman"/>
          <w:bCs/>
          <w:szCs w:val="20"/>
        </w:rPr>
        <w:t xml:space="preserve">spell out, and to make some start in answering, the questions </w:t>
      </w:r>
      <w:r w:rsidR="00234DE4">
        <w:rPr>
          <w:rFonts w:eastAsia="Times New Roman" w:cs="Times New Roman"/>
          <w:bCs/>
          <w:szCs w:val="20"/>
        </w:rPr>
        <w:t>raised by Wittgenstein’s use of the word “phenomenology”</w:t>
      </w:r>
      <w:r w:rsidR="00A40754">
        <w:rPr>
          <w:rFonts w:eastAsia="Times New Roman" w:cs="Times New Roman"/>
          <w:bCs/>
          <w:szCs w:val="20"/>
        </w:rPr>
        <w:t>.</w:t>
      </w:r>
      <w:r w:rsidR="00A40754">
        <w:rPr>
          <w:rStyle w:val="FootnoteReference"/>
          <w:rFonts w:eastAsia="Times New Roman" w:cs="Times New Roman"/>
          <w:bCs/>
          <w:szCs w:val="20"/>
        </w:rPr>
        <w:footnoteReference w:id="8"/>
      </w:r>
      <w:r w:rsidR="00234DE4">
        <w:rPr>
          <w:rFonts w:eastAsia="Times New Roman" w:cs="Times New Roman"/>
          <w:bCs/>
          <w:szCs w:val="20"/>
        </w:rPr>
        <w:t xml:space="preserve"> </w:t>
      </w:r>
      <w:r w:rsidR="00972645">
        <w:rPr>
          <w:rFonts w:eastAsia="Times New Roman" w:cs="Times New Roman"/>
          <w:bCs/>
          <w:szCs w:val="20"/>
        </w:rPr>
        <w:t xml:space="preserve">In this article, </w:t>
      </w:r>
      <w:r w:rsidR="00234DE4">
        <w:rPr>
          <w:rFonts w:eastAsia="Times New Roman" w:cs="Times New Roman"/>
          <w:bCs/>
          <w:szCs w:val="20"/>
        </w:rPr>
        <w:t xml:space="preserve">Spiegelberg listed six questions </w:t>
      </w:r>
      <w:r w:rsidR="00765EE5">
        <w:rPr>
          <w:rFonts w:eastAsia="Times New Roman" w:cs="Times New Roman"/>
          <w:bCs/>
          <w:szCs w:val="20"/>
        </w:rPr>
        <w:t xml:space="preserve">(or, in the cases of 2 and 3, groups of questions) </w:t>
      </w:r>
      <w:r w:rsidR="00234DE4">
        <w:rPr>
          <w:rFonts w:eastAsia="Times New Roman" w:cs="Times New Roman"/>
          <w:bCs/>
          <w:szCs w:val="20"/>
        </w:rPr>
        <w:t xml:space="preserve">that </w:t>
      </w:r>
      <w:r w:rsidR="00765EE5">
        <w:rPr>
          <w:rFonts w:eastAsia="Times New Roman" w:cs="Times New Roman"/>
          <w:bCs/>
          <w:szCs w:val="20"/>
        </w:rPr>
        <w:t xml:space="preserve">he thought </w:t>
      </w:r>
      <w:r w:rsidR="00234DE4">
        <w:rPr>
          <w:rFonts w:eastAsia="Times New Roman" w:cs="Times New Roman"/>
          <w:bCs/>
          <w:szCs w:val="20"/>
        </w:rPr>
        <w:t>needed to be addressed:</w:t>
      </w:r>
    </w:p>
    <w:p w:rsidR="00234DE4" w:rsidRDefault="00234DE4" w:rsidP="006457A0">
      <w:pPr>
        <w:overflowPunct w:val="0"/>
        <w:autoSpaceDE w:val="0"/>
        <w:autoSpaceDN w:val="0"/>
        <w:adjustRightInd w:val="0"/>
        <w:spacing w:after="0"/>
        <w:textAlignment w:val="baseline"/>
        <w:rPr>
          <w:rFonts w:eastAsia="Times New Roman" w:cs="Times New Roman"/>
          <w:bCs/>
          <w:szCs w:val="20"/>
        </w:rPr>
      </w:pPr>
    </w:p>
    <w:p w:rsidR="00234DE4" w:rsidRDefault="00234DE4" w:rsidP="00234DE4">
      <w:pPr>
        <w:pStyle w:val="Quote"/>
      </w:pPr>
      <w:r>
        <w:t>1. What did Wittgenstein really mean by “</w:t>
      </w:r>
      <w:r w:rsidRPr="00234DE4">
        <w:t>Phänomenologie</w:t>
      </w:r>
      <w:r>
        <w:t>”?</w:t>
      </w:r>
    </w:p>
    <w:p w:rsidR="00234DE4" w:rsidRDefault="00234DE4" w:rsidP="00234DE4">
      <w:pPr>
        <w:ind w:left="284"/>
      </w:pPr>
      <w:r>
        <w:t>2. When did he adopt it? For what reasons? What were his relations to the Phenomenological Movement of the time?</w:t>
      </w:r>
    </w:p>
    <w:p w:rsidR="00234DE4" w:rsidRDefault="00234DE4" w:rsidP="00234DE4">
      <w:pPr>
        <w:ind w:firstLine="284"/>
      </w:pPr>
      <w:r>
        <w:t xml:space="preserve">3. How far did he abandon this </w:t>
      </w:r>
      <w:r w:rsidRPr="00234DE4">
        <w:t>Phänomenologie</w:t>
      </w:r>
      <w:r>
        <w:t>? When? For what reasons?</w:t>
      </w:r>
    </w:p>
    <w:p w:rsidR="00234DE4" w:rsidRDefault="00234DE4" w:rsidP="00234DE4">
      <w:pPr>
        <w:ind w:firstLine="284"/>
      </w:pPr>
      <w:r>
        <w:t>4. What was its role in Wittgenstein’s development?</w:t>
      </w:r>
    </w:p>
    <w:p w:rsidR="00234DE4" w:rsidRDefault="00234DE4" w:rsidP="00234DE4">
      <w:pPr>
        <w:ind w:firstLine="284"/>
      </w:pPr>
      <w:r>
        <w:t>5. What is its philosophical merit?</w:t>
      </w:r>
    </w:p>
    <w:p w:rsidR="00234DE4" w:rsidRDefault="00234DE4" w:rsidP="00234DE4">
      <w:pPr>
        <w:ind w:firstLine="284"/>
      </w:pPr>
      <w:r>
        <w:t>6. What is its significance for other phenomenologists?</w:t>
      </w:r>
      <w:r>
        <w:rPr>
          <w:rStyle w:val="FootnoteReference"/>
        </w:rPr>
        <w:footnoteReference w:id="9"/>
      </w:r>
    </w:p>
    <w:p w:rsidR="0034041C" w:rsidRDefault="0034041C" w:rsidP="00234DE4"/>
    <w:p w:rsidR="00234DE4" w:rsidRDefault="00234DE4" w:rsidP="00234DE4">
      <w:r>
        <w:lastRenderedPageBreak/>
        <w:t>‘Some of these questions’, Spiegelberg wrote, ‘can probably never be answered. Some req</w:t>
      </w:r>
      <w:r w:rsidR="005B0100">
        <w:t>uire full access to Wittgenstei</w:t>
      </w:r>
      <w:r>
        <w:t>n’s and others’ extant papers and correspondences</w:t>
      </w:r>
      <w:r w:rsidR="00B91F90">
        <w:t>.’</w:t>
      </w:r>
      <w:r w:rsidR="00B91F90">
        <w:rPr>
          <w:rStyle w:val="FootnoteReference"/>
        </w:rPr>
        <w:footnoteReference w:id="10"/>
      </w:r>
      <w:r w:rsidR="00B91F90">
        <w:t xml:space="preserve"> ‘All of them,’ he added, ‘presuppose a much fuller knowledge of Wittgenstein’s philosophy than I can muster.’</w:t>
      </w:r>
      <w:r w:rsidR="00B91F90">
        <w:rPr>
          <w:rStyle w:val="FootnoteReference"/>
        </w:rPr>
        <w:footnoteReference w:id="11"/>
      </w:r>
    </w:p>
    <w:p w:rsidR="00B91F90" w:rsidRDefault="00B91F90" w:rsidP="00234DE4"/>
    <w:p w:rsidR="00BF4D3C" w:rsidRDefault="00D41BAF" w:rsidP="00234DE4">
      <w:r>
        <w:t xml:space="preserve">In the </w:t>
      </w:r>
      <w:r w:rsidR="00765EE5">
        <w:t>subsequent</w:t>
      </w:r>
      <w:r>
        <w:t xml:space="preserve"> </w:t>
      </w:r>
      <w:r w:rsidR="005B0100">
        <w:t xml:space="preserve">forty-three </w:t>
      </w:r>
      <w:r>
        <w:t xml:space="preserve">years, surprisingly little has been published </w:t>
      </w:r>
      <w:r w:rsidR="002F282B">
        <w:t xml:space="preserve">that attempts to </w:t>
      </w:r>
      <w:r>
        <w:t>rise to the challenge of answering Spiegelberg’s questions</w:t>
      </w:r>
      <w:r w:rsidR="005B0100">
        <w:t>.</w:t>
      </w:r>
      <w:r w:rsidR="005B0100">
        <w:rPr>
          <w:rStyle w:val="FootnoteReference"/>
        </w:rPr>
        <w:footnoteReference w:id="12"/>
      </w:r>
      <w:r w:rsidR="005B0100">
        <w:t xml:space="preserve"> </w:t>
      </w:r>
      <w:r w:rsidR="00D45D10">
        <w:t xml:space="preserve">Nevertheless progress has been made in answering at least some of </w:t>
      </w:r>
      <w:r w:rsidR="0034041C">
        <w:t>them</w:t>
      </w:r>
      <w:r w:rsidR="00D45D10">
        <w:t xml:space="preserve">. The early work by Karuda, Gier and Spiegelberg himself tended to concentrate on question 2, particularly on the issue of Wittgenstein’s relations with the Phenomenological Movement of his time. </w:t>
      </w:r>
      <w:r w:rsidR="00BF4D3C">
        <w:t>The most e</w:t>
      </w:r>
      <w:r w:rsidR="0034041C">
        <w:t xml:space="preserve">xtended discussion of this </w:t>
      </w:r>
      <w:r w:rsidR="00BF4D3C">
        <w:t xml:space="preserve">is by Gier in his 1981 book, </w:t>
      </w:r>
      <w:r w:rsidR="00BF4D3C">
        <w:rPr>
          <w:i/>
        </w:rPr>
        <w:t>Wittgenstein and Phenomenology</w:t>
      </w:r>
      <w:r w:rsidR="00BF4D3C">
        <w:t xml:space="preserve">, in which he draws a series </w:t>
      </w:r>
      <w:r w:rsidR="00BF4D3C">
        <w:lastRenderedPageBreak/>
        <w:t xml:space="preserve">of interesting comparisons between Wittgenstein’s later work and ideas to be found in the writings of Husserl, Heidegger and Merleau-Ponty. Gier makes little or no attempt to answer </w:t>
      </w:r>
      <w:r w:rsidR="0015514C">
        <w:t>Spie</w:t>
      </w:r>
      <w:r w:rsidR="00BF4D3C">
        <w:t xml:space="preserve">gelberg’s questions 5 and 6, and, like Spiegelberg, offers </w:t>
      </w:r>
      <w:r w:rsidR="002C0A21">
        <w:t>wha</w:t>
      </w:r>
      <w:r w:rsidR="0037062A">
        <w:t xml:space="preserve">t I attempt to show below is </w:t>
      </w:r>
      <w:r w:rsidR="00BF4D3C">
        <w:t>a very unconvincing answer to question 3</w:t>
      </w:r>
      <w:r w:rsidR="00765EE5">
        <w:t xml:space="preserve"> (what he has to say about questions 1 and 4 will be discussed later).</w:t>
      </w:r>
    </w:p>
    <w:p w:rsidR="00765EE5" w:rsidRDefault="00765EE5" w:rsidP="00234DE4"/>
    <w:p w:rsidR="00BF4D3C" w:rsidRDefault="0034041C" w:rsidP="00234DE4">
      <w:r>
        <w:t>In my view, b</w:t>
      </w:r>
      <w:r w:rsidR="00BF4D3C">
        <w:t xml:space="preserve">oth Spiegelberg and Gier are hampered in their attempts to answer these questions by their </w:t>
      </w:r>
      <w:r>
        <w:t xml:space="preserve">adherence to the </w:t>
      </w:r>
      <w:r w:rsidR="00BF4D3C">
        <w:t>belief that Wittgenstein</w:t>
      </w:r>
      <w:r w:rsidR="008909CA">
        <w:t xml:space="preserve">’s discussions of phenomenology in </w:t>
      </w:r>
      <w:r w:rsidR="008909CA">
        <w:rPr>
          <w:i/>
        </w:rPr>
        <w:t xml:space="preserve">Philosophical Remarks </w:t>
      </w:r>
      <w:r w:rsidR="008909CA">
        <w:t>and the Big Typescript are characteristic of his entire output from 1929 until his death. Their answer to Spiegelberg’s question 3 is that Wittgenstein</w:t>
      </w:r>
      <w:r w:rsidR="00BF4D3C">
        <w:t xml:space="preserve"> never</w:t>
      </w:r>
      <w:r>
        <w:t xml:space="preserve"> did abandon phenomenology</w:t>
      </w:r>
      <w:r w:rsidR="0037062A">
        <w:t>. B</w:t>
      </w:r>
      <w:r>
        <w:t xml:space="preserve">oth </w:t>
      </w:r>
      <w:r w:rsidR="00087E54">
        <w:t xml:space="preserve">are </w:t>
      </w:r>
      <w:r>
        <w:t xml:space="preserve">inclined to </w:t>
      </w:r>
      <w:r w:rsidR="00BF4D3C">
        <w:t xml:space="preserve">read </w:t>
      </w:r>
      <w:r w:rsidR="00087E54">
        <w:t xml:space="preserve">the whole of </w:t>
      </w:r>
      <w:r w:rsidR="00BF4D3C">
        <w:t>Wittgenstein’s later work as a</w:t>
      </w:r>
      <w:r w:rsidR="00087E54">
        <w:t xml:space="preserve"> contribution to </w:t>
      </w:r>
      <w:r w:rsidR="000171CE">
        <w:t>the phenomenological tradition</w:t>
      </w:r>
      <w:r w:rsidR="00087E54">
        <w:t>. F</w:t>
      </w:r>
      <w:r>
        <w:t xml:space="preserve">or them, </w:t>
      </w:r>
      <w:r w:rsidR="00BF4D3C">
        <w:t xml:space="preserve">the question </w:t>
      </w:r>
      <w:r>
        <w:t xml:space="preserve">is not why Wittgenstein abandoned phenomenology, but rather </w:t>
      </w:r>
      <w:r w:rsidR="00BF4D3C">
        <w:t xml:space="preserve">why </w:t>
      </w:r>
      <w:r w:rsidR="00694D1E">
        <w:t>he</w:t>
      </w:r>
      <w:r w:rsidR="00BF4D3C">
        <w:t xml:space="preserve"> </w:t>
      </w:r>
      <w:r>
        <w:t xml:space="preserve">stopped </w:t>
      </w:r>
      <w:r w:rsidR="00BF4D3C">
        <w:t xml:space="preserve">using the </w:t>
      </w:r>
      <w:r w:rsidR="00BF4D3C" w:rsidRPr="00F52027">
        <w:rPr>
          <w:i/>
        </w:rPr>
        <w:t>word</w:t>
      </w:r>
      <w:r w:rsidR="00BF4D3C">
        <w:t xml:space="preserve"> “phenomenology”. Spiegelberg’s answer to </w:t>
      </w:r>
      <w:r w:rsidR="00BF4D3C" w:rsidRPr="0037062A">
        <w:t xml:space="preserve">that </w:t>
      </w:r>
      <w:r w:rsidR="00BC6163">
        <w:t>is that Wittgenstein wanted to ‘avoid technical jargon’</w:t>
      </w:r>
      <w:r w:rsidR="00BF4D3C">
        <w:t>.</w:t>
      </w:r>
      <w:r w:rsidR="001624FC">
        <w:rPr>
          <w:rStyle w:val="FootnoteReference"/>
        </w:rPr>
        <w:footnoteReference w:id="13"/>
      </w:r>
      <w:r w:rsidR="00BF4D3C">
        <w:t xml:space="preserve"> </w:t>
      </w:r>
      <w:r w:rsidR="001624FC">
        <w:t xml:space="preserve">Why Wittgenstein did </w:t>
      </w:r>
      <w:r w:rsidR="00087E54">
        <w:t>not</w:t>
      </w:r>
      <w:r w:rsidR="001624FC">
        <w:rPr>
          <w:i/>
        </w:rPr>
        <w:t xml:space="preserve"> </w:t>
      </w:r>
      <w:r w:rsidR="001624FC">
        <w:t xml:space="preserve">want to avoid technical jargon in the years 1929-33 is something </w:t>
      </w:r>
      <w:r w:rsidR="00765EE5">
        <w:t xml:space="preserve">about which </w:t>
      </w:r>
      <w:r w:rsidR="001624FC">
        <w:t xml:space="preserve">Spiegelberg is not </w:t>
      </w:r>
      <w:r w:rsidR="00765EE5">
        <w:t xml:space="preserve">at all </w:t>
      </w:r>
      <w:r w:rsidR="001624FC">
        <w:t>clear. Gier’s answer to the same question is that Wittgenstein stopped using the term “phenomenolo</w:t>
      </w:r>
      <w:r w:rsidR="00F4741C">
        <w:t>gy” when his thinking developed from one k</w:t>
      </w:r>
      <w:r w:rsidR="00087E54">
        <w:t>ind of phenomenology to another;</w:t>
      </w:r>
      <w:r w:rsidR="00F4741C">
        <w:t xml:space="preserve"> when, that is, he moved </w:t>
      </w:r>
      <w:r w:rsidR="001624FC">
        <w:t xml:space="preserve">away from a Husserlian search for essences and towards a </w:t>
      </w:r>
      <w:r w:rsidR="001624FC">
        <w:rPr>
          <w:i/>
        </w:rPr>
        <w:t>Weltanschauungsphilosophie</w:t>
      </w:r>
      <w:r w:rsidR="00765EE5">
        <w:t xml:space="preserve"> that has</w:t>
      </w:r>
      <w:r w:rsidR="001624FC">
        <w:t xml:space="preserve"> more in common with Heidegger, Merleau-Ponty and the existentialists than with Husserl. As Wittgenstein associated the word “phenomenology” </w:t>
      </w:r>
      <w:r w:rsidR="00F4741C">
        <w:t xml:space="preserve">only </w:t>
      </w:r>
      <w:r w:rsidR="001624FC">
        <w:t xml:space="preserve">with </w:t>
      </w:r>
      <w:r w:rsidR="00F4741C">
        <w:t xml:space="preserve">the </w:t>
      </w:r>
      <w:r w:rsidR="001624FC">
        <w:t>Husserl</w:t>
      </w:r>
      <w:r w:rsidR="00F4741C">
        <w:t xml:space="preserve">ian kind, </w:t>
      </w:r>
      <w:r w:rsidR="001624FC">
        <w:t xml:space="preserve">Gier </w:t>
      </w:r>
      <w:r w:rsidR="001624FC">
        <w:lastRenderedPageBreak/>
        <w:t>suggests, he stopped using the word, even though his philosophy could still rightly be described as phenomenology.</w:t>
      </w:r>
      <w:r w:rsidR="001624FC">
        <w:rPr>
          <w:rStyle w:val="FootnoteReference"/>
        </w:rPr>
        <w:footnoteReference w:id="14"/>
      </w:r>
    </w:p>
    <w:p w:rsidR="002610B9" w:rsidRDefault="002610B9" w:rsidP="00234DE4"/>
    <w:p w:rsidR="002610B9" w:rsidRDefault="00B34F00" w:rsidP="00234DE4">
      <w:r>
        <w:t xml:space="preserve">That Wittgenstein’s later work can, in some sense, be correctly described as “phenomenological” – if not as “phenomenology” – is something about which there is </w:t>
      </w:r>
      <w:r w:rsidR="00765EE5">
        <w:t xml:space="preserve">fairly general </w:t>
      </w:r>
      <w:r>
        <w:t>agreement. It is certainly something upon which Wittgenstein himself insisted on many occasions</w:t>
      </w:r>
      <w:r w:rsidR="004A3CF3">
        <w:t>. In any case</w:t>
      </w:r>
      <w:r>
        <w:t xml:space="preserve">, it is not something I want to challenge. Nor would I entirely reject Gier’s characterisation of the general development of Wittgenstein’s later work </w:t>
      </w:r>
      <w:r w:rsidR="004A3CF3">
        <w:t xml:space="preserve">as being a movement </w:t>
      </w:r>
      <w:r>
        <w:t xml:space="preserve">away from a Husserlian kind of phenomenology towards something that might be called a </w:t>
      </w:r>
      <w:r w:rsidRPr="00B34F00">
        <w:rPr>
          <w:i/>
        </w:rPr>
        <w:t>Weltanschauungsphilosophie</w:t>
      </w:r>
      <w:r>
        <w:t xml:space="preserve">. However, I cannot help feeling that something important about Wittgenstein’s discussion of phenomenology in </w:t>
      </w:r>
      <w:r>
        <w:rPr>
          <w:i/>
        </w:rPr>
        <w:t>Philosophische Bermerkungen</w:t>
      </w:r>
      <w:r>
        <w:t xml:space="preserve"> has slipped Gier’s grasp, and that this is connected with Gier’s unsatisfactory answers to Spiegelberg’s questions 1 and 4 – what Wittgenstein meant by </w:t>
      </w:r>
      <w:r w:rsidRPr="00B34F00">
        <w:t>“Phänomenologie”</w:t>
      </w:r>
      <w:r>
        <w:t xml:space="preserve"> and what role the notion played in his philosophical development. When we get clearer about </w:t>
      </w:r>
      <w:r>
        <w:rPr>
          <w:i/>
        </w:rPr>
        <w:t>these</w:t>
      </w:r>
      <w:r>
        <w:t xml:space="preserve"> questions, I believe, we can provide a better answer to the question of when and why Wittgenstein abandoned the term.</w:t>
      </w:r>
    </w:p>
    <w:p w:rsidR="00F4741C" w:rsidRDefault="00F4741C" w:rsidP="00234DE4"/>
    <w:p w:rsidR="00CB4CEE" w:rsidRDefault="00160401" w:rsidP="00CB4CEE">
      <w:r>
        <w:t>One of the chief reasons that Gier is unable to provide satisfactory answers to these latter questions is that he is stubbornly attached, in the face of all the evidence to the contrary, to the idea that at the heart of Wittgenstein’s phenomenology was a commitment to the Kantian notion of the synthetic a priori. Gier’s attachment to this idea leads him time and time again to misread crucial passages and remarks by Wittgenstein. For example</w:t>
      </w:r>
      <w:r w:rsidR="00CB4CEE">
        <w:t xml:space="preserve">, he is extremely puzzled by the exchange between Schlick and Wittgenstein that took place in Vienna on 30 </w:t>
      </w:r>
      <w:r w:rsidR="00CB4CEE">
        <w:lastRenderedPageBreak/>
        <w:t>December 1929.</w:t>
      </w:r>
      <w:r w:rsidR="00CB4CEE">
        <w:rPr>
          <w:rStyle w:val="FootnoteReference"/>
        </w:rPr>
        <w:footnoteReference w:id="15"/>
      </w:r>
      <w:r w:rsidR="00CB4CEE">
        <w:t xml:space="preserve"> </w:t>
      </w:r>
      <w:r w:rsidR="00CB4CEE" w:rsidRPr="00CB4CEE">
        <w:t>“What answer</w:t>
      </w:r>
      <w:r w:rsidR="00CB4CEE">
        <w:t>,” Schlick asked Wittgenstein,</w:t>
      </w:r>
      <w:r w:rsidR="00CB4CEE" w:rsidRPr="00CB4CEE">
        <w:t xml:space="preserve"> </w:t>
      </w:r>
      <w:r w:rsidR="00CB4CEE">
        <w:t>“</w:t>
      </w:r>
      <w:r w:rsidR="00CB4CEE" w:rsidRPr="00CB4CEE">
        <w:t>can one give to a philosopher who believes that the statements of phenomenology are synthetic a priori judgments?”</w:t>
      </w:r>
      <w:r w:rsidR="00CB4CEE">
        <w:t xml:space="preserve"> Wittgenstein replied:</w:t>
      </w:r>
    </w:p>
    <w:p w:rsidR="00274E1B" w:rsidRDefault="00274E1B" w:rsidP="00CB4CEE"/>
    <w:p w:rsidR="00CB4CEE" w:rsidRDefault="00CB4CEE" w:rsidP="00CB4CEE">
      <w:pPr>
        <w:pStyle w:val="Quote"/>
      </w:pPr>
      <w:r>
        <w:t>If I say “I have not got stomach-ache”, then this presupposes the possibility of a state of stomach-ache. … The negative proposition presupposes the positive one and vice versa.</w:t>
      </w:r>
    </w:p>
    <w:p w:rsidR="00087E54" w:rsidRDefault="00087E54" w:rsidP="00CB4CEE">
      <w:pPr>
        <w:pStyle w:val="Quote"/>
      </w:pPr>
    </w:p>
    <w:p w:rsidR="00CB4CEE" w:rsidRDefault="00CB4CEE" w:rsidP="00CB4CEE">
      <w:pPr>
        <w:pStyle w:val="Quote"/>
      </w:pPr>
      <w:r>
        <w:t>Now let us take the statement, “An object is not red and green at the same time”. Is all I want to say by this that I have not yet seen such an object? Obviously not. What I mean is, “I cannot see such an object”. “Red and green cannot be in the same place”. Here I would ask, What does the word “can” mean here? The word “can” is obviously a grammatical (logical) concept, not a material one.</w:t>
      </w:r>
    </w:p>
    <w:p w:rsidR="0037062A" w:rsidRDefault="0037062A" w:rsidP="00CB4CEE">
      <w:pPr>
        <w:pStyle w:val="Quote"/>
      </w:pPr>
    </w:p>
    <w:p w:rsidR="00CB4CEE" w:rsidRDefault="00CB4CEE" w:rsidP="00CB4CEE">
      <w:pPr>
        <w:pStyle w:val="Quote"/>
      </w:pPr>
      <w:r>
        <w:t>Now suppose the statement “An object cannot be both red and green” were a synthetic judgment and the words “cannot” meant logical impossibility. Since a proposition is the negation of its negation, there must also exist the proposition “An object can be red and green”. This proposition would also be synthetic. As a synthetic proposition it has sense, and this means that the state of things represented by it can obtain. If “cannot” means logical impossibility, we therefore reach the conclusion that the impossible is possible.</w:t>
      </w:r>
    </w:p>
    <w:p w:rsidR="00087E54" w:rsidRDefault="00087E54" w:rsidP="00CB4CEE">
      <w:pPr>
        <w:pStyle w:val="Quote"/>
      </w:pPr>
    </w:p>
    <w:p w:rsidR="00CB4CEE" w:rsidRDefault="00CB4CEE" w:rsidP="00CB4CEE">
      <w:pPr>
        <w:pStyle w:val="Quote"/>
      </w:pPr>
      <w:r>
        <w:lastRenderedPageBreak/>
        <w:t>Here there remained only one way out for Husserl – to declare that there was a third possibility. To that I would reply that it is indeed possible to make up words, but I cannot associate a thought with them.</w:t>
      </w:r>
    </w:p>
    <w:p w:rsidR="00CB4CEE" w:rsidRDefault="00CB4CEE" w:rsidP="00CB4CEE"/>
    <w:p w:rsidR="00A661AF" w:rsidRDefault="00A661AF" w:rsidP="00CB4CEE">
      <w:pPr>
        <w:rPr>
          <w:rFonts w:eastAsia="Times New Roman" w:cs="Times New Roman"/>
          <w:szCs w:val="20"/>
        </w:rPr>
      </w:pPr>
      <w:r>
        <w:t>The “third possibility” which Wittg</w:t>
      </w:r>
      <w:r w:rsidR="0037062A">
        <w:t xml:space="preserve">enstein mentions here is, presumably, </w:t>
      </w:r>
      <w:r>
        <w:t>something that is neither a material nor a grammatical proposition, something, as he would later put it, ‘</w:t>
      </w:r>
      <w:r w:rsidRPr="006466E0">
        <w:rPr>
          <w:rFonts w:eastAsia="Times New Roman" w:cs="Times New Roman"/>
          <w:szCs w:val="20"/>
        </w:rPr>
        <w:t>midway between s</w:t>
      </w:r>
      <w:r>
        <w:rPr>
          <w:rFonts w:eastAsia="Times New Roman" w:cs="Times New Roman"/>
          <w:szCs w:val="20"/>
        </w:rPr>
        <w:t xml:space="preserve">cience and logic’. </w:t>
      </w:r>
      <w:r w:rsidR="00EE2A83">
        <w:rPr>
          <w:rFonts w:eastAsia="Times New Roman" w:cs="Times New Roman"/>
          <w:szCs w:val="20"/>
        </w:rPr>
        <w:t xml:space="preserve">Though he had himself, just a few months before this conversation with Schlick, believed in such a possibility – believed, indeed, that phenomenology might provide it – he could not have made it clearer than he does here that, by the end of 1929, he dismissed it. </w:t>
      </w:r>
      <w:r w:rsidR="00EE2A83">
        <w:t>‘An object is not red and green at the same time’ is</w:t>
      </w:r>
      <w:r w:rsidR="0037062A">
        <w:t>, he is quite clearly insisting here,</w:t>
      </w:r>
      <w:r w:rsidR="00D04F3A">
        <w:t xml:space="preserve"> not a synthetic proposition, </w:t>
      </w:r>
      <w:r w:rsidR="00EE2A83">
        <w:t>and therefore</w:t>
      </w:r>
      <w:r w:rsidR="00D04F3A">
        <w:t xml:space="preserve">, a </w:t>
      </w:r>
      <w:r w:rsidR="0015514C">
        <w:t>fortiori</w:t>
      </w:r>
      <w:r w:rsidR="00D04F3A">
        <w:t>,</w:t>
      </w:r>
      <w:r w:rsidR="00EE2A83">
        <w:t xml:space="preserve"> not synthetic a priori (a category in which, in case, W</w:t>
      </w:r>
      <w:r w:rsidR="00D04F3A">
        <w:t xml:space="preserve">ittgenstein does not believe); </w:t>
      </w:r>
      <w:r w:rsidR="00EE2A83">
        <w:t>it is a statement of grammar.</w:t>
      </w:r>
    </w:p>
    <w:p w:rsidR="00EE2A83" w:rsidRDefault="00EE2A83" w:rsidP="00CB4CEE"/>
    <w:p w:rsidR="00CB4CEE" w:rsidRDefault="002C3E2B" w:rsidP="00CB4CEE">
      <w:r>
        <w:t>Schlick was at th</w:t>
      </w:r>
      <w:r w:rsidR="00EE2A83">
        <w:t>e</w:t>
      </w:r>
      <w:r>
        <w:t xml:space="preserve"> time </w:t>
      </w:r>
      <w:r w:rsidR="00EE2A83">
        <w:t xml:space="preserve">of this conversation </w:t>
      </w:r>
      <w:r>
        <w:t>writing a lecture called ‘Gibt es ein materiales Apriori?’</w:t>
      </w:r>
      <w:r>
        <w:rPr>
          <w:rStyle w:val="FootnoteReference"/>
        </w:rPr>
        <w:footnoteReference w:id="16"/>
      </w:r>
      <w:r w:rsidR="00283BB6">
        <w:t xml:space="preserve"> in which he took Husserl to task on th</w:t>
      </w:r>
      <w:r w:rsidR="00EE2A83">
        <w:t xml:space="preserve">is </w:t>
      </w:r>
      <w:r w:rsidR="00283BB6">
        <w:t>very point. Husserl’s view that phenomenological statements (Schlick’s example is the Wittgensteinian one: ‘A surface cannot be simultaneously red and green’</w:t>
      </w:r>
      <w:r w:rsidR="00283BB6">
        <w:rPr>
          <w:rStyle w:val="FootnoteReference"/>
        </w:rPr>
        <w:footnoteReference w:id="17"/>
      </w:r>
      <w:r w:rsidR="00283BB6">
        <w:t>) are synthetic rests, Schlick claims, on a failure to realize that such statements are really concerned with the rules for using words, and: ‘Whatever follows from these rules, follows from the mere meaning of the word, and is therefore purely analytic, tautological, formal.’</w:t>
      </w:r>
      <w:r w:rsidR="00283BB6">
        <w:rPr>
          <w:rStyle w:val="FootnoteReference"/>
        </w:rPr>
        <w:footnoteReference w:id="18"/>
      </w:r>
      <w:r w:rsidR="00283BB6">
        <w:t xml:space="preserve"> ‘The f</w:t>
      </w:r>
      <w:r w:rsidR="00843C96">
        <w:t>irst who, to m</w:t>
      </w:r>
      <w:r w:rsidR="00283BB6">
        <w:t xml:space="preserve">y knowledge, has given </w:t>
      </w:r>
      <w:r w:rsidR="00283BB6">
        <w:lastRenderedPageBreak/>
        <w:t>the correct solution of the problem,</w:t>
      </w:r>
      <w:r w:rsidR="00843C96">
        <w:t xml:space="preserve">’ Schlick goes on, ‘is Ludwig Wittgenstein (see his </w:t>
      </w:r>
      <w:r w:rsidR="00843C96">
        <w:rPr>
          <w:i/>
        </w:rPr>
        <w:t>Tractatus Logico-Philosophicus</w:t>
      </w:r>
      <w:r w:rsidR="00843C96">
        <w:t xml:space="preserve"> and essay in the </w:t>
      </w:r>
      <w:r w:rsidR="00843C96">
        <w:rPr>
          <w:i/>
        </w:rPr>
        <w:t>Proceedings of the Aristotelian Society</w:t>
      </w:r>
      <w:r w:rsidR="00843C96">
        <w:t>, 1929) to whom we owe fundamental logical clarifications which will decisively influence the future course of philosophy.’</w:t>
      </w:r>
    </w:p>
    <w:p w:rsidR="00843C96" w:rsidRDefault="00843C96" w:rsidP="00CB4CEE"/>
    <w:p w:rsidR="00D04F3A" w:rsidRDefault="00D04F3A" w:rsidP="00CB4CEE">
      <w:r>
        <w:t xml:space="preserve">In the light of Wittgenstein’s discussion of phenomenology in </w:t>
      </w:r>
      <w:r>
        <w:rPr>
          <w:i/>
        </w:rPr>
        <w:t>Philosophical Remarks</w:t>
      </w:r>
      <w:r>
        <w:t>,</w:t>
      </w:r>
      <w:r>
        <w:rPr>
          <w:i/>
        </w:rPr>
        <w:t xml:space="preserve"> </w:t>
      </w:r>
      <w:r w:rsidR="000D5DE1">
        <w:t xml:space="preserve">Schlick’s use of Wittgenstein in his battle against Husserl’s phenomenology </w:t>
      </w:r>
      <w:r w:rsidR="001601BE">
        <w:t xml:space="preserve">might </w:t>
      </w:r>
      <w:r w:rsidR="000D5DE1">
        <w:t>see</w:t>
      </w:r>
      <w:r>
        <w:t xml:space="preserve">m to be </w:t>
      </w:r>
      <w:r w:rsidR="000D5DE1">
        <w:t>charged with irony</w:t>
      </w:r>
      <w:r>
        <w:t>. As we shall see, however, by the time this discussion took place, Wittgenstein had abandoned the Husserlian views he had expressed in the first part of 1929. Schlick’s claim that Wittgenstein regarded phenomenological statements as grammatical</w:t>
      </w:r>
      <w:r w:rsidR="001601BE">
        <w:t xml:space="preserve"> </w:t>
      </w:r>
      <w:r>
        <w:t xml:space="preserve">is </w:t>
      </w:r>
      <w:r w:rsidR="00745573">
        <w:t xml:space="preserve">– in December 1929 - </w:t>
      </w:r>
      <w:r>
        <w:t xml:space="preserve">perfectly correct; his implication that Wittgenstein regarded statements of grammar to be tautologies is, on the other hand, </w:t>
      </w:r>
      <w:r w:rsidR="00E01ADF">
        <w:t>demonstrably mistaken</w:t>
      </w:r>
      <w:r>
        <w:t>.</w:t>
      </w:r>
    </w:p>
    <w:p w:rsidR="00D04F3A" w:rsidRDefault="00D04F3A" w:rsidP="00CB4CEE"/>
    <w:p w:rsidR="00843C96" w:rsidRDefault="00D04F3A" w:rsidP="00CB4CEE">
      <w:r>
        <w:t>Partly because of the rapidly changing nature of his views in 1929, and partly because of the different emphases he put on his views at different times</w:t>
      </w:r>
      <w:r w:rsidR="00BB503D">
        <w:t>, i</w:t>
      </w:r>
      <w:r w:rsidR="00A05C9F">
        <w:t xml:space="preserve">t is all too easy to misunderstand what Wittgenstein was saying about grammar in 1929 and how it relates to a) </w:t>
      </w:r>
      <w:r w:rsidR="0015514C">
        <w:t>phenomenology</w:t>
      </w:r>
      <w:r w:rsidR="00A05C9F">
        <w:t xml:space="preserve"> and b) the </w:t>
      </w:r>
      <w:r w:rsidR="001601BE">
        <w:t>analytic/</w:t>
      </w:r>
      <w:r w:rsidR="00A05C9F">
        <w:t>syn</w:t>
      </w:r>
      <w:r w:rsidR="001601BE">
        <w:t>thetic and the a priori/</w:t>
      </w:r>
      <w:r w:rsidR="00A05C9F">
        <w:t>a posteriori</w:t>
      </w:r>
      <w:r w:rsidR="001601BE">
        <w:t xml:space="preserve"> distinctions</w:t>
      </w:r>
      <w:r w:rsidR="00A05C9F">
        <w:t xml:space="preserve">. </w:t>
      </w:r>
      <w:r w:rsidR="003023DC">
        <w:t xml:space="preserve">The mirror image of </w:t>
      </w:r>
      <w:r w:rsidR="00A05C9F">
        <w:t>Schlick</w:t>
      </w:r>
      <w:r w:rsidR="003023DC">
        <w:t xml:space="preserve">’s mistaken attribution to Wittgenstein of the view that grammatical statements are analytic is </w:t>
      </w:r>
      <w:r w:rsidR="00A05C9F">
        <w:t>Gier</w:t>
      </w:r>
      <w:r w:rsidR="003023DC">
        <w:t xml:space="preserve">’s insistence that they are </w:t>
      </w:r>
      <w:r w:rsidR="00A05C9F">
        <w:t xml:space="preserve">synthetic a priori. </w:t>
      </w:r>
      <w:r w:rsidR="002649A3">
        <w:t xml:space="preserve">Referring to Wittgenstein’s argument quoted above that phenomenological statements like </w:t>
      </w:r>
      <w:r w:rsidR="00F52027">
        <w:t>‘</w:t>
      </w:r>
      <w:r w:rsidR="002649A3" w:rsidRPr="002649A3">
        <w:t>An object is not</w:t>
      </w:r>
      <w:r w:rsidR="00F52027">
        <w:t xml:space="preserve"> red and green at the same time’</w:t>
      </w:r>
      <w:r w:rsidR="002649A3">
        <w:t xml:space="preserve"> cannot be s</w:t>
      </w:r>
      <w:r w:rsidR="00F52027">
        <w:t>ynthetic, Gier describes it as ‘inexplicable’</w:t>
      </w:r>
      <w:r w:rsidR="002649A3">
        <w:rPr>
          <w:rStyle w:val="FootnoteReference"/>
        </w:rPr>
        <w:footnoteReference w:id="19"/>
      </w:r>
      <w:r w:rsidR="002649A3">
        <w:t>, indica</w:t>
      </w:r>
      <w:r w:rsidR="00F52027">
        <w:t>ting a ‘</w:t>
      </w:r>
      <w:r w:rsidR="002649A3">
        <w:t xml:space="preserve">serious inconsistency in Wittgenstein’s approach to the synthetic </w:t>
      </w:r>
      <w:r w:rsidR="002649A3">
        <w:rPr>
          <w:i/>
        </w:rPr>
        <w:t>a priori</w:t>
      </w:r>
      <w:r w:rsidR="00F52027">
        <w:t xml:space="preserve"> during </w:t>
      </w:r>
      <w:r w:rsidR="00F52027">
        <w:lastRenderedPageBreak/>
        <w:t>this period’</w:t>
      </w:r>
      <w:r w:rsidR="002649A3">
        <w:rPr>
          <w:rStyle w:val="FootnoteReference"/>
        </w:rPr>
        <w:footnoteReference w:id="20"/>
      </w:r>
      <w:r w:rsidR="00F52027">
        <w:t>, and finally as ‘a deep mystery’</w:t>
      </w:r>
      <w:r w:rsidR="002649A3">
        <w:t>.</w:t>
      </w:r>
      <w:r w:rsidR="002649A3">
        <w:rPr>
          <w:rStyle w:val="FootnoteReference"/>
        </w:rPr>
        <w:footnoteReference w:id="21"/>
      </w:r>
      <w:r w:rsidR="0015514C">
        <w:t xml:space="preserve"> ‘I believe,’ Gie</w:t>
      </w:r>
      <w:r w:rsidR="00F52027">
        <w:t>r writes, ‘</w:t>
      </w:r>
      <w:r w:rsidR="002649A3">
        <w:t xml:space="preserve">it is safe to assume that </w:t>
      </w:r>
      <w:r w:rsidR="005A6D09">
        <w:t xml:space="preserve">[on Wittgenstein’s view] </w:t>
      </w:r>
      <w:r w:rsidR="002649A3">
        <w:t xml:space="preserve">all grammatical propositions are synthetic </w:t>
      </w:r>
      <w:r w:rsidR="002649A3">
        <w:rPr>
          <w:i/>
        </w:rPr>
        <w:t>a priori</w:t>
      </w:r>
      <w:r w:rsidR="00F52027">
        <w:t>.’</w:t>
      </w:r>
      <w:r w:rsidR="002649A3">
        <w:t xml:space="preserve"> But, of course, </w:t>
      </w:r>
      <w:r w:rsidR="003023DC">
        <w:t xml:space="preserve">as Wittgenstein’s carefully expressed argument in his conversation with Schlick quoted above suffices to indicate, </w:t>
      </w:r>
      <w:r w:rsidR="002649A3">
        <w:t xml:space="preserve">it is </w:t>
      </w:r>
      <w:r w:rsidR="002649A3">
        <w:rPr>
          <w:i/>
        </w:rPr>
        <w:t>not</w:t>
      </w:r>
      <w:r w:rsidR="002649A3">
        <w:t xml:space="preserve"> safe to assume this</w:t>
      </w:r>
      <w:r w:rsidR="00284E81">
        <w:t xml:space="preserve">. The conclusion to that argument – an argument as precise and rigorous as any to be found in Wittgenstein’s writings and conversations – is that grammatical (phenomenological) propositions </w:t>
      </w:r>
      <w:r w:rsidR="00284E81">
        <w:rPr>
          <w:i/>
        </w:rPr>
        <w:t>cannot</w:t>
      </w:r>
      <w:r w:rsidR="00284E81">
        <w:t xml:space="preserve"> be synthetic.</w:t>
      </w:r>
    </w:p>
    <w:p w:rsidR="00284E81" w:rsidRDefault="00284E81" w:rsidP="00CB4CEE"/>
    <w:p w:rsidR="000F0F3B" w:rsidRDefault="00284E81" w:rsidP="00CB4CEE">
      <w:r>
        <w:t>Gier’s evidence that Wittgenstein believ</w:t>
      </w:r>
      <w:r w:rsidR="00D308AD">
        <w:t>es the opposite is flimsy and easily countered</w:t>
      </w:r>
      <w:r w:rsidR="001B66B8">
        <w:t>. ‘In 1939,’</w:t>
      </w:r>
      <w:r>
        <w:t xml:space="preserve"> he writes, ‘he [Wittgenstein] told his class that the very proposition he discussed with Schlick, “A patch cannot be at the same time both red and green,” is synthetic </w:t>
      </w:r>
      <w:r>
        <w:rPr>
          <w:i/>
        </w:rPr>
        <w:t>a priori</w:t>
      </w:r>
      <w:r>
        <w:t>.’</w:t>
      </w:r>
      <w:r>
        <w:rPr>
          <w:rStyle w:val="FootnoteReference"/>
        </w:rPr>
        <w:footnoteReference w:id="22"/>
      </w:r>
      <w:r>
        <w:t xml:space="preserve"> </w:t>
      </w:r>
      <w:r w:rsidR="000F0F3B">
        <w:t>The passage Gier cites in support of this claim comes from Wittgenstein’s 1939 lectures on the phi</w:t>
      </w:r>
      <w:r w:rsidR="00B36AFE">
        <w:t>losophy of mathematics</w:t>
      </w:r>
      <w:r w:rsidR="000F0F3B">
        <w:t>:</w:t>
      </w:r>
    </w:p>
    <w:p w:rsidR="00D308AD" w:rsidRDefault="00D308AD" w:rsidP="00CB4CEE"/>
    <w:p w:rsidR="000F0F3B" w:rsidRDefault="000F0F3B" w:rsidP="000F0F3B">
      <w:pPr>
        <w:pStyle w:val="Quote"/>
      </w:pPr>
      <w:r>
        <w:t xml:space="preserve">There are propositions regarded as synthetic </w:t>
      </w:r>
      <w:r>
        <w:rPr>
          <w:i/>
        </w:rPr>
        <w:t>a priori</w:t>
      </w:r>
      <w:r>
        <w:t>, like “A patch cannot be at the same time both red and green.” This is not reckoned a proposition of logic. But the impossibility which it expresses is not a matter of experience – it is not a matter of what we have observed.</w:t>
      </w:r>
      <w:r>
        <w:rPr>
          <w:rStyle w:val="FootnoteReference"/>
        </w:rPr>
        <w:footnoteReference w:id="23"/>
      </w:r>
    </w:p>
    <w:p w:rsidR="00D308AD" w:rsidRPr="00D308AD" w:rsidRDefault="00D308AD" w:rsidP="00D308AD"/>
    <w:p w:rsidR="007C0BD7" w:rsidRDefault="00E22A39" w:rsidP="00CB4CEE">
      <w:r>
        <w:t xml:space="preserve">It is strange, I think, that Gier should interpret Wittgenstein’s statement that these propositions are </w:t>
      </w:r>
      <w:r>
        <w:rPr>
          <w:i/>
        </w:rPr>
        <w:t>regarded as</w:t>
      </w:r>
      <w:r>
        <w:t xml:space="preserve"> synthetic a priori as Wittgenstein telling his class that they </w:t>
      </w:r>
      <w:r>
        <w:rPr>
          <w:i/>
        </w:rPr>
        <w:t>are</w:t>
      </w:r>
      <w:r>
        <w:t xml:space="preserve"> </w:t>
      </w:r>
      <w:r>
        <w:lastRenderedPageBreak/>
        <w:t xml:space="preserve">synthetic a priori. </w:t>
      </w:r>
      <w:r w:rsidR="007C0BD7">
        <w:t xml:space="preserve">It is more natural, surely, to interpret Wittgenstein </w:t>
      </w:r>
      <w:r w:rsidR="001B66B8">
        <w:t>as</w:t>
      </w:r>
      <w:r w:rsidR="007C0BD7">
        <w:t xml:space="preserve"> </w:t>
      </w:r>
      <w:r w:rsidR="001B66B8">
        <w:t xml:space="preserve">drawing attention to </w:t>
      </w:r>
      <w:r w:rsidR="007C0BD7">
        <w:t xml:space="preserve">an </w:t>
      </w:r>
      <w:r w:rsidR="007C0BD7" w:rsidRPr="007C0BD7">
        <w:t>inclination</w:t>
      </w:r>
      <w:r w:rsidR="007C0BD7">
        <w:t xml:space="preserve">, a </w:t>
      </w:r>
      <w:r w:rsidR="007C0BD7">
        <w:rPr>
          <w:i/>
        </w:rPr>
        <w:t>temptation</w:t>
      </w:r>
      <w:r w:rsidR="00087E54">
        <w:t>, to look at these propositions in a certain way</w:t>
      </w:r>
      <w:r w:rsidR="007C0BD7">
        <w:t xml:space="preserve">. </w:t>
      </w:r>
      <w:r w:rsidR="001B66B8">
        <w:t xml:space="preserve">Indeed, </w:t>
      </w:r>
      <w:r>
        <w:t xml:space="preserve">this passage </w:t>
      </w:r>
      <w:r w:rsidR="001B66B8">
        <w:t xml:space="preserve">contains a striking </w:t>
      </w:r>
      <w:r>
        <w:t xml:space="preserve">echo of the later remark from </w:t>
      </w:r>
      <w:r>
        <w:rPr>
          <w:i/>
        </w:rPr>
        <w:t>On Colour</w:t>
      </w:r>
      <w:r>
        <w:t xml:space="preserve"> quoted at the beginning of this article. </w:t>
      </w:r>
      <w:r w:rsidR="001B66B8">
        <w:t>P</w:t>
      </w:r>
      <w:r>
        <w:t>ropositions</w:t>
      </w:r>
      <w:r w:rsidR="001B66B8">
        <w:t xml:space="preserve"> like ‘</w:t>
      </w:r>
      <w:r w:rsidR="001B66B8" w:rsidRPr="001B66B8">
        <w:t>A patch cannot be at the same time both red and green</w:t>
      </w:r>
      <w:r w:rsidR="001B66B8">
        <w:t>’</w:t>
      </w:r>
      <w:r>
        <w:t>, Wittgenstein tells his class, are not based upon observatio</w:t>
      </w:r>
      <w:r w:rsidR="00A278FB">
        <w:t>ns, and yet, equally, they are ‘</w:t>
      </w:r>
      <w:r w:rsidRPr="00E22A39">
        <w:t>not reckoned</w:t>
      </w:r>
      <w:r w:rsidR="00A278FB">
        <w:t>’</w:t>
      </w:r>
      <w:r>
        <w:t xml:space="preserve"> to be propositions of logic. </w:t>
      </w:r>
      <w:r w:rsidR="0052503B">
        <w:t xml:space="preserve">They </w:t>
      </w:r>
      <w:r w:rsidR="00D308AD">
        <w:t xml:space="preserve">therefore </w:t>
      </w:r>
      <w:r w:rsidR="0052503B">
        <w:rPr>
          <w:i/>
        </w:rPr>
        <w:t>seem</w:t>
      </w:r>
      <w:r w:rsidR="0052503B">
        <w:t xml:space="preserve"> to occupy a place somewhere between the realm of the observable (science) and logic, thus tempting one</w:t>
      </w:r>
      <w:r w:rsidR="001B66B8">
        <w:t>, as he would later put it, to ‘believe in a phenomenology’</w:t>
      </w:r>
      <w:r w:rsidR="0052503B">
        <w:t>.</w:t>
      </w:r>
      <w:r w:rsidR="007C0BD7">
        <w:t xml:space="preserve"> What Wittgenstein is doing here is not characterising these propositions as synthetic a priori, but rather </w:t>
      </w:r>
      <w:r w:rsidR="001B66B8">
        <w:t xml:space="preserve">trying to understand and explain </w:t>
      </w:r>
      <w:r w:rsidR="007C0BD7">
        <w:t>how the “bewitched” philosopher might so regard them.</w:t>
      </w:r>
    </w:p>
    <w:p w:rsidR="007C0BD7" w:rsidRDefault="007C0BD7" w:rsidP="00CB4CEE"/>
    <w:p w:rsidR="00077C6B" w:rsidRDefault="00D43A46" w:rsidP="00CB4CEE">
      <w:r>
        <w:t>A similar problem</w:t>
      </w:r>
      <w:r w:rsidR="00361AF7">
        <w:t xml:space="preserve"> arises with respect to two further </w:t>
      </w:r>
      <w:r w:rsidR="007C0BD7">
        <w:t>passage</w:t>
      </w:r>
      <w:r w:rsidR="00361AF7">
        <w:t>s</w:t>
      </w:r>
      <w:r w:rsidR="007C0BD7">
        <w:t xml:space="preserve"> that Gier cites as evidence of his interpretation. </w:t>
      </w:r>
      <w:r w:rsidR="00361AF7">
        <w:t>The first</w:t>
      </w:r>
      <w:r w:rsidR="007C0BD7">
        <w:t xml:space="preserve">, found in </w:t>
      </w:r>
      <w:r w:rsidR="003F23F1" w:rsidRPr="003F23F1">
        <w:rPr>
          <w:i/>
        </w:rPr>
        <w:t>Philosophical Remarks</w:t>
      </w:r>
      <w:r w:rsidR="007C0BD7">
        <w:t xml:space="preserve"> </w:t>
      </w:r>
      <w:r w:rsidR="00077C6B">
        <w:t>reads</w:t>
      </w:r>
      <w:r w:rsidR="00361AF7">
        <w:t xml:space="preserve"> as follows</w:t>
      </w:r>
      <w:r w:rsidR="00077C6B">
        <w:t>:</w:t>
      </w:r>
    </w:p>
    <w:p w:rsidR="004E6E05" w:rsidRDefault="004E6E05" w:rsidP="00CB4CEE"/>
    <w:p w:rsidR="00077C6B" w:rsidRDefault="00361AF7" w:rsidP="00077C6B">
      <w:pPr>
        <w:pStyle w:val="Quote"/>
      </w:pPr>
      <w:r>
        <w:t xml:space="preserve">What I said earlier about the nature of arithmetical equations and about an equation’s not being replaceable by a tautology explains – I believe – what Kant means when he insists that 7 + 5 = 12 is not an analytic proposition, but synthetic </w:t>
      </w:r>
      <w:r>
        <w:rPr>
          <w:i/>
        </w:rPr>
        <w:t>a priori</w:t>
      </w:r>
      <w:r>
        <w:t>.</w:t>
      </w:r>
      <w:r>
        <w:rPr>
          <w:rStyle w:val="FootnoteReference"/>
        </w:rPr>
        <w:footnoteReference w:id="24"/>
      </w:r>
    </w:p>
    <w:p w:rsidR="001B66B8" w:rsidRDefault="001B66B8" w:rsidP="00361AF7"/>
    <w:p w:rsidR="00361AF7" w:rsidRDefault="00361AF7" w:rsidP="00361AF7">
      <w:r>
        <w:t xml:space="preserve">The second, from </w:t>
      </w:r>
      <w:r w:rsidRPr="00361AF7">
        <w:t xml:space="preserve">the Big Typescript and </w:t>
      </w:r>
      <w:r w:rsidRPr="00361AF7">
        <w:rPr>
          <w:i/>
        </w:rPr>
        <w:t>Philosophical Grammar</w:t>
      </w:r>
      <w:r>
        <w:t xml:space="preserve"> reads:</w:t>
      </w:r>
    </w:p>
    <w:p w:rsidR="001B66B8" w:rsidRDefault="001B66B8" w:rsidP="00361AF7">
      <w:pPr>
        <w:pStyle w:val="Quote"/>
      </w:pPr>
    </w:p>
    <w:p w:rsidR="00361AF7" w:rsidRDefault="00484FD1" w:rsidP="00361AF7">
      <w:pPr>
        <w:pStyle w:val="Quote"/>
      </w:pPr>
      <w:r w:rsidRPr="00484FD1">
        <w:lastRenderedPageBreak/>
        <w:t xml:space="preserve">Isn’t what I am saying </w:t>
      </w:r>
      <w:r>
        <w:t xml:space="preserve">here </w:t>
      </w:r>
      <w:r w:rsidRPr="00484FD1">
        <w:t xml:space="preserve">what Kant meant by saying that 5 + 7 = 12 is not analytic but synthetic </w:t>
      </w:r>
      <w:r w:rsidRPr="00484FD1">
        <w:rPr>
          <w:i/>
        </w:rPr>
        <w:t>a priori</w:t>
      </w:r>
      <w:r>
        <w:t>?</w:t>
      </w:r>
      <w:r>
        <w:rPr>
          <w:rStyle w:val="FootnoteReference"/>
        </w:rPr>
        <w:footnoteReference w:id="25"/>
      </w:r>
    </w:p>
    <w:p w:rsidR="001B66B8" w:rsidRDefault="001B66B8" w:rsidP="00484FD1"/>
    <w:p w:rsidR="007C0BD7" w:rsidRDefault="00484FD1" w:rsidP="00CB4CEE">
      <w:r>
        <w:t xml:space="preserve">The similarity of these two extracts has misled Gier into regarding them as iterations of the </w:t>
      </w:r>
      <w:r>
        <w:rPr>
          <w:i/>
        </w:rPr>
        <w:t>same</w:t>
      </w:r>
      <w:r>
        <w:t xml:space="preserve"> remark</w:t>
      </w:r>
      <w:r>
        <w:rPr>
          <w:rStyle w:val="FootnoteReference"/>
        </w:rPr>
        <w:footnoteReference w:id="26"/>
      </w:r>
      <w:r w:rsidR="001B66B8">
        <w:t>, a remark</w:t>
      </w:r>
      <w:r w:rsidR="007C0BD7">
        <w:t xml:space="preserve">, </w:t>
      </w:r>
      <w:r w:rsidR="001B66B8">
        <w:t xml:space="preserve">he says, that </w:t>
      </w:r>
      <w:r w:rsidR="007C0BD7">
        <w:t xml:space="preserve">‘is nothing short of startling in view of his </w:t>
      </w:r>
      <w:r w:rsidR="001B66B8">
        <w:t xml:space="preserve">[Wittgenstein’s] </w:t>
      </w:r>
      <w:r w:rsidR="007C0BD7">
        <w:t xml:space="preserve">firm rejection of such propositions in the </w:t>
      </w:r>
      <w:r w:rsidR="007C0BD7">
        <w:rPr>
          <w:i/>
        </w:rPr>
        <w:t>Tractatus</w:t>
      </w:r>
      <w:r w:rsidR="007C0BD7">
        <w:t>, and his inexplicable reiterat</w:t>
      </w:r>
      <w:r w:rsidR="00D43A46">
        <w:t>ion of</w:t>
      </w:r>
      <w:r w:rsidR="007C0BD7">
        <w:t xml:space="preserve"> this rejection in a conversation with Schlick in 1929’.</w:t>
      </w:r>
      <w:r w:rsidR="001B66B8">
        <w:rPr>
          <w:rStyle w:val="FootnoteReference"/>
        </w:rPr>
        <w:footnoteReference w:id="27"/>
      </w:r>
      <w:r w:rsidR="001B66B8">
        <w:t xml:space="preserve"> In his later, 1</w:t>
      </w:r>
      <w:r w:rsidR="002872FD">
        <w:t>990, article, Gie</w:t>
      </w:r>
      <w:r w:rsidR="001B66B8">
        <w:t>r goes further</w:t>
      </w:r>
      <w:r w:rsidR="0003481F">
        <w:t xml:space="preserve">, claiming that in the </w:t>
      </w:r>
      <w:r w:rsidR="0003481F">
        <w:rPr>
          <w:i/>
        </w:rPr>
        <w:t>Remarks</w:t>
      </w:r>
      <w:r w:rsidR="0003481F">
        <w:t xml:space="preserve"> Wittgenstein provided a </w:t>
      </w:r>
      <w:r w:rsidR="0003481F">
        <w:rPr>
          <w:i/>
        </w:rPr>
        <w:t>proof</w:t>
      </w:r>
      <w:r w:rsidR="0003481F">
        <w:t xml:space="preserve"> that (in Gier’s words) ‘an arithmetic equation could not be replaced by a tautology, thereby explaining “what Kant means when he insists that 7 + 5 = 12 is not an analytic proposition, but synthetic </w:t>
      </w:r>
      <w:r w:rsidR="0003481F">
        <w:rPr>
          <w:i/>
        </w:rPr>
        <w:t>a priori</w:t>
      </w:r>
      <w:r w:rsidR="0003481F">
        <w:t>.”’</w:t>
      </w:r>
      <w:r w:rsidR="0003481F">
        <w:rPr>
          <w:rStyle w:val="FootnoteReference"/>
        </w:rPr>
        <w:footnoteReference w:id="28"/>
      </w:r>
      <w:r w:rsidR="0003481F">
        <w:t xml:space="preserve"> ‘The only way,’ Gier goes on, ‘to reconcile this proof with his answer to Schlick is that somehow he thought that a grammar of colour was analytic, but that a grammar of arithmetic was synthetic’, but this will not do, because ‘there is no evidence that Wittgenstein made any exception to his firm commitment to a full-fledged material a priori.’</w:t>
      </w:r>
      <w:r w:rsidR="0003481F">
        <w:rPr>
          <w:rStyle w:val="FootnoteReference"/>
        </w:rPr>
        <w:footnoteReference w:id="29"/>
      </w:r>
      <w:r w:rsidR="0003481F">
        <w:t xml:space="preserve"> In Wittgenstein’s view, Gier </w:t>
      </w:r>
      <w:r w:rsidR="00BA0AD9">
        <w:t xml:space="preserve">again </w:t>
      </w:r>
      <w:r w:rsidR="0003481F">
        <w:t>insists, ‘all grammatical propositions are synthetic.’</w:t>
      </w:r>
      <w:r w:rsidR="0003481F">
        <w:rPr>
          <w:rStyle w:val="FootnoteReference"/>
        </w:rPr>
        <w:footnoteReference w:id="30"/>
      </w:r>
    </w:p>
    <w:p w:rsidR="0003481F" w:rsidRDefault="0003481F" w:rsidP="00CB4CEE"/>
    <w:p w:rsidR="00A57347" w:rsidRDefault="0003481F" w:rsidP="00CB4CEE">
      <w:r>
        <w:t xml:space="preserve">All this, I maintain, is deeply confused and mistaken. For one thing, though the two remarks about saying what Kant meant sound virtually identical, when seen in their respective contexts, they are making significantly different (though, of course, related) points. In the </w:t>
      </w:r>
      <w:r>
        <w:rPr>
          <w:i/>
        </w:rPr>
        <w:lastRenderedPageBreak/>
        <w:t>Remarks</w:t>
      </w:r>
      <w:r>
        <w:t xml:space="preserve">, </w:t>
      </w:r>
      <w:r w:rsidR="00A57347">
        <w:t xml:space="preserve">the statement about Kant is made in the context of a discussion about the nature (tautological, synthetic, a priori, etc.) of arithmetical propositions; in the Big Typescript, it is in the context of discussing proof by </w:t>
      </w:r>
      <w:r w:rsidR="00087E54">
        <w:t xml:space="preserve">mathematical </w:t>
      </w:r>
      <w:r w:rsidR="00A57347">
        <w:t xml:space="preserve">induction. </w:t>
      </w:r>
    </w:p>
    <w:p w:rsidR="000C17A5" w:rsidRDefault="000C17A5" w:rsidP="00CB4CEE"/>
    <w:p w:rsidR="00A57347" w:rsidRDefault="000C17A5" w:rsidP="00CB4CEE">
      <w:r w:rsidRPr="000C17A5">
        <w:t>Let us look at this difference in more detail</w:t>
      </w:r>
      <w:r>
        <w:t xml:space="preserve">, starting with </w:t>
      </w:r>
      <w:r w:rsidR="008A329A">
        <w:t xml:space="preserve">Wittgenstein’s “proof” </w:t>
      </w:r>
      <w:r>
        <w:t xml:space="preserve">in </w:t>
      </w:r>
      <w:r>
        <w:rPr>
          <w:i/>
        </w:rPr>
        <w:t xml:space="preserve">Philosophical Remarks </w:t>
      </w:r>
      <w:r w:rsidR="008A329A">
        <w:t>that an arithmetical proposition cannot be replaced by a tautology</w:t>
      </w:r>
      <w:r w:rsidR="00E467D9">
        <w:t xml:space="preserve">. Wittgenstein does indeed offer such a proof, or, anyway, he provides an </w:t>
      </w:r>
      <w:r w:rsidR="00E467D9">
        <w:rPr>
          <w:i/>
        </w:rPr>
        <w:t>argument</w:t>
      </w:r>
      <w:r w:rsidR="00E467D9">
        <w:t xml:space="preserve"> to that effect</w:t>
      </w:r>
      <w:r w:rsidR="008A329A">
        <w:t xml:space="preserve">, </w:t>
      </w:r>
      <w:r w:rsidR="003A759B">
        <w:t xml:space="preserve">and I would not want to attach too much importance here to the difference between a proof and an argument. However, I believe, </w:t>
      </w:r>
      <w:r w:rsidR="008A329A">
        <w:t>Gier</w:t>
      </w:r>
      <w:r w:rsidR="00E467D9">
        <w:t xml:space="preserve"> is wrong to suppose that Wittgenstein intends this</w:t>
      </w:r>
      <w:r w:rsidR="008A329A">
        <w:t xml:space="preserve"> </w:t>
      </w:r>
      <w:r w:rsidR="00E467D9">
        <w:t xml:space="preserve">to be </w:t>
      </w:r>
      <w:r w:rsidR="008A329A">
        <w:t>a proof that arithmetical propositions are synthetic.</w:t>
      </w:r>
      <w:r w:rsidR="003A759B">
        <w:rPr>
          <w:rStyle w:val="FootnoteReference"/>
        </w:rPr>
        <w:footnoteReference w:id="31"/>
      </w:r>
      <w:r w:rsidR="008A329A">
        <w:t xml:space="preserve"> Wittgenstein offers as a tautology, the following statement, to which he assigns the letter </w:t>
      </w:r>
      <w:r w:rsidR="008A329A">
        <w:rPr>
          <w:i/>
        </w:rPr>
        <w:t>A</w:t>
      </w:r>
      <w:r w:rsidR="008A329A">
        <w:t>:</w:t>
      </w:r>
    </w:p>
    <w:p w:rsidR="002872FD" w:rsidRDefault="002872FD" w:rsidP="00A868A9">
      <w:pPr>
        <w:pStyle w:val="Quote"/>
      </w:pPr>
    </w:p>
    <w:p w:rsidR="00A868A9" w:rsidRDefault="00780C7C" w:rsidP="00A868A9">
      <w:pPr>
        <w:pStyle w:val="Quote"/>
      </w:pPr>
      <w:r>
        <w:t xml:space="preserve">(E </w:t>
      </w:r>
      <w:r w:rsidR="00A868A9">
        <w:rPr>
          <w:rFonts w:cs="Times New Roman"/>
        </w:rPr>
        <w:t>|</w:t>
      </w:r>
      <w:r w:rsidR="00A868A9">
        <w:t xml:space="preserve"> | | | |</w:t>
      </w:r>
      <w:r>
        <w:t>) etc. • (E</w:t>
      </w:r>
      <w:r w:rsidR="00A868A9">
        <w:t xml:space="preserve"> | | | | | | |</w:t>
      </w:r>
      <w:r>
        <w:t xml:space="preserve">) </w:t>
      </w:r>
      <w:r w:rsidR="00A868A9">
        <w:t xml:space="preserve">etc. </w:t>
      </w:r>
      <w:r>
        <w:sym w:font="Symbol" w:char="F0C9"/>
      </w:r>
      <w:r>
        <w:t xml:space="preserve"> (E</w:t>
      </w:r>
      <w:r w:rsidR="00A868A9">
        <w:t xml:space="preserve"> | | | | | | | | | | | |</w:t>
      </w:r>
      <w:r>
        <w:t>)</w:t>
      </w:r>
      <w:r w:rsidR="00E467D9">
        <w:rPr>
          <w:rStyle w:val="FootnoteReference"/>
        </w:rPr>
        <w:footnoteReference w:id="32"/>
      </w:r>
    </w:p>
    <w:p w:rsidR="002872FD" w:rsidRDefault="002872FD" w:rsidP="002872FD"/>
    <w:p w:rsidR="00E64151" w:rsidRDefault="00E467D9" w:rsidP="002872FD">
      <w:r>
        <w:t>He</w:t>
      </w:r>
      <w:r w:rsidR="00A076EC">
        <w:t xml:space="preserve"> does not give any </w:t>
      </w:r>
      <w:r w:rsidR="00780C7C">
        <w:t xml:space="preserve">grounds for regarding </w:t>
      </w:r>
      <w:r w:rsidR="00780C7C" w:rsidRPr="00A076EC">
        <w:t>this</w:t>
      </w:r>
      <w:r w:rsidR="00780C7C">
        <w:t xml:space="preserve"> statement</w:t>
      </w:r>
      <w:r w:rsidR="00A076EC">
        <w:t xml:space="preserve"> </w:t>
      </w:r>
      <w:r w:rsidR="00E64151">
        <w:t>as a tautology</w:t>
      </w:r>
      <w:r w:rsidR="00A076EC">
        <w:t>, but</w:t>
      </w:r>
      <w:r w:rsidR="00E64151">
        <w:t xml:space="preserve"> </w:t>
      </w:r>
      <w:r w:rsidR="00A076EC">
        <w:t xml:space="preserve">I think </w:t>
      </w:r>
      <w:r w:rsidR="00E64151" w:rsidRPr="00E64151">
        <w:t xml:space="preserve">what </w:t>
      </w:r>
      <w:r w:rsidR="00E64151">
        <w:t>he</w:t>
      </w:r>
      <w:r w:rsidR="00E64151" w:rsidRPr="00E64151">
        <w:t xml:space="preserve"> has in mi</w:t>
      </w:r>
      <w:r w:rsidR="00A02B4F">
        <w:t xml:space="preserve">nd </w:t>
      </w:r>
      <w:r w:rsidR="00E64151">
        <w:t xml:space="preserve">is </w:t>
      </w:r>
      <w:r w:rsidR="000171CE">
        <w:t xml:space="preserve">that it is an instance of </w:t>
      </w:r>
      <w:r w:rsidR="00E64151">
        <w:t xml:space="preserve">something like </w:t>
      </w:r>
      <w:r w:rsidR="000171CE">
        <w:t>the following</w:t>
      </w:r>
      <w:r w:rsidR="00E64151">
        <w:t>:</w:t>
      </w:r>
    </w:p>
    <w:p w:rsidR="000C17A5" w:rsidRDefault="000C17A5" w:rsidP="002872FD"/>
    <w:p w:rsidR="00E64151" w:rsidRDefault="00E64151" w:rsidP="00E64151">
      <w:pPr>
        <w:pStyle w:val="Quote"/>
      </w:pPr>
      <w:r w:rsidRPr="00E64151">
        <w:lastRenderedPageBreak/>
        <w:t xml:space="preserve">((Ea • Eb • Ec • Ed • Ee) • (Ef • Eg • Eh • Ei • Ej • Ek • El)) </w:t>
      </w:r>
      <w:r>
        <w:sym w:font="Symbol" w:char="F0C9"/>
      </w:r>
      <w:r w:rsidRPr="00E64151">
        <w:t xml:space="preserve"> (Ea • Eb • Ec • Ed • Ee • Ef</w:t>
      </w:r>
      <w:r>
        <w:t xml:space="preserve"> • Eg • Eh • Ei • Ej • Ek • El)</w:t>
      </w:r>
    </w:p>
    <w:p w:rsidR="00164277" w:rsidRDefault="00164277" w:rsidP="00E64151"/>
    <w:p w:rsidR="00087E54" w:rsidRDefault="00E64151" w:rsidP="00E64151">
      <w:r w:rsidRPr="00E64151">
        <w:t xml:space="preserve">which (so long as one could persuade oneself </w:t>
      </w:r>
      <w:r w:rsidR="00A076EC">
        <w:t xml:space="preserve">that </w:t>
      </w:r>
      <w:r w:rsidRPr="00E64151">
        <w:t xml:space="preserve">it </w:t>
      </w:r>
      <w:r w:rsidR="00A076EC">
        <w:t>is</w:t>
      </w:r>
      <w:r w:rsidRPr="00E64151">
        <w:t xml:space="preserve"> a well-formed formula) </w:t>
      </w:r>
      <w:r w:rsidR="00A076EC">
        <w:t>is</w:t>
      </w:r>
      <w:r w:rsidRPr="00E64151">
        <w:t xml:space="preserve"> indeed a tautology.</w:t>
      </w:r>
      <w:r>
        <w:t xml:space="preserve"> </w:t>
      </w:r>
    </w:p>
    <w:p w:rsidR="00087E54" w:rsidRDefault="00087E54" w:rsidP="00E64151"/>
    <w:p w:rsidR="00780C7C" w:rsidRDefault="00087E54" w:rsidP="00A97E5C">
      <w:r>
        <w:t xml:space="preserve">What </w:t>
      </w:r>
      <w:r>
        <w:rPr>
          <w:i/>
        </w:rPr>
        <w:t xml:space="preserve">is </w:t>
      </w:r>
      <w:r>
        <w:t xml:space="preserve">clear is that Wittgenstein wants to show that the arithmetical equation ‘5 + 7 = 12’ is not identical with, or replaceable with, this (or, it is surely implied, any other) tautology. </w:t>
      </w:r>
      <w:r w:rsidR="00A97E5C">
        <w:t>‘</w:t>
      </w:r>
      <w:r w:rsidR="00780C7C">
        <w:t>We can</w:t>
      </w:r>
      <w:r w:rsidR="00A97E5C">
        <w:t>,’</w:t>
      </w:r>
      <w:r w:rsidR="00780C7C">
        <w:t xml:space="preserve"> </w:t>
      </w:r>
      <w:r w:rsidR="00A97E5C">
        <w:t>he says, ‘</w:t>
      </w:r>
      <w:r w:rsidR="00780C7C">
        <w:t xml:space="preserve">completely disregard the special structure of the proposition </w:t>
      </w:r>
      <w:r w:rsidR="00780C7C">
        <w:rPr>
          <w:i/>
        </w:rPr>
        <w:t>A</w:t>
      </w:r>
      <w:r w:rsidR="003E341E">
        <w:t xml:space="preserve"> a</w:t>
      </w:r>
      <w:r w:rsidR="00780C7C">
        <w:t>nd pay attention solely to the relation, the connection, between the numerical signs in it. This shows</w:t>
      </w:r>
      <w:r w:rsidR="000725EF">
        <w:t xml:space="preserve"> that the relation holds independently of the proposition – i.e. of the other features of its structure which make it a tautology.</w:t>
      </w:r>
      <w:r w:rsidR="00A97E5C">
        <w:t>’</w:t>
      </w:r>
      <w:r w:rsidR="00F7306E">
        <w:rPr>
          <w:rStyle w:val="FootnoteReference"/>
        </w:rPr>
        <w:footnoteReference w:id="33"/>
      </w:r>
      <w:r w:rsidR="00A97E5C">
        <w:t xml:space="preserve"> He goes on:</w:t>
      </w:r>
    </w:p>
    <w:p w:rsidR="003E341E" w:rsidRPr="003E341E" w:rsidRDefault="003E341E" w:rsidP="003E341E"/>
    <w:p w:rsidR="000725EF" w:rsidRDefault="000725EF" w:rsidP="000725EF">
      <w:pPr>
        <w:pStyle w:val="Quote"/>
      </w:pPr>
      <w:r>
        <w:t xml:space="preserve">For if I look at it as a tautology I merely perceive features of its structure and can now perceive the addition theorem </w:t>
      </w:r>
      <w:r>
        <w:rPr>
          <w:i/>
        </w:rPr>
        <w:t>in</w:t>
      </w:r>
      <w:r>
        <w:t xml:space="preserve"> them, while disregarding other characteristics that are essential to it as a proposition</w:t>
      </w:r>
      <w:r w:rsidR="003E341E">
        <w:t>.</w:t>
      </w:r>
    </w:p>
    <w:p w:rsidR="003E341E" w:rsidRDefault="003E341E" w:rsidP="003E341E"/>
    <w:p w:rsidR="003E341E" w:rsidRDefault="003E341E" w:rsidP="003E341E">
      <w:pPr>
        <w:pStyle w:val="Quote"/>
      </w:pPr>
      <w:r>
        <w:t xml:space="preserve">…the 5 strokes and the 7 combine </w:t>
      </w:r>
      <w:r>
        <w:rPr>
          <w:i/>
        </w:rPr>
        <w:t xml:space="preserve">precisely to make 12 </w:t>
      </w:r>
      <w:r>
        <w:t>(and so for example to make the same structure as do 4 and 4 and 4). - It is always only insight into the internal relations of the structures and not some p</w:t>
      </w:r>
      <w:r w:rsidR="0082445E">
        <w:t>rop</w:t>
      </w:r>
      <w:r>
        <w:t xml:space="preserve">osition or other or some logical </w:t>
      </w:r>
      <w:r>
        <w:lastRenderedPageBreak/>
        <w:t>consideration which tells us this. And, as far as this insight is concerned, everything in the tautology apart from the numerical structures is mere decoration</w:t>
      </w:r>
      <w:r w:rsidR="0072053A">
        <w:t>.</w:t>
      </w:r>
      <w:r w:rsidR="00F7306E">
        <w:rPr>
          <w:rStyle w:val="FootnoteReference"/>
        </w:rPr>
        <w:footnoteReference w:id="34"/>
      </w:r>
    </w:p>
    <w:p w:rsidR="0072053A" w:rsidRDefault="0072053A" w:rsidP="0072053A"/>
    <w:p w:rsidR="000C17A5" w:rsidRDefault="00A97E5C" w:rsidP="0072053A">
      <w:r>
        <w:t xml:space="preserve">In other words, there are structural features of proposition </w:t>
      </w:r>
      <w:r>
        <w:rPr>
          <w:i/>
        </w:rPr>
        <w:t>A</w:t>
      </w:r>
      <w:r>
        <w:t xml:space="preserve"> which make it a tautology, and there are relations, internal relations, between the numerical signs in the proposition, insight into which is required to see that 5 + 7 = 12. But those structural features of the proposition and those arithmetical internal relations should not be confused with one another. Proposition </w:t>
      </w:r>
      <w:r>
        <w:rPr>
          <w:i/>
        </w:rPr>
        <w:t xml:space="preserve">A </w:t>
      </w:r>
      <w:r>
        <w:t xml:space="preserve">is a tautology and it is an </w:t>
      </w:r>
      <w:r w:rsidR="000C17A5">
        <w:t xml:space="preserve">instance of the arithmetical equation ‘5 + 7 = 12’. </w:t>
      </w:r>
      <w:r>
        <w:t xml:space="preserve">It is not, however, Wittgenstein insists, an </w:t>
      </w:r>
      <w:r>
        <w:rPr>
          <w:i/>
        </w:rPr>
        <w:t xml:space="preserve">expression </w:t>
      </w:r>
      <w:r>
        <w:t xml:space="preserve">of that arithmetical relation; rather, </w:t>
      </w:r>
      <w:r w:rsidR="000C17A5">
        <w:t xml:space="preserve">it is </w:t>
      </w:r>
      <w:r w:rsidR="0072053A">
        <w:t xml:space="preserve">an </w:t>
      </w:r>
      <w:r w:rsidR="0072053A">
        <w:rPr>
          <w:i/>
        </w:rPr>
        <w:t>application</w:t>
      </w:r>
      <w:r w:rsidR="0072053A">
        <w:t xml:space="preserve"> of it.</w:t>
      </w:r>
      <w:r w:rsidR="0072053A">
        <w:rPr>
          <w:rStyle w:val="FootnoteReference"/>
        </w:rPr>
        <w:footnoteReference w:id="35"/>
      </w:r>
      <w:r w:rsidR="0072053A">
        <w:t xml:space="preserve"> </w:t>
      </w:r>
      <w:r w:rsidR="00AE0F9B">
        <w:t>W</w:t>
      </w:r>
      <w:r w:rsidR="0072053A">
        <w:t xml:space="preserve">hat makes it a tautology and what makes it an </w:t>
      </w:r>
      <w:r w:rsidR="000C17A5">
        <w:t>application of</w:t>
      </w:r>
      <w:r w:rsidR="0072053A">
        <w:t xml:space="preserve"> an arithmetic</w:t>
      </w:r>
      <w:r w:rsidR="00164277">
        <w:t xml:space="preserve">al rule </w:t>
      </w:r>
      <w:r w:rsidR="0072053A">
        <w:t xml:space="preserve">are two different things. It is not a statement of arithmetic </w:t>
      </w:r>
      <w:r w:rsidR="0072053A">
        <w:rPr>
          <w:i/>
        </w:rPr>
        <w:t xml:space="preserve">in virtue </w:t>
      </w:r>
      <w:r w:rsidR="0072053A">
        <w:t xml:space="preserve">of being tautological; neither is it a tautology </w:t>
      </w:r>
      <w:r w:rsidR="0072053A">
        <w:rPr>
          <w:i/>
        </w:rPr>
        <w:t>because</w:t>
      </w:r>
      <w:r w:rsidR="0072053A">
        <w:t xml:space="preserve"> it is an application of an arithmetical rule. </w:t>
      </w:r>
      <w:r w:rsidR="00814151">
        <w:t xml:space="preserve">It is an application of arithmetic because the strokes on the left of the material implication sign and the strokes on the right of it add up to the same number. It is a tautology because, quite separately, it has </w:t>
      </w:r>
      <w:r>
        <w:t xml:space="preserve">a tautological structure, let us </w:t>
      </w:r>
      <w:r w:rsidR="00814151">
        <w:t xml:space="preserve">say the structure, A • (B • C) </w:t>
      </w:r>
      <w:r w:rsidR="00814151">
        <w:sym w:font="Symbol" w:char="F0C9"/>
      </w:r>
      <w:r w:rsidR="00814151">
        <w:t xml:space="preserve"> A • B • C. </w:t>
      </w:r>
    </w:p>
    <w:p w:rsidR="00814151" w:rsidRDefault="00814151" w:rsidP="0072053A"/>
    <w:p w:rsidR="00606429" w:rsidRDefault="00AC4735" w:rsidP="0072053A">
      <w:r>
        <w:t xml:space="preserve">In </w:t>
      </w:r>
      <w:r w:rsidR="000C17A5">
        <w:t xml:space="preserve">thus </w:t>
      </w:r>
      <w:r>
        <w:t xml:space="preserve">showing that ‘7 + 5 = 12’ cannot be replaced by </w:t>
      </w:r>
      <w:r w:rsidR="00814151">
        <w:t xml:space="preserve">the </w:t>
      </w:r>
      <w:r>
        <w:t xml:space="preserve">tautology </w:t>
      </w:r>
      <w:r>
        <w:rPr>
          <w:i/>
        </w:rPr>
        <w:t>A</w:t>
      </w:r>
      <w:r>
        <w:t xml:space="preserve">, Wittgenstein claims to have said what Kant </w:t>
      </w:r>
      <w:r>
        <w:rPr>
          <w:i/>
        </w:rPr>
        <w:t>meant</w:t>
      </w:r>
      <w:r>
        <w:t xml:space="preserve"> by saying that the expression was synthetic a priori. </w:t>
      </w:r>
      <w:r w:rsidR="000F61E6">
        <w:t xml:space="preserve">He </w:t>
      </w:r>
      <w:r w:rsidR="00145625">
        <w:t xml:space="preserve">does </w:t>
      </w:r>
      <w:r w:rsidR="00145625" w:rsidRPr="00C81B21">
        <w:rPr>
          <w:i/>
        </w:rPr>
        <w:t>not</w:t>
      </w:r>
      <w:r w:rsidR="00145625">
        <w:t xml:space="preserve"> say</w:t>
      </w:r>
      <w:r w:rsidR="000F61E6">
        <w:t xml:space="preserve"> that he believes arithmetical equations to be synthetic, however. The closest he gets to that is the following: ‘No investigation of concepts, only direct insight can tell us that 3 + 2 = 5’.</w:t>
      </w:r>
      <w:r w:rsidR="000F61E6">
        <w:rPr>
          <w:rStyle w:val="FootnoteReference"/>
        </w:rPr>
        <w:footnoteReference w:id="36"/>
      </w:r>
      <w:r w:rsidR="000F61E6">
        <w:t xml:space="preserve"> But the consequence he draws from this is not that ‘3 + 2 = 5’ is synthetic, but rather that it is not tautological. Arithmetical equations, like phenomenological statements such as </w:t>
      </w:r>
      <w:r w:rsidR="000F61E6">
        <w:lastRenderedPageBreak/>
        <w:t>‘</w:t>
      </w:r>
      <w:r w:rsidR="000F61E6" w:rsidRPr="000F61E6">
        <w:t>An object is not</w:t>
      </w:r>
      <w:r w:rsidR="000F61E6">
        <w:t xml:space="preserve"> red and green at the same time</w:t>
      </w:r>
      <w:r w:rsidR="00C81B21">
        <w:t>’</w:t>
      </w:r>
      <w:r w:rsidR="000F61E6">
        <w:t xml:space="preserve">, are part of </w:t>
      </w:r>
      <w:r w:rsidR="000F61E6" w:rsidRPr="000F61E6">
        <w:rPr>
          <w:i/>
        </w:rPr>
        <w:t>grammar</w:t>
      </w:r>
      <w:r w:rsidR="00E43E43">
        <w:t>: ‘Arithmetic is the grammar of numbers’.</w:t>
      </w:r>
      <w:r w:rsidR="00E43E43">
        <w:rPr>
          <w:rStyle w:val="FootnoteReference"/>
        </w:rPr>
        <w:footnoteReference w:id="37"/>
      </w:r>
      <w:r w:rsidR="00E43E43">
        <w:t xml:space="preserve"> </w:t>
      </w:r>
      <w:r w:rsidR="000F61E6">
        <w:t>His remark that he had said what Kant meant should not be taken to imply t</w:t>
      </w:r>
      <w:r>
        <w:t xml:space="preserve">hat he thought Kant was </w:t>
      </w:r>
      <w:r>
        <w:rPr>
          <w:i/>
        </w:rPr>
        <w:t>correct</w:t>
      </w:r>
      <w:r>
        <w:t xml:space="preserve"> </w:t>
      </w:r>
      <w:r w:rsidR="000F61E6">
        <w:t xml:space="preserve">in calling arithmetical statements synthetic a priori. </w:t>
      </w:r>
      <w:r>
        <w:t xml:space="preserve">Rather, it means that </w:t>
      </w:r>
      <w:r w:rsidR="000F61E6">
        <w:t xml:space="preserve">Wittgenstein </w:t>
      </w:r>
      <w:r>
        <w:t xml:space="preserve">considered himself to have succeeded where Kant failed: to </w:t>
      </w:r>
      <w:r w:rsidR="00814151">
        <w:t xml:space="preserve">have </w:t>
      </w:r>
      <w:r>
        <w:t>demonstrate</w:t>
      </w:r>
      <w:r w:rsidR="00814151">
        <w:t>d</w:t>
      </w:r>
      <w:r>
        <w:t xml:space="preserve"> the non-tautological character of arithmetical expressions </w:t>
      </w:r>
      <w:r w:rsidR="00B910C9">
        <w:t xml:space="preserve">precisely </w:t>
      </w:r>
      <w:r>
        <w:rPr>
          <w:i/>
        </w:rPr>
        <w:t>without</w:t>
      </w:r>
      <w:r>
        <w:t xml:space="preserve"> succumbing to the temptation to believ</w:t>
      </w:r>
      <w:r w:rsidR="00814151">
        <w:t>e in the synthetic a priori, his reasons for rejecting which were spelled out so convincingly to Schlick. As he told Schlick, Wittgenstein was unable to ‘associate a thought’ with the words ‘synthetic a priori’</w:t>
      </w:r>
      <w:r w:rsidR="001874AA">
        <w:t xml:space="preserve">, i.e. </w:t>
      </w:r>
      <w:r w:rsidR="00814151">
        <w:t xml:space="preserve">he thought the phrase was meaningless. He nevertheless thought he knew </w:t>
      </w:r>
      <w:r w:rsidR="00606429">
        <w:t xml:space="preserve">why Kant, Husserl and others </w:t>
      </w:r>
      <w:r w:rsidR="00C81B21">
        <w:t>felt</w:t>
      </w:r>
      <w:r w:rsidR="00606429">
        <w:t xml:space="preserve"> compelled to invoke such a notion, </w:t>
      </w:r>
      <w:r w:rsidR="00C81B21">
        <w:t xml:space="preserve">and the reason he thought he knew </w:t>
      </w:r>
      <w:r w:rsidR="00C81B21">
        <w:rPr>
          <w:i/>
        </w:rPr>
        <w:t>that</w:t>
      </w:r>
      <w:r w:rsidR="00C81B21">
        <w:t xml:space="preserve"> was that he himself had felt the same compulsion.</w:t>
      </w:r>
      <w:r w:rsidR="00606429">
        <w:t xml:space="preserve"> </w:t>
      </w:r>
    </w:p>
    <w:p w:rsidR="008D651F" w:rsidRDefault="008D651F" w:rsidP="0072053A"/>
    <w:p w:rsidR="002C4B03" w:rsidRDefault="005F18A2" w:rsidP="0072053A">
      <w:pPr>
        <w:rPr>
          <w:rFonts w:cs="Times New Roman"/>
        </w:rPr>
      </w:pPr>
      <w:r>
        <w:t xml:space="preserve">In the Big Typescript, </w:t>
      </w:r>
      <w:r w:rsidR="00710D24">
        <w:t xml:space="preserve">Wittgenstein’s </w:t>
      </w:r>
      <w:r>
        <w:t xml:space="preserve">remark that </w:t>
      </w:r>
      <w:r w:rsidR="00710D24">
        <w:t xml:space="preserve">what </w:t>
      </w:r>
      <w:r>
        <w:t xml:space="preserve">he </w:t>
      </w:r>
      <w:r w:rsidR="00710D24">
        <w:t xml:space="preserve">was </w:t>
      </w:r>
      <w:r>
        <w:t xml:space="preserve">saying </w:t>
      </w:r>
      <w:r w:rsidR="00710D24">
        <w:t xml:space="preserve">was </w:t>
      </w:r>
      <w:r>
        <w:t xml:space="preserve">what Kant meant </w:t>
      </w:r>
      <w:r w:rsidR="00710D24">
        <w:t xml:space="preserve">by ‘5 + 7 = 12 is synthetic a priori’ </w:t>
      </w:r>
      <w:r>
        <w:t xml:space="preserve">is </w:t>
      </w:r>
      <w:r w:rsidR="00A5797F">
        <w:t xml:space="preserve">made </w:t>
      </w:r>
      <w:r w:rsidR="00010761">
        <w:t xml:space="preserve">in a rather different context. It </w:t>
      </w:r>
      <w:r w:rsidR="00A5797F">
        <w:t>comes a</w:t>
      </w:r>
      <w:r>
        <w:t>t the end of a section entitled: ‘Induction, (x).</w:t>
      </w:r>
      <w:r>
        <w:sym w:font="Symbol" w:char="F066"/>
      </w:r>
      <w:r>
        <w:t>x and (</w:t>
      </w:r>
      <w:r>
        <w:sym w:font="Symbol" w:char="F024"/>
      </w:r>
      <w:r>
        <w:t>x).</w:t>
      </w:r>
      <w:r>
        <w:sym w:font="Symbol" w:char="F066"/>
      </w:r>
      <w:r>
        <w:t xml:space="preserve">x. To What Extent does Induction Prove a Universal Proposition True and an Existential Proposition False?’ </w:t>
      </w:r>
      <w:r w:rsidR="00A5797F">
        <w:t xml:space="preserve">in which Wittgenstein casts doubt on the conception of mathematical induction that sees it as a demonstration of the truth of a universal proposition. </w:t>
      </w:r>
      <w:r>
        <w:t>T</w:t>
      </w:r>
      <w:r w:rsidR="002E2CD3">
        <w:t xml:space="preserve">he universal proposition </w:t>
      </w:r>
      <w:r w:rsidR="00E023EF">
        <w:t>Wittgenstein</w:t>
      </w:r>
      <w:r w:rsidR="002E2CD3">
        <w:t xml:space="preserve"> </w:t>
      </w:r>
      <w:r w:rsidR="00E023EF">
        <w:t>uses</w:t>
      </w:r>
      <w:r w:rsidR="002E2CD3">
        <w:t xml:space="preserve"> as an example</w:t>
      </w:r>
      <w:r>
        <w:t xml:space="preserve"> </w:t>
      </w:r>
      <w:r w:rsidR="00710D24">
        <w:t xml:space="preserve">in this discussion </w:t>
      </w:r>
      <w:r w:rsidR="005B16A8">
        <w:t>is</w:t>
      </w:r>
      <w:r>
        <w:t xml:space="preserve">: (n): n </w:t>
      </w:r>
      <w:r>
        <w:sym w:font="Symbol" w:char="F03E"/>
      </w:r>
      <w:r>
        <w:t xml:space="preserve"> 2 .</w:t>
      </w:r>
      <w:r>
        <w:sym w:font="Symbol" w:char="F0C9"/>
      </w:r>
      <w:r>
        <w:t xml:space="preserve">. 3 </w:t>
      </w:r>
      <w:r>
        <w:rPr>
          <w:rFonts w:cs="Times New Roman"/>
        </w:rPr>
        <w:t xml:space="preserve">× n ≠ </w:t>
      </w:r>
      <w:r w:rsidR="002E2CD3">
        <w:rPr>
          <w:rFonts w:cs="Times New Roman"/>
        </w:rPr>
        <w:t xml:space="preserve">5, and </w:t>
      </w:r>
      <w:r w:rsidR="00386446">
        <w:rPr>
          <w:rFonts w:cs="Times New Roman"/>
        </w:rPr>
        <w:t xml:space="preserve">the </w:t>
      </w:r>
      <w:r w:rsidR="002C4B03">
        <w:rPr>
          <w:rFonts w:cs="Times New Roman"/>
        </w:rPr>
        <w:t xml:space="preserve">inductive proof </w:t>
      </w:r>
      <w:r w:rsidR="00386446">
        <w:rPr>
          <w:rFonts w:cs="Times New Roman"/>
        </w:rPr>
        <w:t xml:space="preserve">he </w:t>
      </w:r>
      <w:r w:rsidR="003B561B">
        <w:rPr>
          <w:rFonts w:cs="Times New Roman"/>
        </w:rPr>
        <w:t>considers</w:t>
      </w:r>
      <w:r w:rsidR="00386446">
        <w:rPr>
          <w:rFonts w:cs="Times New Roman"/>
        </w:rPr>
        <w:t xml:space="preserve"> </w:t>
      </w:r>
      <w:r w:rsidR="002C4B03">
        <w:rPr>
          <w:rFonts w:cs="Times New Roman"/>
        </w:rPr>
        <w:t>goes like this:</w:t>
      </w:r>
    </w:p>
    <w:p w:rsidR="002C4B03" w:rsidRDefault="002C4B03" w:rsidP="0072053A">
      <w:pPr>
        <w:rPr>
          <w:rFonts w:cs="Times New Roman"/>
        </w:rPr>
      </w:pPr>
    </w:p>
    <w:p w:rsidR="002C4B03" w:rsidRDefault="002C4B03" w:rsidP="002C4B03">
      <w:pPr>
        <w:pStyle w:val="Quote"/>
      </w:pPr>
      <w:r>
        <w:t xml:space="preserve">3 </w:t>
      </w:r>
      <w:r>
        <w:rPr>
          <w:rFonts w:cs="Times New Roman"/>
        </w:rPr>
        <w:t>×</w:t>
      </w:r>
      <w:r>
        <w:t xml:space="preserve"> 2 </w:t>
      </w:r>
      <w:r>
        <w:sym w:font="Symbol" w:char="F03D"/>
      </w:r>
      <w:r>
        <w:t xml:space="preserve"> 5 + 1</w:t>
      </w:r>
    </w:p>
    <w:p w:rsidR="002C4B03" w:rsidRDefault="002C4B03" w:rsidP="002C4B03">
      <w:pPr>
        <w:pStyle w:val="Quote"/>
      </w:pPr>
      <w:r>
        <w:lastRenderedPageBreak/>
        <w:t xml:space="preserve">3 </w:t>
      </w:r>
      <w:r>
        <w:rPr>
          <w:rFonts w:cs="Times New Roman"/>
        </w:rPr>
        <w:t>×</w:t>
      </w:r>
      <w:r>
        <w:t xml:space="preserve"> (a + 1) </w:t>
      </w:r>
      <w:r>
        <w:sym w:font="Symbol" w:char="F03D"/>
      </w:r>
      <w:r>
        <w:t xml:space="preserve"> 3 + (3 </w:t>
      </w:r>
      <w:r>
        <w:rPr>
          <w:rFonts w:cs="Times New Roman"/>
        </w:rPr>
        <w:t>×</w:t>
      </w:r>
      <w:r>
        <w:t xml:space="preserve"> a) = (5 + b) + 3 = 5 + (b + 3)</w:t>
      </w:r>
      <w:r w:rsidR="00BA6525">
        <w:rPr>
          <w:rStyle w:val="FootnoteReference"/>
        </w:rPr>
        <w:footnoteReference w:id="38"/>
      </w:r>
    </w:p>
    <w:p w:rsidR="00386446" w:rsidRPr="00386446" w:rsidRDefault="00386446" w:rsidP="00386446"/>
    <w:p w:rsidR="00386446" w:rsidRDefault="00386446" w:rsidP="00386446">
      <w:r w:rsidRPr="00386446">
        <w:t>It may not be entirely obvious (it was not to me) how this inductive proof is supposed to work. I think, however, it is as follows. The first step is to establish that, where n = 2, 3</w:t>
      </w:r>
      <w:r w:rsidR="00BF26B0">
        <w:t xml:space="preserve"> </w:t>
      </w:r>
      <w:r w:rsidR="00BF26B0">
        <w:rPr>
          <w:rFonts w:cs="Times New Roman"/>
        </w:rPr>
        <w:t xml:space="preserve">× </w:t>
      </w:r>
      <w:r w:rsidRPr="00386446">
        <w:t>n = 5 + 1, from which, of course, it follows that 3</w:t>
      </w:r>
      <w:r w:rsidR="00BF26B0">
        <w:t xml:space="preserve"> </w:t>
      </w:r>
      <w:r w:rsidR="00BF26B0">
        <w:rPr>
          <w:rFonts w:cs="Times New Roman"/>
        </w:rPr>
        <w:t xml:space="preserve">× </w:t>
      </w:r>
      <w:r w:rsidRPr="00386446">
        <w:t xml:space="preserve">n is greater than 5 and therefore </w:t>
      </w:r>
      <w:r w:rsidR="00A1628F">
        <w:t xml:space="preserve">that </w:t>
      </w:r>
      <w:r w:rsidRPr="00386446">
        <w:t>3</w:t>
      </w:r>
      <w:r w:rsidR="00BF26B0">
        <w:t xml:space="preserve"> </w:t>
      </w:r>
      <w:r w:rsidR="00BF26B0">
        <w:rPr>
          <w:rFonts w:cs="Times New Roman"/>
        </w:rPr>
        <w:t xml:space="preserve">× </w:t>
      </w:r>
      <w:r w:rsidRPr="00386446">
        <w:t>n ≠ 5. The next step, as in any mathematical induction, is to show that, if 3</w:t>
      </w:r>
      <w:r w:rsidR="00BF26B0">
        <w:t xml:space="preserve"> </w:t>
      </w:r>
      <w:r w:rsidR="00BF26B0">
        <w:rPr>
          <w:rFonts w:cs="Times New Roman"/>
        </w:rPr>
        <w:t xml:space="preserve">× </w:t>
      </w:r>
      <w:r w:rsidRPr="00386446">
        <w:t xml:space="preserve">n </w:t>
      </w:r>
      <w:r>
        <w:sym w:font="Symbol" w:char="F03E"/>
      </w:r>
      <w:r w:rsidRPr="00386446">
        <w:t xml:space="preserve"> 5 (and thus 3</w:t>
      </w:r>
      <w:r w:rsidR="00BF26B0">
        <w:t xml:space="preserve"> </w:t>
      </w:r>
      <w:r w:rsidR="00BF26B0">
        <w:rPr>
          <w:rFonts w:cs="Times New Roman"/>
        </w:rPr>
        <w:t xml:space="preserve">× </w:t>
      </w:r>
      <w:r w:rsidRPr="00386446">
        <w:t>n ≠ 5) is true for any arbitrary number, a, then it is true for a + 1. The first stage in suc</w:t>
      </w:r>
      <w:r w:rsidR="00A1628F">
        <w:t>h a proof is to assume that the</w:t>
      </w:r>
      <w:r w:rsidRPr="00386446">
        <w:t xml:space="preserve"> statement is true for n = a. I.e., 3</w:t>
      </w:r>
      <w:r w:rsidR="00BF26B0">
        <w:t xml:space="preserve"> </w:t>
      </w:r>
      <w:r w:rsidR="00BF26B0">
        <w:rPr>
          <w:rFonts w:cs="Times New Roman"/>
        </w:rPr>
        <w:t xml:space="preserve">× </w:t>
      </w:r>
      <w:r w:rsidRPr="00386446">
        <w:t xml:space="preserve">a </w:t>
      </w:r>
      <w:r>
        <w:sym w:font="Symbol" w:char="F03E"/>
      </w:r>
      <w:r w:rsidRPr="00386446">
        <w:t xml:space="preserve"> 5. If this is so, then 3</w:t>
      </w:r>
      <w:r w:rsidR="00BF26B0">
        <w:t xml:space="preserve"> </w:t>
      </w:r>
      <w:r w:rsidR="00BF26B0">
        <w:rPr>
          <w:rFonts w:cs="Times New Roman"/>
        </w:rPr>
        <w:t xml:space="preserve">× </w:t>
      </w:r>
      <w:r w:rsidRPr="00386446">
        <w:t>a = 5 + b (where b is some positive number). Now, 3</w:t>
      </w:r>
      <w:r w:rsidR="00BF26B0">
        <w:t xml:space="preserve"> </w:t>
      </w:r>
      <w:r w:rsidR="00BF26B0">
        <w:rPr>
          <w:rFonts w:cs="Times New Roman"/>
        </w:rPr>
        <w:t>×</w:t>
      </w:r>
      <w:r w:rsidR="00BF26B0">
        <w:t xml:space="preserve"> </w:t>
      </w:r>
      <w:r w:rsidRPr="00386446">
        <w:t xml:space="preserve">(a + 1) is equal to </w:t>
      </w:r>
      <w:r w:rsidR="00BF26B0">
        <w:t>3 + (</w:t>
      </w:r>
      <w:r w:rsidRPr="00386446">
        <w:t>3</w:t>
      </w:r>
      <w:r w:rsidR="00BF26B0">
        <w:t xml:space="preserve"> </w:t>
      </w:r>
      <w:r w:rsidR="00BF26B0">
        <w:rPr>
          <w:rFonts w:cs="Times New Roman"/>
        </w:rPr>
        <w:t xml:space="preserve">× </w:t>
      </w:r>
      <w:r w:rsidRPr="00386446">
        <w:t>a</w:t>
      </w:r>
      <w:r w:rsidR="00BF26B0">
        <w:t>)</w:t>
      </w:r>
      <w:r w:rsidRPr="00386446">
        <w:t>, and, according to the previously established equation, we can replace 3</w:t>
      </w:r>
      <w:r w:rsidR="00BF26B0">
        <w:t xml:space="preserve"> </w:t>
      </w:r>
      <w:r w:rsidR="00BF26B0">
        <w:rPr>
          <w:rFonts w:cs="Times New Roman"/>
        </w:rPr>
        <w:t xml:space="preserve">× </w:t>
      </w:r>
      <w:r w:rsidRPr="00386446">
        <w:t>a with 5 + b, thus arriving at the equation: 3</w:t>
      </w:r>
      <w:r w:rsidR="00BF26B0">
        <w:t xml:space="preserve"> </w:t>
      </w:r>
      <w:r w:rsidR="00BF26B0">
        <w:rPr>
          <w:rFonts w:cs="Times New Roman"/>
        </w:rPr>
        <w:t xml:space="preserve">× </w:t>
      </w:r>
      <w:r w:rsidRPr="00386446">
        <w:t xml:space="preserve">(a + 1) = </w:t>
      </w:r>
      <w:r w:rsidR="00BF26B0">
        <w:t xml:space="preserve">3 + </w:t>
      </w:r>
      <w:r w:rsidRPr="00386446">
        <w:t xml:space="preserve">(5 + b), which, rearranged, gives </w:t>
      </w:r>
      <w:r w:rsidR="00BF26B0" w:rsidRPr="00386446">
        <w:t>3</w:t>
      </w:r>
      <w:r w:rsidR="00BF26B0">
        <w:t xml:space="preserve"> </w:t>
      </w:r>
      <w:r w:rsidR="00BF26B0">
        <w:rPr>
          <w:rFonts w:cs="Times New Roman"/>
        </w:rPr>
        <w:t xml:space="preserve">× </w:t>
      </w:r>
      <w:r w:rsidR="00BF26B0" w:rsidRPr="00386446">
        <w:t>(a + 1) = (5 + b)</w:t>
      </w:r>
      <w:r w:rsidR="00BF26B0">
        <w:t xml:space="preserve"> + 3</w:t>
      </w:r>
      <w:r w:rsidR="00BF26B0" w:rsidRPr="00386446">
        <w:t xml:space="preserve">, </w:t>
      </w:r>
      <w:r w:rsidR="00BF26B0">
        <w:t xml:space="preserve">and, rearranged again, </w:t>
      </w:r>
      <w:r w:rsidRPr="00386446">
        <w:t>3</w:t>
      </w:r>
      <w:r w:rsidR="00BF26B0">
        <w:t xml:space="preserve"> </w:t>
      </w:r>
      <w:r w:rsidR="00BF26B0">
        <w:rPr>
          <w:rFonts w:cs="Times New Roman"/>
        </w:rPr>
        <w:t xml:space="preserve">× </w:t>
      </w:r>
      <w:r w:rsidRPr="00386446">
        <w:t>(a + 1) = 5 + (b + 3), from which, of course, it follows that 3 (a + 1) is greater than 5. Thus, for any (positive) number, a, if 3</w:t>
      </w:r>
      <w:r w:rsidR="00BF26B0">
        <w:t xml:space="preserve"> </w:t>
      </w:r>
      <w:r w:rsidR="00BF26B0">
        <w:rPr>
          <w:rFonts w:cs="Times New Roman"/>
        </w:rPr>
        <w:t>×</w:t>
      </w:r>
      <w:r w:rsidR="00BF26B0">
        <w:t xml:space="preserve"> </w:t>
      </w:r>
      <w:r w:rsidRPr="00386446">
        <w:t xml:space="preserve">a </w:t>
      </w:r>
      <w:r>
        <w:sym w:font="Symbol" w:char="F03E"/>
      </w:r>
      <w:r w:rsidRPr="00386446">
        <w:t xml:space="preserve"> 5 is true for a, then it is also true for a + 1. We know that 3</w:t>
      </w:r>
      <w:r w:rsidR="00BF26B0">
        <w:t xml:space="preserve"> </w:t>
      </w:r>
      <w:r w:rsidR="00BF26B0">
        <w:rPr>
          <w:rFonts w:cs="Times New Roman"/>
        </w:rPr>
        <w:t xml:space="preserve">× </w:t>
      </w:r>
      <w:r w:rsidRPr="00386446">
        <w:t xml:space="preserve">n </w:t>
      </w:r>
      <w:r>
        <w:sym w:font="Symbol" w:char="F03E"/>
      </w:r>
      <w:r w:rsidRPr="00386446">
        <w:t xml:space="preserve"> 5 (and thus 3</w:t>
      </w:r>
      <w:r w:rsidR="00BF26B0">
        <w:t xml:space="preserve"> </w:t>
      </w:r>
      <w:r w:rsidR="00BF26B0">
        <w:rPr>
          <w:rFonts w:cs="Times New Roman"/>
        </w:rPr>
        <w:t xml:space="preserve">× </w:t>
      </w:r>
      <w:r w:rsidRPr="00386446">
        <w:t xml:space="preserve">n ≠ 5) is true where n = 2. Therefore, as a result of the induction, we know that </w:t>
      </w:r>
      <w:r w:rsidR="005F6D36" w:rsidRPr="00386446">
        <w:t>3</w:t>
      </w:r>
      <w:r w:rsidR="00BF26B0">
        <w:t xml:space="preserve"> </w:t>
      </w:r>
      <w:r w:rsidR="00BF26B0">
        <w:rPr>
          <w:rFonts w:cs="Times New Roman"/>
        </w:rPr>
        <w:t xml:space="preserve">× </w:t>
      </w:r>
      <w:r w:rsidR="005F6D36" w:rsidRPr="00386446">
        <w:t>n ≠ 5</w:t>
      </w:r>
      <w:r w:rsidRPr="00386446">
        <w:t xml:space="preserve"> is true for any number greater than 2.</w:t>
      </w:r>
      <w:r>
        <w:rPr>
          <w:rStyle w:val="FootnoteReference"/>
        </w:rPr>
        <w:footnoteReference w:id="39"/>
      </w:r>
      <w:r w:rsidRPr="00386446">
        <w:t xml:space="preserve"> </w:t>
      </w:r>
    </w:p>
    <w:p w:rsidR="00386446" w:rsidRDefault="00386446" w:rsidP="00386446"/>
    <w:p w:rsidR="005B16A8" w:rsidRDefault="005F6D36" w:rsidP="002C4B03">
      <w:pPr>
        <w:rPr>
          <w:rFonts w:cs="Times New Roman"/>
        </w:rPr>
      </w:pPr>
      <w:r>
        <w:rPr>
          <w:rFonts w:cs="Times New Roman"/>
        </w:rPr>
        <w:t xml:space="preserve">Having given what would normally be regarded as an </w:t>
      </w:r>
      <w:r w:rsidR="00386446">
        <w:rPr>
          <w:rFonts w:cs="Times New Roman"/>
        </w:rPr>
        <w:t>ind</w:t>
      </w:r>
      <w:r w:rsidR="003B561B">
        <w:rPr>
          <w:rFonts w:cs="Times New Roman"/>
        </w:rPr>
        <w:t>uctive proof</w:t>
      </w:r>
      <w:r w:rsidR="007625ED">
        <w:rPr>
          <w:rFonts w:cs="Times New Roman"/>
        </w:rPr>
        <w:t xml:space="preserve"> of the proposition </w:t>
      </w:r>
      <w:r w:rsidR="007625ED">
        <w:t xml:space="preserve">(n): n </w:t>
      </w:r>
      <w:r w:rsidR="007625ED">
        <w:sym w:font="Symbol" w:char="F03E"/>
      </w:r>
      <w:r w:rsidR="007625ED">
        <w:t xml:space="preserve"> 2 .</w:t>
      </w:r>
      <w:r w:rsidR="007625ED">
        <w:sym w:font="Symbol" w:char="F0C9"/>
      </w:r>
      <w:r w:rsidR="007625ED">
        <w:t xml:space="preserve">. 3 </w:t>
      </w:r>
      <w:r w:rsidR="007625ED">
        <w:rPr>
          <w:rFonts w:cs="Times New Roman"/>
        </w:rPr>
        <w:t>× n ≠ 5</w:t>
      </w:r>
      <w:r w:rsidR="003B561B">
        <w:rPr>
          <w:rFonts w:cs="Times New Roman"/>
        </w:rPr>
        <w:t xml:space="preserve">, Wittgenstein </w:t>
      </w:r>
      <w:r w:rsidR="005B16A8">
        <w:rPr>
          <w:rFonts w:cs="Times New Roman"/>
        </w:rPr>
        <w:t>proceeds to give</w:t>
      </w:r>
      <w:r>
        <w:rPr>
          <w:rFonts w:cs="Times New Roman"/>
        </w:rPr>
        <w:t xml:space="preserve"> reasons for doubting whether </w:t>
      </w:r>
      <w:r w:rsidR="007625ED">
        <w:rPr>
          <w:rFonts w:cs="Times New Roman"/>
        </w:rPr>
        <w:t xml:space="preserve">we </w:t>
      </w:r>
      <w:r w:rsidR="00AE0F9B">
        <w:rPr>
          <w:rFonts w:cs="Times New Roman"/>
        </w:rPr>
        <w:t xml:space="preserve">really </w:t>
      </w:r>
      <w:r w:rsidR="007625ED">
        <w:rPr>
          <w:rFonts w:cs="Times New Roman"/>
        </w:rPr>
        <w:t xml:space="preserve">should it regard it in this light. Some of the issues at stake here had been raised </w:t>
      </w:r>
      <w:r w:rsidR="005B16A8">
        <w:rPr>
          <w:rFonts w:cs="Times New Roman"/>
        </w:rPr>
        <w:t xml:space="preserve">in earlier sections of the Big Typescript. For example, in a section entitled ‘Proof, and the Truth and Falsity of Mathematical Propositions’, </w:t>
      </w:r>
      <w:r w:rsidR="007625ED">
        <w:rPr>
          <w:rFonts w:cs="Times New Roman"/>
        </w:rPr>
        <w:t>Wittgenstein</w:t>
      </w:r>
      <w:r w:rsidR="005B16A8">
        <w:rPr>
          <w:rFonts w:cs="Times New Roman"/>
        </w:rPr>
        <w:t xml:space="preserve"> says:</w:t>
      </w:r>
    </w:p>
    <w:p w:rsidR="005B16A8" w:rsidRDefault="005B16A8" w:rsidP="002C4B03">
      <w:pPr>
        <w:rPr>
          <w:rFonts w:cs="Times New Roman"/>
        </w:rPr>
      </w:pPr>
    </w:p>
    <w:p w:rsidR="005B16A8" w:rsidRDefault="005B16A8" w:rsidP="005B16A8">
      <w:pPr>
        <w:pStyle w:val="Quote"/>
      </w:pPr>
      <w:r>
        <w:t>A “proposition of mathematics” that is proved by an induction is not a “proposition” in the same sense as the answer to a mathematical question unless one can look for the induction in a system of checks.</w:t>
      </w:r>
      <w:r>
        <w:rPr>
          <w:rStyle w:val="FootnoteReference"/>
        </w:rPr>
        <w:footnoteReference w:id="40"/>
      </w:r>
    </w:p>
    <w:p w:rsidR="005B16A8" w:rsidRDefault="005B16A8" w:rsidP="005B16A8"/>
    <w:p w:rsidR="005B16A8" w:rsidRPr="007D668D" w:rsidRDefault="005B16A8" w:rsidP="00B22E36">
      <w:r>
        <w:t xml:space="preserve">And in </w:t>
      </w:r>
      <w:r w:rsidR="00A508F8">
        <w:t xml:space="preserve">a </w:t>
      </w:r>
      <w:r>
        <w:t>section called ‘</w:t>
      </w:r>
      <w:r w:rsidR="00B22E36">
        <w:t xml:space="preserve">To What Extent does a Proof by Induction Prove a </w:t>
      </w:r>
      <w:r w:rsidR="00B22E36">
        <w:rPr>
          <w:i/>
        </w:rPr>
        <w:t>Proposition</w:t>
      </w:r>
      <w:r w:rsidR="00B22E36">
        <w:t xml:space="preserve">?’ he makes the claim that the algebraic law of commutation – a </w:t>
      </w:r>
      <w:r w:rsidR="00B22E36">
        <w:rPr>
          <w:rFonts w:cs="Times New Roman"/>
        </w:rPr>
        <w:t>×</w:t>
      </w:r>
      <w:r w:rsidR="00B22E36">
        <w:t xml:space="preserve"> b = b </w:t>
      </w:r>
      <w:r w:rsidR="00B22E36">
        <w:rPr>
          <w:rFonts w:cs="Times New Roman"/>
        </w:rPr>
        <w:t>×</w:t>
      </w:r>
      <w:r w:rsidR="00B22E36">
        <w:t xml:space="preserve"> a – can be proved by calculating that 25 </w:t>
      </w:r>
      <w:r w:rsidR="00B22E36">
        <w:rPr>
          <w:rFonts w:cs="Times New Roman"/>
        </w:rPr>
        <w:t>×</w:t>
      </w:r>
      <w:r w:rsidR="00B22E36">
        <w:t xml:space="preserve"> 64 = 160 and that also 64 </w:t>
      </w:r>
      <w:r w:rsidR="00B22E36">
        <w:rPr>
          <w:rFonts w:cs="Times New Roman"/>
        </w:rPr>
        <w:t>×</w:t>
      </w:r>
      <w:r w:rsidR="00B22E36">
        <w:t xml:space="preserve"> 24 = 160, and then remarks: ‘</w:t>
      </w:r>
      <w:r>
        <w:t xml:space="preserve">It is </w:t>
      </w:r>
      <w:r>
        <w:rPr>
          <w:i/>
        </w:rPr>
        <w:t>only</w:t>
      </w:r>
      <w:r>
        <w:t xml:space="preserve"> in the sense in which you can call working out such an example a proof of the algebraic proposition that the proof by induction is a proof of the proposition.’</w:t>
      </w:r>
      <w:r w:rsidR="00B22E36">
        <w:rPr>
          <w:rStyle w:val="FootnoteReference"/>
        </w:rPr>
        <w:footnoteReference w:id="41"/>
      </w:r>
    </w:p>
    <w:p w:rsidR="005B16A8" w:rsidRDefault="005B16A8" w:rsidP="002C4B03">
      <w:pPr>
        <w:rPr>
          <w:rFonts w:cs="Times New Roman"/>
        </w:rPr>
      </w:pPr>
    </w:p>
    <w:p w:rsidR="00A10ACD" w:rsidRDefault="00B22E36" w:rsidP="002C4B03">
      <w:pPr>
        <w:rPr>
          <w:rFonts w:cs="Times New Roman"/>
        </w:rPr>
      </w:pPr>
      <w:r>
        <w:rPr>
          <w:rFonts w:cs="Times New Roman"/>
        </w:rPr>
        <w:t xml:space="preserve">His discussion of the induction of </w:t>
      </w:r>
      <w:r>
        <w:t xml:space="preserve">(n): n </w:t>
      </w:r>
      <w:r>
        <w:sym w:font="Symbol" w:char="F03E"/>
      </w:r>
      <w:r>
        <w:t xml:space="preserve"> 2 .</w:t>
      </w:r>
      <w:r>
        <w:sym w:font="Symbol" w:char="F0C9"/>
      </w:r>
      <w:r>
        <w:t xml:space="preserve">. 3 </w:t>
      </w:r>
      <w:r>
        <w:rPr>
          <w:rFonts w:cs="Times New Roman"/>
        </w:rPr>
        <w:t xml:space="preserve">× n ≠ 5 amplifies and sheds light on these remarks. He begins by imagining </w:t>
      </w:r>
      <w:r w:rsidR="00A10ACD">
        <w:rPr>
          <w:rFonts w:cs="Times New Roman"/>
        </w:rPr>
        <w:t xml:space="preserve">someone making such a ‘system of checks’ as he describes above, saying ‘Let’s check whether f(n) [shorthand for the expression (n </w:t>
      </w:r>
      <w:r w:rsidR="00A10ACD">
        <w:rPr>
          <w:rFonts w:cs="Times New Roman"/>
        </w:rPr>
        <w:sym w:font="Symbol" w:char="F03E"/>
      </w:r>
      <w:r w:rsidR="00A10ACD">
        <w:rPr>
          <w:rFonts w:cs="Times New Roman"/>
        </w:rPr>
        <w:t xml:space="preserve"> 2) </w:t>
      </w:r>
      <w:r w:rsidR="00A10ACD">
        <w:rPr>
          <w:rFonts w:cs="Times New Roman"/>
        </w:rPr>
        <w:sym w:font="Symbol" w:char="F0C9"/>
      </w:r>
      <w:r w:rsidR="00A10ACD">
        <w:rPr>
          <w:rFonts w:cs="Times New Roman"/>
        </w:rPr>
        <w:t xml:space="preserve"> (3n ≠ 5)] is valid for all n’, and then checking that it holds for </w:t>
      </w:r>
      <w:r w:rsidR="00386446">
        <w:rPr>
          <w:rFonts w:cs="Times New Roman"/>
        </w:rPr>
        <w:t xml:space="preserve">n </w:t>
      </w:r>
      <w:r w:rsidR="00386446">
        <w:rPr>
          <w:rFonts w:cs="Times New Roman"/>
        </w:rPr>
        <w:sym w:font="Symbol" w:char="F03D"/>
      </w:r>
      <w:r w:rsidR="00386446">
        <w:rPr>
          <w:rFonts w:cs="Times New Roman"/>
        </w:rPr>
        <w:t xml:space="preserve"> 2, n </w:t>
      </w:r>
      <w:r w:rsidR="00386446">
        <w:rPr>
          <w:rFonts w:cs="Times New Roman"/>
        </w:rPr>
        <w:sym w:font="Symbol" w:char="F03D"/>
      </w:r>
      <w:r w:rsidR="00386446">
        <w:rPr>
          <w:rFonts w:cs="Times New Roman"/>
        </w:rPr>
        <w:t xml:space="preserve"> 3 and n </w:t>
      </w:r>
      <w:r w:rsidR="00386446">
        <w:rPr>
          <w:rFonts w:cs="Times New Roman"/>
        </w:rPr>
        <w:sym w:font="Symbol" w:char="F03D"/>
      </w:r>
      <w:r w:rsidR="00386446">
        <w:rPr>
          <w:rFonts w:cs="Times New Roman"/>
        </w:rPr>
        <w:t xml:space="preserve"> 4</w:t>
      </w:r>
      <w:r w:rsidR="00A10ACD">
        <w:rPr>
          <w:rFonts w:cs="Times New Roman"/>
        </w:rPr>
        <w:t xml:space="preserve">. At this point, </w:t>
      </w:r>
      <w:r w:rsidR="00386446">
        <w:rPr>
          <w:rFonts w:cs="Times New Roman"/>
        </w:rPr>
        <w:t>Wittgenstein imagines him breaking off and exclaiming ‘I already see that it’s valid for all n’.</w:t>
      </w:r>
      <w:r w:rsidR="00386446">
        <w:rPr>
          <w:rStyle w:val="FootnoteReference"/>
          <w:rFonts w:cs="Times New Roman"/>
        </w:rPr>
        <w:footnoteReference w:id="42"/>
      </w:r>
      <w:r w:rsidR="00386446">
        <w:rPr>
          <w:rFonts w:cs="Times New Roman"/>
        </w:rPr>
        <w:t xml:space="preserve"> </w:t>
      </w:r>
      <w:r w:rsidR="00E43E43">
        <w:rPr>
          <w:rFonts w:cs="Times New Roman"/>
        </w:rPr>
        <w:t>In other w</w:t>
      </w:r>
      <w:r w:rsidR="00A10ACD">
        <w:rPr>
          <w:rFonts w:cs="Times New Roman"/>
        </w:rPr>
        <w:t>ords, this man has done exactly what Wittgenste</w:t>
      </w:r>
      <w:r w:rsidR="007625ED">
        <w:rPr>
          <w:rFonts w:cs="Times New Roman"/>
        </w:rPr>
        <w:t>in had earlier described: he has</w:t>
      </w:r>
      <w:r w:rsidR="00A10ACD">
        <w:rPr>
          <w:rFonts w:cs="Times New Roman"/>
        </w:rPr>
        <w:t xml:space="preserve"> found the induction in a series of checks, analogous to someone who satisfies themselves that the law of commutation holds by working out an example.</w:t>
      </w:r>
    </w:p>
    <w:p w:rsidR="00A10ACD" w:rsidRDefault="00A10ACD" w:rsidP="002C4B03">
      <w:pPr>
        <w:rPr>
          <w:rFonts w:cs="Times New Roman"/>
        </w:rPr>
      </w:pPr>
    </w:p>
    <w:p w:rsidR="00E60C35" w:rsidRDefault="00A10ACD" w:rsidP="002C4B03">
      <w:r>
        <w:rPr>
          <w:rFonts w:cs="Times New Roman"/>
        </w:rPr>
        <w:lastRenderedPageBreak/>
        <w:t xml:space="preserve">It is crucial to Wittgenstein, however, that this man did not check – still less prove – the truth of the universal proposition; </w:t>
      </w:r>
      <w:r w:rsidR="000918F5">
        <w:rPr>
          <w:rFonts w:cs="Times New Roman"/>
        </w:rPr>
        <w:t xml:space="preserve">rather, he </w:t>
      </w:r>
      <w:r w:rsidR="004F0673">
        <w:t>checks</w:t>
      </w:r>
      <w:r w:rsidR="00143F80">
        <w:t xml:space="preserve"> the truth of a series of </w:t>
      </w:r>
      <w:r w:rsidR="000918F5">
        <w:t xml:space="preserve">propositions - </w:t>
      </w:r>
      <w:r w:rsidR="00143F80">
        <w:t xml:space="preserve">(3 </w:t>
      </w:r>
      <w:r w:rsidR="00143F80">
        <w:rPr>
          <w:rFonts w:cs="Times New Roman"/>
        </w:rPr>
        <w:t>×</w:t>
      </w:r>
      <w:r w:rsidR="00143F80">
        <w:t xml:space="preserve"> 2) </w:t>
      </w:r>
      <w:r w:rsidR="00143F80">
        <w:rPr>
          <w:rFonts w:cs="Times New Roman"/>
        </w:rPr>
        <w:t>≠</w:t>
      </w:r>
      <w:r w:rsidR="00143F80">
        <w:t xml:space="preserve"> 5, (3 </w:t>
      </w:r>
      <w:r w:rsidR="00143F80">
        <w:rPr>
          <w:rFonts w:cs="Times New Roman"/>
        </w:rPr>
        <w:t>×</w:t>
      </w:r>
      <w:r w:rsidR="00143F80">
        <w:t xml:space="preserve"> 3) </w:t>
      </w:r>
      <w:r w:rsidR="00143F80">
        <w:rPr>
          <w:rFonts w:cs="Times New Roman"/>
        </w:rPr>
        <w:t>≠</w:t>
      </w:r>
      <w:r w:rsidR="00143F80">
        <w:t xml:space="preserve"> 5, (3 </w:t>
      </w:r>
      <w:r w:rsidR="00143F80">
        <w:rPr>
          <w:rFonts w:cs="Times New Roman"/>
        </w:rPr>
        <w:t>×</w:t>
      </w:r>
      <w:r w:rsidR="00143F80">
        <w:t xml:space="preserve"> 4) </w:t>
      </w:r>
      <w:r w:rsidR="00143F80">
        <w:rPr>
          <w:rFonts w:cs="Times New Roman"/>
        </w:rPr>
        <w:t>≠</w:t>
      </w:r>
      <w:r w:rsidR="00E60C35">
        <w:t xml:space="preserve"> 5</w:t>
      </w:r>
      <w:r w:rsidR="004F0673">
        <w:t xml:space="preserve"> – and, in checking those, co</w:t>
      </w:r>
      <w:r w:rsidR="000918F5">
        <w:t>me</w:t>
      </w:r>
      <w:r w:rsidR="004F0673">
        <w:t>s</w:t>
      </w:r>
      <w:r w:rsidR="000918F5">
        <w:t xml:space="preserve"> to see that </w:t>
      </w:r>
      <w:r w:rsidR="004F0673">
        <w:t>every statement of that form has</w:t>
      </w:r>
      <w:r w:rsidR="000918F5">
        <w:t xml:space="preserve"> to be true</w:t>
      </w:r>
      <w:r w:rsidR="00E60C35">
        <w:t>.</w:t>
      </w:r>
      <w:r w:rsidR="000918F5">
        <w:t xml:space="preserve"> And this, Wittgenstein insists, is all that is achieved by an induction:</w:t>
      </w:r>
    </w:p>
    <w:p w:rsidR="000918F5" w:rsidRPr="00A10ACD" w:rsidRDefault="000918F5" w:rsidP="002C4B03">
      <w:pPr>
        <w:rPr>
          <w:rFonts w:cs="Times New Roman"/>
        </w:rPr>
      </w:pPr>
    </w:p>
    <w:p w:rsidR="00143F80" w:rsidRDefault="00143F80" w:rsidP="00143F80">
      <w:pPr>
        <w:pStyle w:val="Quote"/>
      </w:pPr>
      <w:r>
        <w:t xml:space="preserve">If I call the induction “the proof of a general proposition”, I can’t ask whether that proposition is correct (any more than whether the form of the cardinal numbers is correct). Because the things I call inductive proofs give me no method of </w:t>
      </w:r>
      <w:r>
        <w:rPr>
          <w:i/>
        </w:rPr>
        <w:t>checking</w:t>
      </w:r>
      <w:r>
        <w:t xml:space="preserve"> whether the general proposition is correct or </w:t>
      </w:r>
      <w:r w:rsidR="00577A03">
        <w:t>incorrect.</w:t>
      </w:r>
      <w:r w:rsidR="00577A03">
        <w:rPr>
          <w:rStyle w:val="FootnoteReference"/>
        </w:rPr>
        <w:footnoteReference w:id="43"/>
      </w:r>
    </w:p>
    <w:p w:rsidR="00E60C35" w:rsidRDefault="00E60C35" w:rsidP="00E60C35"/>
    <w:p w:rsidR="00E43E43" w:rsidRDefault="00E43E43" w:rsidP="00E60C35">
      <w:pPr>
        <w:rPr>
          <w:rFonts w:cs="Times New Roman"/>
        </w:rPr>
      </w:pPr>
      <w:r>
        <w:t xml:space="preserve">This notion of </w:t>
      </w:r>
      <w:r>
        <w:rPr>
          <w:i/>
        </w:rPr>
        <w:t>checking</w:t>
      </w:r>
      <w:r>
        <w:t xml:space="preserve"> had earlier been invoked by Wittgenstein as an alternative to the notion of proving a proposition to be true. In the section quoted earlier called </w:t>
      </w:r>
      <w:r>
        <w:rPr>
          <w:rFonts w:cs="Times New Roman"/>
        </w:rPr>
        <w:t>‘Proof, and the Truth and Falsity of Mathematical Propositions’</w:t>
      </w:r>
      <w:r w:rsidR="00575B0A">
        <w:rPr>
          <w:rFonts w:cs="Times New Roman"/>
        </w:rPr>
        <w:t>, for example, Wittgenstein says this:</w:t>
      </w:r>
    </w:p>
    <w:p w:rsidR="00575B0A" w:rsidRDefault="00575B0A" w:rsidP="00575B0A">
      <w:pPr>
        <w:pStyle w:val="Quote"/>
      </w:pPr>
    </w:p>
    <w:p w:rsidR="00575B0A" w:rsidRDefault="00575B0A" w:rsidP="00575B0A">
      <w:pPr>
        <w:pStyle w:val="Quote"/>
      </w:pPr>
      <w:r>
        <w:t xml:space="preserve">In order to understand the sense of 25 </w:t>
      </w:r>
      <w:r>
        <w:rPr>
          <w:rFonts w:cs="Times New Roman"/>
        </w:rPr>
        <w:t>×</w:t>
      </w:r>
      <w:r>
        <w:t xml:space="preserve"> 25 = 625 I may ask: how is this proposition proved? But I can’t ask how its contradictory is or would be proved, because it makes no sense to speak of a proof of the contradictory of 25 </w:t>
      </w:r>
      <w:r>
        <w:rPr>
          <w:rFonts w:cs="Times New Roman"/>
        </w:rPr>
        <w:t>×</w:t>
      </w:r>
      <w:r>
        <w:t xml:space="preserve"> 25 = 625. So if I want to raise a question which won’t depend on the truth of the proposition, I have to speak of </w:t>
      </w:r>
      <w:r>
        <w:rPr>
          <w:i/>
        </w:rPr>
        <w:t>checking</w:t>
      </w:r>
      <w:r>
        <w:t xml:space="preserve"> its truth, not of proving or disproving it.</w:t>
      </w:r>
      <w:r>
        <w:rPr>
          <w:rStyle w:val="FootnoteReference"/>
        </w:rPr>
        <w:footnoteReference w:id="44"/>
      </w:r>
    </w:p>
    <w:p w:rsidR="00575B0A" w:rsidRPr="00575B0A" w:rsidRDefault="00575B0A" w:rsidP="00575B0A">
      <w:pPr>
        <w:pStyle w:val="Quote"/>
      </w:pPr>
    </w:p>
    <w:p w:rsidR="00575B0A" w:rsidRDefault="00C90993" w:rsidP="00E60C35">
      <w:r>
        <w:lastRenderedPageBreak/>
        <w:t xml:space="preserve">In considering the question of whether the universal statement that appears as the </w:t>
      </w:r>
      <w:r w:rsidR="00107469">
        <w:t xml:space="preserve">purported </w:t>
      </w:r>
      <w:r>
        <w:t>conclusion to the inductive proof given earlier can properly be called a proposition, Wittgenstein, a</w:t>
      </w:r>
      <w:r w:rsidR="00575B0A">
        <w:t>s so often (as, for example, in his response to Schlick</w:t>
      </w:r>
      <w:r w:rsidR="004F0673">
        <w:t>’s question</w:t>
      </w:r>
      <w:r w:rsidR="00575B0A">
        <w:t xml:space="preserve"> about Husserl’s synthetic a priori), </w:t>
      </w:r>
      <w:r w:rsidR="004F6BD1">
        <w:t>considers the proposition’s negation. Earlier i</w:t>
      </w:r>
      <w:r w:rsidR="00575B0A">
        <w:t xml:space="preserve">n the Big Typescript, he </w:t>
      </w:r>
      <w:r w:rsidR="004F6BD1">
        <w:t xml:space="preserve">had </w:t>
      </w:r>
      <w:r w:rsidR="00575B0A">
        <w:t>spell</w:t>
      </w:r>
      <w:r w:rsidR="004F6BD1">
        <w:t xml:space="preserve">ed </w:t>
      </w:r>
      <w:r w:rsidR="00575B0A">
        <w:t>out</w:t>
      </w:r>
      <w:r w:rsidR="004F6BD1">
        <w:t xml:space="preserve"> what he regarded as a crucially important principle</w:t>
      </w:r>
      <w:r w:rsidR="00575B0A">
        <w:t>:</w:t>
      </w:r>
    </w:p>
    <w:p w:rsidR="00575B0A" w:rsidRDefault="00575B0A" w:rsidP="00E60C35"/>
    <w:p w:rsidR="00575B0A" w:rsidRDefault="00575B0A" w:rsidP="00575B0A">
      <w:pPr>
        <w:pStyle w:val="Quote"/>
      </w:pPr>
      <w:r>
        <w:t xml:space="preserve">Now it is part of the nature of </w:t>
      </w:r>
      <w:r>
        <w:rPr>
          <w:i/>
        </w:rPr>
        <w:t>what we call propositions</w:t>
      </w:r>
      <w:r>
        <w:t xml:space="preserve"> that they must be capable of being negated. And the negation of what is proved also must be connected with the proof; we must, that is, be able to show in what different conditions it would have been the result.</w:t>
      </w:r>
      <w:r>
        <w:rPr>
          <w:rStyle w:val="FootnoteReference"/>
        </w:rPr>
        <w:footnoteReference w:id="45"/>
      </w:r>
    </w:p>
    <w:p w:rsidR="00575B0A" w:rsidRDefault="00575B0A" w:rsidP="00575B0A"/>
    <w:p w:rsidR="00575B0A" w:rsidRDefault="00575B0A" w:rsidP="007011D7">
      <w:pPr>
        <w:rPr>
          <w:rFonts w:cs="Times New Roman"/>
        </w:rPr>
      </w:pPr>
      <w:r>
        <w:t xml:space="preserve">‘When we say that induction proves the universal proposition,’ he </w:t>
      </w:r>
      <w:r w:rsidR="00145625">
        <w:t xml:space="preserve">now </w:t>
      </w:r>
      <w:r>
        <w:t xml:space="preserve">says, ‘of course we want to switch to the mode of expression that it proves that </w:t>
      </w:r>
      <w:r>
        <w:rPr>
          <w:i/>
        </w:rPr>
        <w:t>this</w:t>
      </w:r>
      <w:r>
        <w:t xml:space="preserve"> and not its contradictory is the case.’</w:t>
      </w:r>
      <w:r w:rsidR="004F6BD1">
        <w:rPr>
          <w:rStyle w:val="FootnoteReference"/>
        </w:rPr>
        <w:footnoteReference w:id="46"/>
      </w:r>
      <w:r>
        <w:t xml:space="preserve"> But what is the contradictory, the negation, of the universal proposition (n): n </w:t>
      </w:r>
      <w:r>
        <w:sym w:font="Symbol" w:char="F03E"/>
      </w:r>
      <w:r>
        <w:t xml:space="preserve"> 2 .</w:t>
      </w:r>
      <w:r>
        <w:sym w:font="Symbol" w:char="F0C9"/>
      </w:r>
      <w:r>
        <w:t xml:space="preserve">. 3 </w:t>
      </w:r>
      <w:r w:rsidR="00107469">
        <w:rPr>
          <w:rFonts w:cs="Times New Roman"/>
        </w:rPr>
        <w:t>× n ≠ 5</w:t>
      </w:r>
      <w:r>
        <w:rPr>
          <w:rFonts w:cs="Times New Roman"/>
        </w:rPr>
        <w:t xml:space="preserve">? Well, it would be </w:t>
      </w:r>
      <w:r>
        <w:t>(</w:t>
      </w:r>
      <w:r>
        <w:sym w:font="Symbol" w:char="F024"/>
      </w:r>
      <w:r>
        <w:t xml:space="preserve">n): ~ (n </w:t>
      </w:r>
      <w:r>
        <w:sym w:font="Symbol" w:char="F03E"/>
      </w:r>
      <w:r>
        <w:t xml:space="preserve"> 2 .</w:t>
      </w:r>
      <w:r>
        <w:sym w:font="Symbol" w:char="F0C9"/>
      </w:r>
      <w:r>
        <w:t xml:space="preserve">. 3 </w:t>
      </w:r>
      <w:r w:rsidR="00107469">
        <w:rPr>
          <w:rFonts w:cs="Times New Roman"/>
        </w:rPr>
        <w:t>× n ≠ 5)</w:t>
      </w:r>
      <w:r>
        <w:rPr>
          <w:rFonts w:cs="Times New Roman"/>
        </w:rPr>
        <w:t xml:space="preserve">, i.e., </w:t>
      </w:r>
      <w:r>
        <w:t>(</w:t>
      </w:r>
      <w:r>
        <w:sym w:font="Symbol" w:char="F024"/>
      </w:r>
      <w:r>
        <w:t xml:space="preserve">n): n </w:t>
      </w:r>
      <w:r>
        <w:sym w:font="Symbol" w:char="F03E"/>
      </w:r>
      <w:r>
        <w:t xml:space="preserve"> 2 .</w:t>
      </w:r>
      <w:r>
        <w:sym w:font="Symbol" w:char="F0C9"/>
      </w:r>
      <w:r>
        <w:t xml:space="preserve">. 3 </w:t>
      </w:r>
      <w:r w:rsidR="00107469">
        <w:rPr>
          <w:rFonts w:cs="Times New Roman"/>
        </w:rPr>
        <w:t>× n = 5</w:t>
      </w:r>
      <w:r>
        <w:rPr>
          <w:rFonts w:cs="Times New Roman"/>
        </w:rPr>
        <w:t xml:space="preserve">, or ‘there is a number which, when multiplied by 3 is equal to 5’. And has the inductive proof shown this proposition to be false? </w:t>
      </w:r>
      <w:r w:rsidR="004F6BD1">
        <w:rPr>
          <w:rFonts w:cs="Times New Roman"/>
        </w:rPr>
        <w:t xml:space="preserve">No, because the induction was something that was seen in a series of checks that, e.g., </w:t>
      </w:r>
      <w:r>
        <w:rPr>
          <w:rFonts w:cs="Times New Roman"/>
        </w:rPr>
        <w:t xml:space="preserve">3 × 2 = 5 + 1, 3 × (a + 1) = (3 × a) + 3. </w:t>
      </w:r>
      <w:r w:rsidR="004F6BD1">
        <w:rPr>
          <w:rFonts w:cs="Times New Roman"/>
        </w:rPr>
        <w:t>But, if</w:t>
      </w:r>
      <w:r w:rsidR="00723C4D">
        <w:rPr>
          <w:rFonts w:cs="Times New Roman"/>
        </w:rPr>
        <w:t xml:space="preserve"> we ask of the first of these, ‘</w:t>
      </w:r>
      <w:r w:rsidR="00107469">
        <w:rPr>
          <w:rFonts w:cs="Times New Roman"/>
        </w:rPr>
        <w:t>3 × 2 = 5 + 1</w:t>
      </w:r>
      <w:r>
        <w:rPr>
          <w:rFonts w:cs="Times New Roman"/>
        </w:rPr>
        <w:t xml:space="preserve"> as opposed to </w:t>
      </w:r>
      <w:r w:rsidR="004F6BD1">
        <w:rPr>
          <w:rFonts w:cs="Times New Roman"/>
        </w:rPr>
        <w:t>what?</w:t>
      </w:r>
      <w:r w:rsidR="00723C4D">
        <w:rPr>
          <w:rFonts w:cs="Times New Roman"/>
        </w:rPr>
        <w:t>’,</w:t>
      </w:r>
      <w:r w:rsidR="004F6BD1">
        <w:rPr>
          <w:rFonts w:cs="Times New Roman"/>
        </w:rPr>
        <w:t xml:space="preserve"> the answer will be something like </w:t>
      </w:r>
      <w:r>
        <w:rPr>
          <w:rFonts w:cs="Times New Roman"/>
        </w:rPr>
        <w:t xml:space="preserve">3 × 2 </w:t>
      </w:r>
      <w:r>
        <w:rPr>
          <w:rFonts w:cs="Times New Roman"/>
        </w:rPr>
        <w:sym w:font="Symbol" w:char="F03D"/>
      </w:r>
      <w:r>
        <w:rPr>
          <w:rFonts w:cs="Times New Roman"/>
        </w:rPr>
        <w:t xml:space="preserve"> 5 +</w:t>
      </w:r>
      <w:r w:rsidR="00107469">
        <w:rPr>
          <w:rFonts w:cs="Times New Roman"/>
        </w:rPr>
        <w:t xml:space="preserve"> 6</w:t>
      </w:r>
      <w:r>
        <w:rPr>
          <w:rStyle w:val="FootnoteReference"/>
          <w:rFonts w:cs="Times New Roman"/>
        </w:rPr>
        <w:footnoteReference w:id="47"/>
      </w:r>
      <w:r>
        <w:rPr>
          <w:rFonts w:cs="Times New Roman"/>
        </w:rPr>
        <w:t xml:space="preserve">. ‘But, of course,’ Wittgenstein says, ‘this opposite doesn’t correspond to the proposition </w:t>
      </w:r>
      <w:r>
        <w:rPr>
          <w:rFonts w:cs="Times New Roman"/>
        </w:rPr>
        <w:lastRenderedPageBreak/>
        <w:t>(</w:t>
      </w:r>
      <w:r>
        <w:rPr>
          <w:rFonts w:cs="Times New Roman"/>
        </w:rPr>
        <w:sym w:font="Symbol" w:char="F024"/>
      </w:r>
      <w:r>
        <w:rPr>
          <w:rFonts w:cs="Times New Roman"/>
        </w:rPr>
        <w:t>x).</w:t>
      </w:r>
      <w:r>
        <w:rPr>
          <w:rFonts w:cs="Times New Roman"/>
        </w:rPr>
        <w:sym w:font="Symbol" w:char="F066"/>
      </w:r>
      <w:r>
        <w:rPr>
          <w:rFonts w:cs="Times New Roman"/>
        </w:rPr>
        <w:t>x’.</w:t>
      </w:r>
      <w:r>
        <w:rPr>
          <w:rStyle w:val="FootnoteReference"/>
          <w:rFonts w:cs="Times New Roman"/>
        </w:rPr>
        <w:footnoteReference w:id="48"/>
      </w:r>
      <w:r>
        <w:rPr>
          <w:rFonts w:cs="Times New Roman"/>
        </w:rPr>
        <w:t xml:space="preserve"> </w:t>
      </w:r>
      <w:r w:rsidR="007011D7">
        <w:rPr>
          <w:rFonts w:cs="Times New Roman"/>
        </w:rPr>
        <w:t>‘If I call the induction “the proof of a general proposition”’</w:t>
      </w:r>
      <w:r w:rsidR="00145625">
        <w:rPr>
          <w:rFonts w:cs="Times New Roman"/>
        </w:rPr>
        <w:t>, Wittgenstein goes on</w:t>
      </w:r>
      <w:r w:rsidR="007011D7">
        <w:rPr>
          <w:rFonts w:cs="Times New Roman"/>
        </w:rPr>
        <w:t xml:space="preserve">, ‘I can’t ask whether that proposition is correct (any more than whether the form of the cardinal numbers is correct). Because the things I call inductive proofs give me no method of </w:t>
      </w:r>
      <w:r w:rsidR="007011D7">
        <w:rPr>
          <w:rFonts w:cs="Times New Roman"/>
          <w:i/>
        </w:rPr>
        <w:t xml:space="preserve">checking </w:t>
      </w:r>
      <w:r w:rsidR="007011D7">
        <w:rPr>
          <w:rFonts w:cs="Times New Roman"/>
        </w:rPr>
        <w:t>whether the general proposition is correct or incorrect.’</w:t>
      </w:r>
      <w:r w:rsidR="007011D7">
        <w:rPr>
          <w:rStyle w:val="FootnoteReference"/>
          <w:rFonts w:cs="Times New Roman"/>
        </w:rPr>
        <w:footnoteReference w:id="49"/>
      </w:r>
      <w:r w:rsidR="007011D7">
        <w:rPr>
          <w:rFonts w:cs="Times New Roman"/>
        </w:rPr>
        <w:t xml:space="preserve"> </w:t>
      </w:r>
      <w:r>
        <w:rPr>
          <w:rFonts w:cs="Times New Roman"/>
        </w:rPr>
        <w:t xml:space="preserve">Thus, ‘we find it odd when we are told that the induction proves the universal proposition… After all, we weren’t first given an alternative’. We have not, that is, shown the proposition ‘There is an n greater than 2, such that 3n = 5’ is false. Indeed, we have not even </w:t>
      </w:r>
      <w:r w:rsidR="004F0673">
        <w:rPr>
          <w:rFonts w:cs="Times New Roman"/>
        </w:rPr>
        <w:t>c</w:t>
      </w:r>
      <w:r>
        <w:rPr>
          <w:rFonts w:cs="Times New Roman"/>
        </w:rPr>
        <w:t>onsider</w:t>
      </w:r>
      <w:r w:rsidR="004F0673">
        <w:rPr>
          <w:rFonts w:cs="Times New Roman"/>
        </w:rPr>
        <w:t>ed</w:t>
      </w:r>
      <w:r>
        <w:rPr>
          <w:rFonts w:cs="Times New Roman"/>
        </w:rPr>
        <w:t xml:space="preserve"> such a proposition.</w:t>
      </w:r>
      <w:r w:rsidR="007011D7">
        <w:rPr>
          <w:rFonts w:cs="Times New Roman"/>
        </w:rPr>
        <w:t xml:space="preserve"> So the inducti</w:t>
      </w:r>
      <w:r w:rsidR="00145625">
        <w:rPr>
          <w:rFonts w:cs="Times New Roman"/>
        </w:rPr>
        <w:t>o</w:t>
      </w:r>
      <w:r w:rsidR="007011D7">
        <w:rPr>
          <w:rFonts w:cs="Times New Roman"/>
        </w:rPr>
        <w:t xml:space="preserve">n does not give us a method for deciding which of two contradictory propositions - </w:t>
      </w:r>
      <w:r w:rsidR="007011D7">
        <w:t xml:space="preserve">(n): n </w:t>
      </w:r>
      <w:r w:rsidR="007011D7">
        <w:sym w:font="Symbol" w:char="F03E"/>
      </w:r>
      <w:r w:rsidR="007011D7">
        <w:t xml:space="preserve"> 2 .</w:t>
      </w:r>
      <w:r w:rsidR="007011D7">
        <w:sym w:font="Symbol" w:char="F0C9"/>
      </w:r>
      <w:r w:rsidR="007011D7">
        <w:t xml:space="preserve">. 3 </w:t>
      </w:r>
      <w:r w:rsidR="00107469">
        <w:rPr>
          <w:rFonts w:cs="Times New Roman"/>
        </w:rPr>
        <w:t>× n ≠ 5</w:t>
      </w:r>
      <w:r w:rsidR="007011D7">
        <w:rPr>
          <w:rFonts w:cs="Times New Roman"/>
        </w:rPr>
        <w:t xml:space="preserve"> and </w:t>
      </w:r>
      <w:r w:rsidR="007011D7">
        <w:t>(</w:t>
      </w:r>
      <w:r w:rsidR="007011D7">
        <w:sym w:font="Symbol" w:char="F024"/>
      </w:r>
      <w:r w:rsidR="007011D7">
        <w:t xml:space="preserve">n): n </w:t>
      </w:r>
      <w:r w:rsidR="007011D7">
        <w:sym w:font="Symbol" w:char="F03E"/>
      </w:r>
      <w:r w:rsidR="007011D7">
        <w:t xml:space="preserve"> 2 .</w:t>
      </w:r>
      <w:r w:rsidR="007011D7">
        <w:sym w:font="Symbol" w:char="F0C9"/>
      </w:r>
      <w:r w:rsidR="007011D7">
        <w:t xml:space="preserve">. 3 </w:t>
      </w:r>
      <w:r w:rsidR="00107469">
        <w:rPr>
          <w:rFonts w:cs="Times New Roman"/>
        </w:rPr>
        <w:t>× n = 5</w:t>
      </w:r>
      <w:r w:rsidR="007011D7">
        <w:rPr>
          <w:rFonts w:cs="Times New Roman"/>
        </w:rPr>
        <w:t xml:space="preserve"> – is true. ‘The proof by induction isn’t something that settles a disputed question.’</w:t>
      </w:r>
      <w:r w:rsidR="007011D7">
        <w:rPr>
          <w:rStyle w:val="FootnoteReference"/>
          <w:rFonts w:cs="Times New Roman"/>
        </w:rPr>
        <w:footnoteReference w:id="50"/>
      </w:r>
    </w:p>
    <w:p w:rsidR="00575B0A" w:rsidRDefault="00575B0A" w:rsidP="00575B0A">
      <w:pPr>
        <w:rPr>
          <w:rFonts w:cs="Times New Roman"/>
        </w:rPr>
      </w:pPr>
    </w:p>
    <w:p w:rsidR="00871824" w:rsidRDefault="005543B1" w:rsidP="00575B0A">
      <w:pPr>
        <w:rPr>
          <w:rFonts w:cs="Times New Roman"/>
        </w:rPr>
      </w:pPr>
      <w:r>
        <w:rPr>
          <w:rFonts w:cs="Times New Roman"/>
        </w:rPr>
        <w:t>Before he gets onto the comparison between himself and Kant, Wittgenstein ends the section under discussi</w:t>
      </w:r>
      <w:r w:rsidR="00E46371">
        <w:rPr>
          <w:rFonts w:cs="Times New Roman"/>
        </w:rPr>
        <w:t>on with a consideration of the ‘inductive property’</w:t>
      </w:r>
      <w:r>
        <w:rPr>
          <w:rFonts w:cs="Times New Roman"/>
        </w:rPr>
        <w:t xml:space="preserve"> of periodicity, his example of which is dividing 1 by 3. When we divide 1 by 3, we get 3 with the remainder 1, and</w:t>
      </w:r>
      <w:r w:rsidR="00145625">
        <w:rPr>
          <w:rFonts w:cs="Times New Roman"/>
        </w:rPr>
        <w:t>, if we divide it again we, of course, get the same result,</w:t>
      </w:r>
      <w:r>
        <w:rPr>
          <w:rFonts w:cs="Times New Roman"/>
        </w:rPr>
        <w:t xml:space="preserve"> so</w:t>
      </w:r>
      <w:r w:rsidR="00145625">
        <w:rPr>
          <w:rFonts w:cs="Times New Roman"/>
        </w:rPr>
        <w:t>, however long we carry on with this procedure,</w:t>
      </w:r>
      <w:r>
        <w:rPr>
          <w:rFonts w:cs="Times New Roman"/>
        </w:rPr>
        <w:t xml:space="preserve"> we cannot get anything other than a series of 3s. Wittgenstein imagines a group of people who </w:t>
      </w:r>
      <w:r w:rsidR="00145625">
        <w:rPr>
          <w:rFonts w:cs="Times New Roman"/>
        </w:rPr>
        <w:t xml:space="preserve">have not realised this and so </w:t>
      </w:r>
      <w:r>
        <w:rPr>
          <w:rFonts w:cs="Times New Roman"/>
        </w:rPr>
        <w:t>argue about whether the quotient of 1/3 does or does not contain only threes. Then, just like the man who saw the induction in the worked out examples</w:t>
      </w:r>
      <w:r w:rsidR="00145625">
        <w:rPr>
          <w:rFonts w:cs="Times New Roman"/>
        </w:rPr>
        <w:t xml:space="preserve"> of 3</w:t>
      </w:r>
      <w:r w:rsidR="00E46371">
        <w:rPr>
          <w:rFonts w:cs="Times New Roman"/>
        </w:rPr>
        <w:t xml:space="preserve"> × </w:t>
      </w:r>
      <w:r w:rsidR="00145625">
        <w:rPr>
          <w:rFonts w:cs="Times New Roman"/>
        </w:rPr>
        <w:t>n ≠ 5</w:t>
      </w:r>
      <w:r>
        <w:rPr>
          <w:rFonts w:cs="Times New Roman"/>
        </w:rPr>
        <w:t xml:space="preserve">, Wittgenstein imagines a man who </w:t>
      </w:r>
      <w:r w:rsidR="00376810">
        <w:rPr>
          <w:rFonts w:cs="Times New Roman"/>
        </w:rPr>
        <w:t>notices</w:t>
      </w:r>
      <w:r>
        <w:rPr>
          <w:rFonts w:cs="Times New Roman"/>
        </w:rPr>
        <w:t xml:space="preserve"> the inductive property and says: ‘now I know that there must be only threes in the quotient’.</w:t>
      </w:r>
      <w:r>
        <w:rPr>
          <w:rStyle w:val="FootnoteReference"/>
          <w:rFonts w:cs="Times New Roman"/>
        </w:rPr>
        <w:footnoteReference w:id="51"/>
      </w:r>
      <w:r>
        <w:rPr>
          <w:rFonts w:cs="Times New Roman"/>
        </w:rPr>
        <w:t xml:space="preserve"> </w:t>
      </w:r>
      <w:r w:rsidR="008F044C">
        <w:rPr>
          <w:rFonts w:cs="Times New Roman"/>
        </w:rPr>
        <w:t xml:space="preserve">The discovery of periodicity, Wittgenstein insists, </w:t>
      </w:r>
      <w:r w:rsidR="008D0720">
        <w:rPr>
          <w:rFonts w:cs="Times New Roman"/>
        </w:rPr>
        <w:t xml:space="preserve">as he had earlier insisted about induction, ‘decides nothing </w:t>
      </w:r>
      <w:r w:rsidR="008D0720">
        <w:rPr>
          <w:rFonts w:cs="Times New Roman"/>
        </w:rPr>
        <w:lastRenderedPageBreak/>
        <w:t>that had been left open’.</w:t>
      </w:r>
      <w:r w:rsidR="008D0720">
        <w:rPr>
          <w:rStyle w:val="FootnoteReference"/>
          <w:rFonts w:cs="Times New Roman"/>
        </w:rPr>
        <w:footnoteReference w:id="52"/>
      </w:r>
      <w:r w:rsidR="008D0720">
        <w:rPr>
          <w:rFonts w:cs="Times New Roman"/>
        </w:rPr>
        <w:t xml:space="preserve"> Rather, what it does is clarify to this man ‘the grammar of his question and the nature of his search’.</w:t>
      </w:r>
      <w:r w:rsidR="008D0720">
        <w:rPr>
          <w:rStyle w:val="FootnoteReference"/>
          <w:rFonts w:cs="Times New Roman"/>
        </w:rPr>
        <w:footnoteReference w:id="53"/>
      </w:r>
      <w:r w:rsidR="008D0720">
        <w:rPr>
          <w:rFonts w:cs="Times New Roman"/>
        </w:rPr>
        <w:t xml:space="preserve"> ‘The discovery of the periodicity,’ Wittgenstein concludes, </w:t>
      </w:r>
      <w:r w:rsidR="008F044C">
        <w:rPr>
          <w:rFonts w:cs="Times New Roman"/>
        </w:rPr>
        <w:t xml:space="preserve">‘is really the construction of a new sign and a new </w:t>
      </w:r>
      <w:r w:rsidR="008F044C" w:rsidRPr="008F044C">
        <w:rPr>
          <w:rFonts w:cs="Times New Roman"/>
          <w:i/>
        </w:rPr>
        <w:t>calculus</w:t>
      </w:r>
      <w:r w:rsidR="008F044C">
        <w:rPr>
          <w:rFonts w:cs="Times New Roman"/>
        </w:rPr>
        <w:t xml:space="preserve">.’ </w:t>
      </w:r>
      <w:r w:rsidRPr="008F044C">
        <w:rPr>
          <w:rFonts w:cs="Times New Roman"/>
        </w:rPr>
        <w:t>It</w:t>
      </w:r>
      <w:r>
        <w:rPr>
          <w:rFonts w:cs="Times New Roman"/>
        </w:rPr>
        <w:t xml:space="preserve"> is </w:t>
      </w:r>
      <w:r w:rsidR="008D0720">
        <w:rPr>
          <w:rFonts w:cs="Times New Roman"/>
        </w:rPr>
        <w:t xml:space="preserve">immediately after making </w:t>
      </w:r>
      <w:r w:rsidR="008D0720">
        <w:rPr>
          <w:rFonts w:cs="Times New Roman"/>
          <w:i/>
        </w:rPr>
        <w:t>that</w:t>
      </w:r>
      <w:r w:rsidR="008D0720">
        <w:rPr>
          <w:rFonts w:cs="Times New Roman"/>
        </w:rPr>
        <w:t xml:space="preserve"> point </w:t>
      </w:r>
      <w:r>
        <w:rPr>
          <w:rFonts w:cs="Times New Roman"/>
        </w:rPr>
        <w:t>that Wittgenstein says: ‘Isn’t what I am saying what Kant meant, by saying that 5 + 7 = 12 is not analytic but synthetic a priori?’</w:t>
      </w:r>
      <w:r>
        <w:rPr>
          <w:rStyle w:val="FootnoteReference"/>
          <w:rFonts w:cs="Times New Roman"/>
        </w:rPr>
        <w:footnoteReference w:id="54"/>
      </w:r>
    </w:p>
    <w:p w:rsidR="008F044C" w:rsidRDefault="008F044C" w:rsidP="00575B0A">
      <w:pPr>
        <w:rPr>
          <w:rFonts w:cs="Times New Roman"/>
        </w:rPr>
      </w:pPr>
    </w:p>
    <w:p w:rsidR="000C666F" w:rsidRDefault="008F044C" w:rsidP="00575B0A">
      <w:pPr>
        <w:rPr>
          <w:rFonts w:cs="Times New Roman"/>
        </w:rPr>
      </w:pPr>
      <w:r>
        <w:rPr>
          <w:rFonts w:cs="Times New Roman"/>
        </w:rPr>
        <w:t xml:space="preserve">Whatever Wittgenstein means by this comment in this context, it cannot be </w:t>
      </w:r>
      <w:r>
        <w:rPr>
          <w:rFonts w:cs="Times New Roman"/>
          <w:i/>
        </w:rPr>
        <w:t>exactly</w:t>
      </w:r>
      <w:r>
        <w:rPr>
          <w:rFonts w:cs="Times New Roman"/>
        </w:rPr>
        <w:t xml:space="preserve"> what he meant in </w:t>
      </w:r>
      <w:r>
        <w:rPr>
          <w:rFonts w:cs="Times New Roman"/>
          <w:i/>
        </w:rPr>
        <w:t>Philosophical Remarks</w:t>
      </w:r>
      <w:r>
        <w:rPr>
          <w:rFonts w:cs="Times New Roman"/>
        </w:rPr>
        <w:t xml:space="preserve">, because the referent of the phrase ‘what I am saying’ is different in each case. In the earlier case, it was that arithmetical statements are not tautologies; in this case, it is that induction </w:t>
      </w:r>
      <w:r w:rsidR="008D0720">
        <w:rPr>
          <w:rFonts w:cs="Times New Roman"/>
        </w:rPr>
        <w:t xml:space="preserve">(or seeing an inductive property) </w:t>
      </w:r>
      <w:r>
        <w:rPr>
          <w:rFonts w:cs="Times New Roman"/>
        </w:rPr>
        <w:t>does</w:t>
      </w:r>
      <w:r w:rsidR="008D0720">
        <w:rPr>
          <w:rFonts w:cs="Times New Roman"/>
        </w:rPr>
        <w:t xml:space="preserve"> not consist in deciding which of two alternative propositions, p and ~ p, is true.</w:t>
      </w:r>
      <w:r w:rsidR="003D6456">
        <w:rPr>
          <w:rFonts w:cs="Times New Roman"/>
        </w:rPr>
        <w:t xml:space="preserve"> Whereas it is fairly easy to see the connection between the first of these and Kant’s notion of the synthetic a priori, it is rather harder with respect to the second.</w:t>
      </w:r>
      <w:r w:rsidR="000C666F">
        <w:rPr>
          <w:rFonts w:cs="Times New Roman"/>
        </w:rPr>
        <w:t xml:space="preserve"> It should be noted, however, that, at the point in the Big Typescript </w:t>
      </w:r>
      <w:r w:rsidR="001840B1">
        <w:rPr>
          <w:rFonts w:cs="Times New Roman"/>
        </w:rPr>
        <w:t xml:space="preserve">at which </w:t>
      </w:r>
      <w:r w:rsidR="000C666F">
        <w:rPr>
          <w:rFonts w:cs="Times New Roman"/>
        </w:rPr>
        <w:t xml:space="preserve">Wittgenstein makes his comment about Kant, he has already made the point he makes in the </w:t>
      </w:r>
      <w:r w:rsidR="000C666F">
        <w:rPr>
          <w:rFonts w:cs="Times New Roman"/>
          <w:i/>
        </w:rPr>
        <w:t>Remarks</w:t>
      </w:r>
      <w:r w:rsidR="000C666F">
        <w:rPr>
          <w:rFonts w:cs="Times New Roman"/>
        </w:rPr>
        <w:t xml:space="preserve"> that an arithmetical equation cannot be replaced by a tautology. Indeed, some of the sentences from that section of </w:t>
      </w:r>
      <w:r w:rsidR="000C666F">
        <w:rPr>
          <w:rFonts w:cs="Times New Roman"/>
          <w:i/>
        </w:rPr>
        <w:t>Remarks</w:t>
      </w:r>
      <w:r w:rsidR="000C666F">
        <w:rPr>
          <w:rFonts w:cs="Times New Roman"/>
        </w:rPr>
        <w:t xml:space="preserve"> reappear verbatim in the Big Typescript. E.g</w:t>
      </w:r>
      <w:r w:rsidR="004B17B7">
        <w:rPr>
          <w:rFonts w:cs="Times New Roman"/>
        </w:rPr>
        <w:t>.</w:t>
      </w:r>
    </w:p>
    <w:p w:rsidR="00F561F7" w:rsidRDefault="00F561F7" w:rsidP="000C666F">
      <w:pPr>
        <w:pStyle w:val="Quote"/>
      </w:pPr>
    </w:p>
    <w:p w:rsidR="002029FF" w:rsidRDefault="000C666F" w:rsidP="000C666F">
      <w:pPr>
        <w:pStyle w:val="Quote"/>
      </w:pPr>
      <w:r>
        <w:t>No investigation of concepts, only direct insight can tell us that 3 + 2 =5.</w:t>
      </w:r>
    </w:p>
    <w:p w:rsidR="000C666F" w:rsidRDefault="000C666F" w:rsidP="000C666F">
      <w:pPr>
        <w:pStyle w:val="Quote"/>
      </w:pPr>
      <w:r>
        <w:t xml:space="preserve">That is what makes us rebel against the idea that </w:t>
      </w:r>
      <w:r>
        <w:rPr>
          <w:i/>
        </w:rPr>
        <w:t>A</w:t>
      </w:r>
      <w:r>
        <w:t xml:space="preserve"> could be the proposition 3 + 2 =5.</w:t>
      </w:r>
      <w:r>
        <w:rPr>
          <w:rStyle w:val="FootnoteReference"/>
        </w:rPr>
        <w:footnoteReference w:id="55"/>
      </w:r>
    </w:p>
    <w:p w:rsidR="000C666F" w:rsidRDefault="000C666F" w:rsidP="000C666F"/>
    <w:p w:rsidR="000C666F" w:rsidRDefault="004B17B7" w:rsidP="000C666F">
      <w:r>
        <w:lastRenderedPageBreak/>
        <w:t xml:space="preserve">These sentences </w:t>
      </w:r>
      <w:r w:rsidR="00F561F7">
        <w:t xml:space="preserve">from the </w:t>
      </w:r>
      <w:r w:rsidR="00F561F7">
        <w:rPr>
          <w:i/>
        </w:rPr>
        <w:t xml:space="preserve">Remarks </w:t>
      </w:r>
      <w:r>
        <w:t>a</w:t>
      </w:r>
      <w:r w:rsidR="000C666F">
        <w:t>re repeated, practically word for word</w:t>
      </w:r>
      <w:r>
        <w:t>,</w:t>
      </w:r>
      <w:r w:rsidR="000C666F">
        <w:t xml:space="preserve"> in a section of the Big Typescript entitled ‘2 + 2 = 4’, except that </w:t>
      </w:r>
      <w:r w:rsidR="000C666F">
        <w:rPr>
          <w:i/>
        </w:rPr>
        <w:t xml:space="preserve">A </w:t>
      </w:r>
      <w:r w:rsidR="000C666F">
        <w:t>is replaced by a different formula</w:t>
      </w:r>
      <w:r w:rsidR="00A33C87">
        <w:t>.</w:t>
      </w:r>
      <w:r w:rsidR="00A33C87">
        <w:rPr>
          <w:rStyle w:val="FootnoteReference"/>
        </w:rPr>
        <w:footnoteReference w:id="56"/>
      </w:r>
      <w:r w:rsidR="00A33C87">
        <w:t xml:space="preserve"> The import of these sentences, </w:t>
      </w:r>
      <w:r>
        <w:t>surely</w:t>
      </w:r>
      <w:r w:rsidR="00A33C87">
        <w:t>, is that Kant is right to insist that arithmetical statements are not analytic; they are not arrived at by analysing concepts, they are not tautologies or “true by definition”.</w:t>
      </w:r>
    </w:p>
    <w:p w:rsidR="00A33C87" w:rsidRDefault="00A33C87" w:rsidP="000C666F"/>
    <w:p w:rsidR="00A33C87" w:rsidRDefault="00A33C87" w:rsidP="000C666F">
      <w:r>
        <w:t xml:space="preserve">Does it follow that they are synthetic? Gier clearly thinks it does. </w:t>
      </w:r>
      <w:r w:rsidR="001840B1">
        <w:t>J</w:t>
      </w:r>
      <w:r w:rsidR="00AE0F9B">
        <w:t xml:space="preserve">ust as Schlick moves from Wittgenstein’s rejection of the synthetic nature of phenomenological statements to his supposed view of them as analytic, </w:t>
      </w:r>
      <w:r>
        <w:t>Gier moves from Wittgenstein’s rejection of the tautologous, or analytic, nature of arithmetical statements to his supposed acceptance of the</w:t>
      </w:r>
      <w:r w:rsidR="00AE0F9B">
        <w:t>m as</w:t>
      </w:r>
      <w:r>
        <w:t xml:space="preserve"> synthetic a priori. The strongest evidence for Gier’s reading of Wittgenstein comes </w:t>
      </w:r>
      <w:r w:rsidR="00A3521C">
        <w:t xml:space="preserve">from </w:t>
      </w:r>
      <w:r w:rsidR="00A33818">
        <w:t xml:space="preserve">MS 125, </w:t>
      </w:r>
      <w:r w:rsidR="002101D9">
        <w:t xml:space="preserve">written in </w:t>
      </w:r>
      <w:r w:rsidR="0037554B">
        <w:t>1942-4,</w:t>
      </w:r>
      <w:r w:rsidR="00F561F7">
        <w:t xml:space="preserve"> </w:t>
      </w:r>
      <w:r w:rsidR="00A33818">
        <w:t xml:space="preserve">which forms Part IV of the third edition of </w:t>
      </w:r>
      <w:r w:rsidR="00A33818">
        <w:rPr>
          <w:i/>
        </w:rPr>
        <w:t>Remarks on the Foundation of Mathematics</w:t>
      </w:r>
      <w:r w:rsidR="00A33818">
        <w:t xml:space="preserve"> and Part III of the first edition, which</w:t>
      </w:r>
      <w:r w:rsidR="00F561F7">
        <w:t xml:space="preserve"> is the one</w:t>
      </w:r>
      <w:r w:rsidR="00A33818">
        <w:t xml:space="preserve"> Gier cites.</w:t>
      </w:r>
      <w:r w:rsidR="00A33818">
        <w:rPr>
          <w:rStyle w:val="FootnoteReference"/>
        </w:rPr>
        <w:footnoteReference w:id="57"/>
      </w:r>
      <w:r w:rsidR="002101D9">
        <w:t xml:space="preserve"> There, Wittgenstein says:</w:t>
      </w:r>
    </w:p>
    <w:p w:rsidR="002101D9" w:rsidRDefault="002101D9" w:rsidP="000C666F"/>
    <w:p w:rsidR="002101D9" w:rsidRDefault="002101D9" w:rsidP="002101D9">
      <w:pPr>
        <w:pStyle w:val="Quote"/>
      </w:pPr>
      <w:r>
        <w:t>The proposition[s] ‘</w:t>
      </w:r>
      <w:r>
        <w:rPr>
          <w:i/>
        </w:rPr>
        <w:t xml:space="preserve">a = </w:t>
      </w:r>
      <w:r w:rsidRPr="002101D9">
        <w:rPr>
          <w:i/>
        </w:rPr>
        <w:t>a</w:t>
      </w:r>
      <w:r>
        <w:rPr>
          <w:i/>
        </w:rPr>
        <w:t>’</w:t>
      </w:r>
      <w:r>
        <w:t>, ‘</w:t>
      </w:r>
      <w:r>
        <w:rPr>
          <w:i/>
        </w:rPr>
        <w:t>p</w:t>
      </w:r>
      <w:r>
        <w:t xml:space="preserve"> </w:t>
      </w:r>
      <w:r>
        <w:sym w:font="Symbol" w:char="F0C9"/>
      </w:r>
      <w:r>
        <w:t xml:space="preserve"> </w:t>
      </w:r>
      <w:r>
        <w:rPr>
          <w:i/>
        </w:rPr>
        <w:t>p</w:t>
      </w:r>
      <w:r>
        <w:t>’, ‘The word “Bismarck” has 8 letter’, ‘There is no such thing as reddish-green’, are all obvious and are propositions about essence</w:t>
      </w:r>
      <w:r w:rsidR="0037554B">
        <w:t xml:space="preserve">: what have they in common? They are evidently each of a different kind and differently used. The last but one is the most like an empirical proposition. And it can understandably be called a synthetic </w:t>
      </w:r>
      <w:r w:rsidR="0037554B">
        <w:rPr>
          <w:i/>
        </w:rPr>
        <w:t>a priori</w:t>
      </w:r>
      <w:r w:rsidR="0037554B">
        <w:t xml:space="preserve"> proposition.</w:t>
      </w:r>
    </w:p>
    <w:p w:rsidR="0037554B" w:rsidRDefault="0037554B" w:rsidP="0037554B">
      <w:pPr>
        <w:pStyle w:val="Quote"/>
      </w:pPr>
      <w:r>
        <w:lastRenderedPageBreak/>
        <w:t>It can be said: unless you put the series of numbers and the series of letter side by side, you cannot know how many letters the word has.</w:t>
      </w:r>
    </w:p>
    <w:p w:rsidR="0037554B" w:rsidRDefault="0037554B" w:rsidP="0037554B"/>
    <w:p w:rsidR="0037554B" w:rsidRDefault="0037554B" w:rsidP="0037554B">
      <w:pPr>
        <w:pStyle w:val="Quote"/>
      </w:pPr>
      <w:r>
        <w:t>It might perhaps be said that the synthetic character of the propositions of mathematics appears most obviously in the unpredictable occurrence of the prime numbers.</w:t>
      </w:r>
    </w:p>
    <w:p w:rsidR="0037554B" w:rsidRDefault="0037554B" w:rsidP="0037554B"/>
    <w:p w:rsidR="0037554B" w:rsidRDefault="0037554B" w:rsidP="0037554B">
      <w:pPr>
        <w:pStyle w:val="Quote"/>
      </w:pPr>
      <w:r>
        <w:t xml:space="preserve">But their being synthetic (in this sense) does not make them any the less </w:t>
      </w:r>
      <w:r>
        <w:rPr>
          <w:i/>
        </w:rPr>
        <w:t>a priori</w:t>
      </w:r>
      <w:r>
        <w:t>. They could be said, I want to say, not to be got out of their concepts by means of some kind of analysis, but really to determine a concept of synthesis</w:t>
      </w:r>
      <w:r w:rsidR="00DF16DE">
        <w:t>…</w:t>
      </w:r>
    </w:p>
    <w:p w:rsidR="00DF16DE" w:rsidRDefault="00DF16DE" w:rsidP="00DF16DE"/>
    <w:p w:rsidR="00DF16DE" w:rsidRDefault="00DF16DE" w:rsidP="00DF16DE">
      <w:pPr>
        <w:pStyle w:val="Quote"/>
      </w:pPr>
      <w:r>
        <w:t xml:space="preserve">The distribution of primes would be an </w:t>
      </w:r>
      <w:r w:rsidR="007C7A74">
        <w:t xml:space="preserve">ideal example of what could </w:t>
      </w:r>
      <w:r>
        <w:t xml:space="preserve">be called synthetic </w:t>
      </w:r>
      <w:r>
        <w:rPr>
          <w:i/>
        </w:rPr>
        <w:t>a priori</w:t>
      </w:r>
      <w:r>
        <w:t>, for one can say that it is at any rate not discoverable by an analysis of the concept of a prime number.</w:t>
      </w:r>
      <w:r w:rsidR="001F1DFF">
        <w:rPr>
          <w:rStyle w:val="FootnoteReference"/>
        </w:rPr>
        <w:footnoteReference w:id="58"/>
      </w:r>
    </w:p>
    <w:p w:rsidR="00DF16DE" w:rsidRDefault="00DF16DE" w:rsidP="00DF16DE"/>
    <w:p w:rsidR="00723C4D" w:rsidRDefault="00A70303" w:rsidP="00DF16DE">
      <w:r>
        <w:t xml:space="preserve">Are these remarks evidence that Wittgenstein regarded arithmetic as synthetic a priori? No, like the other passages cited by Gier in support of this reading, these remarks show, first that Wittgenstein was emphatic in his rejection of the view that arithmetical statements are analytic and second that, because of his insistence on this point, he was sympathetic to those who are tempted to regard them as synthetic a priori. But notice </w:t>
      </w:r>
      <w:r w:rsidR="00DC44DD">
        <w:t>that every time he describes arithmetic propositions as synthetic a priori, he qualifies it in some way</w:t>
      </w:r>
      <w:r>
        <w:t xml:space="preserve">: ‘it </w:t>
      </w:r>
      <w:r w:rsidRPr="00DC44DD">
        <w:rPr>
          <w:i/>
        </w:rPr>
        <w:t>can understandably be called</w:t>
      </w:r>
      <w:r>
        <w:t xml:space="preserve"> a synthetic </w:t>
      </w:r>
      <w:r>
        <w:rPr>
          <w:i/>
        </w:rPr>
        <w:t>a priori</w:t>
      </w:r>
      <w:r>
        <w:t xml:space="preserve"> proposition’, it ‘</w:t>
      </w:r>
      <w:r w:rsidRPr="00A70303">
        <w:rPr>
          <w:i/>
        </w:rPr>
        <w:t>might perhaps</w:t>
      </w:r>
      <w:r>
        <w:t xml:space="preserve"> be said’, ‘their </w:t>
      </w:r>
      <w:r>
        <w:lastRenderedPageBreak/>
        <w:t>being synthetic (</w:t>
      </w:r>
      <w:r w:rsidRPr="00A70303">
        <w:rPr>
          <w:i/>
        </w:rPr>
        <w:t>in this sense</w:t>
      </w:r>
      <w:r>
        <w:t>)’</w:t>
      </w:r>
      <w:r w:rsidR="00DC44DD">
        <w:t xml:space="preserve">, ‘an ideal example of what </w:t>
      </w:r>
      <w:r w:rsidR="00DC44DD" w:rsidRPr="00DC44DD">
        <w:rPr>
          <w:i/>
        </w:rPr>
        <w:t>could be called</w:t>
      </w:r>
      <w:r w:rsidR="00DC44DD">
        <w:t xml:space="preserve"> synthetic </w:t>
      </w:r>
      <w:r w:rsidR="00DC44DD">
        <w:rPr>
          <w:i/>
        </w:rPr>
        <w:t xml:space="preserve">a priori’. </w:t>
      </w:r>
      <w:r w:rsidR="00DC44DD">
        <w:t>Like the quotations discussed above – and, indeed, like, even, his response to Schlick about Husserl – what these remarks show is that Wittgenstein felt he understood why people might want to say that arithmetical statements were synthetic a priori, why they might be tempted to place them in a place midway between th</w:t>
      </w:r>
      <w:r w:rsidR="00723C4D">
        <w:t>e grammatical and the material.</w:t>
      </w:r>
    </w:p>
    <w:p w:rsidR="00723C4D" w:rsidRDefault="00723C4D" w:rsidP="00DF16DE"/>
    <w:p w:rsidR="00843A71" w:rsidRDefault="00723C4D" w:rsidP="00DF16DE">
      <w:r>
        <w:t>The reason h</w:t>
      </w:r>
      <w:r w:rsidR="00DC44DD">
        <w:t xml:space="preserve">e </w:t>
      </w:r>
      <w:r>
        <w:t xml:space="preserve">felt he </w:t>
      </w:r>
      <w:r w:rsidR="00DC44DD">
        <w:t>understood this</w:t>
      </w:r>
      <w:r w:rsidR="00A508F8">
        <w:t>, I believe,</w:t>
      </w:r>
      <w:r w:rsidR="00DC44DD">
        <w:t xml:space="preserve"> </w:t>
      </w:r>
      <w:r>
        <w:t xml:space="preserve">is that </w:t>
      </w:r>
      <w:r w:rsidR="00DC44DD">
        <w:t xml:space="preserve">he </w:t>
      </w:r>
      <w:r w:rsidR="00A508F8">
        <w:t xml:space="preserve">considered </w:t>
      </w:r>
      <w:r w:rsidR="00DC44DD">
        <w:t xml:space="preserve">himself </w:t>
      </w:r>
      <w:r w:rsidR="00A508F8">
        <w:t>to have</w:t>
      </w:r>
      <w:r w:rsidR="00DC44DD">
        <w:t xml:space="preserve"> succumbe</w:t>
      </w:r>
      <w:r w:rsidR="00A508F8">
        <w:t xml:space="preserve">d to this </w:t>
      </w:r>
      <w:r>
        <w:t>temptation</w:t>
      </w:r>
      <w:r w:rsidR="00A508F8">
        <w:t xml:space="preserve"> at the time</w:t>
      </w:r>
      <w:r w:rsidR="00843A71">
        <w:t xml:space="preserve"> he wrote the remarks on phenomenology that appear in </w:t>
      </w:r>
      <w:r w:rsidR="00843A71">
        <w:rPr>
          <w:i/>
        </w:rPr>
        <w:t>Philosophical Remarks</w:t>
      </w:r>
      <w:r w:rsidR="00A508F8">
        <w:t xml:space="preserve">. This </w:t>
      </w:r>
      <w:r w:rsidR="00843A71">
        <w:t>brings us back to some of Spiegelberg’s questions:</w:t>
      </w:r>
    </w:p>
    <w:p w:rsidR="00843A71" w:rsidRDefault="00843A71" w:rsidP="00DF16DE"/>
    <w:p w:rsidR="00843A71" w:rsidRDefault="00843A71" w:rsidP="00843A71">
      <w:pPr>
        <w:pStyle w:val="Quote"/>
      </w:pPr>
      <w:r>
        <w:t>1. What did Wittgenstein really mean by “</w:t>
      </w:r>
      <w:r w:rsidRPr="00234DE4">
        <w:t>Phänomenologie</w:t>
      </w:r>
      <w:r>
        <w:t>”?</w:t>
      </w:r>
    </w:p>
    <w:p w:rsidR="00843A71" w:rsidRDefault="00843A71" w:rsidP="00843A71">
      <w:pPr>
        <w:ind w:left="284"/>
      </w:pPr>
      <w:r>
        <w:t>2. When did he adopt it? For what reasons? What were his relations to the Phenomenological Movement of the time?</w:t>
      </w:r>
    </w:p>
    <w:p w:rsidR="00843A71" w:rsidRDefault="00843A71" w:rsidP="00843A71">
      <w:pPr>
        <w:ind w:firstLine="284"/>
      </w:pPr>
      <w:r>
        <w:t xml:space="preserve">3. How far did he abandon this </w:t>
      </w:r>
      <w:r w:rsidRPr="00234DE4">
        <w:t>Phänomenologie</w:t>
      </w:r>
      <w:r>
        <w:t>? When? For what reasons?</w:t>
      </w:r>
    </w:p>
    <w:p w:rsidR="00843A71" w:rsidRDefault="00843A71" w:rsidP="00DF16DE"/>
    <w:p w:rsidR="00843A71" w:rsidRDefault="00843A71" w:rsidP="00DF16DE">
      <w:r>
        <w:t>Briefly, my answers to the chronological questions are that Wittgenstein adopted phenomenology sometime in the spring of 1929 and that he abandoned it in October 1929</w:t>
      </w:r>
      <w:r w:rsidR="00B803C2">
        <w:t>. After this very brief period</w:t>
      </w:r>
      <w:r>
        <w:t xml:space="preserve">, </w:t>
      </w:r>
      <w:r w:rsidR="00B803C2">
        <w:t xml:space="preserve">during which his </w:t>
      </w:r>
      <w:r w:rsidR="00562274">
        <w:t>position</w:t>
      </w:r>
      <w:r w:rsidR="00B803C2">
        <w:t xml:space="preserve"> came, I believe, rather close to </w:t>
      </w:r>
      <w:r w:rsidR="00562274">
        <w:t>H</w:t>
      </w:r>
      <w:r w:rsidR="00B803C2">
        <w:t xml:space="preserve">usserlian phenomenology, </w:t>
      </w:r>
      <w:r>
        <w:t xml:space="preserve">he </w:t>
      </w:r>
      <w:r w:rsidR="00B803C2">
        <w:t xml:space="preserve">switched to the </w:t>
      </w:r>
      <w:r>
        <w:t xml:space="preserve">view </w:t>
      </w:r>
      <w:r w:rsidR="00B803C2">
        <w:t>found in the Big Typescript/</w:t>
      </w:r>
      <w:r w:rsidR="00B803C2">
        <w:rPr>
          <w:i/>
        </w:rPr>
        <w:t xml:space="preserve">Philosophical Grammar </w:t>
      </w:r>
      <w:r w:rsidR="00B803C2">
        <w:t xml:space="preserve">that is </w:t>
      </w:r>
      <w:r>
        <w:t>summed up in the slogan ‘phenomenology is grammar’</w:t>
      </w:r>
      <w:r w:rsidR="00B803C2">
        <w:t xml:space="preserve">. This slogan </w:t>
      </w:r>
      <w:r>
        <w:t xml:space="preserve">I take to mean something like: the problems </w:t>
      </w:r>
      <w:r w:rsidR="002871DB">
        <w:t xml:space="preserve">that one might be tempted to </w:t>
      </w:r>
      <w:r>
        <w:t xml:space="preserve">solve with phenomenology are better addressed through </w:t>
      </w:r>
      <w:r w:rsidR="002871DB">
        <w:t xml:space="preserve">an analysis of </w:t>
      </w:r>
      <w:r>
        <w:t>grammar.</w:t>
      </w:r>
    </w:p>
    <w:p w:rsidR="00843A71" w:rsidRDefault="00843A71" w:rsidP="00DF16DE"/>
    <w:p w:rsidR="001645B4" w:rsidRDefault="00843A71" w:rsidP="00DF16DE">
      <w:r>
        <w:t xml:space="preserve">As for what he meant by ‘phenomenology’, I think the key </w:t>
      </w:r>
      <w:r w:rsidR="001645B4">
        <w:t>to this</w:t>
      </w:r>
      <w:r>
        <w:t xml:space="preserve"> is contained in his remark to Schlick about Husserl</w:t>
      </w:r>
      <w:r w:rsidR="001F1F65">
        <w:t xml:space="preserve"> and his later remark from </w:t>
      </w:r>
      <w:r w:rsidR="001F1F65">
        <w:rPr>
          <w:i/>
        </w:rPr>
        <w:t>On Colour</w:t>
      </w:r>
      <w:r w:rsidR="00B803C2">
        <w:t>. I.e.,</w:t>
      </w:r>
      <w:r>
        <w:t xml:space="preserve"> what Wittgenstein meant by ‘phenomenology’ in </w:t>
      </w:r>
      <w:r w:rsidR="00AE0F9B">
        <w:t xml:space="preserve">(the first </w:t>
      </w:r>
      <w:r w:rsidR="005B3457">
        <w:t xml:space="preserve">nine months of) </w:t>
      </w:r>
      <w:r>
        <w:t xml:space="preserve">1929 was </w:t>
      </w:r>
      <w:r w:rsidR="001F1F65">
        <w:t xml:space="preserve">something that was neither grammatical nor material, a ‘third possibility’ that was </w:t>
      </w:r>
      <w:r>
        <w:t xml:space="preserve">midway between logic and science. It was not identical with Kant’s synthetic a priori, but might, I think, be characterised </w:t>
      </w:r>
      <w:r w:rsidR="00746A41">
        <w:t xml:space="preserve">rather </w:t>
      </w:r>
      <w:r>
        <w:t>as the ‘analytic a posteriori’</w:t>
      </w:r>
      <w:r w:rsidR="001F1F65">
        <w:t>.</w:t>
      </w:r>
      <w:r w:rsidR="002871DB">
        <w:rPr>
          <w:rStyle w:val="FootnoteReference"/>
        </w:rPr>
        <w:footnoteReference w:id="59"/>
      </w:r>
      <w:r w:rsidR="00746A41">
        <w:t xml:space="preserve"> </w:t>
      </w:r>
    </w:p>
    <w:p w:rsidR="001645B4" w:rsidRDefault="001645B4" w:rsidP="00DF16DE"/>
    <w:p w:rsidR="001645B4" w:rsidRDefault="001645B4" w:rsidP="00DF16DE">
      <w:r>
        <w:t xml:space="preserve">That name is suggested by some remarks Wittgenstein makes </w:t>
      </w:r>
      <w:r w:rsidR="00644F7B">
        <w:t>in</w:t>
      </w:r>
      <w:r>
        <w:t xml:space="preserve"> his </w:t>
      </w:r>
      <w:r w:rsidR="009E5107">
        <w:t>1929 paper,</w:t>
      </w:r>
      <w:r w:rsidR="00B803C2">
        <w:t xml:space="preserve"> ‘Some Remarks on Logical Form’,</w:t>
      </w:r>
      <w:r w:rsidR="009E5107">
        <w:rPr>
          <w:rStyle w:val="FootnoteReference"/>
        </w:rPr>
        <w:footnoteReference w:id="60"/>
      </w:r>
      <w:r w:rsidR="00A774CE">
        <w:t xml:space="preserve"> </w:t>
      </w:r>
      <w:r w:rsidR="00B803C2">
        <w:t xml:space="preserve">which, to a large extent, is a </w:t>
      </w:r>
      <w:r w:rsidR="00A774CE">
        <w:t>respon</w:t>
      </w:r>
      <w:r w:rsidR="00B803C2">
        <w:t>se</w:t>
      </w:r>
      <w:r w:rsidR="00A774CE">
        <w:t xml:space="preserve"> to </w:t>
      </w:r>
      <w:r w:rsidR="00B803C2">
        <w:t xml:space="preserve">the </w:t>
      </w:r>
      <w:r w:rsidR="00A774CE">
        <w:t xml:space="preserve">penetrating criticisms of the </w:t>
      </w:r>
      <w:r w:rsidR="00A774CE">
        <w:rPr>
          <w:i/>
        </w:rPr>
        <w:t>Tractatus</w:t>
      </w:r>
      <w:r w:rsidR="00A774CE">
        <w:t xml:space="preserve"> </w:t>
      </w:r>
      <w:r w:rsidR="00B803C2">
        <w:t xml:space="preserve">view of logical necessity </w:t>
      </w:r>
      <w:r w:rsidR="00A774CE">
        <w:t xml:space="preserve">that Frank Ramsey had made in his review of the book for </w:t>
      </w:r>
      <w:r w:rsidR="00A774CE">
        <w:rPr>
          <w:i/>
        </w:rPr>
        <w:t>Mind</w:t>
      </w:r>
      <w:r w:rsidR="00A774CE">
        <w:t>.</w:t>
      </w:r>
      <w:r w:rsidR="00A774CE">
        <w:rPr>
          <w:rStyle w:val="FootnoteReference"/>
        </w:rPr>
        <w:footnoteReference w:id="61"/>
      </w:r>
      <w:r w:rsidR="00A774CE">
        <w:t xml:space="preserve"> Re</w:t>
      </w:r>
      <w:r w:rsidR="00B803C2">
        <w:t>garding</w:t>
      </w:r>
      <w:r w:rsidR="00A774CE">
        <w:t xml:space="preserve"> Wittgenstein’s claim in the </w:t>
      </w:r>
      <w:r w:rsidR="00A774CE">
        <w:rPr>
          <w:i/>
        </w:rPr>
        <w:t>Tractatus</w:t>
      </w:r>
      <w:r w:rsidR="00A774CE">
        <w:t xml:space="preserve"> that (in Ramsey’s words) ‘the only necessity is that of a tautology, the only impossibility that of contradiction’, </w:t>
      </w:r>
      <w:r w:rsidR="00241FB8">
        <w:t>Ramsey says:</w:t>
      </w:r>
    </w:p>
    <w:p w:rsidR="00241FB8" w:rsidRDefault="00241FB8" w:rsidP="00DF16DE"/>
    <w:p w:rsidR="00241FB8" w:rsidRDefault="00241FB8" w:rsidP="00241FB8">
      <w:pPr>
        <w:pStyle w:val="Quote"/>
      </w:pPr>
      <w:r>
        <w:t xml:space="preserve">There is great difficulty in holding this; for Mr Wittgenstein admits that a point in the visual field </w:t>
      </w:r>
      <w:r>
        <w:rPr>
          <w:i/>
        </w:rPr>
        <w:t>cannot</w:t>
      </w:r>
      <w:r>
        <w:t xml:space="preserve"> be both red and blue… Hence he says that ‘This is both red and </w:t>
      </w:r>
      <w:r>
        <w:lastRenderedPageBreak/>
        <w:t>blue’ is a contradiction. This implies that the apparently simple concepts red, blue … are really complex and formally incompatible. He tried to show how this may be, by analysing them in terms of vibrations. But even supposing that the physic</w:t>
      </w:r>
      <w:r w:rsidR="009044EF">
        <w:t>ist thus provides an analysis of</w:t>
      </w:r>
      <w:r>
        <w:t xml:space="preserve"> what we mean by ‘red’, Mr Wittgenstein is only reducing the difficulty to that of the </w:t>
      </w:r>
      <w:r>
        <w:rPr>
          <w:i/>
        </w:rPr>
        <w:t>necessary</w:t>
      </w:r>
      <w:r>
        <w:t xml:space="preserve"> properties of space, time, and matter or the ether.</w:t>
      </w:r>
      <w:r>
        <w:rPr>
          <w:rStyle w:val="FootnoteReference"/>
        </w:rPr>
        <w:footnoteReference w:id="62"/>
      </w:r>
    </w:p>
    <w:p w:rsidR="00241FB8" w:rsidRDefault="00241FB8" w:rsidP="00241FB8"/>
    <w:p w:rsidR="00241FB8" w:rsidRDefault="00241FB8" w:rsidP="00241FB8">
      <w:r>
        <w:t xml:space="preserve">The statement ‘This is red and this is blue’ is </w:t>
      </w:r>
      <w:r>
        <w:rPr>
          <w:i/>
        </w:rPr>
        <w:t>necessarily</w:t>
      </w:r>
      <w:r>
        <w:t xml:space="preserve"> false, and yet it is not a contradiction as the </w:t>
      </w:r>
      <w:r>
        <w:rPr>
          <w:i/>
        </w:rPr>
        <w:t>Tractatus</w:t>
      </w:r>
      <w:r>
        <w:t xml:space="preserve"> understands that term, because it is of the form ‘p and q’, not ‘p and not-p’. In  proposition 6.3751, Wittgenstein had inferred from this that ‘This is red’ and ‘This is blue’ could not be elementary positions and, as Ramsey mentions, attempted to show how they might be further analysed</w:t>
      </w:r>
      <w:r w:rsidR="00B803C2">
        <w:t xml:space="preserve"> by appealing to a physical theory of colour that sees different colours as corresponding to, and accounted by, different velocities of particles of light</w:t>
      </w:r>
      <w:r>
        <w:t>.</w:t>
      </w:r>
      <w:r w:rsidR="00B803C2">
        <w:rPr>
          <w:rStyle w:val="FootnoteReference"/>
        </w:rPr>
        <w:footnoteReference w:id="63"/>
      </w:r>
      <w:r>
        <w:t xml:space="preserve"> What Ramsey points out is that this manoeuvre cannot work; whether the sentences concern colours, velocities of particles or positions of particles, the compound still comes out as of the form ‘p and q’, not ‘p and not-p’.</w:t>
      </w:r>
    </w:p>
    <w:p w:rsidR="00241FB8" w:rsidRDefault="00241FB8" w:rsidP="00241FB8"/>
    <w:p w:rsidR="00B459E0" w:rsidRDefault="009044EF" w:rsidP="00241FB8">
      <w:r>
        <w:t>In ‘Some Remarks on Logical Form’, Wittgenstein accepts that colour ascriptions are elementary and that ‘This is red and blue’ does not express something that could possibly be true. He therefore has to give up the claim that all logical impossibilities are contradictions of the form ‘p and not-p’</w:t>
      </w:r>
      <w:r w:rsidR="00AB1E16">
        <w:t xml:space="preserve">, and to accept (what in the </w:t>
      </w:r>
      <w:r w:rsidR="00AB1E16">
        <w:rPr>
          <w:i/>
        </w:rPr>
        <w:t>Tractatus</w:t>
      </w:r>
      <w:r w:rsidR="00AB1E16">
        <w:t xml:space="preserve"> he had explicitly rejected), that the truth or falsity of one elementary proposition might logically imply the truth or falsity of another</w:t>
      </w:r>
      <w:r>
        <w:t xml:space="preserve">. </w:t>
      </w:r>
      <w:r w:rsidR="00AB1E16">
        <w:t xml:space="preserve">For example, from the truth of ‘This is red’ we can infer the falsity of ‘This is blue’, </w:t>
      </w:r>
      <w:r w:rsidR="00AB1E16">
        <w:lastRenderedPageBreak/>
        <w:t>from the truth of ‘This is 6 inches long’ we can infer the falsity of ‘This is 7 inches long’, and so on. In</w:t>
      </w:r>
      <w:r w:rsidR="00B459E0">
        <w:t>, e.g.,</w:t>
      </w:r>
      <w:r w:rsidR="00AB1E16">
        <w:t xml:space="preserve"> statements of colour, length, </w:t>
      </w:r>
      <w:r w:rsidR="00B459E0">
        <w:t>time, we (a</w:t>
      </w:r>
      <w:r w:rsidR="00AB1E16">
        <w:t>s he put it in conversation with the Vienna Circle</w:t>
      </w:r>
      <w:r w:rsidR="00B459E0">
        <w:t>)</w:t>
      </w:r>
      <w:r w:rsidR="00AB1E16">
        <w:t xml:space="preserve"> </w:t>
      </w:r>
      <w:r w:rsidR="00B459E0">
        <w:t xml:space="preserve">do not lay </w:t>
      </w:r>
      <w:r w:rsidR="00AB1E16">
        <w:t xml:space="preserve">a single proposition against reality, we lay a </w:t>
      </w:r>
      <w:r w:rsidR="00AB1E16">
        <w:rPr>
          <w:i/>
        </w:rPr>
        <w:t xml:space="preserve">system </w:t>
      </w:r>
      <w:r w:rsidR="00AB1E16">
        <w:t>of propositions against reality</w:t>
      </w:r>
      <w:r w:rsidR="00B459E0">
        <w:t>: ‘from the existence of one state of affairs the non-existence of all the other states of affairs described by this system of proposition can be inferred’.</w:t>
      </w:r>
      <w:r w:rsidR="00B459E0">
        <w:rPr>
          <w:rStyle w:val="FootnoteReference"/>
        </w:rPr>
        <w:footnoteReference w:id="64"/>
      </w:r>
    </w:p>
    <w:p w:rsidR="00B459E0" w:rsidRDefault="00B459E0" w:rsidP="00241FB8"/>
    <w:p w:rsidR="00644F7B" w:rsidRDefault="00B459E0" w:rsidP="00241FB8">
      <w:r>
        <w:t xml:space="preserve">In ‘Some Remarks on Logical Form’ </w:t>
      </w:r>
      <w:r w:rsidR="00CC2BC0">
        <w:t>Wittgenstein</w:t>
      </w:r>
      <w:r>
        <w:t xml:space="preserve"> discuss</w:t>
      </w:r>
      <w:r w:rsidR="00644F7B">
        <w:t>es</w:t>
      </w:r>
      <w:r>
        <w:t xml:space="preserve"> how this new view of elementary propositions affects the use of truth tables to represent truth-possibilities, </w:t>
      </w:r>
      <w:r w:rsidR="00644F7B">
        <w:t>arguing</w:t>
      </w:r>
      <w:r>
        <w:t xml:space="preserve"> that in some cases the t</w:t>
      </w:r>
      <w:r w:rsidR="009044EF">
        <w:t xml:space="preserve">ruth tables of two propositions have only three rows: ‘p and not-q’, ‘not-p and q’ and ‘not-p and not-q’. In </w:t>
      </w:r>
      <w:r>
        <w:t>those c</w:t>
      </w:r>
      <w:r w:rsidR="009044EF">
        <w:t xml:space="preserve">ases, the top line, ‘p and q’, disappears, since it does </w:t>
      </w:r>
      <w:r w:rsidR="009044EF" w:rsidRPr="00CC2BC0">
        <w:t>not</w:t>
      </w:r>
      <w:r w:rsidR="009044EF">
        <w:t xml:space="preserve"> represent a possible state of affairs. But how do we know </w:t>
      </w:r>
      <w:r w:rsidR="009044EF" w:rsidRPr="00CC2BC0">
        <w:t>which</w:t>
      </w:r>
      <w:r w:rsidR="009044EF">
        <w:t xml:space="preserve"> truth tables have only three lines? It is this question that sends Wittgenstein in the direction of phenomenology, or what I </w:t>
      </w:r>
      <w:r w:rsidR="00E05E93">
        <w:t xml:space="preserve">have </w:t>
      </w:r>
      <w:r w:rsidR="009044EF">
        <w:t xml:space="preserve">called the ‘analytic a posteriori’. </w:t>
      </w:r>
      <w:r w:rsidR="00644F7B">
        <w:t>Near the beginning of ‘Some Remarks on Logical Form’</w:t>
      </w:r>
      <w:r w:rsidR="00065025">
        <w:t>,</w:t>
      </w:r>
      <w:r w:rsidR="00644F7B">
        <w:t xml:space="preserve"> Wittgenstein describes the ‘task of the theory of knowledge’ to be the finding of atomic propositions and the understanding of ‘their construction out of the words or symbols’. </w:t>
      </w:r>
      <w:r w:rsidR="00644F7B">
        <w:rPr>
          <w:rStyle w:val="FootnoteReference"/>
        </w:rPr>
        <w:footnoteReference w:id="65"/>
      </w:r>
      <w:r w:rsidR="00644F7B">
        <w:t xml:space="preserve"> The way to accomplish this, he suggests, is ‘to express in an appropriate symbolism what in ordinary language leads to endless misunderstandings’. Where ordinary language disguises logical structure, ‘we must replace it by a symbolism which gives a clear picture of the logical structure’. He goes on:</w:t>
      </w:r>
    </w:p>
    <w:p w:rsidR="00644F7B" w:rsidRDefault="00644F7B" w:rsidP="00241FB8"/>
    <w:p w:rsidR="00644F7B" w:rsidRDefault="00065025" w:rsidP="00644F7B">
      <w:pPr>
        <w:pStyle w:val="Quote"/>
      </w:pPr>
      <w:r>
        <w:t>Now we can only substitute a cl</w:t>
      </w:r>
      <w:r w:rsidR="00644F7B">
        <w:t>ear symbolism for the unprecise one by inspecting the phenomena which we want to describe, thus trying to understand their logica</w:t>
      </w:r>
      <w:r w:rsidR="00EB5983">
        <w:t>l</w:t>
      </w:r>
      <w:r w:rsidR="00644F7B">
        <w:t xml:space="preserve"> multiplicity. That is to say, we can only arrive at a correct analysis by, what might be </w:t>
      </w:r>
      <w:r w:rsidR="00644F7B">
        <w:lastRenderedPageBreak/>
        <w:t>called, the logical investigation of the phenomena themselves</w:t>
      </w:r>
      <w:r w:rsidR="00BF35A2">
        <w:t xml:space="preserve">, i.e. in </w:t>
      </w:r>
      <w:r w:rsidR="00E16314">
        <w:t>a</w:t>
      </w:r>
      <w:r>
        <w:t xml:space="preserve"> </w:t>
      </w:r>
      <w:r w:rsidR="00E16314">
        <w:t xml:space="preserve">certain sense </w:t>
      </w:r>
      <w:r w:rsidR="00E16314">
        <w:rPr>
          <w:i/>
        </w:rPr>
        <w:t>a posteriori</w:t>
      </w:r>
      <w:r w:rsidR="00E16314">
        <w:t xml:space="preserve">, and not by conjecturing about </w:t>
      </w:r>
      <w:r w:rsidR="00E16314">
        <w:rPr>
          <w:i/>
        </w:rPr>
        <w:t>a priori</w:t>
      </w:r>
      <w:r w:rsidR="00E16314">
        <w:t xml:space="preserve"> standpoint</w:t>
      </w:r>
      <w:r>
        <w:t>… An atomic form cannot be foreseen. And it would be surprising if the actual phenomena had nothing more to teach us about their structure.</w:t>
      </w:r>
      <w:r>
        <w:rPr>
          <w:rStyle w:val="FootnoteReference"/>
        </w:rPr>
        <w:footnoteReference w:id="66"/>
      </w:r>
    </w:p>
    <w:p w:rsidR="00065025" w:rsidRDefault="00065025" w:rsidP="00065025"/>
    <w:p w:rsidR="009646FA" w:rsidRDefault="00065025" w:rsidP="00EB5983">
      <w:r>
        <w:t>Once we have learned, ‘</w:t>
      </w:r>
      <w:r w:rsidR="00EB5983">
        <w:t xml:space="preserve">in </w:t>
      </w:r>
      <w:r>
        <w:t xml:space="preserve">a certain sense </w:t>
      </w:r>
      <w:r>
        <w:rPr>
          <w:i/>
        </w:rPr>
        <w:t>a posteriori</w:t>
      </w:r>
      <w:r>
        <w:t xml:space="preserve">’, </w:t>
      </w:r>
      <w:r w:rsidR="00EB5983">
        <w:t>about the structure of phenomena, the structure of appearance, we will know the rules of syntax that prevent such combinations as ‘This is red and blue’, and thus know which lines on certain truth tables have to be left out. ‘Such rules,’ Wittgenstein says at the end of the paper, ‘</w:t>
      </w:r>
      <w:r w:rsidR="009646FA">
        <w:t>cannot be laid down until we have actually reached the ultimate analysis of the phenomena in question. This, as we all know, has not yet been achieved.</w:t>
      </w:r>
      <w:r w:rsidR="00EB5983">
        <w:t>’</w:t>
      </w:r>
      <w:r w:rsidR="00C27D00">
        <w:rPr>
          <w:rStyle w:val="FootnoteReference"/>
        </w:rPr>
        <w:footnoteReference w:id="67"/>
      </w:r>
    </w:p>
    <w:p w:rsidR="00CC2BC0" w:rsidRDefault="00CC2BC0" w:rsidP="0001219D"/>
    <w:p w:rsidR="0001219D" w:rsidRDefault="00CC2BC0" w:rsidP="0001219D">
      <w:r>
        <w:t xml:space="preserve">Wittgenstein’s view at this time seems to have been this: </w:t>
      </w:r>
      <w:r w:rsidR="00EB5983">
        <w:t>I</w:t>
      </w:r>
      <w:r w:rsidR="0001219D">
        <w:t>f it</w:t>
      </w:r>
      <w:r w:rsidR="00B459E0">
        <w:t xml:space="preserve"> i</w:t>
      </w:r>
      <w:r w:rsidR="0001219D">
        <w:t xml:space="preserve">s impossible that something can be both red and blue, then it ought, in a ‘perfect notation’, to be impossible to </w:t>
      </w:r>
      <w:r w:rsidR="0001219D">
        <w:rPr>
          <w:i/>
        </w:rPr>
        <w:t>say</w:t>
      </w:r>
      <w:r w:rsidR="0001219D">
        <w:t xml:space="preserve"> that it is both red and blue. As it is not impossible to say that in our ordinary language, it follows that our ordinary language is</w:t>
      </w:r>
      <w:r>
        <w:t>, in this sense,</w:t>
      </w:r>
      <w:r w:rsidR="0001219D">
        <w:t xml:space="preserve"> deficient,</w:t>
      </w:r>
      <w:r w:rsidR="00EB5983">
        <w:t xml:space="preserve"> an</w:t>
      </w:r>
      <w:r>
        <w:t>d we need to look elsewhere;</w:t>
      </w:r>
      <w:r w:rsidR="00EB5983">
        <w:t xml:space="preserve"> we need to find a </w:t>
      </w:r>
      <w:r w:rsidR="0001219D">
        <w:t>language the syntactical rules of which reflect the ‘ultimate analysis of the phenomena in question’.</w:t>
      </w:r>
      <w:r w:rsidR="00B459E0">
        <w:t xml:space="preserve"> In other words, we should look for the syntactical rules that tell us what is or is not possible in the language of phenomenological description.</w:t>
      </w:r>
    </w:p>
    <w:p w:rsidR="0001219D" w:rsidRDefault="0001219D" w:rsidP="0001219D"/>
    <w:p w:rsidR="009E505A" w:rsidRDefault="0001219D" w:rsidP="009E505A">
      <w:r>
        <w:t xml:space="preserve">Thus, in </w:t>
      </w:r>
      <w:r>
        <w:rPr>
          <w:i/>
        </w:rPr>
        <w:t>Philosophical Remarks</w:t>
      </w:r>
      <w:r>
        <w:t xml:space="preserve">, we find Wittgenstein seriously entertaining the idea of a ‘phenomenal language’, which would be more fundamental, more primary than our ordinary, </w:t>
      </w:r>
      <w:r>
        <w:lastRenderedPageBreak/>
        <w:t xml:space="preserve">secondary physical language. This brings him (and therein lies the </w:t>
      </w:r>
      <w:r w:rsidR="00343F46">
        <w:t xml:space="preserve">apparent </w:t>
      </w:r>
      <w:r>
        <w:t>irony I mentioned earlier in Schlick’s contrast between Husserl and Wittgenstein) squarely into the realm of ideas occupied by Husserlian phenomenology.</w:t>
      </w:r>
      <w:r w:rsidR="009E505A">
        <w:t xml:space="preserve"> For the first ten months of 1929, Wittgenstein’s thought moved in a direction strikingly similar to that Husserl’s thinking had taken a few decades earlier as he endeavoured to pursue the ‘</w:t>
      </w:r>
      <w:r w:rsidR="009E505A" w:rsidRPr="00BF35A2">
        <w:t>logical investigation of the phenomena themselves</w:t>
      </w:r>
      <w:r w:rsidR="009E505A">
        <w:t>’ he believed to be necessary for an understanding of the logic of elementary propositions. Like Husserl’s, Wittgenstein’s phenomenology was a search for the essential, the fundamental, the simple. ‘There appear to be simple colours,’ he says in one of his earliest remarks on the subject. ‘Simple as psychological phenomena.’</w:t>
      </w:r>
    </w:p>
    <w:p w:rsidR="009E505A" w:rsidRDefault="009E505A" w:rsidP="009E505A"/>
    <w:p w:rsidR="009E505A" w:rsidRDefault="009E505A" w:rsidP="009E505A">
      <w:pPr>
        <w:pStyle w:val="Quote"/>
      </w:pPr>
      <w:r>
        <w:t>What I need is a psychological or rather phenomenological colour theory, not a physical and equally not a physiological one.</w:t>
      </w:r>
    </w:p>
    <w:p w:rsidR="009E505A" w:rsidRPr="009E505A" w:rsidRDefault="009E505A" w:rsidP="009E505A"/>
    <w:p w:rsidR="009E505A" w:rsidRDefault="009E505A" w:rsidP="009E505A">
      <w:pPr>
        <w:pStyle w:val="Quote"/>
      </w:pPr>
      <w:r>
        <w:t xml:space="preserve">Furthermore, it must be a theory in </w:t>
      </w:r>
      <w:r>
        <w:rPr>
          <w:i/>
        </w:rPr>
        <w:t>pure</w:t>
      </w:r>
      <w:r>
        <w:t xml:space="preserve"> phenomenology in which mention is only made of what is actually perceptible and in which no hypothetical objects – waves, rods, cones and all that – occur.</w:t>
      </w:r>
      <w:r>
        <w:rPr>
          <w:rStyle w:val="FootnoteReference"/>
        </w:rPr>
        <w:footnoteReference w:id="68"/>
      </w:r>
    </w:p>
    <w:p w:rsidR="009E505A" w:rsidRDefault="009E505A" w:rsidP="009E505A"/>
    <w:p w:rsidR="0001219D" w:rsidRPr="009E505A" w:rsidRDefault="009E505A" w:rsidP="0001219D">
      <w:r>
        <w:t>In the original version of this, written in February 1929, Wittgenstein had not used the word ‘phenomenology’; rather, he had spoken of a ‘psychological colour theory’, a ‘</w:t>
      </w:r>
      <w:r>
        <w:rPr>
          <w:i/>
        </w:rPr>
        <w:t>pure</w:t>
      </w:r>
      <w:r>
        <w:t xml:space="preserve"> psychological colour theory’.</w:t>
      </w:r>
      <w:r>
        <w:rPr>
          <w:rStyle w:val="FootnoteReference"/>
        </w:rPr>
        <w:footnoteReference w:id="69"/>
      </w:r>
    </w:p>
    <w:p w:rsidR="00A432EA" w:rsidRDefault="009E505A" w:rsidP="00A432EA">
      <w:r>
        <w:lastRenderedPageBreak/>
        <w:t xml:space="preserve">The move away from psychology to phenomenology had been made earlier by Husserl himself in </w:t>
      </w:r>
      <w:r w:rsidR="006302BF">
        <w:rPr>
          <w:i/>
        </w:rPr>
        <w:t>Logical Investigations</w:t>
      </w:r>
      <w:r w:rsidR="006302BF">
        <w:t xml:space="preserve">, </w:t>
      </w:r>
      <w:r>
        <w:t>the two editions of which, published in</w:t>
      </w:r>
      <w:r w:rsidR="006302BF">
        <w:t>1900 and 1913</w:t>
      </w:r>
      <w:r>
        <w:t xml:space="preserve"> respectively</w:t>
      </w:r>
      <w:r w:rsidR="006302BF">
        <w:t xml:space="preserve">, </w:t>
      </w:r>
      <w:r>
        <w:t xml:space="preserve">offered significantly different answers to the question ‘what is phenomenology’. </w:t>
      </w:r>
      <w:r w:rsidR="006302BF">
        <w:t xml:space="preserve"> In the first, </w:t>
      </w:r>
      <w:r w:rsidR="00D5794C">
        <w:t>Husserl’s</w:t>
      </w:r>
      <w:r w:rsidR="006302BF">
        <w:t xml:space="preserve"> answer was: ‘</w:t>
      </w:r>
      <w:r w:rsidR="006302BF" w:rsidRPr="006302BF">
        <w:t>Phenomenology is descriptive psychology</w:t>
      </w:r>
      <w:r w:rsidR="006302BF">
        <w:t>’</w:t>
      </w:r>
      <w:r w:rsidR="006302BF" w:rsidRPr="006302BF">
        <w:t xml:space="preserve">. </w:t>
      </w:r>
      <w:r w:rsidR="006302BF">
        <w:t>‘</w:t>
      </w:r>
      <w:r w:rsidR="006302BF" w:rsidRPr="006302BF">
        <w:t>Epistemological criticism</w:t>
      </w:r>
      <w:r w:rsidR="006302BF">
        <w:t>,’ he continues,</w:t>
      </w:r>
      <w:r w:rsidR="006302BF" w:rsidRPr="006302BF">
        <w:t xml:space="preserve"> </w:t>
      </w:r>
      <w:r w:rsidR="006302BF">
        <w:t>‘</w:t>
      </w:r>
      <w:r w:rsidR="006302BF" w:rsidRPr="006302BF">
        <w:t>is therefore in essence psychology, or at least only capable of being built on a psychological basis. Pure logic therefore also rests on psychology</w:t>
      </w:r>
      <w:r w:rsidR="006302BF">
        <w:t>’.</w:t>
      </w:r>
      <w:r w:rsidR="00D5794C">
        <w:rPr>
          <w:rStyle w:val="FootnoteReference"/>
        </w:rPr>
        <w:footnoteReference w:id="70"/>
      </w:r>
      <w:r w:rsidR="006302BF">
        <w:t xml:space="preserve"> In answer to the obvious </w:t>
      </w:r>
      <w:r w:rsidR="00A432EA">
        <w:t xml:space="preserve">follow-up question - </w:t>
      </w:r>
      <w:r w:rsidR="006302BF">
        <w:t xml:space="preserve">why, in that case, </w:t>
      </w:r>
      <w:r w:rsidR="00A432EA">
        <w:t xml:space="preserve">does </w:t>
      </w:r>
      <w:r w:rsidR="006302BF">
        <w:t xml:space="preserve">he devote so much space </w:t>
      </w:r>
      <w:r w:rsidR="00D5794C">
        <w:t xml:space="preserve">(247 pages in the English edition) in the ‘prolegomena’ to the book </w:t>
      </w:r>
      <w:r w:rsidR="006302BF">
        <w:t xml:space="preserve">to an attack on ‘psychologism’ – </w:t>
      </w:r>
      <w:r w:rsidR="00A432EA">
        <w:t xml:space="preserve">Husserl replies </w:t>
      </w:r>
      <w:r w:rsidR="006302BF">
        <w:t xml:space="preserve">that, on his view, the foundation that psychology provides for logic is a </w:t>
      </w:r>
      <w:r w:rsidR="006302BF" w:rsidRPr="006302BF">
        <w:rPr>
          <w:i/>
        </w:rPr>
        <w:t>purely descriptive</w:t>
      </w:r>
      <w:r w:rsidR="00A432EA">
        <w:t xml:space="preserve"> and that therefore ‘i</w:t>
      </w:r>
      <w:r w:rsidR="00A432EA" w:rsidRPr="00A432EA">
        <w:t xml:space="preserve">t is </w:t>
      </w:r>
      <w:r w:rsidR="00A432EA" w:rsidRPr="00D5794C">
        <w:rPr>
          <w:i/>
        </w:rPr>
        <w:t>not the full science of psychology that serves as a foundation for pure logic</w:t>
      </w:r>
      <w:r w:rsidR="00A432EA" w:rsidRPr="00A432EA">
        <w:t>, but certain classes of descriptions</w:t>
      </w:r>
      <w:r w:rsidR="00A432EA">
        <w:t>’.</w:t>
      </w:r>
      <w:r w:rsidR="00D5794C">
        <w:rPr>
          <w:rStyle w:val="FootnoteReference"/>
        </w:rPr>
        <w:footnoteReference w:id="71"/>
      </w:r>
      <w:r w:rsidR="00A432EA">
        <w:t xml:space="preserve"> In the second edition, Husserl strives to put more distance between phenomenology and psychology. ‘Phenomenology,’ he now says, ‘is not descriptive psychology’: </w:t>
      </w:r>
    </w:p>
    <w:p w:rsidR="00A432EA" w:rsidRDefault="00A432EA" w:rsidP="00A432EA"/>
    <w:p w:rsidR="00A432EA" w:rsidRDefault="00A432EA" w:rsidP="00A432EA">
      <w:pPr>
        <w:pStyle w:val="Quote"/>
      </w:pPr>
      <w:r>
        <w:t>Its peculiar ‘pure’ description, its contemplation of pure essences on a basis of exemplary individual intuitions of experiences (often freely imagined ones), and its descriptive fixation of the contemplated essences into pure concepts, is no empirical, scientific description. It rather excludes the natural performance of all empirical (naturalistic) apperceptions and positings. Statements of descriptive psychology regarding ‘perceptions’, ‘judgments’, ‘feelings’, ‘volitions’, etc., use such names to refer to the real states of animal organisms in a real natural order.</w:t>
      </w:r>
      <w:r w:rsidR="00D5794C">
        <w:rPr>
          <w:rStyle w:val="FootnoteReference"/>
        </w:rPr>
        <w:footnoteReference w:id="72"/>
      </w:r>
    </w:p>
    <w:p w:rsidR="00A432EA" w:rsidRDefault="00A432EA" w:rsidP="00A432EA"/>
    <w:p w:rsidR="00A432EA" w:rsidRDefault="00A432EA" w:rsidP="00A432EA">
      <w:r>
        <w:t xml:space="preserve">This striving to separate phenomenology from anything empirical </w:t>
      </w:r>
      <w:r w:rsidR="00343F46">
        <w:t xml:space="preserve">led </w:t>
      </w:r>
      <w:r>
        <w:t>Husserl later in his career to invent his own terms – noesis, noemata, hyletic data, etc. – in order to avoid using words that carried with them the assumptions and hypotheses of natural science.</w:t>
      </w:r>
    </w:p>
    <w:p w:rsidR="00A432EA" w:rsidRDefault="00A432EA" w:rsidP="00A432EA"/>
    <w:p w:rsidR="00BF35A2" w:rsidRDefault="00D5794C" w:rsidP="00BF35A2">
      <w:r>
        <w:t xml:space="preserve">Famously, Husserl’s technique for isolating the purely phenomenological, separating it from anything contaminated by the ‘naturalistic attitude’, was </w:t>
      </w:r>
      <w:r w:rsidR="00BC797D">
        <w:t xml:space="preserve">to ‘bracket’ all that we know about the natural world and </w:t>
      </w:r>
      <w:r w:rsidR="00F14882">
        <w:t xml:space="preserve">to </w:t>
      </w:r>
      <w:r w:rsidR="00BC797D">
        <w:t>concentrate only</w:t>
      </w:r>
      <w:r>
        <w:t>, as Wittgenstein had put it,</w:t>
      </w:r>
      <w:r w:rsidR="00BC797D">
        <w:t xml:space="preserve"> on the phenomena </w:t>
      </w:r>
      <w:r w:rsidR="00BC797D">
        <w:rPr>
          <w:i/>
        </w:rPr>
        <w:t>themselves</w:t>
      </w:r>
      <w:r w:rsidR="00BC797D">
        <w:t>, or</w:t>
      </w:r>
      <w:r>
        <w:t>, in Husserl’s words,</w:t>
      </w:r>
      <w:r w:rsidR="00BC797D">
        <w:t xml:space="preserve"> the phenomena </w:t>
      </w:r>
      <w:r w:rsidR="00BC797D">
        <w:rPr>
          <w:i/>
        </w:rPr>
        <w:t>as such</w:t>
      </w:r>
      <w:r w:rsidR="00BC797D">
        <w:t xml:space="preserve">. </w:t>
      </w:r>
      <w:r w:rsidR="00975225">
        <w:t xml:space="preserve">And in Wittgenstein’s brief phenomenological period, we find him doing exactly the same thing. </w:t>
      </w:r>
      <w:r w:rsidR="00BC797D">
        <w:t xml:space="preserve">Wittgenstein’s analogy of the relationship between the </w:t>
      </w:r>
      <w:r w:rsidR="00975225">
        <w:t xml:space="preserve">phenomenological and the naturalistic </w:t>
      </w:r>
      <w:r w:rsidR="00BC797D">
        <w:t>was as follows:</w:t>
      </w:r>
    </w:p>
    <w:p w:rsidR="00BC797D" w:rsidRDefault="00BC797D" w:rsidP="00BF35A2"/>
    <w:p w:rsidR="00BC797D" w:rsidRDefault="00BC797D" w:rsidP="00BC797D">
      <w:pPr>
        <w:pStyle w:val="Quote"/>
      </w:pPr>
      <w:r>
        <w:t>If I compare the facts of immediate experience with the pictures on the screen and the facts of physics with pictures in the film strip, on the film strip there is a present picture and past and future pictures. But on the screen, there is only the present.</w:t>
      </w:r>
      <w:r>
        <w:rPr>
          <w:rStyle w:val="FootnoteReference"/>
        </w:rPr>
        <w:footnoteReference w:id="73"/>
      </w:r>
    </w:p>
    <w:p w:rsidR="00BC797D" w:rsidRDefault="00BC797D" w:rsidP="00BC797D"/>
    <w:p w:rsidR="00753D76" w:rsidRDefault="003044FC" w:rsidP="0001219D">
      <w:r>
        <w:t xml:space="preserve">Put like this, Wittgenstein’s project of phenomenology was to describe what was appearing on the screen without reference to the film strip. </w:t>
      </w:r>
      <w:r w:rsidR="00975225">
        <w:t>Again like Husserl, Wittgenstein found that o</w:t>
      </w:r>
      <w:r>
        <w:t xml:space="preserve">ur ordinary language, mired as it is in the words, assumptions and hypotheses of natural science, is not fit for this task: ‘With our language we find ourselves, so to speak, in the domain of the film, not of the projected picture’ and so ‘we need a way of speaking with </w:t>
      </w:r>
      <w:r>
        <w:lastRenderedPageBreak/>
        <w:t>which we can represent the phenomena of visual space, isolated as such.’</w:t>
      </w:r>
      <w:r>
        <w:rPr>
          <w:rStyle w:val="FootnoteReference"/>
        </w:rPr>
        <w:footnoteReference w:id="74"/>
      </w:r>
      <w:r w:rsidR="00753D76">
        <w:t xml:space="preserve"> </w:t>
      </w:r>
      <w:r>
        <w:t>Thus, ‘phenomenological language isolates visual space and what goes on in it from everything else’.</w:t>
      </w:r>
      <w:r>
        <w:rPr>
          <w:rStyle w:val="FootnoteReference"/>
        </w:rPr>
        <w:footnoteReference w:id="75"/>
      </w:r>
      <w:r>
        <w:t xml:space="preserve"> In the secondary language of physical space, visual space is called subjective</w:t>
      </w:r>
      <w:r w:rsidR="00753D76">
        <w:t>, but in the primary language ‘the representation of visual space is the representation of an object and contains no suggestion of a subject’.</w:t>
      </w:r>
      <w:r w:rsidR="00753D76">
        <w:rPr>
          <w:rStyle w:val="FootnoteReference"/>
        </w:rPr>
        <w:footnoteReference w:id="76"/>
      </w:r>
      <w:r w:rsidR="00753D76">
        <w:t xml:space="preserve"> The guiding thought behind all this is that: ‘Immediate experience cannot contain any contradiction’.</w:t>
      </w:r>
      <w:r w:rsidR="00975225">
        <w:rPr>
          <w:rStyle w:val="FootnoteReference"/>
        </w:rPr>
        <w:footnoteReference w:id="77"/>
      </w:r>
      <w:r w:rsidR="00753D76">
        <w:t xml:space="preserve"> So, if he could, using a phenomenological language, describe phenomena </w:t>
      </w:r>
      <w:r w:rsidR="00753D76">
        <w:rPr>
          <w:i/>
        </w:rPr>
        <w:t>themselves</w:t>
      </w:r>
      <w:r w:rsidR="00753D76">
        <w:t>, without any attempt to explain them or to root them in our knowledge of the physical world, then, he believed, he would at last be able to give the logic of elementary propositions.</w:t>
      </w:r>
      <w:r w:rsidR="00975225">
        <w:rPr>
          <w:rStyle w:val="FootnoteReference"/>
        </w:rPr>
        <w:footnoteReference w:id="78"/>
      </w:r>
    </w:p>
    <w:p w:rsidR="00753D76" w:rsidRDefault="00753D76" w:rsidP="0001219D"/>
    <w:p w:rsidR="00753D76" w:rsidRDefault="00ED4FB5" w:rsidP="0001219D">
      <w:r>
        <w:t xml:space="preserve">Given that these are the views that Wittgenstein expresses in sections V, VII and XXI of </w:t>
      </w:r>
      <w:r>
        <w:rPr>
          <w:i/>
        </w:rPr>
        <w:t>Philosophical Remarks</w:t>
      </w:r>
      <w:r>
        <w:t xml:space="preserve">, it is remarkable that on </w:t>
      </w:r>
      <w:r w:rsidR="00636D1D">
        <w:t xml:space="preserve">the </w:t>
      </w:r>
      <w:r>
        <w:t>very first page</w:t>
      </w:r>
      <w:r w:rsidR="00636D1D">
        <w:t xml:space="preserve"> of the same work there is an explicit rejection of just </w:t>
      </w:r>
      <w:r>
        <w:t xml:space="preserve">those </w:t>
      </w:r>
      <w:r w:rsidR="00636D1D">
        <w:t>v</w:t>
      </w:r>
      <w:r>
        <w:t>iews:</w:t>
      </w:r>
    </w:p>
    <w:p w:rsidR="00ED4FB5" w:rsidRDefault="00ED4FB5" w:rsidP="0001219D"/>
    <w:p w:rsidR="00ED4FB5" w:rsidRPr="00ED4FB5" w:rsidRDefault="00ED4FB5" w:rsidP="00ED4FB5">
      <w:pPr>
        <w:pStyle w:val="Quote"/>
      </w:pPr>
      <w:r>
        <w:t>I do not now have phenomenological language, or ‘primary language’ as I used to ca</w:t>
      </w:r>
      <w:r w:rsidR="00F77A3C">
        <w:t>l</w:t>
      </w:r>
      <w:r>
        <w:t xml:space="preserve">l it, in mind as my goal. I no longer hold it to be necessary. All that is possible and necessary is to separate what is essential from what is inessential in </w:t>
      </w:r>
      <w:r>
        <w:rPr>
          <w:i/>
        </w:rPr>
        <w:t>our</w:t>
      </w:r>
      <w:r>
        <w:t xml:space="preserve"> language.</w:t>
      </w:r>
      <w:r>
        <w:rPr>
          <w:rStyle w:val="FootnoteReference"/>
        </w:rPr>
        <w:footnoteReference w:id="79"/>
      </w:r>
    </w:p>
    <w:p w:rsidR="00ED4FB5" w:rsidRDefault="003044FC" w:rsidP="0001219D">
      <w:r>
        <w:t xml:space="preserve"> </w:t>
      </w:r>
    </w:p>
    <w:p w:rsidR="00ED4FB5" w:rsidRDefault="00F77A3C" w:rsidP="0001219D">
      <w:r>
        <w:lastRenderedPageBreak/>
        <w:t xml:space="preserve">The explanation for the contrast between these remarks and those already quoted lies in the composition of TS 209 and in the fact that in 1929 Wittgenstein’s views were changing very rapidly. </w:t>
      </w:r>
      <w:r w:rsidR="00636D1D">
        <w:t>For, t</w:t>
      </w:r>
      <w:r>
        <w:t xml:space="preserve">hough it appears at the beginning of TS 209 (and hence of </w:t>
      </w:r>
      <w:r>
        <w:rPr>
          <w:i/>
        </w:rPr>
        <w:t>Philosophical Remarks</w:t>
      </w:r>
      <w:r>
        <w:t>), the above passage was written some months later than those quoted earlier. To be more specific, it comes from MS 107, where it is dated 29 November 1929. The earliest remark I know of in which he announces his newfound scepticism about phenomenological language is from the same manuscript volume and dated 20 October 1929</w:t>
      </w:r>
      <w:r w:rsidR="00DE3B8C">
        <w:t>. There he says that ‘the assumption that a phenomenological language would be possible and that on</w:t>
      </w:r>
      <w:r w:rsidR="00636D1D">
        <w:t>ly it would say what we should/m</w:t>
      </w:r>
      <w:r w:rsidR="00DE3B8C">
        <w:t>ust say in philosophy, is – I think – absurd. We must get along with our usual language and only understand it right. That is, we must not allow ourselves to be misled by it into speaking nonsense.’</w:t>
      </w:r>
      <w:r w:rsidR="00DE3B8C">
        <w:rPr>
          <w:rStyle w:val="FootnoteReference"/>
        </w:rPr>
        <w:footnoteReference w:id="80"/>
      </w:r>
    </w:p>
    <w:p w:rsidR="00B7734D" w:rsidRDefault="00B7734D" w:rsidP="0001219D"/>
    <w:p w:rsidR="00B7734D" w:rsidRDefault="00636D1D" w:rsidP="0001219D">
      <w:r>
        <w:t xml:space="preserve">If </w:t>
      </w:r>
      <w:r w:rsidR="00B7734D">
        <w:rPr>
          <w:i/>
        </w:rPr>
        <w:t>Philosophical Remarks</w:t>
      </w:r>
      <w:r w:rsidR="00B7734D">
        <w:t xml:space="preserve"> </w:t>
      </w:r>
      <w:r>
        <w:t xml:space="preserve">is regarded as a book then it would be utterly bizarre that it begins with a repudiation of the very views that it later expounds. But, of course, </w:t>
      </w:r>
      <w:r w:rsidR="00B7734D">
        <w:t xml:space="preserve">TS 209 </w:t>
      </w:r>
      <w:r>
        <w:t xml:space="preserve">was not prepared for publication, it was prepared </w:t>
      </w:r>
      <w:r w:rsidR="00B7734D">
        <w:t xml:space="preserve">as a record of </w:t>
      </w:r>
      <w:r>
        <w:t xml:space="preserve">the work </w:t>
      </w:r>
      <w:r w:rsidR="00B7734D">
        <w:t>he had been doing in 1929</w:t>
      </w:r>
      <w:r>
        <w:t xml:space="preserve">, and, as such, quite naturally </w:t>
      </w:r>
      <w:r w:rsidR="00B7734D">
        <w:t>includ</w:t>
      </w:r>
      <w:r>
        <w:t xml:space="preserve">ed </w:t>
      </w:r>
      <w:r w:rsidR="00B7734D">
        <w:t>the range of views he had adopted during the rapid development of his thinking during this time. Of course, it would have been easier to see the development if he had arranged his remarks chronologically</w:t>
      </w:r>
      <w:r>
        <w:t xml:space="preserve">, but I think he had a strong reason for </w:t>
      </w:r>
      <w:r w:rsidR="00B7734D">
        <w:t>put</w:t>
      </w:r>
      <w:r>
        <w:t>ting</w:t>
      </w:r>
      <w:r w:rsidR="00B7734D">
        <w:t xml:space="preserve"> his rejection of phenomenological language befo</w:t>
      </w:r>
      <w:r>
        <w:t xml:space="preserve">re his advancement of it, namely to indicate the great </w:t>
      </w:r>
      <w:r w:rsidR="00836970">
        <w:t xml:space="preserve">importance he attached to this </w:t>
      </w:r>
      <w:r w:rsidR="00A452E6">
        <w:t xml:space="preserve">particular </w:t>
      </w:r>
      <w:r w:rsidR="00836970">
        <w:t xml:space="preserve">step in </w:t>
      </w:r>
      <w:r>
        <w:t xml:space="preserve">his </w:t>
      </w:r>
      <w:r w:rsidR="00836970">
        <w:t>development.</w:t>
      </w:r>
    </w:p>
    <w:p w:rsidR="00836970" w:rsidRDefault="00836970" w:rsidP="0001219D"/>
    <w:p w:rsidR="00836970" w:rsidRDefault="00836970" w:rsidP="0001219D">
      <w:r>
        <w:lastRenderedPageBreak/>
        <w:t xml:space="preserve">Merrill and Jaakko Hintikka, in their 1986 book, </w:t>
      </w:r>
      <w:r>
        <w:rPr>
          <w:i/>
        </w:rPr>
        <w:t>Investigating Wittgenstein</w:t>
      </w:r>
      <w:r>
        <w:t xml:space="preserve">, have described this abandonment of phenomenological language as </w:t>
      </w:r>
      <w:r w:rsidR="00921EE5">
        <w:t>‘the decisive turning-point in Wittgenstein’s philosophical development in 1929’</w:t>
      </w:r>
      <w:r w:rsidR="00921EE5">
        <w:rPr>
          <w:rStyle w:val="FootnoteReference"/>
        </w:rPr>
        <w:footnoteReference w:id="81"/>
      </w:r>
      <w:r w:rsidR="00921EE5">
        <w:t xml:space="preserve"> and ‘the </w:t>
      </w:r>
      <w:r w:rsidR="00921EE5" w:rsidRPr="00921EE5">
        <w:rPr>
          <w:i/>
        </w:rPr>
        <w:t>only</w:t>
      </w:r>
      <w:r w:rsidR="00921EE5" w:rsidRPr="00921EE5">
        <w:t xml:space="preserve"> initial change in his philosophical position’. </w:t>
      </w:r>
      <w:r w:rsidR="00921EE5">
        <w:t xml:space="preserve">I am inclined to agree with them about the importance of this shift, but reject one of their </w:t>
      </w:r>
      <w:r w:rsidR="00636D1D">
        <w:t xml:space="preserve">main </w:t>
      </w:r>
      <w:r w:rsidR="00921EE5">
        <w:t>reason</w:t>
      </w:r>
      <w:r w:rsidR="00636D1D">
        <w:t>s</w:t>
      </w:r>
      <w:r w:rsidR="00921EE5">
        <w:t xml:space="preserve"> for thinking it so important. For them, the shift in October 1929 represents an abandonment, not only of views that Wittgenstein had expressed in February of that year, but also of the logic of the </w:t>
      </w:r>
      <w:r w:rsidR="00921EE5">
        <w:rPr>
          <w:i/>
        </w:rPr>
        <w:t xml:space="preserve">Tractatus. </w:t>
      </w:r>
      <w:r w:rsidR="00921EE5">
        <w:t xml:space="preserve">They believe that the objects of the </w:t>
      </w:r>
      <w:r w:rsidR="00921EE5">
        <w:rPr>
          <w:i/>
        </w:rPr>
        <w:t>Tractatus</w:t>
      </w:r>
      <w:r w:rsidR="00921EE5">
        <w:t xml:space="preserve"> are the phenomena of immediate experience</w:t>
      </w:r>
      <w:r w:rsidR="00526BC7">
        <w:t xml:space="preserve"> and that the elementary propositions of the same work are statements of phenomenology. So, as Gier has put it, ‘the Hintikkas claim that Wittgenstein’s phenomenology should be dated from 1913-1929, rather than the 1929-1951 which Spiegelberg and I propose’.</w:t>
      </w:r>
      <w:r w:rsidR="00526BC7">
        <w:rPr>
          <w:rStyle w:val="FootnoteReference"/>
        </w:rPr>
        <w:footnoteReference w:id="82"/>
      </w:r>
      <w:r w:rsidR="00526BC7">
        <w:t xml:space="preserve"> I</w:t>
      </w:r>
      <w:r w:rsidR="001202D0">
        <w:t xml:space="preserve">n my view the </w:t>
      </w:r>
      <w:r w:rsidR="00526BC7">
        <w:t>actual dates should be February-October 1929.</w:t>
      </w:r>
    </w:p>
    <w:p w:rsidR="00526BC7" w:rsidRDefault="00526BC7" w:rsidP="0001219D"/>
    <w:p w:rsidR="00526BC7" w:rsidRDefault="00526BC7" w:rsidP="0001219D">
      <w:r>
        <w:t>Little more</w:t>
      </w:r>
      <w:r w:rsidR="00DC5E52">
        <w:t xml:space="preserve">, I think, </w:t>
      </w:r>
      <w:r>
        <w:t xml:space="preserve">is needed to refute the Hintikkas’ view than a consideration of proposition 6.3751 of the </w:t>
      </w:r>
      <w:r>
        <w:rPr>
          <w:i/>
        </w:rPr>
        <w:t>Tractatus</w:t>
      </w:r>
      <w:r>
        <w:t>. For there</w:t>
      </w:r>
      <w:r w:rsidR="00DC5E52">
        <w:t xml:space="preserve">, Wittgenstein explicitly </w:t>
      </w:r>
      <w:r w:rsidR="00DC5E52">
        <w:rPr>
          <w:i/>
        </w:rPr>
        <w:t>rejects</w:t>
      </w:r>
      <w:r w:rsidR="00DC5E52">
        <w:t xml:space="preserve"> the idea that the </w:t>
      </w:r>
      <w:r w:rsidR="001202D0">
        <w:t xml:space="preserve">phenomenological </w:t>
      </w:r>
      <w:r w:rsidR="00DC5E52">
        <w:t xml:space="preserve">statement that it is impossible for two colours to ‘to be in one place in the visual field’ can </w:t>
      </w:r>
      <w:r w:rsidR="00343F46">
        <w:t xml:space="preserve">be </w:t>
      </w:r>
      <w:r w:rsidR="00A452E6">
        <w:t xml:space="preserve">regarded as ‘the logical product of two </w:t>
      </w:r>
      <w:r w:rsidR="00DC5E52">
        <w:t>elementary</w:t>
      </w:r>
      <w:r w:rsidR="00A452E6">
        <w:t xml:space="preserve"> propositions’</w:t>
      </w:r>
      <w:r w:rsidR="00DC5E52">
        <w:t xml:space="preserve">, and suggests, as a possible analysis into </w:t>
      </w:r>
      <w:r w:rsidR="00DC5E52">
        <w:rPr>
          <w:i/>
        </w:rPr>
        <w:t>more</w:t>
      </w:r>
      <w:r w:rsidR="00DC5E52">
        <w:t xml:space="preserve"> elementary propositions, </w:t>
      </w:r>
      <w:r w:rsidR="00A452E6">
        <w:t xml:space="preserve">the </w:t>
      </w:r>
      <w:r w:rsidR="00DC5E52">
        <w:t xml:space="preserve">replacement </w:t>
      </w:r>
      <w:r w:rsidR="00A452E6">
        <w:t xml:space="preserve">of these phenomenological statements </w:t>
      </w:r>
      <w:r w:rsidR="00DC5E52">
        <w:t xml:space="preserve">by statements of </w:t>
      </w:r>
      <w:r w:rsidR="00DC5E52">
        <w:rPr>
          <w:i/>
        </w:rPr>
        <w:t>physics</w:t>
      </w:r>
      <w:r w:rsidR="00DC5E52">
        <w:t xml:space="preserve">. His phenomenology of Sections VII and XXI of </w:t>
      </w:r>
      <w:r w:rsidR="00DC5E52">
        <w:rPr>
          <w:i/>
        </w:rPr>
        <w:t>Philosophical Remarks</w:t>
      </w:r>
      <w:r w:rsidR="00497020">
        <w:t xml:space="preserve"> is, in accordance with what he had said in ‘Some Remarks on Logi</w:t>
      </w:r>
      <w:r w:rsidR="00685B06">
        <w:t>cal Form’, the very reverse of t</w:t>
      </w:r>
      <w:r w:rsidR="00497020">
        <w:t>his</w:t>
      </w:r>
      <w:r w:rsidR="00685B06">
        <w:t xml:space="preserve"> Tractarian view</w:t>
      </w:r>
      <w:r w:rsidR="00497020">
        <w:t>: bracketing physics (the film strip) in order to concentrate on what he now regarded as more fundamental, indeed ‘primary’, namely the visual field (the projected image).</w:t>
      </w:r>
    </w:p>
    <w:p w:rsidR="00662CDD" w:rsidRPr="00C64D8B" w:rsidRDefault="00A452E6" w:rsidP="0001219D">
      <w:r>
        <w:lastRenderedPageBreak/>
        <w:t xml:space="preserve">Thus, when he says in November 1929 ‘I do not now have phenomenological language, or ‘primary language’ as I used to call it, in mind as my goal’, the reference to his previous views is not to views he held at the time of writing </w:t>
      </w:r>
      <w:r>
        <w:rPr>
          <w:i/>
        </w:rPr>
        <w:t>Tractatus Logico-Philosophicus</w:t>
      </w:r>
      <w:r>
        <w:t xml:space="preserve">, but rather to views he had held just a few months previously. </w:t>
      </w:r>
      <w:r w:rsidR="00C64D8B">
        <w:t xml:space="preserve">The key to Wittgenstein’s abandonment of phenomenology – conceived of as the (‘in a certain sense </w:t>
      </w:r>
      <w:r w:rsidR="00C64D8B">
        <w:rPr>
          <w:i/>
        </w:rPr>
        <w:t>a posteriori</w:t>
      </w:r>
      <w:r w:rsidR="00C64D8B">
        <w:t xml:space="preserve">’) ‘logical investigation of the phenomena themselves’ – is to be found, I think, in his recognition that what he was looking for was to be found in </w:t>
      </w:r>
      <w:r w:rsidR="00C64D8B">
        <w:rPr>
          <w:i/>
        </w:rPr>
        <w:t>grammar</w:t>
      </w:r>
      <w:r w:rsidR="00C64D8B">
        <w:t>, i</w:t>
      </w:r>
      <w:r w:rsidR="00F14882">
        <w:t xml:space="preserve">.e., in the syntactical rules </w:t>
      </w:r>
      <w:r w:rsidR="00C64D8B">
        <w:t xml:space="preserve">of our </w:t>
      </w:r>
      <w:r w:rsidR="00F14882">
        <w:rPr>
          <w:i/>
        </w:rPr>
        <w:t>ordinary language</w:t>
      </w:r>
      <w:r w:rsidR="00F14882">
        <w:t>, the rules</w:t>
      </w:r>
      <w:r w:rsidR="00F14882">
        <w:rPr>
          <w:i/>
        </w:rPr>
        <w:t xml:space="preserve"> </w:t>
      </w:r>
      <w:r w:rsidR="00C64D8B">
        <w:t>that determine what it does and does not make sense to say.</w:t>
      </w:r>
    </w:p>
    <w:p w:rsidR="00662CDD" w:rsidRDefault="00662CDD" w:rsidP="0001219D"/>
    <w:p w:rsidR="00C64D8B" w:rsidRDefault="00C64D8B" w:rsidP="0001219D">
      <w:r>
        <w:t xml:space="preserve">Schlick, I believe, was right to attribute to Wittgenstein the view that what phenomenologists sought through an investigation of immediate experience was actually to be found through a better understanding of our ordinary language, but his statement of Wittgenstein’s position - ‘Whatever follows from these rules, follows from the mere meaning of the word, and is therefore purely analytic, tautological, formal’ – is nevertheless </w:t>
      </w:r>
      <w:r w:rsidR="009448C6">
        <w:t>wrong at extremely important points</w:t>
      </w:r>
      <w:r>
        <w:t>. As we have seen, Wittgenstein emphatically did not believe that phenomenological statem</w:t>
      </w:r>
      <w:r w:rsidR="00F14882">
        <w:t>ents, statements of grammar, were</w:t>
      </w:r>
      <w:r>
        <w:t xml:space="preserve"> analytic or tautological</w:t>
      </w:r>
      <w:r w:rsidR="009448C6">
        <w:t>, and it is very misleading to characterise him as holding that what follows from the grammatical rules that determine what does and does not make sense to say ‘follows from the mere meaning of the word’. This makes it sound as if we could take a dictionary definition of a word, together with statements from a reliable English grammar book and infer from these that, e.g., ‘this is both red and blue’ is nonsense.</w:t>
      </w:r>
    </w:p>
    <w:p w:rsidR="009448C6" w:rsidRDefault="009448C6" w:rsidP="0001219D"/>
    <w:p w:rsidR="009448C6" w:rsidRDefault="009448C6" w:rsidP="0001219D">
      <w:r>
        <w:lastRenderedPageBreak/>
        <w:t xml:space="preserve">This is not how Wittgenstein saw it. To appreciate his view – and to understand what he meant </w:t>
      </w:r>
      <w:r>
        <w:rPr>
          <w:i/>
        </w:rPr>
        <w:t>in the Big Typescript</w:t>
      </w:r>
      <w:r>
        <w:t xml:space="preserve"> </w:t>
      </w:r>
      <w:r w:rsidR="00F14882">
        <w:t>when he wrote</w:t>
      </w:r>
      <w:r>
        <w:t xml:space="preserve"> that what he was saying was what Kant meant by ‘7 + 5 = 12’ is synthetic </w:t>
      </w:r>
      <w:r>
        <w:rPr>
          <w:i/>
        </w:rPr>
        <w:t>a priori</w:t>
      </w:r>
      <w:r>
        <w:t>’ – we must, I think, give due prominence to his emphasis on the importance of an ‘</w:t>
      </w:r>
      <w:r>
        <w:rPr>
          <w:rFonts w:cs="Times New Roman"/>
          <w:i/>
        </w:rPr>
        <w:t>ü</w:t>
      </w:r>
      <w:r>
        <w:rPr>
          <w:i/>
        </w:rPr>
        <w:t>bersichtliche Darstellung</w:t>
      </w:r>
      <w:r>
        <w:t xml:space="preserve">’ (translated in </w:t>
      </w:r>
      <w:r>
        <w:rPr>
          <w:i/>
        </w:rPr>
        <w:t>Philosophical Remarks</w:t>
      </w:r>
      <w:r>
        <w:t xml:space="preserve"> as </w:t>
      </w:r>
      <w:r w:rsidR="00CD08AE">
        <w:t>a ‘</w:t>
      </w:r>
      <w:r w:rsidR="00CD08AE">
        <w:rPr>
          <w:i/>
        </w:rPr>
        <w:t>bird’s-eye view</w:t>
      </w:r>
      <w:r w:rsidR="00CD08AE">
        <w:t>’</w:t>
      </w:r>
      <w:r w:rsidR="004967CE">
        <w:t>, elsewhere as ‘perspicuous representation’</w:t>
      </w:r>
      <w:r w:rsidR="00CD08AE">
        <w:t>).</w:t>
      </w:r>
      <w:r w:rsidR="00CD08AE">
        <w:rPr>
          <w:rStyle w:val="FootnoteReference"/>
        </w:rPr>
        <w:footnoteReference w:id="83"/>
      </w:r>
    </w:p>
    <w:p w:rsidR="00A67972" w:rsidRDefault="00A67972" w:rsidP="0001219D"/>
    <w:p w:rsidR="00A67972" w:rsidRDefault="00A67972" w:rsidP="0001219D">
      <w:r>
        <w:t xml:space="preserve">Crucially, in the </w:t>
      </w:r>
      <w:r>
        <w:rPr>
          <w:i/>
        </w:rPr>
        <w:t>Remarks</w:t>
      </w:r>
      <w:r>
        <w:t>, Wittgenstein’s paradigm example of something that gives us such a ‘</w:t>
      </w:r>
      <w:r w:rsidRPr="00A67972">
        <w:rPr>
          <w:i/>
        </w:rPr>
        <w:t>bird’s eye view</w:t>
      </w:r>
      <w:r>
        <w:rPr>
          <w:i/>
        </w:rPr>
        <w:t xml:space="preserve"> </w:t>
      </w:r>
      <w:r w:rsidRPr="00A67972">
        <w:t>of the grammatical</w:t>
      </w:r>
      <w:r>
        <w:t xml:space="preserve"> rules’ is not a grammatical textbook, neither is it a proposition</w:t>
      </w:r>
      <w:r w:rsidR="00F14882">
        <w:t xml:space="preserve"> or series of propositions</w:t>
      </w:r>
      <w:r>
        <w:t xml:space="preserve">. It is rather a </w:t>
      </w:r>
      <w:r w:rsidR="004967CE">
        <w:rPr>
          <w:i/>
        </w:rPr>
        <w:t>three-dimensional object</w:t>
      </w:r>
      <w:r>
        <w:t>: the colour octahedron, which, he says, ‘is grammar, since it says that you can speak of a reddish blue but not of a reddish green, etc.’</w:t>
      </w:r>
      <w:r>
        <w:rPr>
          <w:rStyle w:val="FootnoteReference"/>
        </w:rPr>
        <w:footnoteReference w:id="84"/>
      </w:r>
      <w:r w:rsidR="004967CE">
        <w:t xml:space="preserve"> The visual, non-propositional nature of Wittgenstein’s prime example of a perspicuous representation is, I think, of fundamental importance. </w:t>
      </w:r>
      <w:r w:rsidR="00C23E91">
        <w:t xml:space="preserve">The ‘grammatical rules’ to which he appeals as an alternative to the ‘analytic </w:t>
      </w:r>
      <w:r w:rsidR="00C23E91">
        <w:rPr>
          <w:i/>
        </w:rPr>
        <w:t>a posteriori</w:t>
      </w:r>
      <w:r w:rsidR="00C23E91">
        <w:t xml:space="preserve">’ analysis he briefly sought through phenomenological analysis are not the kind of thing which one customarily finds in a book of grammar. They are not propositions </w:t>
      </w:r>
      <w:r w:rsidR="00C23E91">
        <w:rPr>
          <w:i/>
        </w:rPr>
        <w:t>at all</w:t>
      </w:r>
      <w:r w:rsidR="00C23E91">
        <w:t xml:space="preserve">, which explains why they are neither analytic nor synthetic. They are things that one </w:t>
      </w:r>
      <w:r w:rsidR="00C23E91">
        <w:rPr>
          <w:i/>
        </w:rPr>
        <w:t>sees</w:t>
      </w:r>
      <w:r w:rsidR="00C23E91">
        <w:t xml:space="preserve">, not things that one can </w:t>
      </w:r>
      <w:r w:rsidR="00C23E91">
        <w:rPr>
          <w:i/>
        </w:rPr>
        <w:t>say</w:t>
      </w:r>
      <w:r w:rsidR="00C23E91">
        <w:t xml:space="preserve">. </w:t>
      </w:r>
    </w:p>
    <w:p w:rsidR="00BA35D1" w:rsidRDefault="00BA35D1" w:rsidP="0001219D"/>
    <w:p w:rsidR="00BA35D1" w:rsidRDefault="00BA35D1" w:rsidP="0001219D">
      <w:r>
        <w:t>Wittgenstein’s development during 1929 goes, I think, through these stages:</w:t>
      </w:r>
    </w:p>
    <w:p w:rsidR="00BA35D1" w:rsidRDefault="00BA35D1" w:rsidP="0001219D"/>
    <w:p w:rsidR="00BA35D1" w:rsidRDefault="00BA35D1" w:rsidP="0001219D">
      <w:r>
        <w:t xml:space="preserve">1. He starts by thinking that, to explain why ‘this is red and green’ is a contradiction, he needs to show why, in this and similar cases, the truth table for a conjunction has only three </w:t>
      </w:r>
      <w:r>
        <w:lastRenderedPageBreak/>
        <w:t>lines. The top line of the truth table for conjunction in those cases – the line where both conjuncts are true – does not really describe a possibility and so should not appear on the table. It does not describe a possible phenomenal reality and so should not, strictly speaking, be a possible proposition.</w:t>
      </w:r>
    </w:p>
    <w:p w:rsidR="00BA35D1" w:rsidRDefault="00BA35D1" w:rsidP="0001219D">
      <w:r>
        <w:t>2. As our ordinary language seems to allow one to form such conjunctions, one must seek logical reality in the more fundamental language of phenomenology.</w:t>
      </w:r>
    </w:p>
    <w:p w:rsidR="00BA35D1" w:rsidRDefault="00BA35D1" w:rsidP="0001219D">
      <w:r>
        <w:t>3. Then the thought occurs to him:</w:t>
      </w:r>
    </w:p>
    <w:p w:rsidR="00BA35D1" w:rsidRDefault="00BA35D1" w:rsidP="0001219D"/>
    <w:p w:rsidR="00BA35D1" w:rsidRDefault="00BA35D1" w:rsidP="00BA35D1">
      <w:pPr>
        <w:pStyle w:val="Quote"/>
      </w:pPr>
      <w:r>
        <w:t xml:space="preserve">How strange if logic were concerned with an ‘ideal’ language and not with </w:t>
      </w:r>
      <w:r>
        <w:rPr>
          <w:i/>
        </w:rPr>
        <w:t>ours</w:t>
      </w:r>
      <w:r>
        <w:t>. For what would this ideal language express? Presumably, what we now express in our ordinary language; in that case, this is the language logic must investigate.</w:t>
      </w:r>
      <w:r>
        <w:rPr>
          <w:rStyle w:val="FootnoteReference"/>
        </w:rPr>
        <w:footnoteReference w:id="85"/>
      </w:r>
    </w:p>
    <w:p w:rsidR="00BA35D1" w:rsidRDefault="00BA35D1" w:rsidP="00BA35D1"/>
    <w:p w:rsidR="00BA35D1" w:rsidRDefault="00BA35D1" w:rsidP="00BA35D1">
      <w:r>
        <w:t xml:space="preserve">4. </w:t>
      </w:r>
      <w:r w:rsidR="00CD0A14">
        <w:t xml:space="preserve">So, what he is concerned with </w:t>
      </w:r>
      <w:r w:rsidR="00CD0A14">
        <w:rPr>
          <w:i/>
        </w:rPr>
        <w:t>is</w:t>
      </w:r>
      <w:r w:rsidR="00CD0A14">
        <w:t xml:space="preserve">, after all, the logic, the grammar, of our ordinary language. His investigation is not, then, </w:t>
      </w:r>
      <w:r w:rsidR="00CD0A14">
        <w:rPr>
          <w:i/>
        </w:rPr>
        <w:t>a posteriori</w:t>
      </w:r>
      <w:r w:rsidR="00CD0A14">
        <w:t xml:space="preserve">. It cannot proceed by an investigation of </w:t>
      </w:r>
      <w:r w:rsidR="00CD0A14">
        <w:rPr>
          <w:i/>
        </w:rPr>
        <w:t>phenomena</w:t>
      </w:r>
      <w:r w:rsidR="00CD0A14">
        <w:t>:</w:t>
      </w:r>
    </w:p>
    <w:p w:rsidR="00CD0A14" w:rsidRDefault="00CD0A14" w:rsidP="00BA35D1"/>
    <w:p w:rsidR="00CD0A14" w:rsidRDefault="00CD0A14" w:rsidP="00CD0A14">
      <w:pPr>
        <w:pStyle w:val="Quote"/>
      </w:pPr>
      <w:r>
        <w:t>If I could describe the point of grammatical conventions by saying they are made necessary by certain properties of the colours (say), then that wo</w:t>
      </w:r>
      <w:r w:rsidR="00F14882">
        <w:t>uld make the conventions superf</w:t>
      </w:r>
      <w:r>
        <w:t xml:space="preserve">luous, since in that case I would be able to say precisely that which the conventions exclude my saying. Conversely, if the conventions were necessary, i.e., if certain combinations of words had to be excluded as nonsensical, then for that very </w:t>
      </w:r>
      <w:r>
        <w:lastRenderedPageBreak/>
        <w:t>reason I cannot cite a property of colours that makes the conventions necessary, since it would then be conceivable that the colours should not have this property, and I could only express that by violating the conventions.</w:t>
      </w:r>
      <w:r>
        <w:rPr>
          <w:rStyle w:val="FootnoteReference"/>
        </w:rPr>
        <w:footnoteReference w:id="86"/>
      </w:r>
    </w:p>
    <w:p w:rsidR="00CD0A14" w:rsidRDefault="00CD0A14" w:rsidP="00CD0A14"/>
    <w:p w:rsidR="00CD0A14" w:rsidRDefault="00CD0A14" w:rsidP="00CD0A14">
      <w:r>
        <w:t xml:space="preserve">5. Thus, what we need to show that something </w:t>
      </w:r>
      <w:r>
        <w:rPr>
          <w:i/>
        </w:rPr>
        <w:t>cannot possibly</w:t>
      </w:r>
      <w:r>
        <w:t xml:space="preserve"> be both red and green is not an analysis of phenomena, but an understanding of language, of the conventions, the rules, that prevent one from meaningfully asserting of something that it is both red and green. These conventions govern what it does and does not make sense to say; therefore there is no non-question-begging way of expressing them in meaningful propositions. In the language of the </w:t>
      </w:r>
      <w:r>
        <w:rPr>
          <w:i/>
        </w:rPr>
        <w:t>Tractatus</w:t>
      </w:r>
      <w:r>
        <w:t xml:space="preserve">, they need to be </w:t>
      </w:r>
      <w:r>
        <w:rPr>
          <w:i/>
        </w:rPr>
        <w:t>shown</w:t>
      </w:r>
      <w:r>
        <w:t xml:space="preserve"> rather than </w:t>
      </w:r>
      <w:r>
        <w:rPr>
          <w:i/>
        </w:rPr>
        <w:t>said</w:t>
      </w:r>
      <w:r>
        <w:t>:</w:t>
      </w:r>
    </w:p>
    <w:p w:rsidR="00CD0A14" w:rsidRDefault="00CD0A14" w:rsidP="00CD0A14"/>
    <w:p w:rsidR="00CD0A14" w:rsidRPr="00CD0A14" w:rsidRDefault="00F67406" w:rsidP="00CD0A14">
      <w:pPr>
        <w:pStyle w:val="Quote"/>
      </w:pPr>
      <w:r>
        <w:t>I do not call a rule of representation a convention if it can be justified in propositions: propositions describing what is represented and showing that the representation is adequate. Grammatical conventions cannot be justified by describing what is represented. Any such description already presupposes the grammatical rules. That is to say, if anything is to count as nonsense in the grammar which is to be justified, then it cannot at the same time pass for sense in the grammar of the propositions that justify it (etc.).</w:t>
      </w:r>
      <w:r>
        <w:rPr>
          <w:rStyle w:val="FootnoteReference"/>
        </w:rPr>
        <w:footnoteReference w:id="87"/>
      </w:r>
    </w:p>
    <w:p w:rsidR="00C64D8B" w:rsidRDefault="00C64D8B" w:rsidP="0001219D"/>
    <w:p w:rsidR="00F67406" w:rsidRDefault="00F67406" w:rsidP="0001219D">
      <w:r>
        <w:t xml:space="preserve">6 It follows that, as philosophers, we are not looking for the propositions that state the rules that exclude certain expressions (like ‘that is red and green’); rather we are looking for ways to enable someone to command a clear view of the grammar of our language. The ways of </w:t>
      </w:r>
      <w:r>
        <w:lastRenderedPageBreak/>
        <w:t xml:space="preserve">doing this are many and varied. What they have in common is that their result is that someone </w:t>
      </w:r>
      <w:r>
        <w:rPr>
          <w:i/>
        </w:rPr>
        <w:t>sees</w:t>
      </w:r>
      <w:r>
        <w:t xml:space="preserve"> that something or other ‘</w:t>
      </w:r>
      <w:r>
        <w:rPr>
          <w:i/>
        </w:rPr>
        <w:t>must</w:t>
      </w:r>
      <w:r>
        <w:t xml:space="preserve"> be the case’, which is another way of saying that certain expressions </w:t>
      </w:r>
      <w:r>
        <w:rPr>
          <w:i/>
        </w:rPr>
        <w:t>have no meaning</w:t>
      </w:r>
      <w:r>
        <w:t>.</w:t>
      </w:r>
    </w:p>
    <w:p w:rsidR="00F67406" w:rsidRDefault="00F67406" w:rsidP="0001219D"/>
    <w:p w:rsidR="00F67406" w:rsidRDefault="00C34462" w:rsidP="0001219D">
      <w:r>
        <w:t xml:space="preserve">The movement from 1 to 6 is, I believe, reflected in the different contexts provided by the </w:t>
      </w:r>
      <w:r>
        <w:rPr>
          <w:i/>
        </w:rPr>
        <w:t>Remarks</w:t>
      </w:r>
      <w:r>
        <w:t xml:space="preserve"> and the Big Typescript for Wittgenstein’s comparison between what he is saying and what Kant meant</w:t>
      </w:r>
      <w:r w:rsidR="00F14882">
        <w:t xml:space="preserve"> when he invoked the synthetic a priori</w:t>
      </w:r>
      <w:r>
        <w:t xml:space="preserve">. In the </w:t>
      </w:r>
      <w:r>
        <w:rPr>
          <w:i/>
        </w:rPr>
        <w:t>Remarks</w:t>
      </w:r>
      <w:r>
        <w:t>, the context is a discussion about the nature of arithmetical equations: are they or are they not tautologies? Wittgenstein’s answer is that they are not, which, in a readily intelligible sense, connects his thought to Kant’s view that such equations are synthetic a priori. The Big Typescript/</w:t>
      </w:r>
      <w:r>
        <w:rPr>
          <w:i/>
        </w:rPr>
        <w:t>Philosophical Grammar</w:t>
      </w:r>
      <w:r>
        <w:t xml:space="preserve"> contains, as I have said, many of these remarks designed to show the non-tautological nature of arithmetical equations, and yet he re-positions his remark about Kant, placing it now at the end of his discussion of mathematical induction and periodicity. Why?</w:t>
      </w:r>
    </w:p>
    <w:p w:rsidR="00C34462" w:rsidRDefault="00C34462" w:rsidP="0001219D"/>
    <w:p w:rsidR="00C34462" w:rsidRDefault="00786610" w:rsidP="0001219D">
      <w:r>
        <w:t>The answer, I think, is to be found in the chapter of the Big Typescript entitled ‘Philosophy’, and, in particular, the section on ‘The Method of Philosophy’, where Wittgenstein says:</w:t>
      </w:r>
    </w:p>
    <w:p w:rsidR="00786610" w:rsidRDefault="00786610" w:rsidP="0001219D"/>
    <w:p w:rsidR="00786610" w:rsidRDefault="00786610" w:rsidP="00786610">
      <w:pPr>
        <w:pStyle w:val="Quote"/>
      </w:pPr>
      <w:r>
        <w:t>The concept of a surveyable representation [</w:t>
      </w:r>
      <w:r w:rsidRPr="00786610">
        <w:rPr>
          <w:rFonts w:cs="Times New Roman"/>
          <w:i/>
        </w:rPr>
        <w:t>ü</w:t>
      </w:r>
      <w:r w:rsidR="0015514C">
        <w:rPr>
          <w:i/>
        </w:rPr>
        <w:t>bersichtliche Darst</w:t>
      </w:r>
      <w:r w:rsidRPr="00786610">
        <w:rPr>
          <w:i/>
        </w:rPr>
        <w:t>ellung</w:t>
      </w:r>
      <w:r>
        <w:t>] is of fundamental significance for us. It designates our form of representation, the way we look at things. (A kind of “</w:t>
      </w:r>
      <w:r>
        <w:rPr>
          <w:i/>
        </w:rPr>
        <w:t>Weltansch</w:t>
      </w:r>
      <w:r w:rsidR="0015514C">
        <w:rPr>
          <w:i/>
        </w:rPr>
        <w:t>a</w:t>
      </w:r>
      <w:r>
        <w:rPr>
          <w:i/>
        </w:rPr>
        <w:t>uung</w:t>
      </w:r>
      <w:r>
        <w:t>”)</w:t>
      </w:r>
    </w:p>
    <w:p w:rsidR="00786610" w:rsidRDefault="00786610" w:rsidP="00786610">
      <w:pPr>
        <w:pStyle w:val="Quote"/>
      </w:pPr>
    </w:p>
    <w:p w:rsidR="00786610" w:rsidRDefault="00786610" w:rsidP="00786610">
      <w:pPr>
        <w:pStyle w:val="Quote"/>
      </w:pPr>
      <w:r>
        <w:lastRenderedPageBreak/>
        <w:t>This surveyable representation provides just that kind of understanding that consists in our “seeing connections”.</w:t>
      </w:r>
      <w:r>
        <w:rPr>
          <w:rStyle w:val="FootnoteReference"/>
        </w:rPr>
        <w:footnoteReference w:id="88"/>
      </w:r>
    </w:p>
    <w:p w:rsidR="00786610" w:rsidRDefault="00786610" w:rsidP="00786610"/>
    <w:p w:rsidR="00786610" w:rsidRDefault="00786610" w:rsidP="00786610">
      <w:r>
        <w:t>This notion of a surveyable representation is picked up again in the section called ‘Phenomenology is Grammar’, where he says:</w:t>
      </w:r>
    </w:p>
    <w:p w:rsidR="00786610" w:rsidRDefault="00786610" w:rsidP="00786610"/>
    <w:p w:rsidR="00786610" w:rsidRPr="00786610" w:rsidRDefault="00786610" w:rsidP="00786610">
      <w:pPr>
        <w:pStyle w:val="Quote"/>
      </w:pPr>
      <w:r>
        <w:t>The investigation of the rules of our language, the recognition of these rules, and their clearly surveyable representation amounts to, i.e., accomplishes the same thing as, what one often wants to achieve in constructing a phenomenological language.</w:t>
      </w:r>
      <w:r>
        <w:rPr>
          <w:rStyle w:val="FootnoteReference"/>
        </w:rPr>
        <w:footnoteReference w:id="89"/>
      </w:r>
    </w:p>
    <w:p w:rsidR="00786610" w:rsidRDefault="00786610" w:rsidP="00786610"/>
    <w:p w:rsidR="00786610" w:rsidRDefault="00786610" w:rsidP="00786610">
      <w:r>
        <w:t>He goes on to compare the understanding of an ecclesiastical mode of music – which requires one to ‘hear something new, something that I haven’t heard before’ – with suddenly being ab</w:t>
      </w:r>
      <w:r w:rsidR="00D927E9">
        <w:t>le to see 10 lines, which previously he had only been able to see as two lots of five, as a ‘characteristic whole’.</w:t>
      </w:r>
      <w:r w:rsidR="00D927E9">
        <w:rPr>
          <w:rStyle w:val="FootnoteReference"/>
        </w:rPr>
        <w:footnoteReference w:id="90"/>
      </w:r>
    </w:p>
    <w:p w:rsidR="003253BD" w:rsidRDefault="003253BD" w:rsidP="00786610"/>
    <w:p w:rsidR="00343F46" w:rsidRDefault="00F14882" w:rsidP="00780C90">
      <w:r>
        <w:t>It is this ‘understandi</w:t>
      </w:r>
      <w:r w:rsidR="0015514C">
        <w:t>ng that consists in seeing conn</w:t>
      </w:r>
      <w:r>
        <w:t xml:space="preserve">ections’ that is demonstrated by the people he imagines </w:t>
      </w:r>
      <w:r w:rsidR="00780C90">
        <w:t xml:space="preserve">in his discussions of mathematical induction and periodicity who suddenly </w:t>
      </w:r>
      <w:r w:rsidR="00780C90">
        <w:rPr>
          <w:i/>
        </w:rPr>
        <w:t xml:space="preserve">see </w:t>
      </w:r>
      <w:r w:rsidR="00780C90">
        <w:t xml:space="preserve">that (n): n </w:t>
      </w:r>
      <w:r w:rsidR="00780C90">
        <w:sym w:font="Symbol" w:char="F03E"/>
      </w:r>
      <w:r w:rsidR="00780C90">
        <w:t xml:space="preserve"> 2 .</w:t>
      </w:r>
      <w:r w:rsidR="00780C90">
        <w:sym w:font="Symbol" w:char="F0C9"/>
      </w:r>
      <w:r w:rsidR="00780C90">
        <w:t xml:space="preserve">. 3 </w:t>
      </w:r>
      <w:r w:rsidR="00780C90">
        <w:rPr>
          <w:rFonts w:cs="Times New Roman"/>
        </w:rPr>
        <w:t xml:space="preserve">× n ≠ 5 </w:t>
      </w:r>
      <w:r w:rsidR="00780C90">
        <w:rPr>
          <w:rFonts w:cs="Times New Roman"/>
          <w:i/>
        </w:rPr>
        <w:t>has</w:t>
      </w:r>
      <w:r w:rsidR="00780C90">
        <w:rPr>
          <w:rFonts w:cs="Times New Roman"/>
        </w:rPr>
        <w:t xml:space="preserve"> to be true for all values of n and that the quotient of 1/3 </w:t>
      </w:r>
      <w:r w:rsidR="00780C90">
        <w:rPr>
          <w:rFonts w:cs="Times New Roman"/>
          <w:i/>
        </w:rPr>
        <w:t xml:space="preserve"> cannot possibly</w:t>
      </w:r>
      <w:r w:rsidR="00780C90">
        <w:rPr>
          <w:rFonts w:cs="Times New Roman"/>
        </w:rPr>
        <w:t xml:space="preserve"> contain anything but 3s. What they are seeing is not the truth of a proposition, but rather something about the grammar of our numerical expressions. The statements ‘(</w:t>
      </w:r>
      <w:r w:rsidR="00780C90">
        <w:rPr>
          <w:rFonts w:cs="Times New Roman"/>
        </w:rPr>
        <w:sym w:font="Symbol" w:char="F024"/>
      </w:r>
      <w:r w:rsidR="00780C90">
        <w:rPr>
          <w:rFonts w:cs="Times New Roman"/>
        </w:rPr>
        <w:t xml:space="preserve">n) </w:t>
      </w:r>
      <w:r w:rsidR="00780C90">
        <w:t xml:space="preserve">n </w:t>
      </w:r>
      <w:r w:rsidR="00780C90">
        <w:sym w:font="Symbol" w:char="F03E"/>
      </w:r>
      <w:r w:rsidR="00780C90">
        <w:t xml:space="preserve"> 2 .</w:t>
      </w:r>
      <w:r w:rsidR="00780C90">
        <w:sym w:font="Symbol" w:char="F0C9"/>
      </w:r>
      <w:r w:rsidR="00780C90">
        <w:t xml:space="preserve">. 3 </w:t>
      </w:r>
      <w:r w:rsidR="00780C90">
        <w:rPr>
          <w:rFonts w:cs="Times New Roman"/>
        </w:rPr>
        <w:t xml:space="preserve">× n = 5’ and ‘the quotient of 1/3 contains at least one 4’ are not </w:t>
      </w:r>
      <w:r w:rsidR="00780C90">
        <w:rPr>
          <w:rFonts w:cs="Times New Roman"/>
        </w:rPr>
        <w:lastRenderedPageBreak/>
        <w:t xml:space="preserve">false but meaningless, as is the statement ‘this is red and it is green’. The rules that show these expressions to be meaningless are not propositions – whether one conceives these propositions to be tautologies, synthetic a priori or ‘analytic a posteriori’ – rather they are what one </w:t>
      </w:r>
      <w:r w:rsidR="00780C90">
        <w:rPr>
          <w:rFonts w:cs="Times New Roman"/>
          <w:i/>
        </w:rPr>
        <w:t>sees</w:t>
      </w:r>
      <w:r w:rsidR="00780C90">
        <w:rPr>
          <w:rFonts w:cs="Times New Roman"/>
        </w:rPr>
        <w:t xml:space="preserve"> when one achieves insight into how we use the words of our language. The ‘temptations of phenomenology’ are those of imagining that there is any more to it than that.</w:t>
      </w:r>
    </w:p>
    <w:sectPr w:rsidR="00343F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F6" w:rsidRDefault="009F54F6" w:rsidP="006466E0">
      <w:pPr>
        <w:spacing w:after="0" w:line="240" w:lineRule="auto"/>
      </w:pPr>
      <w:r>
        <w:separator/>
      </w:r>
    </w:p>
  </w:endnote>
  <w:endnote w:type="continuationSeparator" w:id="0">
    <w:p w:rsidR="009F54F6" w:rsidRDefault="009F54F6" w:rsidP="0064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1008"/>
      <w:docPartObj>
        <w:docPartGallery w:val="Page Numbers (Bottom of Page)"/>
        <w:docPartUnique/>
      </w:docPartObj>
    </w:sdtPr>
    <w:sdtEndPr>
      <w:rPr>
        <w:noProof/>
      </w:rPr>
    </w:sdtEndPr>
    <w:sdtContent>
      <w:p w:rsidR="001D358A" w:rsidRDefault="001D358A">
        <w:pPr>
          <w:pStyle w:val="Footer"/>
          <w:jc w:val="right"/>
        </w:pPr>
        <w:r>
          <w:fldChar w:fldCharType="begin"/>
        </w:r>
        <w:r>
          <w:instrText xml:space="preserve"> PAGE   \* MERGEFORMAT </w:instrText>
        </w:r>
        <w:r>
          <w:fldChar w:fldCharType="separate"/>
        </w:r>
        <w:r w:rsidR="0033070E">
          <w:rPr>
            <w:noProof/>
          </w:rPr>
          <w:t>1</w:t>
        </w:r>
        <w:r>
          <w:rPr>
            <w:noProof/>
          </w:rPr>
          <w:fldChar w:fldCharType="end"/>
        </w:r>
      </w:p>
    </w:sdtContent>
  </w:sdt>
  <w:p w:rsidR="00A75D50" w:rsidRDefault="00A7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F6" w:rsidRDefault="009F54F6" w:rsidP="006466E0">
      <w:pPr>
        <w:spacing w:after="0" w:line="240" w:lineRule="auto"/>
      </w:pPr>
      <w:r>
        <w:separator/>
      </w:r>
    </w:p>
  </w:footnote>
  <w:footnote w:type="continuationSeparator" w:id="0">
    <w:p w:rsidR="009F54F6" w:rsidRDefault="009F54F6" w:rsidP="006466E0">
      <w:pPr>
        <w:spacing w:after="0" w:line="240" w:lineRule="auto"/>
      </w:pPr>
      <w:r>
        <w:continuationSeparator/>
      </w:r>
    </w:p>
  </w:footnote>
  <w:footnote w:id="1">
    <w:p w:rsidR="009448C6" w:rsidRPr="0029065C" w:rsidRDefault="009448C6">
      <w:pPr>
        <w:pStyle w:val="FootnoteText"/>
      </w:pPr>
      <w:r>
        <w:rPr>
          <w:rStyle w:val="FootnoteReference"/>
        </w:rPr>
        <w:footnoteRef/>
      </w:r>
      <w:r>
        <w:t xml:space="preserve"> Wittgenstein, Ludwig, </w:t>
      </w:r>
      <w:r>
        <w:rPr>
          <w:i/>
        </w:rPr>
        <w:t>The Big Typescript TS 213</w:t>
      </w:r>
      <w:r>
        <w:t xml:space="preserve">, edited and translated by C. Grant Luckhardt and Maximilian A. E. Aue (Oxford: Blackwell, 2005); Wittgenstein, Ludwig, </w:t>
      </w:r>
      <w:r>
        <w:rPr>
          <w:i/>
        </w:rPr>
        <w:t>Philosophical Grammar</w:t>
      </w:r>
      <w:r>
        <w:t xml:space="preserve">, edited by Rush Rhees (Oxford: Basil Blackwell, 1974). For a detailed analysis of the relationship between these two texts, see Kenny, Anthony, ‘From the Big Typescript to the </w:t>
      </w:r>
      <w:r>
        <w:rPr>
          <w:i/>
        </w:rPr>
        <w:t>Philosophical Grammar</w:t>
      </w:r>
      <w:r>
        <w:t xml:space="preserve">’, in </w:t>
      </w:r>
      <w:r>
        <w:rPr>
          <w:i/>
        </w:rPr>
        <w:t>The Legacy of Wittgenstein</w:t>
      </w:r>
      <w:r>
        <w:t xml:space="preserve"> (Oxford: Basil Blackwell, 1984): 24-37. For a detailed history of TS 213, see the editors’ and translators’ introduction to </w:t>
      </w:r>
      <w:r>
        <w:rPr>
          <w:i/>
        </w:rPr>
        <w:t>The Big Typescript TS 213</w:t>
      </w:r>
      <w:r>
        <w:t>.</w:t>
      </w:r>
    </w:p>
  </w:footnote>
  <w:footnote w:id="2">
    <w:p w:rsidR="009448C6" w:rsidRDefault="009448C6" w:rsidP="006466E0">
      <w:pPr>
        <w:pStyle w:val="FootnoteText"/>
      </w:pPr>
      <w:r>
        <w:rPr>
          <w:rStyle w:val="FootnoteReference"/>
        </w:rPr>
        <w:footnoteRef/>
      </w:r>
      <w:r>
        <w:t xml:space="preserve"> See </w:t>
      </w:r>
      <w:r w:rsidRPr="00B029B4">
        <w:t xml:space="preserve">Van Peursen, </w:t>
      </w:r>
      <w:r>
        <w:t xml:space="preserve">C. H. </w:t>
      </w:r>
      <w:r w:rsidRPr="00B029B4">
        <w:t xml:space="preserve">‘Edmund Husserl and Ludwig Wittgenstein’, </w:t>
      </w:r>
      <w:r w:rsidRPr="00B029B4">
        <w:rPr>
          <w:i/>
        </w:rPr>
        <w:t>Philosophy and Phenomenological Research</w:t>
      </w:r>
      <w:r>
        <w:t>, 20 (1959) No. 2: 181-97 and Munson, Thomas N.</w:t>
      </w:r>
      <w:r w:rsidRPr="00B029B4">
        <w:t xml:space="preserve"> ‘Wittgenstein's Phenomenology’, </w:t>
      </w:r>
      <w:r w:rsidRPr="00B029B4">
        <w:rPr>
          <w:i/>
        </w:rPr>
        <w:t>Philosophy and Phenomenological Research</w:t>
      </w:r>
      <w:r w:rsidRPr="00B029B4">
        <w:t>, 23 (</w:t>
      </w:r>
      <w:r>
        <w:t xml:space="preserve">1962) No. 1: </w:t>
      </w:r>
      <w:r w:rsidRPr="00B029B4">
        <w:t>37-5</w:t>
      </w:r>
      <w:r>
        <w:t>0</w:t>
      </w:r>
    </w:p>
  </w:footnote>
  <w:footnote w:id="3">
    <w:p w:rsidR="009448C6" w:rsidRPr="0027299D" w:rsidRDefault="009448C6">
      <w:pPr>
        <w:pStyle w:val="FootnoteText"/>
      </w:pPr>
      <w:r>
        <w:rPr>
          <w:rStyle w:val="FootnoteReference"/>
        </w:rPr>
        <w:footnoteRef/>
      </w:r>
      <w:r>
        <w:t xml:space="preserve"> For an extremely enlightening account of the Royaumont conference, see </w:t>
      </w:r>
      <w:r w:rsidRPr="006466E0">
        <w:t>Overgaard, Soren</w:t>
      </w:r>
      <w:r>
        <w:t xml:space="preserve">, </w:t>
      </w:r>
      <w:r w:rsidRPr="006466E0">
        <w:t xml:space="preserve">‘Royaumont Revisited’, </w:t>
      </w:r>
      <w:r w:rsidRPr="006466E0">
        <w:rPr>
          <w:i/>
        </w:rPr>
        <w:t>British Journal for the History of Philosophy</w:t>
      </w:r>
      <w:r w:rsidRPr="006466E0">
        <w:t>, 18</w:t>
      </w:r>
      <w:r>
        <w:t xml:space="preserve"> (2010) No. </w:t>
      </w:r>
      <w:r w:rsidRPr="006466E0">
        <w:t>5</w:t>
      </w:r>
      <w:r>
        <w:t>:</w:t>
      </w:r>
      <w:r w:rsidRPr="006466E0">
        <w:t xml:space="preserve"> 899-924</w:t>
      </w:r>
      <w:r>
        <w:t xml:space="preserve">. The papers given at the conference were published (in French) in </w:t>
      </w:r>
      <w:r>
        <w:rPr>
          <w:i/>
        </w:rPr>
        <w:t>La philosophie analytique</w:t>
      </w:r>
      <w:r>
        <w:t xml:space="preserve"> (Paris: Editions de Minuit, 1962). English translations of J. O. Urmson’s paper, ‘The History of Analysis’, and of P. F. Strawson’s paper, ‘A</w:t>
      </w:r>
      <w:r w:rsidR="0015514C">
        <w:t>nalysis, Science and Metaphysics</w:t>
      </w:r>
      <w:r>
        <w:t xml:space="preserve">’, together with the discussions that followed each of them, can be found in Rorty, Richard M. (ed.), </w:t>
      </w:r>
      <w:r>
        <w:rPr>
          <w:i/>
        </w:rPr>
        <w:t>The Linguistic Turn</w:t>
      </w:r>
      <w:r>
        <w:t xml:space="preserve"> (Chicago: University of Chicago Press, 1967): 294-330. For an English translation of Gilbert Ryle’s paper, ‘Phenomenology versus “The Concept of Mind”’, see Ryle, Gilbert, </w:t>
      </w:r>
      <w:r>
        <w:rPr>
          <w:i/>
        </w:rPr>
        <w:t>Collected Papers Volume 1</w:t>
      </w:r>
      <w:r>
        <w:t xml:space="preserve"> (London: Unwin, 1971): 179-196. </w:t>
      </w:r>
    </w:p>
  </w:footnote>
  <w:footnote w:id="4">
    <w:p w:rsidR="009448C6" w:rsidRPr="00972645" w:rsidRDefault="009448C6">
      <w:pPr>
        <w:pStyle w:val="FootnoteText"/>
      </w:pPr>
      <w:r>
        <w:rPr>
          <w:rStyle w:val="FootnoteReference"/>
        </w:rPr>
        <w:footnoteRef/>
      </w:r>
      <w:r>
        <w:t xml:space="preserve"> Ryle, </w:t>
      </w:r>
      <w:r>
        <w:rPr>
          <w:i/>
        </w:rPr>
        <w:t>Collected Papers Volume 1</w:t>
      </w:r>
      <w:r>
        <w:t>, 182.</w:t>
      </w:r>
    </w:p>
  </w:footnote>
  <w:footnote w:id="5">
    <w:p w:rsidR="009448C6" w:rsidRPr="00B678B6" w:rsidRDefault="009448C6">
      <w:pPr>
        <w:pStyle w:val="FootnoteText"/>
      </w:pPr>
      <w:r>
        <w:rPr>
          <w:rStyle w:val="FootnoteReference"/>
        </w:rPr>
        <w:footnoteRef/>
      </w:r>
      <w:r>
        <w:t xml:space="preserve"> Dummett, Michael, </w:t>
      </w:r>
      <w:r>
        <w:rPr>
          <w:i/>
        </w:rPr>
        <w:t>Origins of Analytical Philosophy</w:t>
      </w:r>
      <w:r>
        <w:t xml:space="preserve"> (London: Duckworth, 1993)</w:t>
      </w:r>
    </w:p>
  </w:footnote>
  <w:footnote w:id="6">
    <w:p w:rsidR="009448C6" w:rsidRDefault="009448C6">
      <w:pPr>
        <w:pStyle w:val="FootnoteText"/>
      </w:pPr>
      <w:r>
        <w:rPr>
          <w:rStyle w:val="FootnoteReference"/>
        </w:rPr>
        <w:footnoteRef/>
      </w:r>
      <w:r>
        <w:t xml:space="preserve"> Ibid.</w:t>
      </w:r>
    </w:p>
  </w:footnote>
  <w:footnote w:id="7">
    <w:p w:rsidR="009448C6" w:rsidRDefault="009448C6">
      <w:pPr>
        <w:pStyle w:val="FootnoteText"/>
      </w:pPr>
      <w:r>
        <w:rPr>
          <w:rStyle w:val="FootnoteReference"/>
        </w:rPr>
        <w:footnoteRef/>
      </w:r>
      <w:r>
        <w:t xml:space="preserve"> Ibid., 26</w:t>
      </w:r>
    </w:p>
  </w:footnote>
  <w:footnote w:id="8">
    <w:p w:rsidR="009448C6" w:rsidRDefault="009448C6">
      <w:pPr>
        <w:pStyle w:val="FootnoteText"/>
      </w:pPr>
      <w:r>
        <w:rPr>
          <w:rStyle w:val="FootnoteReference"/>
        </w:rPr>
        <w:footnoteRef/>
      </w:r>
      <w:r>
        <w:t xml:space="preserve"> See </w:t>
      </w:r>
      <w:r w:rsidRPr="00A40754">
        <w:t>Spiegelberg, Herbert</w:t>
      </w:r>
      <w:r>
        <w:t>,</w:t>
      </w:r>
      <w:r w:rsidRPr="00A40754">
        <w:t xml:space="preserve"> ‘The Puzzle of Wittgenstein’s Phänomenol</w:t>
      </w:r>
      <w:r>
        <w:t>o</w:t>
      </w:r>
      <w:r w:rsidRPr="00A40754">
        <w:t xml:space="preserve">gie’, </w:t>
      </w:r>
      <w:r w:rsidRPr="00234DE4">
        <w:rPr>
          <w:i/>
        </w:rPr>
        <w:t>American Philosophical Quarterly</w:t>
      </w:r>
      <w:r w:rsidRPr="00A40754">
        <w:t xml:space="preserve">, </w:t>
      </w:r>
      <w:r>
        <w:t>5 (1968) No. 4: 244-56.</w:t>
      </w:r>
    </w:p>
  </w:footnote>
  <w:footnote w:id="9">
    <w:p w:rsidR="009448C6" w:rsidRDefault="009448C6">
      <w:pPr>
        <w:pStyle w:val="FootnoteText"/>
      </w:pPr>
      <w:r>
        <w:rPr>
          <w:rStyle w:val="FootnoteReference"/>
        </w:rPr>
        <w:footnoteRef/>
      </w:r>
      <w:r>
        <w:t xml:space="preserve"> Ibid., 244</w:t>
      </w:r>
    </w:p>
  </w:footnote>
  <w:footnote w:id="10">
    <w:p w:rsidR="009448C6" w:rsidRDefault="009448C6">
      <w:pPr>
        <w:pStyle w:val="FootnoteText"/>
      </w:pPr>
      <w:r>
        <w:rPr>
          <w:rStyle w:val="FootnoteReference"/>
        </w:rPr>
        <w:footnoteRef/>
      </w:r>
      <w:r>
        <w:t xml:space="preserve"> Ibid.</w:t>
      </w:r>
    </w:p>
  </w:footnote>
  <w:footnote w:id="11">
    <w:p w:rsidR="009448C6" w:rsidRDefault="009448C6">
      <w:pPr>
        <w:pStyle w:val="FootnoteText"/>
      </w:pPr>
      <w:r>
        <w:rPr>
          <w:rStyle w:val="FootnoteReference"/>
        </w:rPr>
        <w:footnoteRef/>
      </w:r>
      <w:r>
        <w:t xml:space="preserve"> Ibid, 244-5</w:t>
      </w:r>
    </w:p>
  </w:footnote>
  <w:footnote w:id="12">
    <w:p w:rsidR="009448C6" w:rsidRPr="00BC1848" w:rsidRDefault="009448C6" w:rsidP="00FF5611">
      <w:pPr>
        <w:pStyle w:val="FootnoteText"/>
      </w:pPr>
      <w:r w:rsidRPr="005B0100">
        <w:rPr>
          <w:rStyle w:val="FootnoteReference"/>
        </w:rPr>
        <w:footnoteRef/>
      </w:r>
      <w:r w:rsidRPr="005B0100">
        <w:t xml:space="preserve"> </w:t>
      </w:r>
      <w:r>
        <w:t xml:space="preserve">See (in chronological order) </w:t>
      </w:r>
      <w:r w:rsidRPr="005B0100">
        <w:t xml:space="preserve">Karuda, Wataru, ‘Phenomenology and Grammar: A Consideration of the Relation between Husserl’s Logical Investigations and Wittgenstein’s Later Philosophy’, </w:t>
      </w:r>
      <w:r w:rsidRPr="005B0100">
        <w:rPr>
          <w:i/>
        </w:rPr>
        <w:t>Analecta Husserliana</w:t>
      </w:r>
      <w:r w:rsidRPr="005B0100">
        <w:t xml:space="preserve">, 8 </w:t>
      </w:r>
      <w:r>
        <w:t>(</w:t>
      </w:r>
      <w:r w:rsidRPr="005B0100">
        <w:t>1978</w:t>
      </w:r>
      <w:r>
        <w:t>):</w:t>
      </w:r>
      <w:r w:rsidRPr="005B0100">
        <w:t xml:space="preserve"> 89-107</w:t>
      </w:r>
      <w:r>
        <w:t xml:space="preserve">; Gier, Nicholas F. </w:t>
      </w:r>
      <w:r w:rsidRPr="00876B74">
        <w:rPr>
          <w:i/>
        </w:rPr>
        <w:t>Wittgenstein and Phenomenology: A Comparative Study of the Later Wittgenstein</w:t>
      </w:r>
      <w:r w:rsidRPr="00876B74">
        <w:t xml:space="preserve">, </w:t>
      </w:r>
      <w:r w:rsidRPr="00BC1848">
        <w:rPr>
          <w:i/>
        </w:rPr>
        <w:t>Husserl, Heidegger and Merleau-Ponty</w:t>
      </w:r>
      <w:r w:rsidRPr="00876B74">
        <w:t>, Albany: SUNY Press, 198</w:t>
      </w:r>
      <w:r>
        <w:t xml:space="preserve">1; Spiegelberg, Herbert, </w:t>
      </w:r>
      <w:r w:rsidRPr="00876B74">
        <w:t xml:space="preserve">‘Wittgenstein Calls His Philosophy “Phenomenology”’, </w:t>
      </w:r>
      <w:r w:rsidRPr="00876B74">
        <w:rPr>
          <w:i/>
        </w:rPr>
        <w:t>Journal of the British Society for Phenomenology</w:t>
      </w:r>
      <w:r w:rsidRPr="00876B74">
        <w:t>, 13</w:t>
      </w:r>
      <w:r>
        <w:t xml:space="preserve"> (1982) No.</w:t>
      </w:r>
      <w:r w:rsidRPr="00876B74">
        <w:t xml:space="preserve"> 3</w:t>
      </w:r>
      <w:r>
        <w:t xml:space="preserve">: </w:t>
      </w:r>
      <w:r w:rsidRPr="00876B74">
        <w:t>296-99</w:t>
      </w:r>
      <w:r>
        <w:t>; Reeder, Harry P.</w:t>
      </w:r>
      <w:r w:rsidRPr="00876B74">
        <w:t xml:space="preserve"> </w:t>
      </w:r>
      <w:r w:rsidRPr="00876B74">
        <w:rPr>
          <w:i/>
        </w:rPr>
        <w:t>Language and Experience: Descriptions of Living Language in Husserl and Wittgenstein</w:t>
      </w:r>
      <w:r w:rsidRPr="00876B74">
        <w:t>, Washington D.C.: University Press of America, 1984</w:t>
      </w:r>
      <w:r>
        <w:t xml:space="preserve">; </w:t>
      </w:r>
      <w:r w:rsidRPr="00876B74">
        <w:t xml:space="preserve">Hintikka, Merrill B. and Hintikka, Jaako, </w:t>
      </w:r>
      <w:r w:rsidRPr="00876B74">
        <w:rPr>
          <w:i/>
        </w:rPr>
        <w:t>Investigating Wittgenstein</w:t>
      </w:r>
      <w:r w:rsidRPr="00876B74">
        <w:t>, Oxford: Blackwell, 1986</w:t>
      </w:r>
      <w:r>
        <w:t xml:space="preserve">; </w:t>
      </w:r>
      <w:r w:rsidRPr="00876B74">
        <w:t xml:space="preserve">Reeder, Harry P. ‘Wittgenstein Never Was a Phenomenologist’, </w:t>
      </w:r>
      <w:r w:rsidRPr="00876B74">
        <w:rPr>
          <w:i/>
        </w:rPr>
        <w:t>Journal of the British Society for Phenomenology</w:t>
      </w:r>
      <w:r w:rsidRPr="00876B74">
        <w:t>, 20 (1989) No. 3: 49-68</w:t>
      </w:r>
      <w:r>
        <w:t xml:space="preserve">; </w:t>
      </w:r>
      <w:r w:rsidRPr="00876B74">
        <w:t xml:space="preserve">Gier, Nicholas F. ‘Wittgenstein’s Phenomenology Revisited’, </w:t>
      </w:r>
      <w:r w:rsidRPr="00876B74">
        <w:rPr>
          <w:i/>
        </w:rPr>
        <w:t>Philosophy Today</w:t>
      </w:r>
      <w:r w:rsidRPr="00876B74">
        <w:t xml:space="preserve">, </w:t>
      </w:r>
      <w:r>
        <w:t>34 (</w:t>
      </w:r>
      <w:r w:rsidRPr="00876B74">
        <w:t>1990</w:t>
      </w:r>
      <w:r>
        <w:t>) No. 3:</w:t>
      </w:r>
      <w:r w:rsidRPr="00876B74">
        <w:t xml:space="preserve"> 273-288</w:t>
      </w:r>
      <w:r>
        <w:t xml:space="preserve">; </w:t>
      </w:r>
      <w:r w:rsidRPr="00876B74">
        <w:t>Rigel, Elizabeth ‘The Duality of Wittgenstein’s Phenomenological Actuality’</w:t>
      </w:r>
      <w:r>
        <w:t xml:space="preserve"> in </w:t>
      </w:r>
      <w:r>
        <w:rPr>
          <w:i/>
        </w:rPr>
        <w:t>Wittgenstein and Contemporary Theories of Language</w:t>
      </w:r>
      <w:r>
        <w:t xml:space="preserve"> edited by P. Henry and A. Utaker (Bergen: WAB, 1992) 62-83; </w:t>
      </w:r>
      <w:r w:rsidRPr="001957EF">
        <w:t xml:space="preserve">Noë, Robert Alva, ‘Wittgenstein, Phenomenology and What it Makes Sense to Say’, </w:t>
      </w:r>
      <w:r w:rsidRPr="001957EF">
        <w:rPr>
          <w:i/>
        </w:rPr>
        <w:t>Philosophy and Phenomenological Research</w:t>
      </w:r>
      <w:r w:rsidRPr="001957EF">
        <w:t>, 54</w:t>
      </w:r>
      <w:r>
        <w:t xml:space="preserve"> (1994)</w:t>
      </w:r>
      <w:r w:rsidRPr="001957EF">
        <w:t xml:space="preserve"> No. 1</w:t>
      </w:r>
      <w:r>
        <w:t xml:space="preserve">: </w:t>
      </w:r>
      <w:r w:rsidRPr="001957EF">
        <w:t>1-42</w:t>
      </w:r>
      <w:r>
        <w:t xml:space="preserve">; </w:t>
      </w:r>
      <w:r w:rsidRPr="001957EF">
        <w:t>Park, Byong-Chul</w:t>
      </w:r>
      <w:r>
        <w:t>,</w:t>
      </w:r>
      <w:r w:rsidRPr="001957EF">
        <w:t xml:space="preserve"> </w:t>
      </w:r>
      <w:r w:rsidRPr="001957EF">
        <w:rPr>
          <w:i/>
        </w:rPr>
        <w:t>Phenomenological Aspects of Wittgenstein’s Philosophy</w:t>
      </w:r>
      <w:r w:rsidRPr="001957EF">
        <w:t>, Dordrecht: Kluwer, 1998</w:t>
      </w:r>
      <w:r>
        <w:t xml:space="preserve">; </w:t>
      </w:r>
      <w:r w:rsidRPr="001957EF">
        <w:t xml:space="preserve">Morgan, Matthew R. ‘Husserlian Aspects of Wittgenstein’s Middle Period’, </w:t>
      </w:r>
      <w:r w:rsidRPr="001957EF">
        <w:rPr>
          <w:i/>
        </w:rPr>
        <w:t>Pre-Proceedings of the 26th International Wittgenstein Symposium</w:t>
      </w:r>
      <w:r w:rsidRPr="001957EF">
        <w:t xml:space="preserve"> (Kirchberg am Wechsel: Austrian Ludwig Wittgenstein Society, 2003) 245-247</w:t>
      </w:r>
      <w:r>
        <w:t xml:space="preserve">; </w:t>
      </w:r>
      <w:r w:rsidRPr="001957EF">
        <w:t xml:space="preserve">Boos, William, ‘A Metalogical Critique of Wittgensteinian Phenomenology’, </w:t>
      </w:r>
      <w:r w:rsidRPr="00A4268D">
        <w:rPr>
          <w:i/>
        </w:rPr>
        <w:t>Quantifiers, Questions and Quantum Physics: Essays on the Philosophy of Jaakko Hintikka</w:t>
      </w:r>
      <w:r w:rsidRPr="001957EF">
        <w:t>, edited by Daniel Kolak and John Symons (New York: Springer, 2004) 75-99</w:t>
      </w:r>
      <w:r>
        <w:t xml:space="preserve">; </w:t>
      </w:r>
      <w:r w:rsidRPr="00A4268D">
        <w:t xml:space="preserve">Gálvez, Jesús Padilla (Ed.), </w:t>
      </w:r>
      <w:r w:rsidRPr="00A4268D">
        <w:rPr>
          <w:i/>
        </w:rPr>
        <w:t>Phenomenology as Grammar</w:t>
      </w:r>
      <w:r w:rsidRPr="00A4268D">
        <w:t>, Frankfurt: Ontos Verlag, 2008</w:t>
      </w:r>
      <w:r>
        <w:t xml:space="preserve">; </w:t>
      </w:r>
      <w:r w:rsidRPr="00DF0DC0">
        <w:t>Overgaard, Soren, ‘How to Analyse Immediate Experience: Hintikka, Husserl and th</w:t>
      </w:r>
      <w:r>
        <w:t>e Idea of Phenomenolo</w:t>
      </w:r>
      <w:r w:rsidRPr="00DF0DC0">
        <w:t xml:space="preserve">gy’, </w:t>
      </w:r>
      <w:r w:rsidRPr="00DF0DC0">
        <w:rPr>
          <w:i/>
        </w:rPr>
        <w:t>Metaphilosophy</w:t>
      </w:r>
      <w:r w:rsidRPr="00DF0DC0">
        <w:t>, 39 (2008) No. 3: 282-304</w:t>
      </w:r>
      <w:r>
        <w:t xml:space="preserve">; </w:t>
      </w:r>
      <w:r w:rsidRPr="00BC1848">
        <w:t xml:space="preserve">Zhang, Qingxiong, ‘Wittgenstein’s reconsideration of the transcendental problem - With some remarks on the relation between Wittgenstein’s “phenomenology” and Husserl’s phenomenology’, </w:t>
      </w:r>
      <w:r w:rsidRPr="00BC1848">
        <w:rPr>
          <w:i/>
        </w:rPr>
        <w:t>Frontiers of Philosophy in China</w:t>
      </w:r>
      <w:r w:rsidRPr="00BC1848">
        <w:t>, 3 (2008) No. 1: 123–138</w:t>
      </w:r>
      <w:r>
        <w:t xml:space="preserve">; </w:t>
      </w:r>
      <w:r w:rsidRPr="00BC1848">
        <w:t xml:space="preserve">Overgaard, Soren and Zahavi, Dan, ‘Understanding (other) minds; Wittgenstein’s phenomenological contribution’, in </w:t>
      </w:r>
      <w:r w:rsidRPr="00FF5611">
        <w:rPr>
          <w:i/>
        </w:rPr>
        <w:t>Wittgenstein’s Enduring Arguments</w:t>
      </w:r>
      <w:r w:rsidRPr="00BC1848">
        <w:t xml:space="preserve"> edited by Edoardo Zamuner and D. K. Levy (London: Routledge, 2009) 60-86</w:t>
      </w:r>
      <w:r>
        <w:t>. This might seem a fairly long list, but fifteen publications in forty-three years is, I would insist, surprisingly little.</w:t>
      </w:r>
    </w:p>
    <w:p w:rsidR="009448C6" w:rsidRPr="00BC1848" w:rsidRDefault="009448C6" w:rsidP="00BC1848">
      <w:pPr>
        <w:pStyle w:val="FootnoteText"/>
      </w:pPr>
    </w:p>
    <w:p w:rsidR="009448C6" w:rsidRPr="00876B74" w:rsidRDefault="009448C6" w:rsidP="00BC1848">
      <w:pPr>
        <w:pStyle w:val="FootnoteText"/>
      </w:pPr>
    </w:p>
  </w:footnote>
  <w:footnote w:id="13">
    <w:p w:rsidR="009448C6" w:rsidRDefault="009448C6">
      <w:pPr>
        <w:pStyle w:val="FootnoteText"/>
      </w:pPr>
      <w:r>
        <w:rPr>
          <w:rStyle w:val="FootnoteReference"/>
        </w:rPr>
        <w:footnoteRef/>
      </w:r>
      <w:r>
        <w:t xml:space="preserve"> </w:t>
      </w:r>
      <w:r w:rsidRPr="001624FC">
        <w:t xml:space="preserve">Spiegelberg, Herbert, ‘The Puzzle of Wittgenstein’s Phänomenologie’, </w:t>
      </w:r>
      <w:r w:rsidRPr="001624FC">
        <w:rPr>
          <w:i/>
        </w:rPr>
        <w:t>American Philosophical Quarterly</w:t>
      </w:r>
      <w:r>
        <w:t>, 5 (1968) No. 4: 254</w:t>
      </w:r>
      <w:r w:rsidRPr="001624FC">
        <w:t>.</w:t>
      </w:r>
    </w:p>
  </w:footnote>
  <w:footnote w:id="14">
    <w:p w:rsidR="009448C6" w:rsidRDefault="009448C6">
      <w:pPr>
        <w:pStyle w:val="FootnoteText"/>
      </w:pPr>
      <w:r>
        <w:rPr>
          <w:rStyle w:val="FootnoteReference"/>
        </w:rPr>
        <w:footnoteRef/>
      </w:r>
      <w:r>
        <w:t xml:space="preserve"> See </w:t>
      </w:r>
      <w:r w:rsidRPr="0085400C">
        <w:t xml:space="preserve">Gier, Nicholas F. </w:t>
      </w:r>
      <w:r w:rsidRPr="0085400C">
        <w:rPr>
          <w:i/>
        </w:rPr>
        <w:t>Wittgenstein and Phenomenology: A Comparative Study of the Later Wittgenstein, Husserl, Heidegger and Merleau-Ponty</w:t>
      </w:r>
      <w:r w:rsidRPr="0085400C">
        <w:t>, Albany: SUNY Press, 1981</w:t>
      </w:r>
      <w:r>
        <w:t>: 113</w:t>
      </w:r>
    </w:p>
  </w:footnote>
  <w:footnote w:id="15">
    <w:p w:rsidR="009448C6" w:rsidRPr="00CB4CEE" w:rsidRDefault="009448C6">
      <w:pPr>
        <w:pStyle w:val="FootnoteText"/>
      </w:pPr>
      <w:r>
        <w:rPr>
          <w:rStyle w:val="FootnoteReference"/>
        </w:rPr>
        <w:footnoteRef/>
      </w:r>
      <w:r>
        <w:t xml:space="preserve"> See </w:t>
      </w:r>
      <w:r>
        <w:rPr>
          <w:i/>
        </w:rPr>
        <w:t>Wittgenstein and the Vienna Circle: Conversations Recorded by Friedrich Waismann</w:t>
      </w:r>
      <w:r>
        <w:t>, edited by Brian McGuinness, (Oxford: Basil Blackwell, 1979): 67-8</w:t>
      </w:r>
    </w:p>
  </w:footnote>
  <w:footnote w:id="16">
    <w:p w:rsidR="009448C6" w:rsidRPr="002C3E2B" w:rsidRDefault="009448C6">
      <w:pPr>
        <w:pStyle w:val="FootnoteText"/>
      </w:pPr>
      <w:r>
        <w:rPr>
          <w:rStyle w:val="FootnoteReference"/>
        </w:rPr>
        <w:footnoteRef/>
      </w:r>
      <w:r>
        <w:t xml:space="preserve"> Published in English as ‘Is There a Factual </w:t>
      </w:r>
      <w:r>
        <w:rPr>
          <w:i/>
        </w:rPr>
        <w:t>A Priori</w:t>
      </w:r>
      <w:r>
        <w:t xml:space="preserve">?’, in Schlick, Moritz, </w:t>
      </w:r>
      <w:r>
        <w:rPr>
          <w:i/>
        </w:rPr>
        <w:t>Philosophical Papers Volume II (1925-1936)</w:t>
      </w:r>
      <w:r>
        <w:t xml:space="preserve"> edited by Henk L. Mulder and Barbara B. van de Velde-Schlick (Dordrecht: Reidel, 1979): 161-170.</w:t>
      </w:r>
    </w:p>
  </w:footnote>
  <w:footnote w:id="17">
    <w:p w:rsidR="009448C6" w:rsidRDefault="009448C6">
      <w:pPr>
        <w:pStyle w:val="FootnoteText"/>
      </w:pPr>
      <w:r>
        <w:rPr>
          <w:rStyle w:val="FootnoteReference"/>
        </w:rPr>
        <w:footnoteRef/>
      </w:r>
      <w:r>
        <w:t xml:space="preserve"> Ibid, 165.</w:t>
      </w:r>
    </w:p>
  </w:footnote>
  <w:footnote w:id="18">
    <w:p w:rsidR="009448C6" w:rsidRPr="00EE2A83" w:rsidRDefault="009448C6">
      <w:pPr>
        <w:pStyle w:val="FootnoteText"/>
      </w:pPr>
      <w:r>
        <w:rPr>
          <w:rStyle w:val="FootnoteReference"/>
        </w:rPr>
        <w:footnoteRef/>
      </w:r>
      <w:r>
        <w:t xml:space="preserve"> Ibid, 169. </w:t>
      </w:r>
    </w:p>
  </w:footnote>
  <w:footnote w:id="19">
    <w:p w:rsidR="009448C6" w:rsidRPr="002649A3" w:rsidRDefault="009448C6">
      <w:pPr>
        <w:pStyle w:val="FootnoteText"/>
      </w:pPr>
      <w:r>
        <w:rPr>
          <w:rStyle w:val="FootnoteReference"/>
        </w:rPr>
        <w:footnoteRef/>
      </w:r>
      <w:r>
        <w:t xml:space="preserve"> Gier, </w:t>
      </w:r>
      <w:r>
        <w:rPr>
          <w:i/>
        </w:rPr>
        <w:t>Wittgenstein and Phenomenology</w:t>
      </w:r>
      <w:r>
        <w:t>, 35</w:t>
      </w:r>
    </w:p>
  </w:footnote>
  <w:footnote w:id="20">
    <w:p w:rsidR="009448C6" w:rsidRDefault="009448C6">
      <w:pPr>
        <w:pStyle w:val="FootnoteText"/>
      </w:pPr>
      <w:r>
        <w:rPr>
          <w:rStyle w:val="FootnoteReference"/>
        </w:rPr>
        <w:footnoteRef/>
      </w:r>
      <w:r>
        <w:t xml:space="preserve"> Ibid., 157</w:t>
      </w:r>
    </w:p>
  </w:footnote>
  <w:footnote w:id="21">
    <w:p w:rsidR="009448C6" w:rsidRDefault="009448C6">
      <w:pPr>
        <w:pStyle w:val="FootnoteText"/>
      </w:pPr>
      <w:r>
        <w:rPr>
          <w:rStyle w:val="FootnoteReference"/>
        </w:rPr>
        <w:footnoteRef/>
      </w:r>
      <w:r>
        <w:t xml:space="preserve"> Ibid., 158</w:t>
      </w:r>
    </w:p>
  </w:footnote>
  <w:footnote w:id="22">
    <w:p w:rsidR="009448C6" w:rsidRDefault="009448C6">
      <w:pPr>
        <w:pStyle w:val="FootnoteText"/>
      </w:pPr>
      <w:r>
        <w:rPr>
          <w:rStyle w:val="FootnoteReference"/>
        </w:rPr>
        <w:footnoteRef/>
      </w:r>
      <w:r>
        <w:t xml:space="preserve"> Ibid. See also ‘Wittgenstein’s Phenomenology Revisited’, 276</w:t>
      </w:r>
    </w:p>
  </w:footnote>
  <w:footnote w:id="23">
    <w:p w:rsidR="009448C6" w:rsidRPr="000F0F3B" w:rsidRDefault="009448C6">
      <w:pPr>
        <w:pStyle w:val="FootnoteText"/>
      </w:pPr>
      <w:r>
        <w:rPr>
          <w:rStyle w:val="FootnoteReference"/>
        </w:rPr>
        <w:footnoteRef/>
      </w:r>
      <w:r>
        <w:t xml:space="preserve"> Diamond, Cora (ed.), </w:t>
      </w:r>
      <w:r>
        <w:rPr>
          <w:i/>
        </w:rPr>
        <w:t>Wittgenstein’s Lectures on the Foundations of Mathematics Cambridge, 1939</w:t>
      </w:r>
      <w:r>
        <w:t xml:space="preserve"> (Hassocks, Sussex: Harvester, 1976), 232</w:t>
      </w:r>
    </w:p>
  </w:footnote>
  <w:footnote w:id="24">
    <w:p w:rsidR="009448C6" w:rsidRPr="00361AF7" w:rsidRDefault="009448C6">
      <w:pPr>
        <w:pStyle w:val="FootnoteText"/>
      </w:pPr>
      <w:r>
        <w:rPr>
          <w:rStyle w:val="FootnoteReference"/>
        </w:rPr>
        <w:footnoteRef/>
      </w:r>
      <w:r>
        <w:t xml:space="preserve"> </w:t>
      </w:r>
      <w:r>
        <w:rPr>
          <w:i/>
        </w:rPr>
        <w:t>Philosophical Remarks</w:t>
      </w:r>
      <w:r>
        <w:t>, 129</w:t>
      </w:r>
    </w:p>
  </w:footnote>
  <w:footnote w:id="25">
    <w:p w:rsidR="009448C6" w:rsidRPr="00484FD1" w:rsidRDefault="009448C6">
      <w:pPr>
        <w:pStyle w:val="FootnoteText"/>
      </w:pPr>
      <w:r>
        <w:rPr>
          <w:rStyle w:val="FootnoteReference"/>
        </w:rPr>
        <w:footnoteRef/>
      </w:r>
      <w:r>
        <w:t xml:space="preserve"> </w:t>
      </w:r>
      <w:r>
        <w:rPr>
          <w:i/>
        </w:rPr>
        <w:t>The Big Typescript TS 213</w:t>
      </w:r>
      <w:r>
        <w:t xml:space="preserve">, 451; </w:t>
      </w:r>
      <w:r>
        <w:rPr>
          <w:i/>
        </w:rPr>
        <w:t>Philosophical Grammar</w:t>
      </w:r>
      <w:r>
        <w:t>, 404</w:t>
      </w:r>
    </w:p>
  </w:footnote>
  <w:footnote w:id="26">
    <w:p w:rsidR="009448C6" w:rsidRPr="001B66B8" w:rsidRDefault="009448C6">
      <w:pPr>
        <w:pStyle w:val="FootnoteText"/>
      </w:pPr>
      <w:r>
        <w:rPr>
          <w:rStyle w:val="FootnoteReference"/>
        </w:rPr>
        <w:footnoteRef/>
      </w:r>
      <w:r>
        <w:t xml:space="preserve"> See </w:t>
      </w:r>
      <w:r>
        <w:rPr>
          <w:i/>
        </w:rPr>
        <w:t>Wittgenstein and Phenomenology</w:t>
      </w:r>
      <w:r>
        <w:t xml:space="preserve">, 35, where Gier quotes the remark from </w:t>
      </w:r>
      <w:r>
        <w:rPr>
          <w:i/>
        </w:rPr>
        <w:t>Philosophical Grammar</w:t>
      </w:r>
      <w:r>
        <w:t xml:space="preserve">, but cites the </w:t>
      </w:r>
      <w:r>
        <w:rPr>
          <w:i/>
        </w:rPr>
        <w:t>Remarks</w:t>
      </w:r>
      <w:r>
        <w:t xml:space="preserve"> as one of its source.</w:t>
      </w:r>
    </w:p>
  </w:footnote>
  <w:footnote w:id="27">
    <w:p w:rsidR="009448C6" w:rsidRDefault="009448C6">
      <w:pPr>
        <w:pStyle w:val="FootnoteText"/>
      </w:pPr>
      <w:r>
        <w:rPr>
          <w:rStyle w:val="FootnoteReference"/>
        </w:rPr>
        <w:footnoteRef/>
      </w:r>
      <w:r>
        <w:t xml:space="preserve"> Ibid.</w:t>
      </w:r>
    </w:p>
  </w:footnote>
  <w:footnote w:id="28">
    <w:p w:rsidR="009448C6" w:rsidRDefault="009448C6">
      <w:pPr>
        <w:pStyle w:val="FootnoteText"/>
      </w:pPr>
      <w:r>
        <w:rPr>
          <w:rStyle w:val="FootnoteReference"/>
        </w:rPr>
        <w:footnoteRef/>
      </w:r>
      <w:r>
        <w:t xml:space="preserve"> ‘Wittgenstein’s Phenomenology Revisited’, 276.</w:t>
      </w:r>
    </w:p>
  </w:footnote>
  <w:footnote w:id="29">
    <w:p w:rsidR="009448C6" w:rsidRDefault="009448C6">
      <w:pPr>
        <w:pStyle w:val="FootnoteText"/>
      </w:pPr>
      <w:r>
        <w:rPr>
          <w:rStyle w:val="FootnoteReference"/>
        </w:rPr>
        <w:footnoteRef/>
      </w:r>
      <w:r>
        <w:t xml:space="preserve"> Ibid.</w:t>
      </w:r>
    </w:p>
  </w:footnote>
  <w:footnote w:id="30">
    <w:p w:rsidR="009448C6" w:rsidRDefault="009448C6">
      <w:pPr>
        <w:pStyle w:val="FootnoteText"/>
      </w:pPr>
      <w:r>
        <w:rPr>
          <w:rStyle w:val="FootnoteReference"/>
        </w:rPr>
        <w:footnoteRef/>
      </w:r>
      <w:r>
        <w:t xml:space="preserve"> Ibid.</w:t>
      </w:r>
    </w:p>
  </w:footnote>
  <w:footnote w:id="31">
    <w:p w:rsidR="009448C6" w:rsidRPr="003A759B" w:rsidRDefault="009448C6">
      <w:pPr>
        <w:pStyle w:val="FootnoteText"/>
      </w:pPr>
      <w:r>
        <w:rPr>
          <w:rStyle w:val="FootnoteReference"/>
        </w:rPr>
        <w:footnoteRef/>
      </w:r>
      <w:r>
        <w:t xml:space="preserve"> I earlier argued that the view Schlick attributes to Wittgenstein – namely, that grammatical statements are analytic – is likewise confused and that his mistake and Gier’s are mirror images of each other.  It might be supposed that, to argue that both are mistaken is to argue that Wittgenstein believed in a ‘middle way’ between the analytic and the synthetic, a belief that his comments to Schlick show he did </w:t>
      </w:r>
      <w:r>
        <w:rPr>
          <w:i/>
        </w:rPr>
        <w:t>not</w:t>
      </w:r>
      <w:r>
        <w:t xml:space="preserve"> hold. This, however, is to mistake what Wittgenstein meant by ‘middle way’; he was not dismissing the possibility of a middle way between the analytic and the synthetic (he did, I maintain (and will seek to establish below), believe in </w:t>
      </w:r>
      <w:r>
        <w:rPr>
          <w:i/>
        </w:rPr>
        <w:t>that</w:t>
      </w:r>
      <w:r>
        <w:t xml:space="preserve"> middle ground, and he believed grammatical rules to occupy it). What he did not believe existed was any “middle way” between </w:t>
      </w:r>
      <w:r>
        <w:rPr>
          <w:i/>
        </w:rPr>
        <w:t>rules of grammar</w:t>
      </w:r>
      <w:r>
        <w:t xml:space="preserve"> and material, synthetic statements, between, that is, logic and science.</w:t>
      </w:r>
    </w:p>
  </w:footnote>
  <w:footnote w:id="32">
    <w:p w:rsidR="009448C6" w:rsidRPr="00E467D9" w:rsidRDefault="009448C6">
      <w:pPr>
        <w:pStyle w:val="FootnoteText"/>
      </w:pPr>
      <w:r>
        <w:rPr>
          <w:rStyle w:val="FootnoteReference"/>
        </w:rPr>
        <w:footnoteRef/>
      </w:r>
      <w:r>
        <w:t xml:space="preserve"> </w:t>
      </w:r>
      <w:r>
        <w:rPr>
          <w:i/>
        </w:rPr>
        <w:t>Philosophical Remarks</w:t>
      </w:r>
      <w:r>
        <w:t>, 126</w:t>
      </w:r>
    </w:p>
  </w:footnote>
  <w:footnote w:id="33">
    <w:p w:rsidR="009448C6" w:rsidRDefault="009448C6">
      <w:pPr>
        <w:pStyle w:val="FootnoteText"/>
      </w:pPr>
      <w:r>
        <w:rPr>
          <w:rStyle w:val="FootnoteReference"/>
        </w:rPr>
        <w:footnoteRef/>
      </w:r>
      <w:r>
        <w:t xml:space="preserve"> Ibid. </w:t>
      </w:r>
    </w:p>
  </w:footnote>
  <w:footnote w:id="34">
    <w:p w:rsidR="009448C6" w:rsidRDefault="009448C6">
      <w:pPr>
        <w:pStyle w:val="FootnoteText"/>
      </w:pPr>
      <w:r>
        <w:rPr>
          <w:rStyle w:val="FootnoteReference"/>
        </w:rPr>
        <w:footnoteRef/>
      </w:r>
      <w:r>
        <w:t xml:space="preserve"> Ibid, 126-7</w:t>
      </w:r>
    </w:p>
  </w:footnote>
  <w:footnote w:id="35">
    <w:p w:rsidR="009448C6" w:rsidRPr="0072053A" w:rsidRDefault="009448C6">
      <w:pPr>
        <w:pStyle w:val="FootnoteText"/>
      </w:pPr>
      <w:r>
        <w:rPr>
          <w:rStyle w:val="FootnoteReference"/>
        </w:rPr>
        <w:footnoteRef/>
      </w:r>
      <w:r>
        <w:t xml:space="preserve"> Ibid, 126</w:t>
      </w:r>
    </w:p>
  </w:footnote>
  <w:footnote w:id="36">
    <w:p w:rsidR="009448C6" w:rsidRPr="000F61E6" w:rsidRDefault="009448C6">
      <w:pPr>
        <w:pStyle w:val="FootnoteText"/>
      </w:pPr>
      <w:r>
        <w:rPr>
          <w:rStyle w:val="FootnoteReference"/>
        </w:rPr>
        <w:footnoteRef/>
      </w:r>
      <w:r>
        <w:t xml:space="preserve"> Ibid, 129</w:t>
      </w:r>
    </w:p>
  </w:footnote>
  <w:footnote w:id="37">
    <w:p w:rsidR="009448C6" w:rsidRDefault="009448C6">
      <w:pPr>
        <w:pStyle w:val="FootnoteText"/>
      </w:pPr>
      <w:r>
        <w:rPr>
          <w:rStyle w:val="FootnoteReference"/>
        </w:rPr>
        <w:footnoteRef/>
      </w:r>
      <w:r>
        <w:t xml:space="preserve"> Ibid, 130</w:t>
      </w:r>
    </w:p>
  </w:footnote>
  <w:footnote w:id="38">
    <w:p w:rsidR="009448C6" w:rsidRDefault="009448C6">
      <w:pPr>
        <w:pStyle w:val="FootnoteText"/>
      </w:pPr>
      <w:r>
        <w:rPr>
          <w:rStyle w:val="FootnoteReference"/>
        </w:rPr>
        <w:footnoteRef/>
      </w:r>
      <w:r>
        <w:t xml:space="preserve"> </w:t>
      </w:r>
      <w:r>
        <w:rPr>
          <w:i/>
        </w:rPr>
        <w:t>The Big Typescript TS 213</w:t>
      </w:r>
      <w:r>
        <w:t xml:space="preserve">, 448; </w:t>
      </w:r>
      <w:r>
        <w:rPr>
          <w:i/>
        </w:rPr>
        <w:t>Philosophical Grammar</w:t>
      </w:r>
      <w:r>
        <w:t>, 400</w:t>
      </w:r>
    </w:p>
  </w:footnote>
  <w:footnote w:id="39">
    <w:p w:rsidR="009448C6" w:rsidRDefault="009448C6">
      <w:pPr>
        <w:pStyle w:val="FootnoteText"/>
      </w:pPr>
      <w:r>
        <w:rPr>
          <w:rStyle w:val="FootnoteReference"/>
        </w:rPr>
        <w:footnoteRef/>
      </w:r>
      <w:r>
        <w:t xml:space="preserve"> </w:t>
      </w:r>
      <w:r w:rsidRPr="00386446">
        <w:t>I am grateful to my son, Zeno (whose mathematical gifts are much greater than my own), for talking this proof through with me.</w:t>
      </w:r>
    </w:p>
  </w:footnote>
  <w:footnote w:id="40">
    <w:p w:rsidR="009448C6" w:rsidRDefault="009448C6">
      <w:pPr>
        <w:pStyle w:val="FootnoteText"/>
      </w:pPr>
      <w:r>
        <w:rPr>
          <w:rStyle w:val="FootnoteReference"/>
        </w:rPr>
        <w:footnoteRef/>
      </w:r>
      <w:r>
        <w:t xml:space="preserve"> </w:t>
      </w:r>
      <w:r>
        <w:rPr>
          <w:i/>
        </w:rPr>
        <w:t>The Big Typescript TS 213</w:t>
      </w:r>
      <w:r>
        <w:t xml:space="preserve">, 423; </w:t>
      </w:r>
      <w:r>
        <w:rPr>
          <w:i/>
        </w:rPr>
        <w:t>Philosophical Grammar</w:t>
      </w:r>
      <w:r>
        <w:t>, 367</w:t>
      </w:r>
    </w:p>
  </w:footnote>
  <w:footnote w:id="41">
    <w:p w:rsidR="009448C6" w:rsidRPr="00B22E36" w:rsidRDefault="009448C6">
      <w:pPr>
        <w:pStyle w:val="FootnoteText"/>
      </w:pPr>
      <w:r>
        <w:rPr>
          <w:rStyle w:val="FootnoteReference"/>
        </w:rPr>
        <w:footnoteRef/>
      </w:r>
      <w:r>
        <w:t xml:space="preserve"> </w:t>
      </w:r>
      <w:r>
        <w:rPr>
          <w:i/>
        </w:rPr>
        <w:t>The Big Typescript TS 213</w:t>
      </w:r>
      <w:r>
        <w:t xml:space="preserve">, 444; </w:t>
      </w:r>
      <w:r>
        <w:rPr>
          <w:i/>
        </w:rPr>
        <w:t>Philosophical Grammar</w:t>
      </w:r>
      <w:r>
        <w:t xml:space="preserve">, 396 (the wording quoted is that in the </w:t>
      </w:r>
      <w:r>
        <w:rPr>
          <w:i/>
        </w:rPr>
        <w:t>Grammar</w:t>
      </w:r>
      <w:r>
        <w:t>)</w:t>
      </w:r>
    </w:p>
  </w:footnote>
  <w:footnote w:id="42">
    <w:p w:rsidR="009448C6" w:rsidRPr="002E2CD3" w:rsidRDefault="009448C6" w:rsidP="00386446">
      <w:pPr>
        <w:pStyle w:val="FootnoteText"/>
      </w:pPr>
      <w:r>
        <w:rPr>
          <w:rStyle w:val="FootnoteReference"/>
        </w:rPr>
        <w:footnoteRef/>
      </w:r>
      <w:r>
        <w:t xml:space="preserve"> </w:t>
      </w:r>
      <w:r>
        <w:rPr>
          <w:i/>
        </w:rPr>
        <w:t>The Big Typescript TS 213</w:t>
      </w:r>
      <w:r>
        <w:t xml:space="preserve">, 448; </w:t>
      </w:r>
      <w:r>
        <w:rPr>
          <w:i/>
        </w:rPr>
        <w:t>Philosophical Grammar</w:t>
      </w:r>
      <w:r>
        <w:t>, 400 (where it is translated slightly differently).</w:t>
      </w:r>
    </w:p>
  </w:footnote>
  <w:footnote w:id="43">
    <w:p w:rsidR="009448C6" w:rsidRPr="00577A03" w:rsidRDefault="009448C6">
      <w:pPr>
        <w:pStyle w:val="FootnoteText"/>
      </w:pPr>
      <w:r>
        <w:rPr>
          <w:rStyle w:val="FootnoteReference"/>
        </w:rPr>
        <w:footnoteRef/>
      </w:r>
      <w:r>
        <w:t xml:space="preserve"> Ibid, 449 and 401 respectively (I have used here the translation in the </w:t>
      </w:r>
      <w:r>
        <w:rPr>
          <w:i/>
        </w:rPr>
        <w:t>Grammar</w:t>
      </w:r>
      <w:r>
        <w:t>, which seems to me slightly better).</w:t>
      </w:r>
    </w:p>
  </w:footnote>
  <w:footnote w:id="44">
    <w:p w:rsidR="009448C6" w:rsidRPr="00575B0A" w:rsidRDefault="009448C6">
      <w:pPr>
        <w:pStyle w:val="FootnoteText"/>
      </w:pPr>
      <w:r>
        <w:rPr>
          <w:rStyle w:val="FootnoteReference"/>
        </w:rPr>
        <w:footnoteRef/>
      </w:r>
      <w:r>
        <w:t xml:space="preserve"> Ibid, 423 and 366 (again, the wording quoted is that in the </w:t>
      </w:r>
      <w:r>
        <w:rPr>
          <w:i/>
        </w:rPr>
        <w:t>Grammar</w:t>
      </w:r>
      <w:r>
        <w:t>).</w:t>
      </w:r>
    </w:p>
  </w:footnote>
  <w:footnote w:id="45">
    <w:p w:rsidR="009448C6" w:rsidRDefault="009448C6">
      <w:pPr>
        <w:pStyle w:val="FootnoteText"/>
      </w:pPr>
      <w:r>
        <w:rPr>
          <w:rStyle w:val="FootnoteReference"/>
        </w:rPr>
        <w:footnoteRef/>
      </w:r>
      <w:r>
        <w:t xml:space="preserve"> Ibid, 429 and 376.</w:t>
      </w:r>
    </w:p>
  </w:footnote>
  <w:footnote w:id="46">
    <w:p w:rsidR="009448C6" w:rsidRDefault="009448C6">
      <w:pPr>
        <w:pStyle w:val="FootnoteText"/>
      </w:pPr>
      <w:r>
        <w:rPr>
          <w:rStyle w:val="FootnoteReference"/>
        </w:rPr>
        <w:footnoteRef/>
      </w:r>
      <w:r>
        <w:t xml:space="preserve"> Ibid, 448 and 400-1</w:t>
      </w:r>
    </w:p>
  </w:footnote>
  <w:footnote w:id="47">
    <w:p w:rsidR="009448C6" w:rsidRDefault="009448C6" w:rsidP="00575B0A">
      <w:pPr>
        <w:pStyle w:val="FootnoteText"/>
      </w:pPr>
      <w:r>
        <w:rPr>
          <w:rStyle w:val="FootnoteReference"/>
        </w:rPr>
        <w:footnoteRef/>
      </w:r>
      <w:r>
        <w:t xml:space="preserve"> </w:t>
      </w:r>
      <w:r w:rsidRPr="004F6BD1">
        <w:t>Ibid</w:t>
      </w:r>
      <w:r>
        <w:t xml:space="preserve">, 449 (where the multiplication sign has been replaced – surely erroneously – by the sign for addition) and 401. </w:t>
      </w:r>
    </w:p>
  </w:footnote>
  <w:footnote w:id="48">
    <w:p w:rsidR="009448C6" w:rsidRPr="005922BD" w:rsidRDefault="009448C6" w:rsidP="00575B0A">
      <w:pPr>
        <w:pStyle w:val="FootnoteText"/>
      </w:pPr>
      <w:r>
        <w:rPr>
          <w:rStyle w:val="FootnoteReference"/>
        </w:rPr>
        <w:footnoteRef/>
      </w:r>
      <w:r>
        <w:t xml:space="preserve"> Ibid, 449 and 402</w:t>
      </w:r>
    </w:p>
  </w:footnote>
  <w:footnote w:id="49">
    <w:p w:rsidR="009448C6" w:rsidRDefault="009448C6">
      <w:pPr>
        <w:pStyle w:val="FootnoteText"/>
      </w:pPr>
      <w:r>
        <w:rPr>
          <w:rStyle w:val="FootnoteReference"/>
        </w:rPr>
        <w:footnoteRef/>
      </w:r>
      <w:r>
        <w:t xml:space="preserve"> Ibid. </w:t>
      </w:r>
    </w:p>
  </w:footnote>
  <w:footnote w:id="50">
    <w:p w:rsidR="009448C6" w:rsidRDefault="009448C6">
      <w:pPr>
        <w:pStyle w:val="FootnoteText"/>
      </w:pPr>
      <w:r>
        <w:rPr>
          <w:rStyle w:val="FootnoteReference"/>
        </w:rPr>
        <w:footnoteRef/>
      </w:r>
      <w:r>
        <w:t xml:space="preserve"> Ibid.</w:t>
      </w:r>
    </w:p>
  </w:footnote>
  <w:footnote w:id="51">
    <w:p w:rsidR="009448C6" w:rsidRDefault="009448C6">
      <w:pPr>
        <w:pStyle w:val="FootnoteText"/>
      </w:pPr>
      <w:r>
        <w:rPr>
          <w:rStyle w:val="FootnoteReference"/>
        </w:rPr>
        <w:footnoteRef/>
      </w:r>
      <w:r>
        <w:t xml:space="preserve"> Ibid, 450, 402.</w:t>
      </w:r>
    </w:p>
  </w:footnote>
  <w:footnote w:id="52">
    <w:p w:rsidR="009448C6" w:rsidRDefault="009448C6">
      <w:pPr>
        <w:pStyle w:val="FootnoteText"/>
      </w:pPr>
      <w:r>
        <w:rPr>
          <w:rStyle w:val="FootnoteReference"/>
        </w:rPr>
        <w:footnoteRef/>
      </w:r>
      <w:r>
        <w:t xml:space="preserve"> Ibid, 450, 403</w:t>
      </w:r>
    </w:p>
  </w:footnote>
  <w:footnote w:id="53">
    <w:p w:rsidR="009448C6" w:rsidRDefault="009448C6">
      <w:pPr>
        <w:pStyle w:val="FootnoteText"/>
      </w:pPr>
      <w:r>
        <w:rPr>
          <w:rStyle w:val="FootnoteReference"/>
        </w:rPr>
        <w:footnoteRef/>
      </w:r>
      <w:r>
        <w:t xml:space="preserve"> Ibid, 450, 403</w:t>
      </w:r>
    </w:p>
  </w:footnote>
  <w:footnote w:id="54">
    <w:p w:rsidR="009448C6" w:rsidRDefault="009448C6">
      <w:pPr>
        <w:pStyle w:val="FootnoteText"/>
      </w:pPr>
      <w:r>
        <w:rPr>
          <w:rStyle w:val="FootnoteReference"/>
        </w:rPr>
        <w:footnoteRef/>
      </w:r>
      <w:r>
        <w:t xml:space="preserve"> Ibid, 451, 404.</w:t>
      </w:r>
    </w:p>
  </w:footnote>
  <w:footnote w:id="55">
    <w:p w:rsidR="009448C6" w:rsidRPr="000C666F" w:rsidRDefault="009448C6">
      <w:pPr>
        <w:pStyle w:val="FootnoteText"/>
      </w:pPr>
      <w:r>
        <w:rPr>
          <w:rStyle w:val="FootnoteReference"/>
        </w:rPr>
        <w:footnoteRef/>
      </w:r>
      <w:r>
        <w:t xml:space="preserve"> </w:t>
      </w:r>
      <w:r>
        <w:rPr>
          <w:i/>
        </w:rPr>
        <w:t>Remarks</w:t>
      </w:r>
      <w:r>
        <w:t>, 129</w:t>
      </w:r>
    </w:p>
  </w:footnote>
  <w:footnote w:id="56">
    <w:p w:rsidR="009448C6" w:rsidRPr="00A33C87" w:rsidRDefault="009448C6">
      <w:pPr>
        <w:pStyle w:val="FootnoteText"/>
      </w:pPr>
      <w:r>
        <w:rPr>
          <w:rStyle w:val="FootnoteReference"/>
        </w:rPr>
        <w:footnoteRef/>
      </w:r>
      <w:r>
        <w:t xml:space="preserve"> </w:t>
      </w:r>
      <w:r>
        <w:rPr>
          <w:i/>
        </w:rPr>
        <w:t>The Big Typescript TS 213</w:t>
      </w:r>
      <w:r>
        <w:t xml:space="preserve">, 409, </w:t>
      </w:r>
      <w:r>
        <w:rPr>
          <w:i/>
        </w:rPr>
        <w:t>Philosophical Grammar</w:t>
      </w:r>
      <w:r>
        <w:t>, 347</w:t>
      </w:r>
    </w:p>
  </w:footnote>
  <w:footnote w:id="57">
    <w:p w:rsidR="009448C6" w:rsidRPr="00A33818" w:rsidRDefault="009448C6">
      <w:pPr>
        <w:pStyle w:val="FootnoteText"/>
      </w:pPr>
      <w:r>
        <w:rPr>
          <w:rStyle w:val="FootnoteReference"/>
        </w:rPr>
        <w:footnoteRef/>
      </w:r>
      <w:r>
        <w:t xml:space="preserve"> See </w:t>
      </w:r>
      <w:r>
        <w:rPr>
          <w:i/>
        </w:rPr>
        <w:t>Wittgenstein and Phenomenology</w:t>
      </w:r>
      <w:r>
        <w:t xml:space="preserve">, 35 and 158 (also ‘Wittgenstein’s Phenomenology Revisited’, 276), where Gier cites </w:t>
      </w:r>
      <w:r>
        <w:rPr>
          <w:i/>
        </w:rPr>
        <w:t>Remarks on the Foundation of Mathematics</w:t>
      </w:r>
      <w:r>
        <w:t xml:space="preserve"> (New York: Macmillan, 1956), 125-6. The relevant passages appear in the third edition (Oxford: Basil Blackwell, 1978), 245-6.</w:t>
      </w:r>
    </w:p>
  </w:footnote>
  <w:footnote w:id="58">
    <w:p w:rsidR="009448C6" w:rsidRPr="001F1DFF" w:rsidRDefault="009448C6">
      <w:pPr>
        <w:pStyle w:val="FootnoteText"/>
      </w:pPr>
      <w:r>
        <w:rPr>
          <w:rStyle w:val="FootnoteReference"/>
        </w:rPr>
        <w:footnoteRef/>
      </w:r>
      <w:r>
        <w:t xml:space="preserve"> </w:t>
      </w:r>
      <w:r>
        <w:rPr>
          <w:i/>
        </w:rPr>
        <w:t>Remarks on the Foundation of Mathematics</w:t>
      </w:r>
      <w:r>
        <w:t xml:space="preserve"> (Oxford: Basil Blackwell, 1978), 245-6</w:t>
      </w:r>
    </w:p>
  </w:footnote>
  <w:footnote w:id="59">
    <w:p w:rsidR="009448C6" w:rsidRPr="002871DB" w:rsidRDefault="009448C6" w:rsidP="00DB67BA">
      <w:pPr>
        <w:pStyle w:val="NoSpacing"/>
      </w:pPr>
      <w:r w:rsidRPr="00CB0429">
        <w:rPr>
          <w:rStyle w:val="FootnoteReference"/>
          <w:sz w:val="20"/>
          <w:szCs w:val="20"/>
        </w:rPr>
        <w:footnoteRef/>
      </w:r>
      <w:r>
        <w:rPr>
          <w:sz w:val="20"/>
          <w:szCs w:val="20"/>
        </w:rPr>
        <w:t xml:space="preserve"> There is a </w:t>
      </w:r>
      <w:r w:rsidRPr="00CB0429">
        <w:rPr>
          <w:sz w:val="20"/>
          <w:szCs w:val="20"/>
        </w:rPr>
        <w:t xml:space="preserve">similarity between this notion of the ‘analytic a posteriori’ (a term that, of course, is not used by Wittgenstein, or, as far as I know, by </w:t>
      </w:r>
      <w:r w:rsidRPr="00CB0429">
        <w:rPr>
          <w:i/>
          <w:sz w:val="20"/>
          <w:szCs w:val="20"/>
        </w:rPr>
        <w:t>anyone</w:t>
      </w:r>
      <w:r w:rsidRPr="00CB0429">
        <w:rPr>
          <w:sz w:val="20"/>
          <w:szCs w:val="20"/>
        </w:rPr>
        <w:t xml:space="preserve">) and the notion of the ‘phenomenally analytic’ that P. F. Strawson uses in the final chapter of </w:t>
      </w:r>
      <w:r w:rsidRPr="00CB0429">
        <w:rPr>
          <w:i/>
          <w:sz w:val="20"/>
          <w:szCs w:val="20"/>
        </w:rPr>
        <w:t>The Bounds of Sense</w:t>
      </w:r>
      <w:r w:rsidRPr="00CB0429">
        <w:rPr>
          <w:sz w:val="20"/>
          <w:szCs w:val="20"/>
        </w:rPr>
        <w:t xml:space="preserve">. There, Strawson invokes the notion as a partial defence of Kant’s theory of geometry, arguing </w:t>
      </w:r>
      <w:r>
        <w:rPr>
          <w:sz w:val="20"/>
          <w:szCs w:val="20"/>
        </w:rPr>
        <w:t xml:space="preserve">that </w:t>
      </w:r>
      <w:r w:rsidRPr="00CB0429">
        <w:rPr>
          <w:sz w:val="20"/>
          <w:szCs w:val="20"/>
        </w:rPr>
        <w:t>what Kant says about geometry might be accorded some legitimacy if interpreted as being</w:t>
      </w:r>
      <w:r>
        <w:rPr>
          <w:sz w:val="20"/>
          <w:szCs w:val="20"/>
        </w:rPr>
        <w:t xml:space="preserve"> about</w:t>
      </w:r>
      <w:r w:rsidRPr="00CB0429">
        <w:rPr>
          <w:sz w:val="20"/>
          <w:szCs w:val="20"/>
        </w:rPr>
        <w:t xml:space="preserve">, not physical geometry, but ‘phenomenal geometry’. This latter, Strawson says, would study, for example, </w:t>
      </w:r>
      <w:r>
        <w:rPr>
          <w:sz w:val="20"/>
          <w:szCs w:val="20"/>
        </w:rPr>
        <w:t>‘phenomenal straight lines’, which ‘</w:t>
      </w:r>
      <w:r w:rsidRPr="00CB0429">
        <w:rPr>
          <w:sz w:val="20"/>
          <w:szCs w:val="20"/>
        </w:rPr>
        <w:t>are not physical objects, or physical edges which, when we see them, look straight</w:t>
      </w:r>
      <w:r>
        <w:rPr>
          <w:sz w:val="20"/>
          <w:szCs w:val="20"/>
        </w:rPr>
        <w:t>…</w:t>
      </w:r>
      <w:r w:rsidRPr="00CB0429">
        <w:rPr>
          <w:sz w:val="20"/>
          <w:szCs w:val="20"/>
        </w:rPr>
        <w:t xml:space="preserve"> </w:t>
      </w:r>
      <w:r>
        <w:rPr>
          <w:sz w:val="20"/>
          <w:szCs w:val="20"/>
        </w:rPr>
        <w:t xml:space="preserve">[but] </w:t>
      </w:r>
      <w:r w:rsidRPr="00CB0429">
        <w:rPr>
          <w:sz w:val="20"/>
          <w:szCs w:val="20"/>
        </w:rPr>
        <w:t>rather just the looks themselves which physical things have when, and i</w:t>
      </w:r>
      <w:r>
        <w:rPr>
          <w:sz w:val="20"/>
          <w:szCs w:val="20"/>
        </w:rPr>
        <w:t xml:space="preserve">n so far as, they look straight’. </w:t>
      </w:r>
      <w:r w:rsidRPr="00CB0429">
        <w:rPr>
          <w:sz w:val="20"/>
          <w:szCs w:val="20"/>
        </w:rPr>
        <w:t>(</w:t>
      </w:r>
      <w:r>
        <w:rPr>
          <w:sz w:val="20"/>
          <w:szCs w:val="20"/>
        </w:rPr>
        <w:t xml:space="preserve">Strawson, P. F. </w:t>
      </w:r>
      <w:r>
        <w:rPr>
          <w:i/>
          <w:sz w:val="20"/>
          <w:szCs w:val="20"/>
        </w:rPr>
        <w:t>The Bounds of Sense</w:t>
      </w:r>
      <w:r>
        <w:rPr>
          <w:sz w:val="20"/>
          <w:szCs w:val="20"/>
        </w:rPr>
        <w:t>, London: Methuen, 1966,</w:t>
      </w:r>
      <w:r>
        <w:rPr>
          <w:i/>
          <w:sz w:val="20"/>
          <w:szCs w:val="20"/>
        </w:rPr>
        <w:t xml:space="preserve"> </w:t>
      </w:r>
      <w:r w:rsidRPr="00CB0429">
        <w:rPr>
          <w:sz w:val="20"/>
          <w:szCs w:val="20"/>
        </w:rPr>
        <w:t>282)</w:t>
      </w:r>
      <w:r>
        <w:rPr>
          <w:sz w:val="20"/>
          <w:szCs w:val="20"/>
        </w:rPr>
        <w:t>. Like Wittgenstein in his use of the notion I am calling the ‘analytic a posteriori’, Strawson invokes the notion of ‘phenomenally analytic’ in an effort to find some middle ground between the tautological and the synthetic.</w:t>
      </w:r>
    </w:p>
  </w:footnote>
  <w:footnote w:id="60">
    <w:p w:rsidR="009448C6" w:rsidRPr="00A774CE" w:rsidRDefault="009448C6">
      <w:pPr>
        <w:pStyle w:val="FootnoteText"/>
      </w:pPr>
      <w:r>
        <w:rPr>
          <w:rStyle w:val="FootnoteReference"/>
        </w:rPr>
        <w:footnoteRef/>
      </w:r>
      <w:r>
        <w:t xml:space="preserve"> Copi, Irving M. and Beard, Robert W. (eds.), </w:t>
      </w:r>
      <w:r>
        <w:rPr>
          <w:i/>
        </w:rPr>
        <w:t xml:space="preserve">Essays on Wittgenstein’s </w:t>
      </w:r>
      <w:r w:rsidRPr="00A774CE">
        <w:rPr>
          <w:i/>
        </w:rPr>
        <w:t>Tractatus</w:t>
      </w:r>
      <w:r>
        <w:t xml:space="preserve"> (London: Routledge &amp; Kegan Paul, 1966), 31-8. The paper was written for (but not read at) the 1929 Annual Joint Session of the Aristotelian Society and Mind Association, held in Nottingham, 12-15 July.</w:t>
      </w:r>
    </w:p>
  </w:footnote>
  <w:footnote w:id="61">
    <w:p w:rsidR="009448C6" w:rsidRPr="00A774CE" w:rsidRDefault="009448C6">
      <w:pPr>
        <w:pStyle w:val="FootnoteText"/>
      </w:pPr>
      <w:r>
        <w:rPr>
          <w:rStyle w:val="FootnoteReference"/>
        </w:rPr>
        <w:footnoteRef/>
      </w:r>
      <w:r>
        <w:t xml:space="preserve"> </w:t>
      </w:r>
      <w:r>
        <w:rPr>
          <w:i/>
        </w:rPr>
        <w:t>Mind</w:t>
      </w:r>
      <w:r>
        <w:t xml:space="preserve">, 32 (128), 1923, 465-78, reprinted in </w:t>
      </w:r>
      <w:r>
        <w:rPr>
          <w:i/>
        </w:rPr>
        <w:t>Essays on Wittgenstein’s Tractatus</w:t>
      </w:r>
      <w:r>
        <w:t>, 9-23.</w:t>
      </w:r>
    </w:p>
  </w:footnote>
  <w:footnote w:id="62">
    <w:p w:rsidR="009448C6" w:rsidRDefault="009448C6">
      <w:pPr>
        <w:pStyle w:val="FootnoteText"/>
      </w:pPr>
      <w:r>
        <w:rPr>
          <w:rStyle w:val="FootnoteReference"/>
        </w:rPr>
        <w:footnoteRef/>
      </w:r>
      <w:r>
        <w:t xml:space="preserve"> Ibid, 18.</w:t>
      </w:r>
    </w:p>
  </w:footnote>
  <w:footnote w:id="63">
    <w:p w:rsidR="009448C6" w:rsidRPr="00B803C2" w:rsidRDefault="009448C6">
      <w:pPr>
        <w:pStyle w:val="FootnoteText"/>
        <w:rPr>
          <w:i/>
        </w:rPr>
      </w:pPr>
      <w:r>
        <w:rPr>
          <w:rStyle w:val="FootnoteReference"/>
        </w:rPr>
        <w:footnoteRef/>
      </w:r>
      <w:r>
        <w:t xml:space="preserve"> Quite apart from the logical difficulties mentioned by Ramsey, this particle theory of light and colour had, of course, at the time Wittgenstein was writing the </w:t>
      </w:r>
      <w:r>
        <w:rPr>
          <w:i/>
        </w:rPr>
        <w:t>Tractatus</w:t>
      </w:r>
      <w:r>
        <w:t xml:space="preserve">, long been abandoned in favour of a wave theory that regards different colours as produced by different </w:t>
      </w:r>
      <w:r w:rsidRPr="00562274">
        <w:rPr>
          <w:i/>
        </w:rPr>
        <w:t>frequencies</w:t>
      </w:r>
      <w:r>
        <w:t>.</w:t>
      </w:r>
    </w:p>
  </w:footnote>
  <w:footnote w:id="64">
    <w:p w:rsidR="009448C6" w:rsidRPr="00B459E0" w:rsidRDefault="009448C6">
      <w:pPr>
        <w:pStyle w:val="FootnoteText"/>
      </w:pPr>
      <w:r>
        <w:rPr>
          <w:rStyle w:val="FootnoteReference"/>
        </w:rPr>
        <w:footnoteRef/>
      </w:r>
      <w:r>
        <w:t xml:space="preserve"> </w:t>
      </w:r>
      <w:r>
        <w:rPr>
          <w:i/>
        </w:rPr>
        <w:t>Wittgenstein and the Vienna Circle</w:t>
      </w:r>
      <w:r>
        <w:t>, 64</w:t>
      </w:r>
    </w:p>
  </w:footnote>
  <w:footnote w:id="65">
    <w:p w:rsidR="009448C6" w:rsidRPr="00644F7B" w:rsidRDefault="009448C6">
      <w:pPr>
        <w:pStyle w:val="FootnoteText"/>
      </w:pPr>
      <w:r>
        <w:rPr>
          <w:rStyle w:val="FootnoteReference"/>
        </w:rPr>
        <w:footnoteRef/>
      </w:r>
      <w:r>
        <w:t xml:space="preserve"> </w:t>
      </w:r>
      <w:r>
        <w:rPr>
          <w:i/>
        </w:rPr>
        <w:t xml:space="preserve">Essays on Wittgenstein’s </w:t>
      </w:r>
      <w:r w:rsidRPr="00A774CE">
        <w:rPr>
          <w:i/>
        </w:rPr>
        <w:t>Tractatus</w:t>
      </w:r>
      <w:r>
        <w:t>, 32</w:t>
      </w:r>
    </w:p>
  </w:footnote>
  <w:footnote w:id="66">
    <w:p w:rsidR="009448C6" w:rsidRDefault="009448C6">
      <w:pPr>
        <w:pStyle w:val="FootnoteText"/>
      </w:pPr>
      <w:r>
        <w:rPr>
          <w:rStyle w:val="FootnoteReference"/>
        </w:rPr>
        <w:footnoteRef/>
      </w:r>
      <w:r>
        <w:t xml:space="preserve"> Ibid.</w:t>
      </w:r>
    </w:p>
  </w:footnote>
  <w:footnote w:id="67">
    <w:p w:rsidR="009448C6" w:rsidRDefault="009448C6">
      <w:pPr>
        <w:pStyle w:val="FootnoteText"/>
      </w:pPr>
      <w:r>
        <w:rPr>
          <w:rStyle w:val="FootnoteReference"/>
        </w:rPr>
        <w:footnoteRef/>
      </w:r>
      <w:r>
        <w:t xml:space="preserve"> Ibid, 37.</w:t>
      </w:r>
    </w:p>
  </w:footnote>
  <w:footnote w:id="68">
    <w:p w:rsidR="009448C6" w:rsidRPr="00BF35A2" w:rsidRDefault="009448C6" w:rsidP="009E505A">
      <w:pPr>
        <w:pStyle w:val="FootnoteText"/>
      </w:pPr>
      <w:r>
        <w:rPr>
          <w:rStyle w:val="FootnoteReference"/>
        </w:rPr>
        <w:footnoteRef/>
      </w:r>
      <w:r>
        <w:t xml:space="preserve"> </w:t>
      </w:r>
      <w:r>
        <w:rPr>
          <w:i/>
        </w:rPr>
        <w:t>Remarks</w:t>
      </w:r>
      <w:r>
        <w:t xml:space="preserve">, 273. It is important to note that in </w:t>
      </w:r>
      <w:r>
        <w:rPr>
          <w:i/>
        </w:rPr>
        <w:t>Philosophical Remarks</w:t>
      </w:r>
      <w:r>
        <w:t xml:space="preserve"> the remarks do </w:t>
      </w:r>
      <w:r>
        <w:rPr>
          <w:i/>
        </w:rPr>
        <w:t>not</w:t>
      </w:r>
      <w:r>
        <w:t xml:space="preserve"> appear in the order in which they were written.</w:t>
      </w:r>
    </w:p>
  </w:footnote>
  <w:footnote w:id="69">
    <w:p w:rsidR="009448C6" w:rsidRDefault="009448C6">
      <w:pPr>
        <w:pStyle w:val="FootnoteText"/>
      </w:pPr>
      <w:r>
        <w:rPr>
          <w:rStyle w:val="FootnoteReference"/>
        </w:rPr>
        <w:footnoteRef/>
      </w:r>
      <w:r>
        <w:t xml:space="preserve"> See MS 105, 89-90</w:t>
      </w:r>
    </w:p>
  </w:footnote>
  <w:footnote w:id="70">
    <w:p w:rsidR="009448C6" w:rsidRPr="00D5794C" w:rsidRDefault="009448C6">
      <w:pPr>
        <w:pStyle w:val="FootnoteText"/>
      </w:pPr>
      <w:r>
        <w:rPr>
          <w:rStyle w:val="FootnoteReference"/>
        </w:rPr>
        <w:footnoteRef/>
      </w:r>
      <w:r>
        <w:t xml:space="preserve"> Husserl, Edmund, </w:t>
      </w:r>
      <w:r>
        <w:rPr>
          <w:i/>
        </w:rPr>
        <w:t>Logical Investigations Volume One</w:t>
      </w:r>
      <w:r>
        <w:t xml:space="preserve"> (London: Routledge &amp; Kegan Paul, 1970), 262.</w:t>
      </w:r>
    </w:p>
  </w:footnote>
  <w:footnote w:id="71">
    <w:p w:rsidR="009448C6" w:rsidRDefault="009448C6">
      <w:pPr>
        <w:pStyle w:val="FootnoteText"/>
      </w:pPr>
      <w:r>
        <w:rPr>
          <w:rStyle w:val="FootnoteReference"/>
        </w:rPr>
        <w:footnoteRef/>
      </w:r>
      <w:r>
        <w:t xml:space="preserve"> Ibid, 262-3</w:t>
      </w:r>
    </w:p>
  </w:footnote>
  <w:footnote w:id="72">
    <w:p w:rsidR="009448C6" w:rsidRDefault="009448C6">
      <w:pPr>
        <w:pStyle w:val="FootnoteText"/>
      </w:pPr>
      <w:r>
        <w:rPr>
          <w:rStyle w:val="FootnoteReference"/>
        </w:rPr>
        <w:footnoteRef/>
      </w:r>
      <w:r>
        <w:t xml:space="preserve"> Ibid, 261</w:t>
      </w:r>
    </w:p>
  </w:footnote>
  <w:footnote w:id="73">
    <w:p w:rsidR="009448C6" w:rsidRDefault="009448C6">
      <w:pPr>
        <w:pStyle w:val="FootnoteText"/>
      </w:pPr>
      <w:r>
        <w:rPr>
          <w:rStyle w:val="FootnoteReference"/>
        </w:rPr>
        <w:footnoteRef/>
      </w:r>
      <w:r>
        <w:t xml:space="preserve"> </w:t>
      </w:r>
      <w:r>
        <w:rPr>
          <w:i/>
        </w:rPr>
        <w:t>Philosophical Remarks</w:t>
      </w:r>
      <w:r>
        <w:t>, 83.</w:t>
      </w:r>
    </w:p>
  </w:footnote>
  <w:footnote w:id="74">
    <w:p w:rsidR="009448C6" w:rsidRDefault="009448C6">
      <w:pPr>
        <w:pStyle w:val="FootnoteText"/>
      </w:pPr>
      <w:r>
        <w:rPr>
          <w:rStyle w:val="FootnoteReference"/>
        </w:rPr>
        <w:footnoteRef/>
      </w:r>
      <w:r>
        <w:t xml:space="preserve"> Ibid, 98</w:t>
      </w:r>
    </w:p>
  </w:footnote>
  <w:footnote w:id="75">
    <w:p w:rsidR="009448C6" w:rsidRDefault="009448C6">
      <w:pPr>
        <w:pStyle w:val="FootnoteText"/>
      </w:pPr>
      <w:r>
        <w:rPr>
          <w:rStyle w:val="FootnoteReference"/>
        </w:rPr>
        <w:footnoteRef/>
      </w:r>
      <w:r>
        <w:t xml:space="preserve"> Ibid, 103.</w:t>
      </w:r>
    </w:p>
  </w:footnote>
  <w:footnote w:id="76">
    <w:p w:rsidR="009448C6" w:rsidRDefault="009448C6">
      <w:pPr>
        <w:pStyle w:val="FootnoteText"/>
      </w:pPr>
      <w:r>
        <w:rPr>
          <w:rStyle w:val="FootnoteReference"/>
        </w:rPr>
        <w:footnoteRef/>
      </w:r>
      <w:r>
        <w:t xml:space="preserve"> Ibid, 100</w:t>
      </w:r>
    </w:p>
  </w:footnote>
  <w:footnote w:id="77">
    <w:p w:rsidR="009448C6" w:rsidRDefault="009448C6">
      <w:pPr>
        <w:pStyle w:val="FootnoteText"/>
      </w:pPr>
      <w:r>
        <w:rPr>
          <w:rStyle w:val="FootnoteReference"/>
        </w:rPr>
        <w:footnoteRef/>
      </w:r>
      <w:r>
        <w:t xml:space="preserve"> Ibid, 102</w:t>
      </w:r>
    </w:p>
  </w:footnote>
  <w:footnote w:id="78">
    <w:p w:rsidR="009448C6" w:rsidRPr="00656DFA" w:rsidRDefault="009448C6">
      <w:pPr>
        <w:pStyle w:val="FootnoteText"/>
      </w:pPr>
      <w:r>
        <w:rPr>
          <w:rStyle w:val="FootnoteReference"/>
        </w:rPr>
        <w:footnoteRef/>
      </w:r>
      <w:r>
        <w:t xml:space="preserve"> Soren Overgaard and Dan Zahavi, in their essay ‘Understanding (other) minds: Wittgenstein’s phenomenological contribution’ (in Zamuner, Edoardo and Levy, D. K. (eds), </w:t>
      </w:r>
      <w:r>
        <w:rPr>
          <w:i/>
        </w:rPr>
        <w:t>Wittgenstein’s Enduring Arguments</w:t>
      </w:r>
      <w:r>
        <w:t xml:space="preserve"> (London: Routledge, 2009, 60-86), quote some comments I made about these Husserlian passages from section VII of the </w:t>
      </w:r>
      <w:r>
        <w:rPr>
          <w:i/>
        </w:rPr>
        <w:t>Remarks</w:t>
      </w:r>
      <w:r>
        <w:t xml:space="preserve"> in a much earlier, very different and unpublished version of this current paper. There, I described them as ‘absurd’, ‘embarrassing’ and a ‘momentary lapse’. I would not now speak so disparagingly of them, though, as I hope to show, Wittgenstein’s adherence to this way of looking at things was indeed ‘momentary’.</w:t>
      </w:r>
    </w:p>
  </w:footnote>
  <w:footnote w:id="79">
    <w:p w:rsidR="009448C6" w:rsidRDefault="009448C6">
      <w:pPr>
        <w:pStyle w:val="FootnoteText"/>
      </w:pPr>
      <w:r>
        <w:rPr>
          <w:rStyle w:val="FootnoteReference"/>
        </w:rPr>
        <w:footnoteRef/>
      </w:r>
      <w:r>
        <w:t xml:space="preserve"> Ibid, 51.</w:t>
      </w:r>
    </w:p>
  </w:footnote>
  <w:footnote w:id="80">
    <w:p w:rsidR="009448C6" w:rsidRPr="00DE3B8C" w:rsidRDefault="009448C6">
      <w:pPr>
        <w:pStyle w:val="FootnoteText"/>
      </w:pPr>
      <w:r>
        <w:rPr>
          <w:rStyle w:val="FootnoteReference"/>
        </w:rPr>
        <w:footnoteRef/>
      </w:r>
      <w:r>
        <w:t xml:space="preserve"> MS 107, 175. There are very good discussions of the change that took place in Wittgenstein’s thought in October 1929, and the contrast between what he wrote after that change and what he had written earlier on phenomenology, in Paul, Denis, </w:t>
      </w:r>
      <w:r>
        <w:rPr>
          <w:i/>
        </w:rPr>
        <w:t>Wittgenstein’s Progress 1929-1951</w:t>
      </w:r>
      <w:r>
        <w:t xml:space="preserve"> (Bergen, Wittgenstein Archives, 2007) and also in Noë, Robert Alva, ‘Wittgenstein, Phenomenology and What It Makes Sense to Sat’, </w:t>
      </w:r>
      <w:r>
        <w:rPr>
          <w:i/>
        </w:rPr>
        <w:t>Philosophy and Phenomenological Research</w:t>
      </w:r>
      <w:r>
        <w:t>, 54 (1), 1994, 1-42</w:t>
      </w:r>
    </w:p>
  </w:footnote>
  <w:footnote w:id="81">
    <w:p w:rsidR="009448C6" w:rsidRPr="0015514C" w:rsidRDefault="009448C6">
      <w:pPr>
        <w:pStyle w:val="FootnoteText"/>
        <w:rPr>
          <w:lang w:val="de-DE"/>
        </w:rPr>
      </w:pPr>
      <w:r>
        <w:rPr>
          <w:rStyle w:val="FootnoteReference"/>
        </w:rPr>
        <w:footnoteRef/>
      </w:r>
      <w:r w:rsidRPr="0015514C">
        <w:rPr>
          <w:lang w:val="de-DE"/>
        </w:rPr>
        <w:t xml:space="preserve"> </w:t>
      </w:r>
      <w:r w:rsidRPr="0015514C">
        <w:rPr>
          <w:i/>
          <w:lang w:val="de-DE"/>
        </w:rPr>
        <w:t>Investigating Wittgenstein</w:t>
      </w:r>
      <w:r w:rsidRPr="0015514C">
        <w:rPr>
          <w:lang w:val="de-DE"/>
        </w:rPr>
        <w:t>, 138</w:t>
      </w:r>
    </w:p>
  </w:footnote>
  <w:footnote w:id="82">
    <w:p w:rsidR="009448C6" w:rsidRPr="0015514C" w:rsidRDefault="009448C6">
      <w:pPr>
        <w:pStyle w:val="FootnoteText"/>
        <w:rPr>
          <w:lang w:val="de-DE"/>
        </w:rPr>
      </w:pPr>
      <w:r>
        <w:rPr>
          <w:rStyle w:val="FootnoteReference"/>
        </w:rPr>
        <w:footnoteRef/>
      </w:r>
      <w:r w:rsidRPr="0015514C">
        <w:rPr>
          <w:lang w:val="de-DE"/>
        </w:rPr>
        <w:t xml:space="preserve"> ‘Wittgenstein’s Phenomenology Revisited’, 276-7.</w:t>
      </w:r>
    </w:p>
  </w:footnote>
  <w:footnote w:id="83">
    <w:p w:rsidR="00CD08AE" w:rsidRPr="00CD08AE" w:rsidRDefault="00CD08AE">
      <w:pPr>
        <w:pStyle w:val="FootnoteText"/>
      </w:pPr>
      <w:r>
        <w:rPr>
          <w:rStyle w:val="FootnoteReference"/>
        </w:rPr>
        <w:footnoteRef/>
      </w:r>
      <w:r>
        <w:t xml:space="preserve"> See </w:t>
      </w:r>
      <w:r>
        <w:rPr>
          <w:i/>
        </w:rPr>
        <w:t>Remarks</w:t>
      </w:r>
      <w:r>
        <w:t>, 52</w:t>
      </w:r>
    </w:p>
  </w:footnote>
  <w:footnote w:id="84">
    <w:p w:rsidR="00A67972" w:rsidRDefault="00A67972">
      <w:pPr>
        <w:pStyle w:val="FootnoteText"/>
      </w:pPr>
      <w:r>
        <w:rPr>
          <w:rStyle w:val="FootnoteReference"/>
        </w:rPr>
        <w:footnoteRef/>
      </w:r>
      <w:r>
        <w:t xml:space="preserve"> Ibid, 75</w:t>
      </w:r>
    </w:p>
  </w:footnote>
  <w:footnote w:id="85">
    <w:p w:rsidR="00BA35D1" w:rsidRDefault="00BA35D1">
      <w:pPr>
        <w:pStyle w:val="FootnoteText"/>
      </w:pPr>
      <w:r>
        <w:rPr>
          <w:rStyle w:val="FootnoteReference"/>
        </w:rPr>
        <w:footnoteRef/>
      </w:r>
      <w:r>
        <w:t xml:space="preserve"> Ibid, 52</w:t>
      </w:r>
    </w:p>
  </w:footnote>
  <w:footnote w:id="86">
    <w:p w:rsidR="00CD0A14" w:rsidRDefault="00CD0A14">
      <w:pPr>
        <w:pStyle w:val="FootnoteText"/>
      </w:pPr>
      <w:r>
        <w:rPr>
          <w:rStyle w:val="FootnoteReference"/>
        </w:rPr>
        <w:footnoteRef/>
      </w:r>
      <w:r>
        <w:t xml:space="preserve"> Ibid, 53</w:t>
      </w:r>
    </w:p>
  </w:footnote>
  <w:footnote w:id="87">
    <w:p w:rsidR="00F67406" w:rsidRDefault="00F67406">
      <w:pPr>
        <w:pStyle w:val="FootnoteText"/>
      </w:pPr>
      <w:r>
        <w:rPr>
          <w:rStyle w:val="FootnoteReference"/>
        </w:rPr>
        <w:footnoteRef/>
      </w:r>
      <w:r>
        <w:t xml:space="preserve"> Ibid, 55</w:t>
      </w:r>
    </w:p>
  </w:footnote>
  <w:footnote w:id="88">
    <w:p w:rsidR="00786610" w:rsidRPr="00786610" w:rsidRDefault="00786610">
      <w:pPr>
        <w:pStyle w:val="FootnoteText"/>
      </w:pPr>
      <w:r>
        <w:rPr>
          <w:rStyle w:val="FootnoteReference"/>
        </w:rPr>
        <w:footnoteRef/>
      </w:r>
      <w:r>
        <w:t xml:space="preserve"> </w:t>
      </w:r>
      <w:r>
        <w:rPr>
          <w:i/>
        </w:rPr>
        <w:t>The Big Typescript: TS 213</w:t>
      </w:r>
      <w:r>
        <w:t>, 307-8</w:t>
      </w:r>
    </w:p>
  </w:footnote>
  <w:footnote w:id="89">
    <w:p w:rsidR="00786610" w:rsidRDefault="00786610">
      <w:pPr>
        <w:pStyle w:val="FootnoteText"/>
      </w:pPr>
      <w:r>
        <w:rPr>
          <w:rStyle w:val="FootnoteReference"/>
        </w:rPr>
        <w:footnoteRef/>
      </w:r>
      <w:r>
        <w:t xml:space="preserve"> Ibid, 320</w:t>
      </w:r>
    </w:p>
  </w:footnote>
  <w:footnote w:id="90">
    <w:p w:rsidR="00D927E9" w:rsidRDefault="00D927E9">
      <w:pPr>
        <w:pStyle w:val="FootnoteText"/>
      </w:pPr>
      <w:r>
        <w:rPr>
          <w:rStyle w:val="FootnoteReference"/>
        </w:rPr>
        <w:footnoteRef/>
      </w:r>
      <w:r>
        <w:t xml:space="preserve"> Ibid, 322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A51"/>
    <w:multiLevelType w:val="hybridMultilevel"/>
    <w:tmpl w:val="3C9ED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0"/>
    <w:rsid w:val="00010761"/>
    <w:rsid w:val="0001219D"/>
    <w:rsid w:val="000171CE"/>
    <w:rsid w:val="00026A3D"/>
    <w:rsid w:val="0003481F"/>
    <w:rsid w:val="00042AF0"/>
    <w:rsid w:val="00065025"/>
    <w:rsid w:val="00071C88"/>
    <w:rsid w:val="000725EF"/>
    <w:rsid w:val="0007576B"/>
    <w:rsid w:val="00077C6B"/>
    <w:rsid w:val="00081F15"/>
    <w:rsid w:val="00087E54"/>
    <w:rsid w:val="000918F5"/>
    <w:rsid w:val="000B4794"/>
    <w:rsid w:val="000C17A5"/>
    <w:rsid w:val="000C666F"/>
    <w:rsid w:val="000D5DE1"/>
    <w:rsid w:val="000E6F34"/>
    <w:rsid w:val="000F0F3B"/>
    <w:rsid w:val="000F61E6"/>
    <w:rsid w:val="001044D2"/>
    <w:rsid w:val="00107469"/>
    <w:rsid w:val="001202D0"/>
    <w:rsid w:val="00143F80"/>
    <w:rsid w:val="00145625"/>
    <w:rsid w:val="0015514C"/>
    <w:rsid w:val="001601BE"/>
    <w:rsid w:val="00160401"/>
    <w:rsid w:val="001624FC"/>
    <w:rsid w:val="00164277"/>
    <w:rsid w:val="001645B4"/>
    <w:rsid w:val="001840B1"/>
    <w:rsid w:val="001874AA"/>
    <w:rsid w:val="001957EF"/>
    <w:rsid w:val="001A6F0A"/>
    <w:rsid w:val="001B66B8"/>
    <w:rsid w:val="001D358A"/>
    <w:rsid w:val="001D4DB4"/>
    <w:rsid w:val="001E400E"/>
    <w:rsid w:val="001F1DFF"/>
    <w:rsid w:val="001F1F65"/>
    <w:rsid w:val="001F608C"/>
    <w:rsid w:val="002029FF"/>
    <w:rsid w:val="002101D9"/>
    <w:rsid w:val="002119CD"/>
    <w:rsid w:val="002222BE"/>
    <w:rsid w:val="002326B8"/>
    <w:rsid w:val="00234DE4"/>
    <w:rsid w:val="002407C5"/>
    <w:rsid w:val="00241FB8"/>
    <w:rsid w:val="002610B9"/>
    <w:rsid w:val="002649A3"/>
    <w:rsid w:val="0027299D"/>
    <w:rsid w:val="00274E1B"/>
    <w:rsid w:val="00283BB6"/>
    <w:rsid w:val="00284E81"/>
    <w:rsid w:val="00285881"/>
    <w:rsid w:val="002871DB"/>
    <w:rsid w:val="002872FD"/>
    <w:rsid w:val="0029065C"/>
    <w:rsid w:val="00291653"/>
    <w:rsid w:val="002A57F2"/>
    <w:rsid w:val="002A5DAA"/>
    <w:rsid w:val="002A6726"/>
    <w:rsid w:val="002B5B3D"/>
    <w:rsid w:val="002C0A21"/>
    <w:rsid w:val="002C3E2B"/>
    <w:rsid w:val="002C4B03"/>
    <w:rsid w:val="002E2CD3"/>
    <w:rsid w:val="002F08DB"/>
    <w:rsid w:val="002F282B"/>
    <w:rsid w:val="002F3FA5"/>
    <w:rsid w:val="003023DC"/>
    <w:rsid w:val="00303724"/>
    <w:rsid w:val="003044FC"/>
    <w:rsid w:val="003246F2"/>
    <w:rsid w:val="003253BD"/>
    <w:rsid w:val="0033070E"/>
    <w:rsid w:val="0034041C"/>
    <w:rsid w:val="003437C0"/>
    <w:rsid w:val="00343F46"/>
    <w:rsid w:val="00361AF7"/>
    <w:rsid w:val="00367BEB"/>
    <w:rsid w:val="0037062A"/>
    <w:rsid w:val="0037554B"/>
    <w:rsid w:val="00376810"/>
    <w:rsid w:val="00386446"/>
    <w:rsid w:val="003A759B"/>
    <w:rsid w:val="003B561B"/>
    <w:rsid w:val="003C02EF"/>
    <w:rsid w:val="003D6456"/>
    <w:rsid w:val="003E20E1"/>
    <w:rsid w:val="003E341E"/>
    <w:rsid w:val="003F23F1"/>
    <w:rsid w:val="00402A02"/>
    <w:rsid w:val="004278B8"/>
    <w:rsid w:val="004475F3"/>
    <w:rsid w:val="004550DC"/>
    <w:rsid w:val="00467790"/>
    <w:rsid w:val="004750F1"/>
    <w:rsid w:val="00484FD1"/>
    <w:rsid w:val="004967CE"/>
    <w:rsid w:val="00497020"/>
    <w:rsid w:val="004A3CF3"/>
    <w:rsid w:val="004B17B7"/>
    <w:rsid w:val="004B3776"/>
    <w:rsid w:val="004C3116"/>
    <w:rsid w:val="004E1599"/>
    <w:rsid w:val="004E6E05"/>
    <w:rsid w:val="004F0673"/>
    <w:rsid w:val="004F5771"/>
    <w:rsid w:val="004F6BD1"/>
    <w:rsid w:val="0052503B"/>
    <w:rsid w:val="00525DF6"/>
    <w:rsid w:val="00526BC7"/>
    <w:rsid w:val="00537084"/>
    <w:rsid w:val="00544B16"/>
    <w:rsid w:val="005543B1"/>
    <w:rsid w:val="00562274"/>
    <w:rsid w:val="00575B0A"/>
    <w:rsid w:val="00577A03"/>
    <w:rsid w:val="005922BD"/>
    <w:rsid w:val="005A6D09"/>
    <w:rsid w:val="005B0100"/>
    <w:rsid w:val="005B16A8"/>
    <w:rsid w:val="005B3457"/>
    <w:rsid w:val="005B5EC7"/>
    <w:rsid w:val="005E0396"/>
    <w:rsid w:val="005E632E"/>
    <w:rsid w:val="005F18A2"/>
    <w:rsid w:val="005F6D36"/>
    <w:rsid w:val="00606429"/>
    <w:rsid w:val="00615913"/>
    <w:rsid w:val="006302BF"/>
    <w:rsid w:val="006359C0"/>
    <w:rsid w:val="00636D1D"/>
    <w:rsid w:val="00644F7B"/>
    <w:rsid w:val="006457A0"/>
    <w:rsid w:val="006466E0"/>
    <w:rsid w:val="00656DFA"/>
    <w:rsid w:val="00662CDD"/>
    <w:rsid w:val="00685B06"/>
    <w:rsid w:val="00694D1E"/>
    <w:rsid w:val="006A25EF"/>
    <w:rsid w:val="006B76CE"/>
    <w:rsid w:val="006C4E3E"/>
    <w:rsid w:val="006D0B09"/>
    <w:rsid w:val="006D50C5"/>
    <w:rsid w:val="006F1AE1"/>
    <w:rsid w:val="006F72C6"/>
    <w:rsid w:val="007011D7"/>
    <w:rsid w:val="00710D24"/>
    <w:rsid w:val="0072053A"/>
    <w:rsid w:val="0072314F"/>
    <w:rsid w:val="00723C4D"/>
    <w:rsid w:val="00733937"/>
    <w:rsid w:val="00745573"/>
    <w:rsid w:val="00746A41"/>
    <w:rsid w:val="00753D76"/>
    <w:rsid w:val="00756CE1"/>
    <w:rsid w:val="007625ED"/>
    <w:rsid w:val="00765EE5"/>
    <w:rsid w:val="00780C7C"/>
    <w:rsid w:val="00780C90"/>
    <w:rsid w:val="00786610"/>
    <w:rsid w:val="00791B75"/>
    <w:rsid w:val="007C0BD7"/>
    <w:rsid w:val="007C7A74"/>
    <w:rsid w:val="007D2DA7"/>
    <w:rsid w:val="007D668D"/>
    <w:rsid w:val="007F7167"/>
    <w:rsid w:val="00814151"/>
    <w:rsid w:val="0082445E"/>
    <w:rsid w:val="00836970"/>
    <w:rsid w:val="00842E4F"/>
    <w:rsid w:val="00843A71"/>
    <w:rsid w:val="00843C96"/>
    <w:rsid w:val="00852999"/>
    <w:rsid w:val="0085400C"/>
    <w:rsid w:val="00862117"/>
    <w:rsid w:val="00871824"/>
    <w:rsid w:val="00876B74"/>
    <w:rsid w:val="008909CA"/>
    <w:rsid w:val="008A329A"/>
    <w:rsid w:val="008B3DAE"/>
    <w:rsid w:val="008C4EB2"/>
    <w:rsid w:val="008D0720"/>
    <w:rsid w:val="008D651F"/>
    <w:rsid w:val="008E5649"/>
    <w:rsid w:val="008F044C"/>
    <w:rsid w:val="008F370C"/>
    <w:rsid w:val="009044EF"/>
    <w:rsid w:val="0092160E"/>
    <w:rsid w:val="00921EE5"/>
    <w:rsid w:val="00940A0A"/>
    <w:rsid w:val="009448C6"/>
    <w:rsid w:val="009646FA"/>
    <w:rsid w:val="00971B70"/>
    <w:rsid w:val="00972645"/>
    <w:rsid w:val="00975225"/>
    <w:rsid w:val="00994322"/>
    <w:rsid w:val="009A31BB"/>
    <w:rsid w:val="009B1820"/>
    <w:rsid w:val="009B7974"/>
    <w:rsid w:val="009D28FF"/>
    <w:rsid w:val="009E3220"/>
    <w:rsid w:val="009E505A"/>
    <w:rsid w:val="009E5107"/>
    <w:rsid w:val="009E5126"/>
    <w:rsid w:val="009F54F6"/>
    <w:rsid w:val="00A02B4F"/>
    <w:rsid w:val="00A05471"/>
    <w:rsid w:val="00A05C9F"/>
    <w:rsid w:val="00A076EC"/>
    <w:rsid w:val="00A10ACD"/>
    <w:rsid w:val="00A1628F"/>
    <w:rsid w:val="00A26695"/>
    <w:rsid w:val="00A278FB"/>
    <w:rsid w:val="00A33818"/>
    <w:rsid w:val="00A33C87"/>
    <w:rsid w:val="00A3521C"/>
    <w:rsid w:val="00A40754"/>
    <w:rsid w:val="00A4268D"/>
    <w:rsid w:val="00A432EA"/>
    <w:rsid w:val="00A452E6"/>
    <w:rsid w:val="00A508F8"/>
    <w:rsid w:val="00A52459"/>
    <w:rsid w:val="00A57347"/>
    <w:rsid w:val="00A57760"/>
    <w:rsid w:val="00A5797F"/>
    <w:rsid w:val="00A645B7"/>
    <w:rsid w:val="00A661AF"/>
    <w:rsid w:val="00A67972"/>
    <w:rsid w:val="00A70303"/>
    <w:rsid w:val="00A744F3"/>
    <w:rsid w:val="00A75D50"/>
    <w:rsid w:val="00A774CE"/>
    <w:rsid w:val="00A868A9"/>
    <w:rsid w:val="00A97E5C"/>
    <w:rsid w:val="00AB1E16"/>
    <w:rsid w:val="00AB4D06"/>
    <w:rsid w:val="00AC4735"/>
    <w:rsid w:val="00AE0F9B"/>
    <w:rsid w:val="00AE25DC"/>
    <w:rsid w:val="00AE47C2"/>
    <w:rsid w:val="00B0507B"/>
    <w:rsid w:val="00B22E36"/>
    <w:rsid w:val="00B23A3D"/>
    <w:rsid w:val="00B34F00"/>
    <w:rsid w:val="00B36AFE"/>
    <w:rsid w:val="00B43088"/>
    <w:rsid w:val="00B459E0"/>
    <w:rsid w:val="00B47EF6"/>
    <w:rsid w:val="00B546E2"/>
    <w:rsid w:val="00B678B6"/>
    <w:rsid w:val="00B7734D"/>
    <w:rsid w:val="00B803C2"/>
    <w:rsid w:val="00B807BA"/>
    <w:rsid w:val="00B8345E"/>
    <w:rsid w:val="00B850BF"/>
    <w:rsid w:val="00B86555"/>
    <w:rsid w:val="00B910C9"/>
    <w:rsid w:val="00B91F90"/>
    <w:rsid w:val="00B94840"/>
    <w:rsid w:val="00BA0AD9"/>
    <w:rsid w:val="00BA35D1"/>
    <w:rsid w:val="00BA6525"/>
    <w:rsid w:val="00BB503D"/>
    <w:rsid w:val="00BC1848"/>
    <w:rsid w:val="00BC6163"/>
    <w:rsid w:val="00BC6A5A"/>
    <w:rsid w:val="00BC797D"/>
    <w:rsid w:val="00BE0AAB"/>
    <w:rsid w:val="00BE6CFB"/>
    <w:rsid w:val="00BF2437"/>
    <w:rsid w:val="00BF26B0"/>
    <w:rsid w:val="00BF35A2"/>
    <w:rsid w:val="00BF4D3C"/>
    <w:rsid w:val="00C23E91"/>
    <w:rsid w:val="00C274F1"/>
    <w:rsid w:val="00C27D00"/>
    <w:rsid w:val="00C34462"/>
    <w:rsid w:val="00C64D8B"/>
    <w:rsid w:val="00C66DE6"/>
    <w:rsid w:val="00C74D36"/>
    <w:rsid w:val="00C809F4"/>
    <w:rsid w:val="00C80F74"/>
    <w:rsid w:val="00C81B21"/>
    <w:rsid w:val="00C90993"/>
    <w:rsid w:val="00C91730"/>
    <w:rsid w:val="00CB0429"/>
    <w:rsid w:val="00CB4CEE"/>
    <w:rsid w:val="00CC2BC0"/>
    <w:rsid w:val="00CD08AE"/>
    <w:rsid w:val="00CD0A14"/>
    <w:rsid w:val="00CD2DBD"/>
    <w:rsid w:val="00CF04A2"/>
    <w:rsid w:val="00D04214"/>
    <w:rsid w:val="00D04F3A"/>
    <w:rsid w:val="00D23852"/>
    <w:rsid w:val="00D308AD"/>
    <w:rsid w:val="00D365B7"/>
    <w:rsid w:val="00D41BAF"/>
    <w:rsid w:val="00D43A46"/>
    <w:rsid w:val="00D45D10"/>
    <w:rsid w:val="00D5794C"/>
    <w:rsid w:val="00D65887"/>
    <w:rsid w:val="00D708FA"/>
    <w:rsid w:val="00D72872"/>
    <w:rsid w:val="00D80157"/>
    <w:rsid w:val="00D927E9"/>
    <w:rsid w:val="00D9284F"/>
    <w:rsid w:val="00DB67BA"/>
    <w:rsid w:val="00DC44DD"/>
    <w:rsid w:val="00DC5E52"/>
    <w:rsid w:val="00DE3B8C"/>
    <w:rsid w:val="00DE5EF4"/>
    <w:rsid w:val="00DF0DC0"/>
    <w:rsid w:val="00DF16DE"/>
    <w:rsid w:val="00E01ADF"/>
    <w:rsid w:val="00E023EF"/>
    <w:rsid w:val="00E05E93"/>
    <w:rsid w:val="00E16314"/>
    <w:rsid w:val="00E22A39"/>
    <w:rsid w:val="00E27C8E"/>
    <w:rsid w:val="00E3033A"/>
    <w:rsid w:val="00E40735"/>
    <w:rsid w:val="00E43E43"/>
    <w:rsid w:val="00E46371"/>
    <w:rsid w:val="00E467D9"/>
    <w:rsid w:val="00E60C35"/>
    <w:rsid w:val="00E64151"/>
    <w:rsid w:val="00EB5983"/>
    <w:rsid w:val="00EB78E7"/>
    <w:rsid w:val="00EB7FA5"/>
    <w:rsid w:val="00ED4FB5"/>
    <w:rsid w:val="00EE2A83"/>
    <w:rsid w:val="00EE52D6"/>
    <w:rsid w:val="00F00C45"/>
    <w:rsid w:val="00F03E6D"/>
    <w:rsid w:val="00F14882"/>
    <w:rsid w:val="00F4741C"/>
    <w:rsid w:val="00F52027"/>
    <w:rsid w:val="00F561F7"/>
    <w:rsid w:val="00F66CEA"/>
    <w:rsid w:val="00F67406"/>
    <w:rsid w:val="00F718DB"/>
    <w:rsid w:val="00F7306E"/>
    <w:rsid w:val="00F77A3C"/>
    <w:rsid w:val="00FD2FC7"/>
    <w:rsid w:val="00FD3DEF"/>
    <w:rsid w:val="00FD5B4E"/>
    <w:rsid w:val="00FE4F19"/>
    <w:rsid w:val="00FE5F08"/>
    <w:rsid w:val="00FF56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E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B78E7"/>
    <w:pPr>
      <w:ind w:left="284" w:right="284"/>
    </w:pPr>
    <w:rPr>
      <w:iCs/>
      <w:color w:val="000000" w:themeColor="text1"/>
    </w:rPr>
  </w:style>
  <w:style w:type="character" w:customStyle="1" w:styleId="QuoteChar">
    <w:name w:val="Quote Char"/>
    <w:basedOn w:val="DefaultParagraphFont"/>
    <w:link w:val="Quote"/>
    <w:uiPriority w:val="29"/>
    <w:rsid w:val="00EB78E7"/>
    <w:rPr>
      <w:rFonts w:ascii="Times New Roman" w:hAnsi="Times New Roman"/>
      <w:iCs/>
      <w:color w:val="000000" w:themeColor="text1"/>
      <w:sz w:val="24"/>
    </w:rPr>
  </w:style>
  <w:style w:type="paragraph" w:styleId="FootnoteText">
    <w:name w:val="footnote text"/>
    <w:basedOn w:val="Normal"/>
    <w:link w:val="FootnoteTextChar"/>
    <w:rsid w:val="006466E0"/>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FootnoteTextChar">
    <w:name w:val="Footnote Text Char"/>
    <w:basedOn w:val="DefaultParagraphFont"/>
    <w:link w:val="FootnoteText"/>
    <w:rsid w:val="006466E0"/>
    <w:rPr>
      <w:rFonts w:ascii="Times New Roman" w:eastAsia="Times New Roman" w:hAnsi="Times New Roman" w:cs="Times New Roman"/>
      <w:sz w:val="20"/>
      <w:szCs w:val="20"/>
    </w:rPr>
  </w:style>
  <w:style w:type="character" w:styleId="FootnoteReference">
    <w:name w:val="footnote reference"/>
    <w:rsid w:val="006466E0"/>
    <w:rPr>
      <w:vertAlign w:val="superscript"/>
    </w:rPr>
  </w:style>
  <w:style w:type="paragraph" w:customStyle="1" w:styleId="Quote1">
    <w:name w:val="Quote1"/>
    <w:basedOn w:val="Normal"/>
    <w:rsid w:val="00CB0429"/>
    <w:pPr>
      <w:overflowPunct w:val="0"/>
      <w:autoSpaceDE w:val="0"/>
      <w:autoSpaceDN w:val="0"/>
      <w:adjustRightInd w:val="0"/>
      <w:spacing w:after="0" w:line="240" w:lineRule="auto"/>
      <w:ind w:left="567" w:right="567"/>
      <w:textAlignment w:val="baseline"/>
    </w:pPr>
    <w:rPr>
      <w:rFonts w:eastAsia="Times New Roman" w:cs="Times New Roman"/>
      <w:szCs w:val="20"/>
    </w:rPr>
  </w:style>
  <w:style w:type="paragraph" w:styleId="NoSpacing">
    <w:name w:val="No Spacing"/>
    <w:link w:val="NoSpacingChar"/>
    <w:uiPriority w:val="1"/>
    <w:qFormat/>
    <w:rsid w:val="00CB0429"/>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BF26B0"/>
    <w:rPr>
      <w:color w:val="808080"/>
    </w:rPr>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Header">
    <w:name w:val="header"/>
    <w:basedOn w:val="Normal"/>
    <w:link w:val="HeaderChar"/>
    <w:uiPriority w:val="99"/>
    <w:unhideWhenUsed/>
    <w:rsid w:val="00A75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50"/>
    <w:rPr>
      <w:rFonts w:ascii="Times New Roman" w:hAnsi="Times New Roman"/>
      <w:sz w:val="24"/>
    </w:rPr>
  </w:style>
  <w:style w:type="paragraph" w:styleId="Footer">
    <w:name w:val="footer"/>
    <w:basedOn w:val="Normal"/>
    <w:link w:val="FooterChar"/>
    <w:uiPriority w:val="99"/>
    <w:unhideWhenUsed/>
    <w:rsid w:val="00A75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50"/>
    <w:rPr>
      <w:rFonts w:ascii="Times New Roman" w:hAnsi="Times New Roman"/>
      <w:sz w:val="24"/>
    </w:rPr>
  </w:style>
  <w:style w:type="character" w:customStyle="1" w:styleId="NoSpacingChar">
    <w:name w:val="No Spacing Char"/>
    <w:basedOn w:val="DefaultParagraphFont"/>
    <w:link w:val="NoSpacing"/>
    <w:uiPriority w:val="1"/>
    <w:rsid w:val="00A75D5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E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B78E7"/>
    <w:pPr>
      <w:ind w:left="284" w:right="284"/>
    </w:pPr>
    <w:rPr>
      <w:iCs/>
      <w:color w:val="000000" w:themeColor="text1"/>
    </w:rPr>
  </w:style>
  <w:style w:type="character" w:customStyle="1" w:styleId="QuoteChar">
    <w:name w:val="Quote Char"/>
    <w:basedOn w:val="DefaultParagraphFont"/>
    <w:link w:val="Quote"/>
    <w:uiPriority w:val="29"/>
    <w:rsid w:val="00EB78E7"/>
    <w:rPr>
      <w:rFonts w:ascii="Times New Roman" w:hAnsi="Times New Roman"/>
      <w:iCs/>
      <w:color w:val="000000" w:themeColor="text1"/>
      <w:sz w:val="24"/>
    </w:rPr>
  </w:style>
  <w:style w:type="paragraph" w:styleId="FootnoteText">
    <w:name w:val="footnote text"/>
    <w:basedOn w:val="Normal"/>
    <w:link w:val="FootnoteTextChar"/>
    <w:rsid w:val="006466E0"/>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FootnoteTextChar">
    <w:name w:val="Footnote Text Char"/>
    <w:basedOn w:val="DefaultParagraphFont"/>
    <w:link w:val="FootnoteText"/>
    <w:rsid w:val="006466E0"/>
    <w:rPr>
      <w:rFonts w:ascii="Times New Roman" w:eastAsia="Times New Roman" w:hAnsi="Times New Roman" w:cs="Times New Roman"/>
      <w:sz w:val="20"/>
      <w:szCs w:val="20"/>
    </w:rPr>
  </w:style>
  <w:style w:type="character" w:styleId="FootnoteReference">
    <w:name w:val="footnote reference"/>
    <w:rsid w:val="006466E0"/>
    <w:rPr>
      <w:vertAlign w:val="superscript"/>
    </w:rPr>
  </w:style>
  <w:style w:type="paragraph" w:customStyle="1" w:styleId="Quote1">
    <w:name w:val="Quote1"/>
    <w:basedOn w:val="Normal"/>
    <w:rsid w:val="00CB0429"/>
    <w:pPr>
      <w:overflowPunct w:val="0"/>
      <w:autoSpaceDE w:val="0"/>
      <w:autoSpaceDN w:val="0"/>
      <w:adjustRightInd w:val="0"/>
      <w:spacing w:after="0" w:line="240" w:lineRule="auto"/>
      <w:ind w:left="567" w:right="567"/>
      <w:textAlignment w:val="baseline"/>
    </w:pPr>
    <w:rPr>
      <w:rFonts w:eastAsia="Times New Roman" w:cs="Times New Roman"/>
      <w:szCs w:val="20"/>
    </w:rPr>
  </w:style>
  <w:style w:type="paragraph" w:styleId="NoSpacing">
    <w:name w:val="No Spacing"/>
    <w:link w:val="NoSpacingChar"/>
    <w:uiPriority w:val="1"/>
    <w:qFormat/>
    <w:rsid w:val="00CB0429"/>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BF26B0"/>
    <w:rPr>
      <w:color w:val="808080"/>
    </w:rPr>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Header">
    <w:name w:val="header"/>
    <w:basedOn w:val="Normal"/>
    <w:link w:val="HeaderChar"/>
    <w:uiPriority w:val="99"/>
    <w:unhideWhenUsed/>
    <w:rsid w:val="00A75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50"/>
    <w:rPr>
      <w:rFonts w:ascii="Times New Roman" w:hAnsi="Times New Roman"/>
      <w:sz w:val="24"/>
    </w:rPr>
  </w:style>
  <w:style w:type="paragraph" w:styleId="Footer">
    <w:name w:val="footer"/>
    <w:basedOn w:val="Normal"/>
    <w:link w:val="FooterChar"/>
    <w:uiPriority w:val="99"/>
    <w:unhideWhenUsed/>
    <w:rsid w:val="00A75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50"/>
    <w:rPr>
      <w:rFonts w:ascii="Times New Roman" w:hAnsi="Times New Roman"/>
      <w:sz w:val="24"/>
    </w:rPr>
  </w:style>
  <w:style w:type="character" w:customStyle="1" w:styleId="NoSpacingChar">
    <w:name w:val="No Spacing Char"/>
    <w:basedOn w:val="DefaultParagraphFont"/>
    <w:link w:val="NoSpacing"/>
    <w:uiPriority w:val="1"/>
    <w:rsid w:val="00A75D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CAC8-DFAD-48D0-932F-3DEF780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10961</TotalTime>
  <Pages>43</Pages>
  <Words>9680</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Ray</cp:lastModifiedBy>
  <cp:revision>143</cp:revision>
  <cp:lastPrinted>2012-02-20T15:03:00Z</cp:lastPrinted>
  <dcterms:created xsi:type="dcterms:W3CDTF">2012-01-25T15:10:00Z</dcterms:created>
  <dcterms:modified xsi:type="dcterms:W3CDTF">2012-03-30T14:58:00Z</dcterms:modified>
</cp:coreProperties>
</file>