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08" w:rsidRDefault="00356537" w:rsidP="00ED617F">
      <w:pPr>
        <w:spacing w:line="360" w:lineRule="auto"/>
        <w:jc w:val="center"/>
        <w:rPr>
          <w:rFonts w:asciiTheme="majorBidi" w:hAnsiTheme="majorBidi" w:cstheme="majorBidi"/>
          <w:sz w:val="24"/>
          <w:szCs w:val="24"/>
        </w:rPr>
      </w:pPr>
      <w:r>
        <w:rPr>
          <w:rFonts w:asciiTheme="majorBidi" w:hAnsiTheme="majorBidi" w:cstheme="majorBidi"/>
          <w:sz w:val="24"/>
          <w:szCs w:val="24"/>
        </w:rPr>
        <w:t>Foucault, Cavell</w:t>
      </w:r>
      <w:r w:rsidR="0020001A">
        <w:rPr>
          <w:rFonts w:asciiTheme="majorBidi" w:hAnsiTheme="majorBidi" w:cstheme="majorBidi"/>
          <w:sz w:val="24"/>
          <w:szCs w:val="24"/>
        </w:rPr>
        <w:t xml:space="preserve"> and </w:t>
      </w:r>
      <w:r w:rsidR="006F1271">
        <w:rPr>
          <w:rFonts w:asciiTheme="majorBidi" w:hAnsiTheme="majorBidi" w:cstheme="majorBidi"/>
          <w:sz w:val="24"/>
          <w:szCs w:val="24"/>
        </w:rPr>
        <w:t>the Govern</w:t>
      </w:r>
      <w:r w:rsidR="00821720">
        <w:rPr>
          <w:rFonts w:asciiTheme="majorBidi" w:hAnsiTheme="majorBidi" w:cstheme="majorBidi"/>
          <w:sz w:val="24"/>
          <w:szCs w:val="24"/>
        </w:rPr>
        <w:t>ment</w:t>
      </w:r>
      <w:r w:rsidR="006F1271">
        <w:rPr>
          <w:rFonts w:asciiTheme="majorBidi" w:hAnsiTheme="majorBidi" w:cstheme="majorBidi"/>
          <w:sz w:val="24"/>
          <w:szCs w:val="24"/>
        </w:rPr>
        <w:t xml:space="preserve"> of Self and Others</w:t>
      </w:r>
    </w:p>
    <w:p w:rsidR="003D0C75" w:rsidRDefault="00356537" w:rsidP="004F4305">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On </w:t>
      </w:r>
      <w:r w:rsidR="004F4305">
        <w:rPr>
          <w:rFonts w:asciiTheme="majorBidi" w:hAnsiTheme="majorBidi" w:cstheme="majorBidi"/>
          <w:sz w:val="24"/>
          <w:szCs w:val="24"/>
        </w:rPr>
        <w:t>Truth-telling, Friendship</w:t>
      </w:r>
      <w:r>
        <w:rPr>
          <w:rFonts w:asciiTheme="majorBidi" w:hAnsiTheme="majorBidi" w:cstheme="majorBidi"/>
          <w:sz w:val="24"/>
          <w:szCs w:val="24"/>
        </w:rPr>
        <w:t xml:space="preserve"> and </w:t>
      </w:r>
      <w:r w:rsidR="007C56F7">
        <w:rPr>
          <w:rFonts w:asciiTheme="majorBidi" w:hAnsiTheme="majorBidi" w:cstheme="majorBidi"/>
          <w:sz w:val="24"/>
          <w:szCs w:val="24"/>
        </w:rPr>
        <w:t>an</w:t>
      </w:r>
      <w:r w:rsidR="006F1271">
        <w:rPr>
          <w:rFonts w:asciiTheme="majorBidi" w:hAnsiTheme="majorBidi" w:cstheme="majorBidi"/>
          <w:sz w:val="24"/>
          <w:szCs w:val="24"/>
        </w:rPr>
        <w:t xml:space="preserve"> Ethics of Democracy</w:t>
      </w:r>
      <w:r w:rsidR="003D0C75">
        <w:rPr>
          <w:rFonts w:asciiTheme="majorBidi" w:hAnsiTheme="majorBidi" w:cstheme="majorBidi"/>
          <w:sz w:val="24"/>
          <w:szCs w:val="24"/>
        </w:rPr>
        <w:t xml:space="preserve"> </w:t>
      </w:r>
    </w:p>
    <w:p w:rsidR="003D0C75" w:rsidRDefault="003D0C75" w:rsidP="003D0C75">
      <w:pPr>
        <w:spacing w:line="360" w:lineRule="auto"/>
        <w:jc w:val="center"/>
        <w:rPr>
          <w:rFonts w:asciiTheme="majorBidi" w:hAnsiTheme="majorBidi" w:cstheme="majorBidi"/>
          <w:sz w:val="24"/>
          <w:szCs w:val="24"/>
        </w:rPr>
      </w:pPr>
    </w:p>
    <w:p w:rsidR="005559D2" w:rsidRPr="005559D2" w:rsidRDefault="00804FA8" w:rsidP="001D208E">
      <w:pPr>
        <w:spacing w:line="360" w:lineRule="auto"/>
        <w:rPr>
          <w:rFonts w:asciiTheme="majorBidi" w:hAnsiTheme="majorBidi" w:cstheme="majorBidi"/>
          <w:sz w:val="24"/>
          <w:szCs w:val="24"/>
        </w:rPr>
      </w:pPr>
      <w:r>
        <w:rPr>
          <w:rFonts w:asciiTheme="majorBidi" w:hAnsiTheme="majorBidi" w:cstheme="majorBidi"/>
          <w:sz w:val="24"/>
          <w:szCs w:val="24"/>
        </w:rPr>
        <w:t xml:space="preserve">Michel Foucault’s late exercises in historical philosophy </w:t>
      </w:r>
      <w:r w:rsidR="005559D2">
        <w:rPr>
          <w:rFonts w:asciiTheme="majorBidi" w:hAnsiTheme="majorBidi" w:cstheme="majorBidi"/>
          <w:sz w:val="24"/>
          <w:szCs w:val="24"/>
        </w:rPr>
        <w:t>introduce the concepts of ‘aesthetics of existence’, of ‘care of the self’ and of ‘</w:t>
      </w:r>
      <w:proofErr w:type="spellStart"/>
      <w:r w:rsidR="005559D2" w:rsidRPr="005559D2">
        <w:rPr>
          <w:rFonts w:asciiTheme="majorBidi" w:hAnsiTheme="majorBidi" w:cstheme="majorBidi"/>
          <w:i/>
          <w:iCs/>
          <w:sz w:val="24"/>
          <w:szCs w:val="24"/>
        </w:rPr>
        <w:t>parrhesia</w:t>
      </w:r>
      <w:proofErr w:type="spellEnd"/>
      <w:r w:rsidR="008D40D7">
        <w:rPr>
          <w:rFonts w:asciiTheme="majorBidi" w:hAnsiTheme="majorBidi" w:cstheme="majorBidi"/>
          <w:sz w:val="24"/>
          <w:szCs w:val="24"/>
        </w:rPr>
        <w:t>’</w:t>
      </w:r>
      <w:r w:rsidR="005559D2">
        <w:rPr>
          <w:rFonts w:asciiTheme="majorBidi" w:hAnsiTheme="majorBidi" w:cstheme="majorBidi"/>
          <w:sz w:val="24"/>
          <w:szCs w:val="24"/>
        </w:rPr>
        <w:t xml:space="preserve"> into </w:t>
      </w:r>
      <w:r w:rsidR="00C160C4">
        <w:rPr>
          <w:rFonts w:asciiTheme="majorBidi" w:hAnsiTheme="majorBidi" w:cstheme="majorBidi"/>
          <w:sz w:val="24"/>
          <w:szCs w:val="24"/>
        </w:rPr>
        <w:t xml:space="preserve">contemporary </w:t>
      </w:r>
      <w:r w:rsidR="005559F1">
        <w:rPr>
          <w:rFonts w:asciiTheme="majorBidi" w:hAnsiTheme="majorBidi" w:cstheme="majorBidi"/>
          <w:sz w:val="24"/>
          <w:szCs w:val="24"/>
        </w:rPr>
        <w:t>ethic</w:t>
      </w:r>
      <w:r w:rsidR="00C160C4">
        <w:rPr>
          <w:rFonts w:asciiTheme="majorBidi" w:hAnsiTheme="majorBidi" w:cstheme="majorBidi"/>
          <w:sz w:val="24"/>
          <w:szCs w:val="24"/>
        </w:rPr>
        <w:t xml:space="preserve">al discourse and, </w:t>
      </w:r>
      <w:r w:rsidR="005559D2">
        <w:rPr>
          <w:rFonts w:asciiTheme="majorBidi" w:hAnsiTheme="majorBidi" w:cstheme="majorBidi"/>
          <w:sz w:val="24"/>
          <w:szCs w:val="24"/>
        </w:rPr>
        <w:t xml:space="preserve">more </w:t>
      </w:r>
      <w:r w:rsidR="00C160C4">
        <w:rPr>
          <w:rFonts w:asciiTheme="majorBidi" w:hAnsiTheme="majorBidi" w:cstheme="majorBidi"/>
          <w:sz w:val="24"/>
          <w:szCs w:val="24"/>
        </w:rPr>
        <w:t>generally, the</w:t>
      </w:r>
      <w:r w:rsidR="005559D2">
        <w:rPr>
          <w:rFonts w:asciiTheme="majorBidi" w:hAnsiTheme="majorBidi" w:cstheme="majorBidi"/>
          <w:sz w:val="24"/>
          <w:szCs w:val="24"/>
        </w:rPr>
        <w:t xml:space="preserve"> field of the government of self and others.</w:t>
      </w:r>
      <w:r w:rsidR="008F42A7">
        <w:rPr>
          <w:rFonts w:asciiTheme="majorBidi" w:hAnsiTheme="majorBidi" w:cstheme="majorBidi"/>
          <w:sz w:val="24"/>
          <w:szCs w:val="24"/>
        </w:rPr>
        <w:t xml:space="preserve"> </w:t>
      </w:r>
      <w:r w:rsidR="00826FBB">
        <w:rPr>
          <w:rFonts w:asciiTheme="majorBidi" w:hAnsiTheme="majorBidi" w:cstheme="majorBidi"/>
          <w:sz w:val="24"/>
          <w:szCs w:val="24"/>
        </w:rPr>
        <w:t>But w</w:t>
      </w:r>
      <w:r w:rsidR="005559D2">
        <w:rPr>
          <w:rFonts w:asciiTheme="majorBidi" w:hAnsiTheme="majorBidi" w:cstheme="majorBidi"/>
          <w:sz w:val="24"/>
          <w:szCs w:val="24"/>
        </w:rPr>
        <w:t>hat motivates a</w:t>
      </w:r>
      <w:r w:rsidR="008F42A7">
        <w:rPr>
          <w:rFonts w:asciiTheme="majorBidi" w:hAnsiTheme="majorBidi" w:cstheme="majorBidi"/>
          <w:sz w:val="24"/>
          <w:szCs w:val="24"/>
        </w:rPr>
        <w:t>nd justifies the claim that the</w:t>
      </w:r>
      <w:r w:rsidR="005559D2">
        <w:rPr>
          <w:rFonts w:asciiTheme="majorBidi" w:hAnsiTheme="majorBidi" w:cstheme="majorBidi"/>
          <w:sz w:val="24"/>
          <w:szCs w:val="24"/>
        </w:rPr>
        <w:t xml:space="preserve"> practices </w:t>
      </w:r>
      <w:r w:rsidR="008F42A7">
        <w:rPr>
          <w:rFonts w:asciiTheme="majorBidi" w:hAnsiTheme="majorBidi" w:cstheme="majorBidi"/>
          <w:sz w:val="24"/>
          <w:szCs w:val="24"/>
        </w:rPr>
        <w:t xml:space="preserve">denoted by these concepts </w:t>
      </w:r>
      <w:r w:rsidR="005559D2">
        <w:rPr>
          <w:rFonts w:asciiTheme="majorBidi" w:hAnsiTheme="majorBidi" w:cstheme="majorBidi"/>
          <w:sz w:val="24"/>
          <w:szCs w:val="24"/>
        </w:rPr>
        <w:t xml:space="preserve">have ethical significance </w:t>
      </w:r>
      <w:r w:rsidR="005559D2">
        <w:rPr>
          <w:rFonts w:asciiTheme="majorBidi" w:hAnsiTheme="majorBidi" w:cstheme="majorBidi"/>
          <w:i/>
          <w:iCs/>
          <w:sz w:val="24"/>
          <w:szCs w:val="24"/>
        </w:rPr>
        <w:t>for us</w:t>
      </w:r>
      <w:r w:rsidR="005559D2">
        <w:rPr>
          <w:rFonts w:asciiTheme="majorBidi" w:hAnsiTheme="majorBidi" w:cstheme="majorBidi"/>
          <w:sz w:val="24"/>
          <w:szCs w:val="24"/>
        </w:rPr>
        <w:t xml:space="preserve">? </w:t>
      </w:r>
      <w:r w:rsidR="008F42A7">
        <w:rPr>
          <w:rFonts w:asciiTheme="majorBidi" w:hAnsiTheme="majorBidi" w:cstheme="majorBidi"/>
          <w:sz w:val="24"/>
          <w:szCs w:val="24"/>
        </w:rPr>
        <w:t>In this essay, we address this question in two ways. First, we identify the connection between Foucault’s turn to the ancient wo</w:t>
      </w:r>
      <w:r w:rsidR="002A04B2">
        <w:rPr>
          <w:rFonts w:asciiTheme="majorBidi" w:hAnsiTheme="majorBidi" w:cstheme="majorBidi"/>
          <w:sz w:val="24"/>
          <w:szCs w:val="24"/>
        </w:rPr>
        <w:t>rld and the work on modern</w:t>
      </w:r>
      <w:r w:rsidR="008F42A7">
        <w:rPr>
          <w:rFonts w:asciiTheme="majorBidi" w:hAnsiTheme="majorBidi" w:cstheme="majorBidi"/>
          <w:sz w:val="24"/>
          <w:szCs w:val="24"/>
        </w:rPr>
        <w:t xml:space="preserve"> </w:t>
      </w:r>
      <w:proofErr w:type="spellStart"/>
      <w:r w:rsidR="008F42A7">
        <w:rPr>
          <w:rFonts w:asciiTheme="majorBidi" w:hAnsiTheme="majorBidi" w:cstheme="majorBidi"/>
          <w:sz w:val="24"/>
          <w:szCs w:val="24"/>
        </w:rPr>
        <w:t>biopolitical</w:t>
      </w:r>
      <w:proofErr w:type="spellEnd"/>
      <w:r w:rsidR="008F42A7">
        <w:rPr>
          <w:rFonts w:asciiTheme="majorBidi" w:hAnsiTheme="majorBidi" w:cstheme="majorBidi"/>
          <w:sz w:val="24"/>
          <w:szCs w:val="24"/>
        </w:rPr>
        <w:t xml:space="preserve"> governance that</w:t>
      </w:r>
      <w:r w:rsidR="00821720">
        <w:rPr>
          <w:rFonts w:asciiTheme="majorBidi" w:hAnsiTheme="majorBidi" w:cstheme="majorBidi"/>
          <w:sz w:val="24"/>
          <w:szCs w:val="24"/>
        </w:rPr>
        <w:t>,</w:t>
      </w:r>
      <w:r w:rsidR="008F42A7">
        <w:rPr>
          <w:rFonts w:asciiTheme="majorBidi" w:hAnsiTheme="majorBidi" w:cstheme="majorBidi"/>
          <w:sz w:val="24"/>
          <w:szCs w:val="24"/>
        </w:rPr>
        <w:t xml:space="preserve"> in different ways</w:t>
      </w:r>
      <w:r w:rsidR="00821720">
        <w:rPr>
          <w:rFonts w:asciiTheme="majorBidi" w:hAnsiTheme="majorBidi" w:cstheme="majorBidi"/>
          <w:sz w:val="24"/>
          <w:szCs w:val="24"/>
        </w:rPr>
        <w:t>,</w:t>
      </w:r>
      <w:r w:rsidR="008F42A7">
        <w:rPr>
          <w:rFonts w:asciiTheme="majorBidi" w:hAnsiTheme="majorBidi" w:cstheme="majorBidi"/>
          <w:sz w:val="24"/>
          <w:szCs w:val="24"/>
        </w:rPr>
        <w:t xml:space="preserve"> characterises his earlier genealogical work, becoming explicit in </w:t>
      </w:r>
      <w:r w:rsidR="008F42A7">
        <w:rPr>
          <w:rFonts w:asciiTheme="majorBidi" w:hAnsiTheme="majorBidi" w:cstheme="majorBidi"/>
          <w:i/>
          <w:iCs/>
          <w:sz w:val="24"/>
          <w:szCs w:val="24"/>
        </w:rPr>
        <w:t>Discipline and Punish</w:t>
      </w:r>
      <w:r w:rsidR="008F42A7">
        <w:rPr>
          <w:rFonts w:asciiTheme="majorBidi" w:hAnsiTheme="majorBidi" w:cstheme="majorBidi"/>
          <w:sz w:val="24"/>
          <w:szCs w:val="24"/>
        </w:rPr>
        <w:t xml:space="preserve"> and the first volume of </w:t>
      </w:r>
      <w:r w:rsidR="008F42A7">
        <w:rPr>
          <w:rFonts w:asciiTheme="majorBidi" w:hAnsiTheme="majorBidi" w:cstheme="majorBidi"/>
          <w:i/>
          <w:iCs/>
          <w:sz w:val="24"/>
          <w:szCs w:val="24"/>
        </w:rPr>
        <w:t>The History of Sexuality</w:t>
      </w:r>
      <w:r w:rsidR="00821720">
        <w:rPr>
          <w:rFonts w:asciiTheme="majorBidi" w:hAnsiTheme="majorBidi" w:cstheme="majorBidi"/>
          <w:sz w:val="24"/>
          <w:szCs w:val="24"/>
        </w:rPr>
        <w:t xml:space="preserve">. Second, we show how </w:t>
      </w:r>
      <w:r w:rsidR="008F42A7">
        <w:rPr>
          <w:rFonts w:asciiTheme="majorBidi" w:hAnsiTheme="majorBidi" w:cstheme="majorBidi"/>
          <w:sz w:val="24"/>
          <w:szCs w:val="24"/>
        </w:rPr>
        <w:t xml:space="preserve">his </w:t>
      </w:r>
      <w:r w:rsidR="00821720">
        <w:rPr>
          <w:rFonts w:asciiTheme="majorBidi" w:hAnsiTheme="majorBidi" w:cstheme="majorBidi"/>
          <w:sz w:val="24"/>
          <w:szCs w:val="24"/>
        </w:rPr>
        <w:t xml:space="preserve">late </w:t>
      </w:r>
      <w:r w:rsidR="008F42A7">
        <w:rPr>
          <w:rFonts w:asciiTheme="majorBidi" w:hAnsiTheme="majorBidi" w:cstheme="majorBidi"/>
          <w:sz w:val="24"/>
          <w:szCs w:val="24"/>
        </w:rPr>
        <w:t xml:space="preserve">work – despite its incomplete character – offers resources for the articulation of an ethics of democracy construed not simply as a regime of rule but as a way of life. </w:t>
      </w:r>
      <w:r w:rsidR="005559D2">
        <w:rPr>
          <w:rFonts w:asciiTheme="majorBidi" w:hAnsiTheme="majorBidi" w:cstheme="majorBidi"/>
          <w:sz w:val="24"/>
          <w:szCs w:val="24"/>
        </w:rPr>
        <w:t>In relation to both of these issues, we argue that Foucault’s work can be brought into a productive dialogue with the seemingly distant work o</w:t>
      </w:r>
      <w:r w:rsidR="00E83A4B">
        <w:rPr>
          <w:rFonts w:asciiTheme="majorBidi" w:hAnsiTheme="majorBidi" w:cstheme="majorBidi"/>
          <w:sz w:val="24"/>
          <w:szCs w:val="24"/>
        </w:rPr>
        <w:t>f</w:t>
      </w:r>
      <w:r w:rsidR="005559D2">
        <w:rPr>
          <w:rFonts w:asciiTheme="majorBidi" w:hAnsiTheme="majorBidi" w:cstheme="majorBidi"/>
          <w:sz w:val="24"/>
          <w:szCs w:val="24"/>
        </w:rPr>
        <w:t xml:space="preserve"> Stanley Cavell</w:t>
      </w:r>
      <w:r w:rsidR="00E83A4B">
        <w:rPr>
          <w:rFonts w:asciiTheme="majorBidi" w:hAnsiTheme="majorBidi" w:cstheme="majorBidi"/>
          <w:sz w:val="24"/>
          <w:szCs w:val="24"/>
        </w:rPr>
        <w:t xml:space="preserve"> and we attempt to show how Cavell’s reflections on moral perfectionism </w:t>
      </w:r>
      <w:r w:rsidR="008F42A7">
        <w:rPr>
          <w:rFonts w:asciiTheme="majorBidi" w:hAnsiTheme="majorBidi" w:cstheme="majorBidi"/>
          <w:sz w:val="24"/>
          <w:szCs w:val="24"/>
        </w:rPr>
        <w:t xml:space="preserve">not only support Foucault’s motivation for turning to consider practices of care of the self in the ancient world but also </w:t>
      </w:r>
      <w:r w:rsidR="00E83A4B">
        <w:rPr>
          <w:rFonts w:asciiTheme="majorBidi" w:hAnsiTheme="majorBidi" w:cstheme="majorBidi"/>
          <w:sz w:val="24"/>
          <w:szCs w:val="24"/>
        </w:rPr>
        <w:t xml:space="preserve">supplement Foucault’s </w:t>
      </w:r>
      <w:proofErr w:type="gramStart"/>
      <w:r w:rsidR="00E83A4B">
        <w:rPr>
          <w:rFonts w:asciiTheme="majorBidi" w:hAnsiTheme="majorBidi" w:cstheme="majorBidi"/>
          <w:sz w:val="24"/>
          <w:szCs w:val="24"/>
        </w:rPr>
        <w:t>s</w:t>
      </w:r>
      <w:r w:rsidR="006F1271">
        <w:rPr>
          <w:rFonts w:asciiTheme="majorBidi" w:hAnsiTheme="majorBidi" w:cstheme="majorBidi"/>
          <w:sz w:val="24"/>
          <w:szCs w:val="24"/>
        </w:rPr>
        <w:t>tudies</w:t>
      </w:r>
      <w:proofErr w:type="gramEnd"/>
      <w:r w:rsidR="006F1271">
        <w:rPr>
          <w:rFonts w:asciiTheme="majorBidi" w:hAnsiTheme="majorBidi" w:cstheme="majorBidi"/>
          <w:sz w:val="24"/>
          <w:szCs w:val="24"/>
        </w:rPr>
        <w:t xml:space="preserve"> </w:t>
      </w:r>
      <w:r w:rsidR="008F42A7">
        <w:rPr>
          <w:rFonts w:asciiTheme="majorBidi" w:hAnsiTheme="majorBidi" w:cstheme="majorBidi"/>
          <w:sz w:val="24"/>
          <w:szCs w:val="24"/>
        </w:rPr>
        <w:t>o</w:t>
      </w:r>
      <w:r w:rsidR="008F42A7" w:rsidRPr="008F42A7">
        <w:rPr>
          <w:rFonts w:asciiTheme="majorBidi" w:hAnsiTheme="majorBidi" w:cstheme="majorBidi"/>
          <w:sz w:val="24"/>
          <w:szCs w:val="24"/>
        </w:rPr>
        <w:t xml:space="preserve">n the government of self and others </w:t>
      </w:r>
      <w:r w:rsidR="006F1271">
        <w:rPr>
          <w:rFonts w:asciiTheme="majorBidi" w:hAnsiTheme="majorBidi" w:cstheme="majorBidi"/>
          <w:sz w:val="24"/>
          <w:szCs w:val="24"/>
        </w:rPr>
        <w:t>in articulating</w:t>
      </w:r>
      <w:r w:rsidR="007C56F7">
        <w:rPr>
          <w:rFonts w:asciiTheme="majorBidi" w:hAnsiTheme="majorBidi" w:cstheme="majorBidi"/>
          <w:sz w:val="24"/>
          <w:szCs w:val="24"/>
        </w:rPr>
        <w:t xml:space="preserve"> a</w:t>
      </w:r>
      <w:r w:rsidR="001D208E">
        <w:rPr>
          <w:rFonts w:asciiTheme="majorBidi" w:hAnsiTheme="majorBidi" w:cstheme="majorBidi"/>
          <w:sz w:val="24"/>
          <w:szCs w:val="24"/>
        </w:rPr>
        <w:t xml:space="preserve">n approach to </w:t>
      </w:r>
      <w:r w:rsidR="007C56F7">
        <w:rPr>
          <w:rFonts w:asciiTheme="majorBidi" w:hAnsiTheme="majorBidi" w:cstheme="majorBidi"/>
          <w:sz w:val="24"/>
          <w:szCs w:val="24"/>
        </w:rPr>
        <w:t xml:space="preserve">an </w:t>
      </w:r>
      <w:r w:rsidR="00E83A4B">
        <w:rPr>
          <w:rFonts w:asciiTheme="majorBidi" w:hAnsiTheme="majorBidi" w:cstheme="majorBidi"/>
          <w:sz w:val="24"/>
          <w:szCs w:val="24"/>
        </w:rPr>
        <w:t>ethics of democracy.</w:t>
      </w:r>
    </w:p>
    <w:p w:rsidR="0020001A" w:rsidRDefault="0020001A" w:rsidP="0020001A">
      <w:pPr>
        <w:spacing w:line="360" w:lineRule="auto"/>
        <w:rPr>
          <w:rFonts w:asciiTheme="majorBidi" w:hAnsiTheme="majorBidi" w:cstheme="majorBidi"/>
          <w:sz w:val="24"/>
          <w:szCs w:val="24"/>
        </w:rPr>
      </w:pPr>
    </w:p>
    <w:p w:rsidR="002916B0" w:rsidRDefault="0020001A" w:rsidP="006F1271">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091E27" w:rsidRPr="00091E27">
        <w:rPr>
          <w:rFonts w:asciiTheme="majorBidi" w:hAnsiTheme="majorBidi" w:cstheme="majorBidi"/>
          <w:i/>
          <w:iCs/>
          <w:sz w:val="24"/>
          <w:szCs w:val="24"/>
        </w:rPr>
        <w:t>Ethics</w:t>
      </w:r>
      <w:r w:rsidR="00826FBB">
        <w:rPr>
          <w:rFonts w:asciiTheme="majorBidi" w:hAnsiTheme="majorBidi" w:cstheme="majorBidi"/>
          <w:i/>
          <w:iCs/>
          <w:sz w:val="24"/>
          <w:szCs w:val="24"/>
        </w:rPr>
        <w:t xml:space="preserve"> and the Danger</w:t>
      </w:r>
      <w:r w:rsidR="006F1271">
        <w:rPr>
          <w:rFonts w:asciiTheme="majorBidi" w:hAnsiTheme="majorBidi" w:cstheme="majorBidi"/>
          <w:i/>
          <w:iCs/>
          <w:sz w:val="24"/>
          <w:szCs w:val="24"/>
        </w:rPr>
        <w:t xml:space="preserve"> of </w:t>
      </w:r>
      <w:proofErr w:type="spellStart"/>
      <w:r w:rsidR="006F1271">
        <w:rPr>
          <w:rFonts w:asciiTheme="majorBidi" w:hAnsiTheme="majorBidi" w:cstheme="majorBidi"/>
          <w:i/>
          <w:iCs/>
          <w:sz w:val="24"/>
          <w:szCs w:val="24"/>
        </w:rPr>
        <w:t>Biopolitical</w:t>
      </w:r>
      <w:proofErr w:type="spellEnd"/>
      <w:r w:rsidR="006F1271">
        <w:rPr>
          <w:rFonts w:asciiTheme="majorBidi" w:hAnsiTheme="majorBidi" w:cstheme="majorBidi"/>
          <w:i/>
          <w:iCs/>
          <w:sz w:val="24"/>
          <w:szCs w:val="24"/>
        </w:rPr>
        <w:t xml:space="preserve"> Governance</w:t>
      </w:r>
    </w:p>
    <w:p w:rsidR="00CC4AA7" w:rsidRDefault="006F1271" w:rsidP="00107A3A">
      <w:pPr>
        <w:spacing w:line="360" w:lineRule="auto"/>
        <w:rPr>
          <w:rFonts w:asciiTheme="majorBidi" w:hAnsiTheme="majorBidi" w:cstheme="majorBidi"/>
          <w:sz w:val="24"/>
          <w:szCs w:val="24"/>
        </w:rPr>
      </w:pPr>
      <w:r>
        <w:rPr>
          <w:rFonts w:asciiTheme="majorBidi" w:hAnsiTheme="majorBidi" w:cstheme="majorBidi"/>
          <w:sz w:val="24"/>
          <w:szCs w:val="24"/>
        </w:rPr>
        <w:t xml:space="preserve">Foucault’s turn </w:t>
      </w:r>
      <w:r w:rsidR="00821720">
        <w:rPr>
          <w:rFonts w:asciiTheme="majorBidi" w:hAnsiTheme="majorBidi" w:cstheme="majorBidi"/>
          <w:sz w:val="24"/>
          <w:szCs w:val="24"/>
        </w:rPr>
        <w:t xml:space="preserve">to reflection on </w:t>
      </w:r>
      <w:r w:rsidR="00F81B74">
        <w:rPr>
          <w:rFonts w:asciiTheme="majorBidi" w:hAnsiTheme="majorBidi" w:cstheme="majorBidi"/>
          <w:sz w:val="24"/>
          <w:szCs w:val="24"/>
        </w:rPr>
        <w:t xml:space="preserve">the </w:t>
      </w:r>
      <w:r w:rsidR="00821720">
        <w:rPr>
          <w:rFonts w:asciiTheme="majorBidi" w:hAnsiTheme="majorBidi" w:cstheme="majorBidi"/>
          <w:sz w:val="24"/>
          <w:szCs w:val="24"/>
        </w:rPr>
        <w:t xml:space="preserve">ethics of care of the self as an </w:t>
      </w:r>
      <w:r w:rsidR="00F81B74">
        <w:rPr>
          <w:rFonts w:asciiTheme="majorBidi" w:hAnsiTheme="majorBidi" w:cstheme="majorBidi"/>
          <w:sz w:val="24"/>
          <w:szCs w:val="24"/>
        </w:rPr>
        <w:t>aesthetics of existence</w:t>
      </w:r>
      <w:r>
        <w:rPr>
          <w:rFonts w:asciiTheme="majorBidi" w:hAnsiTheme="majorBidi" w:cstheme="majorBidi"/>
          <w:sz w:val="24"/>
          <w:szCs w:val="24"/>
        </w:rPr>
        <w:t xml:space="preserve"> and</w:t>
      </w:r>
      <w:r w:rsidR="00821720">
        <w:rPr>
          <w:rFonts w:asciiTheme="majorBidi" w:hAnsiTheme="majorBidi" w:cstheme="majorBidi"/>
          <w:sz w:val="24"/>
          <w:szCs w:val="24"/>
        </w:rPr>
        <w:t xml:space="preserve"> on</w:t>
      </w:r>
      <w:r>
        <w:rPr>
          <w:rFonts w:asciiTheme="majorBidi" w:hAnsiTheme="majorBidi" w:cstheme="majorBidi"/>
          <w:sz w:val="24"/>
          <w:szCs w:val="24"/>
        </w:rPr>
        <w:t xml:space="preserve"> </w:t>
      </w:r>
      <w:proofErr w:type="spellStart"/>
      <w:r>
        <w:rPr>
          <w:rFonts w:asciiTheme="majorBidi" w:hAnsiTheme="majorBidi" w:cstheme="majorBidi"/>
          <w:i/>
          <w:iCs/>
          <w:sz w:val="24"/>
          <w:szCs w:val="24"/>
        </w:rPr>
        <w:t>parrhesia</w:t>
      </w:r>
      <w:proofErr w:type="spellEnd"/>
      <w:r>
        <w:rPr>
          <w:rFonts w:asciiTheme="majorBidi" w:hAnsiTheme="majorBidi" w:cstheme="majorBidi"/>
          <w:sz w:val="24"/>
          <w:szCs w:val="24"/>
        </w:rPr>
        <w:t xml:space="preserve"> </w:t>
      </w:r>
      <w:r w:rsidR="00821720">
        <w:rPr>
          <w:rFonts w:asciiTheme="majorBidi" w:hAnsiTheme="majorBidi" w:cstheme="majorBidi"/>
          <w:sz w:val="24"/>
          <w:szCs w:val="24"/>
        </w:rPr>
        <w:t xml:space="preserve">as an element of such an ethics </w:t>
      </w:r>
      <w:r>
        <w:rPr>
          <w:rFonts w:asciiTheme="majorBidi" w:hAnsiTheme="majorBidi" w:cstheme="majorBidi"/>
          <w:sz w:val="24"/>
          <w:szCs w:val="24"/>
        </w:rPr>
        <w:t>form part of a complex – and unfinished – genealogy of the government of self and others in Western culture. Yet while the genealogical project is incomplete, the motivation to undertake it can</w:t>
      </w:r>
      <w:r w:rsidR="00821720">
        <w:rPr>
          <w:rFonts w:asciiTheme="majorBidi" w:hAnsiTheme="majorBidi" w:cstheme="majorBidi"/>
          <w:sz w:val="24"/>
          <w:szCs w:val="24"/>
        </w:rPr>
        <w:t>, we think,</w:t>
      </w:r>
      <w:r>
        <w:rPr>
          <w:rFonts w:asciiTheme="majorBidi" w:hAnsiTheme="majorBidi" w:cstheme="majorBidi"/>
          <w:sz w:val="24"/>
          <w:szCs w:val="24"/>
        </w:rPr>
        <w:t xml:space="preserve"> be fairly precisely identified in relation to Foucault’s work up to, and including, the first volume of the </w:t>
      </w:r>
      <w:r>
        <w:rPr>
          <w:rFonts w:asciiTheme="majorBidi" w:hAnsiTheme="majorBidi" w:cstheme="majorBidi"/>
          <w:i/>
          <w:iCs/>
          <w:sz w:val="24"/>
          <w:szCs w:val="24"/>
        </w:rPr>
        <w:t>History of Sexuality</w:t>
      </w:r>
      <w:r>
        <w:rPr>
          <w:rFonts w:asciiTheme="majorBidi" w:hAnsiTheme="majorBidi" w:cstheme="majorBidi"/>
          <w:sz w:val="24"/>
          <w:szCs w:val="24"/>
        </w:rPr>
        <w:t xml:space="preserve"> and addresses what we may term ‘</w:t>
      </w:r>
      <w:r w:rsidRPr="00F81B74">
        <w:rPr>
          <w:rFonts w:asciiTheme="majorBidi" w:hAnsiTheme="majorBidi" w:cstheme="majorBidi"/>
          <w:sz w:val="24"/>
          <w:szCs w:val="24"/>
        </w:rPr>
        <w:t>the problem of</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biopolitical</w:t>
      </w:r>
      <w:proofErr w:type="spellEnd"/>
      <w:r>
        <w:rPr>
          <w:rFonts w:asciiTheme="majorBidi" w:hAnsiTheme="majorBidi" w:cstheme="majorBidi"/>
          <w:i/>
          <w:iCs/>
          <w:sz w:val="24"/>
          <w:szCs w:val="24"/>
        </w:rPr>
        <w:t xml:space="preserve"> </w:t>
      </w:r>
      <w:r w:rsidRPr="00F81B74">
        <w:rPr>
          <w:rFonts w:asciiTheme="majorBidi" w:hAnsiTheme="majorBidi" w:cstheme="majorBidi"/>
          <w:sz w:val="24"/>
          <w:szCs w:val="24"/>
        </w:rPr>
        <w:t>governance</w:t>
      </w:r>
      <w:r>
        <w:rPr>
          <w:rFonts w:asciiTheme="majorBidi" w:hAnsiTheme="majorBidi" w:cstheme="majorBidi"/>
          <w:sz w:val="24"/>
          <w:szCs w:val="24"/>
        </w:rPr>
        <w:t xml:space="preserve">’. </w:t>
      </w:r>
      <w:r w:rsidR="00091E27" w:rsidRPr="00091E27">
        <w:rPr>
          <w:rFonts w:asciiTheme="majorBidi" w:hAnsiTheme="majorBidi" w:cstheme="majorBidi"/>
          <w:sz w:val="24"/>
          <w:szCs w:val="24"/>
        </w:rPr>
        <w:t>The fundamental problem with this mode of governance of self and others on Foucault’s account lies in its combination of two features</w:t>
      </w:r>
      <w:r w:rsidR="00CC4AA7">
        <w:rPr>
          <w:rFonts w:asciiTheme="majorBidi" w:hAnsiTheme="majorBidi" w:cstheme="majorBidi"/>
          <w:sz w:val="24"/>
          <w:szCs w:val="24"/>
        </w:rPr>
        <w:t>. F</w:t>
      </w:r>
      <w:r>
        <w:rPr>
          <w:rFonts w:asciiTheme="majorBidi" w:hAnsiTheme="majorBidi" w:cstheme="majorBidi"/>
          <w:sz w:val="24"/>
          <w:szCs w:val="24"/>
        </w:rPr>
        <w:t xml:space="preserve">irst, </w:t>
      </w:r>
      <w:r w:rsidR="00091E27" w:rsidRPr="00091E27">
        <w:rPr>
          <w:rFonts w:asciiTheme="majorBidi" w:hAnsiTheme="majorBidi" w:cstheme="majorBidi"/>
          <w:sz w:val="24"/>
          <w:szCs w:val="24"/>
        </w:rPr>
        <w:t xml:space="preserve">it has successfully </w:t>
      </w:r>
      <w:r w:rsidR="00F82209">
        <w:rPr>
          <w:rFonts w:asciiTheme="majorBidi" w:hAnsiTheme="majorBidi" w:cstheme="majorBidi"/>
          <w:sz w:val="24"/>
          <w:szCs w:val="24"/>
        </w:rPr>
        <w:t>established a hegemonic position asserting</w:t>
      </w:r>
      <w:r w:rsidR="00091E27" w:rsidRPr="00091E27">
        <w:rPr>
          <w:rFonts w:asciiTheme="majorBidi" w:hAnsiTheme="majorBidi" w:cstheme="majorBidi"/>
          <w:sz w:val="24"/>
          <w:szCs w:val="24"/>
        </w:rPr>
        <w:t xml:space="preserve"> its own universal validity as </w:t>
      </w:r>
      <w:r w:rsidR="00091E27" w:rsidRPr="00980942">
        <w:rPr>
          <w:rFonts w:asciiTheme="majorBidi" w:hAnsiTheme="majorBidi" w:cstheme="majorBidi"/>
          <w:i/>
          <w:iCs/>
          <w:sz w:val="24"/>
          <w:szCs w:val="24"/>
        </w:rPr>
        <w:t>the</w:t>
      </w:r>
      <w:r>
        <w:rPr>
          <w:rFonts w:asciiTheme="majorBidi" w:hAnsiTheme="majorBidi" w:cstheme="majorBidi"/>
          <w:sz w:val="24"/>
          <w:szCs w:val="24"/>
        </w:rPr>
        <w:t xml:space="preserve"> rational form of governance</w:t>
      </w:r>
      <w:r w:rsidR="00107A3A">
        <w:rPr>
          <w:rFonts w:asciiTheme="majorBidi" w:hAnsiTheme="majorBidi" w:cstheme="majorBidi"/>
          <w:sz w:val="24"/>
          <w:szCs w:val="24"/>
        </w:rPr>
        <w:t>. Second, it</w:t>
      </w:r>
      <w:r w:rsidR="00107A3A" w:rsidRPr="00F82209">
        <w:rPr>
          <w:rFonts w:asciiTheme="majorBidi" w:hAnsiTheme="majorBidi" w:cstheme="majorBidi"/>
          <w:sz w:val="24"/>
          <w:szCs w:val="24"/>
        </w:rPr>
        <w:t xml:space="preserve"> instantiates and reproduces what Foucault refers to as ‘the paradox of </w:t>
      </w:r>
      <w:r w:rsidR="00107A3A" w:rsidRPr="00F82209">
        <w:rPr>
          <w:rFonts w:asciiTheme="majorBidi" w:hAnsiTheme="majorBidi" w:cstheme="majorBidi"/>
          <w:sz w:val="24"/>
          <w:szCs w:val="24"/>
        </w:rPr>
        <w:lastRenderedPageBreak/>
        <w:t>the relations of capacity and power’</w:t>
      </w:r>
      <w:r w:rsidR="00107A3A">
        <w:rPr>
          <w:rFonts w:asciiTheme="majorBidi" w:hAnsiTheme="majorBidi" w:cstheme="majorBidi"/>
          <w:sz w:val="24"/>
          <w:szCs w:val="24"/>
        </w:rPr>
        <w:t xml:space="preserve">, whereby </w:t>
      </w:r>
      <w:r w:rsidR="00107A3A" w:rsidRPr="00F82209">
        <w:rPr>
          <w:rFonts w:asciiTheme="majorBidi" w:hAnsiTheme="majorBidi" w:cstheme="majorBidi"/>
          <w:sz w:val="24"/>
          <w:szCs w:val="24"/>
        </w:rPr>
        <w:t xml:space="preserve">the growth of capabilities </w:t>
      </w:r>
      <w:r w:rsidR="00107A3A">
        <w:rPr>
          <w:rFonts w:asciiTheme="majorBidi" w:hAnsiTheme="majorBidi" w:cstheme="majorBidi"/>
          <w:sz w:val="24"/>
          <w:szCs w:val="24"/>
        </w:rPr>
        <w:t xml:space="preserve">rather than promoting autonomy </w:t>
      </w:r>
      <w:r w:rsidR="00107A3A" w:rsidRPr="00F82209">
        <w:rPr>
          <w:rFonts w:asciiTheme="majorBidi" w:hAnsiTheme="majorBidi" w:cstheme="majorBidi"/>
          <w:sz w:val="24"/>
          <w:szCs w:val="24"/>
        </w:rPr>
        <w:t>is tied to an intensification of power relations</w:t>
      </w:r>
      <w:r w:rsidR="00107A3A">
        <w:rPr>
          <w:rFonts w:asciiTheme="majorBidi" w:hAnsiTheme="majorBidi" w:cstheme="majorBidi"/>
          <w:sz w:val="24"/>
          <w:szCs w:val="24"/>
        </w:rPr>
        <w:t>.</w:t>
      </w:r>
      <w:r w:rsidR="00107A3A">
        <w:rPr>
          <w:rStyle w:val="FootnoteReference"/>
          <w:rFonts w:asciiTheme="majorBidi" w:hAnsiTheme="majorBidi" w:cstheme="majorBidi"/>
          <w:sz w:val="24"/>
          <w:szCs w:val="24"/>
        </w:rPr>
        <w:footnoteReference w:id="1"/>
      </w:r>
      <w:r w:rsidR="00107A3A">
        <w:rPr>
          <w:rFonts w:asciiTheme="majorBidi" w:hAnsiTheme="majorBidi" w:cstheme="majorBidi"/>
          <w:sz w:val="24"/>
          <w:szCs w:val="24"/>
        </w:rPr>
        <w:t xml:space="preserve"> This combination is neatly summed up thus</w:t>
      </w:r>
      <w:r w:rsidR="00CC4AA7">
        <w:rPr>
          <w:rFonts w:asciiTheme="majorBidi" w:hAnsiTheme="majorBidi" w:cstheme="majorBidi"/>
          <w:sz w:val="24"/>
          <w:szCs w:val="24"/>
        </w:rPr>
        <w:t>:</w:t>
      </w:r>
    </w:p>
    <w:p w:rsidR="00CC4AA7" w:rsidRPr="00CF2B41" w:rsidRDefault="00CC4AA7" w:rsidP="00CC4AA7">
      <w:pPr>
        <w:spacing w:after="0" w:line="360" w:lineRule="auto"/>
        <w:ind w:left="720"/>
        <w:rPr>
          <w:rFonts w:ascii="Times New Roman" w:eastAsia="Times New Roman" w:hAnsi="Times New Roman" w:cs="Times New Roman"/>
          <w:sz w:val="24"/>
          <w:szCs w:val="20"/>
          <w:lang w:eastAsia="en-US"/>
        </w:rPr>
      </w:pPr>
      <w:proofErr w:type="gramStart"/>
      <w:r w:rsidRPr="00CF2B41">
        <w:rPr>
          <w:rFonts w:ascii="Times New Roman" w:eastAsia="Times New Roman" w:hAnsi="Times New Roman" w:cs="Times New Roman"/>
          <w:sz w:val="24"/>
          <w:szCs w:val="20"/>
          <w:lang w:eastAsia="en-US"/>
        </w:rPr>
        <w:t>Bio-power spread under the banner of making people healthy and protecting them.</w:t>
      </w:r>
      <w:proofErr w:type="gramEnd"/>
      <w:r w:rsidRPr="00CF2B41">
        <w:rPr>
          <w:rFonts w:ascii="Times New Roman" w:eastAsia="Times New Roman" w:hAnsi="Times New Roman" w:cs="Times New Roman"/>
          <w:sz w:val="24"/>
          <w:szCs w:val="20"/>
          <w:lang w:eastAsia="en-US"/>
        </w:rPr>
        <w:t xml:space="preserve"> Where there was resistance, or failure to achieve its stated aims, this was construed as further proof of the need to reinforce and extend the power of experts. A technical matrix was established. By definition there ought to be a way of solving any technical problem. Once this matrix was established, the spread of bio-power was assured, for there was nothing else to appeal to: any other standards could be shown to be abnormal or to present merely technical problems. We are promised normalization and happiness through science and law. When they fail, this only justifies the need for more of the same.</w:t>
      </w:r>
      <w:r w:rsidRPr="00CF2B41">
        <w:rPr>
          <w:rFonts w:ascii="Times New Roman" w:eastAsia="Times New Roman" w:hAnsi="Times New Roman" w:cs="Times New Roman"/>
          <w:sz w:val="24"/>
          <w:szCs w:val="20"/>
          <w:vertAlign w:val="superscript"/>
          <w:lang w:eastAsia="en-US"/>
        </w:rPr>
        <w:footnoteReference w:id="2"/>
      </w:r>
      <w:r w:rsidRPr="00CF2B41">
        <w:rPr>
          <w:rFonts w:ascii="Times New Roman" w:eastAsia="Times New Roman" w:hAnsi="Times New Roman" w:cs="Times New Roman"/>
          <w:sz w:val="24"/>
          <w:szCs w:val="20"/>
          <w:lang w:eastAsia="en-US"/>
        </w:rPr>
        <w:t xml:space="preserve"> </w:t>
      </w:r>
    </w:p>
    <w:p w:rsidR="00107A3A" w:rsidRDefault="00CD49C4" w:rsidP="00537A78">
      <w:pPr>
        <w:spacing w:line="360" w:lineRule="auto"/>
        <w:rPr>
          <w:rFonts w:asciiTheme="majorBidi" w:hAnsiTheme="majorBidi" w:cstheme="majorBidi"/>
          <w:sz w:val="24"/>
          <w:szCs w:val="24"/>
        </w:rPr>
      </w:pPr>
      <w:r>
        <w:rPr>
          <w:rFonts w:asciiTheme="majorBidi" w:hAnsiTheme="majorBidi" w:cstheme="majorBidi"/>
          <w:sz w:val="24"/>
          <w:szCs w:val="24"/>
        </w:rPr>
        <w:t>How</w:t>
      </w:r>
      <w:r w:rsidR="00107A3A">
        <w:rPr>
          <w:rFonts w:asciiTheme="majorBidi" w:hAnsiTheme="majorBidi" w:cstheme="majorBidi"/>
          <w:sz w:val="24"/>
          <w:szCs w:val="24"/>
        </w:rPr>
        <w:t>, though,</w:t>
      </w:r>
      <w:r>
        <w:rPr>
          <w:rFonts w:asciiTheme="majorBidi" w:hAnsiTheme="majorBidi" w:cstheme="majorBidi"/>
          <w:sz w:val="24"/>
          <w:szCs w:val="24"/>
        </w:rPr>
        <w:t xml:space="preserve"> are we to understand Fouc</w:t>
      </w:r>
      <w:r w:rsidR="003F61C4">
        <w:rPr>
          <w:rFonts w:asciiTheme="majorBidi" w:hAnsiTheme="majorBidi" w:cstheme="majorBidi"/>
          <w:sz w:val="24"/>
          <w:szCs w:val="24"/>
        </w:rPr>
        <w:t>a</w:t>
      </w:r>
      <w:r>
        <w:rPr>
          <w:rFonts w:asciiTheme="majorBidi" w:hAnsiTheme="majorBidi" w:cstheme="majorBidi"/>
          <w:sz w:val="24"/>
          <w:szCs w:val="24"/>
        </w:rPr>
        <w:t xml:space="preserve">ult’s argument that </w:t>
      </w:r>
      <w:proofErr w:type="spellStart"/>
      <w:r>
        <w:rPr>
          <w:rFonts w:asciiTheme="majorBidi" w:hAnsiTheme="majorBidi" w:cstheme="majorBidi"/>
          <w:sz w:val="24"/>
          <w:szCs w:val="24"/>
        </w:rPr>
        <w:t>biopolitical</w:t>
      </w:r>
      <w:proofErr w:type="spellEnd"/>
      <w:r>
        <w:rPr>
          <w:rFonts w:asciiTheme="majorBidi" w:hAnsiTheme="majorBidi" w:cstheme="majorBidi"/>
          <w:sz w:val="24"/>
          <w:szCs w:val="24"/>
        </w:rPr>
        <w:t xml:space="preserve"> government</w:t>
      </w:r>
      <w:r w:rsidR="00107A3A">
        <w:rPr>
          <w:rFonts w:asciiTheme="majorBidi" w:hAnsiTheme="majorBidi" w:cstheme="majorBidi"/>
          <w:sz w:val="24"/>
          <w:szCs w:val="24"/>
        </w:rPr>
        <w:t xml:space="preserve"> achieves</w:t>
      </w:r>
      <w:r w:rsidR="003F61C4">
        <w:rPr>
          <w:rFonts w:asciiTheme="majorBidi" w:hAnsiTheme="majorBidi" w:cstheme="majorBidi"/>
          <w:sz w:val="24"/>
          <w:szCs w:val="24"/>
        </w:rPr>
        <w:t xml:space="preserve"> </w:t>
      </w:r>
      <w:r w:rsidR="00107A3A">
        <w:rPr>
          <w:rFonts w:asciiTheme="majorBidi" w:hAnsiTheme="majorBidi" w:cstheme="majorBidi"/>
          <w:sz w:val="24"/>
          <w:szCs w:val="24"/>
        </w:rPr>
        <w:t xml:space="preserve">hegemony and </w:t>
      </w:r>
      <w:r>
        <w:rPr>
          <w:rFonts w:asciiTheme="majorBidi" w:hAnsiTheme="majorBidi" w:cstheme="majorBidi"/>
          <w:sz w:val="24"/>
          <w:szCs w:val="24"/>
        </w:rPr>
        <w:t xml:space="preserve">generates a paradox of the relation of capacities and power? </w:t>
      </w:r>
    </w:p>
    <w:p w:rsidR="00107A3A" w:rsidRDefault="00107A3A" w:rsidP="00537A78">
      <w:pPr>
        <w:spacing w:line="360" w:lineRule="auto"/>
        <w:rPr>
          <w:rFonts w:asciiTheme="majorBidi" w:hAnsiTheme="majorBidi" w:cstheme="majorBidi"/>
          <w:sz w:val="24"/>
          <w:szCs w:val="24"/>
        </w:rPr>
      </w:pPr>
    </w:p>
    <w:p w:rsidR="00537A78" w:rsidRDefault="00CD49C4" w:rsidP="00537A78">
      <w:pPr>
        <w:spacing w:line="360" w:lineRule="auto"/>
        <w:rPr>
          <w:rFonts w:asciiTheme="majorBidi" w:hAnsiTheme="majorBidi" w:cstheme="majorBidi"/>
          <w:sz w:val="24"/>
          <w:szCs w:val="24"/>
        </w:rPr>
      </w:pPr>
      <w:r>
        <w:rPr>
          <w:rFonts w:asciiTheme="majorBidi" w:hAnsiTheme="majorBidi" w:cstheme="majorBidi"/>
          <w:sz w:val="24"/>
          <w:szCs w:val="24"/>
        </w:rPr>
        <w:t xml:space="preserve">An initial move would be to note that </w:t>
      </w:r>
      <w:r w:rsidRPr="00CD49C4">
        <w:rPr>
          <w:rFonts w:asciiTheme="majorBidi" w:hAnsiTheme="majorBidi" w:cstheme="majorBidi"/>
          <w:sz w:val="24"/>
          <w:szCs w:val="24"/>
        </w:rPr>
        <w:t>if freedom can be generally and formally construed as the capacity to do, be or become x, it follows that an increase in capacities is an increase in freedom; however, it does not necessarily also follow that it is an increase in autonomy conceived as the leading</w:t>
      </w:r>
      <w:r>
        <w:rPr>
          <w:rFonts w:asciiTheme="majorBidi" w:hAnsiTheme="majorBidi" w:cstheme="majorBidi"/>
          <w:sz w:val="24"/>
          <w:szCs w:val="24"/>
        </w:rPr>
        <w:t xml:space="preserve"> of one’s own life. This</w:t>
      </w:r>
      <w:r w:rsidRPr="00CD49C4">
        <w:rPr>
          <w:rFonts w:asciiTheme="majorBidi" w:hAnsiTheme="majorBidi" w:cstheme="majorBidi"/>
          <w:sz w:val="24"/>
          <w:szCs w:val="24"/>
        </w:rPr>
        <w:t xml:space="preserve"> claim can be explained thus: a given exercise of disciplinary power increases one’s capacities to realise (i.e., act according to) a social norm but while this denotes an increase in freedom, it does not denote an increase in autonomy insofar as it acts at the same time to form one’s subjectivity as a socially normalised agent. Subject-formation and normalization are here intrinsically intertwined. In one respect, this is unproblematic; since subjects are constituted through practices and becoming a competent subject means becoming able to perform various tasks in accordance </w:t>
      </w:r>
      <w:r w:rsidRPr="00CD49C4">
        <w:rPr>
          <w:rFonts w:asciiTheme="majorBidi" w:hAnsiTheme="majorBidi" w:cstheme="majorBidi"/>
          <w:sz w:val="24"/>
          <w:szCs w:val="24"/>
        </w:rPr>
        <w:lastRenderedPageBreak/>
        <w:t xml:space="preserve">with social norms (subject-formation requires learning to follow rules in Wittgenstein’s terms), </w:t>
      </w:r>
      <w:r>
        <w:rPr>
          <w:rFonts w:asciiTheme="majorBidi" w:hAnsiTheme="majorBidi" w:cstheme="majorBidi"/>
          <w:sz w:val="24"/>
          <w:szCs w:val="24"/>
        </w:rPr>
        <w:t xml:space="preserve">then </w:t>
      </w:r>
      <w:r w:rsidRPr="00CD49C4">
        <w:rPr>
          <w:rFonts w:asciiTheme="majorBidi" w:hAnsiTheme="majorBidi" w:cstheme="majorBidi"/>
          <w:sz w:val="24"/>
          <w:szCs w:val="24"/>
        </w:rPr>
        <w:t xml:space="preserve">disciplinary practices </w:t>
      </w:r>
      <w:r>
        <w:rPr>
          <w:rFonts w:asciiTheme="majorBidi" w:hAnsiTheme="majorBidi" w:cstheme="majorBidi"/>
          <w:sz w:val="24"/>
          <w:szCs w:val="24"/>
        </w:rPr>
        <w:t xml:space="preserve">(broadly conceived) </w:t>
      </w:r>
      <w:r w:rsidRPr="00CD49C4">
        <w:rPr>
          <w:rFonts w:asciiTheme="majorBidi" w:hAnsiTheme="majorBidi" w:cstheme="majorBidi"/>
          <w:sz w:val="24"/>
          <w:szCs w:val="24"/>
        </w:rPr>
        <w:t>are a necessary feature of the formation of competent subjects in any society.</w:t>
      </w:r>
      <w:r>
        <w:rPr>
          <w:rFonts w:asciiTheme="majorBidi" w:hAnsiTheme="majorBidi" w:cstheme="majorBidi"/>
          <w:sz w:val="24"/>
          <w:szCs w:val="24"/>
        </w:rPr>
        <w:t xml:space="preserve"> Acknowledging this point might lead one to the view that what is objectionable about </w:t>
      </w:r>
      <w:proofErr w:type="spellStart"/>
      <w:r>
        <w:rPr>
          <w:rFonts w:asciiTheme="majorBidi" w:hAnsiTheme="majorBidi" w:cstheme="majorBidi"/>
          <w:sz w:val="24"/>
          <w:szCs w:val="24"/>
        </w:rPr>
        <w:t>biopolitical</w:t>
      </w:r>
      <w:proofErr w:type="spellEnd"/>
      <w:r>
        <w:rPr>
          <w:rFonts w:asciiTheme="majorBidi" w:hAnsiTheme="majorBidi" w:cstheme="majorBidi"/>
          <w:sz w:val="24"/>
          <w:szCs w:val="24"/>
        </w:rPr>
        <w:t xml:space="preserve"> government is </w:t>
      </w:r>
      <w:r w:rsidRPr="00CD49C4">
        <w:rPr>
          <w:rFonts w:asciiTheme="majorBidi" w:hAnsiTheme="majorBidi" w:cstheme="majorBidi"/>
          <w:sz w:val="24"/>
          <w:szCs w:val="24"/>
        </w:rPr>
        <w:t xml:space="preserve">not that it involves disciplinary practices but rather that subjects who are already </w:t>
      </w:r>
      <w:r w:rsidR="00D6696E">
        <w:rPr>
          <w:rFonts w:asciiTheme="majorBidi" w:hAnsiTheme="majorBidi" w:cstheme="majorBidi"/>
          <w:sz w:val="24"/>
          <w:szCs w:val="24"/>
        </w:rPr>
        <w:t xml:space="preserve">(formed as) </w:t>
      </w:r>
      <w:r w:rsidRPr="00CD49C4">
        <w:rPr>
          <w:rFonts w:asciiTheme="majorBidi" w:hAnsiTheme="majorBidi" w:cstheme="majorBidi"/>
          <w:sz w:val="24"/>
          <w:szCs w:val="24"/>
        </w:rPr>
        <w:t xml:space="preserve">competent and capable are </w:t>
      </w:r>
      <w:r w:rsidR="00D6696E">
        <w:rPr>
          <w:rFonts w:asciiTheme="majorBidi" w:hAnsiTheme="majorBidi" w:cstheme="majorBidi"/>
          <w:sz w:val="24"/>
          <w:szCs w:val="24"/>
        </w:rPr>
        <w:t xml:space="preserve">further </w:t>
      </w:r>
      <w:r w:rsidRPr="00CD49C4">
        <w:rPr>
          <w:rFonts w:asciiTheme="majorBidi" w:hAnsiTheme="majorBidi" w:cstheme="majorBidi"/>
          <w:sz w:val="24"/>
          <w:szCs w:val="24"/>
        </w:rPr>
        <w:t>disciplined to conform to social norms rather than being able</w:t>
      </w:r>
      <w:r>
        <w:rPr>
          <w:rFonts w:asciiTheme="majorBidi" w:hAnsiTheme="majorBidi" w:cstheme="majorBidi"/>
          <w:sz w:val="24"/>
          <w:szCs w:val="24"/>
        </w:rPr>
        <w:t xml:space="preserve"> to determine their own norms of conduct within the limits of legitimate law</w:t>
      </w:r>
      <w:r w:rsidRPr="00CD49C4">
        <w:rPr>
          <w:rFonts w:asciiTheme="majorBidi" w:hAnsiTheme="majorBidi" w:cstheme="majorBidi"/>
          <w:sz w:val="24"/>
          <w:szCs w:val="24"/>
        </w:rPr>
        <w:t xml:space="preserve">. </w:t>
      </w:r>
      <w:r>
        <w:rPr>
          <w:rFonts w:asciiTheme="majorBidi" w:hAnsiTheme="majorBidi" w:cstheme="majorBidi"/>
          <w:sz w:val="24"/>
          <w:szCs w:val="24"/>
        </w:rPr>
        <w:t>A</w:t>
      </w:r>
      <w:r w:rsidRPr="00CD49C4">
        <w:rPr>
          <w:rFonts w:asciiTheme="majorBidi" w:hAnsiTheme="majorBidi" w:cstheme="majorBidi"/>
          <w:sz w:val="24"/>
          <w:szCs w:val="24"/>
        </w:rPr>
        <w:t xml:space="preserve">utonomy, leading one’s own life, according to this response simply </w:t>
      </w:r>
      <w:r>
        <w:rPr>
          <w:rFonts w:asciiTheme="majorBidi" w:hAnsiTheme="majorBidi" w:cstheme="majorBidi"/>
          <w:sz w:val="24"/>
          <w:szCs w:val="24"/>
        </w:rPr>
        <w:t xml:space="preserve">entails </w:t>
      </w:r>
      <w:r w:rsidRPr="00CD49C4">
        <w:rPr>
          <w:rFonts w:asciiTheme="majorBidi" w:hAnsiTheme="majorBidi" w:cstheme="majorBidi"/>
          <w:sz w:val="24"/>
          <w:szCs w:val="24"/>
        </w:rPr>
        <w:t xml:space="preserve">that the individual, rather than society, determines their own goals, so that if Foucault is right to draw attention to </w:t>
      </w:r>
      <w:r w:rsidR="00D6696E">
        <w:rPr>
          <w:rFonts w:asciiTheme="majorBidi" w:hAnsiTheme="majorBidi" w:cstheme="majorBidi"/>
          <w:sz w:val="24"/>
          <w:szCs w:val="24"/>
        </w:rPr>
        <w:t xml:space="preserve">a problem with </w:t>
      </w:r>
      <w:proofErr w:type="spellStart"/>
      <w:r w:rsidR="00D6696E">
        <w:rPr>
          <w:rFonts w:asciiTheme="majorBidi" w:hAnsiTheme="majorBidi" w:cstheme="majorBidi"/>
          <w:sz w:val="24"/>
          <w:szCs w:val="24"/>
        </w:rPr>
        <w:t>biopolitical</w:t>
      </w:r>
      <w:proofErr w:type="spellEnd"/>
      <w:r w:rsidR="00D6696E">
        <w:rPr>
          <w:rFonts w:asciiTheme="majorBidi" w:hAnsiTheme="majorBidi" w:cstheme="majorBidi"/>
          <w:sz w:val="24"/>
          <w:szCs w:val="24"/>
        </w:rPr>
        <w:t xml:space="preserve"> government, it is </w:t>
      </w:r>
      <w:r w:rsidRPr="00CD49C4">
        <w:rPr>
          <w:rFonts w:asciiTheme="majorBidi" w:hAnsiTheme="majorBidi" w:cstheme="majorBidi"/>
          <w:sz w:val="24"/>
          <w:szCs w:val="24"/>
        </w:rPr>
        <w:t>simply that modern societies involve too much regulation of, and inter</w:t>
      </w:r>
      <w:r w:rsidR="00D6696E">
        <w:rPr>
          <w:rFonts w:asciiTheme="majorBidi" w:hAnsiTheme="majorBidi" w:cstheme="majorBidi"/>
          <w:sz w:val="24"/>
          <w:szCs w:val="24"/>
        </w:rPr>
        <w:t>ference with, individual liberty</w:t>
      </w:r>
      <w:r w:rsidRPr="00CD49C4">
        <w:rPr>
          <w:rFonts w:asciiTheme="majorBidi" w:hAnsiTheme="majorBidi" w:cstheme="majorBidi"/>
          <w:sz w:val="24"/>
          <w:szCs w:val="24"/>
        </w:rPr>
        <w:t>, and we need to recalibrate this relationship. This response, although it represents an intelligible and recognizable response to features of modern society, misses</w:t>
      </w:r>
      <w:r w:rsidR="00D6696E">
        <w:rPr>
          <w:rFonts w:asciiTheme="majorBidi" w:hAnsiTheme="majorBidi" w:cstheme="majorBidi"/>
          <w:sz w:val="24"/>
          <w:szCs w:val="24"/>
        </w:rPr>
        <w:t xml:space="preserve"> the locus of Foucault’s objection.</w:t>
      </w:r>
    </w:p>
    <w:p w:rsidR="003326D5" w:rsidRDefault="003326D5" w:rsidP="009C5196">
      <w:pPr>
        <w:spacing w:line="360" w:lineRule="auto"/>
        <w:rPr>
          <w:rFonts w:asciiTheme="majorBidi" w:hAnsiTheme="majorBidi" w:cstheme="majorBidi"/>
          <w:sz w:val="24"/>
          <w:szCs w:val="24"/>
        </w:rPr>
      </w:pPr>
    </w:p>
    <w:p w:rsidR="000619F3" w:rsidRDefault="00D6696E" w:rsidP="009C5196">
      <w:pPr>
        <w:spacing w:line="360" w:lineRule="auto"/>
        <w:rPr>
          <w:rFonts w:asciiTheme="majorBidi" w:hAnsiTheme="majorBidi" w:cstheme="majorBidi"/>
          <w:sz w:val="24"/>
          <w:szCs w:val="24"/>
        </w:rPr>
      </w:pPr>
      <w:r>
        <w:rPr>
          <w:rFonts w:asciiTheme="majorBidi" w:hAnsiTheme="majorBidi" w:cstheme="majorBidi"/>
          <w:sz w:val="24"/>
          <w:szCs w:val="24"/>
        </w:rPr>
        <w:t xml:space="preserve">To bring this objection into focus, we </w:t>
      </w:r>
      <w:r w:rsidR="00537A78">
        <w:rPr>
          <w:rFonts w:asciiTheme="majorBidi" w:hAnsiTheme="majorBidi" w:cstheme="majorBidi"/>
          <w:sz w:val="24"/>
          <w:szCs w:val="24"/>
        </w:rPr>
        <w:t>can start by noticing</w:t>
      </w:r>
      <w:r>
        <w:rPr>
          <w:rFonts w:asciiTheme="majorBidi" w:hAnsiTheme="majorBidi" w:cstheme="majorBidi"/>
          <w:sz w:val="24"/>
          <w:szCs w:val="24"/>
        </w:rPr>
        <w:t xml:space="preserve"> that </w:t>
      </w:r>
      <w:proofErr w:type="spellStart"/>
      <w:r>
        <w:rPr>
          <w:rFonts w:asciiTheme="majorBidi" w:hAnsiTheme="majorBidi" w:cstheme="majorBidi"/>
          <w:sz w:val="24"/>
          <w:szCs w:val="24"/>
        </w:rPr>
        <w:t>biopolitical</w:t>
      </w:r>
      <w:proofErr w:type="spellEnd"/>
      <w:r>
        <w:rPr>
          <w:rFonts w:asciiTheme="majorBidi" w:hAnsiTheme="majorBidi" w:cstheme="majorBidi"/>
          <w:sz w:val="24"/>
          <w:szCs w:val="24"/>
        </w:rPr>
        <w:t xml:space="preserve"> government does not merely involve the widespread deployment of disciplinary practices but also a specific way of understanding the r</w:t>
      </w:r>
      <w:r w:rsidR="00C86F2D">
        <w:rPr>
          <w:rFonts w:asciiTheme="majorBidi" w:hAnsiTheme="majorBidi" w:cstheme="majorBidi"/>
          <w:sz w:val="24"/>
          <w:szCs w:val="24"/>
        </w:rPr>
        <w:t xml:space="preserve">elationship between </w:t>
      </w:r>
      <w:r>
        <w:rPr>
          <w:rFonts w:asciiTheme="majorBidi" w:hAnsiTheme="majorBidi" w:cstheme="majorBidi"/>
          <w:sz w:val="24"/>
          <w:szCs w:val="24"/>
        </w:rPr>
        <w:t xml:space="preserve">truth </w:t>
      </w:r>
      <w:r w:rsidR="00C86F2D">
        <w:rPr>
          <w:rFonts w:asciiTheme="majorBidi" w:hAnsiTheme="majorBidi" w:cstheme="majorBidi"/>
          <w:sz w:val="24"/>
          <w:szCs w:val="24"/>
        </w:rPr>
        <w:t>and the government of self and others</w:t>
      </w:r>
      <w:r w:rsidR="009C5196">
        <w:rPr>
          <w:rFonts w:asciiTheme="majorBidi" w:hAnsiTheme="majorBidi" w:cstheme="majorBidi"/>
          <w:sz w:val="24"/>
          <w:szCs w:val="24"/>
        </w:rPr>
        <w:t xml:space="preserve"> (</w:t>
      </w:r>
      <w:r>
        <w:rPr>
          <w:rFonts w:asciiTheme="majorBidi" w:hAnsiTheme="majorBidi" w:cstheme="majorBidi"/>
          <w:sz w:val="24"/>
          <w:szCs w:val="24"/>
        </w:rPr>
        <w:t>according to which</w:t>
      </w:r>
      <w:r w:rsidR="00C86F2D">
        <w:rPr>
          <w:rFonts w:asciiTheme="majorBidi" w:hAnsiTheme="majorBidi" w:cstheme="majorBidi"/>
          <w:sz w:val="24"/>
          <w:szCs w:val="24"/>
        </w:rPr>
        <w:t xml:space="preserve"> access to truth is understood as taking</w:t>
      </w:r>
      <w:r w:rsidR="002B13C7">
        <w:rPr>
          <w:rFonts w:asciiTheme="majorBidi" w:hAnsiTheme="majorBidi" w:cstheme="majorBidi"/>
          <w:sz w:val="24"/>
          <w:szCs w:val="24"/>
        </w:rPr>
        <w:t xml:space="preserve"> the form of knowledge</w:t>
      </w:r>
      <w:r w:rsidR="003326D5">
        <w:rPr>
          <w:rFonts w:asciiTheme="majorBidi" w:hAnsiTheme="majorBidi" w:cstheme="majorBidi"/>
          <w:sz w:val="24"/>
          <w:szCs w:val="24"/>
        </w:rPr>
        <w:t xml:space="preserve"> and only knowledge</w:t>
      </w:r>
      <w:r w:rsidR="009C5196">
        <w:rPr>
          <w:rFonts w:asciiTheme="majorBidi" w:hAnsiTheme="majorBidi" w:cstheme="majorBidi"/>
          <w:sz w:val="24"/>
          <w:szCs w:val="24"/>
        </w:rPr>
        <w:t>)</w:t>
      </w:r>
      <w:r w:rsidR="002B13C7">
        <w:rPr>
          <w:rFonts w:asciiTheme="majorBidi" w:hAnsiTheme="majorBidi" w:cstheme="majorBidi"/>
          <w:sz w:val="24"/>
          <w:szCs w:val="24"/>
        </w:rPr>
        <w:t xml:space="preserve"> </w:t>
      </w:r>
      <w:r w:rsidR="00537A78">
        <w:rPr>
          <w:rFonts w:asciiTheme="majorBidi" w:hAnsiTheme="majorBidi" w:cstheme="majorBidi"/>
          <w:sz w:val="24"/>
          <w:szCs w:val="24"/>
        </w:rPr>
        <w:t>combined with a focus on man as a living being (</w:t>
      </w:r>
      <w:r w:rsidR="002B13C7">
        <w:rPr>
          <w:rFonts w:asciiTheme="majorBidi" w:hAnsiTheme="majorBidi" w:cstheme="majorBidi"/>
          <w:sz w:val="24"/>
          <w:szCs w:val="24"/>
        </w:rPr>
        <w:t>on the processes of biology, society, economy, etc.).</w:t>
      </w:r>
      <w:r w:rsidR="00537A78">
        <w:rPr>
          <w:rFonts w:asciiTheme="majorBidi" w:hAnsiTheme="majorBidi" w:cstheme="majorBidi"/>
          <w:sz w:val="24"/>
          <w:szCs w:val="24"/>
        </w:rPr>
        <w:t xml:space="preserve"> </w:t>
      </w:r>
      <w:r w:rsidR="00C86F2D">
        <w:rPr>
          <w:rFonts w:asciiTheme="majorBidi" w:hAnsiTheme="majorBidi" w:cstheme="majorBidi"/>
          <w:sz w:val="24"/>
          <w:szCs w:val="24"/>
        </w:rPr>
        <w:t xml:space="preserve">In this respect, it is a condition of </w:t>
      </w:r>
      <w:r w:rsidR="00537A78">
        <w:rPr>
          <w:rFonts w:asciiTheme="majorBidi" w:hAnsiTheme="majorBidi" w:cstheme="majorBidi"/>
          <w:sz w:val="24"/>
          <w:szCs w:val="24"/>
        </w:rPr>
        <w:t>good government of self and of others that it</w:t>
      </w:r>
      <w:r w:rsidR="00C86F2D">
        <w:rPr>
          <w:rFonts w:asciiTheme="majorBidi" w:hAnsiTheme="majorBidi" w:cstheme="majorBidi"/>
          <w:sz w:val="24"/>
          <w:szCs w:val="24"/>
        </w:rPr>
        <w:t xml:space="preserve"> is </w:t>
      </w:r>
      <w:proofErr w:type="spellStart"/>
      <w:r w:rsidR="00C86F2D">
        <w:rPr>
          <w:rFonts w:asciiTheme="majorBidi" w:hAnsiTheme="majorBidi" w:cstheme="majorBidi"/>
          <w:sz w:val="24"/>
          <w:szCs w:val="24"/>
        </w:rPr>
        <w:t>epistemically</w:t>
      </w:r>
      <w:proofErr w:type="spellEnd"/>
      <w:r w:rsidR="00C86F2D">
        <w:rPr>
          <w:rFonts w:asciiTheme="majorBidi" w:hAnsiTheme="majorBidi" w:cstheme="majorBidi"/>
          <w:sz w:val="24"/>
          <w:szCs w:val="24"/>
        </w:rPr>
        <w:t xml:space="preserve"> well-founded</w:t>
      </w:r>
      <w:r w:rsidR="00537A78">
        <w:rPr>
          <w:rFonts w:asciiTheme="majorBidi" w:hAnsiTheme="majorBidi" w:cstheme="majorBidi"/>
          <w:sz w:val="24"/>
          <w:szCs w:val="24"/>
        </w:rPr>
        <w:t xml:space="preserve"> </w:t>
      </w:r>
      <w:r w:rsidR="00F92719">
        <w:rPr>
          <w:rFonts w:asciiTheme="majorBidi" w:hAnsiTheme="majorBidi" w:cstheme="majorBidi"/>
          <w:sz w:val="24"/>
          <w:szCs w:val="24"/>
        </w:rPr>
        <w:t xml:space="preserve">in </w:t>
      </w:r>
      <w:r w:rsidR="000619F3">
        <w:rPr>
          <w:rFonts w:asciiTheme="majorBidi" w:hAnsiTheme="majorBidi" w:cstheme="majorBidi"/>
          <w:sz w:val="24"/>
          <w:szCs w:val="24"/>
        </w:rPr>
        <w:t xml:space="preserve">terms of </w:t>
      </w:r>
      <w:r w:rsidR="00F92719">
        <w:rPr>
          <w:rFonts w:asciiTheme="majorBidi" w:hAnsiTheme="majorBidi" w:cstheme="majorBidi"/>
          <w:sz w:val="24"/>
          <w:szCs w:val="24"/>
        </w:rPr>
        <w:t>the</w:t>
      </w:r>
      <w:r w:rsidR="00537A78">
        <w:rPr>
          <w:rFonts w:asciiTheme="majorBidi" w:hAnsiTheme="majorBidi" w:cstheme="majorBidi"/>
          <w:sz w:val="24"/>
          <w:szCs w:val="24"/>
        </w:rPr>
        <w:t xml:space="preserve"> human scien</w:t>
      </w:r>
      <w:r w:rsidR="00F92719">
        <w:rPr>
          <w:rFonts w:asciiTheme="majorBidi" w:hAnsiTheme="majorBidi" w:cstheme="majorBidi"/>
          <w:sz w:val="24"/>
          <w:szCs w:val="24"/>
        </w:rPr>
        <w:t>ces</w:t>
      </w:r>
      <w:r w:rsidR="000619F3">
        <w:rPr>
          <w:rFonts w:asciiTheme="majorBidi" w:hAnsiTheme="majorBidi" w:cstheme="majorBidi"/>
          <w:sz w:val="24"/>
          <w:szCs w:val="24"/>
        </w:rPr>
        <w:t xml:space="preserve"> and, thus, conceives of the task of developing capabilities in terms of biological, psychological, sociological and economic norms. </w:t>
      </w:r>
      <w:r w:rsidR="00F92719">
        <w:rPr>
          <w:rFonts w:asciiTheme="majorBidi" w:hAnsiTheme="majorBidi" w:cstheme="majorBidi"/>
          <w:sz w:val="24"/>
          <w:szCs w:val="24"/>
        </w:rPr>
        <w:t xml:space="preserve">The problem – to return to the paradox of the relation of capacities and power – is </w:t>
      </w:r>
      <w:r w:rsidR="005F4DBF">
        <w:rPr>
          <w:rFonts w:asciiTheme="majorBidi" w:hAnsiTheme="majorBidi" w:cstheme="majorBidi"/>
          <w:sz w:val="24"/>
          <w:szCs w:val="24"/>
        </w:rPr>
        <w:t xml:space="preserve">then </w:t>
      </w:r>
      <w:r w:rsidR="00F92719">
        <w:rPr>
          <w:rFonts w:asciiTheme="majorBidi" w:hAnsiTheme="majorBidi" w:cstheme="majorBidi"/>
          <w:sz w:val="24"/>
          <w:szCs w:val="24"/>
        </w:rPr>
        <w:t xml:space="preserve">that </w:t>
      </w:r>
      <w:proofErr w:type="spellStart"/>
      <w:r w:rsidR="003A5D60">
        <w:rPr>
          <w:rFonts w:asciiTheme="majorBidi" w:hAnsiTheme="majorBidi" w:cstheme="majorBidi"/>
          <w:sz w:val="24"/>
          <w:szCs w:val="24"/>
        </w:rPr>
        <w:t>epistemically</w:t>
      </w:r>
      <w:proofErr w:type="spellEnd"/>
      <w:r w:rsidR="003A5D60">
        <w:rPr>
          <w:rFonts w:asciiTheme="majorBidi" w:hAnsiTheme="majorBidi" w:cstheme="majorBidi"/>
          <w:sz w:val="24"/>
          <w:szCs w:val="24"/>
        </w:rPr>
        <w:t xml:space="preserve"> well-founded governmental technologies for </w:t>
      </w:r>
      <w:r w:rsidR="00F92719">
        <w:rPr>
          <w:rFonts w:asciiTheme="majorBidi" w:hAnsiTheme="majorBidi" w:cstheme="majorBidi"/>
          <w:sz w:val="24"/>
          <w:szCs w:val="24"/>
        </w:rPr>
        <w:t>developing the capacities of an individual or population</w:t>
      </w:r>
      <w:r w:rsidR="002B13C7">
        <w:rPr>
          <w:rFonts w:asciiTheme="majorBidi" w:hAnsiTheme="majorBidi" w:cstheme="majorBidi"/>
          <w:sz w:val="24"/>
          <w:szCs w:val="24"/>
        </w:rPr>
        <w:t xml:space="preserve"> </w:t>
      </w:r>
      <w:r w:rsidR="003A5D60">
        <w:rPr>
          <w:rFonts w:asciiTheme="majorBidi" w:hAnsiTheme="majorBidi" w:cstheme="majorBidi"/>
          <w:sz w:val="24"/>
          <w:szCs w:val="24"/>
        </w:rPr>
        <w:t>involve, at the same time, forms of discipline, individual or collective, and processes of normalization</w:t>
      </w:r>
      <w:r w:rsidR="009C5196">
        <w:rPr>
          <w:rFonts w:asciiTheme="majorBidi" w:hAnsiTheme="majorBidi" w:cstheme="majorBidi"/>
          <w:sz w:val="24"/>
          <w:szCs w:val="24"/>
        </w:rPr>
        <w:t xml:space="preserve">. It is in this context </w:t>
      </w:r>
      <w:r w:rsidR="000619F3">
        <w:rPr>
          <w:rFonts w:asciiTheme="majorBidi" w:hAnsiTheme="majorBidi" w:cstheme="majorBidi"/>
          <w:sz w:val="24"/>
          <w:szCs w:val="24"/>
        </w:rPr>
        <w:t>that we should read Foucault’s well-known remark that:</w:t>
      </w:r>
    </w:p>
    <w:p w:rsidR="000619F3" w:rsidRDefault="000619F3" w:rsidP="000619F3">
      <w:pPr>
        <w:spacing w:after="0" w:line="360" w:lineRule="auto"/>
        <w:ind w:left="720"/>
        <w:rPr>
          <w:rFonts w:ascii="Times New Roman" w:eastAsia="Times New Roman" w:hAnsi="Times New Roman" w:cs="Times New Roman"/>
          <w:sz w:val="24"/>
          <w:szCs w:val="20"/>
          <w:lang w:eastAsia="en-US"/>
        </w:rPr>
      </w:pPr>
      <w:r w:rsidRPr="002052E9">
        <w:rPr>
          <w:rFonts w:ascii="Times New Roman" w:eastAsia="Times New Roman" w:hAnsi="Times New Roman" w:cs="Times New Roman"/>
          <w:sz w:val="24"/>
          <w:szCs w:val="20"/>
          <w:lang w:eastAsia="en-US"/>
        </w:rPr>
        <w:t>We are in the society of the teacher-judge, the doctor-judge, the educator-judge, the 'social-worker'-judge; it is on them that the universal reign on the normative is based; and each individual, wherever he may find himself, subjects to it his body, his gestures, his behaviour, his aptitudes, his achievements.</w:t>
      </w:r>
      <w:r w:rsidRPr="002052E9">
        <w:rPr>
          <w:rFonts w:ascii="Times New Roman" w:eastAsia="Times New Roman" w:hAnsi="Times New Roman" w:cs="Times New Roman"/>
          <w:sz w:val="24"/>
          <w:szCs w:val="20"/>
          <w:vertAlign w:val="superscript"/>
          <w:lang w:eastAsia="en-US"/>
        </w:rPr>
        <w:footnoteReference w:id="3"/>
      </w:r>
    </w:p>
    <w:p w:rsidR="003A5D60" w:rsidRDefault="000619F3" w:rsidP="000619F3">
      <w:pPr>
        <w:spacing w:line="360" w:lineRule="auto"/>
        <w:rPr>
          <w:rFonts w:asciiTheme="majorBidi" w:hAnsiTheme="majorBidi" w:cstheme="majorBidi"/>
          <w:sz w:val="24"/>
          <w:szCs w:val="24"/>
        </w:rPr>
      </w:pPr>
      <w:r>
        <w:rPr>
          <w:rFonts w:ascii="Times New Roman" w:eastAsia="Times New Roman" w:hAnsi="Times New Roman" w:cs="Times New Roman"/>
          <w:sz w:val="24"/>
          <w:szCs w:val="20"/>
          <w:lang w:eastAsia="en-US"/>
        </w:rPr>
        <w:lastRenderedPageBreak/>
        <w:t>Hence, the key ethical question for Foucault: ‘how can the growth of capabilities be disconnected from the intensification of power relations?’</w:t>
      </w:r>
      <w:r>
        <w:rPr>
          <w:rStyle w:val="FootnoteReference"/>
          <w:rFonts w:ascii="Times New Roman" w:eastAsia="Times New Roman" w:hAnsi="Times New Roman" w:cs="Times New Roman"/>
          <w:sz w:val="24"/>
          <w:szCs w:val="20"/>
          <w:lang w:eastAsia="en-US"/>
        </w:rPr>
        <w:footnoteReference w:id="4"/>
      </w:r>
    </w:p>
    <w:p w:rsidR="000619F3" w:rsidRDefault="000619F3" w:rsidP="000619F3">
      <w:pPr>
        <w:spacing w:line="360" w:lineRule="auto"/>
        <w:rPr>
          <w:rFonts w:asciiTheme="majorBidi" w:hAnsiTheme="majorBidi" w:cstheme="majorBidi"/>
          <w:sz w:val="24"/>
          <w:szCs w:val="24"/>
        </w:rPr>
      </w:pPr>
    </w:p>
    <w:p w:rsidR="00E155F9" w:rsidRDefault="009C5196" w:rsidP="009C5196">
      <w:pPr>
        <w:spacing w:line="360" w:lineRule="auto"/>
        <w:rPr>
          <w:rFonts w:asciiTheme="majorBidi" w:hAnsiTheme="majorBidi" w:cstheme="majorBidi"/>
          <w:sz w:val="24"/>
          <w:szCs w:val="24"/>
        </w:rPr>
      </w:pPr>
      <w:r>
        <w:rPr>
          <w:rFonts w:asciiTheme="majorBidi" w:hAnsiTheme="majorBidi" w:cstheme="majorBidi"/>
          <w:sz w:val="24"/>
          <w:szCs w:val="24"/>
        </w:rPr>
        <w:t>We can clarify this point further by noting</w:t>
      </w:r>
      <w:r w:rsidR="00C42CDC">
        <w:rPr>
          <w:rFonts w:asciiTheme="majorBidi" w:hAnsiTheme="majorBidi" w:cstheme="majorBidi"/>
          <w:sz w:val="24"/>
          <w:szCs w:val="24"/>
        </w:rPr>
        <w:t xml:space="preserve"> that</w:t>
      </w:r>
      <w:r w:rsidR="00390602">
        <w:rPr>
          <w:rFonts w:asciiTheme="majorBidi" w:hAnsiTheme="majorBidi" w:cstheme="majorBidi"/>
          <w:sz w:val="24"/>
          <w:szCs w:val="24"/>
        </w:rPr>
        <w:t>, on the one hand,</w:t>
      </w:r>
      <w:r w:rsidR="00D56888">
        <w:rPr>
          <w:rFonts w:asciiTheme="majorBidi" w:hAnsiTheme="majorBidi" w:cstheme="majorBidi"/>
          <w:sz w:val="24"/>
          <w:szCs w:val="24"/>
        </w:rPr>
        <w:t xml:space="preserve"> as disciplinary practices becomes generalised across society, so too </w:t>
      </w:r>
      <w:r w:rsidR="00E155F9" w:rsidRPr="009F3148">
        <w:rPr>
          <w:rFonts w:asciiTheme="majorBidi" w:hAnsiTheme="majorBidi" w:cstheme="majorBidi"/>
          <w:sz w:val="24"/>
          <w:szCs w:val="24"/>
        </w:rPr>
        <w:t>‘the power of self-direction in carrying things out constituted by discipline becomes the model of the power to personally lead one’s life’</w:t>
      </w:r>
      <w:r w:rsidR="007D44BD">
        <w:rPr>
          <w:rStyle w:val="FootnoteReference"/>
          <w:rFonts w:asciiTheme="majorBidi" w:hAnsiTheme="majorBidi" w:cstheme="majorBidi"/>
          <w:sz w:val="24"/>
          <w:szCs w:val="24"/>
        </w:rPr>
        <w:footnoteReference w:id="5"/>
      </w:r>
      <w:r w:rsidR="00E155F9" w:rsidRPr="009F3148">
        <w:rPr>
          <w:rFonts w:asciiTheme="majorBidi" w:hAnsiTheme="majorBidi" w:cstheme="majorBidi"/>
          <w:sz w:val="24"/>
          <w:szCs w:val="24"/>
        </w:rPr>
        <w:t xml:space="preserve"> (</w:t>
      </w:r>
      <w:proofErr w:type="spellStart"/>
      <w:r w:rsidR="00E155F9" w:rsidRPr="009F3148">
        <w:rPr>
          <w:rFonts w:asciiTheme="majorBidi" w:hAnsiTheme="majorBidi" w:cstheme="majorBidi"/>
          <w:sz w:val="24"/>
          <w:szCs w:val="24"/>
        </w:rPr>
        <w:t>Menke</w:t>
      </w:r>
      <w:proofErr w:type="spellEnd"/>
      <w:r w:rsidR="00E155F9" w:rsidRPr="009F3148">
        <w:rPr>
          <w:rFonts w:asciiTheme="majorBidi" w:hAnsiTheme="majorBidi" w:cstheme="majorBidi"/>
          <w:sz w:val="24"/>
          <w:szCs w:val="24"/>
        </w:rPr>
        <w:t>, 2003: 207)</w:t>
      </w:r>
      <w:r w:rsidR="00390602">
        <w:rPr>
          <w:rFonts w:asciiTheme="majorBidi" w:hAnsiTheme="majorBidi" w:cstheme="majorBidi"/>
          <w:sz w:val="24"/>
          <w:szCs w:val="24"/>
        </w:rPr>
        <w:t xml:space="preserve">, while, on the other hand, </w:t>
      </w:r>
      <w:r w:rsidR="00390602" w:rsidRPr="00390602">
        <w:rPr>
          <w:rFonts w:asciiTheme="majorBidi" w:hAnsiTheme="majorBidi" w:cstheme="majorBidi"/>
          <w:sz w:val="24"/>
          <w:szCs w:val="24"/>
        </w:rPr>
        <w:t>with the increasing hegemo</w:t>
      </w:r>
      <w:r>
        <w:rPr>
          <w:rFonts w:asciiTheme="majorBidi" w:hAnsiTheme="majorBidi" w:cstheme="majorBidi"/>
          <w:sz w:val="24"/>
          <w:szCs w:val="24"/>
        </w:rPr>
        <w:t xml:space="preserve">ny of the human sciences, </w:t>
      </w:r>
      <w:r w:rsidR="00390602" w:rsidRPr="00390602">
        <w:rPr>
          <w:rFonts w:asciiTheme="majorBidi" w:hAnsiTheme="majorBidi" w:cstheme="majorBidi"/>
          <w:sz w:val="24"/>
          <w:szCs w:val="24"/>
        </w:rPr>
        <w:t xml:space="preserve">the form of self-direction in carrying things out constituted by </w:t>
      </w:r>
      <w:r>
        <w:rPr>
          <w:rFonts w:asciiTheme="majorBidi" w:hAnsiTheme="majorBidi" w:cstheme="majorBidi"/>
          <w:sz w:val="24"/>
          <w:szCs w:val="24"/>
        </w:rPr>
        <w:t xml:space="preserve">governing through knowledge </w:t>
      </w:r>
      <w:r w:rsidR="00E76B9C">
        <w:rPr>
          <w:rFonts w:asciiTheme="majorBidi" w:hAnsiTheme="majorBidi" w:cstheme="majorBidi"/>
          <w:sz w:val="24"/>
          <w:szCs w:val="24"/>
        </w:rPr>
        <w:t xml:space="preserve">of the normal </w:t>
      </w:r>
      <w:r w:rsidR="00390602" w:rsidRPr="00390602">
        <w:rPr>
          <w:rFonts w:asciiTheme="majorBidi" w:hAnsiTheme="majorBidi" w:cstheme="majorBidi"/>
          <w:sz w:val="24"/>
          <w:szCs w:val="24"/>
        </w:rPr>
        <w:t>becomes the model of the relationship of sub</w:t>
      </w:r>
      <w:r w:rsidR="00390602">
        <w:rPr>
          <w:rFonts w:asciiTheme="majorBidi" w:hAnsiTheme="majorBidi" w:cstheme="majorBidi"/>
          <w:sz w:val="24"/>
          <w:szCs w:val="24"/>
        </w:rPr>
        <w:t xml:space="preserve">jectivity and truth in </w:t>
      </w:r>
      <w:r w:rsidR="00390602" w:rsidRPr="00390602">
        <w:rPr>
          <w:rFonts w:asciiTheme="majorBidi" w:hAnsiTheme="majorBidi" w:cstheme="majorBidi"/>
          <w:sz w:val="24"/>
          <w:szCs w:val="24"/>
        </w:rPr>
        <w:t>leading one’s life.</w:t>
      </w:r>
      <w:r>
        <w:rPr>
          <w:rFonts w:asciiTheme="majorBidi" w:hAnsiTheme="majorBidi" w:cstheme="majorBidi"/>
          <w:sz w:val="24"/>
          <w:szCs w:val="24"/>
        </w:rPr>
        <w:t xml:space="preserve"> </w:t>
      </w:r>
      <w:r w:rsidR="00390602">
        <w:rPr>
          <w:rFonts w:asciiTheme="majorBidi" w:hAnsiTheme="majorBidi" w:cstheme="majorBidi"/>
          <w:sz w:val="24"/>
          <w:szCs w:val="24"/>
        </w:rPr>
        <w:t xml:space="preserve">These processes are mutually reinforcing. Thus, as </w:t>
      </w:r>
      <w:proofErr w:type="spellStart"/>
      <w:r w:rsidR="00390602">
        <w:rPr>
          <w:rFonts w:asciiTheme="majorBidi" w:hAnsiTheme="majorBidi" w:cstheme="majorBidi"/>
          <w:sz w:val="24"/>
          <w:szCs w:val="24"/>
        </w:rPr>
        <w:t>Menke</w:t>
      </w:r>
      <w:proofErr w:type="spellEnd"/>
      <w:r w:rsidR="00390602">
        <w:rPr>
          <w:rFonts w:asciiTheme="majorBidi" w:hAnsiTheme="majorBidi" w:cstheme="majorBidi"/>
          <w:sz w:val="24"/>
          <w:szCs w:val="24"/>
        </w:rPr>
        <w:t xml:space="preserve"> points out in relation to the first:</w:t>
      </w:r>
      <w:r w:rsidR="00390602" w:rsidRPr="00390602">
        <w:rPr>
          <w:rFonts w:asciiTheme="majorBidi" w:hAnsiTheme="majorBidi" w:cstheme="majorBidi"/>
          <w:sz w:val="24"/>
          <w:szCs w:val="24"/>
        </w:rPr>
        <w:t xml:space="preserve">   </w:t>
      </w:r>
    </w:p>
    <w:p w:rsidR="00FF7672" w:rsidRDefault="00E155F9" w:rsidP="00E155F9">
      <w:pPr>
        <w:spacing w:line="360" w:lineRule="auto"/>
        <w:ind w:left="360"/>
        <w:rPr>
          <w:rFonts w:asciiTheme="majorBidi" w:hAnsiTheme="majorBidi" w:cstheme="majorBidi"/>
          <w:sz w:val="24"/>
          <w:szCs w:val="24"/>
        </w:rPr>
      </w:pPr>
      <w:proofErr w:type="gramStart"/>
      <w:r w:rsidRPr="00E155F9">
        <w:rPr>
          <w:rFonts w:asciiTheme="majorBidi" w:hAnsiTheme="majorBidi" w:cstheme="majorBidi"/>
          <w:sz w:val="24"/>
          <w:szCs w:val="24"/>
        </w:rPr>
        <w:t>Leading a self-determined life, then, means orienting one’s life like an activity leading to a goal.</w:t>
      </w:r>
      <w:proofErr w:type="gramEnd"/>
      <w:r w:rsidRPr="00E155F9">
        <w:rPr>
          <w:rFonts w:asciiTheme="majorBidi" w:hAnsiTheme="majorBidi" w:cstheme="majorBidi"/>
          <w:sz w:val="24"/>
          <w:szCs w:val="24"/>
        </w:rPr>
        <w:t xml:space="preserve"> According to this idea, the difference between personally leading a life and disciplinary self-direction simply concerns the realized normative idea – its origin (it is determined by myself), its content (it concerns my good), and its scope (it refers to the whole of my life). But it does not concern the relation between norm and activity: … the normative orientation to one’s own good must lead to an ordering of goal or aims, so that leading one’s own life can be understood as an activity of realizing such goa</w:t>
      </w:r>
      <w:r w:rsidR="007D44BD">
        <w:rPr>
          <w:rFonts w:asciiTheme="majorBidi" w:hAnsiTheme="majorBidi" w:cstheme="majorBidi"/>
          <w:sz w:val="24"/>
          <w:szCs w:val="24"/>
        </w:rPr>
        <w:t>ls or aims.</w:t>
      </w:r>
    </w:p>
    <w:p w:rsidR="001F5793" w:rsidRDefault="00390602" w:rsidP="00E550C4">
      <w:pPr>
        <w:spacing w:line="360" w:lineRule="auto"/>
        <w:rPr>
          <w:rFonts w:asciiTheme="majorBidi" w:hAnsiTheme="majorBidi" w:cstheme="majorBidi"/>
          <w:sz w:val="24"/>
          <w:szCs w:val="24"/>
        </w:rPr>
      </w:pPr>
      <w:r>
        <w:rPr>
          <w:rFonts w:asciiTheme="majorBidi" w:hAnsiTheme="majorBidi" w:cstheme="majorBidi"/>
          <w:sz w:val="24"/>
          <w:szCs w:val="24"/>
        </w:rPr>
        <w:t>But i</w:t>
      </w:r>
      <w:r w:rsidR="002B1E3E">
        <w:rPr>
          <w:rFonts w:asciiTheme="majorBidi" w:hAnsiTheme="majorBidi" w:cstheme="majorBidi"/>
          <w:sz w:val="24"/>
          <w:szCs w:val="24"/>
        </w:rPr>
        <w:t xml:space="preserve">nsofar as </w:t>
      </w:r>
      <w:r w:rsidR="007D4DCA">
        <w:rPr>
          <w:rFonts w:asciiTheme="majorBidi" w:hAnsiTheme="majorBidi" w:cstheme="majorBidi"/>
          <w:sz w:val="24"/>
          <w:szCs w:val="24"/>
        </w:rPr>
        <w:t xml:space="preserve">the form of </w:t>
      </w:r>
      <w:r w:rsidR="002B1E3E">
        <w:rPr>
          <w:rFonts w:asciiTheme="majorBidi" w:hAnsiTheme="majorBidi" w:cstheme="majorBidi"/>
          <w:sz w:val="24"/>
          <w:szCs w:val="24"/>
        </w:rPr>
        <w:t>one’s</w:t>
      </w:r>
      <w:r w:rsidR="00E155F9">
        <w:rPr>
          <w:rFonts w:asciiTheme="majorBidi" w:hAnsiTheme="majorBidi" w:cstheme="majorBidi"/>
          <w:sz w:val="24"/>
          <w:szCs w:val="24"/>
        </w:rPr>
        <w:t xml:space="preserve"> relation to self is conceived</w:t>
      </w:r>
      <w:r w:rsidR="00E155F9" w:rsidRPr="00E155F9">
        <w:rPr>
          <w:rFonts w:asciiTheme="majorBidi" w:hAnsiTheme="majorBidi" w:cstheme="majorBidi"/>
          <w:sz w:val="24"/>
          <w:szCs w:val="24"/>
        </w:rPr>
        <w:t xml:space="preserve"> in terms of the disciplinary model</w:t>
      </w:r>
      <w:r w:rsidR="00E155F9">
        <w:rPr>
          <w:rFonts w:asciiTheme="majorBidi" w:hAnsiTheme="majorBidi" w:cstheme="majorBidi"/>
          <w:sz w:val="24"/>
          <w:szCs w:val="24"/>
        </w:rPr>
        <w:t>, then</w:t>
      </w:r>
      <w:r w:rsidR="00E155F9" w:rsidRPr="00E155F9">
        <w:rPr>
          <w:rFonts w:asciiTheme="majorBidi" w:hAnsiTheme="majorBidi" w:cstheme="majorBidi"/>
          <w:sz w:val="24"/>
          <w:szCs w:val="24"/>
        </w:rPr>
        <w:t xml:space="preserve"> precisely because </w:t>
      </w:r>
      <w:r w:rsidR="002B1E3E">
        <w:rPr>
          <w:rFonts w:asciiTheme="majorBidi" w:hAnsiTheme="majorBidi" w:cstheme="majorBidi"/>
          <w:sz w:val="24"/>
          <w:szCs w:val="24"/>
        </w:rPr>
        <w:t xml:space="preserve">it construes the norm and </w:t>
      </w:r>
      <w:r w:rsidR="00E155F9" w:rsidRPr="00E155F9">
        <w:rPr>
          <w:rFonts w:asciiTheme="majorBidi" w:hAnsiTheme="majorBidi" w:cstheme="majorBidi"/>
          <w:sz w:val="24"/>
          <w:szCs w:val="24"/>
        </w:rPr>
        <w:t>efforts to realise it in teleological-instrumental terms</w:t>
      </w:r>
      <w:r w:rsidR="00E155F9">
        <w:rPr>
          <w:rFonts w:asciiTheme="majorBidi" w:hAnsiTheme="majorBidi" w:cstheme="majorBidi"/>
          <w:sz w:val="24"/>
          <w:szCs w:val="24"/>
        </w:rPr>
        <w:t xml:space="preserve">, </w:t>
      </w:r>
      <w:r w:rsidR="002B1E3E">
        <w:rPr>
          <w:rFonts w:asciiTheme="majorBidi" w:hAnsiTheme="majorBidi" w:cstheme="majorBidi"/>
          <w:sz w:val="24"/>
          <w:szCs w:val="24"/>
        </w:rPr>
        <w:t xml:space="preserve">one’s </w:t>
      </w:r>
      <w:r w:rsidR="00E155F9" w:rsidRPr="00E155F9">
        <w:rPr>
          <w:rFonts w:asciiTheme="majorBidi" w:hAnsiTheme="majorBidi" w:cstheme="majorBidi"/>
          <w:sz w:val="24"/>
          <w:szCs w:val="24"/>
        </w:rPr>
        <w:t xml:space="preserve">agency </w:t>
      </w:r>
      <w:r w:rsidR="009D5AF9">
        <w:rPr>
          <w:rFonts w:asciiTheme="majorBidi" w:hAnsiTheme="majorBidi" w:cstheme="majorBidi"/>
          <w:sz w:val="24"/>
          <w:szCs w:val="24"/>
        </w:rPr>
        <w:t xml:space="preserve">is understood </w:t>
      </w:r>
      <w:r w:rsidR="00E155F9">
        <w:rPr>
          <w:rFonts w:asciiTheme="majorBidi" w:hAnsiTheme="majorBidi" w:cstheme="majorBidi"/>
          <w:sz w:val="24"/>
          <w:szCs w:val="24"/>
        </w:rPr>
        <w:t xml:space="preserve">as </w:t>
      </w:r>
      <w:r w:rsidR="003326D5">
        <w:rPr>
          <w:rFonts w:asciiTheme="majorBidi" w:hAnsiTheme="majorBidi" w:cstheme="majorBidi"/>
          <w:sz w:val="24"/>
          <w:szCs w:val="24"/>
        </w:rPr>
        <w:t>an</w:t>
      </w:r>
      <w:r w:rsidR="00E155F9" w:rsidRPr="00E155F9">
        <w:rPr>
          <w:rFonts w:asciiTheme="majorBidi" w:hAnsiTheme="majorBidi" w:cstheme="majorBidi"/>
          <w:sz w:val="24"/>
          <w:szCs w:val="24"/>
        </w:rPr>
        <w:t xml:space="preserve"> object of </w:t>
      </w:r>
      <w:r w:rsidR="005C3672">
        <w:rPr>
          <w:rFonts w:asciiTheme="majorBidi" w:hAnsiTheme="majorBidi" w:cstheme="majorBidi"/>
          <w:sz w:val="24"/>
          <w:szCs w:val="24"/>
        </w:rPr>
        <w:t xml:space="preserve">human </w:t>
      </w:r>
      <w:r w:rsidR="00E155F9" w:rsidRPr="00E155F9">
        <w:rPr>
          <w:rFonts w:asciiTheme="majorBidi" w:hAnsiTheme="majorBidi" w:cstheme="majorBidi"/>
          <w:sz w:val="24"/>
          <w:szCs w:val="24"/>
        </w:rPr>
        <w:t>scientific investigation</w:t>
      </w:r>
      <w:r w:rsidR="009D5AF9">
        <w:rPr>
          <w:rFonts w:asciiTheme="majorBidi" w:hAnsiTheme="majorBidi" w:cstheme="majorBidi"/>
          <w:sz w:val="24"/>
          <w:szCs w:val="24"/>
        </w:rPr>
        <w:t xml:space="preserve"> and evaluation</w:t>
      </w:r>
      <w:r w:rsidR="00E155F9">
        <w:rPr>
          <w:rFonts w:asciiTheme="majorBidi" w:hAnsiTheme="majorBidi" w:cstheme="majorBidi"/>
          <w:sz w:val="24"/>
          <w:szCs w:val="24"/>
        </w:rPr>
        <w:t>.</w:t>
      </w:r>
      <w:r w:rsidR="005C3672">
        <w:rPr>
          <w:rFonts w:asciiTheme="majorBidi" w:hAnsiTheme="majorBidi" w:cstheme="majorBidi"/>
          <w:sz w:val="24"/>
          <w:szCs w:val="24"/>
        </w:rPr>
        <w:t xml:space="preserve"> At the same time,</w:t>
      </w:r>
      <w:r w:rsidR="007D4DCA">
        <w:rPr>
          <w:rFonts w:asciiTheme="majorBidi" w:hAnsiTheme="majorBidi" w:cstheme="majorBidi"/>
          <w:sz w:val="24"/>
          <w:szCs w:val="24"/>
        </w:rPr>
        <w:t xml:space="preserve"> the increasing entrenchment of</w:t>
      </w:r>
      <w:r>
        <w:rPr>
          <w:rFonts w:asciiTheme="majorBidi" w:hAnsiTheme="majorBidi" w:cstheme="majorBidi"/>
          <w:sz w:val="24"/>
          <w:szCs w:val="24"/>
        </w:rPr>
        <w:t xml:space="preserve"> the relationship of subjectivity and truth </w:t>
      </w:r>
      <w:r w:rsidR="002B1E3E">
        <w:rPr>
          <w:rFonts w:asciiTheme="majorBidi" w:hAnsiTheme="majorBidi" w:cstheme="majorBidi"/>
          <w:sz w:val="24"/>
          <w:szCs w:val="24"/>
        </w:rPr>
        <w:t>conceived</w:t>
      </w:r>
      <w:r w:rsidR="009D5AF9">
        <w:rPr>
          <w:rFonts w:asciiTheme="majorBidi" w:hAnsiTheme="majorBidi" w:cstheme="majorBidi"/>
          <w:sz w:val="24"/>
          <w:szCs w:val="24"/>
        </w:rPr>
        <w:t xml:space="preserve"> </w:t>
      </w:r>
      <w:r>
        <w:rPr>
          <w:rFonts w:asciiTheme="majorBidi" w:hAnsiTheme="majorBidi" w:cstheme="majorBidi"/>
          <w:sz w:val="24"/>
          <w:szCs w:val="24"/>
        </w:rPr>
        <w:t>in terms of knowledge</w:t>
      </w:r>
      <w:r w:rsidR="009C5196">
        <w:rPr>
          <w:rFonts w:asciiTheme="majorBidi" w:hAnsiTheme="majorBidi" w:cstheme="majorBidi"/>
          <w:sz w:val="24"/>
          <w:szCs w:val="24"/>
        </w:rPr>
        <w:t xml:space="preserve"> and, specifically, human scientific knowledge</w:t>
      </w:r>
      <w:r>
        <w:rPr>
          <w:rFonts w:asciiTheme="majorBidi" w:hAnsiTheme="majorBidi" w:cstheme="majorBidi"/>
          <w:sz w:val="24"/>
          <w:szCs w:val="24"/>
        </w:rPr>
        <w:t xml:space="preserve">, </w:t>
      </w:r>
      <w:r w:rsidR="007D4DCA">
        <w:rPr>
          <w:rFonts w:asciiTheme="majorBidi" w:hAnsiTheme="majorBidi" w:cstheme="majorBidi"/>
          <w:sz w:val="24"/>
          <w:szCs w:val="24"/>
        </w:rPr>
        <w:t xml:space="preserve">supports a model of personally leading one’s life or being true to oneself in terms of </w:t>
      </w:r>
      <w:r w:rsidR="00E550C4">
        <w:rPr>
          <w:rFonts w:asciiTheme="majorBidi" w:hAnsiTheme="majorBidi" w:cstheme="majorBidi"/>
          <w:sz w:val="24"/>
          <w:szCs w:val="24"/>
        </w:rPr>
        <w:t xml:space="preserve">human scientific </w:t>
      </w:r>
      <w:r w:rsidR="007D4DCA">
        <w:rPr>
          <w:rFonts w:asciiTheme="majorBidi" w:hAnsiTheme="majorBidi" w:cstheme="majorBidi"/>
          <w:sz w:val="24"/>
          <w:szCs w:val="24"/>
        </w:rPr>
        <w:t>knowledge</w:t>
      </w:r>
      <w:r w:rsidR="00E550C4">
        <w:rPr>
          <w:rFonts w:asciiTheme="majorBidi" w:hAnsiTheme="majorBidi" w:cstheme="majorBidi"/>
          <w:sz w:val="24"/>
          <w:szCs w:val="24"/>
        </w:rPr>
        <w:t xml:space="preserve"> of oneself and insofar as the fo</w:t>
      </w:r>
      <w:r w:rsidR="007D44BD">
        <w:rPr>
          <w:rFonts w:asciiTheme="majorBidi" w:hAnsiTheme="majorBidi" w:cstheme="majorBidi"/>
          <w:sz w:val="24"/>
          <w:szCs w:val="24"/>
        </w:rPr>
        <w:t xml:space="preserve">rm of one’s relation to self </w:t>
      </w:r>
      <w:r w:rsidR="00E550C4">
        <w:rPr>
          <w:rFonts w:asciiTheme="majorBidi" w:hAnsiTheme="majorBidi" w:cstheme="majorBidi"/>
          <w:sz w:val="24"/>
          <w:szCs w:val="24"/>
        </w:rPr>
        <w:t xml:space="preserve">is understood in terms of this epistemic model, one’s agency </w:t>
      </w:r>
      <w:r w:rsidR="003326D5">
        <w:rPr>
          <w:rFonts w:asciiTheme="majorBidi" w:hAnsiTheme="majorBidi" w:cstheme="majorBidi"/>
          <w:sz w:val="24"/>
          <w:szCs w:val="24"/>
        </w:rPr>
        <w:t xml:space="preserve">is understood as a </w:t>
      </w:r>
      <w:r w:rsidR="00E550C4">
        <w:rPr>
          <w:rFonts w:asciiTheme="majorBidi" w:hAnsiTheme="majorBidi" w:cstheme="majorBidi"/>
          <w:sz w:val="24"/>
          <w:szCs w:val="24"/>
        </w:rPr>
        <w:t xml:space="preserve">subject of disciplinary practices and processes of normalization. </w:t>
      </w:r>
      <w:r w:rsidR="001F5793">
        <w:rPr>
          <w:rFonts w:asciiTheme="majorBidi" w:hAnsiTheme="majorBidi" w:cstheme="majorBidi"/>
          <w:sz w:val="24"/>
          <w:szCs w:val="24"/>
        </w:rPr>
        <w:t xml:space="preserve">To the extent that one stands in the relationship to oneself composed of these two elements, </w:t>
      </w:r>
      <w:proofErr w:type="spellStart"/>
      <w:r w:rsidR="001F5793" w:rsidRPr="001F5793">
        <w:rPr>
          <w:rFonts w:asciiTheme="majorBidi" w:hAnsiTheme="majorBidi" w:cstheme="majorBidi"/>
          <w:sz w:val="24"/>
          <w:szCs w:val="24"/>
        </w:rPr>
        <w:t>biopolitical</w:t>
      </w:r>
      <w:proofErr w:type="spellEnd"/>
      <w:r w:rsidR="001F5793" w:rsidRPr="001F5793">
        <w:rPr>
          <w:rFonts w:asciiTheme="majorBidi" w:hAnsiTheme="majorBidi" w:cstheme="majorBidi"/>
          <w:sz w:val="24"/>
          <w:szCs w:val="24"/>
        </w:rPr>
        <w:t xml:space="preserve"> governance a</w:t>
      </w:r>
      <w:r w:rsidR="001F5793">
        <w:rPr>
          <w:rFonts w:asciiTheme="majorBidi" w:hAnsiTheme="majorBidi" w:cstheme="majorBidi"/>
          <w:sz w:val="24"/>
          <w:szCs w:val="24"/>
        </w:rPr>
        <w:t>ppear</w:t>
      </w:r>
      <w:r w:rsidR="001F5793" w:rsidRPr="001F5793">
        <w:rPr>
          <w:rFonts w:asciiTheme="majorBidi" w:hAnsiTheme="majorBidi" w:cstheme="majorBidi"/>
          <w:sz w:val="24"/>
          <w:szCs w:val="24"/>
        </w:rPr>
        <w:t xml:space="preserve">s </w:t>
      </w:r>
      <w:r w:rsidR="001F5793">
        <w:rPr>
          <w:rFonts w:asciiTheme="majorBidi" w:hAnsiTheme="majorBidi" w:cstheme="majorBidi"/>
          <w:sz w:val="24"/>
          <w:szCs w:val="24"/>
        </w:rPr>
        <w:t xml:space="preserve">as </w:t>
      </w:r>
      <w:r w:rsidR="001F5793" w:rsidRPr="001F5793">
        <w:rPr>
          <w:rFonts w:asciiTheme="majorBidi" w:hAnsiTheme="majorBidi" w:cstheme="majorBidi"/>
          <w:i/>
          <w:iCs/>
          <w:sz w:val="24"/>
          <w:szCs w:val="24"/>
        </w:rPr>
        <w:t>the</w:t>
      </w:r>
      <w:r w:rsidR="001F5793" w:rsidRPr="001F5793">
        <w:rPr>
          <w:rFonts w:asciiTheme="majorBidi" w:hAnsiTheme="majorBidi" w:cstheme="majorBidi"/>
          <w:sz w:val="24"/>
          <w:szCs w:val="24"/>
        </w:rPr>
        <w:t xml:space="preserve"> rational form of govern</w:t>
      </w:r>
      <w:r w:rsidR="001F5793">
        <w:rPr>
          <w:rFonts w:asciiTheme="majorBidi" w:hAnsiTheme="majorBidi" w:cstheme="majorBidi"/>
          <w:sz w:val="24"/>
          <w:szCs w:val="24"/>
        </w:rPr>
        <w:t>ment of self and others.  As Foucault comments:</w:t>
      </w:r>
    </w:p>
    <w:p w:rsidR="001F5793" w:rsidRPr="00A941F0" w:rsidRDefault="001F5793" w:rsidP="001F5793">
      <w:pPr>
        <w:spacing w:after="0" w:line="360" w:lineRule="auto"/>
        <w:ind w:left="720"/>
        <w:rPr>
          <w:rFonts w:ascii="Times New Roman" w:eastAsia="Times New Roman" w:hAnsi="Times New Roman" w:cs="Times New Roman"/>
          <w:bCs/>
          <w:sz w:val="24"/>
          <w:szCs w:val="20"/>
          <w:lang w:eastAsia="en-US"/>
        </w:rPr>
      </w:pPr>
      <w:r w:rsidRPr="00A941F0">
        <w:rPr>
          <w:rFonts w:ascii="Times New Roman" w:eastAsia="Times New Roman" w:hAnsi="Times New Roman" w:cs="Times New Roman"/>
          <w:bCs/>
          <w:sz w:val="24"/>
          <w:szCs w:val="20"/>
          <w:lang w:eastAsia="en-US"/>
        </w:rPr>
        <w:lastRenderedPageBreak/>
        <w:t>Recent liberation movements suffer from the fact that they cannot find any principle on which to base the elaboration of a new ethics. They need an ethics but they cannot find any other ethics than an ethics founded on so-called scientific knowledge of what the self is, what desire is, what the unconscious is, and so on.</w:t>
      </w:r>
      <w:r w:rsidRPr="00A941F0">
        <w:rPr>
          <w:rFonts w:ascii="Times New Roman" w:eastAsia="Times New Roman" w:hAnsi="Times New Roman" w:cs="Times New Roman"/>
          <w:bCs/>
          <w:sz w:val="24"/>
          <w:szCs w:val="20"/>
          <w:vertAlign w:val="superscript"/>
          <w:lang w:eastAsia="en-US"/>
        </w:rPr>
        <w:footnoteReference w:id="6"/>
      </w:r>
      <w:r w:rsidRPr="00A941F0">
        <w:rPr>
          <w:rFonts w:ascii="Times New Roman" w:eastAsia="Times New Roman" w:hAnsi="Times New Roman" w:cs="Times New Roman"/>
          <w:bCs/>
          <w:sz w:val="24"/>
          <w:szCs w:val="20"/>
          <w:lang w:eastAsia="en-US"/>
        </w:rPr>
        <w:t xml:space="preserve"> </w:t>
      </w:r>
    </w:p>
    <w:p w:rsidR="003326D5" w:rsidRDefault="001F5793" w:rsidP="003326D5">
      <w:pPr>
        <w:spacing w:line="360" w:lineRule="auto"/>
        <w:rPr>
          <w:rFonts w:asciiTheme="majorBidi" w:hAnsiTheme="majorBidi" w:cstheme="majorBidi"/>
          <w:sz w:val="24"/>
          <w:szCs w:val="24"/>
        </w:rPr>
      </w:pPr>
      <w:r>
        <w:rPr>
          <w:rFonts w:asciiTheme="majorBidi" w:hAnsiTheme="majorBidi" w:cstheme="majorBidi"/>
          <w:sz w:val="24"/>
          <w:szCs w:val="24"/>
        </w:rPr>
        <w:t>Foucault’s turn to the ethics of care of the self as an aesthetics of existence is motivated by his se</w:t>
      </w:r>
      <w:r w:rsidR="007D4DCA">
        <w:rPr>
          <w:rFonts w:asciiTheme="majorBidi" w:hAnsiTheme="majorBidi" w:cstheme="majorBidi"/>
          <w:sz w:val="24"/>
          <w:szCs w:val="24"/>
        </w:rPr>
        <w:t xml:space="preserve">nse that it provides the basis of a mode of government of self and others that is different in kind to that of </w:t>
      </w:r>
      <w:proofErr w:type="spellStart"/>
      <w:r w:rsidR="007D4DCA">
        <w:rPr>
          <w:rFonts w:asciiTheme="majorBidi" w:hAnsiTheme="majorBidi" w:cstheme="majorBidi"/>
          <w:sz w:val="24"/>
          <w:szCs w:val="24"/>
        </w:rPr>
        <w:t>biopolitical</w:t>
      </w:r>
      <w:proofErr w:type="spellEnd"/>
      <w:r w:rsidR="007D4DCA">
        <w:rPr>
          <w:rFonts w:asciiTheme="majorBidi" w:hAnsiTheme="majorBidi" w:cstheme="majorBidi"/>
          <w:sz w:val="24"/>
          <w:szCs w:val="24"/>
        </w:rPr>
        <w:t xml:space="preserve"> rationali</w:t>
      </w:r>
      <w:r w:rsidR="00E550C4">
        <w:rPr>
          <w:rFonts w:asciiTheme="majorBidi" w:hAnsiTheme="majorBidi" w:cstheme="majorBidi"/>
          <w:sz w:val="24"/>
          <w:szCs w:val="24"/>
        </w:rPr>
        <w:t>ties of rule with regard to</w:t>
      </w:r>
      <w:r w:rsidR="007D4DCA">
        <w:rPr>
          <w:rFonts w:asciiTheme="majorBidi" w:hAnsiTheme="majorBidi" w:cstheme="majorBidi"/>
          <w:sz w:val="24"/>
          <w:szCs w:val="24"/>
        </w:rPr>
        <w:t xml:space="preserve"> its understanding of </w:t>
      </w:r>
      <w:r w:rsidR="00E550C4">
        <w:rPr>
          <w:rFonts w:asciiTheme="majorBidi" w:hAnsiTheme="majorBidi" w:cstheme="majorBidi"/>
          <w:sz w:val="24"/>
          <w:szCs w:val="24"/>
        </w:rPr>
        <w:t>both of these aspect</w:t>
      </w:r>
      <w:r w:rsidR="003326D5">
        <w:rPr>
          <w:rFonts w:asciiTheme="majorBidi" w:hAnsiTheme="majorBidi" w:cstheme="majorBidi"/>
          <w:sz w:val="24"/>
          <w:szCs w:val="24"/>
        </w:rPr>
        <w:t>s of autonomy.</w:t>
      </w:r>
    </w:p>
    <w:p w:rsidR="003326D5" w:rsidRDefault="003326D5" w:rsidP="003326D5">
      <w:pPr>
        <w:spacing w:line="360" w:lineRule="auto"/>
        <w:rPr>
          <w:rFonts w:asciiTheme="majorBidi" w:hAnsiTheme="majorBidi" w:cstheme="majorBidi"/>
          <w:sz w:val="24"/>
          <w:szCs w:val="24"/>
        </w:rPr>
      </w:pPr>
    </w:p>
    <w:p w:rsidR="003326D5" w:rsidRDefault="003326D5" w:rsidP="003774A1">
      <w:pPr>
        <w:spacing w:line="360" w:lineRule="auto"/>
        <w:rPr>
          <w:rFonts w:asciiTheme="majorBidi" w:hAnsiTheme="majorBidi" w:cstheme="majorBidi"/>
          <w:sz w:val="24"/>
          <w:szCs w:val="24"/>
        </w:rPr>
      </w:pPr>
      <w:r>
        <w:rPr>
          <w:rFonts w:asciiTheme="majorBidi" w:hAnsiTheme="majorBidi" w:cstheme="majorBidi"/>
          <w:sz w:val="24"/>
          <w:szCs w:val="24"/>
        </w:rPr>
        <w:t xml:space="preserve">In contrast to the disciplinary model which construes autonomy as the self-disciplined subjection of self to a self-chosen norm, that is, the normalization of the individual according to self-determined norms, the ethics of care of the self conceives autonomy as standing in a relationship to oneself in which the norms in relation to which one acts cannot be specified independently and in advance of the activity itself (the activity of self-overcoming) and precisely because this ‘performance’ has ‘no concept for its determining ground’ (in Kant’s terms) gives expression to one’s individuality, that is, it is through one’s activity that one becomes (creates and discovers) what one is. This fundamentally </w:t>
      </w:r>
      <w:proofErr w:type="spellStart"/>
      <w:r>
        <w:rPr>
          <w:rFonts w:asciiTheme="majorBidi" w:hAnsiTheme="majorBidi" w:cstheme="majorBidi"/>
          <w:sz w:val="24"/>
          <w:szCs w:val="24"/>
        </w:rPr>
        <w:t>Nietzschean</w:t>
      </w:r>
      <w:proofErr w:type="spellEnd"/>
      <w:r>
        <w:rPr>
          <w:rFonts w:asciiTheme="majorBidi" w:hAnsiTheme="majorBidi" w:cstheme="majorBidi"/>
          <w:sz w:val="24"/>
          <w:szCs w:val="24"/>
        </w:rPr>
        <w:t xml:space="preserve"> account of autonomy</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stands in stark contrast to the self-determination view construed on the disciplinary model and it is this difference between the forms of relation to self, the attitude</w:t>
      </w:r>
      <w:r w:rsidR="00D74C3D">
        <w:rPr>
          <w:rFonts w:asciiTheme="majorBidi" w:hAnsiTheme="majorBidi" w:cstheme="majorBidi"/>
          <w:sz w:val="24"/>
          <w:szCs w:val="24"/>
        </w:rPr>
        <w:t>s</w:t>
      </w:r>
      <w:r>
        <w:rPr>
          <w:rFonts w:asciiTheme="majorBidi" w:hAnsiTheme="majorBidi" w:cstheme="majorBidi"/>
          <w:sz w:val="24"/>
          <w:szCs w:val="24"/>
        </w:rPr>
        <w:t xml:space="preserve"> towards oneself in one’s activity, which Foucault takes to be pivotal</w:t>
      </w:r>
      <w:r w:rsidR="00D74C3D">
        <w:rPr>
          <w:rFonts w:asciiTheme="majorBidi" w:hAnsiTheme="majorBidi" w:cstheme="majorBidi"/>
          <w:sz w:val="24"/>
          <w:szCs w:val="24"/>
        </w:rPr>
        <w:t xml:space="preserve"> – </w:t>
      </w:r>
      <w:r w:rsidR="00D74C3D" w:rsidRPr="00D74C3D">
        <w:rPr>
          <w:rFonts w:asciiTheme="majorBidi" w:hAnsiTheme="majorBidi" w:cstheme="majorBidi"/>
          <w:sz w:val="24"/>
          <w:szCs w:val="24"/>
        </w:rPr>
        <w:t>attitude</w:t>
      </w:r>
      <w:r w:rsidR="00D74C3D">
        <w:rPr>
          <w:rFonts w:asciiTheme="majorBidi" w:hAnsiTheme="majorBidi" w:cstheme="majorBidi"/>
          <w:sz w:val="24"/>
          <w:szCs w:val="24"/>
        </w:rPr>
        <w:t>s</w:t>
      </w:r>
      <w:r w:rsidR="00D74C3D" w:rsidRPr="00D74C3D">
        <w:rPr>
          <w:rFonts w:asciiTheme="majorBidi" w:hAnsiTheme="majorBidi" w:cstheme="majorBidi"/>
          <w:sz w:val="24"/>
          <w:szCs w:val="24"/>
        </w:rPr>
        <w:t xml:space="preserve"> which cannot simply be chosen but must be cultivated through practice.  </w:t>
      </w:r>
      <w:r w:rsidR="00D74C3D">
        <w:rPr>
          <w:rFonts w:asciiTheme="majorBidi" w:hAnsiTheme="majorBidi" w:cstheme="majorBidi"/>
          <w:sz w:val="24"/>
          <w:szCs w:val="24"/>
        </w:rPr>
        <w:t xml:space="preserve">In adopting a teleological-instrumental attitude towards oneself, one conceives of, and acts on, oneself as an example. In adopting a </w:t>
      </w:r>
      <w:proofErr w:type="spellStart"/>
      <w:r w:rsidR="00D74C3D">
        <w:rPr>
          <w:rFonts w:asciiTheme="majorBidi" w:hAnsiTheme="majorBidi" w:cstheme="majorBidi"/>
          <w:sz w:val="24"/>
          <w:szCs w:val="24"/>
        </w:rPr>
        <w:t>processual</w:t>
      </w:r>
      <w:proofErr w:type="spellEnd"/>
      <w:r w:rsidR="00D74C3D">
        <w:rPr>
          <w:rFonts w:asciiTheme="majorBidi" w:hAnsiTheme="majorBidi" w:cstheme="majorBidi"/>
          <w:sz w:val="24"/>
          <w:szCs w:val="24"/>
        </w:rPr>
        <w:t>-expressive attitude towards oneself, one conceives of, and acts on, oneself as an exemplar.</w:t>
      </w:r>
      <w:r>
        <w:rPr>
          <w:rFonts w:asciiTheme="majorBidi" w:hAnsiTheme="majorBidi" w:cstheme="majorBidi"/>
          <w:sz w:val="24"/>
          <w:szCs w:val="24"/>
        </w:rPr>
        <w:t xml:space="preserve"> </w:t>
      </w:r>
      <w:r w:rsidR="003D3427" w:rsidRPr="003D3427">
        <w:rPr>
          <w:rFonts w:asciiTheme="majorBidi" w:hAnsiTheme="majorBidi" w:cstheme="majorBidi"/>
          <w:sz w:val="24"/>
          <w:szCs w:val="24"/>
        </w:rPr>
        <w:t>In a slogan, we might say that Foucault’s distinction between the models provided by disciplinary practices and the care of the self is the difference between the normalisation of the individual (according to self- or other- determined norms) and the individualization of norms.</w:t>
      </w:r>
      <w:r w:rsidR="003D3427">
        <w:rPr>
          <w:rFonts w:asciiTheme="majorBidi" w:hAnsiTheme="majorBidi" w:cstheme="majorBidi"/>
          <w:sz w:val="24"/>
          <w:szCs w:val="24"/>
        </w:rPr>
        <w:t xml:space="preserve"> </w:t>
      </w:r>
      <w:r w:rsidR="00D74C3D">
        <w:rPr>
          <w:rFonts w:asciiTheme="majorBidi" w:hAnsiTheme="majorBidi" w:cstheme="majorBidi"/>
          <w:sz w:val="24"/>
          <w:szCs w:val="24"/>
        </w:rPr>
        <w:t xml:space="preserve">At the same time, </w:t>
      </w:r>
      <w:r w:rsidR="003D3427">
        <w:rPr>
          <w:rFonts w:asciiTheme="majorBidi" w:hAnsiTheme="majorBidi" w:cstheme="majorBidi"/>
          <w:sz w:val="24"/>
          <w:szCs w:val="24"/>
        </w:rPr>
        <w:t xml:space="preserve">and </w:t>
      </w:r>
      <w:r w:rsidR="00D74C3D">
        <w:rPr>
          <w:rFonts w:asciiTheme="majorBidi" w:hAnsiTheme="majorBidi" w:cstheme="majorBidi"/>
          <w:sz w:val="24"/>
          <w:szCs w:val="24"/>
        </w:rPr>
        <w:t xml:space="preserve">in contrast to the model of the relationship of subjectivity and truth as one in </w:t>
      </w:r>
      <w:r w:rsidR="00374543">
        <w:rPr>
          <w:rFonts w:asciiTheme="majorBidi" w:hAnsiTheme="majorBidi" w:cstheme="majorBidi"/>
          <w:sz w:val="24"/>
          <w:szCs w:val="24"/>
        </w:rPr>
        <w:t xml:space="preserve">which ‘knowledge itself and knowledge alone gives access to the truth’, that </w:t>
      </w:r>
      <w:r w:rsidR="00A34D7E">
        <w:rPr>
          <w:rFonts w:asciiTheme="majorBidi" w:hAnsiTheme="majorBidi" w:cstheme="majorBidi"/>
          <w:sz w:val="24"/>
          <w:szCs w:val="24"/>
        </w:rPr>
        <w:t>is, when</w:t>
      </w:r>
      <w:r w:rsidR="00374543">
        <w:rPr>
          <w:rFonts w:asciiTheme="majorBidi" w:hAnsiTheme="majorBidi" w:cstheme="majorBidi"/>
          <w:sz w:val="24"/>
          <w:szCs w:val="24"/>
        </w:rPr>
        <w:t xml:space="preserve"> the subject ‘can recognize the truth and have access to it in himself and solely through his activity of knowing, without anything else being demanded of him and </w:t>
      </w:r>
      <w:r w:rsidR="00374543">
        <w:rPr>
          <w:rFonts w:asciiTheme="majorBidi" w:hAnsiTheme="majorBidi" w:cstheme="majorBidi"/>
          <w:sz w:val="24"/>
          <w:szCs w:val="24"/>
        </w:rPr>
        <w:lastRenderedPageBreak/>
        <w:t>without having to change or alter his being as subject’</w:t>
      </w:r>
      <w:r w:rsidR="007D44BD">
        <w:rPr>
          <w:rStyle w:val="FootnoteReference"/>
          <w:rFonts w:asciiTheme="majorBidi" w:hAnsiTheme="majorBidi" w:cstheme="majorBidi"/>
          <w:sz w:val="24"/>
          <w:szCs w:val="24"/>
        </w:rPr>
        <w:footnoteReference w:id="8"/>
      </w:r>
      <w:r w:rsidR="00374543">
        <w:rPr>
          <w:rFonts w:asciiTheme="majorBidi" w:hAnsiTheme="majorBidi" w:cstheme="majorBidi"/>
          <w:sz w:val="24"/>
          <w:szCs w:val="24"/>
        </w:rPr>
        <w:t xml:space="preserve">, Foucault presents the ethics of care of the self as a model of the relationship of </w:t>
      </w:r>
      <w:r w:rsidR="008045C3">
        <w:rPr>
          <w:rFonts w:asciiTheme="majorBidi" w:hAnsiTheme="majorBidi" w:cstheme="majorBidi"/>
          <w:sz w:val="24"/>
          <w:szCs w:val="24"/>
        </w:rPr>
        <w:t xml:space="preserve">subjectivity and truth </w:t>
      </w:r>
      <w:r w:rsidR="00A34D7E">
        <w:rPr>
          <w:rFonts w:asciiTheme="majorBidi" w:hAnsiTheme="majorBidi" w:cstheme="majorBidi"/>
          <w:sz w:val="24"/>
          <w:szCs w:val="24"/>
        </w:rPr>
        <w:t>(linking</w:t>
      </w:r>
      <w:r w:rsidR="003774A1">
        <w:rPr>
          <w:rFonts w:asciiTheme="majorBidi" w:hAnsiTheme="majorBidi" w:cstheme="majorBidi"/>
          <w:sz w:val="24"/>
          <w:szCs w:val="24"/>
        </w:rPr>
        <w:t xml:space="preserve"> what we have come to distinguish as philosophy and spirituality) </w:t>
      </w:r>
      <w:r w:rsidR="00374543">
        <w:rPr>
          <w:rFonts w:asciiTheme="majorBidi" w:hAnsiTheme="majorBidi" w:cstheme="majorBidi"/>
          <w:sz w:val="24"/>
          <w:szCs w:val="24"/>
        </w:rPr>
        <w:t>in which the ‘truth is only given to the subject at a price that brings the subject’s being into play’:</w:t>
      </w:r>
    </w:p>
    <w:p w:rsidR="00374543" w:rsidRDefault="00374543" w:rsidP="007D44BD">
      <w:pPr>
        <w:spacing w:line="360" w:lineRule="auto"/>
        <w:ind w:left="720"/>
        <w:rPr>
          <w:rFonts w:asciiTheme="majorBidi" w:hAnsiTheme="majorBidi" w:cstheme="majorBidi"/>
          <w:sz w:val="24"/>
          <w:szCs w:val="24"/>
        </w:rPr>
      </w:pPr>
      <w:proofErr w:type="gramStart"/>
      <w:r>
        <w:rPr>
          <w:rFonts w:asciiTheme="majorBidi" w:hAnsiTheme="majorBidi" w:cstheme="majorBidi"/>
          <w:sz w:val="24"/>
          <w:szCs w:val="24"/>
        </w:rPr>
        <w:t>For as he is, the subject is not capable of truth.</w:t>
      </w:r>
      <w:proofErr w:type="gramEnd"/>
      <w:r>
        <w:rPr>
          <w:rFonts w:asciiTheme="majorBidi" w:hAnsiTheme="majorBidi" w:cstheme="majorBidi"/>
          <w:sz w:val="24"/>
          <w:szCs w:val="24"/>
        </w:rPr>
        <w:t xml:space="preserve"> … It follows that </w:t>
      </w:r>
      <w:r w:rsidR="008045C3">
        <w:rPr>
          <w:rFonts w:asciiTheme="majorBidi" w:hAnsiTheme="majorBidi" w:cstheme="majorBidi"/>
          <w:sz w:val="24"/>
          <w:szCs w:val="24"/>
        </w:rPr>
        <w:t>from this point of view there can be no truth without a conversion or a transformation of the subject … [and] once access to the truth has really been opened up, it produces [</w:t>
      </w:r>
      <w:proofErr w:type="spellStart"/>
      <w:r w:rsidR="008045C3">
        <w:rPr>
          <w:rFonts w:asciiTheme="majorBidi" w:hAnsiTheme="majorBidi" w:cstheme="majorBidi"/>
          <w:sz w:val="24"/>
          <w:szCs w:val="24"/>
        </w:rPr>
        <w:t>transfigurative</w:t>
      </w:r>
      <w:proofErr w:type="spellEnd"/>
      <w:r w:rsidR="008045C3">
        <w:rPr>
          <w:rFonts w:asciiTheme="majorBidi" w:hAnsiTheme="majorBidi" w:cstheme="majorBidi"/>
          <w:sz w:val="24"/>
          <w:szCs w:val="24"/>
        </w:rPr>
        <w:t>] effects … effects of truth on the subject. … In short, I think we can say that in and of itself an act of knowledge could never give access to truth unless it was prepared, accompanied, doubled, and completed by a certain transformation of the subject; not of the individual, but of the subject himself in his being as subject.</w:t>
      </w:r>
      <w:r w:rsidR="007D44BD">
        <w:rPr>
          <w:rStyle w:val="FootnoteReference"/>
          <w:rFonts w:asciiTheme="majorBidi" w:hAnsiTheme="majorBidi" w:cstheme="majorBidi"/>
          <w:sz w:val="24"/>
          <w:szCs w:val="24"/>
        </w:rPr>
        <w:footnoteReference w:id="9"/>
      </w:r>
    </w:p>
    <w:p w:rsidR="006558AC" w:rsidRDefault="003D3427" w:rsidP="00A52CA3">
      <w:pPr>
        <w:spacing w:line="360" w:lineRule="auto"/>
        <w:rPr>
          <w:rFonts w:asciiTheme="majorBidi" w:hAnsiTheme="majorBidi" w:cstheme="majorBidi"/>
          <w:sz w:val="24"/>
          <w:szCs w:val="24"/>
        </w:rPr>
      </w:pPr>
      <w:r>
        <w:rPr>
          <w:rFonts w:asciiTheme="majorBidi" w:hAnsiTheme="majorBidi" w:cstheme="majorBidi"/>
          <w:sz w:val="24"/>
          <w:szCs w:val="24"/>
        </w:rPr>
        <w:t>Th</w:t>
      </w:r>
      <w:r w:rsidR="00A52CA3">
        <w:rPr>
          <w:rFonts w:asciiTheme="majorBidi" w:hAnsiTheme="majorBidi" w:cstheme="majorBidi"/>
          <w:sz w:val="24"/>
          <w:szCs w:val="24"/>
        </w:rPr>
        <w:t>ese two aspects</w:t>
      </w:r>
      <w:r w:rsidR="007A5BB1">
        <w:rPr>
          <w:rFonts w:asciiTheme="majorBidi" w:hAnsiTheme="majorBidi" w:cstheme="majorBidi"/>
          <w:sz w:val="24"/>
          <w:szCs w:val="24"/>
        </w:rPr>
        <w:t xml:space="preserve"> of autonomy as</w:t>
      </w:r>
      <w:r>
        <w:rPr>
          <w:rFonts w:asciiTheme="majorBidi" w:hAnsiTheme="majorBidi" w:cstheme="majorBidi"/>
          <w:sz w:val="24"/>
          <w:szCs w:val="24"/>
        </w:rPr>
        <w:t xml:space="preserve"> conceived in the ethics of care of the self are related in that it is through the </w:t>
      </w:r>
      <w:r w:rsidR="006558AC">
        <w:rPr>
          <w:rFonts w:asciiTheme="majorBidi" w:hAnsiTheme="majorBidi" w:cstheme="majorBidi"/>
          <w:sz w:val="24"/>
          <w:szCs w:val="24"/>
        </w:rPr>
        <w:t>aesthetic activity of becoming what one as transformation of the subject that the subject gains access to truth (self-knowledge) that transfigures the subject in their being as a subject.</w:t>
      </w:r>
    </w:p>
    <w:p w:rsidR="006558AC" w:rsidRDefault="006558AC" w:rsidP="006558AC">
      <w:pPr>
        <w:spacing w:line="360" w:lineRule="auto"/>
        <w:rPr>
          <w:rFonts w:asciiTheme="majorBidi" w:hAnsiTheme="majorBidi" w:cstheme="majorBidi"/>
          <w:sz w:val="24"/>
          <w:szCs w:val="24"/>
        </w:rPr>
      </w:pPr>
    </w:p>
    <w:p w:rsidR="00E151A2" w:rsidRPr="00A53B69" w:rsidRDefault="006558AC" w:rsidP="00107A3A">
      <w:pPr>
        <w:spacing w:line="360" w:lineRule="auto"/>
        <w:rPr>
          <w:rFonts w:ascii="Times New Roman" w:eastAsia="Times New Roman" w:hAnsi="Times New Roman" w:cs="Times New Roman"/>
          <w:sz w:val="24"/>
          <w:szCs w:val="20"/>
          <w:lang w:eastAsia="en-US"/>
        </w:rPr>
      </w:pPr>
      <w:r>
        <w:rPr>
          <w:rFonts w:asciiTheme="majorBidi" w:hAnsiTheme="majorBidi" w:cstheme="majorBidi"/>
          <w:sz w:val="24"/>
          <w:szCs w:val="24"/>
        </w:rPr>
        <w:t xml:space="preserve">What is </w:t>
      </w:r>
      <w:r w:rsidR="00A757F7">
        <w:rPr>
          <w:rFonts w:asciiTheme="majorBidi" w:hAnsiTheme="majorBidi" w:cstheme="majorBidi"/>
          <w:sz w:val="24"/>
          <w:szCs w:val="24"/>
        </w:rPr>
        <w:t xml:space="preserve">perhaps most </w:t>
      </w:r>
      <w:r>
        <w:rPr>
          <w:rFonts w:asciiTheme="majorBidi" w:hAnsiTheme="majorBidi" w:cstheme="majorBidi"/>
          <w:sz w:val="24"/>
          <w:szCs w:val="24"/>
        </w:rPr>
        <w:t xml:space="preserve">striking about Foucault’s turn to the ethics of the care of the self </w:t>
      </w:r>
      <w:r w:rsidR="00A34D7E">
        <w:rPr>
          <w:rFonts w:asciiTheme="majorBidi" w:hAnsiTheme="majorBidi" w:cstheme="majorBidi"/>
          <w:sz w:val="24"/>
          <w:szCs w:val="24"/>
        </w:rPr>
        <w:t>is not simply its contrast with</w:t>
      </w:r>
      <w:r w:rsidR="007D44BD">
        <w:rPr>
          <w:rFonts w:asciiTheme="majorBidi" w:hAnsiTheme="majorBidi" w:cstheme="majorBidi"/>
          <w:sz w:val="24"/>
          <w:szCs w:val="24"/>
        </w:rPr>
        <w:t>, and opposition to,</w:t>
      </w:r>
      <w:r w:rsidR="00A34D7E">
        <w:rPr>
          <w:rFonts w:asciiTheme="majorBidi" w:hAnsiTheme="majorBidi" w:cstheme="majorBidi"/>
          <w:sz w:val="24"/>
          <w:szCs w:val="24"/>
        </w:rPr>
        <w:t xml:space="preserve"> </w:t>
      </w:r>
      <w:proofErr w:type="spellStart"/>
      <w:r w:rsidR="00A34D7E">
        <w:rPr>
          <w:rFonts w:asciiTheme="majorBidi" w:hAnsiTheme="majorBidi" w:cstheme="majorBidi"/>
          <w:sz w:val="24"/>
          <w:szCs w:val="24"/>
        </w:rPr>
        <w:t>biopolitical</w:t>
      </w:r>
      <w:proofErr w:type="spellEnd"/>
      <w:r w:rsidR="00A34D7E">
        <w:rPr>
          <w:rFonts w:asciiTheme="majorBidi" w:hAnsiTheme="majorBidi" w:cstheme="majorBidi"/>
          <w:sz w:val="24"/>
          <w:szCs w:val="24"/>
        </w:rPr>
        <w:t xml:space="preserve"> ethics</w:t>
      </w:r>
      <w:r w:rsidR="003774A1">
        <w:rPr>
          <w:rFonts w:asciiTheme="majorBidi" w:hAnsiTheme="majorBidi" w:cstheme="majorBidi"/>
          <w:sz w:val="24"/>
          <w:szCs w:val="24"/>
        </w:rPr>
        <w:t xml:space="preserve"> </w:t>
      </w:r>
      <w:r w:rsidR="007D44BD">
        <w:rPr>
          <w:rFonts w:asciiTheme="majorBidi" w:hAnsiTheme="majorBidi" w:cstheme="majorBidi"/>
          <w:sz w:val="24"/>
          <w:szCs w:val="24"/>
        </w:rPr>
        <w:t>(</w:t>
      </w:r>
      <w:r w:rsidR="00A34D7E">
        <w:rPr>
          <w:rFonts w:asciiTheme="majorBidi" w:hAnsiTheme="majorBidi" w:cstheme="majorBidi"/>
          <w:sz w:val="24"/>
          <w:szCs w:val="24"/>
        </w:rPr>
        <w:t xml:space="preserve">and </w:t>
      </w:r>
      <w:r w:rsidR="00E76B9C">
        <w:rPr>
          <w:rFonts w:asciiTheme="majorBidi" w:hAnsiTheme="majorBidi" w:cstheme="majorBidi"/>
          <w:sz w:val="24"/>
          <w:szCs w:val="24"/>
        </w:rPr>
        <w:t xml:space="preserve">consequent </w:t>
      </w:r>
      <w:r w:rsidR="00A34D7E">
        <w:rPr>
          <w:rFonts w:asciiTheme="majorBidi" w:hAnsiTheme="majorBidi" w:cstheme="majorBidi"/>
          <w:sz w:val="24"/>
          <w:szCs w:val="24"/>
        </w:rPr>
        <w:t>avoidance of the paradox of the relation of capacity and power</w:t>
      </w:r>
      <w:r w:rsidR="007D44BD">
        <w:rPr>
          <w:rFonts w:asciiTheme="majorBidi" w:hAnsiTheme="majorBidi" w:cstheme="majorBidi"/>
          <w:sz w:val="24"/>
          <w:szCs w:val="24"/>
        </w:rPr>
        <w:t>)</w:t>
      </w:r>
      <w:r w:rsidR="00A757F7">
        <w:rPr>
          <w:rFonts w:asciiTheme="majorBidi" w:hAnsiTheme="majorBidi" w:cstheme="majorBidi"/>
          <w:sz w:val="24"/>
          <w:szCs w:val="24"/>
        </w:rPr>
        <w:t>,</w:t>
      </w:r>
      <w:r w:rsidR="00A34D7E">
        <w:rPr>
          <w:rFonts w:asciiTheme="majorBidi" w:hAnsiTheme="majorBidi" w:cstheme="majorBidi"/>
          <w:sz w:val="24"/>
          <w:szCs w:val="24"/>
        </w:rPr>
        <w:t xml:space="preserve"> but also</w:t>
      </w:r>
      <w:r w:rsidR="003774A1">
        <w:rPr>
          <w:rFonts w:asciiTheme="majorBidi" w:hAnsiTheme="majorBidi" w:cstheme="majorBidi"/>
          <w:sz w:val="24"/>
          <w:szCs w:val="24"/>
        </w:rPr>
        <w:t xml:space="preserve"> that these two central and related dimensions of it also compose the core of Stanley Cavell’s understanding of moral perfectionism. First, </w:t>
      </w:r>
      <w:r w:rsidR="003774A1" w:rsidRPr="00CC39B8">
        <w:rPr>
          <w:rFonts w:ascii="Times New Roman" w:eastAsia="Times New Roman" w:hAnsi="Times New Roman" w:cs="Times New Roman"/>
          <w:sz w:val="24"/>
          <w:szCs w:val="20"/>
          <w:lang w:eastAsia="en-US"/>
        </w:rPr>
        <w:t>the province of moral perfectionism is directed to that dimension of moral life that Foucault refers to as ethics. Commenting on the cinematic comedies of remarriage he addresses as illustrations of moral perfectionism, Cavell notes: 'The issues the principal pair in these films confront each other with are formulated less well by questions concerning what they ought to do, what it would be best or right for them to do, than by the question of how they shall live their lives, what kind of persons they aspire to be.'</w:t>
      </w:r>
      <w:r w:rsidR="003774A1" w:rsidRPr="00CC39B8">
        <w:rPr>
          <w:rFonts w:ascii="Times New Roman" w:eastAsia="Times New Roman" w:hAnsi="Times New Roman" w:cs="Times New Roman"/>
          <w:sz w:val="24"/>
          <w:szCs w:val="20"/>
          <w:vertAlign w:val="superscript"/>
          <w:lang w:eastAsia="en-US"/>
        </w:rPr>
        <w:footnoteReference w:id="10"/>
      </w:r>
      <w:r w:rsidR="003774A1" w:rsidRPr="00CC39B8">
        <w:rPr>
          <w:rFonts w:ascii="Times New Roman" w:eastAsia="Times New Roman" w:hAnsi="Times New Roman" w:cs="Times New Roman"/>
          <w:sz w:val="24"/>
          <w:szCs w:val="20"/>
          <w:lang w:eastAsia="en-US"/>
        </w:rPr>
        <w:t xml:space="preserve"> More particularly, Cavell explicates this dimension of moral life in terms of 'the aesthetic dimension of (moral) judgment', relating moral perfectionism to the (artistic) activity of self-formation that Foucault glosses with the thought that we 'should relate the kind of relation </w:t>
      </w:r>
      <w:r w:rsidR="003774A1" w:rsidRPr="00CC39B8">
        <w:rPr>
          <w:rFonts w:ascii="Times New Roman" w:eastAsia="Times New Roman" w:hAnsi="Times New Roman" w:cs="Times New Roman"/>
          <w:sz w:val="24"/>
          <w:szCs w:val="20"/>
          <w:lang w:eastAsia="en-US"/>
        </w:rPr>
        <w:lastRenderedPageBreak/>
        <w:t xml:space="preserve">one has to oneself to a creative activity' and which he, like Cavell, relates to Nietzsche's </w:t>
      </w:r>
      <w:r w:rsidR="003774A1">
        <w:rPr>
          <w:rFonts w:ascii="Times New Roman" w:eastAsia="Times New Roman" w:hAnsi="Times New Roman" w:cs="Times New Roman"/>
          <w:sz w:val="24"/>
          <w:szCs w:val="20"/>
          <w:lang w:eastAsia="en-US"/>
        </w:rPr>
        <w:t xml:space="preserve">understanding of autonomy as </w:t>
      </w:r>
      <w:r w:rsidR="003774A1" w:rsidRPr="00CC39B8">
        <w:rPr>
          <w:rFonts w:ascii="Times New Roman" w:eastAsia="Times New Roman" w:hAnsi="Times New Roman" w:cs="Times New Roman"/>
          <w:sz w:val="24"/>
          <w:szCs w:val="20"/>
          <w:lang w:eastAsia="en-US"/>
        </w:rPr>
        <w:t>becoming what one is.</w:t>
      </w:r>
      <w:r w:rsidR="003774A1">
        <w:rPr>
          <w:rFonts w:ascii="Times New Roman" w:eastAsia="Times New Roman" w:hAnsi="Times New Roman" w:cs="Times New Roman"/>
          <w:sz w:val="24"/>
          <w:szCs w:val="20"/>
          <w:lang w:eastAsia="en-US"/>
        </w:rPr>
        <w:t xml:space="preserve"> Second, moral perfectionism, as Cavell presents it, directly links philosophy and spirituality</w:t>
      </w:r>
      <w:r w:rsidR="00A8250E">
        <w:rPr>
          <w:rFonts w:ascii="Times New Roman" w:eastAsia="Times New Roman" w:hAnsi="Times New Roman" w:cs="Times New Roman"/>
          <w:sz w:val="24"/>
          <w:szCs w:val="20"/>
          <w:lang w:eastAsia="en-US"/>
        </w:rPr>
        <w:t xml:space="preserve"> in the same way as the ethics of care of the self in Foucault’s presentation of it</w:t>
      </w:r>
      <w:r w:rsidR="003774A1">
        <w:rPr>
          <w:rFonts w:ascii="Times New Roman" w:eastAsia="Times New Roman" w:hAnsi="Times New Roman" w:cs="Times New Roman"/>
          <w:sz w:val="24"/>
          <w:szCs w:val="20"/>
          <w:lang w:eastAsia="en-US"/>
        </w:rPr>
        <w:t>. Cavell’s identification of moral perfectionism with Wittgenstein’s philosop</w:t>
      </w:r>
      <w:r w:rsidR="00A53B69">
        <w:rPr>
          <w:rFonts w:ascii="Times New Roman" w:eastAsia="Times New Roman" w:hAnsi="Times New Roman" w:cs="Times New Roman"/>
          <w:sz w:val="24"/>
          <w:szCs w:val="20"/>
          <w:lang w:eastAsia="en-US"/>
        </w:rPr>
        <w:t>hical work is informed crucially</w:t>
      </w:r>
      <w:r w:rsidR="00A8250E">
        <w:rPr>
          <w:rFonts w:ascii="Times New Roman" w:eastAsia="Times New Roman" w:hAnsi="Times New Roman" w:cs="Times New Roman"/>
          <w:sz w:val="24"/>
          <w:szCs w:val="20"/>
          <w:lang w:eastAsia="en-US"/>
        </w:rPr>
        <w:t xml:space="preserve"> by the sense that Wittgenstein’s mode of reflection ‘wishes to prevent understanding which is unaccompanied by inner change’</w:t>
      </w:r>
      <w:r w:rsidR="007D44BD">
        <w:rPr>
          <w:rStyle w:val="FootnoteReference"/>
          <w:rFonts w:ascii="Times New Roman" w:eastAsia="Times New Roman" w:hAnsi="Times New Roman" w:cs="Times New Roman"/>
          <w:sz w:val="24"/>
          <w:szCs w:val="20"/>
          <w:lang w:eastAsia="en-US"/>
        </w:rPr>
        <w:footnoteReference w:id="11"/>
      </w:r>
      <w:r w:rsidR="00A8250E">
        <w:rPr>
          <w:rFonts w:ascii="Times New Roman" w:eastAsia="Times New Roman" w:hAnsi="Times New Roman" w:cs="Times New Roman"/>
          <w:sz w:val="24"/>
          <w:szCs w:val="20"/>
          <w:lang w:eastAsia="en-US"/>
        </w:rPr>
        <w:t>, while Cavell’s elucidation of Emerson’s thinking as exemplary of the attitude of moral perfectionism</w:t>
      </w:r>
      <w:r w:rsidR="003774A1">
        <w:rPr>
          <w:rFonts w:ascii="Times New Roman" w:eastAsia="Times New Roman" w:hAnsi="Times New Roman" w:cs="Times New Roman"/>
          <w:sz w:val="24"/>
          <w:szCs w:val="20"/>
          <w:lang w:eastAsia="en-US"/>
        </w:rPr>
        <w:t xml:space="preserve"> </w:t>
      </w:r>
      <w:r w:rsidR="00A8250E">
        <w:rPr>
          <w:rFonts w:ascii="Times New Roman" w:eastAsia="Times New Roman" w:hAnsi="Times New Roman" w:cs="Times New Roman"/>
          <w:sz w:val="24"/>
          <w:szCs w:val="20"/>
          <w:lang w:eastAsia="en-US"/>
        </w:rPr>
        <w:t>highlights the centrality of conversion and transfiguration to access to, and the effects of, truth.</w:t>
      </w:r>
      <w:r w:rsidR="004F2582" w:rsidRPr="00CC39B8">
        <w:rPr>
          <w:rFonts w:ascii="Times New Roman" w:eastAsia="Times New Roman" w:hAnsi="Times New Roman" w:cs="Times New Roman"/>
          <w:sz w:val="24"/>
          <w:szCs w:val="20"/>
          <w:vertAlign w:val="superscript"/>
          <w:lang w:eastAsia="en-US"/>
        </w:rPr>
        <w:footnoteReference w:id="12"/>
      </w:r>
      <w:r w:rsidR="004F2582" w:rsidRPr="00CC39B8">
        <w:rPr>
          <w:rFonts w:ascii="Times New Roman" w:eastAsia="Times New Roman" w:hAnsi="Times New Roman" w:cs="Times New Roman"/>
          <w:sz w:val="24"/>
          <w:szCs w:val="20"/>
          <w:lang w:eastAsia="en-US"/>
        </w:rPr>
        <w:t xml:space="preserve"> </w:t>
      </w:r>
      <w:r w:rsidR="00A53B69">
        <w:rPr>
          <w:rFonts w:ascii="Times New Roman" w:eastAsia="Times New Roman" w:hAnsi="Times New Roman" w:cs="Times New Roman"/>
          <w:sz w:val="24"/>
          <w:szCs w:val="20"/>
          <w:lang w:eastAsia="en-US"/>
        </w:rPr>
        <w:t>Crucially, th</w:t>
      </w:r>
      <w:r w:rsidR="004F2582">
        <w:rPr>
          <w:rFonts w:ascii="Times New Roman" w:eastAsia="Times New Roman" w:hAnsi="Times New Roman" w:cs="Times New Roman"/>
          <w:sz w:val="24"/>
          <w:szCs w:val="20"/>
          <w:lang w:eastAsia="en-US"/>
        </w:rPr>
        <w:t xml:space="preserve">is attitude – or relation to oneself - </w:t>
      </w:r>
      <w:r w:rsidR="004F2582" w:rsidRPr="006558AC">
        <w:rPr>
          <w:rFonts w:ascii="Times New Roman" w:eastAsia="Times New Roman" w:hAnsi="Times New Roman" w:cs="Times New Roman"/>
          <w:sz w:val="24"/>
          <w:szCs w:val="20"/>
          <w:lang w:eastAsia="en-US"/>
        </w:rPr>
        <w:t>does not aim to eliminate the conflicting forces within the self (e.g., desires) but to govern them such that they serve ‘the objective of living or manifesting in one’s life an ethos of freedom’,</w:t>
      </w:r>
      <w:r w:rsidR="004F2582" w:rsidRPr="006558AC">
        <w:rPr>
          <w:rFonts w:ascii="Times New Roman" w:eastAsia="Times New Roman" w:hAnsi="Times New Roman" w:cs="Times New Roman"/>
          <w:sz w:val="24"/>
          <w:szCs w:val="20"/>
          <w:vertAlign w:val="superscript"/>
          <w:lang w:eastAsia="en-US"/>
        </w:rPr>
        <w:footnoteReference w:id="13"/>
      </w:r>
      <w:r w:rsidR="004F2582" w:rsidRPr="006558AC">
        <w:rPr>
          <w:rFonts w:ascii="Times New Roman" w:eastAsia="Times New Roman" w:hAnsi="Times New Roman" w:cs="Times New Roman"/>
          <w:sz w:val="24"/>
          <w:szCs w:val="20"/>
          <w:lang w:eastAsia="en-US"/>
        </w:rPr>
        <w:t xml:space="preserve"> where ‘the ethos of freedom in question is an </w:t>
      </w:r>
      <w:proofErr w:type="spellStart"/>
      <w:r w:rsidR="004F2582" w:rsidRPr="006558AC">
        <w:rPr>
          <w:rFonts w:ascii="Times New Roman" w:eastAsia="Times New Roman" w:hAnsi="Times New Roman" w:cs="Times New Roman"/>
          <w:sz w:val="24"/>
          <w:szCs w:val="20"/>
          <w:lang w:eastAsia="en-US"/>
        </w:rPr>
        <w:t>agonal</w:t>
      </w:r>
      <w:proofErr w:type="spellEnd"/>
      <w:r w:rsidR="004F2582" w:rsidRPr="006558AC">
        <w:rPr>
          <w:rFonts w:ascii="Times New Roman" w:eastAsia="Times New Roman" w:hAnsi="Times New Roman" w:cs="Times New Roman"/>
          <w:sz w:val="24"/>
          <w:szCs w:val="20"/>
          <w:lang w:eastAsia="en-US"/>
        </w:rPr>
        <w:t xml:space="preserve"> ethos, an ethos that celebrates freedom not, or not exclusively, as unobstructed or unopposed thinking and doing but as a triumph over conflicting and antagonistic forces within the self’</w:t>
      </w:r>
      <w:r w:rsidR="004F2582" w:rsidRPr="006558AC">
        <w:rPr>
          <w:rFonts w:ascii="Times New Roman" w:eastAsia="Times New Roman" w:hAnsi="Times New Roman" w:cs="Times New Roman"/>
          <w:sz w:val="24"/>
          <w:szCs w:val="20"/>
          <w:vertAlign w:val="superscript"/>
          <w:lang w:eastAsia="en-US"/>
        </w:rPr>
        <w:footnoteReference w:id="14"/>
      </w:r>
      <w:r w:rsidR="00A53B69">
        <w:rPr>
          <w:rFonts w:ascii="Times New Roman" w:eastAsia="Times New Roman" w:hAnsi="Times New Roman" w:cs="Times New Roman"/>
          <w:sz w:val="24"/>
          <w:szCs w:val="20"/>
          <w:lang w:eastAsia="en-US"/>
        </w:rPr>
        <w:t xml:space="preserve"> </w:t>
      </w:r>
      <w:r w:rsidR="00886BA4">
        <w:rPr>
          <w:rFonts w:ascii="Times New Roman" w:eastAsia="Times New Roman" w:hAnsi="Times New Roman" w:cs="Times New Roman"/>
          <w:sz w:val="24"/>
          <w:szCs w:val="20"/>
          <w:lang w:eastAsia="en-US"/>
        </w:rPr>
        <w:t>although any such triumph is temporary in that</w:t>
      </w:r>
      <w:r w:rsidR="004F2582">
        <w:rPr>
          <w:rFonts w:asciiTheme="majorBidi" w:hAnsiTheme="majorBidi" w:cstheme="majorBidi"/>
          <w:sz w:val="24"/>
          <w:szCs w:val="24"/>
        </w:rPr>
        <w:t xml:space="preserve"> </w:t>
      </w:r>
      <w:r w:rsidR="00E151A2" w:rsidRPr="00CC39B8">
        <w:rPr>
          <w:rFonts w:ascii="Times New Roman" w:eastAsia="Times New Roman" w:hAnsi="Times New Roman" w:cs="Times New Roman"/>
          <w:sz w:val="24"/>
          <w:szCs w:val="20"/>
          <w:lang w:eastAsia="en-US"/>
        </w:rPr>
        <w:t>Cavell</w:t>
      </w:r>
      <w:r w:rsidR="00E76B9C">
        <w:rPr>
          <w:rFonts w:ascii="Times New Roman" w:eastAsia="Times New Roman" w:hAnsi="Times New Roman" w:cs="Times New Roman"/>
          <w:sz w:val="24"/>
          <w:szCs w:val="20"/>
          <w:lang w:eastAsia="en-US"/>
        </w:rPr>
        <w:t>, as Foucault,</w:t>
      </w:r>
      <w:r w:rsidR="00E151A2" w:rsidRPr="00CC39B8">
        <w:rPr>
          <w:rFonts w:ascii="Times New Roman" w:eastAsia="Times New Roman" w:hAnsi="Times New Roman" w:cs="Times New Roman"/>
          <w:sz w:val="24"/>
          <w:szCs w:val="20"/>
          <w:lang w:eastAsia="en-US"/>
        </w:rPr>
        <w:t xml:space="preserve"> conceives of the </w:t>
      </w:r>
      <w:r w:rsidR="00E151A2" w:rsidRPr="00CC39B8">
        <w:rPr>
          <w:rFonts w:ascii="Times New Roman" w:eastAsia="Times New Roman" w:hAnsi="Times New Roman" w:cs="Times New Roman"/>
          <w:i/>
          <w:iCs/>
          <w:sz w:val="24"/>
          <w:szCs w:val="20"/>
          <w:lang w:eastAsia="en-US"/>
        </w:rPr>
        <w:t>modern</w:t>
      </w:r>
      <w:r w:rsidR="00E151A2" w:rsidRPr="00CC39B8">
        <w:rPr>
          <w:rFonts w:ascii="Times New Roman" w:eastAsia="Times New Roman" w:hAnsi="Times New Roman" w:cs="Times New Roman"/>
          <w:sz w:val="24"/>
          <w:szCs w:val="20"/>
          <w:lang w:eastAsia="en-US"/>
        </w:rPr>
        <w:t xml:space="preserve"> mode of moral perfectionism as necessarily </w:t>
      </w:r>
      <w:proofErr w:type="spellStart"/>
      <w:r w:rsidR="00E151A2" w:rsidRPr="00CC39B8">
        <w:rPr>
          <w:rFonts w:ascii="Times New Roman" w:eastAsia="Times New Roman" w:hAnsi="Times New Roman" w:cs="Times New Roman"/>
          <w:sz w:val="24"/>
          <w:szCs w:val="20"/>
          <w:lang w:eastAsia="en-US"/>
        </w:rPr>
        <w:t>processual</w:t>
      </w:r>
      <w:proofErr w:type="spellEnd"/>
      <w:r w:rsidR="00E151A2" w:rsidRPr="00CC39B8">
        <w:rPr>
          <w:rFonts w:ascii="Times New Roman" w:eastAsia="Times New Roman" w:hAnsi="Times New Roman" w:cs="Times New Roman"/>
          <w:sz w:val="24"/>
          <w:szCs w:val="20"/>
          <w:lang w:eastAsia="en-US"/>
        </w:rPr>
        <w:t xml:space="preserve"> rather than teleological in character, that is, the activity of ‘becoming what one is’ does not have an endpoint in some perfect state of self-realization but, rather, is an </w:t>
      </w:r>
      <w:proofErr w:type="spellStart"/>
      <w:r w:rsidR="00E151A2" w:rsidRPr="00CC39B8">
        <w:rPr>
          <w:rFonts w:ascii="Times New Roman" w:eastAsia="Times New Roman" w:hAnsi="Times New Roman" w:cs="Times New Roman"/>
          <w:sz w:val="24"/>
          <w:szCs w:val="20"/>
          <w:lang w:eastAsia="en-US"/>
        </w:rPr>
        <w:t>ongoing</w:t>
      </w:r>
      <w:proofErr w:type="spellEnd"/>
      <w:r w:rsidR="00E151A2" w:rsidRPr="00CC39B8">
        <w:rPr>
          <w:rFonts w:ascii="Times New Roman" w:eastAsia="Times New Roman" w:hAnsi="Times New Roman" w:cs="Times New Roman"/>
          <w:sz w:val="24"/>
          <w:szCs w:val="20"/>
          <w:lang w:eastAsia="en-US"/>
        </w:rPr>
        <w:t xml:space="preserve"> process of struggle</w:t>
      </w:r>
      <w:r w:rsidR="00E151A2" w:rsidRPr="00CC39B8">
        <w:rPr>
          <w:rFonts w:ascii="Times New Roman" w:eastAsia="Times New Roman" w:hAnsi="Times New Roman" w:cs="Times New Roman"/>
          <w:sz w:val="24"/>
          <w:szCs w:val="20"/>
          <w:vertAlign w:val="superscript"/>
          <w:lang w:eastAsia="en-US"/>
        </w:rPr>
        <w:footnoteReference w:id="15"/>
      </w:r>
      <w:r w:rsidR="00E151A2" w:rsidRPr="00CC39B8">
        <w:rPr>
          <w:rFonts w:ascii="Times New Roman" w:eastAsia="Times New Roman" w:hAnsi="Times New Roman" w:cs="Times New Roman"/>
          <w:sz w:val="24"/>
          <w:szCs w:val="20"/>
          <w:lang w:eastAsia="en-US"/>
        </w:rPr>
        <w:t xml:space="preserve"> - as Foucault has it 'we are always in the position of beginning again'.</w:t>
      </w:r>
      <w:r w:rsidR="00E151A2" w:rsidRPr="00CC39B8">
        <w:rPr>
          <w:rFonts w:ascii="Times New Roman" w:eastAsia="Times New Roman" w:hAnsi="Times New Roman" w:cs="Times New Roman"/>
          <w:sz w:val="24"/>
          <w:szCs w:val="20"/>
          <w:vertAlign w:val="superscript"/>
          <w:lang w:eastAsia="en-US"/>
        </w:rPr>
        <w:footnoteReference w:id="16"/>
      </w:r>
      <w:r w:rsidR="00E151A2">
        <w:rPr>
          <w:rFonts w:ascii="Times New Roman" w:eastAsia="Times New Roman" w:hAnsi="Times New Roman" w:cs="Times New Roman"/>
          <w:sz w:val="24"/>
          <w:szCs w:val="20"/>
          <w:lang w:eastAsia="en-US"/>
        </w:rPr>
        <w:t xml:space="preserve"> </w:t>
      </w:r>
    </w:p>
    <w:p w:rsidR="00A8250E" w:rsidRDefault="00A8250E" w:rsidP="00A8250E">
      <w:pPr>
        <w:spacing w:line="360" w:lineRule="auto"/>
        <w:rPr>
          <w:rFonts w:ascii="Times New Roman" w:eastAsia="Times New Roman" w:hAnsi="Times New Roman" w:cs="Times New Roman"/>
          <w:sz w:val="24"/>
          <w:szCs w:val="20"/>
          <w:lang w:eastAsia="en-US"/>
        </w:rPr>
      </w:pPr>
    </w:p>
    <w:p w:rsidR="00E56FDA" w:rsidRPr="00E56FDA" w:rsidRDefault="00E151A2" w:rsidP="00A53B69">
      <w:pPr>
        <w:spacing w:line="36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If this </w:t>
      </w:r>
      <w:r>
        <w:rPr>
          <w:rFonts w:ascii="Times New Roman" w:eastAsia="Times New Roman" w:hAnsi="Times New Roman" w:cs="Times New Roman"/>
          <w:i/>
          <w:iCs/>
          <w:sz w:val="24"/>
          <w:szCs w:val="20"/>
          <w:lang w:eastAsia="en-US"/>
        </w:rPr>
        <w:t>prima facie</w:t>
      </w:r>
      <w:r>
        <w:rPr>
          <w:rFonts w:ascii="Times New Roman" w:eastAsia="Times New Roman" w:hAnsi="Times New Roman" w:cs="Times New Roman"/>
          <w:sz w:val="24"/>
          <w:szCs w:val="20"/>
          <w:lang w:eastAsia="en-US"/>
        </w:rPr>
        <w:t xml:space="preserve"> case that the ethics of care of the self and moral perfectionism are closely related can be made good, its significance is that Foucault’s and Cavell’s philosophical exercises take on a complementary character.</w:t>
      </w:r>
      <w:r w:rsidR="00A53B69">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On the one hand, Foucault’s work provides supporting historical depth to Cavell’s reflections in ways that help explicate Cavell’s arguments and exhibit their political – as well as ethical – salience for our contemporary condition.</w:t>
      </w:r>
      <w:r w:rsidR="00A53B69">
        <w:rPr>
          <w:rStyle w:val="FootnoteReference"/>
          <w:rFonts w:ascii="Times New Roman" w:eastAsia="Times New Roman" w:hAnsi="Times New Roman" w:cs="Times New Roman"/>
          <w:sz w:val="24"/>
          <w:szCs w:val="20"/>
          <w:lang w:eastAsia="en-US"/>
        </w:rPr>
        <w:footnoteReference w:id="17"/>
      </w:r>
      <w:r>
        <w:rPr>
          <w:rFonts w:ascii="Times New Roman" w:eastAsia="Times New Roman" w:hAnsi="Times New Roman" w:cs="Times New Roman"/>
          <w:sz w:val="24"/>
          <w:szCs w:val="20"/>
          <w:lang w:eastAsia="en-US"/>
        </w:rPr>
        <w:t xml:space="preserve"> </w:t>
      </w:r>
      <w:r w:rsidR="00A53B69">
        <w:rPr>
          <w:rFonts w:ascii="Times New Roman" w:eastAsia="Times New Roman" w:hAnsi="Times New Roman" w:cs="Times New Roman"/>
          <w:sz w:val="24"/>
          <w:szCs w:val="20"/>
          <w:lang w:eastAsia="en-US"/>
        </w:rPr>
        <w:t>On the other hand, Cavell’s work helps to illustrate the range of resources available in modern culture which resist and subvert the relationship of government and truth through knowledge and knowledge alone, and to provide contemporary (fictional) exemplars of an ethics of care of the self that serve as guides ‘not for imitation but for following’ in working through the relationship between the ethics of care of the self and democracy as a way of life. Foucault’s untimely death meant that his reflections on the mode of government of self and others remained largely located in the ancient world and drawing out the import of these studies for a contemporary ethics of democracy as a way of life is by no means a straightforward task</w:t>
      </w:r>
      <w:r w:rsidR="00E76B9C">
        <w:rPr>
          <w:rFonts w:ascii="Times New Roman" w:eastAsia="Times New Roman" w:hAnsi="Times New Roman" w:cs="Times New Roman"/>
          <w:sz w:val="24"/>
          <w:szCs w:val="20"/>
          <w:lang w:eastAsia="en-US"/>
        </w:rPr>
        <w:t>,</w:t>
      </w:r>
      <w:r w:rsidR="00A53B69">
        <w:rPr>
          <w:rFonts w:ascii="Times New Roman" w:eastAsia="Times New Roman" w:hAnsi="Times New Roman" w:cs="Times New Roman"/>
          <w:sz w:val="24"/>
          <w:szCs w:val="20"/>
          <w:lang w:eastAsia="en-US"/>
        </w:rPr>
        <w:t xml:space="preserve"> but if Foucault’s engagements are complemented by Cavell’s work on </w:t>
      </w:r>
      <w:r w:rsidR="00A53B69">
        <w:rPr>
          <w:rFonts w:ascii="Times New Roman" w:eastAsia="Times New Roman" w:hAnsi="Times New Roman" w:cs="Times New Roman"/>
          <w:sz w:val="24"/>
          <w:szCs w:val="20"/>
          <w:lang w:eastAsia="en-US"/>
        </w:rPr>
        <w:lastRenderedPageBreak/>
        <w:t>moral perfectionism, it may be less difficult to discern the outlines of such an ethics. This is the task to which we now turn.</w:t>
      </w:r>
    </w:p>
    <w:p w:rsidR="002F100A" w:rsidRDefault="002F100A" w:rsidP="00E56FDA">
      <w:pPr>
        <w:spacing w:line="360" w:lineRule="auto"/>
        <w:rPr>
          <w:rFonts w:ascii="Times New Roman" w:eastAsia="Times New Roman" w:hAnsi="Times New Roman" w:cs="Times New Roman"/>
          <w:sz w:val="24"/>
          <w:szCs w:val="20"/>
          <w:lang w:eastAsia="en-US"/>
        </w:rPr>
      </w:pPr>
    </w:p>
    <w:p w:rsidR="00266107" w:rsidRDefault="00A52CA3" w:rsidP="00266107">
      <w:pPr>
        <w:spacing w:line="360" w:lineRule="auto"/>
        <w:rPr>
          <w:rFonts w:ascii="Times New Roman" w:eastAsia="Times New Roman" w:hAnsi="Times New Roman" w:cs="Times New Roman"/>
          <w:sz w:val="24"/>
          <w:szCs w:val="20"/>
          <w:lang w:eastAsia="en-US"/>
        </w:rPr>
      </w:pPr>
      <w:r>
        <w:rPr>
          <w:rFonts w:ascii="Times New Roman" w:eastAsia="Times New Roman" w:hAnsi="Times New Roman" w:cs="Times New Roman"/>
          <w:i/>
          <w:iCs/>
          <w:sz w:val="24"/>
          <w:szCs w:val="20"/>
          <w:lang w:eastAsia="en-US"/>
        </w:rPr>
        <w:t>Truth-telling</w:t>
      </w:r>
      <w:r w:rsidR="00266107">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 xml:space="preserve"> Friendship</w:t>
      </w:r>
      <w:r w:rsidR="00E76B9C">
        <w:rPr>
          <w:rFonts w:ascii="Times New Roman" w:eastAsia="Times New Roman" w:hAnsi="Times New Roman" w:cs="Times New Roman"/>
          <w:i/>
          <w:iCs/>
          <w:sz w:val="24"/>
          <w:szCs w:val="20"/>
          <w:lang w:eastAsia="en-US"/>
        </w:rPr>
        <w:t xml:space="preserve"> and Democracy as a Way of L</w:t>
      </w:r>
      <w:r w:rsidR="00266107">
        <w:rPr>
          <w:rFonts w:ascii="Times New Roman" w:eastAsia="Times New Roman" w:hAnsi="Times New Roman" w:cs="Times New Roman"/>
          <w:i/>
          <w:iCs/>
          <w:sz w:val="24"/>
          <w:szCs w:val="20"/>
          <w:lang w:eastAsia="en-US"/>
        </w:rPr>
        <w:t>ife</w:t>
      </w:r>
    </w:p>
    <w:p w:rsidR="00025E8C" w:rsidRPr="00A0526E" w:rsidRDefault="00B15DD8" w:rsidP="006B2D04">
      <w:pPr>
        <w:spacing w:line="36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We begin </w:t>
      </w:r>
      <w:r w:rsidR="00025E8C">
        <w:rPr>
          <w:rFonts w:ascii="Times New Roman" w:eastAsia="Times New Roman" w:hAnsi="Times New Roman" w:cs="Times New Roman"/>
          <w:sz w:val="24"/>
          <w:szCs w:val="20"/>
          <w:lang w:eastAsia="en-US"/>
        </w:rPr>
        <w:t xml:space="preserve">by highlighting three constitutive dimensions of </w:t>
      </w:r>
      <w:r>
        <w:rPr>
          <w:rFonts w:ascii="Times New Roman" w:eastAsia="Times New Roman" w:hAnsi="Times New Roman" w:cs="Times New Roman"/>
          <w:sz w:val="24"/>
          <w:szCs w:val="20"/>
          <w:lang w:eastAsia="en-US"/>
        </w:rPr>
        <w:t xml:space="preserve">the attitude </w:t>
      </w:r>
      <w:r w:rsidR="00025E8C">
        <w:rPr>
          <w:rFonts w:ascii="Times New Roman" w:eastAsia="Times New Roman" w:hAnsi="Times New Roman" w:cs="Times New Roman"/>
          <w:sz w:val="24"/>
          <w:szCs w:val="20"/>
          <w:lang w:eastAsia="en-US"/>
        </w:rPr>
        <w:t xml:space="preserve">– the kind of practical relation to self - </w:t>
      </w:r>
      <w:r>
        <w:rPr>
          <w:rFonts w:ascii="Times New Roman" w:eastAsia="Times New Roman" w:hAnsi="Times New Roman" w:cs="Times New Roman"/>
          <w:sz w:val="24"/>
          <w:szCs w:val="20"/>
          <w:lang w:eastAsia="en-US"/>
        </w:rPr>
        <w:t xml:space="preserve">with which we </w:t>
      </w:r>
      <w:r w:rsidR="00A0526E">
        <w:rPr>
          <w:rFonts w:ascii="Times New Roman" w:eastAsia="Times New Roman" w:hAnsi="Times New Roman" w:cs="Times New Roman"/>
          <w:sz w:val="24"/>
          <w:szCs w:val="20"/>
          <w:lang w:eastAsia="en-US"/>
        </w:rPr>
        <w:t xml:space="preserve">are concerned. First, commitment to truthfulness is integral to this attitude. As Foucault notes, </w:t>
      </w:r>
      <w:r w:rsidR="006B2D04">
        <w:rPr>
          <w:rFonts w:ascii="Times New Roman" w:eastAsia="Times New Roman" w:hAnsi="Times New Roman" w:cs="Times New Roman"/>
          <w:sz w:val="24"/>
          <w:szCs w:val="20"/>
          <w:lang w:eastAsia="en-US"/>
        </w:rPr>
        <w:t>and Cavell endorses</w:t>
      </w:r>
      <w:r w:rsidR="006B2D04">
        <w:rPr>
          <w:rStyle w:val="FootnoteReference"/>
          <w:rFonts w:ascii="Times New Roman" w:eastAsia="Times New Roman" w:hAnsi="Times New Roman" w:cs="Times New Roman"/>
          <w:sz w:val="24"/>
          <w:szCs w:val="20"/>
          <w:lang w:eastAsia="en-US"/>
        </w:rPr>
        <w:footnoteReference w:id="18"/>
      </w:r>
      <w:r w:rsidR="006B2D04">
        <w:rPr>
          <w:rFonts w:ascii="Times New Roman" w:eastAsia="Times New Roman" w:hAnsi="Times New Roman" w:cs="Times New Roman"/>
          <w:sz w:val="24"/>
          <w:szCs w:val="20"/>
          <w:lang w:eastAsia="en-US"/>
        </w:rPr>
        <w:t xml:space="preserve">, </w:t>
      </w:r>
      <w:r w:rsidR="00A0526E">
        <w:rPr>
          <w:rFonts w:ascii="Times New Roman" w:eastAsia="Times New Roman" w:hAnsi="Times New Roman" w:cs="Times New Roman"/>
          <w:sz w:val="24"/>
          <w:szCs w:val="20"/>
          <w:lang w:eastAsia="en-US"/>
        </w:rPr>
        <w:t xml:space="preserve">the Delphic injunction to know </w:t>
      </w:r>
      <w:proofErr w:type="gramStart"/>
      <w:r w:rsidR="00A0526E">
        <w:rPr>
          <w:rFonts w:ascii="Times New Roman" w:eastAsia="Times New Roman" w:hAnsi="Times New Roman" w:cs="Times New Roman"/>
          <w:sz w:val="24"/>
          <w:szCs w:val="20"/>
          <w:lang w:eastAsia="en-US"/>
        </w:rPr>
        <w:t>oneself</w:t>
      </w:r>
      <w:proofErr w:type="gramEnd"/>
      <w:r w:rsidR="00A0526E">
        <w:rPr>
          <w:rFonts w:ascii="Times New Roman" w:eastAsia="Times New Roman" w:hAnsi="Times New Roman" w:cs="Times New Roman"/>
          <w:sz w:val="24"/>
          <w:szCs w:val="20"/>
          <w:lang w:eastAsia="en-US"/>
        </w:rPr>
        <w:t xml:space="preserve"> gains its sense and justification within the framework of car</w:t>
      </w:r>
      <w:r w:rsidR="007D44BD">
        <w:rPr>
          <w:rFonts w:ascii="Times New Roman" w:eastAsia="Times New Roman" w:hAnsi="Times New Roman" w:cs="Times New Roman"/>
          <w:sz w:val="24"/>
          <w:szCs w:val="20"/>
          <w:lang w:eastAsia="en-US"/>
        </w:rPr>
        <w:t>ing for oneself</w:t>
      </w:r>
      <w:r w:rsidR="00A0526E">
        <w:rPr>
          <w:rFonts w:ascii="Times New Roman" w:eastAsia="Times New Roman" w:hAnsi="Times New Roman" w:cs="Times New Roman"/>
          <w:sz w:val="24"/>
          <w:szCs w:val="20"/>
          <w:lang w:eastAsia="en-US"/>
        </w:rPr>
        <w:t>. Second, this attitude encompasses one’s relations to others:</w:t>
      </w:r>
    </w:p>
    <w:p w:rsidR="00B15DD8" w:rsidRPr="00B15DD8" w:rsidRDefault="00A0526E" w:rsidP="00B15DD8">
      <w:pPr>
        <w:spacing w:after="0" w:line="360" w:lineRule="auto"/>
        <w:ind w:left="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To </w:t>
      </w:r>
      <w:r w:rsidR="00B15DD8" w:rsidRPr="00B15DD8">
        <w:rPr>
          <w:rFonts w:ascii="Times New Roman" w:eastAsia="Times New Roman" w:hAnsi="Times New Roman" w:cs="Times New Roman"/>
          <w:sz w:val="24"/>
          <w:szCs w:val="20"/>
          <w:lang w:eastAsia="en-US"/>
        </w:rPr>
        <w:t>the extent, always important, that I am what I am because of my relations with others and my participation (or my resistance to participation in) shared practices, institutions, and activities, I cannot know who or what I am, hence cannot care for myself, without close attention and responsiveness to others and to arrangements that I share with them.</w:t>
      </w:r>
      <w:r w:rsidR="00B15DD8" w:rsidRPr="00B15DD8">
        <w:rPr>
          <w:rFonts w:ascii="Times New Roman" w:eastAsia="Times New Roman" w:hAnsi="Times New Roman" w:cs="Times New Roman"/>
          <w:sz w:val="24"/>
          <w:szCs w:val="20"/>
          <w:vertAlign w:val="superscript"/>
          <w:lang w:eastAsia="en-US"/>
        </w:rPr>
        <w:footnoteReference w:id="19"/>
      </w:r>
    </w:p>
    <w:p w:rsidR="00C76716" w:rsidRDefault="00A0526E" w:rsidP="00FE4C85">
      <w:pPr>
        <w:spacing w:line="36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Third, standing in this kind of relationship to oneself is not something that one can do independent of others acting as exemplars for one.</w:t>
      </w:r>
      <w:r w:rsidR="00C91545">
        <w:rPr>
          <w:rFonts w:ascii="Times New Roman" w:eastAsia="Times New Roman" w:hAnsi="Times New Roman" w:cs="Times New Roman"/>
          <w:sz w:val="24"/>
          <w:szCs w:val="20"/>
          <w:lang w:eastAsia="en-US"/>
        </w:rPr>
        <w:t xml:space="preserve"> This concerns, fi</w:t>
      </w:r>
      <w:r w:rsidR="00DA6F8B">
        <w:rPr>
          <w:rFonts w:ascii="Times New Roman" w:eastAsia="Times New Roman" w:hAnsi="Times New Roman" w:cs="Times New Roman"/>
          <w:sz w:val="24"/>
          <w:szCs w:val="20"/>
          <w:lang w:eastAsia="en-US"/>
        </w:rPr>
        <w:t xml:space="preserve">rst and foremost, one’s </w:t>
      </w:r>
      <w:r w:rsidR="00C91545">
        <w:rPr>
          <w:rFonts w:ascii="Times New Roman" w:eastAsia="Times New Roman" w:hAnsi="Times New Roman" w:cs="Times New Roman"/>
          <w:sz w:val="24"/>
          <w:szCs w:val="20"/>
          <w:lang w:eastAsia="en-US"/>
        </w:rPr>
        <w:t>coming to cultivate this attitude towards one’s own activity through one’s encounter with another who comes to stand</w:t>
      </w:r>
      <w:r w:rsidR="00E76B9C">
        <w:rPr>
          <w:rFonts w:ascii="Times New Roman" w:eastAsia="Times New Roman" w:hAnsi="Times New Roman" w:cs="Times New Roman"/>
          <w:sz w:val="24"/>
          <w:szCs w:val="20"/>
          <w:lang w:eastAsia="en-US"/>
        </w:rPr>
        <w:t xml:space="preserve"> as an exemplar for one (as</w:t>
      </w:r>
      <w:r w:rsidR="00F36379">
        <w:rPr>
          <w:rFonts w:ascii="Times New Roman" w:eastAsia="Times New Roman" w:hAnsi="Times New Roman" w:cs="Times New Roman"/>
          <w:sz w:val="24"/>
          <w:szCs w:val="20"/>
          <w:lang w:eastAsia="en-US"/>
        </w:rPr>
        <w:t xml:space="preserve"> a model </w:t>
      </w:r>
      <w:r w:rsidR="00E76B9C">
        <w:rPr>
          <w:rFonts w:ascii="Times New Roman" w:eastAsia="Times New Roman" w:hAnsi="Times New Roman" w:cs="Times New Roman"/>
          <w:sz w:val="24"/>
          <w:szCs w:val="20"/>
          <w:lang w:eastAsia="en-US"/>
        </w:rPr>
        <w:t>‘</w:t>
      </w:r>
      <w:r w:rsidR="00F36379">
        <w:rPr>
          <w:rFonts w:ascii="Times New Roman" w:eastAsia="Times New Roman" w:hAnsi="Times New Roman" w:cs="Times New Roman"/>
          <w:sz w:val="24"/>
          <w:szCs w:val="20"/>
          <w:lang w:eastAsia="en-US"/>
        </w:rPr>
        <w:t>not for imit</w:t>
      </w:r>
      <w:r w:rsidR="00C91545">
        <w:rPr>
          <w:rFonts w:ascii="Times New Roman" w:eastAsia="Times New Roman" w:hAnsi="Times New Roman" w:cs="Times New Roman"/>
          <w:sz w:val="24"/>
          <w:szCs w:val="20"/>
          <w:lang w:eastAsia="en-US"/>
        </w:rPr>
        <w:t>ation but for following</w:t>
      </w:r>
      <w:r w:rsidR="00E76B9C">
        <w:rPr>
          <w:rFonts w:ascii="Times New Roman" w:eastAsia="Times New Roman" w:hAnsi="Times New Roman" w:cs="Times New Roman"/>
          <w:sz w:val="24"/>
          <w:szCs w:val="20"/>
          <w:lang w:eastAsia="en-US"/>
        </w:rPr>
        <w:t>’</w:t>
      </w:r>
      <w:r w:rsidR="00C91545">
        <w:rPr>
          <w:rFonts w:ascii="Times New Roman" w:eastAsia="Times New Roman" w:hAnsi="Times New Roman" w:cs="Times New Roman"/>
          <w:sz w:val="24"/>
          <w:szCs w:val="20"/>
          <w:lang w:eastAsia="en-US"/>
        </w:rPr>
        <w:t xml:space="preserve"> in Kant’s terms) by disclosing to us our own attainable but unattained self and, hence, both awakening a sense of shame in us concerning our present consti</w:t>
      </w:r>
      <w:r w:rsidR="00DA6F8B">
        <w:rPr>
          <w:rFonts w:ascii="Times New Roman" w:eastAsia="Times New Roman" w:hAnsi="Times New Roman" w:cs="Times New Roman"/>
          <w:sz w:val="24"/>
          <w:szCs w:val="20"/>
          <w:lang w:eastAsia="en-US"/>
        </w:rPr>
        <w:t xml:space="preserve">tution and inspiring us to transform that constitution. Cavell cites Emerson on this point: </w:t>
      </w:r>
      <w:r w:rsidR="00DA6F8B" w:rsidRPr="00DA6F8B">
        <w:rPr>
          <w:rFonts w:ascii="Times New Roman" w:eastAsia="Times New Roman" w:hAnsi="Times New Roman" w:cs="Times New Roman"/>
          <w:sz w:val="24"/>
          <w:szCs w:val="20"/>
          <w:lang w:eastAsia="en-US"/>
        </w:rPr>
        <w:t>“Truly speaking, it is not instruction, but provocation, that I can receive from another soul</w:t>
      </w:r>
      <w:r w:rsidR="007D44BD">
        <w:rPr>
          <w:rFonts w:ascii="Times New Roman" w:eastAsia="Times New Roman" w:hAnsi="Times New Roman" w:cs="Times New Roman"/>
          <w:sz w:val="24"/>
          <w:szCs w:val="20"/>
          <w:lang w:eastAsia="en-US"/>
        </w:rPr>
        <w:t>.</w:t>
      </w:r>
      <w:r w:rsidR="00DA6F8B" w:rsidRPr="00DA6F8B">
        <w:rPr>
          <w:rFonts w:ascii="Times New Roman" w:eastAsia="Times New Roman" w:hAnsi="Times New Roman" w:cs="Times New Roman"/>
          <w:sz w:val="24"/>
          <w:szCs w:val="20"/>
          <w:lang w:eastAsia="en-US"/>
        </w:rPr>
        <w:t>”</w:t>
      </w:r>
      <w:r w:rsidR="007D44BD">
        <w:rPr>
          <w:rStyle w:val="FootnoteReference"/>
          <w:rFonts w:ascii="Times New Roman" w:eastAsia="Times New Roman" w:hAnsi="Times New Roman" w:cs="Times New Roman"/>
          <w:sz w:val="24"/>
          <w:szCs w:val="20"/>
          <w:lang w:eastAsia="en-US"/>
        </w:rPr>
        <w:footnoteReference w:id="20"/>
      </w:r>
      <w:r w:rsidR="00FE4C85">
        <w:rPr>
          <w:rFonts w:ascii="Times New Roman" w:eastAsia="Times New Roman" w:hAnsi="Times New Roman" w:cs="Times New Roman"/>
          <w:sz w:val="24"/>
          <w:szCs w:val="20"/>
          <w:lang w:eastAsia="en-US"/>
        </w:rPr>
        <w:t xml:space="preserve"> </w:t>
      </w:r>
    </w:p>
    <w:p w:rsidR="00C76716" w:rsidRDefault="00C76716" w:rsidP="00FE4C85">
      <w:pPr>
        <w:spacing w:line="360" w:lineRule="auto"/>
        <w:rPr>
          <w:rFonts w:ascii="Times New Roman" w:eastAsia="Times New Roman" w:hAnsi="Times New Roman" w:cs="Times New Roman"/>
          <w:sz w:val="24"/>
          <w:szCs w:val="20"/>
          <w:lang w:eastAsia="en-US"/>
        </w:rPr>
      </w:pPr>
    </w:p>
    <w:p w:rsidR="00E7701B" w:rsidRDefault="00DA6F8B" w:rsidP="00C76716">
      <w:pPr>
        <w:spacing w:line="36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The classic example of such an exemplar is Socrates</w:t>
      </w:r>
      <w:r w:rsidR="00FE4C85">
        <w:rPr>
          <w:rFonts w:ascii="Times New Roman" w:eastAsia="Times New Roman" w:hAnsi="Times New Roman" w:cs="Times New Roman"/>
          <w:sz w:val="24"/>
          <w:szCs w:val="20"/>
          <w:lang w:eastAsia="en-US"/>
        </w:rPr>
        <w:t>, where</w:t>
      </w:r>
      <w:r>
        <w:rPr>
          <w:rFonts w:ascii="Times New Roman" w:eastAsia="Times New Roman" w:hAnsi="Times New Roman" w:cs="Times New Roman"/>
          <w:sz w:val="24"/>
          <w:szCs w:val="20"/>
          <w:lang w:eastAsia="en-US"/>
        </w:rPr>
        <w:t xml:space="preserve"> what is notable about Socrates as an exemplar is that his practices of the</w:t>
      </w:r>
      <w:r w:rsidR="00FE4C85">
        <w:rPr>
          <w:rFonts w:ascii="Times New Roman" w:eastAsia="Times New Roman" w:hAnsi="Times New Roman" w:cs="Times New Roman"/>
          <w:sz w:val="24"/>
          <w:szCs w:val="20"/>
          <w:lang w:eastAsia="en-US"/>
        </w:rPr>
        <w:t xml:space="preserve"> ethics of care of the self is composed in large part of the</w:t>
      </w:r>
      <w:r>
        <w:rPr>
          <w:rFonts w:ascii="Times New Roman" w:eastAsia="Times New Roman" w:hAnsi="Times New Roman" w:cs="Times New Roman"/>
          <w:sz w:val="24"/>
          <w:szCs w:val="20"/>
          <w:lang w:eastAsia="en-US"/>
        </w:rPr>
        <w:t xml:space="preserve"> effort to ‘provoke’ others to care for themselves (hence, Socrates self-description as </w:t>
      </w:r>
      <w:r w:rsidR="00FE4C85">
        <w:rPr>
          <w:rFonts w:ascii="Times New Roman" w:eastAsia="Times New Roman" w:hAnsi="Times New Roman" w:cs="Times New Roman"/>
          <w:sz w:val="24"/>
          <w:szCs w:val="20"/>
          <w:lang w:eastAsia="en-US"/>
        </w:rPr>
        <w:t xml:space="preserve">a gnat or horsefly that in biting animals makes them restless) through a certain kind of truthfulness, a practice of philosophical </w:t>
      </w:r>
      <w:proofErr w:type="spellStart"/>
      <w:r w:rsidR="00FE4C85">
        <w:rPr>
          <w:rFonts w:ascii="Times New Roman" w:eastAsia="Times New Roman" w:hAnsi="Times New Roman" w:cs="Times New Roman"/>
          <w:i/>
          <w:iCs/>
          <w:sz w:val="24"/>
          <w:szCs w:val="20"/>
          <w:lang w:eastAsia="en-US"/>
        </w:rPr>
        <w:t>parrhesia</w:t>
      </w:r>
      <w:proofErr w:type="spellEnd"/>
      <w:r w:rsidR="00FE4C85">
        <w:rPr>
          <w:rFonts w:ascii="Times New Roman" w:eastAsia="Times New Roman" w:hAnsi="Times New Roman" w:cs="Times New Roman"/>
          <w:sz w:val="24"/>
          <w:szCs w:val="20"/>
          <w:lang w:eastAsia="en-US"/>
        </w:rPr>
        <w:t>.</w:t>
      </w:r>
      <w:r w:rsidR="00C76716">
        <w:rPr>
          <w:rFonts w:ascii="Times New Roman" w:eastAsia="Times New Roman" w:hAnsi="Times New Roman" w:cs="Times New Roman"/>
          <w:sz w:val="24"/>
          <w:szCs w:val="20"/>
          <w:lang w:eastAsia="en-US"/>
        </w:rPr>
        <w:t xml:space="preserve"> On Foucault’s account, Socrates’ linking </w:t>
      </w:r>
      <w:r w:rsidR="00C76716">
        <w:rPr>
          <w:rFonts w:ascii="Times New Roman" w:eastAsia="Times New Roman" w:hAnsi="Times New Roman" w:cs="Times New Roman"/>
          <w:sz w:val="24"/>
          <w:szCs w:val="20"/>
          <w:lang w:eastAsia="en-US"/>
        </w:rPr>
        <w:lastRenderedPageBreak/>
        <w:t xml:space="preserve">of care of the self and </w:t>
      </w:r>
      <w:proofErr w:type="spellStart"/>
      <w:r w:rsidR="00C76716">
        <w:rPr>
          <w:rFonts w:ascii="Times New Roman" w:eastAsia="Times New Roman" w:hAnsi="Times New Roman" w:cs="Times New Roman"/>
          <w:i/>
          <w:iCs/>
          <w:sz w:val="24"/>
          <w:szCs w:val="20"/>
          <w:lang w:eastAsia="en-US"/>
        </w:rPr>
        <w:t>parrhesia</w:t>
      </w:r>
      <w:proofErr w:type="spellEnd"/>
      <w:r w:rsidR="00C76716">
        <w:rPr>
          <w:rFonts w:ascii="Times New Roman" w:eastAsia="Times New Roman" w:hAnsi="Times New Roman" w:cs="Times New Roman"/>
          <w:sz w:val="24"/>
          <w:szCs w:val="20"/>
          <w:lang w:eastAsia="en-US"/>
        </w:rPr>
        <w:t xml:space="preserve"> (which Foucault takes as marking the emergence of what he will call ‘the critical attitude’) can be seen clearly in Plato’s </w:t>
      </w:r>
      <w:r w:rsidR="00C76716">
        <w:rPr>
          <w:rFonts w:ascii="Times New Roman" w:eastAsia="Times New Roman" w:hAnsi="Times New Roman" w:cs="Times New Roman"/>
          <w:i/>
          <w:iCs/>
          <w:sz w:val="24"/>
          <w:szCs w:val="20"/>
          <w:lang w:eastAsia="en-US"/>
        </w:rPr>
        <w:t>Laches</w:t>
      </w:r>
      <w:r w:rsidR="00C76716">
        <w:rPr>
          <w:rFonts w:ascii="Times New Roman" w:eastAsia="Times New Roman" w:hAnsi="Times New Roman" w:cs="Times New Roman"/>
          <w:sz w:val="24"/>
          <w:szCs w:val="20"/>
          <w:lang w:eastAsia="en-US"/>
        </w:rPr>
        <w:t xml:space="preserve"> in which Socrates </w:t>
      </w:r>
      <w:proofErr w:type="spellStart"/>
      <w:r w:rsidR="00C76716">
        <w:rPr>
          <w:rFonts w:ascii="Times New Roman" w:eastAsia="Times New Roman" w:hAnsi="Times New Roman" w:cs="Times New Roman"/>
          <w:sz w:val="24"/>
          <w:szCs w:val="20"/>
          <w:lang w:eastAsia="en-US"/>
        </w:rPr>
        <w:t>inquires</w:t>
      </w:r>
      <w:proofErr w:type="spellEnd"/>
      <w:r w:rsidR="00C76716">
        <w:rPr>
          <w:rFonts w:ascii="Times New Roman" w:eastAsia="Times New Roman" w:hAnsi="Times New Roman" w:cs="Times New Roman"/>
          <w:sz w:val="24"/>
          <w:szCs w:val="20"/>
          <w:lang w:eastAsia="en-US"/>
        </w:rPr>
        <w:t xml:space="preserve"> </w:t>
      </w:r>
      <w:r w:rsidR="00C76716" w:rsidRPr="00C76716">
        <w:rPr>
          <w:rFonts w:ascii="Times New Roman" w:eastAsia="Times New Roman" w:hAnsi="Times New Roman" w:cs="Times New Roman"/>
          <w:sz w:val="24"/>
          <w:szCs w:val="20"/>
          <w:lang w:eastAsia="en-US"/>
        </w:rPr>
        <w:t xml:space="preserve">into the relationship of </w:t>
      </w:r>
      <w:r w:rsidR="00C76716" w:rsidRPr="00C76716">
        <w:rPr>
          <w:rFonts w:ascii="Times New Roman" w:eastAsia="Times New Roman" w:hAnsi="Times New Roman" w:cs="Times New Roman"/>
          <w:i/>
          <w:sz w:val="24"/>
          <w:szCs w:val="20"/>
          <w:lang w:eastAsia="en-US"/>
        </w:rPr>
        <w:t>bios</w:t>
      </w:r>
      <w:r w:rsidR="00C76716" w:rsidRPr="00C76716">
        <w:rPr>
          <w:rFonts w:ascii="Times New Roman" w:eastAsia="Times New Roman" w:hAnsi="Times New Roman" w:cs="Times New Roman"/>
          <w:sz w:val="24"/>
          <w:szCs w:val="20"/>
          <w:lang w:eastAsia="en-US"/>
        </w:rPr>
        <w:t xml:space="preserve"> and </w:t>
      </w:r>
      <w:r w:rsidR="00C76716" w:rsidRPr="00C76716">
        <w:rPr>
          <w:rFonts w:ascii="Times New Roman" w:eastAsia="Times New Roman" w:hAnsi="Times New Roman" w:cs="Times New Roman"/>
          <w:i/>
          <w:sz w:val="24"/>
          <w:szCs w:val="20"/>
          <w:lang w:eastAsia="en-US"/>
        </w:rPr>
        <w:t>logos</w:t>
      </w:r>
      <w:r w:rsidR="00C76716" w:rsidRPr="00C76716">
        <w:rPr>
          <w:rFonts w:ascii="Times New Roman" w:eastAsia="Times New Roman" w:hAnsi="Times New Roman" w:cs="Times New Roman"/>
          <w:sz w:val="24"/>
          <w:szCs w:val="20"/>
          <w:lang w:eastAsia="en-US"/>
        </w:rPr>
        <w:t xml:space="preserve"> in the accounts offered by his interlocutors: ‘Socrates in inquiring into the way that </w:t>
      </w:r>
      <w:r w:rsidR="00C76716" w:rsidRPr="00C76716">
        <w:rPr>
          <w:rFonts w:ascii="Times New Roman" w:eastAsia="Times New Roman" w:hAnsi="Times New Roman" w:cs="Times New Roman"/>
          <w:i/>
          <w:sz w:val="24"/>
          <w:szCs w:val="20"/>
          <w:lang w:eastAsia="en-US"/>
        </w:rPr>
        <w:t>logos</w:t>
      </w:r>
      <w:r w:rsidR="00C76716" w:rsidRPr="00C76716">
        <w:rPr>
          <w:rFonts w:ascii="Times New Roman" w:eastAsia="Times New Roman" w:hAnsi="Times New Roman" w:cs="Times New Roman"/>
          <w:sz w:val="24"/>
          <w:szCs w:val="20"/>
          <w:lang w:eastAsia="en-US"/>
        </w:rPr>
        <w:t xml:space="preserve"> gives form to a person’s style of life; for he is interesting in discovering whether there is a harmonic relation between the two. … Socrates’ role, then, is to ask for a rational accounti</w:t>
      </w:r>
      <w:r w:rsidR="00C76716">
        <w:rPr>
          <w:rFonts w:ascii="Times New Roman" w:eastAsia="Times New Roman" w:hAnsi="Times New Roman" w:cs="Times New Roman"/>
          <w:sz w:val="24"/>
          <w:szCs w:val="20"/>
          <w:lang w:eastAsia="en-US"/>
        </w:rPr>
        <w:t xml:space="preserve">ng of </w:t>
      </w:r>
      <w:r w:rsidR="00C76716" w:rsidRPr="00C76716">
        <w:rPr>
          <w:rFonts w:ascii="Times New Roman" w:eastAsia="Times New Roman" w:hAnsi="Times New Roman" w:cs="Times New Roman"/>
          <w:sz w:val="24"/>
          <w:szCs w:val="20"/>
          <w:lang w:eastAsia="en-US"/>
        </w:rPr>
        <w:t>a person’s life.’</w:t>
      </w:r>
      <w:r w:rsidR="00C76716" w:rsidRPr="00C76716">
        <w:rPr>
          <w:rFonts w:ascii="Times New Roman" w:eastAsia="Times New Roman" w:hAnsi="Times New Roman" w:cs="Times New Roman"/>
          <w:sz w:val="24"/>
          <w:szCs w:val="20"/>
          <w:vertAlign w:val="superscript"/>
          <w:lang w:eastAsia="en-US"/>
        </w:rPr>
        <w:footnoteReference w:id="21"/>
      </w:r>
      <w:r w:rsidR="00C76716" w:rsidRPr="00C76716">
        <w:rPr>
          <w:rFonts w:ascii="Times New Roman" w:eastAsia="Times New Roman" w:hAnsi="Times New Roman" w:cs="Times New Roman"/>
          <w:sz w:val="24"/>
          <w:szCs w:val="20"/>
          <w:lang w:eastAsia="en-US"/>
        </w:rPr>
        <w:t xml:space="preserve"> Here Socrates serves </w:t>
      </w:r>
      <w:r w:rsidR="00FD2472">
        <w:rPr>
          <w:rFonts w:ascii="Times New Roman" w:eastAsia="Times New Roman" w:hAnsi="Times New Roman" w:cs="Times New Roman"/>
          <w:sz w:val="24"/>
          <w:szCs w:val="20"/>
          <w:lang w:eastAsia="en-US"/>
        </w:rPr>
        <w:t xml:space="preserve">as </w:t>
      </w:r>
      <w:r w:rsidR="00C76716" w:rsidRPr="00C76716">
        <w:rPr>
          <w:rFonts w:ascii="Times New Roman" w:eastAsia="Times New Roman" w:hAnsi="Times New Roman" w:cs="Times New Roman"/>
          <w:sz w:val="24"/>
          <w:szCs w:val="20"/>
          <w:lang w:eastAsia="en-US"/>
        </w:rPr>
        <w:t>a ‘touchstone’</w:t>
      </w:r>
      <w:r w:rsidR="00C76716" w:rsidRPr="00C76716">
        <w:rPr>
          <w:rFonts w:ascii="Times New Roman" w:eastAsia="Times New Roman" w:hAnsi="Times New Roman" w:cs="Times New Roman"/>
          <w:sz w:val="24"/>
          <w:szCs w:val="20"/>
          <w:vertAlign w:val="superscript"/>
          <w:lang w:eastAsia="en-US"/>
        </w:rPr>
        <w:footnoteReference w:id="22"/>
      </w:r>
      <w:r w:rsidR="00C76716" w:rsidRPr="00C76716">
        <w:rPr>
          <w:rFonts w:ascii="Times New Roman" w:eastAsia="Times New Roman" w:hAnsi="Times New Roman" w:cs="Times New Roman"/>
          <w:sz w:val="24"/>
          <w:szCs w:val="20"/>
          <w:lang w:eastAsia="en-US"/>
        </w:rPr>
        <w:t xml:space="preserve"> who determines ‘the true nature of the relation between </w:t>
      </w:r>
      <w:r w:rsidR="00C76716" w:rsidRPr="00C76716">
        <w:rPr>
          <w:rFonts w:ascii="Times New Roman" w:eastAsia="Times New Roman" w:hAnsi="Times New Roman" w:cs="Times New Roman"/>
          <w:i/>
          <w:sz w:val="24"/>
          <w:szCs w:val="20"/>
          <w:lang w:eastAsia="en-US"/>
        </w:rPr>
        <w:t>logos</w:t>
      </w:r>
      <w:r w:rsidR="00C76716" w:rsidRPr="00C76716">
        <w:rPr>
          <w:rFonts w:ascii="Times New Roman" w:eastAsia="Times New Roman" w:hAnsi="Times New Roman" w:cs="Times New Roman"/>
          <w:sz w:val="24"/>
          <w:szCs w:val="20"/>
          <w:lang w:eastAsia="en-US"/>
        </w:rPr>
        <w:t xml:space="preserve"> and </w:t>
      </w:r>
      <w:r w:rsidR="00C76716" w:rsidRPr="00C76716">
        <w:rPr>
          <w:rFonts w:ascii="Times New Roman" w:eastAsia="Times New Roman" w:hAnsi="Times New Roman" w:cs="Times New Roman"/>
          <w:i/>
          <w:sz w:val="24"/>
          <w:szCs w:val="20"/>
          <w:lang w:eastAsia="en-US"/>
        </w:rPr>
        <w:t>bios</w:t>
      </w:r>
      <w:r w:rsidR="00C76716" w:rsidRPr="00C76716">
        <w:rPr>
          <w:rFonts w:ascii="Times New Roman" w:eastAsia="Times New Roman" w:hAnsi="Times New Roman" w:cs="Times New Roman"/>
          <w:sz w:val="24"/>
          <w:szCs w:val="20"/>
          <w:lang w:eastAsia="en-US"/>
        </w:rPr>
        <w:t xml:space="preserve"> of those who come into contact with him.’</w:t>
      </w:r>
      <w:r w:rsidR="00C76716" w:rsidRPr="00C76716">
        <w:rPr>
          <w:rFonts w:ascii="Times New Roman" w:eastAsia="Times New Roman" w:hAnsi="Times New Roman" w:cs="Times New Roman"/>
          <w:sz w:val="24"/>
          <w:szCs w:val="20"/>
          <w:vertAlign w:val="superscript"/>
          <w:lang w:eastAsia="en-US"/>
        </w:rPr>
        <w:footnoteReference w:id="23"/>
      </w:r>
      <w:r w:rsidR="00C76716" w:rsidRPr="00C76716">
        <w:rPr>
          <w:rFonts w:ascii="Times New Roman" w:eastAsia="Times New Roman" w:hAnsi="Times New Roman" w:cs="Times New Roman"/>
          <w:sz w:val="24"/>
          <w:szCs w:val="20"/>
          <w:lang w:eastAsia="en-US"/>
        </w:rPr>
        <w:t xml:space="preserve"> The distinctive feature of this form of </w:t>
      </w:r>
      <w:proofErr w:type="spellStart"/>
      <w:r w:rsidR="00C76716" w:rsidRPr="00C76716">
        <w:rPr>
          <w:rFonts w:ascii="Times New Roman" w:eastAsia="Times New Roman" w:hAnsi="Times New Roman" w:cs="Times New Roman"/>
          <w:i/>
          <w:sz w:val="24"/>
          <w:szCs w:val="20"/>
          <w:lang w:eastAsia="en-US"/>
        </w:rPr>
        <w:t>parrhesia</w:t>
      </w:r>
      <w:proofErr w:type="spellEnd"/>
      <w:r w:rsidR="00C76716" w:rsidRPr="00C76716">
        <w:rPr>
          <w:rFonts w:ascii="Times New Roman" w:eastAsia="Times New Roman" w:hAnsi="Times New Roman" w:cs="Times New Roman"/>
          <w:sz w:val="24"/>
          <w:szCs w:val="20"/>
          <w:lang w:eastAsia="en-US"/>
        </w:rPr>
        <w:t xml:space="preserve"> is that its aim is ‘to convince someone that he must take care of himself and of others; and this means that he must </w:t>
      </w:r>
      <w:r w:rsidR="00C76716" w:rsidRPr="00C76716">
        <w:rPr>
          <w:rFonts w:ascii="Times New Roman" w:eastAsia="Times New Roman" w:hAnsi="Times New Roman" w:cs="Times New Roman"/>
          <w:i/>
          <w:sz w:val="24"/>
          <w:szCs w:val="20"/>
          <w:lang w:eastAsia="en-US"/>
        </w:rPr>
        <w:t>change his life</w:t>
      </w:r>
      <w:r w:rsidR="00C76716" w:rsidRPr="00C76716">
        <w:rPr>
          <w:rFonts w:ascii="Times New Roman" w:eastAsia="Times New Roman" w:hAnsi="Times New Roman" w:cs="Times New Roman"/>
          <w:sz w:val="24"/>
          <w:szCs w:val="20"/>
          <w:lang w:eastAsia="en-US"/>
        </w:rPr>
        <w:t>.’</w:t>
      </w:r>
      <w:r w:rsidR="00C76716" w:rsidRPr="00C76716">
        <w:rPr>
          <w:rFonts w:ascii="Times New Roman" w:eastAsia="Times New Roman" w:hAnsi="Times New Roman" w:cs="Times New Roman"/>
          <w:sz w:val="24"/>
          <w:szCs w:val="20"/>
          <w:vertAlign w:val="superscript"/>
          <w:lang w:eastAsia="en-US"/>
        </w:rPr>
        <w:footnoteReference w:id="24"/>
      </w:r>
      <w:r w:rsidR="00C76716" w:rsidRPr="00C76716">
        <w:rPr>
          <w:rFonts w:ascii="Times New Roman" w:eastAsia="Times New Roman" w:hAnsi="Times New Roman" w:cs="Times New Roman"/>
          <w:sz w:val="24"/>
          <w:szCs w:val="20"/>
          <w:lang w:eastAsia="en-US"/>
        </w:rPr>
        <w:t xml:space="preserve"> This kind of </w:t>
      </w:r>
      <w:proofErr w:type="spellStart"/>
      <w:r w:rsidR="00C76716" w:rsidRPr="00C76716">
        <w:rPr>
          <w:rFonts w:ascii="Times New Roman" w:eastAsia="Times New Roman" w:hAnsi="Times New Roman" w:cs="Times New Roman"/>
          <w:i/>
          <w:sz w:val="24"/>
          <w:szCs w:val="20"/>
          <w:lang w:eastAsia="en-US"/>
        </w:rPr>
        <w:t>parrhesiastic</w:t>
      </w:r>
      <w:proofErr w:type="spellEnd"/>
      <w:r w:rsidR="00C76716" w:rsidRPr="00C76716">
        <w:rPr>
          <w:rFonts w:ascii="Times New Roman" w:eastAsia="Times New Roman" w:hAnsi="Times New Roman" w:cs="Times New Roman"/>
          <w:sz w:val="24"/>
          <w:szCs w:val="20"/>
          <w:lang w:eastAsia="en-US"/>
        </w:rPr>
        <w:t xml:space="preserve"> practice is, thus, concerned not simply with self-knowledge but, more generally, with becoming intelligible to oneself through a form of critical testing of oneself by way of engagement with someone – typically a friend</w:t>
      </w:r>
      <w:r w:rsidR="00C76716" w:rsidRPr="00C76716">
        <w:rPr>
          <w:rFonts w:ascii="Times New Roman" w:eastAsia="Times New Roman" w:hAnsi="Times New Roman" w:cs="Times New Roman"/>
          <w:sz w:val="24"/>
          <w:szCs w:val="20"/>
          <w:vertAlign w:val="superscript"/>
          <w:lang w:eastAsia="en-US"/>
        </w:rPr>
        <w:footnoteReference w:id="25"/>
      </w:r>
      <w:r w:rsidR="00C76716" w:rsidRPr="00C76716">
        <w:rPr>
          <w:rFonts w:ascii="Times New Roman" w:eastAsia="Times New Roman" w:hAnsi="Times New Roman" w:cs="Times New Roman"/>
          <w:sz w:val="24"/>
          <w:szCs w:val="20"/>
          <w:lang w:eastAsia="en-US"/>
        </w:rPr>
        <w:t xml:space="preserve"> - who acts a </w:t>
      </w:r>
      <w:proofErr w:type="spellStart"/>
      <w:r w:rsidR="00C76716" w:rsidRPr="00C76716">
        <w:rPr>
          <w:rFonts w:ascii="Times New Roman" w:eastAsia="Times New Roman" w:hAnsi="Times New Roman" w:cs="Times New Roman"/>
          <w:i/>
          <w:sz w:val="24"/>
          <w:szCs w:val="20"/>
          <w:lang w:eastAsia="en-US"/>
        </w:rPr>
        <w:t>parrhesiastes</w:t>
      </w:r>
      <w:proofErr w:type="spellEnd"/>
      <w:r w:rsidR="00C76716">
        <w:rPr>
          <w:rFonts w:ascii="Times New Roman" w:eastAsia="Times New Roman" w:hAnsi="Times New Roman" w:cs="Times New Roman"/>
          <w:sz w:val="24"/>
          <w:szCs w:val="20"/>
          <w:lang w:eastAsia="en-US"/>
        </w:rPr>
        <w:t>, a theme central to Cavell’s reflections on moral pe</w:t>
      </w:r>
      <w:r w:rsidR="00E7701B">
        <w:rPr>
          <w:rFonts w:ascii="Times New Roman" w:eastAsia="Times New Roman" w:hAnsi="Times New Roman" w:cs="Times New Roman"/>
          <w:sz w:val="24"/>
          <w:szCs w:val="20"/>
          <w:lang w:eastAsia="en-US"/>
        </w:rPr>
        <w:t xml:space="preserve">rfectionism </w:t>
      </w:r>
      <w:r w:rsidR="00C76716">
        <w:rPr>
          <w:rFonts w:ascii="Times New Roman" w:eastAsia="Times New Roman" w:hAnsi="Times New Roman" w:cs="Times New Roman"/>
          <w:sz w:val="24"/>
          <w:szCs w:val="20"/>
          <w:lang w:eastAsia="en-US"/>
        </w:rPr>
        <w:t>in the Hollywood comedy of re-marriage</w:t>
      </w:r>
      <w:r w:rsidR="00E7701B">
        <w:rPr>
          <w:rFonts w:ascii="Times New Roman" w:eastAsia="Times New Roman" w:hAnsi="Times New Roman" w:cs="Times New Roman"/>
          <w:sz w:val="24"/>
          <w:szCs w:val="20"/>
          <w:lang w:eastAsia="en-US"/>
        </w:rPr>
        <w:t>.</w:t>
      </w:r>
    </w:p>
    <w:p w:rsidR="00E7701B" w:rsidRDefault="00E7701B" w:rsidP="00C76716">
      <w:pPr>
        <w:spacing w:line="360" w:lineRule="auto"/>
        <w:rPr>
          <w:rFonts w:ascii="Times New Roman" w:eastAsia="Times New Roman" w:hAnsi="Times New Roman" w:cs="Times New Roman"/>
          <w:sz w:val="24"/>
          <w:szCs w:val="20"/>
          <w:lang w:eastAsia="en-US"/>
        </w:rPr>
      </w:pPr>
    </w:p>
    <w:p w:rsidR="002A05D6" w:rsidRPr="002A05D6" w:rsidRDefault="002A05D6" w:rsidP="002A05D6">
      <w:pPr>
        <w:spacing w:line="360" w:lineRule="auto"/>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 xml:space="preserve">Let us begin with two points concerning Cavell’s account of the comedy of re-marriage. </w:t>
      </w:r>
      <w:r w:rsidRPr="002A05D6">
        <w:rPr>
          <w:rFonts w:ascii="Times New Roman" w:eastAsia="Times New Roman" w:hAnsi="Times New Roman" w:cs="Times New Roman"/>
          <w:bCs/>
          <w:sz w:val="24"/>
          <w:szCs w:val="20"/>
          <w:lang w:eastAsia="en-US"/>
        </w:rPr>
        <w:t>The first is that, on Cavell's account, 'marriage is an allegory in these films of what philosophers since Aristotle have thought about under the title of friendship, what it is that gives value to personal relationships, and this is a signature topic of perfectionism.'</w:t>
      </w:r>
      <w:r w:rsidRPr="002A05D6">
        <w:rPr>
          <w:rFonts w:ascii="Times New Roman" w:eastAsia="Times New Roman" w:hAnsi="Times New Roman" w:cs="Times New Roman"/>
          <w:bCs/>
          <w:sz w:val="24"/>
          <w:szCs w:val="20"/>
          <w:vertAlign w:val="superscript"/>
          <w:lang w:eastAsia="en-US"/>
        </w:rPr>
        <w:footnoteReference w:id="26"/>
      </w:r>
      <w:r w:rsidRPr="002A05D6">
        <w:rPr>
          <w:rFonts w:ascii="Times New Roman" w:eastAsia="Times New Roman" w:hAnsi="Times New Roman" w:cs="Times New Roman"/>
          <w:bCs/>
          <w:sz w:val="24"/>
          <w:szCs w:val="20"/>
          <w:lang w:eastAsia="en-US"/>
        </w:rPr>
        <w:t xml:space="preserve">  Friendship is a 'signature topic' of moral perfectionism because Cavell sees the process of coming to stand to oneself in the self-relation that comprises freedom as one that is accomplished or brought about through the agency of a friend (the attraction of an exemplar). The second is the centrality of conversation and the idea (drawn from Milton) of 'a meet and happy conversation'</w:t>
      </w:r>
      <w:r w:rsidRPr="002A05D6">
        <w:rPr>
          <w:rFonts w:ascii="Times New Roman" w:eastAsia="Times New Roman" w:hAnsi="Times New Roman" w:cs="Times New Roman"/>
          <w:bCs/>
          <w:sz w:val="24"/>
          <w:szCs w:val="20"/>
          <w:vertAlign w:val="superscript"/>
          <w:lang w:eastAsia="en-US"/>
        </w:rPr>
        <w:footnoteReference w:id="27"/>
      </w:r>
      <w:r w:rsidRPr="002A05D6">
        <w:rPr>
          <w:rFonts w:ascii="Times New Roman" w:eastAsia="Times New Roman" w:hAnsi="Times New Roman" w:cs="Times New Roman"/>
          <w:bCs/>
          <w:sz w:val="24"/>
          <w:szCs w:val="20"/>
          <w:lang w:eastAsia="en-US"/>
        </w:rPr>
        <w:t xml:space="preserve"> as a mode of association, a form of life that expresses the i</w:t>
      </w:r>
      <w:r>
        <w:rPr>
          <w:rFonts w:ascii="Times New Roman" w:eastAsia="Times New Roman" w:hAnsi="Times New Roman" w:cs="Times New Roman"/>
          <w:bCs/>
          <w:sz w:val="24"/>
          <w:szCs w:val="20"/>
          <w:lang w:eastAsia="en-US"/>
        </w:rPr>
        <w:t>deal of marriage (and democratic society</w:t>
      </w:r>
      <w:r w:rsidRPr="002A05D6">
        <w:rPr>
          <w:rFonts w:ascii="Times New Roman" w:eastAsia="Times New Roman" w:hAnsi="Times New Roman" w:cs="Times New Roman"/>
          <w:bCs/>
          <w:sz w:val="24"/>
          <w:szCs w:val="20"/>
          <w:lang w:eastAsia="en-US"/>
        </w:rPr>
        <w:t>)</w:t>
      </w:r>
      <w:r>
        <w:rPr>
          <w:rFonts w:ascii="Times New Roman" w:eastAsia="Times New Roman" w:hAnsi="Times New Roman" w:cs="Times New Roman"/>
          <w:bCs/>
          <w:sz w:val="24"/>
          <w:szCs w:val="20"/>
          <w:lang w:eastAsia="en-US"/>
        </w:rPr>
        <w:t>. In our view, w</w:t>
      </w:r>
      <w:r w:rsidRPr="002A05D6">
        <w:rPr>
          <w:rFonts w:ascii="Times New Roman" w:eastAsia="Times New Roman" w:hAnsi="Times New Roman" w:cs="Times New Roman"/>
          <w:bCs/>
          <w:sz w:val="24"/>
          <w:szCs w:val="20"/>
          <w:lang w:eastAsia="en-US"/>
        </w:rPr>
        <w:t xml:space="preserve">e </w:t>
      </w:r>
      <w:r>
        <w:rPr>
          <w:rFonts w:ascii="Times New Roman" w:eastAsia="Times New Roman" w:hAnsi="Times New Roman" w:cs="Times New Roman"/>
          <w:bCs/>
          <w:sz w:val="24"/>
          <w:szCs w:val="20"/>
          <w:lang w:eastAsia="en-US"/>
        </w:rPr>
        <w:t xml:space="preserve">can </w:t>
      </w:r>
      <w:r w:rsidRPr="002A05D6">
        <w:rPr>
          <w:rFonts w:ascii="Times New Roman" w:eastAsia="Times New Roman" w:hAnsi="Times New Roman" w:cs="Times New Roman"/>
          <w:bCs/>
          <w:sz w:val="24"/>
          <w:szCs w:val="20"/>
          <w:lang w:eastAsia="en-US"/>
        </w:rPr>
        <w:t xml:space="preserve">read the comedy of re-marriage as transposing </w:t>
      </w:r>
      <w:r w:rsidRPr="002A05D6">
        <w:rPr>
          <w:rFonts w:ascii="Times New Roman" w:eastAsia="Times New Roman" w:hAnsi="Times New Roman" w:cs="Times New Roman"/>
          <w:bCs/>
          <w:sz w:val="24"/>
          <w:szCs w:val="20"/>
          <w:lang w:eastAsia="en-US"/>
        </w:rPr>
        <w:lastRenderedPageBreak/>
        <w:t xml:space="preserve">the classical relationship of older friend (e.g., Socrates) and younger friend (e.g., Plato) acts as </w:t>
      </w:r>
      <w:proofErr w:type="spellStart"/>
      <w:r w:rsidRPr="002A05D6">
        <w:rPr>
          <w:rFonts w:ascii="Times New Roman" w:eastAsia="Times New Roman" w:hAnsi="Times New Roman" w:cs="Times New Roman"/>
          <w:bCs/>
          <w:sz w:val="24"/>
          <w:szCs w:val="20"/>
          <w:lang w:eastAsia="en-US"/>
        </w:rPr>
        <w:t>parrhesiates</w:t>
      </w:r>
      <w:proofErr w:type="spellEnd"/>
      <w:r w:rsidRPr="002A05D6">
        <w:rPr>
          <w:rFonts w:ascii="Times New Roman" w:eastAsia="Times New Roman" w:hAnsi="Times New Roman" w:cs="Times New Roman"/>
          <w:bCs/>
          <w:sz w:val="24"/>
          <w:szCs w:val="20"/>
          <w:lang w:eastAsia="en-US"/>
        </w:rPr>
        <w:t xml:space="preserve"> in cultivating the attitude of care of the self in the younger friend onto the male and female ex-partners of a marriage</w:t>
      </w:r>
      <w:r>
        <w:rPr>
          <w:rFonts w:ascii="Times New Roman" w:eastAsia="Times New Roman" w:hAnsi="Times New Roman" w:cs="Times New Roman"/>
          <w:bCs/>
          <w:sz w:val="24"/>
          <w:szCs w:val="20"/>
          <w:lang w:eastAsia="en-US"/>
        </w:rPr>
        <w:t xml:space="preserve"> such that </w:t>
      </w:r>
      <w:r w:rsidRPr="002A05D6">
        <w:rPr>
          <w:rFonts w:ascii="Times New Roman" w:eastAsia="Times New Roman" w:hAnsi="Times New Roman" w:cs="Times New Roman"/>
          <w:bCs/>
          <w:sz w:val="24"/>
          <w:szCs w:val="20"/>
          <w:lang w:eastAsia="en-US"/>
        </w:rPr>
        <w:t>the dialogic interaction</w:t>
      </w:r>
      <w:r>
        <w:rPr>
          <w:rFonts w:ascii="Times New Roman" w:eastAsia="Times New Roman" w:hAnsi="Times New Roman" w:cs="Times New Roman"/>
          <w:bCs/>
          <w:sz w:val="24"/>
          <w:szCs w:val="20"/>
          <w:lang w:eastAsia="en-US"/>
        </w:rPr>
        <w:t xml:space="preserve">s that structure the development of the films involve a mode of encounter in which the ex-husband (as older friend) acts </w:t>
      </w:r>
      <w:r w:rsidRPr="002A05D6">
        <w:rPr>
          <w:rFonts w:ascii="Times New Roman" w:eastAsia="Times New Roman" w:hAnsi="Times New Roman" w:cs="Times New Roman"/>
          <w:bCs/>
          <w:sz w:val="24"/>
          <w:szCs w:val="20"/>
          <w:lang w:eastAsia="en-US"/>
        </w:rPr>
        <w:t xml:space="preserve">to test the relationship of </w:t>
      </w:r>
      <w:r w:rsidRPr="002A05D6">
        <w:rPr>
          <w:rFonts w:ascii="Times New Roman" w:eastAsia="Times New Roman" w:hAnsi="Times New Roman" w:cs="Times New Roman"/>
          <w:bCs/>
          <w:i/>
          <w:iCs/>
          <w:sz w:val="24"/>
          <w:szCs w:val="20"/>
          <w:lang w:eastAsia="en-US"/>
        </w:rPr>
        <w:t>bios</w:t>
      </w:r>
      <w:r w:rsidRPr="002A05D6">
        <w:rPr>
          <w:rFonts w:ascii="Times New Roman" w:eastAsia="Times New Roman" w:hAnsi="Times New Roman" w:cs="Times New Roman"/>
          <w:bCs/>
          <w:sz w:val="24"/>
          <w:szCs w:val="20"/>
          <w:lang w:eastAsia="en-US"/>
        </w:rPr>
        <w:t xml:space="preserve"> and </w:t>
      </w:r>
      <w:r w:rsidRPr="002A05D6">
        <w:rPr>
          <w:rFonts w:ascii="Times New Roman" w:eastAsia="Times New Roman" w:hAnsi="Times New Roman" w:cs="Times New Roman"/>
          <w:bCs/>
          <w:i/>
          <w:iCs/>
          <w:sz w:val="24"/>
          <w:szCs w:val="20"/>
          <w:lang w:eastAsia="en-US"/>
        </w:rPr>
        <w:t>logos</w:t>
      </w:r>
      <w:r>
        <w:rPr>
          <w:rFonts w:ascii="Times New Roman" w:eastAsia="Times New Roman" w:hAnsi="Times New Roman" w:cs="Times New Roman"/>
          <w:bCs/>
          <w:sz w:val="24"/>
          <w:szCs w:val="20"/>
          <w:lang w:eastAsia="en-US"/>
        </w:rPr>
        <w:t xml:space="preserve"> in the ex-wife</w:t>
      </w:r>
      <w:r w:rsidRPr="002A05D6">
        <w:rPr>
          <w:rFonts w:ascii="Times New Roman" w:eastAsia="Times New Roman" w:hAnsi="Times New Roman" w:cs="Times New Roman"/>
          <w:bCs/>
          <w:sz w:val="24"/>
          <w:szCs w:val="20"/>
          <w:lang w:eastAsia="en-US"/>
        </w:rPr>
        <w:t xml:space="preserve"> subject to this truth-telling in order that she may change (convert) her relationship to herself, become intelligible to herself.     </w:t>
      </w:r>
    </w:p>
    <w:p w:rsidR="00441878" w:rsidRPr="00441878" w:rsidRDefault="00441878" w:rsidP="00441878">
      <w:pPr>
        <w:spacing w:line="360" w:lineRule="auto"/>
        <w:rPr>
          <w:rFonts w:ascii="Times New Roman" w:eastAsia="Times New Roman" w:hAnsi="Times New Roman" w:cs="Times New Roman"/>
          <w:bCs/>
          <w:sz w:val="24"/>
          <w:szCs w:val="20"/>
          <w:lang w:eastAsia="en-US"/>
        </w:rPr>
      </w:pPr>
      <w:r w:rsidRPr="00441878">
        <w:rPr>
          <w:rFonts w:ascii="Times New Roman" w:eastAsia="Times New Roman" w:hAnsi="Times New Roman" w:cs="Times New Roman"/>
          <w:bCs/>
          <w:sz w:val="24"/>
          <w:szCs w:val="20"/>
          <w:lang w:eastAsia="en-US"/>
        </w:rPr>
        <w:t xml:space="preserve">Consider in this regard Cavell's analysis of </w:t>
      </w:r>
      <w:r w:rsidRPr="00441878">
        <w:rPr>
          <w:rFonts w:ascii="Times New Roman" w:eastAsia="Times New Roman" w:hAnsi="Times New Roman" w:cs="Times New Roman"/>
          <w:bCs/>
          <w:i/>
          <w:iCs/>
          <w:sz w:val="24"/>
          <w:szCs w:val="20"/>
          <w:lang w:eastAsia="en-US"/>
        </w:rPr>
        <w:t>The Philadelphia Story</w:t>
      </w:r>
      <w:r w:rsidRPr="00441878">
        <w:rPr>
          <w:rFonts w:ascii="Times New Roman" w:eastAsia="Times New Roman" w:hAnsi="Times New Roman" w:cs="Times New Roman"/>
          <w:bCs/>
          <w:sz w:val="24"/>
          <w:szCs w:val="20"/>
          <w:lang w:eastAsia="en-US"/>
        </w:rPr>
        <w:t xml:space="preserve">. Cavell argues that the encounter within this film manifests an engagement with perfectionism because it addresses the issue of Tracy Lord's intelligibility to herself, the relationship between </w:t>
      </w:r>
      <w:r w:rsidRPr="00441878">
        <w:rPr>
          <w:rFonts w:ascii="Times New Roman" w:eastAsia="Times New Roman" w:hAnsi="Times New Roman" w:cs="Times New Roman"/>
          <w:bCs/>
          <w:i/>
          <w:sz w:val="24"/>
          <w:szCs w:val="20"/>
          <w:lang w:eastAsia="en-US"/>
        </w:rPr>
        <w:t>bios</w:t>
      </w:r>
      <w:r w:rsidRPr="00441878">
        <w:rPr>
          <w:rFonts w:ascii="Times New Roman" w:eastAsia="Times New Roman" w:hAnsi="Times New Roman" w:cs="Times New Roman"/>
          <w:bCs/>
          <w:sz w:val="24"/>
          <w:szCs w:val="20"/>
          <w:lang w:eastAsia="en-US"/>
        </w:rPr>
        <w:t xml:space="preserve"> and </w:t>
      </w:r>
      <w:r w:rsidRPr="00441878">
        <w:rPr>
          <w:rFonts w:ascii="Times New Roman" w:eastAsia="Times New Roman" w:hAnsi="Times New Roman" w:cs="Times New Roman"/>
          <w:bCs/>
          <w:i/>
          <w:sz w:val="24"/>
          <w:szCs w:val="20"/>
          <w:lang w:eastAsia="en-US"/>
        </w:rPr>
        <w:t>logos</w:t>
      </w:r>
      <w:r w:rsidRPr="00441878">
        <w:rPr>
          <w:rFonts w:ascii="Times New Roman" w:eastAsia="Times New Roman" w:hAnsi="Times New Roman" w:cs="Times New Roman"/>
          <w:bCs/>
          <w:sz w:val="24"/>
          <w:szCs w:val="20"/>
          <w:lang w:eastAsia="en-US"/>
        </w:rPr>
        <w:t xml:space="preserve"> in terms of the question of whether she desires what she protest</w:t>
      </w:r>
      <w:r w:rsidR="00FD2472">
        <w:rPr>
          <w:rFonts w:ascii="Times New Roman" w:eastAsia="Times New Roman" w:hAnsi="Times New Roman" w:cs="Times New Roman"/>
          <w:bCs/>
          <w:sz w:val="24"/>
          <w:szCs w:val="20"/>
          <w:lang w:eastAsia="en-US"/>
        </w:rPr>
        <w:t>s</w:t>
      </w:r>
      <w:r w:rsidRPr="00441878">
        <w:rPr>
          <w:rFonts w:ascii="Times New Roman" w:eastAsia="Times New Roman" w:hAnsi="Times New Roman" w:cs="Times New Roman"/>
          <w:bCs/>
          <w:sz w:val="24"/>
          <w:szCs w:val="20"/>
          <w:lang w:eastAsia="en-US"/>
        </w:rPr>
        <w:t xml:space="preserve"> she desires (to marry George). Thus the topic raised here is one that Foucault finds central to Hellenistic culture, namely, self-delusion (that we are unable to know exactly what we are) which Plutarch suggests arises from a form of self-love [</w:t>
      </w:r>
      <w:proofErr w:type="spellStart"/>
      <w:r w:rsidRPr="00441878">
        <w:rPr>
          <w:rFonts w:ascii="Times New Roman" w:eastAsia="Times New Roman" w:hAnsi="Times New Roman" w:cs="Times New Roman"/>
          <w:bCs/>
          <w:i/>
          <w:sz w:val="24"/>
          <w:szCs w:val="20"/>
          <w:lang w:eastAsia="en-US"/>
        </w:rPr>
        <w:t>philautia</w:t>
      </w:r>
      <w:proofErr w:type="spellEnd"/>
      <w:r w:rsidRPr="00441878">
        <w:rPr>
          <w:rFonts w:ascii="Times New Roman" w:eastAsia="Times New Roman" w:hAnsi="Times New Roman" w:cs="Times New Roman"/>
          <w:bCs/>
          <w:sz w:val="24"/>
          <w:szCs w:val="20"/>
          <w:lang w:eastAsia="en-US"/>
        </w:rPr>
        <w:t>] that serves as the ground of a persistent (and flattering) illusion about what we are.</w:t>
      </w:r>
      <w:r w:rsidRPr="00441878">
        <w:rPr>
          <w:rFonts w:ascii="Times New Roman" w:eastAsia="Times New Roman" w:hAnsi="Times New Roman" w:cs="Times New Roman"/>
          <w:bCs/>
          <w:sz w:val="24"/>
          <w:szCs w:val="20"/>
          <w:vertAlign w:val="superscript"/>
          <w:lang w:eastAsia="en-US"/>
        </w:rPr>
        <w:footnoteReference w:id="28"/>
      </w:r>
      <w:r w:rsidRPr="00441878">
        <w:rPr>
          <w:rFonts w:ascii="Times New Roman" w:eastAsia="Times New Roman" w:hAnsi="Times New Roman" w:cs="Times New Roman"/>
          <w:bCs/>
          <w:sz w:val="24"/>
          <w:szCs w:val="20"/>
          <w:lang w:eastAsia="en-US"/>
        </w:rPr>
        <w:t xml:space="preserve"> Moreover, the film follows Plutarch in proposing that coming to an honest response to this question of what she desires, overcoming this state of self-delusion concerning what one is, requires the agency and perceptions of a true friend (C.K. Dexter Haven) and underscores the point that coming to see Dexter as a true friend </w:t>
      </w:r>
      <w:r>
        <w:rPr>
          <w:rFonts w:ascii="Times New Roman" w:eastAsia="Times New Roman" w:hAnsi="Times New Roman" w:cs="Times New Roman"/>
          <w:bCs/>
          <w:sz w:val="24"/>
          <w:szCs w:val="20"/>
          <w:lang w:eastAsia="en-US"/>
        </w:rPr>
        <w:t xml:space="preserve">(exemplar) </w:t>
      </w:r>
      <w:r w:rsidRPr="00441878">
        <w:rPr>
          <w:rFonts w:ascii="Times New Roman" w:eastAsia="Times New Roman" w:hAnsi="Times New Roman" w:cs="Times New Roman"/>
          <w:bCs/>
          <w:sz w:val="24"/>
          <w:szCs w:val="20"/>
          <w:lang w:eastAsia="en-US"/>
        </w:rPr>
        <w:t>leads Tracy to acknowledge the truth of the rebukes that he has directed to her and to change her relationship to herself, to overcome the confusion within her relationship to her desires, such that she become</w:t>
      </w:r>
      <w:r>
        <w:rPr>
          <w:rFonts w:ascii="Times New Roman" w:eastAsia="Times New Roman" w:hAnsi="Times New Roman" w:cs="Times New Roman"/>
          <w:bCs/>
          <w:sz w:val="24"/>
          <w:szCs w:val="20"/>
          <w:lang w:eastAsia="en-US"/>
        </w:rPr>
        <w:t>s intelligible to herself. We</w:t>
      </w:r>
      <w:r w:rsidRPr="00441878">
        <w:rPr>
          <w:rFonts w:ascii="Times New Roman" w:eastAsia="Times New Roman" w:hAnsi="Times New Roman" w:cs="Times New Roman"/>
          <w:bCs/>
          <w:sz w:val="24"/>
          <w:szCs w:val="20"/>
          <w:lang w:eastAsia="en-US"/>
        </w:rPr>
        <w:t xml:space="preserve"> note that in Cavell’s reading, he describes Dexter as therapist and philosopher.</w:t>
      </w:r>
      <w:r w:rsidRPr="00441878">
        <w:rPr>
          <w:rFonts w:ascii="Times New Roman" w:eastAsia="Times New Roman" w:hAnsi="Times New Roman" w:cs="Times New Roman"/>
          <w:bCs/>
          <w:sz w:val="24"/>
          <w:szCs w:val="20"/>
          <w:vertAlign w:val="superscript"/>
          <w:lang w:eastAsia="en-US"/>
        </w:rPr>
        <w:footnoteReference w:id="29"/>
      </w:r>
      <w:r w:rsidRPr="00441878">
        <w:rPr>
          <w:rFonts w:ascii="Times New Roman" w:eastAsia="Times New Roman" w:hAnsi="Times New Roman" w:cs="Times New Roman"/>
          <w:bCs/>
          <w:sz w:val="24"/>
          <w:szCs w:val="20"/>
          <w:lang w:eastAsia="en-US"/>
        </w:rPr>
        <w:t xml:space="preserve"> With these descriptions, Cavell wishes to draw attention to three features of Dexter’s role. By referring to Dexter as ‘a true therapist of some kind’, Cavell is highlighting Dexter’s (pedagogic) practice:</w:t>
      </w:r>
    </w:p>
    <w:p w:rsidR="00441878" w:rsidRDefault="00441878" w:rsidP="00441878">
      <w:pPr>
        <w:spacing w:line="360" w:lineRule="auto"/>
        <w:ind w:left="720"/>
        <w:rPr>
          <w:rFonts w:ascii="Times New Roman" w:eastAsia="Times New Roman" w:hAnsi="Times New Roman" w:cs="Times New Roman"/>
          <w:bCs/>
          <w:sz w:val="24"/>
          <w:szCs w:val="20"/>
          <w:lang w:eastAsia="en-US"/>
        </w:rPr>
      </w:pPr>
      <w:r w:rsidRPr="00441878">
        <w:rPr>
          <w:rFonts w:ascii="Times New Roman" w:eastAsia="Times New Roman" w:hAnsi="Times New Roman" w:cs="Times New Roman"/>
          <w:bCs/>
          <w:sz w:val="24"/>
          <w:szCs w:val="20"/>
          <w:lang w:eastAsia="en-US"/>
        </w:rPr>
        <w:t xml:space="preserve">Dexter’s refusal to interfere with events, anyway with people’s interpretations of events (as if always aware that a liberating interpretation must be arrived at for oneself) is expressed in his typical response to those who offer interpretations of </w:t>
      </w:r>
      <w:r w:rsidRPr="00441878">
        <w:rPr>
          <w:rFonts w:ascii="Times New Roman" w:eastAsia="Times New Roman" w:hAnsi="Times New Roman" w:cs="Times New Roman"/>
          <w:bCs/>
          <w:i/>
          <w:sz w:val="24"/>
          <w:szCs w:val="20"/>
          <w:lang w:eastAsia="en-US"/>
        </w:rPr>
        <w:t>him</w:t>
      </w:r>
      <w:r w:rsidRPr="00441878">
        <w:rPr>
          <w:rFonts w:ascii="Times New Roman" w:eastAsia="Times New Roman" w:hAnsi="Times New Roman" w:cs="Times New Roman"/>
          <w:bCs/>
          <w:sz w:val="24"/>
          <w:szCs w:val="20"/>
          <w:lang w:eastAsia="en-US"/>
        </w:rPr>
        <w:t xml:space="preserve">, either to toss their words back to them (George: “I suppose you pretend not to believe it?” Dexter: “Yes I pretend not to”); or to use his characteristic two- or three-syllable </w:t>
      </w:r>
      <w:r w:rsidRPr="00441878">
        <w:rPr>
          <w:rFonts w:ascii="Times New Roman" w:eastAsia="Times New Roman" w:hAnsi="Times New Roman" w:cs="Times New Roman"/>
          <w:bCs/>
          <w:sz w:val="24"/>
          <w:szCs w:val="20"/>
          <w:lang w:eastAsia="en-US"/>
        </w:rPr>
        <w:lastRenderedPageBreak/>
        <w:t>invitation to his accusers to think again, asking “Do I?” (</w:t>
      </w:r>
      <w:proofErr w:type="gramStart"/>
      <w:r w:rsidRPr="00441878">
        <w:rPr>
          <w:rFonts w:ascii="Times New Roman" w:eastAsia="Times New Roman" w:hAnsi="Times New Roman" w:cs="Times New Roman"/>
          <w:bCs/>
          <w:sz w:val="24"/>
          <w:szCs w:val="20"/>
          <w:lang w:eastAsia="en-US"/>
        </w:rPr>
        <w:t>have</w:t>
      </w:r>
      <w:proofErr w:type="gramEnd"/>
      <w:r w:rsidRPr="00441878">
        <w:rPr>
          <w:rFonts w:ascii="Times New Roman" w:eastAsia="Times New Roman" w:hAnsi="Times New Roman" w:cs="Times New Roman"/>
          <w:bCs/>
          <w:sz w:val="24"/>
          <w:szCs w:val="20"/>
          <w:lang w:eastAsia="en-US"/>
        </w:rPr>
        <w:t xml:space="preserve"> a lot of cheek); “Wasn’t I?” (</w:t>
      </w:r>
      <w:proofErr w:type="gramStart"/>
      <w:r w:rsidRPr="00441878">
        <w:rPr>
          <w:rFonts w:ascii="Times New Roman" w:eastAsia="Times New Roman" w:hAnsi="Times New Roman" w:cs="Times New Roman"/>
          <w:bCs/>
          <w:sz w:val="24"/>
          <w:szCs w:val="20"/>
          <w:lang w:eastAsia="en-US"/>
        </w:rPr>
        <w:t>at</w:t>
      </w:r>
      <w:proofErr w:type="gramEnd"/>
      <w:r w:rsidRPr="00441878">
        <w:rPr>
          <w:rFonts w:ascii="Times New Roman" w:eastAsia="Times New Roman" w:hAnsi="Times New Roman" w:cs="Times New Roman"/>
          <w:bCs/>
          <w:sz w:val="24"/>
          <w:szCs w:val="20"/>
          <w:lang w:eastAsia="en-US"/>
        </w:rPr>
        <w:t xml:space="preserve"> the party); or “Am I, Red?” (</w:t>
      </w:r>
      <w:proofErr w:type="gramStart"/>
      <w:r w:rsidRPr="00441878">
        <w:rPr>
          <w:rFonts w:ascii="Times New Roman" w:eastAsia="Times New Roman" w:hAnsi="Times New Roman" w:cs="Times New Roman"/>
          <w:bCs/>
          <w:sz w:val="24"/>
          <w:szCs w:val="20"/>
          <w:lang w:eastAsia="en-US"/>
        </w:rPr>
        <w:t>namely</w:t>
      </w:r>
      <w:proofErr w:type="gramEnd"/>
      <w:r w:rsidRPr="00441878">
        <w:rPr>
          <w:rFonts w:ascii="Times New Roman" w:eastAsia="Times New Roman" w:hAnsi="Times New Roman" w:cs="Times New Roman"/>
          <w:bCs/>
          <w:sz w:val="24"/>
          <w:szCs w:val="20"/>
          <w:lang w:eastAsia="en-US"/>
        </w:rPr>
        <w:t>, loving the invasion of her privacy).</w:t>
      </w:r>
      <w:r w:rsidRPr="00441878">
        <w:rPr>
          <w:rFonts w:ascii="Times New Roman" w:eastAsia="Times New Roman" w:hAnsi="Times New Roman" w:cs="Times New Roman"/>
          <w:bCs/>
          <w:sz w:val="24"/>
          <w:szCs w:val="20"/>
          <w:vertAlign w:val="superscript"/>
          <w:lang w:eastAsia="en-US"/>
        </w:rPr>
        <w:footnoteReference w:id="30"/>
      </w:r>
    </w:p>
    <w:p w:rsidR="00C220B3" w:rsidRDefault="00441878" w:rsidP="003D7AA9">
      <w:pPr>
        <w:spacing w:line="360" w:lineRule="auto"/>
        <w:rPr>
          <w:rFonts w:ascii="Times New Roman" w:eastAsia="Times New Roman" w:hAnsi="Times New Roman" w:cs="Times New Roman"/>
          <w:bCs/>
          <w:sz w:val="24"/>
          <w:szCs w:val="20"/>
          <w:lang w:eastAsia="en-US"/>
        </w:rPr>
      </w:pPr>
      <w:r w:rsidRPr="00441878">
        <w:rPr>
          <w:rFonts w:ascii="Times New Roman" w:eastAsia="Times New Roman" w:hAnsi="Times New Roman" w:cs="Times New Roman"/>
          <w:bCs/>
          <w:sz w:val="24"/>
          <w:szCs w:val="20"/>
          <w:lang w:eastAsia="en-US"/>
        </w:rPr>
        <w:t>By referring to Dexter as (making a claim to the status of) philosopher, Cavell is emphasizing his ‘demand to determine for himself what is truly important and what is not’,</w:t>
      </w:r>
      <w:r w:rsidRPr="00441878">
        <w:rPr>
          <w:rFonts w:ascii="Times New Roman" w:eastAsia="Times New Roman" w:hAnsi="Times New Roman" w:cs="Times New Roman"/>
          <w:bCs/>
          <w:sz w:val="24"/>
          <w:szCs w:val="20"/>
          <w:vertAlign w:val="superscript"/>
          <w:lang w:eastAsia="en-US"/>
        </w:rPr>
        <w:footnoteReference w:id="31"/>
      </w:r>
      <w:r w:rsidRPr="00441878">
        <w:rPr>
          <w:rFonts w:ascii="Times New Roman" w:eastAsia="Times New Roman" w:hAnsi="Times New Roman" w:cs="Times New Roman"/>
          <w:bCs/>
          <w:sz w:val="24"/>
          <w:szCs w:val="20"/>
          <w:lang w:eastAsia="en-US"/>
        </w:rPr>
        <w:t xml:space="preserve"> where this refers to the fact that Dexter’s mind (in contrast to that of George) is not subject to public opinion concerning what is imp</w:t>
      </w:r>
      <w:r w:rsidR="004E77D2">
        <w:rPr>
          <w:rFonts w:ascii="Times New Roman" w:eastAsia="Times New Roman" w:hAnsi="Times New Roman" w:cs="Times New Roman"/>
          <w:bCs/>
          <w:sz w:val="24"/>
          <w:szCs w:val="20"/>
          <w:lang w:eastAsia="en-US"/>
        </w:rPr>
        <w:t>ortant.</w:t>
      </w:r>
      <w:r w:rsidRPr="00441878">
        <w:rPr>
          <w:rFonts w:ascii="Times New Roman" w:eastAsia="Times New Roman" w:hAnsi="Times New Roman" w:cs="Times New Roman"/>
          <w:bCs/>
          <w:sz w:val="24"/>
          <w:szCs w:val="20"/>
          <w:vertAlign w:val="superscript"/>
          <w:lang w:eastAsia="en-US"/>
        </w:rPr>
        <w:footnoteReference w:id="32"/>
      </w:r>
      <w:r w:rsidRPr="00441878">
        <w:rPr>
          <w:rFonts w:ascii="Times New Roman" w:eastAsia="Times New Roman" w:hAnsi="Times New Roman" w:cs="Times New Roman"/>
          <w:bCs/>
          <w:sz w:val="24"/>
          <w:szCs w:val="20"/>
          <w:lang w:eastAsia="en-US"/>
        </w:rPr>
        <w:t xml:space="preserve"> The main point that </w:t>
      </w:r>
      <w:r>
        <w:rPr>
          <w:rFonts w:ascii="Times New Roman" w:eastAsia="Times New Roman" w:hAnsi="Times New Roman" w:cs="Times New Roman"/>
          <w:bCs/>
          <w:sz w:val="24"/>
          <w:szCs w:val="20"/>
          <w:lang w:eastAsia="en-US"/>
        </w:rPr>
        <w:t xml:space="preserve">we </w:t>
      </w:r>
      <w:r w:rsidRPr="00441878">
        <w:rPr>
          <w:rFonts w:ascii="Times New Roman" w:eastAsia="Times New Roman" w:hAnsi="Times New Roman" w:cs="Times New Roman"/>
          <w:bCs/>
          <w:sz w:val="24"/>
          <w:szCs w:val="20"/>
          <w:lang w:eastAsia="en-US"/>
        </w:rPr>
        <w:t xml:space="preserve">want to make concerning this analysis is that the features that Cavell highlights are precisely those that are drawn together in the figure of the </w:t>
      </w:r>
      <w:proofErr w:type="spellStart"/>
      <w:r w:rsidRPr="00441878">
        <w:rPr>
          <w:rFonts w:ascii="Times New Roman" w:eastAsia="Times New Roman" w:hAnsi="Times New Roman" w:cs="Times New Roman"/>
          <w:bCs/>
          <w:i/>
          <w:sz w:val="24"/>
          <w:szCs w:val="20"/>
          <w:lang w:eastAsia="en-US"/>
        </w:rPr>
        <w:t>parrhesiastes</w:t>
      </w:r>
      <w:proofErr w:type="spellEnd"/>
      <w:r w:rsidRPr="00441878">
        <w:rPr>
          <w:rFonts w:ascii="Times New Roman" w:eastAsia="Times New Roman" w:hAnsi="Times New Roman" w:cs="Times New Roman"/>
          <w:bCs/>
          <w:sz w:val="24"/>
          <w:szCs w:val="20"/>
          <w:lang w:eastAsia="en-US"/>
        </w:rPr>
        <w:t xml:space="preserve"> whose integrity and steadiness of mind distinguish him from the flatterer and whose activity takes the form of a critical </w:t>
      </w:r>
      <w:r>
        <w:rPr>
          <w:rFonts w:ascii="Times New Roman" w:eastAsia="Times New Roman" w:hAnsi="Times New Roman" w:cs="Times New Roman"/>
          <w:bCs/>
          <w:sz w:val="24"/>
          <w:szCs w:val="20"/>
          <w:lang w:eastAsia="en-US"/>
        </w:rPr>
        <w:t>provocation</w:t>
      </w:r>
      <w:r w:rsidR="003D7AA9">
        <w:rPr>
          <w:rStyle w:val="FootnoteReference"/>
          <w:rFonts w:ascii="Times New Roman" w:eastAsia="Times New Roman" w:hAnsi="Times New Roman" w:cs="Times New Roman"/>
          <w:bCs/>
          <w:sz w:val="24"/>
          <w:szCs w:val="20"/>
          <w:lang w:eastAsia="en-US"/>
        </w:rPr>
        <w:footnoteReference w:id="33"/>
      </w:r>
      <w:r w:rsidRPr="00441878">
        <w:rPr>
          <w:rFonts w:ascii="Times New Roman" w:eastAsia="Times New Roman" w:hAnsi="Times New Roman" w:cs="Times New Roman"/>
          <w:bCs/>
          <w:sz w:val="24"/>
          <w:szCs w:val="20"/>
          <w:lang w:eastAsia="en-US"/>
        </w:rPr>
        <w:t xml:space="preserve"> designed to bring the one subject to it to change her relationship to herself by bring her to see for herself the need for su</w:t>
      </w:r>
      <w:r>
        <w:rPr>
          <w:rFonts w:ascii="Times New Roman" w:eastAsia="Times New Roman" w:hAnsi="Times New Roman" w:cs="Times New Roman"/>
          <w:bCs/>
          <w:sz w:val="24"/>
          <w:szCs w:val="20"/>
          <w:lang w:eastAsia="en-US"/>
        </w:rPr>
        <w:t>ch conversion.</w:t>
      </w:r>
      <w:r w:rsidR="00D21D7A">
        <w:rPr>
          <w:rStyle w:val="FootnoteReference"/>
          <w:rFonts w:ascii="Times New Roman" w:eastAsia="Times New Roman" w:hAnsi="Times New Roman" w:cs="Times New Roman"/>
          <w:bCs/>
          <w:sz w:val="24"/>
          <w:szCs w:val="20"/>
          <w:lang w:eastAsia="en-US"/>
        </w:rPr>
        <w:footnoteReference w:id="34"/>
      </w:r>
    </w:p>
    <w:p w:rsidR="00C220B3" w:rsidRDefault="00C220B3" w:rsidP="00441878">
      <w:pPr>
        <w:spacing w:line="360" w:lineRule="auto"/>
        <w:rPr>
          <w:rFonts w:ascii="Times New Roman" w:eastAsia="Times New Roman" w:hAnsi="Times New Roman" w:cs="Times New Roman"/>
          <w:bCs/>
          <w:sz w:val="24"/>
          <w:szCs w:val="20"/>
          <w:lang w:eastAsia="en-US"/>
        </w:rPr>
      </w:pPr>
    </w:p>
    <w:p w:rsidR="00FB2FB5" w:rsidRDefault="00C220B3" w:rsidP="00FE79BD">
      <w:pPr>
        <w:spacing w:line="360" w:lineRule="auto"/>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A central feature of this f</w:t>
      </w:r>
      <w:r w:rsidRPr="00C220B3">
        <w:rPr>
          <w:rFonts w:ascii="Times New Roman" w:eastAsia="Times New Roman" w:hAnsi="Times New Roman" w:cs="Times New Roman"/>
          <w:bCs/>
          <w:sz w:val="24"/>
          <w:szCs w:val="20"/>
          <w:lang w:eastAsia="en-US"/>
        </w:rPr>
        <w:t xml:space="preserve">ocus </w:t>
      </w:r>
      <w:r>
        <w:rPr>
          <w:rFonts w:ascii="Times New Roman" w:eastAsia="Times New Roman" w:hAnsi="Times New Roman" w:cs="Times New Roman"/>
          <w:bCs/>
          <w:sz w:val="24"/>
          <w:szCs w:val="20"/>
          <w:lang w:eastAsia="en-US"/>
        </w:rPr>
        <w:t>is that</w:t>
      </w:r>
      <w:r w:rsidR="00FD2472">
        <w:rPr>
          <w:rFonts w:ascii="Times New Roman" w:eastAsia="Times New Roman" w:hAnsi="Times New Roman" w:cs="Times New Roman"/>
          <w:bCs/>
          <w:sz w:val="24"/>
          <w:szCs w:val="20"/>
          <w:lang w:eastAsia="en-US"/>
        </w:rPr>
        <w:t xml:space="preserve"> it</w:t>
      </w:r>
      <w:r>
        <w:rPr>
          <w:rFonts w:ascii="Times New Roman" w:eastAsia="Times New Roman" w:hAnsi="Times New Roman" w:cs="Times New Roman"/>
          <w:bCs/>
          <w:sz w:val="24"/>
          <w:szCs w:val="20"/>
          <w:lang w:eastAsia="en-US"/>
        </w:rPr>
        <w:t xml:space="preserve"> makes the</w:t>
      </w:r>
      <w:r w:rsidR="00D27BBB">
        <w:rPr>
          <w:rFonts w:ascii="Times New Roman" w:eastAsia="Times New Roman" w:hAnsi="Times New Roman" w:cs="Times New Roman"/>
          <w:bCs/>
          <w:sz w:val="24"/>
          <w:szCs w:val="20"/>
          <w:lang w:eastAsia="en-US"/>
        </w:rPr>
        <w:t xml:space="preserve"> point that the conditions of a</w:t>
      </w:r>
      <w:r w:rsidRPr="00C220B3">
        <w:rPr>
          <w:rFonts w:ascii="Times New Roman" w:eastAsia="Times New Roman" w:hAnsi="Times New Roman" w:cs="Times New Roman"/>
          <w:bCs/>
          <w:sz w:val="24"/>
          <w:szCs w:val="20"/>
          <w:lang w:eastAsia="en-US"/>
        </w:rPr>
        <w:t xml:space="preserve"> </w:t>
      </w:r>
      <w:r>
        <w:rPr>
          <w:rFonts w:ascii="Times New Roman" w:eastAsia="Times New Roman" w:hAnsi="Times New Roman" w:cs="Times New Roman"/>
          <w:bCs/>
          <w:sz w:val="24"/>
          <w:szCs w:val="20"/>
          <w:lang w:eastAsia="en-US"/>
        </w:rPr>
        <w:t>successful marriage</w:t>
      </w:r>
      <w:r w:rsidRPr="00C220B3">
        <w:rPr>
          <w:rFonts w:ascii="Times New Roman" w:eastAsia="Times New Roman" w:hAnsi="Times New Roman" w:cs="Times New Roman"/>
          <w:bCs/>
          <w:sz w:val="24"/>
          <w:szCs w:val="20"/>
          <w:lang w:eastAsia="en-US"/>
        </w:rPr>
        <w:t xml:space="preserve"> require a certain mode of relationship, a relationship </w:t>
      </w:r>
      <w:r>
        <w:rPr>
          <w:rFonts w:ascii="Times New Roman" w:eastAsia="Times New Roman" w:hAnsi="Times New Roman" w:cs="Times New Roman"/>
          <w:bCs/>
          <w:sz w:val="24"/>
          <w:szCs w:val="20"/>
          <w:lang w:eastAsia="en-US"/>
        </w:rPr>
        <w:t>in which care of the self is intrinsically bound to care of the other in the form of a meet and happy conversation which exhibits th</w:t>
      </w:r>
      <w:r w:rsidRPr="00C220B3">
        <w:rPr>
          <w:rFonts w:ascii="Times New Roman" w:eastAsia="Times New Roman" w:hAnsi="Times New Roman" w:cs="Times New Roman"/>
          <w:bCs/>
          <w:sz w:val="24"/>
          <w:szCs w:val="20"/>
          <w:lang w:eastAsia="en-US"/>
        </w:rPr>
        <w:t>e virtues of ‘listening, the responsiveness to difference, the willingness for change’.</w:t>
      </w:r>
      <w:r w:rsidRPr="00C220B3">
        <w:rPr>
          <w:rFonts w:ascii="Times New Roman" w:eastAsia="Times New Roman" w:hAnsi="Times New Roman" w:cs="Times New Roman"/>
          <w:bCs/>
          <w:sz w:val="24"/>
          <w:szCs w:val="20"/>
          <w:vertAlign w:val="superscript"/>
          <w:lang w:eastAsia="en-US"/>
        </w:rPr>
        <w:footnoteReference w:id="35"/>
      </w:r>
      <w:r>
        <w:rPr>
          <w:rFonts w:ascii="Times New Roman" w:eastAsia="Times New Roman" w:hAnsi="Times New Roman" w:cs="Times New Roman"/>
          <w:bCs/>
          <w:sz w:val="24"/>
          <w:szCs w:val="20"/>
          <w:lang w:eastAsia="en-US"/>
        </w:rPr>
        <w:t xml:space="preserve"> </w:t>
      </w:r>
      <w:r w:rsidRPr="00C220B3">
        <w:rPr>
          <w:rFonts w:ascii="Times New Roman" w:eastAsia="Times New Roman" w:hAnsi="Times New Roman" w:cs="Times New Roman"/>
          <w:bCs/>
          <w:sz w:val="24"/>
          <w:szCs w:val="20"/>
          <w:lang w:eastAsia="en-US"/>
        </w:rPr>
        <w:t xml:space="preserve">Cavell makes this clear by focusing on comedies of </w:t>
      </w:r>
      <w:r w:rsidRPr="00E76B9C">
        <w:rPr>
          <w:rFonts w:ascii="Times New Roman" w:eastAsia="Times New Roman" w:hAnsi="Times New Roman" w:cs="Times New Roman"/>
          <w:bCs/>
          <w:i/>
          <w:iCs/>
          <w:sz w:val="24"/>
          <w:szCs w:val="20"/>
          <w:lang w:eastAsia="en-US"/>
        </w:rPr>
        <w:t>re</w:t>
      </w:r>
      <w:r w:rsidR="00FB2FB5" w:rsidRPr="00E76B9C">
        <w:rPr>
          <w:rFonts w:ascii="Times New Roman" w:eastAsia="Times New Roman" w:hAnsi="Times New Roman" w:cs="Times New Roman"/>
          <w:bCs/>
          <w:i/>
          <w:iCs/>
          <w:sz w:val="24"/>
          <w:szCs w:val="20"/>
          <w:lang w:eastAsia="en-US"/>
        </w:rPr>
        <w:t>-</w:t>
      </w:r>
      <w:r w:rsidRPr="00FD2472">
        <w:rPr>
          <w:rFonts w:ascii="Times New Roman" w:eastAsia="Times New Roman" w:hAnsi="Times New Roman" w:cs="Times New Roman"/>
          <w:bCs/>
          <w:iCs/>
          <w:sz w:val="24"/>
          <w:szCs w:val="20"/>
          <w:lang w:eastAsia="en-US"/>
        </w:rPr>
        <w:t>marriage</w:t>
      </w:r>
      <w:r w:rsidRPr="00C220B3">
        <w:rPr>
          <w:rFonts w:ascii="Times New Roman" w:eastAsia="Times New Roman" w:hAnsi="Times New Roman" w:cs="Times New Roman"/>
          <w:bCs/>
          <w:sz w:val="24"/>
          <w:szCs w:val="20"/>
          <w:lang w:eastAsia="en-US"/>
        </w:rPr>
        <w:t>, where the common thread is</w:t>
      </w:r>
      <w:r>
        <w:rPr>
          <w:rFonts w:ascii="Times New Roman" w:eastAsia="Times New Roman" w:hAnsi="Times New Roman" w:cs="Times New Roman"/>
          <w:bCs/>
          <w:sz w:val="24"/>
          <w:szCs w:val="20"/>
          <w:lang w:eastAsia="en-US"/>
        </w:rPr>
        <w:t xml:space="preserve"> </w:t>
      </w:r>
      <w:r w:rsidRPr="00C220B3">
        <w:rPr>
          <w:rFonts w:ascii="Times New Roman" w:eastAsia="Times New Roman" w:hAnsi="Times New Roman" w:cs="Times New Roman"/>
          <w:bCs/>
          <w:sz w:val="24"/>
          <w:szCs w:val="20"/>
          <w:lang w:eastAsia="en-US"/>
        </w:rPr>
        <w:t>‘that the bond of marriage has become unrecognisable or invisible...projecting the idea that what constitutes marriage lies not...outside of marriage...but in the willingness for marriage itself, for repeating the acknowledgement of the fact of it, as if all genuine marriage is remarriage’</w:t>
      </w:r>
      <w:r>
        <w:rPr>
          <w:rFonts w:ascii="Times New Roman" w:eastAsia="Times New Roman" w:hAnsi="Times New Roman" w:cs="Times New Roman"/>
          <w:bCs/>
          <w:sz w:val="24"/>
          <w:szCs w:val="20"/>
          <w:lang w:eastAsia="en-US"/>
        </w:rPr>
        <w:t>.</w:t>
      </w:r>
      <w:r w:rsidRPr="00C220B3">
        <w:rPr>
          <w:rFonts w:ascii="Times New Roman" w:eastAsia="Times New Roman" w:hAnsi="Times New Roman" w:cs="Times New Roman"/>
          <w:bCs/>
          <w:sz w:val="24"/>
          <w:szCs w:val="20"/>
          <w:vertAlign w:val="superscript"/>
          <w:lang w:eastAsia="en-US"/>
        </w:rPr>
        <w:footnoteReference w:id="36"/>
      </w:r>
      <w:r>
        <w:rPr>
          <w:rFonts w:ascii="Times New Roman" w:eastAsia="Times New Roman" w:hAnsi="Times New Roman" w:cs="Times New Roman"/>
          <w:bCs/>
          <w:sz w:val="24"/>
          <w:szCs w:val="20"/>
          <w:lang w:eastAsia="en-US"/>
        </w:rPr>
        <w:t xml:space="preserve"> </w:t>
      </w:r>
      <w:r w:rsidRPr="00C220B3">
        <w:rPr>
          <w:rFonts w:ascii="Times New Roman" w:eastAsia="Times New Roman" w:hAnsi="Times New Roman" w:cs="Times New Roman"/>
          <w:bCs/>
          <w:sz w:val="24"/>
          <w:szCs w:val="20"/>
          <w:lang w:eastAsia="en-US"/>
        </w:rPr>
        <w:t>It is Cavell’s contention that such a bond speaks to us of democrati</w:t>
      </w:r>
      <w:r>
        <w:rPr>
          <w:rFonts w:ascii="Times New Roman" w:eastAsia="Times New Roman" w:hAnsi="Times New Roman" w:cs="Times New Roman"/>
          <w:bCs/>
          <w:sz w:val="24"/>
          <w:szCs w:val="20"/>
          <w:lang w:eastAsia="en-US"/>
        </w:rPr>
        <w:t xml:space="preserve">c relationships, </w:t>
      </w:r>
      <w:r w:rsidRPr="00C220B3">
        <w:rPr>
          <w:rFonts w:ascii="Times New Roman" w:eastAsia="Times New Roman" w:hAnsi="Times New Roman" w:cs="Times New Roman"/>
          <w:bCs/>
          <w:sz w:val="24"/>
          <w:szCs w:val="20"/>
          <w:lang w:eastAsia="en-US"/>
        </w:rPr>
        <w:t>our willingness for our democra</w:t>
      </w:r>
      <w:r w:rsidR="00E76B9C">
        <w:rPr>
          <w:rFonts w:ascii="Times New Roman" w:eastAsia="Times New Roman" w:hAnsi="Times New Roman" w:cs="Times New Roman"/>
          <w:bCs/>
          <w:sz w:val="24"/>
          <w:szCs w:val="20"/>
          <w:lang w:eastAsia="en-US"/>
        </w:rPr>
        <w:t>tic community to continue, calling</w:t>
      </w:r>
      <w:r w:rsidRPr="00C220B3">
        <w:rPr>
          <w:rFonts w:ascii="Times New Roman" w:eastAsia="Times New Roman" w:hAnsi="Times New Roman" w:cs="Times New Roman"/>
          <w:bCs/>
          <w:sz w:val="24"/>
          <w:szCs w:val="20"/>
          <w:lang w:eastAsia="en-US"/>
        </w:rPr>
        <w:t xml:space="preserve"> into being our acknowledgement of the relationship of care between fellow </w:t>
      </w:r>
      <w:r w:rsidRPr="00C220B3">
        <w:rPr>
          <w:rFonts w:ascii="Times New Roman" w:eastAsia="Times New Roman" w:hAnsi="Times New Roman" w:cs="Times New Roman"/>
          <w:bCs/>
          <w:sz w:val="24"/>
          <w:szCs w:val="20"/>
          <w:lang w:eastAsia="en-US"/>
        </w:rPr>
        <w:lastRenderedPageBreak/>
        <w:t>citizens and our willingness for that relationship to continue to exist in the face of whatever is to come, for the legitimacy of marriage is provided neither by law, sexuality, progeny nor any other factor beyond the simple willingness for the journey to continue recognised in the couple’s ‘mutual willingness for remarriage’</w:t>
      </w:r>
      <w:r w:rsidR="007D44BD">
        <w:rPr>
          <w:rFonts w:ascii="Times New Roman" w:eastAsia="Times New Roman" w:hAnsi="Times New Roman" w:cs="Times New Roman"/>
          <w:bCs/>
          <w:sz w:val="24"/>
          <w:szCs w:val="20"/>
          <w:lang w:eastAsia="en-US"/>
        </w:rPr>
        <w:t>.</w:t>
      </w:r>
      <w:r w:rsidR="007D44BD">
        <w:rPr>
          <w:rStyle w:val="FootnoteReference"/>
          <w:rFonts w:ascii="Times New Roman" w:eastAsia="Times New Roman" w:hAnsi="Times New Roman" w:cs="Times New Roman"/>
          <w:bCs/>
          <w:sz w:val="24"/>
          <w:szCs w:val="20"/>
          <w:lang w:eastAsia="en-US"/>
        </w:rPr>
        <w:footnoteReference w:id="37"/>
      </w:r>
      <w:r w:rsidRPr="00C220B3">
        <w:rPr>
          <w:rFonts w:ascii="Times New Roman" w:eastAsia="Times New Roman" w:hAnsi="Times New Roman" w:cs="Times New Roman"/>
          <w:bCs/>
          <w:sz w:val="24"/>
          <w:szCs w:val="20"/>
          <w:lang w:eastAsia="en-US"/>
        </w:rPr>
        <w:t xml:space="preserve"> Within such a relationship there is a need for interaction manifest in a ‘readiness for exchange’ found in John Milton’s aforementioned tract on divorce, where the conversation of marriage ‘is indispensably one of words, but not confined to words’.</w:t>
      </w:r>
      <w:r w:rsidRPr="00C220B3">
        <w:rPr>
          <w:rFonts w:ascii="Times New Roman" w:eastAsia="Times New Roman" w:hAnsi="Times New Roman" w:cs="Times New Roman"/>
          <w:bCs/>
          <w:sz w:val="24"/>
          <w:szCs w:val="20"/>
          <w:vertAlign w:val="superscript"/>
          <w:lang w:eastAsia="en-US"/>
        </w:rPr>
        <w:footnoteReference w:id="38"/>
      </w:r>
      <w:r w:rsidRPr="00C220B3">
        <w:rPr>
          <w:rFonts w:ascii="Times New Roman" w:eastAsia="Times New Roman" w:hAnsi="Times New Roman" w:cs="Times New Roman"/>
          <w:bCs/>
          <w:sz w:val="24"/>
          <w:szCs w:val="20"/>
          <w:lang w:eastAsia="en-US"/>
        </w:rPr>
        <w:t xml:space="preserve"> Cavell’s analogy between </w:t>
      </w:r>
      <w:r>
        <w:rPr>
          <w:rFonts w:ascii="Times New Roman" w:eastAsia="Times New Roman" w:hAnsi="Times New Roman" w:cs="Times New Roman"/>
          <w:bCs/>
          <w:sz w:val="24"/>
          <w:szCs w:val="20"/>
          <w:lang w:eastAsia="en-US"/>
        </w:rPr>
        <w:t>re-</w:t>
      </w:r>
      <w:r w:rsidRPr="00C220B3">
        <w:rPr>
          <w:rFonts w:ascii="Times New Roman" w:eastAsia="Times New Roman" w:hAnsi="Times New Roman" w:cs="Times New Roman"/>
          <w:bCs/>
          <w:sz w:val="24"/>
          <w:szCs w:val="20"/>
          <w:lang w:eastAsia="en-US"/>
        </w:rPr>
        <w:t xml:space="preserve">marriage and the democratic relationship emphasises the importance we should accord to the </w:t>
      </w:r>
      <w:r w:rsidR="00FB2FB5">
        <w:rPr>
          <w:rFonts w:ascii="Times New Roman" w:eastAsia="Times New Roman" w:hAnsi="Times New Roman" w:cs="Times New Roman"/>
          <w:bCs/>
          <w:sz w:val="24"/>
          <w:szCs w:val="20"/>
          <w:lang w:eastAsia="en-US"/>
        </w:rPr>
        <w:t xml:space="preserve">care of others as citizens, that is, as </w:t>
      </w:r>
      <w:r w:rsidR="00E76B9C">
        <w:rPr>
          <w:rFonts w:ascii="Times New Roman" w:eastAsia="Times New Roman" w:hAnsi="Times New Roman" w:cs="Times New Roman"/>
          <w:bCs/>
          <w:sz w:val="24"/>
          <w:szCs w:val="20"/>
          <w:lang w:eastAsia="en-US"/>
        </w:rPr>
        <w:t>those with whom politically o</w:t>
      </w:r>
      <w:r w:rsidR="00FB2FB5">
        <w:rPr>
          <w:rFonts w:ascii="Times New Roman" w:eastAsia="Times New Roman" w:hAnsi="Times New Roman" w:cs="Times New Roman"/>
          <w:bCs/>
          <w:sz w:val="24"/>
          <w:szCs w:val="20"/>
          <w:lang w:eastAsia="en-US"/>
        </w:rPr>
        <w:t>n</w:t>
      </w:r>
      <w:r w:rsidR="00E76B9C">
        <w:rPr>
          <w:rFonts w:ascii="Times New Roman" w:eastAsia="Times New Roman" w:hAnsi="Times New Roman" w:cs="Times New Roman"/>
          <w:bCs/>
          <w:sz w:val="24"/>
          <w:szCs w:val="20"/>
          <w:lang w:eastAsia="en-US"/>
        </w:rPr>
        <w:t>e</w:t>
      </w:r>
      <w:r w:rsidR="00FB2FB5">
        <w:rPr>
          <w:rFonts w:ascii="Times New Roman" w:eastAsia="Times New Roman" w:hAnsi="Times New Roman" w:cs="Times New Roman"/>
          <w:bCs/>
          <w:sz w:val="24"/>
          <w:szCs w:val="20"/>
          <w:lang w:eastAsia="en-US"/>
        </w:rPr>
        <w:t xml:space="preserve"> lives one life</w:t>
      </w:r>
      <w:r w:rsidRPr="00C220B3">
        <w:rPr>
          <w:rFonts w:ascii="Times New Roman" w:eastAsia="Times New Roman" w:hAnsi="Times New Roman" w:cs="Times New Roman"/>
          <w:bCs/>
          <w:sz w:val="24"/>
          <w:szCs w:val="20"/>
          <w:lang w:eastAsia="en-US"/>
        </w:rPr>
        <w:t xml:space="preserve">. So in this genre, Cavell emphasises that ‘the fate of the marriage bond...is meant to epitomise the fate of the democratic social bond...the </w:t>
      </w:r>
      <w:r w:rsidRPr="00C220B3">
        <w:rPr>
          <w:rFonts w:ascii="Times New Roman" w:eastAsia="Times New Roman" w:hAnsi="Times New Roman" w:cs="Times New Roman"/>
          <w:bCs/>
          <w:i/>
          <w:sz w:val="24"/>
          <w:szCs w:val="20"/>
          <w:lang w:eastAsia="en-US"/>
        </w:rPr>
        <w:t>linking of fates</w:t>
      </w:r>
      <w:r w:rsidRPr="00C220B3">
        <w:rPr>
          <w:rFonts w:ascii="Times New Roman" w:eastAsia="Times New Roman" w:hAnsi="Times New Roman" w:cs="Times New Roman"/>
          <w:bCs/>
          <w:sz w:val="24"/>
          <w:szCs w:val="20"/>
          <w:lang w:eastAsia="en-US"/>
        </w:rPr>
        <w:t xml:space="preserve"> that</w:t>
      </w:r>
      <w:r w:rsidR="00FB2FB5">
        <w:rPr>
          <w:rFonts w:ascii="Times New Roman" w:eastAsia="Times New Roman" w:hAnsi="Times New Roman" w:cs="Times New Roman"/>
          <w:bCs/>
          <w:sz w:val="24"/>
          <w:szCs w:val="20"/>
          <w:lang w:eastAsia="en-US"/>
        </w:rPr>
        <w:t xml:space="preserve"> underlies....Milton’s argument</w:t>
      </w:r>
      <w:r w:rsidRPr="00C220B3">
        <w:rPr>
          <w:rFonts w:ascii="Times New Roman" w:eastAsia="Times New Roman" w:hAnsi="Times New Roman" w:cs="Times New Roman"/>
          <w:bCs/>
          <w:sz w:val="24"/>
          <w:szCs w:val="20"/>
          <w:lang w:eastAsia="en-US"/>
        </w:rPr>
        <w:t>’.</w:t>
      </w:r>
      <w:r w:rsidRPr="00C220B3">
        <w:rPr>
          <w:rFonts w:ascii="Times New Roman" w:eastAsia="Times New Roman" w:hAnsi="Times New Roman" w:cs="Times New Roman"/>
          <w:bCs/>
          <w:sz w:val="24"/>
          <w:szCs w:val="20"/>
          <w:vertAlign w:val="superscript"/>
          <w:lang w:eastAsia="en-US"/>
        </w:rPr>
        <w:footnoteReference w:id="39"/>
      </w:r>
      <w:r w:rsidRPr="00C220B3">
        <w:rPr>
          <w:rFonts w:ascii="Times New Roman" w:eastAsia="Times New Roman" w:hAnsi="Times New Roman" w:cs="Times New Roman"/>
          <w:bCs/>
          <w:sz w:val="24"/>
          <w:szCs w:val="20"/>
          <w:lang w:eastAsia="en-US"/>
        </w:rPr>
        <w:t xml:space="preserve"> </w:t>
      </w:r>
      <w:r w:rsidR="00097167">
        <w:rPr>
          <w:rFonts w:ascii="Times New Roman" w:eastAsia="Times New Roman" w:hAnsi="Times New Roman" w:cs="Times New Roman"/>
          <w:bCs/>
          <w:sz w:val="24"/>
          <w:szCs w:val="20"/>
          <w:lang w:eastAsia="en-US"/>
        </w:rPr>
        <w:t xml:space="preserve">If successful marriage requires that each partner’s care of the self is intrinsically related to care of the other and gives rise to cares and obligations deriving from this relationship, the same is true of successful democratic life, Cavell contends. Each citizen’s care of the self is intrinsically bound to care of the other as citizen which means, </w:t>
      </w:r>
      <w:r w:rsidR="00097167" w:rsidRPr="00FD2472">
        <w:rPr>
          <w:rFonts w:ascii="Times New Roman" w:eastAsia="Times New Roman" w:hAnsi="Times New Roman" w:cs="Times New Roman"/>
          <w:bCs/>
          <w:sz w:val="24"/>
          <w:szCs w:val="20"/>
          <w:highlight w:val="yellow"/>
          <w:lang w:eastAsia="en-US"/>
        </w:rPr>
        <w:t>first and foremost, acknowledging them as free and equal members of society.</w:t>
      </w:r>
    </w:p>
    <w:p w:rsidR="00097167" w:rsidRDefault="00097167" w:rsidP="00E76B9C">
      <w:pPr>
        <w:spacing w:line="360" w:lineRule="auto"/>
        <w:rPr>
          <w:rFonts w:ascii="Times New Roman" w:eastAsia="Times New Roman" w:hAnsi="Times New Roman" w:cs="Times New Roman"/>
          <w:bCs/>
          <w:sz w:val="24"/>
          <w:szCs w:val="20"/>
          <w:lang w:eastAsia="en-US"/>
        </w:rPr>
      </w:pPr>
    </w:p>
    <w:p w:rsidR="00B85D05" w:rsidRDefault="00097167" w:rsidP="00C51F0A">
      <w:pPr>
        <w:spacing w:line="360" w:lineRule="auto"/>
        <w:rPr>
          <w:rFonts w:asciiTheme="majorBidi" w:hAnsiTheme="majorBidi" w:cstheme="majorBidi"/>
          <w:sz w:val="24"/>
        </w:rPr>
      </w:pPr>
      <w:r>
        <w:rPr>
          <w:rFonts w:ascii="Times New Roman" w:eastAsia="Times New Roman" w:hAnsi="Times New Roman" w:cs="Times New Roman"/>
          <w:bCs/>
          <w:sz w:val="24"/>
          <w:szCs w:val="20"/>
          <w:lang w:eastAsia="en-US"/>
        </w:rPr>
        <w:t>The implications of this contention emerge most clearly in Cavell’s criticism of Rawls – and do so in a way that connects directly to Foucault’s rejection of a focus on the state in favour of a focus on the wider field of government.</w:t>
      </w:r>
      <w:r w:rsidR="00063EF7">
        <w:rPr>
          <w:rFonts w:ascii="Times New Roman" w:eastAsia="Times New Roman" w:hAnsi="Times New Roman" w:cs="Times New Roman"/>
          <w:bCs/>
          <w:sz w:val="24"/>
          <w:szCs w:val="20"/>
          <w:lang w:eastAsia="en-US"/>
        </w:rPr>
        <w:t xml:space="preserve"> </w:t>
      </w:r>
      <w:r w:rsidR="003E0419" w:rsidRPr="003E0419">
        <w:rPr>
          <w:rFonts w:ascii="Times New Roman" w:eastAsia="Times New Roman" w:hAnsi="Times New Roman" w:cs="Times New Roman"/>
          <w:bCs/>
          <w:sz w:val="24"/>
          <w:szCs w:val="20"/>
          <w:lang w:eastAsia="en-US"/>
        </w:rPr>
        <w:t>Cavell’s concern is that Rawls</w:t>
      </w:r>
      <w:r w:rsidR="003E0419">
        <w:rPr>
          <w:rFonts w:ascii="Times New Roman" w:eastAsia="Times New Roman" w:hAnsi="Times New Roman" w:cs="Times New Roman"/>
          <w:bCs/>
          <w:sz w:val="24"/>
          <w:szCs w:val="20"/>
          <w:lang w:eastAsia="en-US"/>
        </w:rPr>
        <w:t xml:space="preserve">’ theory of justice </w:t>
      </w:r>
      <w:r w:rsidR="003E0419" w:rsidRPr="003E0419">
        <w:rPr>
          <w:rFonts w:ascii="Times New Roman" w:eastAsia="Times New Roman" w:hAnsi="Times New Roman" w:cs="Times New Roman"/>
          <w:bCs/>
          <w:sz w:val="24"/>
          <w:szCs w:val="20"/>
          <w:lang w:eastAsia="en-US"/>
        </w:rPr>
        <w:t xml:space="preserve">reduces the relationship between democratic </w:t>
      </w:r>
      <w:r w:rsidR="003E0419">
        <w:rPr>
          <w:rFonts w:ascii="Times New Roman" w:eastAsia="Times New Roman" w:hAnsi="Times New Roman" w:cs="Times New Roman"/>
          <w:bCs/>
          <w:sz w:val="24"/>
          <w:szCs w:val="20"/>
          <w:lang w:eastAsia="en-US"/>
        </w:rPr>
        <w:t>subjects</w:t>
      </w:r>
      <w:r w:rsidR="003E0419" w:rsidRPr="003E0419">
        <w:rPr>
          <w:rFonts w:ascii="Times New Roman" w:eastAsia="Times New Roman" w:hAnsi="Times New Roman" w:cs="Times New Roman"/>
          <w:bCs/>
          <w:sz w:val="24"/>
          <w:szCs w:val="20"/>
          <w:lang w:eastAsia="en-US"/>
        </w:rPr>
        <w:t xml:space="preserve"> to a matter of cooperation </w:t>
      </w:r>
      <w:r w:rsidR="003E0419">
        <w:rPr>
          <w:rFonts w:ascii="Times New Roman" w:eastAsia="Times New Roman" w:hAnsi="Times New Roman" w:cs="Times New Roman"/>
          <w:bCs/>
          <w:sz w:val="24"/>
          <w:szCs w:val="20"/>
          <w:lang w:eastAsia="en-US"/>
        </w:rPr>
        <w:t>between citizens construed as bearers of an office</w:t>
      </w:r>
      <w:r w:rsidR="002B7DF2">
        <w:rPr>
          <w:rStyle w:val="FootnoteReference"/>
          <w:rFonts w:ascii="Times New Roman" w:eastAsia="Times New Roman" w:hAnsi="Times New Roman" w:cs="Times New Roman"/>
          <w:bCs/>
          <w:sz w:val="24"/>
          <w:szCs w:val="20"/>
          <w:lang w:eastAsia="en-US"/>
        </w:rPr>
        <w:footnoteReference w:id="40"/>
      </w:r>
      <w:r w:rsidR="003E0419">
        <w:rPr>
          <w:rFonts w:ascii="Times New Roman" w:eastAsia="Times New Roman" w:hAnsi="Times New Roman" w:cs="Times New Roman"/>
          <w:bCs/>
          <w:sz w:val="24"/>
          <w:szCs w:val="20"/>
          <w:lang w:eastAsia="en-US"/>
        </w:rPr>
        <w:t xml:space="preserve"> whose responsibilities are fixed by determinate r</w:t>
      </w:r>
      <w:r w:rsidR="003E0419" w:rsidRPr="003E0419">
        <w:rPr>
          <w:rFonts w:ascii="Times New Roman" w:eastAsia="Times New Roman" w:hAnsi="Times New Roman" w:cs="Times New Roman"/>
          <w:bCs/>
          <w:sz w:val="24"/>
          <w:szCs w:val="20"/>
          <w:lang w:eastAsia="en-US"/>
        </w:rPr>
        <w:t>ules, thereby overlooking the dimens</w:t>
      </w:r>
      <w:r w:rsidR="003E0419">
        <w:rPr>
          <w:rFonts w:ascii="Times New Roman" w:eastAsia="Times New Roman" w:hAnsi="Times New Roman" w:cs="Times New Roman"/>
          <w:bCs/>
          <w:sz w:val="24"/>
          <w:szCs w:val="20"/>
          <w:lang w:eastAsia="en-US"/>
        </w:rPr>
        <w:t>ion of responsiveness to others that emerges when we reflect on citizenship as a constitutive dimension of our ethical lives.</w:t>
      </w:r>
      <w:r w:rsidR="003E0419" w:rsidRPr="003E0419">
        <w:rPr>
          <w:rFonts w:ascii="Times New Roman" w:eastAsia="Times New Roman" w:hAnsi="Times New Roman" w:cs="Times New Roman"/>
          <w:bCs/>
          <w:sz w:val="24"/>
          <w:szCs w:val="20"/>
          <w:lang w:eastAsia="en-US"/>
        </w:rPr>
        <w:t xml:space="preserve"> </w:t>
      </w:r>
      <w:r w:rsidR="003E0419">
        <w:rPr>
          <w:rFonts w:ascii="Times New Roman" w:eastAsia="Times New Roman" w:hAnsi="Times New Roman" w:cs="Times New Roman"/>
          <w:bCs/>
          <w:sz w:val="24"/>
          <w:szCs w:val="20"/>
          <w:lang w:eastAsia="en-US"/>
        </w:rPr>
        <w:t>In seeking to proportion consent to , and responsibility for, our society to the extent th</w:t>
      </w:r>
      <w:r w:rsidR="00FD2472">
        <w:rPr>
          <w:rFonts w:ascii="Times New Roman" w:eastAsia="Times New Roman" w:hAnsi="Times New Roman" w:cs="Times New Roman"/>
          <w:bCs/>
          <w:sz w:val="24"/>
          <w:szCs w:val="20"/>
          <w:lang w:eastAsia="en-US"/>
        </w:rPr>
        <w:t>at it complies with principles o</w:t>
      </w:r>
      <w:r w:rsidR="003E0419">
        <w:rPr>
          <w:rFonts w:ascii="Times New Roman" w:eastAsia="Times New Roman" w:hAnsi="Times New Roman" w:cs="Times New Roman"/>
          <w:bCs/>
          <w:sz w:val="24"/>
          <w:szCs w:val="20"/>
          <w:lang w:eastAsia="en-US"/>
        </w:rPr>
        <w:t xml:space="preserve">f justice, Rawls’ account, Cavell argues, misses the ethical significance of consent as implicating us in all the graces and disgraces of our society, </w:t>
      </w:r>
      <w:r w:rsidR="003E0419" w:rsidRPr="003E0419">
        <w:rPr>
          <w:rFonts w:ascii="Times New Roman" w:eastAsia="Times New Roman" w:hAnsi="Times New Roman" w:cs="Times New Roman"/>
          <w:bCs/>
          <w:sz w:val="24"/>
          <w:szCs w:val="20"/>
          <w:lang w:eastAsia="en-US"/>
        </w:rPr>
        <w:t xml:space="preserve">thereby shackling our individual capacity </w:t>
      </w:r>
      <w:r w:rsidR="00063EF7">
        <w:rPr>
          <w:rFonts w:ascii="Times New Roman" w:eastAsia="Times New Roman" w:hAnsi="Times New Roman" w:cs="Times New Roman"/>
          <w:bCs/>
          <w:sz w:val="24"/>
          <w:szCs w:val="20"/>
          <w:lang w:eastAsia="en-US"/>
        </w:rPr>
        <w:t>for mutual</w:t>
      </w:r>
      <w:r w:rsidR="003E0419">
        <w:rPr>
          <w:rFonts w:ascii="Times New Roman" w:eastAsia="Times New Roman" w:hAnsi="Times New Roman" w:cs="Times New Roman"/>
          <w:bCs/>
          <w:sz w:val="24"/>
          <w:szCs w:val="20"/>
          <w:lang w:eastAsia="en-US"/>
        </w:rPr>
        <w:t xml:space="preserve"> responsiveness.</w:t>
      </w:r>
      <w:r w:rsidR="002B7DF2">
        <w:rPr>
          <w:rStyle w:val="FootnoteReference"/>
          <w:rFonts w:ascii="Times New Roman" w:eastAsia="Times New Roman" w:hAnsi="Times New Roman" w:cs="Times New Roman"/>
          <w:bCs/>
          <w:sz w:val="24"/>
          <w:szCs w:val="20"/>
          <w:lang w:eastAsia="en-US"/>
        </w:rPr>
        <w:footnoteReference w:id="41"/>
      </w:r>
      <w:r w:rsidR="003E0419">
        <w:rPr>
          <w:rFonts w:ascii="Times New Roman" w:eastAsia="Times New Roman" w:hAnsi="Times New Roman" w:cs="Times New Roman"/>
          <w:bCs/>
          <w:sz w:val="24"/>
          <w:szCs w:val="20"/>
          <w:lang w:eastAsia="en-US"/>
        </w:rPr>
        <w:t xml:space="preserve"> </w:t>
      </w:r>
      <w:r w:rsidR="003E0419" w:rsidRPr="003E0419">
        <w:rPr>
          <w:rFonts w:ascii="Times New Roman" w:eastAsia="Times New Roman" w:hAnsi="Times New Roman" w:cs="Times New Roman"/>
          <w:bCs/>
          <w:sz w:val="24"/>
          <w:szCs w:val="20"/>
          <w:lang w:eastAsia="en-US"/>
        </w:rPr>
        <w:t xml:space="preserve">In thinking about relations between democratic citizens </w:t>
      </w:r>
      <w:r w:rsidR="003E0419" w:rsidRPr="003E0419">
        <w:rPr>
          <w:rFonts w:ascii="Times New Roman" w:eastAsia="Times New Roman" w:hAnsi="Times New Roman" w:cs="Times New Roman"/>
          <w:bCs/>
          <w:sz w:val="24"/>
          <w:szCs w:val="20"/>
          <w:lang w:eastAsia="en-US"/>
        </w:rPr>
        <w:lastRenderedPageBreak/>
        <w:t>as perpetual conversation, Cavell in contrast emphasises the unavoidable commitment between such citizens, to recognise the constitutive requirement of responsive, mutual engagement in a</w:t>
      </w:r>
      <w:r w:rsidR="00B85D05">
        <w:rPr>
          <w:rFonts w:ascii="Times New Roman" w:eastAsia="Times New Roman" w:hAnsi="Times New Roman" w:cs="Times New Roman"/>
          <w:bCs/>
          <w:sz w:val="24"/>
          <w:szCs w:val="20"/>
          <w:lang w:eastAsia="en-US"/>
        </w:rPr>
        <w:t xml:space="preserve">n </w:t>
      </w:r>
      <w:proofErr w:type="spellStart"/>
      <w:r w:rsidR="00B85D05">
        <w:rPr>
          <w:rFonts w:ascii="Times New Roman" w:eastAsia="Times New Roman" w:hAnsi="Times New Roman" w:cs="Times New Roman"/>
          <w:bCs/>
          <w:sz w:val="24"/>
          <w:szCs w:val="20"/>
          <w:lang w:eastAsia="en-US"/>
        </w:rPr>
        <w:t>ongoing</w:t>
      </w:r>
      <w:proofErr w:type="spellEnd"/>
      <w:r w:rsidR="003E0419" w:rsidRPr="003E0419">
        <w:rPr>
          <w:rFonts w:ascii="Times New Roman" w:eastAsia="Times New Roman" w:hAnsi="Times New Roman" w:cs="Times New Roman"/>
          <w:bCs/>
          <w:sz w:val="24"/>
          <w:szCs w:val="20"/>
          <w:lang w:eastAsia="en-US"/>
        </w:rPr>
        <w:t xml:space="preserve"> collective project.</w:t>
      </w:r>
      <w:r w:rsidR="00B85D05">
        <w:rPr>
          <w:rFonts w:ascii="Times New Roman" w:eastAsia="Times New Roman" w:hAnsi="Times New Roman" w:cs="Times New Roman"/>
          <w:bCs/>
          <w:sz w:val="24"/>
          <w:szCs w:val="20"/>
          <w:lang w:eastAsia="en-US"/>
        </w:rPr>
        <w:t xml:space="preserve"> The importance of moral perfectionism in its political dimension is</w:t>
      </w:r>
      <w:r w:rsidR="003E0419">
        <w:rPr>
          <w:rFonts w:ascii="Times New Roman" w:eastAsia="Times New Roman" w:hAnsi="Times New Roman" w:cs="Times New Roman"/>
          <w:bCs/>
          <w:sz w:val="24"/>
          <w:szCs w:val="20"/>
          <w:lang w:eastAsia="en-US"/>
        </w:rPr>
        <w:t xml:space="preserve"> </w:t>
      </w:r>
      <w:r w:rsidR="00B85D05">
        <w:rPr>
          <w:rFonts w:ascii="Times New Roman" w:eastAsia="Times New Roman" w:hAnsi="Times New Roman" w:cs="Times New Roman"/>
          <w:bCs/>
          <w:sz w:val="24"/>
          <w:szCs w:val="20"/>
          <w:lang w:eastAsia="en-US"/>
        </w:rPr>
        <w:t xml:space="preserve">thus claimed to be that it is integral to sustaining democratic life. </w:t>
      </w:r>
    </w:p>
    <w:p w:rsidR="006B2D04" w:rsidRDefault="006B2D04" w:rsidP="00B85D05">
      <w:pPr>
        <w:spacing w:line="360" w:lineRule="auto"/>
        <w:rPr>
          <w:rFonts w:asciiTheme="majorBidi" w:hAnsiTheme="majorBidi" w:cstheme="majorBidi"/>
          <w:sz w:val="24"/>
        </w:rPr>
      </w:pPr>
    </w:p>
    <w:p w:rsidR="008705C5" w:rsidRDefault="006B2D04" w:rsidP="00FE79BD">
      <w:pPr>
        <w:spacing w:line="360" w:lineRule="auto"/>
        <w:rPr>
          <w:rFonts w:asciiTheme="majorBidi" w:hAnsiTheme="majorBidi" w:cstheme="majorBidi"/>
          <w:sz w:val="24"/>
        </w:rPr>
      </w:pPr>
      <w:r>
        <w:rPr>
          <w:rFonts w:asciiTheme="majorBidi" w:hAnsiTheme="majorBidi" w:cstheme="majorBidi"/>
          <w:sz w:val="24"/>
        </w:rPr>
        <w:t xml:space="preserve">We can situate Cavell’s criticism of Rawls quite precisely in terms of the distinction to which Foucault draws attention in his reflections on </w:t>
      </w:r>
      <w:proofErr w:type="spellStart"/>
      <w:proofErr w:type="gramStart"/>
      <w:r>
        <w:rPr>
          <w:rFonts w:asciiTheme="majorBidi" w:hAnsiTheme="majorBidi" w:cstheme="majorBidi"/>
          <w:i/>
          <w:iCs/>
          <w:sz w:val="24"/>
        </w:rPr>
        <w:t>parrhesia</w:t>
      </w:r>
      <w:proofErr w:type="spellEnd"/>
      <w:r>
        <w:rPr>
          <w:rFonts w:asciiTheme="majorBidi" w:hAnsiTheme="majorBidi" w:cstheme="majorBidi"/>
          <w:sz w:val="24"/>
        </w:rPr>
        <w:t xml:space="preserve">  between</w:t>
      </w:r>
      <w:proofErr w:type="gramEnd"/>
      <w:r>
        <w:rPr>
          <w:rFonts w:asciiTheme="majorBidi" w:hAnsiTheme="majorBidi" w:cstheme="majorBidi"/>
          <w:sz w:val="24"/>
        </w:rPr>
        <w:t xml:space="preserve"> two orders of problems for democratic rule which he specifies in terms of the notions of  </w:t>
      </w:r>
      <w:proofErr w:type="spellStart"/>
      <w:r>
        <w:rPr>
          <w:rFonts w:asciiTheme="majorBidi" w:hAnsiTheme="majorBidi" w:cstheme="majorBidi"/>
          <w:i/>
          <w:iCs/>
          <w:sz w:val="24"/>
        </w:rPr>
        <w:t>politeia</w:t>
      </w:r>
      <w:proofErr w:type="spellEnd"/>
      <w:r>
        <w:rPr>
          <w:rFonts w:asciiTheme="majorBidi" w:hAnsiTheme="majorBidi" w:cstheme="majorBidi"/>
          <w:sz w:val="24"/>
        </w:rPr>
        <w:t xml:space="preserve"> and </w:t>
      </w:r>
      <w:proofErr w:type="spellStart"/>
      <w:r>
        <w:rPr>
          <w:rFonts w:asciiTheme="majorBidi" w:hAnsiTheme="majorBidi" w:cstheme="majorBidi"/>
          <w:i/>
          <w:iCs/>
          <w:sz w:val="24"/>
        </w:rPr>
        <w:t>dunasteia</w:t>
      </w:r>
      <w:proofErr w:type="spellEnd"/>
      <w:r>
        <w:rPr>
          <w:rFonts w:asciiTheme="majorBidi" w:hAnsiTheme="majorBidi" w:cstheme="majorBidi"/>
          <w:sz w:val="24"/>
        </w:rPr>
        <w:t xml:space="preserve">. Problems of </w:t>
      </w:r>
      <w:proofErr w:type="spellStart"/>
      <w:r>
        <w:rPr>
          <w:rFonts w:asciiTheme="majorBidi" w:hAnsiTheme="majorBidi" w:cstheme="majorBidi"/>
          <w:i/>
          <w:iCs/>
          <w:sz w:val="24"/>
        </w:rPr>
        <w:t>politeia</w:t>
      </w:r>
      <w:proofErr w:type="spellEnd"/>
      <w:r>
        <w:rPr>
          <w:rFonts w:asciiTheme="majorBidi" w:hAnsiTheme="majorBidi" w:cstheme="majorBidi"/>
          <w:sz w:val="24"/>
        </w:rPr>
        <w:t xml:space="preserve"> pertain to ‘the constitution, the framework, which defines the status of citizens, their rights, how decisions are taken, how leaders are chosen, and so on’, where these problems ‘have their own form, they imply a certain type of analysis, and they have given rise, they are at the point of origin of a whole form of reflection on the nature of law, the organisation of society, and what the State should be.’</w:t>
      </w:r>
      <w:r w:rsidR="00FE79BD">
        <w:rPr>
          <w:rStyle w:val="FootnoteReference"/>
          <w:rFonts w:asciiTheme="majorBidi" w:hAnsiTheme="majorBidi" w:cstheme="majorBidi"/>
          <w:sz w:val="24"/>
        </w:rPr>
        <w:footnoteReference w:id="42"/>
      </w:r>
      <w:r>
        <w:rPr>
          <w:rFonts w:asciiTheme="majorBidi" w:hAnsiTheme="majorBidi" w:cstheme="majorBidi"/>
          <w:sz w:val="24"/>
        </w:rPr>
        <w:t xml:space="preserve"> Problems of </w:t>
      </w:r>
      <w:proofErr w:type="spellStart"/>
      <w:r w:rsidRPr="00277D2A">
        <w:rPr>
          <w:rFonts w:asciiTheme="majorBidi" w:hAnsiTheme="majorBidi" w:cstheme="majorBidi"/>
          <w:i/>
          <w:iCs/>
          <w:sz w:val="24"/>
        </w:rPr>
        <w:t>dunasteia</w:t>
      </w:r>
      <w:proofErr w:type="spellEnd"/>
      <w:r>
        <w:rPr>
          <w:rFonts w:asciiTheme="majorBidi" w:hAnsiTheme="majorBidi" w:cstheme="majorBidi"/>
          <w:sz w:val="24"/>
        </w:rPr>
        <w:t xml:space="preserve"> address ‘the problem of the political game, of its rules and instruments, and the individual who engages in it’, where these problems ‘are political problems in the strict sense, … of the practice of the political game, and of the political game as a field of experience with its own rules and normativity, of the political game as experience inasmuch as it is indexed to truth-telling and involves a certain relationship to oneself and to others for its players.’</w:t>
      </w:r>
      <w:r w:rsidR="00FE79BD">
        <w:rPr>
          <w:rStyle w:val="FootnoteReference"/>
          <w:rFonts w:asciiTheme="majorBidi" w:hAnsiTheme="majorBidi" w:cstheme="majorBidi"/>
          <w:sz w:val="24"/>
        </w:rPr>
        <w:footnoteReference w:id="43"/>
      </w:r>
      <w:r>
        <w:rPr>
          <w:rFonts w:asciiTheme="majorBidi" w:hAnsiTheme="majorBidi" w:cstheme="majorBidi"/>
          <w:sz w:val="24"/>
        </w:rPr>
        <w:t xml:space="preserve"> Cavell’s critique of Rawls’ is essentially that he focuses on the problem of </w:t>
      </w:r>
      <w:proofErr w:type="spellStart"/>
      <w:r>
        <w:rPr>
          <w:rFonts w:asciiTheme="majorBidi" w:hAnsiTheme="majorBidi" w:cstheme="majorBidi"/>
          <w:i/>
          <w:iCs/>
          <w:sz w:val="24"/>
        </w:rPr>
        <w:t>politeia</w:t>
      </w:r>
      <w:proofErr w:type="spellEnd"/>
      <w:r>
        <w:rPr>
          <w:rFonts w:asciiTheme="majorBidi" w:hAnsiTheme="majorBidi" w:cstheme="majorBidi"/>
          <w:sz w:val="24"/>
        </w:rPr>
        <w:t xml:space="preserve"> and imagines that the problem of a just democratic society can be wholly dealt with in this manner, whereby missing the importance of also addressing what Foucault terms the problem of </w:t>
      </w:r>
      <w:proofErr w:type="spellStart"/>
      <w:r>
        <w:rPr>
          <w:rFonts w:asciiTheme="majorBidi" w:hAnsiTheme="majorBidi" w:cstheme="majorBidi"/>
          <w:i/>
          <w:iCs/>
          <w:sz w:val="24"/>
        </w:rPr>
        <w:t>dunasteia</w:t>
      </w:r>
      <w:proofErr w:type="spellEnd"/>
      <w:r>
        <w:rPr>
          <w:rFonts w:asciiTheme="majorBidi" w:hAnsiTheme="majorBidi" w:cstheme="majorBidi"/>
          <w:sz w:val="24"/>
        </w:rPr>
        <w:t>. Significantly</w:t>
      </w:r>
      <w:r w:rsidR="00FD2472">
        <w:rPr>
          <w:rFonts w:asciiTheme="majorBidi" w:hAnsiTheme="majorBidi" w:cstheme="majorBidi"/>
          <w:sz w:val="24"/>
        </w:rPr>
        <w:t>,</w:t>
      </w:r>
      <w:r>
        <w:rPr>
          <w:rFonts w:asciiTheme="majorBidi" w:hAnsiTheme="majorBidi" w:cstheme="majorBidi"/>
          <w:sz w:val="24"/>
        </w:rPr>
        <w:t xml:space="preserve"> by providing an analytical framework within which to locate Cavell’s criticism, Foucault’s discussion </w:t>
      </w:r>
      <w:r w:rsidR="008705C5">
        <w:rPr>
          <w:rFonts w:asciiTheme="majorBidi" w:hAnsiTheme="majorBidi" w:cstheme="majorBidi"/>
          <w:sz w:val="24"/>
        </w:rPr>
        <w:t xml:space="preserve">also </w:t>
      </w:r>
      <w:r>
        <w:rPr>
          <w:rFonts w:asciiTheme="majorBidi" w:hAnsiTheme="majorBidi" w:cstheme="majorBidi"/>
          <w:sz w:val="24"/>
        </w:rPr>
        <w:t xml:space="preserve">draws us back to truth-telling in that he argues that the place of </w:t>
      </w:r>
      <w:proofErr w:type="spellStart"/>
      <w:r>
        <w:rPr>
          <w:rFonts w:asciiTheme="majorBidi" w:hAnsiTheme="majorBidi" w:cstheme="majorBidi"/>
          <w:i/>
          <w:iCs/>
          <w:sz w:val="24"/>
        </w:rPr>
        <w:t>parrhesia</w:t>
      </w:r>
      <w:proofErr w:type="spellEnd"/>
      <w:r>
        <w:rPr>
          <w:rFonts w:asciiTheme="majorBidi" w:hAnsiTheme="majorBidi" w:cstheme="majorBidi"/>
          <w:sz w:val="24"/>
        </w:rPr>
        <w:t xml:space="preserve"> ‘is defined and guaranteed by the </w:t>
      </w:r>
      <w:proofErr w:type="spellStart"/>
      <w:r>
        <w:rPr>
          <w:rFonts w:asciiTheme="majorBidi" w:hAnsiTheme="majorBidi" w:cstheme="majorBidi"/>
          <w:i/>
          <w:iCs/>
          <w:sz w:val="24"/>
        </w:rPr>
        <w:t>politeia</w:t>
      </w:r>
      <w:proofErr w:type="spellEnd"/>
      <w:r>
        <w:rPr>
          <w:rFonts w:asciiTheme="majorBidi" w:hAnsiTheme="majorBidi" w:cstheme="majorBidi"/>
          <w:sz w:val="24"/>
        </w:rPr>
        <w:t xml:space="preserve">’ but that the exercise of </w:t>
      </w:r>
      <w:proofErr w:type="spellStart"/>
      <w:r w:rsidRPr="00845416">
        <w:rPr>
          <w:rFonts w:asciiTheme="majorBidi" w:hAnsiTheme="majorBidi" w:cstheme="majorBidi"/>
          <w:i/>
          <w:iCs/>
          <w:sz w:val="24"/>
        </w:rPr>
        <w:t>parrhesia</w:t>
      </w:r>
      <w:proofErr w:type="spellEnd"/>
      <w:r w:rsidRPr="00845416">
        <w:rPr>
          <w:rFonts w:asciiTheme="majorBidi" w:hAnsiTheme="majorBidi" w:cstheme="majorBidi"/>
          <w:i/>
          <w:iCs/>
          <w:sz w:val="24"/>
        </w:rPr>
        <w:t xml:space="preserve"> </w:t>
      </w:r>
      <w:r>
        <w:rPr>
          <w:rFonts w:asciiTheme="majorBidi" w:hAnsiTheme="majorBidi" w:cstheme="majorBidi"/>
          <w:sz w:val="24"/>
        </w:rPr>
        <w:t>’the truth-telling of the political man, is what ensures the appropriate game of politics.’</w:t>
      </w:r>
      <w:r w:rsidR="00FE79BD">
        <w:rPr>
          <w:rStyle w:val="FootnoteReference"/>
          <w:rFonts w:asciiTheme="majorBidi" w:hAnsiTheme="majorBidi" w:cstheme="majorBidi"/>
          <w:sz w:val="24"/>
        </w:rPr>
        <w:footnoteReference w:id="44"/>
      </w:r>
      <w:r>
        <w:rPr>
          <w:rFonts w:asciiTheme="majorBidi" w:hAnsiTheme="majorBidi" w:cstheme="majorBidi"/>
          <w:sz w:val="24"/>
        </w:rPr>
        <w:t xml:space="preserve"> </w:t>
      </w:r>
      <w:r w:rsidR="008705C5">
        <w:rPr>
          <w:rFonts w:asciiTheme="majorBidi" w:hAnsiTheme="majorBidi" w:cstheme="majorBidi"/>
          <w:sz w:val="24"/>
        </w:rPr>
        <w:t xml:space="preserve"> </w:t>
      </w:r>
    </w:p>
    <w:p w:rsidR="008705C5" w:rsidRDefault="008705C5" w:rsidP="006B2D04">
      <w:pPr>
        <w:spacing w:line="360" w:lineRule="auto"/>
        <w:rPr>
          <w:rFonts w:asciiTheme="majorBidi" w:hAnsiTheme="majorBidi" w:cstheme="majorBidi"/>
          <w:sz w:val="24"/>
        </w:rPr>
      </w:pPr>
    </w:p>
    <w:p w:rsidR="00E82F8B" w:rsidRDefault="008705C5" w:rsidP="008705C5">
      <w:pPr>
        <w:spacing w:line="360" w:lineRule="auto"/>
        <w:rPr>
          <w:rFonts w:asciiTheme="majorBidi" w:hAnsiTheme="majorBidi" w:cstheme="majorBidi"/>
          <w:sz w:val="24"/>
        </w:rPr>
      </w:pPr>
      <w:r>
        <w:rPr>
          <w:rFonts w:asciiTheme="majorBidi" w:hAnsiTheme="majorBidi" w:cstheme="majorBidi"/>
          <w:sz w:val="24"/>
        </w:rPr>
        <w:t xml:space="preserve">But what is the form of democratic </w:t>
      </w:r>
      <w:proofErr w:type="spellStart"/>
      <w:r>
        <w:rPr>
          <w:rFonts w:asciiTheme="majorBidi" w:hAnsiTheme="majorBidi" w:cstheme="majorBidi"/>
          <w:i/>
          <w:iCs/>
          <w:sz w:val="24"/>
        </w:rPr>
        <w:t>parrhesia</w:t>
      </w:r>
      <w:proofErr w:type="spellEnd"/>
      <w:r>
        <w:rPr>
          <w:rFonts w:asciiTheme="majorBidi" w:hAnsiTheme="majorBidi" w:cstheme="majorBidi"/>
          <w:sz w:val="24"/>
        </w:rPr>
        <w:t xml:space="preserve">? We may say that </w:t>
      </w:r>
      <w:proofErr w:type="spellStart"/>
      <w:r>
        <w:rPr>
          <w:rFonts w:asciiTheme="majorBidi" w:hAnsiTheme="majorBidi" w:cstheme="majorBidi"/>
          <w:i/>
          <w:iCs/>
          <w:sz w:val="24"/>
        </w:rPr>
        <w:t>parrhesia</w:t>
      </w:r>
      <w:proofErr w:type="spellEnd"/>
      <w:r>
        <w:rPr>
          <w:rFonts w:asciiTheme="majorBidi" w:hAnsiTheme="majorBidi" w:cstheme="majorBidi"/>
          <w:sz w:val="24"/>
        </w:rPr>
        <w:t xml:space="preserve"> as a dimension of the ethics of care of the self is characterised by a specific relation of subjectivity and truth in which </w:t>
      </w:r>
      <w:r w:rsidR="00E82F8B">
        <w:rPr>
          <w:rFonts w:asciiTheme="majorBidi" w:hAnsiTheme="majorBidi" w:cstheme="majorBidi"/>
          <w:sz w:val="24"/>
        </w:rPr>
        <w:t>involves a double commitment of the speaker with himself:</w:t>
      </w:r>
    </w:p>
    <w:p w:rsidR="006B2D04" w:rsidRDefault="00E82F8B" w:rsidP="00E82F8B">
      <w:pPr>
        <w:spacing w:line="360" w:lineRule="auto"/>
        <w:ind w:left="720"/>
        <w:rPr>
          <w:rFonts w:asciiTheme="majorBidi" w:hAnsiTheme="majorBidi" w:cstheme="majorBidi"/>
          <w:sz w:val="24"/>
        </w:rPr>
      </w:pPr>
      <w:r>
        <w:rPr>
          <w:rFonts w:asciiTheme="majorBidi" w:hAnsiTheme="majorBidi" w:cstheme="majorBidi"/>
          <w:sz w:val="24"/>
        </w:rPr>
        <w:lastRenderedPageBreak/>
        <w:t xml:space="preserve">On the one hand, the subject in </w:t>
      </w:r>
      <w:proofErr w:type="spellStart"/>
      <w:r>
        <w:rPr>
          <w:rFonts w:asciiTheme="majorBidi" w:hAnsiTheme="majorBidi" w:cstheme="majorBidi"/>
          <w:i/>
          <w:iCs/>
          <w:sz w:val="24"/>
        </w:rPr>
        <w:t>parrhesia</w:t>
      </w:r>
      <w:proofErr w:type="spellEnd"/>
      <w:r>
        <w:rPr>
          <w:rFonts w:asciiTheme="majorBidi" w:hAnsiTheme="majorBidi" w:cstheme="majorBidi"/>
          <w:sz w:val="24"/>
        </w:rPr>
        <w:t xml:space="preserve"> says: This is the truth. He says that he really thinks this truth, and in this she binds himself to the statement and to its content. But he also makes a pact in saying: I am the person who has spoken this truth; I therefore bind myself to the act of stating it and take on the risk of all its consequences.</w:t>
      </w:r>
      <w:r>
        <w:rPr>
          <w:rStyle w:val="FootnoteReference"/>
          <w:rFonts w:asciiTheme="majorBidi" w:hAnsiTheme="majorBidi" w:cstheme="majorBidi"/>
          <w:sz w:val="24"/>
        </w:rPr>
        <w:footnoteReference w:id="45"/>
      </w:r>
      <w:r w:rsidR="008705C5">
        <w:rPr>
          <w:rFonts w:asciiTheme="majorBidi" w:hAnsiTheme="majorBidi" w:cstheme="majorBidi"/>
          <w:sz w:val="24"/>
        </w:rPr>
        <w:t xml:space="preserve">  </w:t>
      </w:r>
      <w:r w:rsidR="006B2D04">
        <w:rPr>
          <w:rFonts w:asciiTheme="majorBidi" w:hAnsiTheme="majorBidi" w:cstheme="majorBidi"/>
          <w:sz w:val="24"/>
        </w:rPr>
        <w:t xml:space="preserve"> </w:t>
      </w:r>
    </w:p>
    <w:p w:rsidR="00C56C28" w:rsidRDefault="00E82F8B" w:rsidP="00FB6D04">
      <w:pPr>
        <w:spacing w:line="360" w:lineRule="auto"/>
        <w:rPr>
          <w:rFonts w:asciiTheme="majorBidi" w:hAnsiTheme="majorBidi" w:cstheme="majorBidi"/>
          <w:sz w:val="24"/>
        </w:rPr>
      </w:pPr>
      <w:r>
        <w:rPr>
          <w:rFonts w:asciiTheme="majorBidi" w:hAnsiTheme="majorBidi" w:cstheme="majorBidi"/>
          <w:sz w:val="24"/>
        </w:rPr>
        <w:t>This is a free act of speaking freely that thereby asserts the freedom of the speaker and, hence, also their responsibility – and acknowledgment of their responsibility - for their words.</w:t>
      </w:r>
      <w:r w:rsidR="00031066">
        <w:rPr>
          <w:rFonts w:asciiTheme="majorBidi" w:hAnsiTheme="majorBidi" w:cstheme="majorBidi"/>
          <w:sz w:val="24"/>
        </w:rPr>
        <w:t xml:space="preserve"> With this in mind, let us turn to democratic </w:t>
      </w:r>
      <w:proofErr w:type="spellStart"/>
      <w:r w:rsidR="00031066" w:rsidRPr="00031066">
        <w:rPr>
          <w:rFonts w:asciiTheme="majorBidi" w:hAnsiTheme="majorBidi" w:cstheme="majorBidi"/>
          <w:i/>
          <w:iCs/>
          <w:sz w:val="24"/>
        </w:rPr>
        <w:t>parrhesia</w:t>
      </w:r>
      <w:proofErr w:type="spellEnd"/>
      <w:r w:rsidR="00031066">
        <w:rPr>
          <w:rFonts w:asciiTheme="majorBidi" w:hAnsiTheme="majorBidi" w:cstheme="majorBidi"/>
          <w:sz w:val="24"/>
        </w:rPr>
        <w:t xml:space="preserve">. </w:t>
      </w:r>
    </w:p>
    <w:p w:rsidR="00C56C28" w:rsidRDefault="00C56C28" w:rsidP="00FB6D04">
      <w:pPr>
        <w:spacing w:line="360" w:lineRule="auto"/>
        <w:rPr>
          <w:rFonts w:asciiTheme="majorBidi" w:hAnsiTheme="majorBidi" w:cstheme="majorBidi"/>
          <w:sz w:val="24"/>
        </w:rPr>
      </w:pPr>
    </w:p>
    <w:p w:rsidR="00FB26AA" w:rsidRDefault="00031066" w:rsidP="00FB26AA">
      <w:pPr>
        <w:spacing w:line="360" w:lineRule="auto"/>
        <w:rPr>
          <w:rFonts w:asciiTheme="majorBidi" w:hAnsiTheme="majorBidi" w:cstheme="majorBidi"/>
          <w:sz w:val="24"/>
        </w:rPr>
      </w:pPr>
      <w:r>
        <w:rPr>
          <w:rFonts w:asciiTheme="majorBidi" w:hAnsiTheme="majorBidi" w:cstheme="majorBidi"/>
          <w:sz w:val="24"/>
        </w:rPr>
        <w:t>We can start by noting that, i</w:t>
      </w:r>
      <w:r w:rsidR="006B2D04">
        <w:rPr>
          <w:rFonts w:asciiTheme="majorBidi" w:hAnsiTheme="majorBidi" w:cstheme="majorBidi"/>
          <w:sz w:val="24"/>
        </w:rPr>
        <w:t xml:space="preserve">n relation to </w:t>
      </w:r>
      <w:proofErr w:type="spellStart"/>
      <w:r w:rsidR="006B2D04">
        <w:rPr>
          <w:rFonts w:asciiTheme="majorBidi" w:hAnsiTheme="majorBidi" w:cstheme="majorBidi"/>
          <w:sz w:val="24"/>
        </w:rPr>
        <w:t>Periclean</w:t>
      </w:r>
      <w:proofErr w:type="spellEnd"/>
      <w:r w:rsidR="006B2D04">
        <w:rPr>
          <w:rFonts w:asciiTheme="majorBidi" w:hAnsiTheme="majorBidi" w:cstheme="majorBidi"/>
          <w:sz w:val="24"/>
        </w:rPr>
        <w:t xml:space="preserve"> democracy, Foucault identifies the constitution of democratic </w:t>
      </w:r>
      <w:proofErr w:type="spellStart"/>
      <w:r w:rsidR="006B2D04">
        <w:rPr>
          <w:rFonts w:asciiTheme="majorBidi" w:hAnsiTheme="majorBidi" w:cstheme="majorBidi"/>
          <w:i/>
          <w:iCs/>
          <w:sz w:val="24"/>
        </w:rPr>
        <w:t>parrhesia</w:t>
      </w:r>
      <w:proofErr w:type="spellEnd"/>
      <w:r w:rsidR="006B2D04">
        <w:rPr>
          <w:rFonts w:asciiTheme="majorBidi" w:hAnsiTheme="majorBidi" w:cstheme="majorBidi"/>
          <w:sz w:val="24"/>
        </w:rPr>
        <w:t xml:space="preserve"> as having four elements: a formal condition: democracy as the equality and freedom to speak of each, a </w:t>
      </w:r>
      <w:r w:rsidR="006B2D04">
        <w:rPr>
          <w:rFonts w:asciiTheme="majorBidi" w:hAnsiTheme="majorBidi" w:cstheme="majorBidi"/>
          <w:i/>
          <w:iCs/>
          <w:sz w:val="24"/>
        </w:rPr>
        <w:t>de facto</w:t>
      </w:r>
      <w:r w:rsidR="006B2D04">
        <w:rPr>
          <w:rFonts w:asciiTheme="majorBidi" w:hAnsiTheme="majorBidi" w:cstheme="majorBidi"/>
          <w:sz w:val="24"/>
        </w:rPr>
        <w:t xml:space="preserve"> condition: the ascendency of some (those who actually govern), a truth condition: the linkage of the power of the discourse of those who govern to truth-telling,</w:t>
      </w:r>
      <w:r w:rsidR="006B2D04">
        <w:rPr>
          <w:rFonts w:asciiTheme="majorBidi" w:hAnsiTheme="majorBidi" w:cstheme="majorBidi"/>
          <w:i/>
          <w:iCs/>
          <w:sz w:val="24"/>
        </w:rPr>
        <w:t xml:space="preserve"> </w:t>
      </w:r>
      <w:r w:rsidR="006B2D04">
        <w:rPr>
          <w:rFonts w:asciiTheme="majorBidi" w:hAnsiTheme="majorBidi" w:cstheme="majorBidi"/>
          <w:sz w:val="24"/>
        </w:rPr>
        <w:t>and a moral condition: the courage to speak t</w:t>
      </w:r>
      <w:r>
        <w:rPr>
          <w:rFonts w:asciiTheme="majorBidi" w:hAnsiTheme="majorBidi" w:cstheme="majorBidi"/>
          <w:sz w:val="24"/>
        </w:rPr>
        <w:t xml:space="preserve">ruthfully within the </w:t>
      </w:r>
      <w:proofErr w:type="spellStart"/>
      <w:r>
        <w:rPr>
          <w:rFonts w:asciiTheme="majorBidi" w:hAnsiTheme="majorBidi" w:cstheme="majorBidi"/>
          <w:sz w:val="24"/>
        </w:rPr>
        <w:t>agon</w:t>
      </w:r>
      <w:proofErr w:type="spellEnd"/>
      <w:r>
        <w:rPr>
          <w:rFonts w:asciiTheme="majorBidi" w:hAnsiTheme="majorBidi" w:cstheme="majorBidi"/>
          <w:sz w:val="24"/>
        </w:rPr>
        <w:t>.</w:t>
      </w:r>
      <w:r w:rsidR="00FE79BD">
        <w:rPr>
          <w:rStyle w:val="FootnoteReference"/>
          <w:rFonts w:asciiTheme="majorBidi" w:hAnsiTheme="majorBidi" w:cstheme="majorBidi"/>
          <w:sz w:val="24"/>
        </w:rPr>
        <w:footnoteReference w:id="46"/>
      </w:r>
      <w:r>
        <w:rPr>
          <w:rFonts w:asciiTheme="majorBidi" w:hAnsiTheme="majorBidi" w:cstheme="majorBidi"/>
          <w:sz w:val="24"/>
        </w:rPr>
        <w:t xml:space="preserve"> These elements persist as elements of modern democracy but the structure of representative government requires that we distinguish </w:t>
      </w:r>
      <w:r w:rsidR="0006115F">
        <w:rPr>
          <w:rFonts w:asciiTheme="majorBidi" w:hAnsiTheme="majorBidi" w:cstheme="majorBidi"/>
          <w:sz w:val="24"/>
        </w:rPr>
        <w:t xml:space="preserve">at least </w:t>
      </w:r>
      <w:r w:rsidR="00FB26AA">
        <w:rPr>
          <w:rFonts w:asciiTheme="majorBidi" w:hAnsiTheme="majorBidi" w:cstheme="majorBidi"/>
          <w:sz w:val="24"/>
        </w:rPr>
        <w:t>two types of relation</w:t>
      </w:r>
      <w:r>
        <w:rPr>
          <w:rFonts w:asciiTheme="majorBidi" w:hAnsiTheme="majorBidi" w:cstheme="majorBidi"/>
          <w:sz w:val="24"/>
        </w:rPr>
        <w:t xml:space="preserve">s of democratic </w:t>
      </w:r>
      <w:proofErr w:type="spellStart"/>
      <w:r>
        <w:rPr>
          <w:rFonts w:asciiTheme="majorBidi" w:hAnsiTheme="majorBidi" w:cstheme="majorBidi"/>
          <w:i/>
          <w:iCs/>
          <w:sz w:val="24"/>
        </w:rPr>
        <w:t>parrhesia</w:t>
      </w:r>
      <w:proofErr w:type="spellEnd"/>
      <w:r>
        <w:rPr>
          <w:rFonts w:asciiTheme="majorBidi" w:hAnsiTheme="majorBidi" w:cstheme="majorBidi"/>
          <w:sz w:val="24"/>
        </w:rPr>
        <w:t>, that of citizen-citizen and that of citizen-governor</w:t>
      </w:r>
      <w:r w:rsidR="00FB26AA">
        <w:rPr>
          <w:rFonts w:asciiTheme="majorBidi" w:hAnsiTheme="majorBidi" w:cstheme="majorBidi"/>
          <w:sz w:val="24"/>
        </w:rPr>
        <w:t xml:space="preserve">. </w:t>
      </w:r>
      <w:r>
        <w:rPr>
          <w:rFonts w:asciiTheme="majorBidi" w:hAnsiTheme="majorBidi" w:cstheme="majorBidi"/>
          <w:sz w:val="24"/>
        </w:rPr>
        <w:t>Cavell’s cinematic investigations of comedies of re-marriage have focused on the former of these</w:t>
      </w:r>
      <w:r w:rsidR="00E07CA6">
        <w:rPr>
          <w:rFonts w:asciiTheme="majorBidi" w:hAnsiTheme="majorBidi" w:cstheme="majorBidi"/>
          <w:sz w:val="24"/>
        </w:rPr>
        <w:t xml:space="preserve"> relations – on democratic citizenship as akin to a form of friendship in we assume the courage to speak truthfully to others </w:t>
      </w:r>
      <w:r w:rsidR="00E07CA6" w:rsidRPr="00C56C28">
        <w:rPr>
          <w:rFonts w:asciiTheme="majorBidi" w:hAnsiTheme="majorBidi" w:cstheme="majorBidi"/>
          <w:i/>
          <w:iCs/>
          <w:sz w:val="24"/>
        </w:rPr>
        <w:t>as equals</w:t>
      </w:r>
      <w:r w:rsidR="00E07CA6">
        <w:rPr>
          <w:rFonts w:asciiTheme="majorBidi" w:hAnsiTheme="majorBidi" w:cstheme="majorBidi"/>
          <w:sz w:val="24"/>
        </w:rPr>
        <w:t xml:space="preserve"> and risk their rebuff. But Foucault’s analysis also points to the need for an ethics of democracy to extend beyond </w:t>
      </w:r>
      <w:proofErr w:type="spellStart"/>
      <w:r w:rsidR="00E07CA6">
        <w:rPr>
          <w:rFonts w:asciiTheme="majorBidi" w:hAnsiTheme="majorBidi" w:cstheme="majorBidi"/>
          <w:i/>
          <w:iCs/>
          <w:sz w:val="24"/>
        </w:rPr>
        <w:t>parrhesia</w:t>
      </w:r>
      <w:proofErr w:type="spellEnd"/>
      <w:r w:rsidR="00E07CA6">
        <w:rPr>
          <w:rFonts w:asciiTheme="majorBidi" w:hAnsiTheme="majorBidi" w:cstheme="majorBidi"/>
          <w:sz w:val="24"/>
        </w:rPr>
        <w:t xml:space="preserve"> as a mode of mutual responsiveness between citizens to address relations of citizens and those who actually govern at any point in time</w:t>
      </w:r>
      <w:r w:rsidR="0006115F">
        <w:rPr>
          <w:rFonts w:asciiTheme="majorBidi" w:hAnsiTheme="majorBidi" w:cstheme="majorBidi"/>
          <w:sz w:val="24"/>
        </w:rPr>
        <w:t xml:space="preserve"> – the politicians, state officials, lobbyists, etc. who compose what we may call ‘the political class’. In extending the analytical framework of an ethics of democracy in this direction, Foucault alerts us to the importance of asking</w:t>
      </w:r>
      <w:r w:rsidR="007C56F7">
        <w:rPr>
          <w:rFonts w:asciiTheme="majorBidi" w:hAnsiTheme="majorBidi" w:cstheme="majorBidi"/>
          <w:sz w:val="24"/>
        </w:rPr>
        <w:t xml:space="preserve"> </w:t>
      </w:r>
      <w:r w:rsidR="0006115F">
        <w:rPr>
          <w:rFonts w:asciiTheme="majorBidi" w:hAnsiTheme="majorBidi" w:cstheme="majorBidi"/>
          <w:sz w:val="24"/>
        </w:rPr>
        <w:t xml:space="preserve">what the conditions and stakes of </w:t>
      </w:r>
      <w:proofErr w:type="spellStart"/>
      <w:r w:rsidR="0006115F">
        <w:rPr>
          <w:rFonts w:asciiTheme="majorBidi" w:hAnsiTheme="majorBidi" w:cstheme="majorBidi"/>
          <w:i/>
          <w:iCs/>
          <w:sz w:val="24"/>
        </w:rPr>
        <w:t>parrhesia</w:t>
      </w:r>
      <w:proofErr w:type="spellEnd"/>
      <w:r w:rsidR="0006115F">
        <w:rPr>
          <w:rFonts w:asciiTheme="majorBidi" w:hAnsiTheme="majorBidi" w:cstheme="majorBidi"/>
          <w:sz w:val="24"/>
        </w:rPr>
        <w:t xml:space="preserve"> are for citizens speaking truth to power but also for the members of the political class in speaking frankly to citizens (or, indeed, to each other) publically.</w:t>
      </w:r>
      <w:r w:rsidR="007C56F7">
        <w:rPr>
          <w:rFonts w:asciiTheme="majorBidi" w:hAnsiTheme="majorBidi" w:cstheme="majorBidi"/>
          <w:sz w:val="24"/>
        </w:rPr>
        <w:t xml:space="preserve"> </w:t>
      </w:r>
      <w:r w:rsidR="007C56F7" w:rsidRPr="00254577">
        <w:rPr>
          <w:rFonts w:asciiTheme="majorBidi" w:hAnsiTheme="majorBidi" w:cstheme="majorBidi"/>
          <w:sz w:val="24"/>
        </w:rPr>
        <w:t>In asking this question, Foucault</w:t>
      </w:r>
      <w:r w:rsidR="00C56C28" w:rsidRPr="00254577">
        <w:rPr>
          <w:rFonts w:asciiTheme="majorBidi" w:hAnsiTheme="majorBidi" w:cstheme="majorBidi"/>
          <w:sz w:val="24"/>
        </w:rPr>
        <w:t xml:space="preserve"> </w:t>
      </w:r>
      <w:r w:rsidR="007C56F7" w:rsidRPr="00254577">
        <w:rPr>
          <w:rFonts w:asciiTheme="majorBidi" w:hAnsiTheme="majorBidi" w:cstheme="majorBidi"/>
          <w:sz w:val="24"/>
        </w:rPr>
        <w:t>directs the attention of an ethics of democracy to the features of contemporary democ</w:t>
      </w:r>
      <w:r w:rsidR="00C56C28" w:rsidRPr="00254577">
        <w:rPr>
          <w:rFonts w:asciiTheme="majorBidi" w:hAnsiTheme="majorBidi" w:cstheme="majorBidi"/>
          <w:sz w:val="24"/>
        </w:rPr>
        <w:t>ratic society that obstruct the practices</w:t>
      </w:r>
      <w:r w:rsidR="007C56F7" w:rsidRPr="00254577">
        <w:rPr>
          <w:rFonts w:asciiTheme="majorBidi" w:hAnsiTheme="majorBidi" w:cstheme="majorBidi"/>
          <w:sz w:val="24"/>
        </w:rPr>
        <w:t xml:space="preserve"> of </w:t>
      </w:r>
      <w:r w:rsidR="00FB6D04" w:rsidRPr="00254577">
        <w:rPr>
          <w:rFonts w:asciiTheme="majorBidi" w:hAnsiTheme="majorBidi" w:cstheme="majorBidi"/>
          <w:sz w:val="24"/>
        </w:rPr>
        <w:t xml:space="preserve">democratic </w:t>
      </w:r>
      <w:proofErr w:type="spellStart"/>
      <w:r w:rsidR="007C56F7" w:rsidRPr="00254577">
        <w:rPr>
          <w:rFonts w:asciiTheme="majorBidi" w:hAnsiTheme="majorBidi" w:cstheme="majorBidi"/>
          <w:i/>
          <w:iCs/>
          <w:sz w:val="24"/>
        </w:rPr>
        <w:t>parrhesia</w:t>
      </w:r>
      <w:proofErr w:type="spellEnd"/>
      <w:r w:rsidR="00FB6D04" w:rsidRPr="00254577">
        <w:rPr>
          <w:rFonts w:asciiTheme="majorBidi" w:hAnsiTheme="majorBidi" w:cstheme="majorBidi"/>
          <w:sz w:val="24"/>
        </w:rPr>
        <w:t xml:space="preserve"> t</w:t>
      </w:r>
      <w:r w:rsidR="004D3F1A" w:rsidRPr="00254577">
        <w:rPr>
          <w:rFonts w:asciiTheme="majorBidi" w:hAnsiTheme="majorBidi" w:cstheme="majorBidi"/>
          <w:sz w:val="24"/>
        </w:rPr>
        <w:t>hat are necessary for a democracy to sustain itself as way of political life</w:t>
      </w:r>
      <w:r w:rsidR="00FB26AA" w:rsidRPr="00254577">
        <w:rPr>
          <w:rFonts w:asciiTheme="majorBidi" w:hAnsiTheme="majorBidi" w:cstheme="majorBidi"/>
          <w:sz w:val="24"/>
        </w:rPr>
        <w:t>.</w:t>
      </w:r>
    </w:p>
    <w:p w:rsidR="006B2D04" w:rsidRDefault="006B2D04" w:rsidP="006B2D04">
      <w:pPr>
        <w:spacing w:line="360" w:lineRule="auto"/>
        <w:rPr>
          <w:rFonts w:asciiTheme="majorBidi" w:hAnsiTheme="majorBidi" w:cstheme="majorBidi"/>
          <w:sz w:val="24"/>
        </w:rPr>
      </w:pPr>
    </w:p>
    <w:p w:rsidR="006B2D04" w:rsidRPr="00C51F0A" w:rsidRDefault="006B2D04" w:rsidP="006B2D04">
      <w:pPr>
        <w:spacing w:line="360" w:lineRule="auto"/>
        <w:rPr>
          <w:rFonts w:asciiTheme="majorBidi" w:hAnsiTheme="majorBidi" w:cstheme="majorBidi"/>
          <w:i/>
          <w:iCs/>
          <w:sz w:val="24"/>
        </w:rPr>
      </w:pPr>
      <w:r w:rsidRPr="00C51F0A">
        <w:rPr>
          <w:rFonts w:asciiTheme="majorBidi" w:hAnsiTheme="majorBidi" w:cstheme="majorBidi"/>
          <w:i/>
          <w:iCs/>
          <w:sz w:val="24"/>
        </w:rPr>
        <w:lastRenderedPageBreak/>
        <w:t>Conclusion</w:t>
      </w:r>
    </w:p>
    <w:p w:rsidR="006B2D04" w:rsidRDefault="006B2D04" w:rsidP="004D3F1A">
      <w:pPr>
        <w:spacing w:line="360" w:lineRule="auto"/>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Th</w:t>
      </w:r>
      <w:r w:rsidR="004D3F1A">
        <w:rPr>
          <w:rFonts w:ascii="Times New Roman" w:eastAsia="Times New Roman" w:hAnsi="Times New Roman" w:cs="Times New Roman"/>
          <w:bCs/>
          <w:sz w:val="24"/>
          <w:szCs w:val="20"/>
          <w:lang w:eastAsia="en-US"/>
        </w:rPr>
        <w:t>ere is an important tradition of moral</w:t>
      </w:r>
      <w:r>
        <w:rPr>
          <w:rFonts w:ascii="Times New Roman" w:eastAsia="Times New Roman" w:hAnsi="Times New Roman" w:cs="Times New Roman"/>
          <w:bCs/>
          <w:sz w:val="24"/>
          <w:szCs w:val="20"/>
          <w:lang w:eastAsia="en-US"/>
        </w:rPr>
        <w:t xml:space="preserve"> perfectionis</w:t>
      </w:r>
      <w:r w:rsidR="004D3F1A">
        <w:rPr>
          <w:rFonts w:ascii="Times New Roman" w:eastAsia="Times New Roman" w:hAnsi="Times New Roman" w:cs="Times New Roman"/>
          <w:bCs/>
          <w:sz w:val="24"/>
          <w:szCs w:val="20"/>
          <w:lang w:eastAsia="en-US"/>
        </w:rPr>
        <w:t>m</w:t>
      </w:r>
      <w:r>
        <w:rPr>
          <w:rFonts w:ascii="Times New Roman" w:eastAsia="Times New Roman" w:hAnsi="Times New Roman" w:cs="Times New Roman"/>
          <w:bCs/>
          <w:sz w:val="24"/>
          <w:szCs w:val="20"/>
          <w:lang w:eastAsia="en-US"/>
        </w:rPr>
        <w:t xml:space="preserve"> in relation to modern democracy</w:t>
      </w:r>
      <w:r w:rsidR="004D3F1A">
        <w:rPr>
          <w:rFonts w:ascii="Times New Roman" w:eastAsia="Times New Roman" w:hAnsi="Times New Roman" w:cs="Times New Roman"/>
          <w:bCs/>
          <w:sz w:val="24"/>
          <w:szCs w:val="20"/>
          <w:lang w:eastAsia="en-US"/>
        </w:rPr>
        <w:t>. As James Conant notes</w:t>
      </w:r>
      <w:r>
        <w:rPr>
          <w:rFonts w:ascii="Times New Roman" w:eastAsia="Times New Roman" w:hAnsi="Times New Roman" w:cs="Times New Roman"/>
          <w:bCs/>
          <w:sz w:val="24"/>
          <w:szCs w:val="20"/>
          <w:lang w:eastAsia="en-US"/>
        </w:rPr>
        <w:t>:</w:t>
      </w:r>
    </w:p>
    <w:p w:rsidR="006B2D04" w:rsidRDefault="006B2D04" w:rsidP="004D3F1A">
      <w:pPr>
        <w:spacing w:line="360" w:lineRule="auto"/>
        <w:ind w:left="720"/>
        <w:rPr>
          <w:rFonts w:asciiTheme="majorBidi" w:hAnsiTheme="majorBidi" w:cstheme="majorBidi"/>
          <w:sz w:val="24"/>
        </w:rPr>
      </w:pPr>
      <w:r w:rsidRPr="00B85D05">
        <w:rPr>
          <w:rFonts w:asciiTheme="majorBidi" w:hAnsiTheme="majorBidi" w:cstheme="majorBidi"/>
          <w:sz w:val="24"/>
        </w:rPr>
        <w:t xml:space="preserve">Many a theorist of democracy has discerned within "the democratic movement" a tendency to suppress democracy's capacity for criticism from within - a pressure to collapse into (what de </w:t>
      </w:r>
      <w:proofErr w:type="spellStart"/>
      <w:r w:rsidRPr="00B85D05">
        <w:rPr>
          <w:rFonts w:asciiTheme="majorBidi" w:hAnsiTheme="majorBidi" w:cstheme="majorBidi"/>
          <w:sz w:val="24"/>
        </w:rPr>
        <w:t>Toqueville</w:t>
      </w:r>
      <w:proofErr w:type="spellEnd"/>
      <w:r w:rsidRPr="00B85D05">
        <w:rPr>
          <w:rFonts w:asciiTheme="majorBidi" w:hAnsiTheme="majorBidi" w:cstheme="majorBidi"/>
          <w:sz w:val="24"/>
        </w:rPr>
        <w:t xml:space="preserve"> called) "a tyranny of the majority." John Adams, </w:t>
      </w:r>
      <w:r w:rsidR="004D3F1A">
        <w:rPr>
          <w:rFonts w:asciiTheme="majorBidi" w:hAnsiTheme="majorBidi" w:cstheme="majorBidi"/>
          <w:sz w:val="24"/>
        </w:rPr>
        <w:t>Matthew Arnold, William James, T</w:t>
      </w:r>
      <w:r w:rsidRPr="00B85D05">
        <w:rPr>
          <w:rFonts w:asciiTheme="majorBidi" w:hAnsiTheme="majorBidi" w:cstheme="majorBidi"/>
          <w:sz w:val="24"/>
        </w:rPr>
        <w:t xml:space="preserve">homas Jefferson, Alexander Hamilton, John Stuart Mill, Alexis de </w:t>
      </w:r>
      <w:proofErr w:type="spellStart"/>
      <w:r w:rsidRPr="00B85D05">
        <w:rPr>
          <w:rFonts w:asciiTheme="majorBidi" w:hAnsiTheme="majorBidi" w:cstheme="majorBidi"/>
          <w:sz w:val="24"/>
        </w:rPr>
        <w:t>Toqueville</w:t>
      </w:r>
      <w:proofErr w:type="spellEnd"/>
      <w:r w:rsidRPr="00B85D05">
        <w:rPr>
          <w:rFonts w:asciiTheme="majorBidi" w:hAnsiTheme="majorBidi" w:cstheme="majorBidi"/>
          <w:sz w:val="24"/>
        </w:rPr>
        <w:t xml:space="preserve"> (not to mention Emerson and Thoreau) all dread that debasement of democracy that both Mill and Emerson refer to as "the despotism of conformity". There is a perfectionist strain within the tradition of democratic thought that takes it as a matter of urgent concern that the </w:t>
      </w:r>
      <w:proofErr w:type="spellStart"/>
      <w:r w:rsidRPr="00B85D05">
        <w:rPr>
          <w:rFonts w:asciiTheme="majorBidi" w:hAnsiTheme="majorBidi" w:cstheme="majorBidi"/>
          <w:sz w:val="24"/>
        </w:rPr>
        <w:t>antiperfectionist</w:t>
      </w:r>
      <w:proofErr w:type="spellEnd"/>
      <w:r w:rsidRPr="00B85D05">
        <w:rPr>
          <w:rFonts w:asciiTheme="majorBidi" w:hAnsiTheme="majorBidi" w:cstheme="majorBidi"/>
          <w:sz w:val="24"/>
        </w:rPr>
        <w:t xml:space="preserve"> tendencies latent within the democratic movement be kept from eroding democracy's resources for criticism from within - where the pressure of such criticism is taken to be essential to democracy's capacity to remain faithful to its own aspirations. Each of the theorists listed above emphasizes that democracy can flourish only if its citizens cultivate - rather than disdain - those virtues which were formerly the sole </w:t>
      </w:r>
      <w:proofErr w:type="spellStart"/>
      <w:r w:rsidRPr="00B85D05">
        <w:rPr>
          <w:rFonts w:asciiTheme="majorBidi" w:hAnsiTheme="majorBidi" w:cstheme="majorBidi"/>
          <w:sz w:val="24"/>
        </w:rPr>
        <w:t>perogative</w:t>
      </w:r>
      <w:proofErr w:type="spellEnd"/>
      <w:r w:rsidRPr="00B85D05">
        <w:rPr>
          <w:rFonts w:asciiTheme="majorBidi" w:hAnsiTheme="majorBidi" w:cstheme="majorBidi"/>
          <w:sz w:val="24"/>
        </w:rPr>
        <w:t xml:space="preserve"> of aristocracy (such as independence of mind, disregard for fashion, </w:t>
      </w:r>
      <w:proofErr w:type="spellStart"/>
      <w:r w:rsidRPr="00B85D05">
        <w:rPr>
          <w:rFonts w:asciiTheme="majorBidi" w:hAnsiTheme="majorBidi" w:cstheme="majorBidi"/>
          <w:sz w:val="24"/>
        </w:rPr>
        <w:t>eccentricty</w:t>
      </w:r>
      <w:proofErr w:type="spellEnd"/>
      <w:r w:rsidRPr="00B85D05">
        <w:rPr>
          <w:rFonts w:asciiTheme="majorBidi" w:hAnsiTheme="majorBidi" w:cstheme="majorBidi"/>
          <w:sz w:val="24"/>
        </w:rPr>
        <w:t xml:space="preserve"> of conduct).</w:t>
      </w:r>
      <w:r w:rsidR="004D3F1A">
        <w:rPr>
          <w:rStyle w:val="FootnoteReference"/>
          <w:rFonts w:asciiTheme="majorBidi" w:hAnsiTheme="majorBidi" w:cstheme="majorBidi"/>
          <w:sz w:val="24"/>
        </w:rPr>
        <w:footnoteReference w:id="47"/>
      </w:r>
      <w:r w:rsidRPr="00B85D05">
        <w:rPr>
          <w:rFonts w:asciiTheme="majorBidi" w:hAnsiTheme="majorBidi" w:cstheme="majorBidi"/>
          <w:sz w:val="24"/>
        </w:rPr>
        <w:t xml:space="preserve"> </w:t>
      </w:r>
    </w:p>
    <w:p w:rsidR="001D208E" w:rsidRDefault="004D3F1A" w:rsidP="001D208E">
      <w:pPr>
        <w:spacing w:line="360" w:lineRule="auto"/>
        <w:rPr>
          <w:rFonts w:asciiTheme="majorBidi" w:hAnsiTheme="majorBidi" w:cstheme="majorBidi"/>
          <w:sz w:val="24"/>
        </w:rPr>
      </w:pPr>
      <w:r>
        <w:rPr>
          <w:rFonts w:asciiTheme="majorBidi" w:hAnsiTheme="majorBidi" w:cstheme="majorBidi"/>
          <w:sz w:val="24"/>
        </w:rPr>
        <w:t xml:space="preserve">What is notable about this tradition, within which Cavell writes and which he extends, is that it sustains a form of relation to self and others that Foucault characterises as the ethics of care of the self and which offers a counter to the </w:t>
      </w:r>
      <w:proofErr w:type="spellStart"/>
      <w:r>
        <w:rPr>
          <w:rFonts w:asciiTheme="majorBidi" w:hAnsiTheme="majorBidi" w:cstheme="majorBidi"/>
          <w:sz w:val="24"/>
        </w:rPr>
        <w:t>biopolitical</w:t>
      </w:r>
      <w:proofErr w:type="spellEnd"/>
      <w:r>
        <w:rPr>
          <w:rFonts w:asciiTheme="majorBidi" w:hAnsiTheme="majorBidi" w:cstheme="majorBidi"/>
          <w:sz w:val="24"/>
        </w:rPr>
        <w:t xml:space="preserve"> mode of government of self and others that Foucault takes to be dominant in contemporary society.</w:t>
      </w:r>
      <w:r w:rsidR="00C56C28">
        <w:rPr>
          <w:rFonts w:asciiTheme="majorBidi" w:hAnsiTheme="majorBidi" w:cstheme="majorBidi"/>
          <w:sz w:val="24"/>
        </w:rPr>
        <w:t xml:space="preserve"> </w:t>
      </w:r>
      <w:r w:rsidR="00C23E0A">
        <w:rPr>
          <w:rFonts w:asciiTheme="majorBidi" w:hAnsiTheme="majorBidi" w:cstheme="majorBidi"/>
          <w:sz w:val="24"/>
        </w:rPr>
        <w:t>In other words, c</w:t>
      </w:r>
      <w:r w:rsidR="00C23E0A" w:rsidRPr="00C23E0A">
        <w:rPr>
          <w:rFonts w:asciiTheme="majorBidi" w:hAnsiTheme="majorBidi" w:cstheme="majorBidi"/>
          <w:sz w:val="24"/>
        </w:rPr>
        <w:t>ontemporary democratic governance is distinguished from cl</w:t>
      </w:r>
      <w:r w:rsidR="00A50699">
        <w:rPr>
          <w:rFonts w:asciiTheme="majorBidi" w:hAnsiTheme="majorBidi" w:cstheme="majorBidi"/>
          <w:sz w:val="24"/>
        </w:rPr>
        <w:t>assical democracy not merely by</w:t>
      </w:r>
      <w:r w:rsidR="00C23E0A" w:rsidRPr="00C23E0A">
        <w:rPr>
          <w:rFonts w:asciiTheme="majorBidi" w:hAnsiTheme="majorBidi" w:cstheme="majorBidi"/>
          <w:sz w:val="24"/>
        </w:rPr>
        <w:t xml:space="preserve"> its </w:t>
      </w:r>
      <w:r w:rsidR="00C23E0A">
        <w:rPr>
          <w:rFonts w:asciiTheme="majorBidi" w:hAnsiTheme="majorBidi" w:cstheme="majorBidi"/>
          <w:sz w:val="24"/>
        </w:rPr>
        <w:t>structural features</w:t>
      </w:r>
      <w:r w:rsidR="00C23E0A" w:rsidRPr="00C23E0A">
        <w:rPr>
          <w:rFonts w:asciiTheme="majorBidi" w:hAnsiTheme="majorBidi" w:cstheme="majorBidi"/>
          <w:sz w:val="24"/>
        </w:rPr>
        <w:t xml:space="preserve"> but also by its mode of </w:t>
      </w:r>
      <w:proofErr w:type="spellStart"/>
      <w:r w:rsidR="00C23E0A" w:rsidRPr="00C23E0A">
        <w:rPr>
          <w:rFonts w:asciiTheme="majorBidi" w:hAnsiTheme="majorBidi" w:cstheme="majorBidi"/>
          <w:sz w:val="24"/>
        </w:rPr>
        <w:t>governmentality</w:t>
      </w:r>
      <w:proofErr w:type="spellEnd"/>
      <w:r w:rsidR="00C23E0A" w:rsidRPr="00C23E0A">
        <w:rPr>
          <w:rFonts w:asciiTheme="majorBidi" w:hAnsiTheme="majorBidi" w:cstheme="majorBidi"/>
          <w:sz w:val="24"/>
        </w:rPr>
        <w:t xml:space="preserve">. In providing an account of democratic </w:t>
      </w:r>
      <w:proofErr w:type="spellStart"/>
      <w:r w:rsidR="00C23E0A" w:rsidRPr="00C23E0A">
        <w:rPr>
          <w:rFonts w:asciiTheme="majorBidi" w:hAnsiTheme="majorBidi" w:cstheme="majorBidi"/>
          <w:sz w:val="24"/>
        </w:rPr>
        <w:t>parrhesia</w:t>
      </w:r>
      <w:proofErr w:type="spellEnd"/>
      <w:r w:rsidR="00C23E0A" w:rsidRPr="00C23E0A">
        <w:rPr>
          <w:rFonts w:asciiTheme="majorBidi" w:hAnsiTheme="majorBidi" w:cstheme="majorBidi"/>
          <w:sz w:val="24"/>
        </w:rPr>
        <w:t xml:space="preserve"> as an expression of an ethics of care of the self, </w:t>
      </w:r>
      <w:r w:rsidR="001D208E">
        <w:rPr>
          <w:rFonts w:asciiTheme="majorBidi" w:hAnsiTheme="majorBidi" w:cstheme="majorBidi"/>
          <w:sz w:val="24"/>
        </w:rPr>
        <w:t>Foucault is making visible</w:t>
      </w:r>
      <w:r w:rsidR="00C23E0A" w:rsidRPr="00C23E0A">
        <w:rPr>
          <w:rFonts w:asciiTheme="majorBidi" w:hAnsiTheme="majorBidi" w:cstheme="majorBidi"/>
          <w:sz w:val="24"/>
        </w:rPr>
        <w:t xml:space="preserve">, and taking sides in, the contest between the ways of conceiving the relations of subjectivity, truth and power exhibited in democratic </w:t>
      </w:r>
      <w:proofErr w:type="spellStart"/>
      <w:r w:rsidR="00C23E0A" w:rsidRPr="00C23E0A">
        <w:rPr>
          <w:rFonts w:asciiTheme="majorBidi" w:hAnsiTheme="majorBidi" w:cstheme="majorBidi"/>
          <w:i/>
          <w:iCs/>
          <w:sz w:val="24"/>
        </w:rPr>
        <w:t>parrhesia</w:t>
      </w:r>
      <w:proofErr w:type="spellEnd"/>
      <w:r w:rsidR="00C23E0A" w:rsidRPr="00C23E0A">
        <w:rPr>
          <w:rFonts w:asciiTheme="majorBidi" w:hAnsiTheme="majorBidi" w:cstheme="majorBidi"/>
          <w:sz w:val="24"/>
        </w:rPr>
        <w:t xml:space="preserve"> and the power of experts legitimated in and through the </w:t>
      </w:r>
      <w:proofErr w:type="spellStart"/>
      <w:r w:rsidR="00C23E0A" w:rsidRPr="00C23E0A">
        <w:rPr>
          <w:rFonts w:asciiTheme="majorBidi" w:hAnsiTheme="majorBidi" w:cstheme="majorBidi"/>
          <w:sz w:val="24"/>
        </w:rPr>
        <w:t>biopolitical</w:t>
      </w:r>
      <w:proofErr w:type="spellEnd"/>
      <w:r w:rsidR="00C23E0A" w:rsidRPr="00C23E0A">
        <w:rPr>
          <w:rFonts w:asciiTheme="majorBidi" w:hAnsiTheme="majorBidi" w:cstheme="majorBidi"/>
          <w:sz w:val="24"/>
        </w:rPr>
        <w:t xml:space="preserve"> matrix. </w:t>
      </w:r>
    </w:p>
    <w:p w:rsidR="001D208E" w:rsidRDefault="001D208E" w:rsidP="001D208E">
      <w:pPr>
        <w:spacing w:line="360" w:lineRule="auto"/>
        <w:rPr>
          <w:rFonts w:asciiTheme="majorBidi" w:hAnsiTheme="majorBidi" w:cstheme="majorBidi"/>
          <w:sz w:val="24"/>
        </w:rPr>
      </w:pPr>
    </w:p>
    <w:p w:rsidR="00530283" w:rsidRDefault="00C23E0A" w:rsidP="00B3456A">
      <w:pPr>
        <w:spacing w:line="360" w:lineRule="auto"/>
        <w:rPr>
          <w:rFonts w:asciiTheme="majorBidi" w:hAnsiTheme="majorBidi" w:cstheme="majorBidi"/>
          <w:sz w:val="24"/>
        </w:rPr>
      </w:pPr>
      <w:r>
        <w:rPr>
          <w:rFonts w:asciiTheme="majorBidi" w:hAnsiTheme="majorBidi" w:cstheme="majorBidi"/>
          <w:sz w:val="24"/>
        </w:rPr>
        <w:lastRenderedPageBreak/>
        <w:t>In bringing the work of Cavell into dialogue with Foucault’s reflections, we have sought to show how their investigations complement each</w:t>
      </w:r>
      <w:r w:rsidR="001D208E">
        <w:rPr>
          <w:rFonts w:asciiTheme="majorBidi" w:hAnsiTheme="majorBidi" w:cstheme="majorBidi"/>
          <w:sz w:val="24"/>
        </w:rPr>
        <w:t xml:space="preserve"> </w:t>
      </w:r>
      <w:r>
        <w:rPr>
          <w:rFonts w:asciiTheme="majorBidi" w:hAnsiTheme="majorBidi" w:cstheme="majorBidi"/>
          <w:sz w:val="24"/>
        </w:rPr>
        <w:t xml:space="preserve">other and </w:t>
      </w:r>
      <w:r w:rsidR="001D208E">
        <w:rPr>
          <w:rFonts w:asciiTheme="majorBidi" w:hAnsiTheme="majorBidi" w:cstheme="majorBidi"/>
          <w:sz w:val="24"/>
        </w:rPr>
        <w:t xml:space="preserve">jointly </w:t>
      </w:r>
      <w:r>
        <w:rPr>
          <w:rFonts w:asciiTheme="majorBidi" w:hAnsiTheme="majorBidi" w:cstheme="majorBidi"/>
          <w:sz w:val="24"/>
        </w:rPr>
        <w:t>provide the resources for articulating an approach to an ethics of</w:t>
      </w:r>
      <w:r w:rsidR="001D208E">
        <w:rPr>
          <w:rFonts w:asciiTheme="majorBidi" w:hAnsiTheme="majorBidi" w:cstheme="majorBidi"/>
          <w:sz w:val="24"/>
        </w:rPr>
        <w:t xml:space="preserve"> democracy </w:t>
      </w:r>
      <w:r w:rsidR="006660F6">
        <w:rPr>
          <w:rFonts w:asciiTheme="majorBidi" w:hAnsiTheme="majorBidi" w:cstheme="majorBidi"/>
          <w:sz w:val="24"/>
        </w:rPr>
        <w:t>which</w:t>
      </w:r>
      <w:r w:rsidR="001D208E">
        <w:rPr>
          <w:rFonts w:asciiTheme="majorBidi" w:hAnsiTheme="majorBidi" w:cstheme="majorBidi"/>
          <w:sz w:val="24"/>
        </w:rPr>
        <w:t xml:space="preserve"> avoids the dangers of</w:t>
      </w:r>
      <w:r>
        <w:rPr>
          <w:rFonts w:asciiTheme="majorBidi" w:hAnsiTheme="majorBidi" w:cstheme="majorBidi"/>
          <w:sz w:val="24"/>
        </w:rPr>
        <w:t xml:space="preserve"> </w:t>
      </w:r>
      <w:r w:rsidR="001D208E">
        <w:rPr>
          <w:rFonts w:asciiTheme="majorBidi" w:hAnsiTheme="majorBidi" w:cstheme="majorBidi"/>
          <w:sz w:val="24"/>
        </w:rPr>
        <w:t xml:space="preserve">an exclusive focus on problems of </w:t>
      </w:r>
      <w:proofErr w:type="spellStart"/>
      <w:r w:rsidR="001D208E">
        <w:rPr>
          <w:rFonts w:asciiTheme="majorBidi" w:hAnsiTheme="majorBidi" w:cstheme="majorBidi"/>
          <w:i/>
          <w:iCs/>
          <w:sz w:val="24"/>
        </w:rPr>
        <w:t>politeia</w:t>
      </w:r>
      <w:proofErr w:type="spellEnd"/>
      <w:r w:rsidR="001D208E">
        <w:rPr>
          <w:rFonts w:asciiTheme="majorBidi" w:hAnsiTheme="majorBidi" w:cstheme="majorBidi"/>
          <w:sz w:val="24"/>
        </w:rPr>
        <w:t xml:space="preserve"> at the expense of </w:t>
      </w:r>
      <w:proofErr w:type="spellStart"/>
      <w:r w:rsidR="001D208E">
        <w:rPr>
          <w:rFonts w:asciiTheme="majorBidi" w:hAnsiTheme="majorBidi" w:cstheme="majorBidi"/>
          <w:i/>
          <w:iCs/>
          <w:sz w:val="24"/>
        </w:rPr>
        <w:t>dunasteia</w:t>
      </w:r>
      <w:proofErr w:type="spellEnd"/>
      <w:r w:rsidR="001D208E">
        <w:rPr>
          <w:rFonts w:asciiTheme="majorBidi" w:hAnsiTheme="majorBidi" w:cstheme="majorBidi"/>
          <w:sz w:val="24"/>
        </w:rPr>
        <w:t xml:space="preserve"> without addressing this limitation through recourse to ‘</w:t>
      </w:r>
      <w:r w:rsidR="001D208E" w:rsidRPr="001D208E">
        <w:rPr>
          <w:rFonts w:asciiTheme="majorBidi" w:hAnsiTheme="majorBidi" w:cstheme="majorBidi"/>
          <w:sz w:val="24"/>
        </w:rPr>
        <w:t>so-called scientific knowledge of what the self is, what desire is, wh</w:t>
      </w:r>
      <w:r w:rsidR="00B3456A">
        <w:rPr>
          <w:rFonts w:asciiTheme="majorBidi" w:hAnsiTheme="majorBidi" w:cstheme="majorBidi"/>
          <w:sz w:val="24"/>
        </w:rPr>
        <w:t xml:space="preserve">at the unconscious is, and </w:t>
      </w:r>
      <w:r w:rsidR="00B3456A" w:rsidRPr="00FD2472">
        <w:rPr>
          <w:rFonts w:asciiTheme="majorBidi" w:hAnsiTheme="majorBidi" w:cstheme="majorBidi"/>
          <w:sz w:val="24"/>
          <w:highlight w:val="yellow"/>
        </w:rPr>
        <w:t>so on.’</w:t>
      </w:r>
      <w:r w:rsidR="00A50699">
        <w:rPr>
          <w:rFonts w:asciiTheme="majorBidi" w:hAnsiTheme="majorBidi" w:cstheme="majorBidi"/>
          <w:sz w:val="24"/>
        </w:rPr>
        <w:t xml:space="preserve"> </w:t>
      </w:r>
      <w:r w:rsidR="00CB6825">
        <w:rPr>
          <w:rFonts w:asciiTheme="majorBidi" w:hAnsiTheme="majorBidi" w:cstheme="majorBidi"/>
          <w:sz w:val="24"/>
        </w:rPr>
        <w:t xml:space="preserve">In doing this we have suggested that taken together, the work of Foucault and Cavell is of use to us today, elaborating how the </w:t>
      </w:r>
      <w:proofErr w:type="spellStart"/>
      <w:r w:rsidR="00CB6825">
        <w:rPr>
          <w:rFonts w:asciiTheme="majorBidi" w:hAnsiTheme="majorBidi" w:cstheme="majorBidi"/>
          <w:sz w:val="24"/>
        </w:rPr>
        <w:t>Foucauldian</w:t>
      </w:r>
      <w:proofErr w:type="spellEnd"/>
      <w:r w:rsidR="00CB6825">
        <w:rPr>
          <w:rFonts w:asciiTheme="majorBidi" w:hAnsiTheme="majorBidi" w:cstheme="majorBidi"/>
          <w:sz w:val="24"/>
        </w:rPr>
        <w:t xml:space="preserve"> concepts of </w:t>
      </w:r>
      <w:proofErr w:type="spellStart"/>
      <w:r w:rsidR="00CB6825">
        <w:rPr>
          <w:rFonts w:asciiTheme="majorBidi" w:hAnsiTheme="majorBidi" w:cstheme="majorBidi"/>
          <w:i/>
          <w:sz w:val="24"/>
        </w:rPr>
        <w:t>parrhesia</w:t>
      </w:r>
      <w:proofErr w:type="spellEnd"/>
      <w:r w:rsidR="00CB6825">
        <w:rPr>
          <w:rFonts w:asciiTheme="majorBidi" w:hAnsiTheme="majorBidi" w:cstheme="majorBidi"/>
          <w:i/>
          <w:sz w:val="24"/>
        </w:rPr>
        <w:t xml:space="preserve"> </w:t>
      </w:r>
      <w:r w:rsidR="00CB6825">
        <w:rPr>
          <w:rFonts w:asciiTheme="majorBidi" w:hAnsiTheme="majorBidi" w:cstheme="majorBidi"/>
          <w:sz w:val="24"/>
        </w:rPr>
        <w:t xml:space="preserve">and care of the self are of ethical significance </w:t>
      </w:r>
      <w:r w:rsidR="008051B4">
        <w:rPr>
          <w:rFonts w:asciiTheme="majorBidi" w:hAnsiTheme="majorBidi" w:cstheme="majorBidi"/>
          <w:sz w:val="24"/>
        </w:rPr>
        <w:t xml:space="preserve">for us </w:t>
      </w:r>
      <w:r w:rsidR="00CB6825">
        <w:rPr>
          <w:rFonts w:asciiTheme="majorBidi" w:hAnsiTheme="majorBidi" w:cstheme="majorBidi"/>
          <w:sz w:val="24"/>
        </w:rPr>
        <w:t>in the deepening and strengthening of everyday democratic life. Finally, we have used Cavell to underline the pressing need that emerges from Foucault’s work, for an ethics of democracy that incorporates consideration of the conditions and stakes of such democracy in the future.</w:t>
      </w:r>
    </w:p>
    <w:p w:rsidR="00CB6825" w:rsidRPr="00CB6825" w:rsidRDefault="00CB6825" w:rsidP="00B3456A">
      <w:pPr>
        <w:spacing w:line="360" w:lineRule="auto"/>
        <w:rPr>
          <w:rFonts w:asciiTheme="majorBidi" w:hAnsiTheme="majorBidi" w:cstheme="majorBidi"/>
          <w:sz w:val="24"/>
        </w:rPr>
      </w:pPr>
    </w:p>
    <w:p w:rsidR="00530283" w:rsidRDefault="00530283" w:rsidP="00B3456A">
      <w:pPr>
        <w:spacing w:line="360" w:lineRule="auto"/>
        <w:rPr>
          <w:rFonts w:asciiTheme="majorBidi" w:hAnsiTheme="majorBidi" w:cstheme="majorBidi"/>
          <w:sz w:val="24"/>
        </w:rPr>
      </w:pPr>
    </w:p>
    <w:p w:rsidR="00530283" w:rsidRDefault="00530283" w:rsidP="00B3456A">
      <w:pPr>
        <w:spacing w:line="360" w:lineRule="auto"/>
        <w:rPr>
          <w:rFonts w:asciiTheme="majorBidi" w:hAnsiTheme="majorBidi" w:cstheme="majorBidi"/>
          <w:sz w:val="24"/>
        </w:rPr>
      </w:pPr>
    </w:p>
    <w:p w:rsidR="00530283" w:rsidRDefault="00530283" w:rsidP="00B3456A">
      <w:pPr>
        <w:spacing w:line="360" w:lineRule="auto"/>
        <w:rPr>
          <w:rFonts w:asciiTheme="majorBidi" w:hAnsiTheme="majorBidi" w:cstheme="majorBidi"/>
          <w:sz w:val="24"/>
        </w:rPr>
      </w:pPr>
    </w:p>
    <w:p w:rsidR="00FE79BD" w:rsidRDefault="00FE79BD" w:rsidP="00B3456A">
      <w:pPr>
        <w:spacing w:line="360" w:lineRule="auto"/>
        <w:rPr>
          <w:rFonts w:asciiTheme="majorBidi" w:hAnsiTheme="majorBidi" w:cstheme="majorBidi"/>
          <w:sz w:val="24"/>
        </w:rPr>
      </w:pPr>
    </w:p>
    <w:p w:rsidR="003D7AA9" w:rsidRDefault="003D7AA9">
      <w:pPr>
        <w:rPr>
          <w:rFonts w:asciiTheme="majorBidi" w:hAnsiTheme="majorBidi" w:cstheme="majorBidi"/>
          <w:sz w:val="24"/>
        </w:rPr>
      </w:pPr>
      <w:r>
        <w:rPr>
          <w:rFonts w:asciiTheme="majorBidi" w:hAnsiTheme="majorBidi" w:cstheme="majorBidi"/>
          <w:sz w:val="24"/>
        </w:rPr>
        <w:br w:type="page"/>
      </w:r>
    </w:p>
    <w:p w:rsidR="003D7AA9" w:rsidRPr="003D7AA9" w:rsidRDefault="003D7AA9" w:rsidP="003D7AA9">
      <w:pPr>
        <w:spacing w:after="0" w:line="360" w:lineRule="auto"/>
        <w:rPr>
          <w:rFonts w:ascii="Times New Roman" w:eastAsia="SimSun" w:hAnsi="Times New Roman" w:cs="Times New Roman"/>
          <w:b/>
          <w:bCs/>
          <w:i/>
          <w:iCs/>
          <w:sz w:val="24"/>
          <w:szCs w:val="24"/>
        </w:rPr>
      </w:pPr>
      <w:r w:rsidRPr="003D7AA9">
        <w:rPr>
          <w:rFonts w:ascii="Times New Roman" w:eastAsia="SimSun" w:hAnsi="Times New Roman" w:cs="Times New Roman"/>
          <w:b/>
          <w:bCs/>
          <w:i/>
          <w:iCs/>
          <w:sz w:val="24"/>
          <w:szCs w:val="24"/>
        </w:rPr>
        <w:lastRenderedPageBreak/>
        <w:t>Bibliography</w:t>
      </w:r>
    </w:p>
    <w:p w:rsidR="003D7AA9" w:rsidRPr="003D7AA9" w:rsidRDefault="003D7AA9" w:rsidP="003D7AA9">
      <w:pPr>
        <w:spacing w:after="0" w:line="360" w:lineRule="auto"/>
        <w:rPr>
          <w:rFonts w:ascii="Times New Roman" w:eastAsia="SimSun" w:hAnsi="Times New Roman" w:cs="Times New Roman"/>
          <w:sz w:val="24"/>
          <w:szCs w:val="24"/>
        </w:rPr>
      </w:pPr>
    </w:p>
    <w:p w:rsidR="003D7AA9" w:rsidRPr="003D7AA9" w:rsidRDefault="003D7AA9" w:rsidP="003D7AA9">
      <w:pPr>
        <w:spacing w:after="0" w:line="360" w:lineRule="auto"/>
        <w:rPr>
          <w:rFonts w:ascii="Times New Roman" w:eastAsia="Times New Roman" w:hAnsi="Times New Roman" w:cs="Arial"/>
          <w:kern w:val="32"/>
          <w:sz w:val="24"/>
          <w:szCs w:val="24"/>
          <w:lang w:eastAsia="en-GB"/>
        </w:rPr>
      </w:pPr>
      <w:r w:rsidRPr="003D7AA9">
        <w:rPr>
          <w:rFonts w:ascii="Times New Roman" w:eastAsia="Times New Roman" w:hAnsi="Times New Roman" w:cs="Times New Roman"/>
          <w:b/>
          <w:sz w:val="24"/>
          <w:szCs w:val="24"/>
          <w:lang w:eastAsia="en-GB"/>
        </w:rPr>
        <w:t>Cavell, S.</w:t>
      </w:r>
      <w:r w:rsidRPr="003D7AA9">
        <w:rPr>
          <w:rFonts w:ascii="Times New Roman" w:eastAsia="Times New Roman" w:hAnsi="Times New Roman" w:cs="Arial"/>
          <w:kern w:val="32"/>
          <w:sz w:val="24"/>
          <w:szCs w:val="24"/>
          <w:lang w:eastAsia="en-GB"/>
        </w:rPr>
        <w:t xml:space="preserve"> (1981)</w:t>
      </w:r>
      <w:r w:rsidRPr="003D7AA9">
        <w:rPr>
          <w:rFonts w:ascii="Times New Roman" w:eastAsia="Times New Roman" w:hAnsi="Times New Roman" w:cs="Arial"/>
          <w:b/>
          <w:bCs/>
          <w:kern w:val="32"/>
          <w:sz w:val="24"/>
          <w:szCs w:val="24"/>
          <w:lang w:eastAsia="en-GB"/>
        </w:rPr>
        <w:t xml:space="preserve"> </w:t>
      </w:r>
      <w:r w:rsidRPr="003D7AA9">
        <w:rPr>
          <w:rFonts w:ascii="Times New Roman" w:eastAsia="Times New Roman" w:hAnsi="Times New Roman" w:cs="Times New Roman"/>
          <w:i/>
          <w:sz w:val="24"/>
          <w:szCs w:val="24"/>
          <w:lang w:eastAsia="en-GB"/>
        </w:rPr>
        <w:t>Pursuits of Happiness: The Hollywood Comedy of Remarriage</w:t>
      </w:r>
      <w:r w:rsidRPr="003D7AA9">
        <w:rPr>
          <w:rFonts w:ascii="Times New Roman" w:eastAsia="Times New Roman" w:hAnsi="Times New Roman" w:cs="Times New Roman"/>
          <w:sz w:val="24"/>
          <w:szCs w:val="24"/>
          <w:lang w:eastAsia="en-GB"/>
        </w:rPr>
        <w:t>,</w:t>
      </w:r>
      <w:r w:rsidRPr="003D7AA9">
        <w:rPr>
          <w:rFonts w:ascii="Times New Roman" w:eastAsia="Times New Roman" w:hAnsi="Times New Roman" w:cs="Arial"/>
          <w:b/>
          <w:bCs/>
          <w:kern w:val="32"/>
          <w:sz w:val="24"/>
          <w:szCs w:val="24"/>
          <w:lang w:eastAsia="en-GB"/>
        </w:rPr>
        <w:t xml:space="preserve"> </w:t>
      </w:r>
      <w:r w:rsidRPr="003D7AA9">
        <w:rPr>
          <w:rFonts w:ascii="Times New Roman" w:eastAsia="Times New Roman" w:hAnsi="Times New Roman" w:cs="Arial"/>
          <w:kern w:val="32"/>
          <w:sz w:val="24"/>
          <w:szCs w:val="24"/>
          <w:lang w:eastAsia="en-GB"/>
        </w:rPr>
        <w:t>Cambridge, MA: Harvard University Press</w:t>
      </w:r>
    </w:p>
    <w:p w:rsidR="003D7AA9" w:rsidRPr="003D7AA9" w:rsidRDefault="003D7AA9" w:rsidP="003D7AA9">
      <w:pPr>
        <w:spacing w:after="0" w:line="360" w:lineRule="auto"/>
        <w:rPr>
          <w:rFonts w:ascii="Times New Roman" w:eastAsia="Times New Roman" w:hAnsi="Times New Roman" w:cs="Times New Roman"/>
          <w:sz w:val="24"/>
          <w:szCs w:val="24"/>
          <w:lang w:eastAsia="en-GB"/>
        </w:rPr>
      </w:pPr>
      <w:r w:rsidRPr="003D7AA9">
        <w:rPr>
          <w:rFonts w:ascii="Times New Roman" w:eastAsia="Times New Roman" w:hAnsi="Times New Roman" w:cs="Times New Roman"/>
          <w:b/>
          <w:sz w:val="24"/>
          <w:szCs w:val="24"/>
          <w:lang w:eastAsia="en-GB"/>
        </w:rPr>
        <w:t>Cavell, S.</w:t>
      </w:r>
      <w:r w:rsidRPr="003D7AA9">
        <w:rPr>
          <w:rFonts w:ascii="Times New Roman" w:eastAsia="Times New Roman" w:hAnsi="Times New Roman" w:cs="Times New Roman"/>
          <w:sz w:val="24"/>
          <w:szCs w:val="24"/>
          <w:lang w:eastAsia="en-GB"/>
        </w:rPr>
        <w:t xml:space="preserve"> (1990) </w:t>
      </w:r>
      <w:r w:rsidRPr="003D7AA9">
        <w:rPr>
          <w:rFonts w:ascii="Times New Roman" w:eastAsia="Times New Roman" w:hAnsi="Times New Roman" w:cs="Times New Roman"/>
          <w:i/>
          <w:sz w:val="24"/>
          <w:szCs w:val="24"/>
          <w:lang w:eastAsia="en-GB"/>
        </w:rPr>
        <w:t xml:space="preserve">Conditions Handsome and Unhandsome: The Constitution of </w:t>
      </w:r>
      <w:proofErr w:type="spellStart"/>
      <w:r w:rsidRPr="003D7AA9">
        <w:rPr>
          <w:rFonts w:ascii="Times New Roman" w:eastAsia="Times New Roman" w:hAnsi="Times New Roman" w:cs="Times New Roman"/>
          <w:i/>
          <w:sz w:val="24"/>
          <w:szCs w:val="24"/>
          <w:lang w:eastAsia="en-GB"/>
        </w:rPr>
        <w:t>Emersonian</w:t>
      </w:r>
      <w:proofErr w:type="spellEnd"/>
      <w:r w:rsidRPr="003D7AA9">
        <w:rPr>
          <w:rFonts w:ascii="Times New Roman" w:eastAsia="Times New Roman" w:hAnsi="Times New Roman" w:cs="Times New Roman"/>
          <w:i/>
          <w:sz w:val="24"/>
          <w:szCs w:val="24"/>
          <w:lang w:eastAsia="en-GB"/>
        </w:rPr>
        <w:t xml:space="preserve"> Perfectionism,</w:t>
      </w:r>
      <w:r w:rsidRPr="003D7AA9">
        <w:rPr>
          <w:rFonts w:ascii="Times New Roman" w:eastAsia="Times New Roman" w:hAnsi="Times New Roman" w:cs="Times New Roman"/>
          <w:sz w:val="24"/>
          <w:szCs w:val="24"/>
          <w:lang w:eastAsia="en-GB"/>
        </w:rPr>
        <w:t xml:space="preserve"> Chicago and London: University of Chicago Press</w:t>
      </w:r>
    </w:p>
    <w:p w:rsidR="003D7AA9" w:rsidRPr="003D7AA9" w:rsidRDefault="003D7AA9" w:rsidP="003D7AA9">
      <w:pPr>
        <w:spacing w:after="0" w:line="360" w:lineRule="auto"/>
        <w:rPr>
          <w:rFonts w:ascii="Times New Roman" w:eastAsia="Times New Roman" w:hAnsi="Times New Roman" w:cs="Times New Roman"/>
          <w:sz w:val="24"/>
          <w:szCs w:val="24"/>
          <w:lang w:eastAsia="en-GB"/>
        </w:rPr>
      </w:pPr>
      <w:r w:rsidRPr="003D7AA9">
        <w:rPr>
          <w:rFonts w:ascii="Times New Roman" w:eastAsia="Times New Roman" w:hAnsi="Times New Roman" w:cs="Times New Roman"/>
          <w:b/>
          <w:sz w:val="24"/>
          <w:szCs w:val="24"/>
          <w:lang w:eastAsia="en-GB"/>
        </w:rPr>
        <w:t>Cavell, S.</w:t>
      </w:r>
      <w:r w:rsidRPr="003D7AA9">
        <w:rPr>
          <w:rFonts w:ascii="Times New Roman" w:eastAsia="Times New Roman" w:hAnsi="Times New Roman" w:cs="Times New Roman"/>
          <w:sz w:val="24"/>
          <w:szCs w:val="24"/>
          <w:lang w:eastAsia="en-GB"/>
        </w:rPr>
        <w:t xml:space="preserve"> (2</w:t>
      </w:r>
      <w:bookmarkStart w:id="0" w:name="_GoBack"/>
      <w:bookmarkEnd w:id="0"/>
      <w:r w:rsidRPr="003D7AA9">
        <w:rPr>
          <w:rFonts w:ascii="Times New Roman" w:eastAsia="Times New Roman" w:hAnsi="Times New Roman" w:cs="Times New Roman"/>
          <w:sz w:val="24"/>
          <w:szCs w:val="24"/>
          <w:lang w:eastAsia="en-GB"/>
        </w:rPr>
        <w:t xml:space="preserve">004) </w:t>
      </w:r>
      <w:r w:rsidRPr="003D7AA9">
        <w:rPr>
          <w:rFonts w:ascii="Times New Roman" w:eastAsia="Times New Roman" w:hAnsi="Times New Roman" w:cs="Times New Roman"/>
          <w:i/>
          <w:sz w:val="24"/>
          <w:szCs w:val="24"/>
          <w:lang w:eastAsia="en-GB"/>
        </w:rPr>
        <w:t>‘Cities of Words’,</w:t>
      </w:r>
      <w:r w:rsidRPr="003D7AA9">
        <w:rPr>
          <w:rFonts w:ascii="Times New Roman" w:eastAsia="Times New Roman" w:hAnsi="Times New Roman" w:cs="Times New Roman"/>
          <w:sz w:val="24"/>
          <w:szCs w:val="24"/>
          <w:lang w:eastAsia="en-GB"/>
        </w:rPr>
        <w:t xml:space="preserve"> Cambridge, MA: </w:t>
      </w:r>
      <w:proofErr w:type="spellStart"/>
      <w:r w:rsidRPr="003D7AA9">
        <w:rPr>
          <w:rFonts w:ascii="Times New Roman" w:eastAsia="Times New Roman" w:hAnsi="Times New Roman" w:cs="Times New Roman"/>
          <w:sz w:val="24"/>
          <w:szCs w:val="24"/>
          <w:lang w:eastAsia="en-GB"/>
        </w:rPr>
        <w:t>Belknap</w:t>
      </w:r>
      <w:proofErr w:type="spellEnd"/>
      <w:r w:rsidRPr="003D7AA9">
        <w:rPr>
          <w:rFonts w:ascii="Times New Roman" w:eastAsia="Times New Roman" w:hAnsi="Times New Roman" w:cs="Times New Roman"/>
          <w:sz w:val="24"/>
          <w:szCs w:val="24"/>
          <w:lang w:eastAsia="en-GB"/>
        </w:rPr>
        <w:t xml:space="preserve"> Press</w:t>
      </w:r>
    </w:p>
    <w:p w:rsidR="003D7AA9" w:rsidRPr="003D7AA9" w:rsidRDefault="003D7AA9" w:rsidP="003D7AA9">
      <w:pPr>
        <w:spacing w:after="120" w:line="360" w:lineRule="auto"/>
        <w:rPr>
          <w:rFonts w:ascii="Times New Roman" w:eastAsia="Times New Roman" w:hAnsi="Times New Roman" w:cs="Times New Roman"/>
          <w:b/>
          <w:sz w:val="24"/>
          <w:szCs w:val="24"/>
          <w:lang w:eastAsia="en-GB"/>
        </w:rPr>
      </w:pPr>
      <w:proofErr w:type="gramStart"/>
      <w:r w:rsidRPr="003D7AA9">
        <w:rPr>
          <w:rFonts w:ascii="Times New Roman" w:eastAsia="Times New Roman" w:hAnsi="Times New Roman" w:cs="Times New Roman"/>
          <w:b/>
          <w:sz w:val="24"/>
          <w:szCs w:val="24"/>
          <w:lang w:eastAsia="en-GB"/>
        </w:rPr>
        <w:t xml:space="preserve">Conant, J. </w:t>
      </w:r>
      <w:r w:rsidRPr="003D7AA9">
        <w:rPr>
          <w:rFonts w:ascii="Times New Roman" w:eastAsia="Times New Roman" w:hAnsi="Times New Roman" w:cs="Times New Roman"/>
          <w:bCs/>
          <w:sz w:val="24"/>
          <w:szCs w:val="24"/>
          <w:lang w:eastAsia="en-GB"/>
        </w:rPr>
        <w:t xml:space="preserve">(2001) 'Nietzsche's Perfectionism' in R. Schacht (ed.) </w:t>
      </w:r>
      <w:r w:rsidRPr="003D7AA9">
        <w:rPr>
          <w:rFonts w:ascii="Times New Roman" w:eastAsia="Times New Roman" w:hAnsi="Times New Roman" w:cs="Times New Roman"/>
          <w:bCs/>
          <w:i/>
          <w:iCs/>
          <w:sz w:val="24"/>
          <w:szCs w:val="24"/>
          <w:lang w:eastAsia="en-GB"/>
        </w:rPr>
        <w:t xml:space="preserve">Nietzsche's </w:t>
      </w:r>
      <w:proofErr w:type="spellStart"/>
      <w:r w:rsidRPr="003D7AA9">
        <w:rPr>
          <w:rFonts w:ascii="Times New Roman" w:eastAsia="Times New Roman" w:hAnsi="Times New Roman" w:cs="Times New Roman"/>
          <w:bCs/>
          <w:i/>
          <w:iCs/>
          <w:sz w:val="24"/>
          <w:szCs w:val="24"/>
          <w:lang w:eastAsia="en-GB"/>
        </w:rPr>
        <w:t>Postmoralism</w:t>
      </w:r>
      <w:proofErr w:type="spellEnd"/>
      <w:r w:rsidRPr="003D7AA9">
        <w:rPr>
          <w:rFonts w:ascii="Times New Roman" w:eastAsia="Times New Roman" w:hAnsi="Times New Roman" w:cs="Times New Roman"/>
          <w:bCs/>
          <w:sz w:val="24"/>
          <w:szCs w:val="24"/>
          <w:lang w:eastAsia="en-GB"/>
        </w:rPr>
        <w:t>, Cambridge, Cambridge University Press, pp</w:t>
      </w:r>
      <w:r w:rsidRPr="003D7AA9">
        <w:rPr>
          <w:rFonts w:ascii="Times New Roman" w:eastAsia="Times New Roman" w:hAnsi="Times New Roman" w:cs="Times New Roman"/>
          <w:b/>
          <w:sz w:val="24"/>
          <w:szCs w:val="24"/>
          <w:lang w:eastAsia="en-GB"/>
        </w:rPr>
        <w:t>.??</w:t>
      </w:r>
      <w:proofErr w:type="gramEnd"/>
    </w:p>
    <w:p w:rsidR="003D7AA9" w:rsidRPr="003D7AA9" w:rsidRDefault="003D7AA9" w:rsidP="003D7AA9">
      <w:pPr>
        <w:spacing w:after="120" w:line="360" w:lineRule="auto"/>
        <w:rPr>
          <w:rFonts w:ascii="Times New Roman" w:eastAsia="Times New Roman" w:hAnsi="Times New Roman" w:cs="Times New Roman"/>
          <w:bCs/>
          <w:sz w:val="24"/>
          <w:szCs w:val="24"/>
          <w:lang w:eastAsia="en-GB"/>
        </w:rPr>
      </w:pPr>
      <w:r w:rsidRPr="003D7AA9">
        <w:rPr>
          <w:rFonts w:ascii="Times New Roman" w:eastAsia="Times New Roman" w:hAnsi="Times New Roman" w:cs="Times New Roman"/>
          <w:b/>
          <w:sz w:val="24"/>
          <w:szCs w:val="24"/>
          <w:lang w:eastAsia="en-GB"/>
        </w:rPr>
        <w:t xml:space="preserve">Davidson, A. </w:t>
      </w:r>
      <w:r w:rsidRPr="003D7AA9">
        <w:rPr>
          <w:rFonts w:ascii="Times New Roman" w:eastAsia="Times New Roman" w:hAnsi="Times New Roman" w:cs="Times New Roman"/>
          <w:bCs/>
          <w:sz w:val="24"/>
          <w:szCs w:val="24"/>
          <w:lang w:eastAsia="en-GB"/>
        </w:rPr>
        <w:t xml:space="preserve">(2003) 'Ethics as ascetics' in G. Gutting (ed.) </w:t>
      </w:r>
      <w:r w:rsidRPr="003D7AA9">
        <w:rPr>
          <w:rFonts w:ascii="Times New Roman" w:eastAsia="Times New Roman" w:hAnsi="Times New Roman" w:cs="Times New Roman"/>
          <w:bCs/>
          <w:i/>
          <w:iCs/>
          <w:sz w:val="24"/>
          <w:szCs w:val="24"/>
          <w:lang w:eastAsia="en-GB"/>
        </w:rPr>
        <w:t>The Cambridge Companion to Foucault</w:t>
      </w:r>
      <w:r w:rsidRPr="003D7AA9">
        <w:rPr>
          <w:rFonts w:ascii="Times New Roman" w:eastAsia="Times New Roman" w:hAnsi="Times New Roman" w:cs="Times New Roman"/>
          <w:bCs/>
          <w:sz w:val="24"/>
          <w:szCs w:val="24"/>
          <w:lang w:eastAsia="en-GB"/>
        </w:rPr>
        <w:t xml:space="preserve"> (2</w:t>
      </w:r>
      <w:r w:rsidRPr="003D7AA9">
        <w:rPr>
          <w:rFonts w:ascii="Times New Roman" w:eastAsia="Times New Roman" w:hAnsi="Times New Roman" w:cs="Times New Roman"/>
          <w:bCs/>
          <w:sz w:val="24"/>
          <w:szCs w:val="24"/>
          <w:vertAlign w:val="superscript"/>
          <w:lang w:eastAsia="en-GB"/>
        </w:rPr>
        <w:t>nd</w:t>
      </w:r>
      <w:r w:rsidRPr="003D7AA9">
        <w:rPr>
          <w:rFonts w:ascii="Times New Roman" w:eastAsia="Times New Roman" w:hAnsi="Times New Roman" w:cs="Times New Roman"/>
          <w:bCs/>
          <w:sz w:val="24"/>
          <w:szCs w:val="24"/>
          <w:lang w:eastAsia="en-GB"/>
        </w:rPr>
        <w:t xml:space="preserve"> edition), Cambridge, Cambridge University Press, pp.123-48.</w:t>
      </w:r>
    </w:p>
    <w:p w:rsidR="003D7AA9" w:rsidRPr="003D7AA9" w:rsidRDefault="003D7AA9" w:rsidP="003D7AA9">
      <w:pPr>
        <w:spacing w:after="0" w:line="360" w:lineRule="auto"/>
        <w:rPr>
          <w:rFonts w:ascii="Times New Roman" w:eastAsia="Times New Roman" w:hAnsi="Times New Roman" w:cs="Times New Roman"/>
          <w:bCs/>
          <w:sz w:val="24"/>
          <w:szCs w:val="24"/>
          <w:lang w:eastAsia="en-GB"/>
        </w:rPr>
      </w:pPr>
      <w:proofErr w:type="gramStart"/>
      <w:r w:rsidRPr="003D7AA9">
        <w:rPr>
          <w:rFonts w:ascii="Times New Roman" w:eastAsia="Times New Roman" w:hAnsi="Times New Roman" w:cs="Times New Roman"/>
          <w:b/>
          <w:sz w:val="24"/>
          <w:szCs w:val="24"/>
          <w:lang w:eastAsia="en-GB"/>
        </w:rPr>
        <w:t xml:space="preserve">Davidson, A. </w:t>
      </w:r>
      <w:r w:rsidRPr="003D7AA9">
        <w:rPr>
          <w:rFonts w:ascii="Times New Roman" w:eastAsia="Times New Roman" w:hAnsi="Times New Roman" w:cs="Times New Roman"/>
          <w:bCs/>
          <w:sz w:val="24"/>
          <w:szCs w:val="24"/>
          <w:lang w:eastAsia="en-GB"/>
        </w:rPr>
        <w:t xml:space="preserve">(2005) ‘Introduction’ in Foucault, M. (2005) </w:t>
      </w:r>
      <w:r w:rsidRPr="003D7AA9">
        <w:rPr>
          <w:rFonts w:ascii="Times New Roman" w:eastAsia="Times New Roman" w:hAnsi="Times New Roman" w:cs="Times New Roman"/>
          <w:bCs/>
          <w:i/>
          <w:iCs/>
          <w:sz w:val="24"/>
          <w:szCs w:val="24"/>
          <w:lang w:eastAsia="en-GB"/>
        </w:rPr>
        <w:t>The Hermeneutics of the Subject</w:t>
      </w:r>
      <w:r w:rsidRPr="003D7AA9">
        <w:rPr>
          <w:rFonts w:ascii="Times New Roman" w:eastAsia="Times New Roman" w:hAnsi="Times New Roman" w:cs="Times New Roman"/>
          <w:bCs/>
          <w:sz w:val="24"/>
          <w:szCs w:val="24"/>
          <w:lang w:eastAsia="en-GB"/>
        </w:rPr>
        <w:t xml:space="preserve">, New York, Picador, </w:t>
      </w:r>
      <w:proofErr w:type="spellStart"/>
      <w:r w:rsidRPr="003D7AA9">
        <w:rPr>
          <w:rFonts w:ascii="Times New Roman" w:eastAsia="Times New Roman" w:hAnsi="Times New Roman" w:cs="Times New Roman"/>
          <w:bCs/>
          <w:sz w:val="24"/>
          <w:szCs w:val="24"/>
          <w:lang w:eastAsia="en-GB"/>
        </w:rPr>
        <w:t>pp.xix</w:t>
      </w:r>
      <w:proofErr w:type="spellEnd"/>
      <w:r w:rsidRPr="003D7AA9">
        <w:rPr>
          <w:rFonts w:ascii="Times New Roman" w:eastAsia="Times New Roman" w:hAnsi="Times New Roman" w:cs="Times New Roman"/>
          <w:bCs/>
          <w:sz w:val="24"/>
          <w:szCs w:val="24"/>
          <w:lang w:eastAsia="en-GB"/>
        </w:rPr>
        <w:t>-xli.</w:t>
      </w:r>
      <w:proofErr w:type="gramEnd"/>
    </w:p>
    <w:p w:rsidR="003D7AA9" w:rsidRPr="003D7AA9" w:rsidRDefault="003D7AA9" w:rsidP="003D7AA9">
      <w:pPr>
        <w:spacing w:after="120" w:line="360" w:lineRule="auto"/>
        <w:rPr>
          <w:rFonts w:ascii="Times New Roman" w:eastAsia="Times New Roman" w:hAnsi="Times New Roman" w:cs="Times New Roman"/>
          <w:b/>
          <w:sz w:val="24"/>
          <w:szCs w:val="24"/>
          <w:lang w:eastAsia="en-GB"/>
        </w:rPr>
      </w:pPr>
      <w:r w:rsidRPr="003D7AA9">
        <w:rPr>
          <w:rFonts w:ascii="Times New Roman" w:eastAsia="Times New Roman" w:hAnsi="Times New Roman" w:cs="Times New Roman"/>
          <w:b/>
          <w:sz w:val="24"/>
          <w:szCs w:val="24"/>
          <w:lang w:eastAsia="en-GB"/>
        </w:rPr>
        <w:t xml:space="preserve">Dreyfus, H. &amp; </w:t>
      </w:r>
      <w:proofErr w:type="spellStart"/>
      <w:r w:rsidRPr="003D7AA9">
        <w:rPr>
          <w:rFonts w:ascii="Times New Roman" w:eastAsia="Times New Roman" w:hAnsi="Times New Roman" w:cs="Times New Roman"/>
          <w:b/>
          <w:sz w:val="24"/>
          <w:szCs w:val="24"/>
          <w:lang w:eastAsia="en-GB"/>
        </w:rPr>
        <w:t>Rabinow</w:t>
      </w:r>
      <w:proofErr w:type="spellEnd"/>
      <w:r w:rsidRPr="003D7AA9">
        <w:rPr>
          <w:rFonts w:ascii="Times New Roman" w:eastAsia="Times New Roman" w:hAnsi="Times New Roman" w:cs="Times New Roman"/>
          <w:b/>
          <w:sz w:val="24"/>
          <w:szCs w:val="24"/>
          <w:lang w:eastAsia="en-GB"/>
        </w:rPr>
        <w:t xml:space="preserve">, P. </w:t>
      </w:r>
      <w:r w:rsidRPr="003D7AA9">
        <w:rPr>
          <w:rFonts w:ascii="Times New Roman" w:eastAsia="Times New Roman" w:hAnsi="Times New Roman" w:cs="Times New Roman"/>
          <w:bCs/>
          <w:sz w:val="24"/>
          <w:szCs w:val="24"/>
          <w:lang w:eastAsia="en-GB"/>
        </w:rPr>
        <w:t xml:space="preserve">(1982) </w:t>
      </w:r>
      <w:r w:rsidRPr="003D7AA9">
        <w:rPr>
          <w:rFonts w:ascii="Times New Roman" w:eastAsia="Times New Roman" w:hAnsi="Times New Roman" w:cs="Times New Roman"/>
          <w:bCs/>
          <w:i/>
          <w:iCs/>
          <w:sz w:val="24"/>
          <w:szCs w:val="24"/>
          <w:lang w:eastAsia="en-GB"/>
        </w:rPr>
        <w:t>Michel Foucault: Beyond structuralism and Hermeneutics</w:t>
      </w:r>
      <w:r w:rsidRPr="003D7AA9">
        <w:rPr>
          <w:rFonts w:ascii="Times New Roman" w:eastAsia="Times New Roman" w:hAnsi="Times New Roman" w:cs="Times New Roman"/>
          <w:bCs/>
          <w:sz w:val="24"/>
          <w:szCs w:val="24"/>
          <w:lang w:eastAsia="en-GB"/>
        </w:rPr>
        <w:t>, Chicago, Chicago University Press.</w:t>
      </w:r>
    </w:p>
    <w:p w:rsidR="003D7AA9" w:rsidRPr="003D7AA9" w:rsidRDefault="003D7AA9" w:rsidP="003D7AA9">
      <w:pPr>
        <w:spacing w:after="120" w:line="360" w:lineRule="auto"/>
        <w:rPr>
          <w:rFonts w:ascii="Times New Roman" w:eastAsia="Times New Roman" w:hAnsi="Times New Roman" w:cs="Times New Roman"/>
          <w:b/>
          <w:sz w:val="24"/>
          <w:szCs w:val="24"/>
          <w:lang w:eastAsia="en-GB"/>
        </w:rPr>
      </w:pPr>
      <w:proofErr w:type="spellStart"/>
      <w:r w:rsidRPr="003D7AA9">
        <w:rPr>
          <w:rFonts w:ascii="Times New Roman" w:eastAsia="Times New Roman" w:hAnsi="Times New Roman" w:cs="Times New Roman"/>
          <w:b/>
          <w:sz w:val="24"/>
          <w:szCs w:val="24"/>
          <w:lang w:eastAsia="en-GB"/>
        </w:rPr>
        <w:t>Flathman</w:t>
      </w:r>
      <w:proofErr w:type="spellEnd"/>
      <w:r w:rsidRPr="003D7AA9">
        <w:rPr>
          <w:rFonts w:ascii="Times New Roman" w:eastAsia="Times New Roman" w:hAnsi="Times New Roman" w:cs="Times New Roman"/>
          <w:b/>
          <w:sz w:val="24"/>
          <w:szCs w:val="24"/>
          <w:lang w:eastAsia="en-GB"/>
        </w:rPr>
        <w:t xml:space="preserve">, R. </w:t>
      </w:r>
      <w:r w:rsidRPr="003D7AA9">
        <w:rPr>
          <w:rFonts w:ascii="Times New Roman" w:eastAsia="Times New Roman" w:hAnsi="Times New Roman" w:cs="Times New Roman"/>
          <w:bCs/>
          <w:sz w:val="24"/>
          <w:szCs w:val="24"/>
          <w:lang w:eastAsia="en-GB"/>
        </w:rPr>
        <w:t xml:space="preserve">(2003) </w:t>
      </w:r>
      <w:r w:rsidRPr="003D7AA9">
        <w:rPr>
          <w:rFonts w:ascii="Times New Roman" w:eastAsia="Times New Roman" w:hAnsi="Times New Roman" w:cs="Times New Roman"/>
          <w:bCs/>
          <w:i/>
          <w:iCs/>
          <w:sz w:val="24"/>
          <w:szCs w:val="24"/>
          <w:lang w:eastAsia="en-GB"/>
        </w:rPr>
        <w:t>Freedom and its Conditions</w:t>
      </w:r>
      <w:r w:rsidRPr="003D7AA9">
        <w:rPr>
          <w:rFonts w:ascii="Times New Roman" w:eastAsia="Times New Roman" w:hAnsi="Times New Roman" w:cs="Times New Roman"/>
          <w:bCs/>
          <w:sz w:val="24"/>
          <w:szCs w:val="24"/>
          <w:lang w:eastAsia="en-GB"/>
        </w:rPr>
        <w:t xml:space="preserve">, London, </w:t>
      </w:r>
      <w:proofErr w:type="spellStart"/>
      <w:r w:rsidRPr="003D7AA9">
        <w:rPr>
          <w:rFonts w:ascii="Times New Roman" w:eastAsia="Times New Roman" w:hAnsi="Times New Roman" w:cs="Times New Roman"/>
          <w:bCs/>
          <w:sz w:val="24"/>
          <w:szCs w:val="24"/>
          <w:lang w:eastAsia="en-GB"/>
        </w:rPr>
        <w:t>Routledge</w:t>
      </w:r>
      <w:proofErr w:type="spellEnd"/>
      <w:r w:rsidRPr="003D7AA9">
        <w:rPr>
          <w:rFonts w:ascii="Times New Roman" w:eastAsia="Times New Roman" w:hAnsi="Times New Roman" w:cs="Times New Roman"/>
          <w:bCs/>
          <w:sz w:val="24"/>
          <w:szCs w:val="24"/>
          <w:lang w:eastAsia="en-GB"/>
        </w:rPr>
        <w:t>.</w:t>
      </w:r>
    </w:p>
    <w:p w:rsidR="003D7AA9" w:rsidRPr="003D7AA9" w:rsidRDefault="003D7AA9" w:rsidP="003D7AA9">
      <w:pPr>
        <w:spacing w:after="120" w:line="360" w:lineRule="auto"/>
        <w:rPr>
          <w:rFonts w:ascii="Times New Roman" w:eastAsia="Times New Roman" w:hAnsi="Times New Roman" w:cs="Times New Roman"/>
          <w:b/>
          <w:sz w:val="24"/>
          <w:szCs w:val="24"/>
          <w:lang w:eastAsia="en-GB"/>
        </w:rPr>
      </w:pPr>
      <w:r w:rsidRPr="003D7AA9">
        <w:rPr>
          <w:rFonts w:ascii="Times New Roman" w:eastAsia="Times New Roman" w:hAnsi="Times New Roman" w:cs="Times New Roman"/>
          <w:b/>
          <w:sz w:val="24"/>
          <w:szCs w:val="24"/>
          <w:lang w:eastAsia="en-GB"/>
        </w:rPr>
        <w:t xml:space="preserve">Foucault, M. </w:t>
      </w:r>
      <w:r w:rsidRPr="003D7AA9">
        <w:rPr>
          <w:rFonts w:ascii="Times New Roman" w:eastAsia="Times New Roman" w:hAnsi="Times New Roman" w:cs="Times New Roman"/>
          <w:bCs/>
          <w:sz w:val="24"/>
          <w:szCs w:val="24"/>
          <w:lang w:eastAsia="en-GB"/>
        </w:rPr>
        <w:t xml:space="preserve">(1977) </w:t>
      </w:r>
      <w:r w:rsidRPr="003D7AA9">
        <w:rPr>
          <w:rFonts w:ascii="Times New Roman" w:eastAsia="Times New Roman" w:hAnsi="Times New Roman" w:cs="Times New Roman"/>
          <w:bCs/>
          <w:i/>
          <w:iCs/>
          <w:sz w:val="24"/>
          <w:szCs w:val="24"/>
          <w:lang w:eastAsia="en-GB"/>
        </w:rPr>
        <w:t>Discipline and Punish</w:t>
      </w:r>
      <w:r w:rsidRPr="003D7AA9">
        <w:rPr>
          <w:rFonts w:ascii="Times New Roman" w:eastAsia="Times New Roman" w:hAnsi="Times New Roman" w:cs="Times New Roman"/>
          <w:bCs/>
          <w:sz w:val="24"/>
          <w:szCs w:val="24"/>
          <w:lang w:eastAsia="en-GB"/>
        </w:rPr>
        <w:t xml:space="preserve">, </w:t>
      </w:r>
      <w:proofErr w:type="spellStart"/>
      <w:r w:rsidRPr="003D7AA9">
        <w:rPr>
          <w:rFonts w:ascii="Times New Roman" w:eastAsia="Times New Roman" w:hAnsi="Times New Roman" w:cs="Times New Roman"/>
          <w:bCs/>
          <w:sz w:val="24"/>
          <w:szCs w:val="24"/>
          <w:lang w:eastAsia="en-GB"/>
        </w:rPr>
        <w:t>Harmondsworth</w:t>
      </w:r>
      <w:proofErr w:type="spellEnd"/>
      <w:r w:rsidRPr="003D7AA9">
        <w:rPr>
          <w:rFonts w:ascii="Times New Roman" w:eastAsia="Times New Roman" w:hAnsi="Times New Roman" w:cs="Times New Roman"/>
          <w:bCs/>
          <w:sz w:val="24"/>
          <w:szCs w:val="24"/>
          <w:lang w:eastAsia="en-GB"/>
        </w:rPr>
        <w:t>: Penguin</w:t>
      </w:r>
      <w:r w:rsidRPr="003D7AA9">
        <w:rPr>
          <w:rFonts w:ascii="Times New Roman" w:eastAsia="Times New Roman" w:hAnsi="Times New Roman" w:cs="Times New Roman"/>
          <w:b/>
          <w:sz w:val="24"/>
          <w:szCs w:val="24"/>
          <w:lang w:eastAsia="en-GB"/>
        </w:rPr>
        <w:t>.</w:t>
      </w:r>
    </w:p>
    <w:p w:rsidR="003D7AA9" w:rsidRPr="003D7AA9" w:rsidRDefault="003D7AA9" w:rsidP="003D7AA9">
      <w:pPr>
        <w:spacing w:after="120" w:line="360" w:lineRule="auto"/>
        <w:rPr>
          <w:rFonts w:ascii="Times New Roman" w:eastAsia="Times New Roman" w:hAnsi="Times New Roman" w:cs="Times New Roman"/>
          <w:bCs/>
          <w:sz w:val="24"/>
          <w:szCs w:val="24"/>
          <w:lang w:eastAsia="en-GB"/>
        </w:rPr>
      </w:pPr>
      <w:proofErr w:type="gramStart"/>
      <w:r w:rsidRPr="003D7AA9">
        <w:rPr>
          <w:rFonts w:ascii="Times New Roman" w:eastAsia="Times New Roman" w:hAnsi="Times New Roman" w:cs="Times New Roman"/>
          <w:b/>
          <w:sz w:val="24"/>
          <w:szCs w:val="24"/>
          <w:lang w:eastAsia="en-GB"/>
        </w:rPr>
        <w:t xml:space="preserve">Foucault, M. </w:t>
      </w:r>
      <w:r w:rsidRPr="003D7AA9">
        <w:rPr>
          <w:rFonts w:ascii="Times New Roman" w:eastAsia="Times New Roman" w:hAnsi="Times New Roman" w:cs="Times New Roman"/>
          <w:bCs/>
          <w:sz w:val="24"/>
          <w:szCs w:val="24"/>
          <w:lang w:eastAsia="en-GB"/>
        </w:rPr>
        <w:t xml:space="preserve">(1979) </w:t>
      </w:r>
      <w:r w:rsidRPr="003D7AA9">
        <w:rPr>
          <w:rFonts w:ascii="Times New Roman" w:eastAsia="Times New Roman" w:hAnsi="Times New Roman" w:cs="Times New Roman"/>
          <w:bCs/>
          <w:i/>
          <w:iCs/>
          <w:sz w:val="24"/>
          <w:szCs w:val="24"/>
          <w:lang w:eastAsia="en-GB"/>
        </w:rPr>
        <w:t>History of Sexuality</w:t>
      </w:r>
      <w:r w:rsidRPr="003D7AA9">
        <w:rPr>
          <w:rFonts w:ascii="Times New Roman" w:eastAsia="Times New Roman" w:hAnsi="Times New Roman" w:cs="Times New Roman"/>
          <w:bCs/>
          <w:sz w:val="24"/>
          <w:szCs w:val="24"/>
          <w:lang w:eastAsia="en-GB"/>
        </w:rPr>
        <w:t xml:space="preserve"> (vol.1), </w:t>
      </w:r>
      <w:proofErr w:type="spellStart"/>
      <w:r w:rsidRPr="003D7AA9">
        <w:rPr>
          <w:rFonts w:ascii="Times New Roman" w:eastAsia="Times New Roman" w:hAnsi="Times New Roman" w:cs="Times New Roman"/>
          <w:bCs/>
          <w:sz w:val="24"/>
          <w:szCs w:val="24"/>
          <w:lang w:eastAsia="en-GB"/>
        </w:rPr>
        <w:t>Harmondsworth</w:t>
      </w:r>
      <w:proofErr w:type="spellEnd"/>
      <w:r w:rsidRPr="003D7AA9">
        <w:rPr>
          <w:rFonts w:ascii="Times New Roman" w:eastAsia="Times New Roman" w:hAnsi="Times New Roman" w:cs="Times New Roman"/>
          <w:bCs/>
          <w:sz w:val="24"/>
          <w:szCs w:val="24"/>
          <w:lang w:eastAsia="en-GB"/>
        </w:rPr>
        <w:t>: Penguin.</w:t>
      </w:r>
      <w:proofErr w:type="gramEnd"/>
    </w:p>
    <w:p w:rsidR="003D7AA9" w:rsidRPr="003D7AA9" w:rsidRDefault="003D7AA9" w:rsidP="003D7AA9">
      <w:pPr>
        <w:spacing w:after="120" w:line="360" w:lineRule="auto"/>
        <w:rPr>
          <w:rFonts w:ascii="Times New Roman" w:eastAsia="Times New Roman" w:hAnsi="Times New Roman" w:cs="Times New Roman"/>
          <w:bCs/>
          <w:sz w:val="24"/>
          <w:szCs w:val="24"/>
          <w:lang w:eastAsia="en-GB"/>
        </w:rPr>
      </w:pPr>
      <w:r w:rsidRPr="003D7AA9">
        <w:rPr>
          <w:rFonts w:ascii="Times New Roman" w:eastAsia="Times New Roman" w:hAnsi="Times New Roman" w:cs="Times New Roman"/>
          <w:b/>
          <w:sz w:val="24"/>
          <w:szCs w:val="24"/>
          <w:lang w:eastAsia="en-GB"/>
        </w:rPr>
        <w:t>Foucault, M</w:t>
      </w:r>
      <w:r w:rsidRPr="003D7AA9">
        <w:rPr>
          <w:rFonts w:ascii="Times New Roman" w:eastAsia="Times New Roman" w:hAnsi="Times New Roman" w:cs="Times New Roman"/>
          <w:bCs/>
          <w:sz w:val="24"/>
          <w:szCs w:val="24"/>
          <w:lang w:eastAsia="en-GB"/>
        </w:rPr>
        <w:t xml:space="preserve">. (1984) </w:t>
      </w:r>
      <w:proofErr w:type="gramStart"/>
      <w:r w:rsidRPr="003D7AA9">
        <w:rPr>
          <w:rFonts w:ascii="Times New Roman" w:eastAsia="Times New Roman" w:hAnsi="Times New Roman" w:cs="Times New Roman"/>
          <w:bCs/>
          <w:i/>
          <w:iCs/>
          <w:sz w:val="24"/>
          <w:szCs w:val="24"/>
          <w:lang w:eastAsia="en-GB"/>
        </w:rPr>
        <w:t>The</w:t>
      </w:r>
      <w:proofErr w:type="gramEnd"/>
      <w:r w:rsidRPr="003D7AA9">
        <w:rPr>
          <w:rFonts w:ascii="Times New Roman" w:eastAsia="Times New Roman" w:hAnsi="Times New Roman" w:cs="Times New Roman"/>
          <w:bCs/>
          <w:i/>
          <w:iCs/>
          <w:sz w:val="24"/>
          <w:szCs w:val="24"/>
          <w:lang w:eastAsia="en-GB"/>
        </w:rPr>
        <w:t xml:space="preserve"> Foucault Reader</w:t>
      </w:r>
      <w:r w:rsidRPr="003D7AA9">
        <w:rPr>
          <w:rFonts w:ascii="Times New Roman" w:eastAsia="Times New Roman" w:hAnsi="Times New Roman" w:cs="Times New Roman"/>
          <w:bCs/>
          <w:sz w:val="24"/>
          <w:szCs w:val="24"/>
          <w:lang w:eastAsia="en-GB"/>
        </w:rPr>
        <w:t xml:space="preserve">, </w:t>
      </w:r>
      <w:proofErr w:type="spellStart"/>
      <w:r w:rsidRPr="003D7AA9">
        <w:rPr>
          <w:rFonts w:ascii="Times New Roman" w:eastAsia="Times New Roman" w:hAnsi="Times New Roman" w:cs="Times New Roman"/>
          <w:bCs/>
          <w:sz w:val="24"/>
          <w:szCs w:val="24"/>
          <w:lang w:eastAsia="en-GB"/>
        </w:rPr>
        <w:t>Harmondsworth</w:t>
      </w:r>
      <w:proofErr w:type="spellEnd"/>
      <w:r w:rsidRPr="003D7AA9">
        <w:rPr>
          <w:rFonts w:ascii="Times New Roman" w:eastAsia="Times New Roman" w:hAnsi="Times New Roman" w:cs="Times New Roman"/>
          <w:bCs/>
          <w:sz w:val="24"/>
          <w:szCs w:val="24"/>
          <w:lang w:eastAsia="en-GB"/>
        </w:rPr>
        <w:t>, Penguin Books.</w:t>
      </w:r>
    </w:p>
    <w:p w:rsidR="003D7AA9" w:rsidRPr="003D7AA9" w:rsidRDefault="003D7AA9" w:rsidP="003D7AA9">
      <w:pPr>
        <w:spacing w:after="0" w:line="360" w:lineRule="auto"/>
        <w:rPr>
          <w:rFonts w:ascii="Times New Roman" w:eastAsia="Times New Roman" w:hAnsi="Times New Roman" w:cs="Times New Roman"/>
          <w:bCs/>
          <w:sz w:val="24"/>
          <w:szCs w:val="24"/>
          <w:lang w:eastAsia="en-GB"/>
        </w:rPr>
      </w:pPr>
      <w:r w:rsidRPr="003D7AA9">
        <w:rPr>
          <w:rFonts w:ascii="Times New Roman" w:eastAsia="Times New Roman" w:hAnsi="Times New Roman" w:cs="Times New Roman"/>
          <w:b/>
          <w:sz w:val="24"/>
          <w:szCs w:val="24"/>
          <w:lang w:eastAsia="en-GB"/>
        </w:rPr>
        <w:t xml:space="preserve">Foucault, M. </w:t>
      </w:r>
      <w:r w:rsidRPr="003D7AA9">
        <w:rPr>
          <w:rFonts w:ascii="Times New Roman" w:eastAsia="Times New Roman" w:hAnsi="Times New Roman" w:cs="Times New Roman"/>
          <w:bCs/>
          <w:sz w:val="24"/>
          <w:szCs w:val="24"/>
          <w:lang w:eastAsia="en-GB"/>
        </w:rPr>
        <w:t xml:space="preserve">(1997) </w:t>
      </w:r>
      <w:r w:rsidRPr="003D7AA9">
        <w:rPr>
          <w:rFonts w:ascii="Times New Roman" w:eastAsia="Times New Roman" w:hAnsi="Times New Roman" w:cs="Times New Roman"/>
          <w:bCs/>
          <w:i/>
          <w:iCs/>
          <w:sz w:val="24"/>
          <w:szCs w:val="24"/>
          <w:lang w:eastAsia="en-GB"/>
        </w:rPr>
        <w:t>Ethics: the essential works 1</w:t>
      </w:r>
      <w:r w:rsidRPr="003D7AA9">
        <w:rPr>
          <w:rFonts w:ascii="Times New Roman" w:eastAsia="Times New Roman" w:hAnsi="Times New Roman" w:cs="Times New Roman"/>
          <w:bCs/>
          <w:sz w:val="24"/>
          <w:szCs w:val="24"/>
          <w:lang w:eastAsia="en-GB"/>
        </w:rPr>
        <w:t xml:space="preserve">, </w:t>
      </w:r>
      <w:proofErr w:type="spellStart"/>
      <w:r w:rsidRPr="003D7AA9">
        <w:rPr>
          <w:rFonts w:ascii="Times New Roman" w:eastAsia="Times New Roman" w:hAnsi="Times New Roman" w:cs="Times New Roman"/>
          <w:bCs/>
          <w:sz w:val="24"/>
          <w:szCs w:val="24"/>
          <w:lang w:eastAsia="en-GB"/>
        </w:rPr>
        <w:t>Harmondsworth</w:t>
      </w:r>
      <w:proofErr w:type="spellEnd"/>
      <w:r w:rsidRPr="003D7AA9">
        <w:rPr>
          <w:rFonts w:ascii="Times New Roman" w:eastAsia="Times New Roman" w:hAnsi="Times New Roman" w:cs="Times New Roman"/>
          <w:bCs/>
          <w:sz w:val="24"/>
          <w:szCs w:val="24"/>
          <w:lang w:eastAsia="en-GB"/>
        </w:rPr>
        <w:t>, Penguin Books.</w:t>
      </w:r>
    </w:p>
    <w:p w:rsidR="003D7AA9" w:rsidRPr="003D7AA9" w:rsidRDefault="003D7AA9" w:rsidP="003D7AA9">
      <w:pPr>
        <w:spacing w:after="0" w:line="360" w:lineRule="auto"/>
        <w:rPr>
          <w:rFonts w:ascii="Times New Roman" w:eastAsia="Times New Roman" w:hAnsi="Times New Roman" w:cs="Times New Roman"/>
          <w:bCs/>
          <w:sz w:val="24"/>
          <w:szCs w:val="24"/>
          <w:lang w:eastAsia="en-GB"/>
        </w:rPr>
      </w:pPr>
      <w:r w:rsidRPr="003D7AA9">
        <w:rPr>
          <w:rFonts w:ascii="Times New Roman" w:eastAsia="Times New Roman" w:hAnsi="Times New Roman" w:cs="Times New Roman"/>
          <w:b/>
          <w:sz w:val="24"/>
          <w:szCs w:val="24"/>
          <w:lang w:eastAsia="en-GB"/>
        </w:rPr>
        <w:t>Foucault, M.</w:t>
      </w:r>
      <w:r w:rsidRPr="003D7AA9">
        <w:rPr>
          <w:rFonts w:ascii="Times New Roman" w:eastAsia="Times New Roman" w:hAnsi="Times New Roman" w:cs="Times New Roman"/>
          <w:bCs/>
          <w:sz w:val="24"/>
          <w:szCs w:val="24"/>
          <w:lang w:eastAsia="en-GB"/>
        </w:rPr>
        <w:t xml:space="preserve"> (2005) </w:t>
      </w:r>
      <w:proofErr w:type="gramStart"/>
      <w:r w:rsidRPr="003D7AA9">
        <w:rPr>
          <w:rFonts w:ascii="Times New Roman" w:eastAsia="Times New Roman" w:hAnsi="Times New Roman" w:cs="Times New Roman"/>
          <w:bCs/>
          <w:i/>
          <w:iCs/>
          <w:sz w:val="24"/>
          <w:szCs w:val="24"/>
          <w:lang w:eastAsia="en-GB"/>
        </w:rPr>
        <w:t>The</w:t>
      </w:r>
      <w:proofErr w:type="gramEnd"/>
      <w:r w:rsidRPr="003D7AA9">
        <w:rPr>
          <w:rFonts w:ascii="Times New Roman" w:eastAsia="Times New Roman" w:hAnsi="Times New Roman" w:cs="Times New Roman"/>
          <w:bCs/>
          <w:i/>
          <w:iCs/>
          <w:sz w:val="24"/>
          <w:szCs w:val="24"/>
          <w:lang w:eastAsia="en-GB"/>
        </w:rPr>
        <w:t xml:space="preserve"> Hermeneutics of the Subject</w:t>
      </w:r>
      <w:r w:rsidRPr="003D7AA9">
        <w:rPr>
          <w:rFonts w:ascii="Times New Roman" w:eastAsia="Times New Roman" w:hAnsi="Times New Roman" w:cs="Times New Roman"/>
          <w:bCs/>
          <w:sz w:val="24"/>
          <w:szCs w:val="24"/>
          <w:lang w:eastAsia="en-GB"/>
        </w:rPr>
        <w:t>, New York, Picador.</w:t>
      </w:r>
    </w:p>
    <w:p w:rsidR="003D7AA9" w:rsidRPr="003D7AA9" w:rsidRDefault="003D7AA9" w:rsidP="003D7AA9">
      <w:pPr>
        <w:spacing w:after="0" w:line="360" w:lineRule="auto"/>
        <w:rPr>
          <w:rFonts w:ascii="Times New Roman" w:eastAsia="Times New Roman" w:hAnsi="Times New Roman" w:cs="Times New Roman"/>
          <w:bCs/>
          <w:sz w:val="24"/>
          <w:szCs w:val="24"/>
          <w:lang w:eastAsia="en-GB"/>
        </w:rPr>
      </w:pPr>
      <w:r w:rsidRPr="003D7AA9">
        <w:rPr>
          <w:rFonts w:ascii="Times New Roman" w:eastAsia="Times New Roman" w:hAnsi="Times New Roman" w:cs="Times New Roman"/>
          <w:b/>
          <w:sz w:val="24"/>
          <w:szCs w:val="24"/>
          <w:lang w:eastAsia="en-GB"/>
        </w:rPr>
        <w:t>Foucault, M.</w:t>
      </w:r>
      <w:r w:rsidRPr="003D7AA9">
        <w:rPr>
          <w:rFonts w:ascii="Times New Roman" w:eastAsia="Times New Roman" w:hAnsi="Times New Roman" w:cs="Times New Roman"/>
          <w:bCs/>
          <w:sz w:val="24"/>
          <w:szCs w:val="24"/>
          <w:lang w:eastAsia="en-GB"/>
        </w:rPr>
        <w:t xml:space="preserve"> (2010) </w:t>
      </w:r>
      <w:proofErr w:type="gramStart"/>
      <w:r w:rsidRPr="003D7AA9">
        <w:rPr>
          <w:rFonts w:ascii="Times New Roman" w:eastAsia="Times New Roman" w:hAnsi="Times New Roman" w:cs="Times New Roman"/>
          <w:bCs/>
          <w:i/>
          <w:iCs/>
          <w:sz w:val="24"/>
          <w:szCs w:val="24"/>
          <w:lang w:eastAsia="en-GB"/>
        </w:rPr>
        <w:t>The</w:t>
      </w:r>
      <w:proofErr w:type="gramEnd"/>
      <w:r w:rsidRPr="003D7AA9">
        <w:rPr>
          <w:rFonts w:ascii="Times New Roman" w:eastAsia="Times New Roman" w:hAnsi="Times New Roman" w:cs="Times New Roman"/>
          <w:bCs/>
          <w:i/>
          <w:iCs/>
          <w:sz w:val="24"/>
          <w:szCs w:val="24"/>
          <w:lang w:eastAsia="en-GB"/>
        </w:rPr>
        <w:t xml:space="preserve"> Government of Self and Others</w:t>
      </w:r>
      <w:r w:rsidRPr="003D7AA9">
        <w:rPr>
          <w:rFonts w:ascii="Times New Roman" w:eastAsia="Times New Roman" w:hAnsi="Times New Roman" w:cs="Times New Roman"/>
          <w:bCs/>
          <w:sz w:val="24"/>
          <w:szCs w:val="24"/>
          <w:lang w:eastAsia="en-GB"/>
        </w:rPr>
        <w:t>, Palgrave.</w:t>
      </w:r>
    </w:p>
    <w:p w:rsidR="003D7AA9" w:rsidRPr="003D7AA9" w:rsidRDefault="003D7AA9" w:rsidP="003D7AA9">
      <w:pPr>
        <w:tabs>
          <w:tab w:val="left" w:pos="3080"/>
        </w:tabs>
        <w:spacing w:after="0" w:line="360" w:lineRule="auto"/>
        <w:rPr>
          <w:rFonts w:ascii="Times New Roman" w:eastAsia="Times New Roman" w:hAnsi="Times New Roman" w:cs="Times New Roman"/>
          <w:sz w:val="24"/>
          <w:szCs w:val="24"/>
          <w:lang w:eastAsia="en-GB"/>
        </w:rPr>
      </w:pPr>
      <w:proofErr w:type="spellStart"/>
      <w:r w:rsidRPr="003D7AA9">
        <w:rPr>
          <w:rFonts w:ascii="Times New Roman" w:eastAsia="Times New Roman" w:hAnsi="Times New Roman" w:cs="Times New Roman"/>
          <w:b/>
          <w:sz w:val="24"/>
          <w:szCs w:val="24"/>
          <w:lang w:eastAsia="en-GB"/>
        </w:rPr>
        <w:t>Menke</w:t>
      </w:r>
      <w:proofErr w:type="spellEnd"/>
      <w:r w:rsidRPr="003D7AA9">
        <w:rPr>
          <w:rFonts w:ascii="Times New Roman" w:eastAsia="Times New Roman" w:hAnsi="Times New Roman" w:cs="Times New Roman"/>
          <w:b/>
          <w:sz w:val="24"/>
          <w:szCs w:val="24"/>
          <w:lang w:eastAsia="en-GB"/>
        </w:rPr>
        <w:t xml:space="preserve">, C. </w:t>
      </w:r>
      <w:r w:rsidRPr="003D7AA9">
        <w:rPr>
          <w:rFonts w:ascii="Times New Roman" w:eastAsia="Times New Roman" w:hAnsi="Times New Roman" w:cs="Times New Roman"/>
          <w:sz w:val="24"/>
          <w:szCs w:val="24"/>
          <w:lang w:eastAsia="en-GB"/>
        </w:rPr>
        <w:t>(2003) ‘Two Kinds of Practice: On the Relation between Social Discipline and the Aesthetics of Existence’,</w:t>
      </w:r>
      <w:r w:rsidRPr="003D7AA9">
        <w:rPr>
          <w:rFonts w:ascii="Times New Roman" w:eastAsia="Times New Roman" w:hAnsi="Times New Roman" w:cs="Times New Roman"/>
          <w:i/>
          <w:sz w:val="24"/>
          <w:szCs w:val="24"/>
          <w:lang w:eastAsia="en-GB"/>
        </w:rPr>
        <w:t xml:space="preserve"> Constellations,</w:t>
      </w:r>
      <w:r w:rsidRPr="003D7AA9">
        <w:rPr>
          <w:rFonts w:ascii="Times New Roman" w:eastAsia="Times New Roman" w:hAnsi="Times New Roman" w:cs="Times New Roman"/>
          <w:sz w:val="24"/>
          <w:szCs w:val="24"/>
          <w:lang w:eastAsia="en-GB"/>
        </w:rPr>
        <w:t xml:space="preserve"> vol. 10, no.2, pp.199-210</w:t>
      </w:r>
    </w:p>
    <w:p w:rsidR="003D7AA9" w:rsidRPr="003D7AA9" w:rsidRDefault="003D7AA9" w:rsidP="003D7AA9">
      <w:pPr>
        <w:tabs>
          <w:tab w:val="left" w:pos="3080"/>
        </w:tabs>
        <w:spacing w:after="0" w:line="360" w:lineRule="auto"/>
        <w:rPr>
          <w:rFonts w:ascii="Times New Roman" w:eastAsia="Times New Roman" w:hAnsi="Times New Roman" w:cs="Times New Roman"/>
          <w:sz w:val="24"/>
          <w:szCs w:val="24"/>
          <w:lang w:eastAsia="en-GB"/>
        </w:rPr>
      </w:pPr>
      <w:proofErr w:type="spellStart"/>
      <w:r w:rsidRPr="003D7AA9">
        <w:rPr>
          <w:rFonts w:ascii="Times New Roman" w:eastAsia="Times New Roman" w:hAnsi="Times New Roman" w:cs="Times New Roman"/>
          <w:b/>
          <w:sz w:val="24"/>
          <w:szCs w:val="24"/>
          <w:lang w:eastAsia="en-GB"/>
        </w:rPr>
        <w:t>Mulhall</w:t>
      </w:r>
      <w:proofErr w:type="spellEnd"/>
      <w:r w:rsidRPr="003D7AA9">
        <w:rPr>
          <w:rFonts w:ascii="Times New Roman" w:eastAsia="Times New Roman" w:hAnsi="Times New Roman" w:cs="Times New Roman"/>
          <w:b/>
          <w:sz w:val="24"/>
          <w:szCs w:val="24"/>
          <w:lang w:eastAsia="en-GB"/>
        </w:rPr>
        <w:t>, S.</w:t>
      </w:r>
      <w:r w:rsidRPr="003D7AA9">
        <w:rPr>
          <w:rFonts w:ascii="Times New Roman" w:eastAsia="Times New Roman" w:hAnsi="Times New Roman" w:cs="Times New Roman"/>
          <w:sz w:val="24"/>
          <w:szCs w:val="24"/>
          <w:lang w:eastAsia="en-GB"/>
        </w:rPr>
        <w:t xml:space="preserve"> (1994) </w:t>
      </w:r>
      <w:r w:rsidRPr="003D7AA9">
        <w:rPr>
          <w:rFonts w:ascii="Times New Roman" w:eastAsia="Times New Roman" w:hAnsi="Times New Roman" w:cs="Times New Roman"/>
          <w:i/>
          <w:sz w:val="24"/>
          <w:szCs w:val="24"/>
          <w:lang w:eastAsia="en-GB"/>
        </w:rPr>
        <w:t>Stanley Cavell: Philosophy’s Recounting of the Ordinary,</w:t>
      </w:r>
      <w:r w:rsidRPr="003D7AA9">
        <w:rPr>
          <w:rFonts w:ascii="Times New Roman" w:eastAsia="Times New Roman" w:hAnsi="Times New Roman" w:cs="Times New Roman"/>
          <w:sz w:val="24"/>
          <w:szCs w:val="24"/>
          <w:lang w:eastAsia="en-GB"/>
        </w:rPr>
        <w:t xml:space="preserve"> Oxford: Oxford University Press</w:t>
      </w:r>
    </w:p>
    <w:p w:rsidR="003D7AA9" w:rsidRPr="003D7AA9" w:rsidRDefault="003D7AA9" w:rsidP="003D7AA9">
      <w:pPr>
        <w:tabs>
          <w:tab w:val="left" w:pos="3080"/>
        </w:tabs>
        <w:spacing w:after="0" w:line="360" w:lineRule="auto"/>
        <w:rPr>
          <w:rFonts w:ascii="Times New Roman" w:eastAsia="Times New Roman" w:hAnsi="Times New Roman" w:cs="Times New Roman"/>
          <w:sz w:val="24"/>
          <w:szCs w:val="24"/>
          <w:lang w:eastAsia="en-GB"/>
        </w:rPr>
      </w:pPr>
      <w:proofErr w:type="spellStart"/>
      <w:r w:rsidRPr="003D7AA9">
        <w:rPr>
          <w:rFonts w:ascii="Times New Roman" w:eastAsia="Times New Roman" w:hAnsi="Times New Roman" w:cs="Times New Roman"/>
          <w:b/>
          <w:sz w:val="24"/>
          <w:szCs w:val="24"/>
          <w:lang w:eastAsia="en-GB"/>
        </w:rPr>
        <w:t>Mulhall</w:t>
      </w:r>
      <w:proofErr w:type="spellEnd"/>
      <w:r w:rsidRPr="003D7AA9">
        <w:rPr>
          <w:rFonts w:ascii="Times New Roman" w:eastAsia="Times New Roman" w:hAnsi="Times New Roman" w:cs="Times New Roman"/>
          <w:b/>
          <w:sz w:val="24"/>
          <w:szCs w:val="24"/>
          <w:lang w:eastAsia="en-GB"/>
        </w:rPr>
        <w:t>, S.</w:t>
      </w:r>
      <w:r w:rsidRPr="003D7AA9">
        <w:rPr>
          <w:rFonts w:ascii="Times New Roman" w:eastAsia="Times New Roman" w:hAnsi="Times New Roman" w:cs="Times New Roman"/>
          <w:sz w:val="24"/>
          <w:szCs w:val="24"/>
          <w:lang w:eastAsia="en-GB"/>
        </w:rPr>
        <w:t xml:space="preserve"> (1997) ‘Promising, Consent and Citizenship: Rawls and Cavell on Morality and Politics’, </w:t>
      </w:r>
      <w:r w:rsidRPr="003D7AA9">
        <w:rPr>
          <w:rFonts w:ascii="Times New Roman" w:eastAsia="Times New Roman" w:hAnsi="Times New Roman" w:cs="Times New Roman"/>
          <w:i/>
          <w:sz w:val="24"/>
          <w:szCs w:val="24"/>
          <w:lang w:eastAsia="en-GB"/>
        </w:rPr>
        <w:t xml:space="preserve">Political Theory, </w:t>
      </w:r>
      <w:r w:rsidRPr="003D7AA9">
        <w:rPr>
          <w:rFonts w:ascii="Times New Roman" w:eastAsia="Times New Roman" w:hAnsi="Times New Roman" w:cs="Times New Roman"/>
          <w:sz w:val="24"/>
          <w:szCs w:val="24"/>
          <w:lang w:eastAsia="en-GB"/>
        </w:rPr>
        <w:t>vol.25 no.2 pp.171-92</w:t>
      </w:r>
    </w:p>
    <w:p w:rsidR="003D7AA9" w:rsidRPr="003D7AA9" w:rsidRDefault="003D7AA9" w:rsidP="003D7AA9">
      <w:pPr>
        <w:tabs>
          <w:tab w:val="left" w:pos="3080"/>
        </w:tabs>
        <w:spacing w:after="0" w:line="360" w:lineRule="auto"/>
        <w:rPr>
          <w:rFonts w:asciiTheme="majorBidi" w:eastAsia="Times New Roman" w:hAnsiTheme="majorBidi" w:cstheme="majorBidi"/>
          <w:sz w:val="24"/>
          <w:szCs w:val="24"/>
          <w:lang w:eastAsia="en-GB"/>
        </w:rPr>
      </w:pPr>
      <w:proofErr w:type="gramStart"/>
      <w:r w:rsidRPr="003D7AA9">
        <w:rPr>
          <w:rFonts w:ascii="Times New Roman" w:eastAsia="Times New Roman" w:hAnsi="Times New Roman" w:cs="Times New Roman"/>
          <w:b/>
          <w:bCs/>
          <w:sz w:val="24"/>
          <w:szCs w:val="24"/>
          <w:lang w:eastAsia="en-GB"/>
        </w:rPr>
        <w:t>Owen, D.</w:t>
      </w:r>
      <w:r w:rsidRPr="003D7AA9">
        <w:rPr>
          <w:rFonts w:ascii="Times New Roman" w:eastAsia="Times New Roman" w:hAnsi="Times New Roman" w:cs="Times New Roman"/>
          <w:sz w:val="24"/>
          <w:szCs w:val="24"/>
          <w:lang w:eastAsia="en-GB"/>
        </w:rPr>
        <w:t xml:space="preserve"> (1999) </w:t>
      </w:r>
      <w:r w:rsidRPr="003D7AA9">
        <w:rPr>
          <w:rFonts w:asciiTheme="majorBidi" w:eastAsia="Times New Roman" w:hAnsiTheme="majorBidi" w:cstheme="majorBidi"/>
          <w:sz w:val="24"/>
          <w:szCs w:val="24"/>
          <w:lang w:eastAsia="en-GB"/>
        </w:rPr>
        <w:t xml:space="preserve">Cultural diversity and the conversation of justice’, </w:t>
      </w:r>
      <w:r w:rsidRPr="003D7AA9">
        <w:rPr>
          <w:rFonts w:asciiTheme="majorBidi" w:eastAsia="Times New Roman" w:hAnsiTheme="majorBidi" w:cstheme="majorBidi"/>
          <w:i/>
          <w:iCs/>
          <w:sz w:val="24"/>
          <w:szCs w:val="24"/>
          <w:lang w:eastAsia="en-GB"/>
        </w:rPr>
        <w:t>Political Theory</w:t>
      </w:r>
      <w:r w:rsidRPr="003D7AA9">
        <w:rPr>
          <w:rFonts w:asciiTheme="majorBidi" w:eastAsia="Times New Roman" w:hAnsiTheme="majorBidi" w:cstheme="majorBidi"/>
          <w:sz w:val="24"/>
          <w:szCs w:val="24"/>
          <w:lang w:eastAsia="en-GB"/>
        </w:rPr>
        <w:t xml:space="preserve"> vol. 27, no.5, pp. 579-96.</w:t>
      </w:r>
      <w:proofErr w:type="gramEnd"/>
    </w:p>
    <w:p w:rsidR="003D7AA9" w:rsidRPr="003D7AA9" w:rsidRDefault="003D7AA9" w:rsidP="003D7AA9">
      <w:pPr>
        <w:tabs>
          <w:tab w:val="left" w:pos="3080"/>
        </w:tabs>
        <w:spacing w:after="0" w:line="360" w:lineRule="auto"/>
        <w:rPr>
          <w:rFonts w:ascii="Times New Roman" w:eastAsia="Times New Roman" w:hAnsi="Times New Roman" w:cs="Times New Roman"/>
          <w:sz w:val="24"/>
          <w:szCs w:val="24"/>
          <w:lang w:eastAsia="en-GB"/>
        </w:rPr>
      </w:pPr>
      <w:r w:rsidRPr="003D7AA9">
        <w:rPr>
          <w:rFonts w:asciiTheme="majorBidi" w:eastAsia="Times New Roman" w:hAnsiTheme="majorBidi" w:cstheme="majorBidi"/>
          <w:b/>
          <w:bCs/>
          <w:sz w:val="24"/>
          <w:szCs w:val="24"/>
          <w:lang w:eastAsia="en-GB"/>
        </w:rPr>
        <w:lastRenderedPageBreak/>
        <w:t xml:space="preserve">Owen, D. </w:t>
      </w:r>
      <w:r w:rsidRPr="003D7AA9">
        <w:rPr>
          <w:rFonts w:asciiTheme="majorBidi" w:eastAsia="Times New Roman" w:hAnsiTheme="majorBidi" w:cstheme="majorBidi"/>
          <w:sz w:val="24"/>
          <w:szCs w:val="24"/>
          <w:lang w:eastAsia="en-GB"/>
        </w:rPr>
        <w:t xml:space="preserve">(2006) ‘Perfectionism, </w:t>
      </w:r>
      <w:proofErr w:type="spellStart"/>
      <w:r w:rsidRPr="003D7AA9">
        <w:rPr>
          <w:rFonts w:asciiTheme="majorBidi" w:eastAsia="Times New Roman" w:hAnsiTheme="majorBidi" w:cstheme="majorBidi"/>
          <w:sz w:val="24"/>
          <w:szCs w:val="24"/>
          <w:lang w:eastAsia="en-GB"/>
        </w:rPr>
        <w:t>Parrhesia</w:t>
      </w:r>
      <w:proofErr w:type="spellEnd"/>
      <w:r w:rsidRPr="003D7AA9">
        <w:rPr>
          <w:rFonts w:asciiTheme="majorBidi" w:eastAsia="Times New Roman" w:hAnsiTheme="majorBidi" w:cstheme="majorBidi"/>
          <w:sz w:val="24"/>
          <w:szCs w:val="24"/>
          <w:lang w:eastAsia="en-GB"/>
        </w:rPr>
        <w:t xml:space="preserve"> and Care of the Self: Cavell and Foucault on Ethics and Politics’ in A. Norris (ed.) </w:t>
      </w:r>
      <w:r w:rsidRPr="003D7AA9">
        <w:rPr>
          <w:rFonts w:asciiTheme="majorBidi" w:eastAsia="Times New Roman" w:hAnsiTheme="majorBidi" w:cstheme="majorBidi"/>
          <w:i/>
          <w:sz w:val="24"/>
          <w:szCs w:val="24"/>
          <w:lang w:eastAsia="en-GB"/>
        </w:rPr>
        <w:t>Stanley Cavell and Political Philosophy</w:t>
      </w:r>
      <w:r w:rsidRPr="003D7AA9">
        <w:rPr>
          <w:rFonts w:asciiTheme="majorBidi" w:eastAsia="Times New Roman" w:hAnsiTheme="majorBidi" w:cstheme="majorBidi"/>
          <w:sz w:val="24"/>
          <w:szCs w:val="24"/>
          <w:lang w:eastAsia="en-GB"/>
        </w:rPr>
        <w:t>, Stanford University Press, pp.128-55.</w:t>
      </w:r>
    </w:p>
    <w:p w:rsidR="003D7AA9" w:rsidRPr="003D7AA9" w:rsidRDefault="003D7AA9" w:rsidP="003D7AA9">
      <w:pPr>
        <w:tabs>
          <w:tab w:val="left" w:pos="3080"/>
        </w:tabs>
        <w:spacing w:after="0" w:line="360" w:lineRule="auto"/>
        <w:rPr>
          <w:rFonts w:ascii="Times New Roman" w:eastAsia="Times New Roman" w:hAnsi="Times New Roman" w:cs="Times New Roman"/>
          <w:b/>
          <w:bCs/>
          <w:sz w:val="24"/>
          <w:szCs w:val="24"/>
          <w:lang w:eastAsia="en-GB"/>
        </w:rPr>
      </w:pPr>
      <w:proofErr w:type="gramStart"/>
      <w:r w:rsidRPr="003D7AA9">
        <w:rPr>
          <w:rFonts w:ascii="Times New Roman" w:eastAsia="Times New Roman" w:hAnsi="Times New Roman" w:cs="Times New Roman"/>
          <w:b/>
          <w:bCs/>
          <w:sz w:val="24"/>
          <w:szCs w:val="24"/>
          <w:lang w:eastAsia="en-GB"/>
        </w:rPr>
        <w:t xml:space="preserve">Owen, D. (2007) </w:t>
      </w:r>
      <w:r w:rsidRPr="003D7AA9">
        <w:rPr>
          <w:rFonts w:ascii="Times New Roman" w:eastAsia="Times New Roman" w:hAnsi="Times New Roman" w:cs="Times New Roman"/>
          <w:i/>
          <w:iCs/>
          <w:sz w:val="24"/>
          <w:szCs w:val="24"/>
          <w:lang w:eastAsia="en-GB"/>
        </w:rPr>
        <w:t>Nietzsche’s Genealogy of Morality</w:t>
      </w:r>
      <w:r w:rsidRPr="003D7AA9">
        <w:rPr>
          <w:rFonts w:ascii="Times New Roman" w:eastAsia="Times New Roman" w:hAnsi="Times New Roman" w:cs="Times New Roman"/>
          <w:sz w:val="24"/>
          <w:szCs w:val="24"/>
          <w:lang w:eastAsia="en-GB"/>
        </w:rPr>
        <w:t>.</w:t>
      </w:r>
      <w:proofErr w:type="gramEnd"/>
      <w:r w:rsidRPr="003D7AA9">
        <w:rPr>
          <w:rFonts w:ascii="Times New Roman" w:eastAsia="Times New Roman" w:hAnsi="Times New Roman" w:cs="Times New Roman"/>
          <w:sz w:val="24"/>
          <w:szCs w:val="24"/>
          <w:lang w:eastAsia="en-GB"/>
        </w:rPr>
        <w:t xml:space="preserve"> </w:t>
      </w:r>
      <w:proofErr w:type="gramStart"/>
      <w:r w:rsidRPr="003D7AA9">
        <w:rPr>
          <w:rFonts w:ascii="Times New Roman" w:eastAsia="Times New Roman" w:hAnsi="Times New Roman" w:cs="Times New Roman"/>
          <w:sz w:val="24"/>
          <w:szCs w:val="24"/>
          <w:lang w:eastAsia="en-GB"/>
        </w:rPr>
        <w:t>Acumen Press.</w:t>
      </w:r>
      <w:proofErr w:type="gramEnd"/>
    </w:p>
    <w:p w:rsidR="003D7AA9" w:rsidRPr="003D7AA9" w:rsidRDefault="003D7AA9" w:rsidP="003D7AA9">
      <w:pPr>
        <w:spacing w:after="0" w:line="360" w:lineRule="auto"/>
        <w:rPr>
          <w:rFonts w:ascii="Times New Roman" w:eastAsia="SimSun" w:hAnsi="Times New Roman" w:cs="Times New Roman"/>
          <w:sz w:val="24"/>
          <w:szCs w:val="24"/>
        </w:rPr>
      </w:pPr>
      <w:r w:rsidRPr="003D7AA9">
        <w:rPr>
          <w:rFonts w:ascii="Times New Roman" w:eastAsia="SimSun" w:hAnsi="Times New Roman" w:cs="Times New Roman"/>
          <w:b/>
          <w:bCs/>
          <w:sz w:val="24"/>
          <w:szCs w:val="24"/>
        </w:rPr>
        <w:t>Norval, A.J.</w:t>
      </w:r>
      <w:r w:rsidRPr="003D7AA9">
        <w:rPr>
          <w:rFonts w:ascii="Times New Roman" w:eastAsia="SimSun" w:hAnsi="Times New Roman" w:cs="Times New Roman"/>
          <w:sz w:val="24"/>
          <w:szCs w:val="24"/>
        </w:rPr>
        <w:t xml:space="preserve"> (2011) ‘Moral Perfectionism and Democratic Responsiveness: reading Cavell with Foucault’,</w:t>
      </w:r>
      <w:r w:rsidRPr="003D7AA9">
        <w:rPr>
          <w:rFonts w:ascii="Times New Roman" w:eastAsia="SimSun" w:hAnsi="Times New Roman" w:cs="Times New Roman"/>
          <w:i/>
          <w:iCs/>
          <w:sz w:val="24"/>
          <w:szCs w:val="24"/>
        </w:rPr>
        <w:t xml:space="preserve"> Ethics and Global Politics, </w:t>
      </w:r>
      <w:r w:rsidRPr="003D7AA9">
        <w:rPr>
          <w:rFonts w:ascii="Times New Roman" w:eastAsia="SimSun" w:hAnsi="Times New Roman" w:cs="Times New Roman"/>
          <w:sz w:val="24"/>
          <w:szCs w:val="24"/>
        </w:rPr>
        <w:t>vol.4, no.4, pp.207-29.</w:t>
      </w:r>
    </w:p>
    <w:p w:rsidR="003D7AA9" w:rsidRPr="003D7AA9" w:rsidRDefault="003D7AA9" w:rsidP="003D7AA9">
      <w:pPr>
        <w:spacing w:after="0" w:line="360" w:lineRule="auto"/>
        <w:rPr>
          <w:rFonts w:ascii="Times New Roman" w:eastAsia="SimSun" w:hAnsi="Times New Roman" w:cs="Times New Roman"/>
          <w:sz w:val="24"/>
          <w:szCs w:val="24"/>
        </w:rPr>
      </w:pPr>
      <w:r w:rsidRPr="003D7AA9">
        <w:rPr>
          <w:rFonts w:ascii="Times New Roman" w:eastAsia="SimSun" w:hAnsi="Times New Roman" w:cs="Times New Roman"/>
          <w:b/>
          <w:bCs/>
          <w:sz w:val="24"/>
          <w:szCs w:val="24"/>
        </w:rPr>
        <w:t>Woodford, C.</w:t>
      </w:r>
      <w:r w:rsidRPr="003D7AA9">
        <w:rPr>
          <w:rFonts w:ascii="Times New Roman" w:eastAsia="SimSun" w:hAnsi="Times New Roman" w:cs="Times New Roman"/>
          <w:sz w:val="24"/>
          <w:szCs w:val="24"/>
        </w:rPr>
        <w:t xml:space="preserve"> (2010) </w:t>
      </w:r>
      <w:r w:rsidRPr="003D7AA9">
        <w:rPr>
          <w:rFonts w:ascii="Times New Roman" w:eastAsia="SimSun" w:hAnsi="Times New Roman" w:cs="Times New Roman"/>
          <w:i/>
          <w:iCs/>
          <w:sz w:val="24"/>
          <w:szCs w:val="24"/>
        </w:rPr>
        <w:t xml:space="preserve">Democracy, Subjectivity and Voice: </w:t>
      </w:r>
      <w:proofErr w:type="spellStart"/>
      <w:r w:rsidRPr="003D7AA9">
        <w:rPr>
          <w:rFonts w:ascii="Times New Roman" w:eastAsia="SimSun" w:hAnsi="Times New Roman" w:cs="Times New Roman"/>
          <w:i/>
          <w:iCs/>
          <w:sz w:val="24"/>
          <w:szCs w:val="24"/>
        </w:rPr>
        <w:t>Emersonian</w:t>
      </w:r>
      <w:proofErr w:type="spellEnd"/>
      <w:r w:rsidRPr="003D7AA9">
        <w:rPr>
          <w:rFonts w:ascii="Times New Roman" w:eastAsia="SimSun" w:hAnsi="Times New Roman" w:cs="Times New Roman"/>
          <w:i/>
          <w:iCs/>
          <w:sz w:val="24"/>
          <w:szCs w:val="24"/>
        </w:rPr>
        <w:t xml:space="preserve"> Perfectionism and Radical Democratic Theory,</w:t>
      </w:r>
      <w:r w:rsidRPr="003D7AA9">
        <w:rPr>
          <w:rFonts w:ascii="Times New Roman" w:eastAsia="SimSun" w:hAnsi="Times New Roman" w:cs="Times New Roman"/>
          <w:sz w:val="24"/>
          <w:szCs w:val="24"/>
        </w:rPr>
        <w:t xml:space="preserve"> University of Southampton Doctoral Thesis.</w:t>
      </w:r>
    </w:p>
    <w:p w:rsidR="003D7AA9" w:rsidRPr="003D7AA9" w:rsidRDefault="003D7AA9" w:rsidP="003D7AA9">
      <w:pPr>
        <w:spacing w:after="0" w:line="360" w:lineRule="auto"/>
        <w:rPr>
          <w:rFonts w:ascii="Times New Roman" w:eastAsia="SimSun" w:hAnsi="Times New Roman" w:cs="Times New Roman"/>
          <w:sz w:val="24"/>
          <w:szCs w:val="24"/>
        </w:rPr>
      </w:pPr>
      <w:r w:rsidRPr="003D7AA9">
        <w:rPr>
          <w:rFonts w:ascii="Times New Roman" w:eastAsia="SimSun" w:hAnsi="Times New Roman" w:cs="Times New Roman"/>
          <w:b/>
          <w:bCs/>
          <w:sz w:val="24"/>
          <w:szCs w:val="24"/>
        </w:rPr>
        <w:t>Woodford, C.</w:t>
      </w:r>
      <w:r w:rsidRPr="003D7AA9">
        <w:rPr>
          <w:rFonts w:ascii="Times New Roman" w:eastAsia="SimSun" w:hAnsi="Times New Roman" w:cs="Times New Roman"/>
          <w:sz w:val="24"/>
          <w:szCs w:val="24"/>
        </w:rPr>
        <w:t xml:space="preserve"> (2011) ‘From Nora to the BNP: Implications of Cavell’s Critique of Rawls’,</w:t>
      </w:r>
      <w:r w:rsidRPr="003D7AA9">
        <w:rPr>
          <w:rFonts w:ascii="Times New Roman" w:eastAsia="SimSun" w:hAnsi="Times New Roman" w:cs="Times New Roman"/>
          <w:i/>
          <w:iCs/>
          <w:sz w:val="24"/>
          <w:szCs w:val="24"/>
        </w:rPr>
        <w:t xml:space="preserve"> </w:t>
      </w:r>
      <w:proofErr w:type="gramStart"/>
      <w:r w:rsidRPr="003D7AA9">
        <w:rPr>
          <w:rFonts w:ascii="Times New Roman" w:eastAsia="SimSun" w:hAnsi="Times New Roman" w:cs="Times New Roman"/>
          <w:sz w:val="24"/>
          <w:szCs w:val="24"/>
        </w:rPr>
        <w:t>Unpublished</w:t>
      </w:r>
      <w:proofErr w:type="gramEnd"/>
      <w:r w:rsidRPr="003D7AA9">
        <w:rPr>
          <w:rFonts w:ascii="Times New Roman" w:eastAsia="SimSun" w:hAnsi="Times New Roman" w:cs="Times New Roman"/>
          <w:sz w:val="24"/>
          <w:szCs w:val="24"/>
        </w:rPr>
        <w:t xml:space="preserve"> manuscript.</w:t>
      </w:r>
    </w:p>
    <w:p w:rsidR="003D7AA9" w:rsidRPr="003D7AA9" w:rsidRDefault="003D7AA9" w:rsidP="003D7AA9">
      <w:pPr>
        <w:spacing w:after="0" w:line="360" w:lineRule="auto"/>
        <w:rPr>
          <w:rFonts w:ascii="Times New Roman" w:eastAsia="SimSun" w:hAnsi="Times New Roman" w:cs="Times New Roman"/>
          <w:sz w:val="24"/>
          <w:szCs w:val="24"/>
        </w:rPr>
      </w:pPr>
    </w:p>
    <w:p w:rsidR="003D7AA9" w:rsidRPr="003D7AA9" w:rsidRDefault="003D7AA9" w:rsidP="003D7AA9">
      <w:pPr>
        <w:spacing w:after="0" w:line="360" w:lineRule="auto"/>
        <w:rPr>
          <w:rFonts w:ascii="Times New Roman" w:eastAsia="SimSun" w:hAnsi="Times New Roman" w:cs="Times New Roman"/>
          <w:sz w:val="24"/>
          <w:szCs w:val="24"/>
        </w:rPr>
      </w:pPr>
    </w:p>
    <w:p w:rsidR="003D7AA9" w:rsidRPr="003D7AA9" w:rsidRDefault="003D7AA9" w:rsidP="003D7AA9">
      <w:pPr>
        <w:spacing w:after="0" w:line="360" w:lineRule="auto"/>
        <w:rPr>
          <w:rFonts w:ascii="Times New Roman" w:eastAsia="SimSun" w:hAnsi="Times New Roman" w:cs="Times New Roman"/>
          <w:sz w:val="24"/>
          <w:szCs w:val="24"/>
        </w:rPr>
      </w:pPr>
    </w:p>
    <w:p w:rsidR="003D7AA9" w:rsidRPr="003D7AA9" w:rsidRDefault="003D7AA9" w:rsidP="003D7AA9">
      <w:pPr>
        <w:tabs>
          <w:tab w:val="left" w:pos="3080"/>
        </w:tabs>
        <w:spacing w:after="0" w:line="360" w:lineRule="auto"/>
        <w:rPr>
          <w:rFonts w:ascii="Times New Roman" w:eastAsia="Times New Roman" w:hAnsi="Times New Roman" w:cs="Times New Roman"/>
          <w:sz w:val="24"/>
          <w:szCs w:val="24"/>
          <w:lang w:eastAsia="en-GB"/>
        </w:rPr>
      </w:pPr>
    </w:p>
    <w:p w:rsidR="003D7AA9" w:rsidRPr="001D208E" w:rsidRDefault="003D7AA9" w:rsidP="00B3456A">
      <w:pPr>
        <w:spacing w:line="360" w:lineRule="auto"/>
        <w:rPr>
          <w:rFonts w:asciiTheme="majorBidi" w:hAnsiTheme="majorBidi" w:cstheme="majorBidi"/>
          <w:sz w:val="24"/>
        </w:rPr>
      </w:pPr>
    </w:p>
    <w:sectPr w:rsidR="003D7AA9" w:rsidRPr="001D208E" w:rsidSect="00527F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71" w:rsidRDefault="00FC4671" w:rsidP="00CF2B41">
      <w:pPr>
        <w:spacing w:after="0" w:line="240" w:lineRule="auto"/>
      </w:pPr>
      <w:r>
        <w:separator/>
      </w:r>
    </w:p>
  </w:endnote>
  <w:endnote w:type="continuationSeparator" w:id="0">
    <w:p w:rsidR="00FC4671" w:rsidRDefault="00FC4671" w:rsidP="00CF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264395"/>
      <w:docPartObj>
        <w:docPartGallery w:val="Page Numbers (Bottom of Page)"/>
        <w:docPartUnique/>
      </w:docPartObj>
    </w:sdtPr>
    <w:sdtEndPr>
      <w:rPr>
        <w:noProof/>
      </w:rPr>
    </w:sdtEndPr>
    <w:sdtContent>
      <w:p w:rsidR="007D44BD" w:rsidRDefault="00AB415A">
        <w:pPr>
          <w:pStyle w:val="Footer"/>
          <w:jc w:val="right"/>
        </w:pPr>
        <w:r>
          <w:fldChar w:fldCharType="begin"/>
        </w:r>
        <w:r w:rsidR="007D44BD">
          <w:instrText xml:space="preserve"> PAGE   \* MERGEFORMAT </w:instrText>
        </w:r>
        <w:r>
          <w:fldChar w:fldCharType="separate"/>
        </w:r>
        <w:r w:rsidR="00E358F1">
          <w:rPr>
            <w:noProof/>
          </w:rPr>
          <w:t>18</w:t>
        </w:r>
        <w:r>
          <w:rPr>
            <w:noProof/>
          </w:rPr>
          <w:fldChar w:fldCharType="end"/>
        </w:r>
      </w:p>
    </w:sdtContent>
  </w:sdt>
  <w:p w:rsidR="007D44BD" w:rsidRDefault="007D4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71" w:rsidRDefault="00FC4671" w:rsidP="00CF2B41">
      <w:pPr>
        <w:spacing w:after="0" w:line="240" w:lineRule="auto"/>
      </w:pPr>
      <w:r>
        <w:separator/>
      </w:r>
    </w:p>
  </w:footnote>
  <w:footnote w:type="continuationSeparator" w:id="0">
    <w:p w:rsidR="00FC4671" w:rsidRDefault="00FC4671" w:rsidP="00CF2B41">
      <w:pPr>
        <w:spacing w:after="0" w:line="240" w:lineRule="auto"/>
      </w:pPr>
      <w:r>
        <w:continuationSeparator/>
      </w:r>
    </w:p>
  </w:footnote>
  <w:footnote w:id="1">
    <w:p w:rsidR="007D44BD" w:rsidRDefault="007D44BD" w:rsidP="00107A3A">
      <w:pPr>
        <w:pStyle w:val="FootnoteText"/>
      </w:pPr>
      <w:r>
        <w:rPr>
          <w:rStyle w:val="FootnoteReference"/>
        </w:rPr>
        <w:footnoteRef/>
      </w:r>
      <w:r>
        <w:t xml:space="preserve"> </w:t>
      </w:r>
      <w:r w:rsidRPr="00107A3A">
        <w:t xml:space="preserve">The problem that Foucault takes himself to confront here is formally isomorphic with the problem that Nietzsche took himself to face in which morality (in the sense Nietzsche targets) successfully presents itself as the rational form of ethics and yet undermines the conditions – and prospects - of human autonomy and flourishing.  We can express this formal relationship by saying that what Foucault is undertaking is the project of the re-evaluation of the government of self and others. Such a project has two necessary steps. The first involves demonstrating the possibility of such a re-evaluation by providing a genealogy of </w:t>
      </w:r>
      <w:proofErr w:type="spellStart"/>
      <w:r w:rsidRPr="00107A3A">
        <w:t>biopolitical</w:t>
      </w:r>
      <w:proofErr w:type="spellEnd"/>
      <w:r w:rsidRPr="00107A3A">
        <w:t xml:space="preserve"> governance which decentres it within the broader historical field of the government of self and others. The second involves demonstrating the need for such a re-evaluation by showing that this mode of government poses a danger that can be overcome. Our focus is primarily on the second of these steps and we will approach it by providing a reconstruction of Foucault’s reasons for taking </w:t>
      </w:r>
      <w:proofErr w:type="spellStart"/>
      <w:r w:rsidRPr="00107A3A">
        <w:t>biopolitical</w:t>
      </w:r>
      <w:proofErr w:type="spellEnd"/>
      <w:r w:rsidRPr="00107A3A">
        <w:t xml:space="preserve"> forms of governance to represent a danger that can be overcome.</w:t>
      </w:r>
    </w:p>
  </w:footnote>
  <w:footnote w:id="2">
    <w:p w:rsidR="007D44BD" w:rsidRDefault="007D44BD" w:rsidP="00CC4AA7">
      <w:pPr>
        <w:pStyle w:val="FootnoteText"/>
      </w:pPr>
      <w:r>
        <w:rPr>
          <w:rStyle w:val="FootnoteReference"/>
        </w:rPr>
        <w:footnoteRef/>
      </w:r>
      <w:r>
        <w:t xml:space="preserve"> Dreyfus &amp; </w:t>
      </w:r>
      <w:proofErr w:type="spellStart"/>
      <w:r>
        <w:t>Rabinow</w:t>
      </w:r>
      <w:proofErr w:type="spellEnd"/>
      <w:r>
        <w:t>, 1982; 196</w:t>
      </w:r>
    </w:p>
  </w:footnote>
  <w:footnote w:id="3">
    <w:p w:rsidR="007D44BD" w:rsidRDefault="007D44BD" w:rsidP="000619F3">
      <w:pPr>
        <w:pStyle w:val="FootnoteText"/>
      </w:pPr>
      <w:r>
        <w:rPr>
          <w:rStyle w:val="FootnoteReference"/>
        </w:rPr>
        <w:footnoteRef/>
      </w:r>
      <w:r>
        <w:t xml:space="preserve"> Foucault,  1977: 304</w:t>
      </w:r>
    </w:p>
  </w:footnote>
  <w:footnote w:id="4">
    <w:p w:rsidR="007D44BD" w:rsidRDefault="007D44BD" w:rsidP="000619F3">
      <w:pPr>
        <w:pStyle w:val="FootnoteText"/>
      </w:pPr>
      <w:r>
        <w:rPr>
          <w:rStyle w:val="FootnoteReference"/>
        </w:rPr>
        <w:footnoteRef/>
      </w:r>
      <w:r>
        <w:t xml:space="preserve"> Foucault, 1997: 317</w:t>
      </w:r>
    </w:p>
  </w:footnote>
  <w:footnote w:id="5">
    <w:p w:rsidR="007D44BD" w:rsidRDefault="007D44BD">
      <w:pPr>
        <w:pStyle w:val="FootnoteText"/>
      </w:pPr>
      <w:r>
        <w:rPr>
          <w:rStyle w:val="FootnoteReference"/>
        </w:rPr>
        <w:footnoteRef/>
      </w:r>
      <w:r>
        <w:t xml:space="preserve"> </w:t>
      </w:r>
      <w:proofErr w:type="spellStart"/>
      <w:r>
        <w:t>Menke</w:t>
      </w:r>
      <w:proofErr w:type="spellEnd"/>
      <w:r>
        <w:t>, 2003: 207</w:t>
      </w:r>
    </w:p>
  </w:footnote>
  <w:footnote w:id="6">
    <w:p w:rsidR="007D44BD" w:rsidRDefault="007D44BD" w:rsidP="001F5793">
      <w:pPr>
        <w:pStyle w:val="FootnoteText"/>
      </w:pPr>
      <w:r>
        <w:rPr>
          <w:rStyle w:val="FootnoteReference"/>
        </w:rPr>
        <w:footnoteRef/>
      </w:r>
      <w:r>
        <w:t xml:space="preserve"> Foucault, 1984: 343</w:t>
      </w:r>
    </w:p>
  </w:footnote>
  <w:footnote w:id="7">
    <w:p w:rsidR="007D44BD" w:rsidRDefault="007D44BD" w:rsidP="003326D5">
      <w:pPr>
        <w:pStyle w:val="FootnoteText"/>
      </w:pPr>
      <w:r>
        <w:rPr>
          <w:rStyle w:val="FootnoteReference"/>
        </w:rPr>
        <w:footnoteRef/>
      </w:r>
      <w:r>
        <w:t xml:space="preserve"> See Owen 2007 on Nietzsche and Owen 2006 on the relation of this Nietzsche view to </w:t>
      </w:r>
      <w:proofErr w:type="spellStart"/>
      <w:r>
        <w:t>Foucualt</w:t>
      </w:r>
      <w:proofErr w:type="spellEnd"/>
      <w:r>
        <w:t>.</w:t>
      </w:r>
    </w:p>
  </w:footnote>
  <w:footnote w:id="8">
    <w:p w:rsidR="007D44BD" w:rsidRDefault="007D44BD">
      <w:pPr>
        <w:pStyle w:val="FootnoteText"/>
      </w:pPr>
      <w:r>
        <w:rPr>
          <w:rStyle w:val="FootnoteReference"/>
        </w:rPr>
        <w:footnoteRef/>
      </w:r>
      <w:r>
        <w:t xml:space="preserve"> Foucault, 2005: 17</w:t>
      </w:r>
    </w:p>
  </w:footnote>
  <w:footnote w:id="9">
    <w:p w:rsidR="007D44BD" w:rsidRDefault="007D44BD">
      <w:pPr>
        <w:pStyle w:val="FootnoteText"/>
      </w:pPr>
      <w:r>
        <w:rPr>
          <w:rStyle w:val="FootnoteReference"/>
        </w:rPr>
        <w:footnoteRef/>
      </w:r>
      <w:r>
        <w:t xml:space="preserve"> Foucault, 2005: 16</w:t>
      </w:r>
    </w:p>
  </w:footnote>
  <w:footnote w:id="10">
    <w:p w:rsidR="007D44BD" w:rsidRDefault="007D44BD" w:rsidP="003774A1">
      <w:pPr>
        <w:pStyle w:val="FootnoteText"/>
      </w:pPr>
      <w:r>
        <w:rPr>
          <w:rStyle w:val="FootnoteReference"/>
        </w:rPr>
        <w:footnoteRef/>
      </w:r>
      <w:r>
        <w:t xml:space="preserve"> Cavell, 2004: 11</w:t>
      </w:r>
    </w:p>
  </w:footnote>
  <w:footnote w:id="11">
    <w:p w:rsidR="007D44BD" w:rsidRDefault="007D44BD">
      <w:pPr>
        <w:pStyle w:val="FootnoteText"/>
      </w:pPr>
      <w:r>
        <w:rPr>
          <w:rStyle w:val="FootnoteReference"/>
        </w:rPr>
        <w:footnoteRef/>
      </w:r>
      <w:r>
        <w:t xml:space="preserve"> Cavell, 1969: 72 cited in Davidson 2005: xxvi.</w:t>
      </w:r>
      <w:r w:rsidR="003D7AA9">
        <w:t xml:space="preserve"> See also Davidson 2003.</w:t>
      </w:r>
    </w:p>
  </w:footnote>
  <w:footnote w:id="12">
    <w:p w:rsidR="007D44BD" w:rsidRDefault="007D44BD" w:rsidP="004F2582">
      <w:pPr>
        <w:pStyle w:val="FootnoteText"/>
      </w:pPr>
      <w:r>
        <w:rPr>
          <w:rStyle w:val="FootnoteReference"/>
        </w:rPr>
        <w:footnoteRef/>
      </w:r>
      <w:r>
        <w:t xml:space="preserve"> See Cavell</w:t>
      </w:r>
      <w:r w:rsidR="003D7AA9">
        <w:t>, 1990: xxxii and Foucault, 2005</w:t>
      </w:r>
      <w:r>
        <w:t xml:space="preserve">: 135-7. </w:t>
      </w:r>
      <w:r w:rsidRPr="00107A3A">
        <w:t xml:space="preserve">This feature is perhaps most clearly apparent in Cavell’s treatment of moral perfectionism in those Hollywood films that he refers to as ‘comedies of re-marriage’ in which it becomes clear that moral perfectionism, like the ethics of care of the self, addresses ‘what used to be called the state of one’s soul’ in that it is specifically concerned with one’s intelligibility to oneself as a (moral) agent.  It focuses on what Foucault commenting on the care of the self refers to as the relation of </w:t>
      </w:r>
      <w:r w:rsidRPr="00107A3A">
        <w:rPr>
          <w:i/>
          <w:iCs/>
        </w:rPr>
        <w:t>bios</w:t>
      </w:r>
      <w:r w:rsidRPr="00107A3A">
        <w:t xml:space="preserve"> and </w:t>
      </w:r>
      <w:r w:rsidRPr="00107A3A">
        <w:rPr>
          <w:i/>
          <w:iCs/>
        </w:rPr>
        <w:t>logos</w:t>
      </w:r>
      <w:r w:rsidRPr="00107A3A">
        <w:t>. This is manifest in the central significance of the theme of conversion and the figure of the friend in Cavell’s treatment of these films and of moral perfectionism more generally to which we return in the next section</w:t>
      </w:r>
    </w:p>
  </w:footnote>
  <w:footnote w:id="13">
    <w:p w:rsidR="007D44BD" w:rsidRDefault="007D44BD" w:rsidP="004F2582">
      <w:pPr>
        <w:pStyle w:val="FootnoteText"/>
      </w:pPr>
      <w:r>
        <w:rPr>
          <w:rStyle w:val="FootnoteReference"/>
        </w:rPr>
        <w:footnoteRef/>
      </w:r>
      <w:r>
        <w:t xml:space="preserve"> </w:t>
      </w:r>
      <w:proofErr w:type="spellStart"/>
      <w:r>
        <w:t>Flathman</w:t>
      </w:r>
      <w:proofErr w:type="spellEnd"/>
      <w:r>
        <w:t>, 2003: 19</w:t>
      </w:r>
    </w:p>
  </w:footnote>
  <w:footnote w:id="14">
    <w:p w:rsidR="007D44BD" w:rsidRDefault="007D44BD" w:rsidP="004F2582">
      <w:pPr>
        <w:pStyle w:val="FootnoteText"/>
      </w:pPr>
      <w:r>
        <w:rPr>
          <w:rStyle w:val="FootnoteReference"/>
        </w:rPr>
        <w:footnoteRef/>
      </w:r>
      <w:r>
        <w:t xml:space="preserve"> </w:t>
      </w:r>
      <w:proofErr w:type="spellStart"/>
      <w:r>
        <w:t>Flathman</w:t>
      </w:r>
      <w:proofErr w:type="spellEnd"/>
      <w:r>
        <w:t>, 2003: 21</w:t>
      </w:r>
    </w:p>
  </w:footnote>
  <w:footnote w:id="15">
    <w:p w:rsidR="007D44BD" w:rsidRDefault="007D44BD" w:rsidP="00E151A2">
      <w:pPr>
        <w:pStyle w:val="FootnoteText"/>
      </w:pPr>
      <w:r>
        <w:rPr>
          <w:rStyle w:val="FootnoteReference"/>
        </w:rPr>
        <w:footnoteRef/>
      </w:r>
      <w:r>
        <w:t xml:space="preserve"> Cavell, 1990: xxxiv</w:t>
      </w:r>
    </w:p>
  </w:footnote>
  <w:footnote w:id="16">
    <w:p w:rsidR="007D44BD" w:rsidRDefault="007D44BD" w:rsidP="00E151A2">
      <w:pPr>
        <w:pStyle w:val="FootnoteText"/>
      </w:pPr>
      <w:r>
        <w:rPr>
          <w:rStyle w:val="FootnoteReference"/>
        </w:rPr>
        <w:footnoteRef/>
      </w:r>
      <w:r>
        <w:t xml:space="preserve"> Foucault, 1997: 317. W</w:t>
      </w:r>
      <w:r w:rsidRPr="00AA0F40">
        <w:t>hile Cavell acknowledges certain Christian texts as examples of engage</w:t>
      </w:r>
      <w:r w:rsidR="00FD2472">
        <w:t xml:space="preserve">ment with moral perfectionism, </w:t>
      </w:r>
      <w:r w:rsidRPr="00AA0F40">
        <w:t xml:space="preserve">he opposes </w:t>
      </w:r>
      <w:proofErr w:type="spellStart"/>
      <w:r w:rsidRPr="00AA0F40">
        <w:t>Emersonian</w:t>
      </w:r>
      <w:proofErr w:type="spellEnd"/>
      <w:r w:rsidRPr="00AA0F40">
        <w:t xml:space="preserve"> Perfectionism to the teleological variant of moral perfectionism advanced within the Christian tradition. I'll address this issue further in the following section but it is perhaps worth noting that Cavell's acknowledgment of a Christian mode of moral perfectionism and his rejection of that mode as incompatible with the commitment to autonomy that is a constitutive feature of our modernity exhibits the same structural relationship to Christianity found in Foucault's acknowledgment of a Christian mode of the ethics of the care of the self and his rejection of that mode from the perspective of the ethos of modernity as articulating, in its religious and secular variants, a threat to the principle of autonomy. In this respect, both Foucault and Cavell align themselves with the Greek and Roman view of the ethics of care of the self as an aesthetics of existence (that re-emerges in Romanticism and in Nietzsche) against the Christian view of the ethics of care of the self as the renunciation and transcendence of the self.</w:t>
      </w:r>
    </w:p>
  </w:footnote>
  <w:footnote w:id="17">
    <w:p w:rsidR="007D44BD" w:rsidRPr="00A53B69" w:rsidRDefault="007D44BD" w:rsidP="00A53B69">
      <w:pPr>
        <w:spacing w:line="240" w:lineRule="auto"/>
        <w:rPr>
          <w:rFonts w:ascii="Times New Roman" w:eastAsia="Times New Roman" w:hAnsi="Times New Roman" w:cs="Times New Roman"/>
          <w:sz w:val="20"/>
          <w:szCs w:val="20"/>
          <w:lang w:eastAsia="en-US"/>
        </w:rPr>
      </w:pPr>
      <w:r>
        <w:rPr>
          <w:rStyle w:val="FootnoteReference"/>
        </w:rPr>
        <w:footnoteRef/>
      </w:r>
      <w:r>
        <w:t xml:space="preserve"> </w:t>
      </w:r>
      <w:r w:rsidRPr="00A53B69">
        <w:rPr>
          <w:rFonts w:ascii="Times New Roman" w:eastAsia="Times New Roman" w:hAnsi="Times New Roman" w:cs="Times New Roman"/>
          <w:sz w:val="20"/>
          <w:szCs w:val="20"/>
          <w:lang w:eastAsia="en-US"/>
        </w:rPr>
        <w:t>As a brief illustration of how Foucault’s genealogical work can help to understand Cavell’s reflection</w:t>
      </w:r>
      <w:r>
        <w:rPr>
          <w:rFonts w:ascii="Times New Roman" w:eastAsia="Times New Roman" w:hAnsi="Times New Roman" w:cs="Times New Roman"/>
          <w:sz w:val="20"/>
          <w:szCs w:val="20"/>
          <w:lang w:eastAsia="en-US"/>
        </w:rPr>
        <w:t>s on moral perfectionism</w:t>
      </w:r>
      <w:r w:rsidRPr="00A53B69">
        <w:rPr>
          <w:rFonts w:ascii="Times New Roman" w:eastAsia="Times New Roman" w:hAnsi="Times New Roman" w:cs="Times New Roman"/>
          <w:sz w:val="20"/>
          <w:szCs w:val="20"/>
          <w:lang w:eastAsia="en-US"/>
        </w:rPr>
        <w:t>, we can note moral perfectionism is not presented by Cavell as ‘a competing theory of the moral life’ (as we imagine deontological and consequentialist theories to be) but rather, as ‘something like a dimension or tradition of the moral life that spans the course of Western thought and concerns what used to be called the state of one’s soul, a dimension that places tremendous burdens on personal relationships and on the possibility or necessity of the transforming of oneself and of one’s s</w:t>
      </w:r>
      <w:r w:rsidRPr="00FD2472">
        <w:rPr>
          <w:rFonts w:ascii="Times New Roman" w:eastAsia="Times New Roman" w:hAnsi="Times New Roman" w:cs="Times New Roman"/>
          <w:sz w:val="20"/>
          <w:szCs w:val="20"/>
          <w:highlight w:val="yellow"/>
          <w:lang w:eastAsia="en-US"/>
        </w:rPr>
        <w:t>ociety’</w:t>
      </w:r>
      <w:r w:rsidRPr="00A53B69">
        <w:rPr>
          <w:rFonts w:ascii="Times New Roman" w:eastAsia="Times New Roman" w:hAnsi="Times New Roman" w:cs="Times New Roman"/>
          <w:sz w:val="20"/>
          <w:szCs w:val="20"/>
          <w:lang w:eastAsia="en-US"/>
        </w:rPr>
        <w:t xml:space="preserve">. We can explicate the precision of Cavell’s apparent equivocation in the statement ‘something like a dimension or tradition of the moral life’ by reference to Foucault’s reflections on ethics. It is like a dimension in that, as Foucault points out: ‘There is no specific moral action that does not refer to a unified moral conduct; no moral conduct that does not call for a forming of oneself as an ethical subject; and no forming of the ethical subject without “modes of </w:t>
      </w:r>
      <w:proofErr w:type="spellStart"/>
      <w:r w:rsidRPr="00A53B69">
        <w:rPr>
          <w:rFonts w:ascii="Times New Roman" w:eastAsia="Times New Roman" w:hAnsi="Times New Roman" w:cs="Times New Roman"/>
          <w:sz w:val="20"/>
          <w:szCs w:val="20"/>
          <w:lang w:eastAsia="en-US"/>
        </w:rPr>
        <w:t>subjectivation</w:t>
      </w:r>
      <w:proofErr w:type="spellEnd"/>
      <w:r w:rsidRPr="00A53B69">
        <w:rPr>
          <w:rFonts w:ascii="Times New Roman" w:eastAsia="Times New Roman" w:hAnsi="Times New Roman" w:cs="Times New Roman"/>
          <w:sz w:val="20"/>
          <w:szCs w:val="20"/>
          <w:lang w:eastAsia="en-US"/>
        </w:rPr>
        <w:t xml:space="preserve">” and an “ascetics” or “practices of the </w:t>
      </w:r>
      <w:r w:rsidRPr="00FD2472">
        <w:rPr>
          <w:rFonts w:ascii="Times New Roman" w:eastAsia="Times New Roman" w:hAnsi="Times New Roman" w:cs="Times New Roman"/>
          <w:sz w:val="20"/>
          <w:szCs w:val="20"/>
          <w:highlight w:val="yellow"/>
          <w:lang w:eastAsia="en-US"/>
        </w:rPr>
        <w:t>self” that support them</w:t>
      </w:r>
      <w:r w:rsidRPr="00A53B69">
        <w:rPr>
          <w:rFonts w:ascii="Times New Roman" w:eastAsia="Times New Roman" w:hAnsi="Times New Roman" w:cs="Times New Roman"/>
          <w:sz w:val="20"/>
          <w:szCs w:val="20"/>
          <w:lang w:eastAsia="en-US"/>
        </w:rPr>
        <w:t xml:space="preserve">.’ It is like a tradition because, as Foucault notes, it has come to the fore relative to the ‘moral code’ dimension of morality at various points in the course of the Western history of morality. As Foucault’s historical studies demonstrate, our ethical lives involve both reference to moral rules and ethical </w:t>
      </w:r>
      <w:r w:rsidRPr="00A53B69">
        <w:rPr>
          <w:rFonts w:ascii="Times New Roman" w:eastAsia="Times New Roman" w:hAnsi="Times New Roman" w:cs="Times New Roman"/>
          <w:iCs/>
          <w:sz w:val="20"/>
          <w:szCs w:val="20"/>
          <w:lang w:eastAsia="en-US"/>
        </w:rPr>
        <w:t>relations to self</w:t>
      </w:r>
      <w:r w:rsidRPr="00A53B69">
        <w:rPr>
          <w:rFonts w:ascii="Times New Roman" w:eastAsia="Times New Roman" w:hAnsi="Times New Roman" w:cs="Times New Roman"/>
          <w:sz w:val="20"/>
          <w:szCs w:val="20"/>
          <w:lang w:eastAsia="en-US"/>
        </w:rPr>
        <w:t>, and it is the case that these elements ‘</w:t>
      </w:r>
      <w:r w:rsidRPr="00FD2472">
        <w:rPr>
          <w:rFonts w:ascii="Times New Roman" w:eastAsia="Times New Roman" w:hAnsi="Times New Roman" w:cs="Times New Roman"/>
          <w:sz w:val="20"/>
          <w:szCs w:val="20"/>
          <w:highlight w:val="yellow"/>
          <w:lang w:eastAsia="en-US"/>
        </w:rPr>
        <w:t>may develop in relative independence from one anot</w:t>
      </w:r>
      <w:r w:rsidRPr="00A53B69">
        <w:rPr>
          <w:rFonts w:ascii="Times New Roman" w:eastAsia="Times New Roman" w:hAnsi="Times New Roman" w:cs="Times New Roman"/>
          <w:sz w:val="20"/>
          <w:szCs w:val="20"/>
          <w:lang w:eastAsia="en-US"/>
        </w:rPr>
        <w:t xml:space="preserve">her’, while different forms of ethical life may exhibit different relations to these two features. Thus, and here Foucault has in mind post-Reformation Europe, ‘in certain moralities the main emphasis is placed on the code, on its </w:t>
      </w:r>
      <w:proofErr w:type="spellStart"/>
      <w:r w:rsidRPr="00A53B69">
        <w:rPr>
          <w:rFonts w:ascii="Times New Roman" w:eastAsia="Times New Roman" w:hAnsi="Times New Roman" w:cs="Times New Roman"/>
          <w:sz w:val="20"/>
          <w:szCs w:val="20"/>
          <w:lang w:eastAsia="en-US"/>
        </w:rPr>
        <w:t>systematicity</w:t>
      </w:r>
      <w:proofErr w:type="spellEnd"/>
      <w:r w:rsidRPr="00A53B69">
        <w:rPr>
          <w:rFonts w:ascii="Times New Roman" w:eastAsia="Times New Roman" w:hAnsi="Times New Roman" w:cs="Times New Roman"/>
          <w:sz w:val="20"/>
          <w:szCs w:val="20"/>
          <w:lang w:eastAsia="en-US"/>
        </w:rPr>
        <w:t xml:space="preserve">, its richness, its capacity to adjust to every possible case and to embrace every type of </w:t>
      </w:r>
      <w:proofErr w:type="spellStart"/>
      <w:r w:rsidRPr="00A53B69">
        <w:rPr>
          <w:rFonts w:ascii="Times New Roman" w:eastAsia="Times New Roman" w:hAnsi="Times New Roman" w:cs="Times New Roman"/>
          <w:sz w:val="20"/>
          <w:szCs w:val="20"/>
          <w:lang w:eastAsia="en-US"/>
        </w:rPr>
        <w:t>behavior</w:t>
      </w:r>
      <w:proofErr w:type="spellEnd"/>
      <w:r w:rsidRPr="00A53B69">
        <w:rPr>
          <w:rFonts w:ascii="Times New Roman" w:eastAsia="Times New Roman" w:hAnsi="Times New Roman" w:cs="Times New Roman"/>
          <w:sz w:val="20"/>
          <w:szCs w:val="20"/>
          <w:lang w:eastAsia="en-US"/>
        </w:rPr>
        <w:t xml:space="preserve">’ such that ‘the </w:t>
      </w:r>
      <w:proofErr w:type="spellStart"/>
      <w:r w:rsidRPr="00A53B69">
        <w:rPr>
          <w:rFonts w:ascii="Times New Roman" w:eastAsia="Times New Roman" w:hAnsi="Times New Roman" w:cs="Times New Roman"/>
          <w:sz w:val="20"/>
          <w:szCs w:val="20"/>
          <w:lang w:eastAsia="en-US"/>
        </w:rPr>
        <w:t>subjectivation</w:t>
      </w:r>
      <w:proofErr w:type="spellEnd"/>
      <w:r w:rsidRPr="00A53B69">
        <w:rPr>
          <w:rFonts w:ascii="Times New Roman" w:eastAsia="Times New Roman" w:hAnsi="Times New Roman" w:cs="Times New Roman"/>
          <w:sz w:val="20"/>
          <w:szCs w:val="20"/>
          <w:lang w:eastAsia="en-US"/>
        </w:rPr>
        <w:t xml:space="preserve"> occurs basically in a quasi-juridical form, where the ethical subject refers his conduct to a law, or set of laws, to which he must submit at the risk of committing offenses that </w:t>
      </w:r>
      <w:r w:rsidRPr="00FD2472">
        <w:rPr>
          <w:rFonts w:ascii="Times New Roman" w:eastAsia="Times New Roman" w:hAnsi="Times New Roman" w:cs="Times New Roman"/>
          <w:sz w:val="20"/>
          <w:szCs w:val="20"/>
          <w:highlight w:val="yellow"/>
          <w:lang w:eastAsia="en-US"/>
        </w:rPr>
        <w:t>make him liable to punishment</w:t>
      </w:r>
      <w:r w:rsidRPr="00A53B69">
        <w:rPr>
          <w:rFonts w:ascii="Times New Roman" w:eastAsia="Times New Roman" w:hAnsi="Times New Roman" w:cs="Times New Roman"/>
          <w:sz w:val="20"/>
          <w:szCs w:val="20"/>
          <w:lang w:eastAsia="en-US"/>
        </w:rPr>
        <w:t xml:space="preserve">.’ By contrast, and here Foucault is thinking of Greek, Roman and early Christian examples, other moralities place the main emphasis on ‘the forms of relations with the self, on the methods and techniques by which he works them out, on the exercises by which he makes himself an object to be known, and on the practices that enable him to transform his own </w:t>
      </w:r>
      <w:r w:rsidRPr="00FD2472">
        <w:rPr>
          <w:rFonts w:ascii="Times New Roman" w:eastAsia="Times New Roman" w:hAnsi="Times New Roman" w:cs="Times New Roman"/>
          <w:sz w:val="20"/>
          <w:szCs w:val="20"/>
          <w:highlight w:val="yellow"/>
          <w:lang w:eastAsia="en-US"/>
        </w:rPr>
        <w:t>mode of being’</w:t>
      </w:r>
      <w:r w:rsidRPr="00A53B69">
        <w:rPr>
          <w:rFonts w:ascii="Times New Roman" w:eastAsia="Times New Roman" w:hAnsi="Times New Roman" w:cs="Times New Roman"/>
          <w:sz w:val="20"/>
          <w:szCs w:val="20"/>
          <w:lang w:eastAsia="en-US"/>
        </w:rPr>
        <w:t xml:space="preserve"> and, in these cases, ‘the system of codes and rules of behaviour may be </w:t>
      </w:r>
      <w:r w:rsidRPr="00FD2472">
        <w:rPr>
          <w:rFonts w:ascii="Times New Roman" w:eastAsia="Times New Roman" w:hAnsi="Times New Roman" w:cs="Times New Roman"/>
          <w:sz w:val="20"/>
          <w:szCs w:val="20"/>
          <w:highlight w:val="yellow"/>
          <w:lang w:eastAsia="en-US"/>
        </w:rPr>
        <w:t>rather rudimentary</w:t>
      </w:r>
      <w:r w:rsidRPr="00A53B69">
        <w:rPr>
          <w:rFonts w:ascii="Times New Roman" w:eastAsia="Times New Roman" w:hAnsi="Times New Roman" w:cs="Times New Roman"/>
          <w:sz w:val="20"/>
          <w:szCs w:val="20"/>
          <w:lang w:eastAsia="en-US"/>
        </w:rPr>
        <w:t>.’ It is, however, moralities of this second kind that the quasi-juridical picture of morality fails to enable us to grasp and it does so in virtue of its failure to acknowledge its own status as an artefact of the prevalence of the first type of morality in post-Reformation Europe. The grip of this quasi-juridical picture of morality is one important source of the decoupling of philosophy and spirituality that Foucault and Cavell are concerned to address and which helps explicate what Cavell laments as the marginalisation of figures such as Emerson and Thoreau from modern philosophical discourse.</w:t>
      </w:r>
    </w:p>
    <w:p w:rsidR="007D44BD" w:rsidRDefault="007D44BD">
      <w:pPr>
        <w:pStyle w:val="FootnoteText"/>
      </w:pPr>
    </w:p>
  </w:footnote>
  <w:footnote w:id="18">
    <w:p w:rsidR="007D44BD" w:rsidRDefault="007D44BD">
      <w:pPr>
        <w:pStyle w:val="FootnoteText"/>
      </w:pPr>
      <w:r>
        <w:rPr>
          <w:rStyle w:val="FootnoteReference"/>
        </w:rPr>
        <w:footnoteRef/>
      </w:r>
      <w:r>
        <w:t xml:space="preserve"> Cavell, 2004: 11.</w:t>
      </w:r>
    </w:p>
  </w:footnote>
  <w:footnote w:id="19">
    <w:p w:rsidR="007D44BD" w:rsidRDefault="007D44BD" w:rsidP="00B15DD8">
      <w:pPr>
        <w:pStyle w:val="FootnoteText"/>
      </w:pPr>
      <w:r>
        <w:rPr>
          <w:rStyle w:val="FootnoteReference"/>
        </w:rPr>
        <w:footnoteRef/>
      </w:r>
      <w:r>
        <w:t xml:space="preserve"> </w:t>
      </w:r>
      <w:proofErr w:type="spellStart"/>
      <w:r>
        <w:t>Flathman</w:t>
      </w:r>
      <w:proofErr w:type="spellEnd"/>
      <w:r>
        <w:t>, 2003: 29</w:t>
      </w:r>
    </w:p>
  </w:footnote>
  <w:footnote w:id="20">
    <w:p w:rsidR="007D44BD" w:rsidRDefault="007D44BD">
      <w:pPr>
        <w:pStyle w:val="FootnoteText"/>
      </w:pPr>
      <w:r>
        <w:rPr>
          <w:rStyle w:val="FootnoteReference"/>
        </w:rPr>
        <w:footnoteRef/>
      </w:r>
      <w:r>
        <w:rPr>
          <w:rStyle w:val="FootnoteReference"/>
        </w:rPr>
        <w:footnoteRef/>
      </w:r>
      <w:r>
        <w:t xml:space="preserve"> Cavell, 1990: 37-8</w:t>
      </w:r>
    </w:p>
  </w:footnote>
  <w:footnote w:id="21">
    <w:p w:rsidR="007D44BD" w:rsidRDefault="007D44BD" w:rsidP="00C76716">
      <w:pPr>
        <w:pStyle w:val="FootnoteText"/>
      </w:pPr>
      <w:r>
        <w:rPr>
          <w:rStyle w:val="FootnoteReference"/>
        </w:rPr>
        <w:footnoteRef/>
      </w:r>
      <w:r w:rsidR="003D7AA9">
        <w:t xml:space="preserve"> Foucault, 2005</w:t>
      </w:r>
      <w:r>
        <w:t>: 97</w:t>
      </w:r>
    </w:p>
  </w:footnote>
  <w:footnote w:id="22">
    <w:p w:rsidR="007D44BD" w:rsidRDefault="007D44BD" w:rsidP="00C76716">
      <w:pPr>
        <w:pStyle w:val="FootnoteText"/>
      </w:pPr>
      <w:r>
        <w:rPr>
          <w:rStyle w:val="FootnoteReference"/>
        </w:rPr>
        <w:footnoteRef/>
      </w:r>
      <w:r>
        <w:t xml:space="preserve"> ‘The role is characterised in the text as that of a “</w:t>
      </w:r>
      <w:proofErr w:type="spellStart"/>
      <w:r>
        <w:rPr>
          <w:i/>
        </w:rPr>
        <w:t>basanos</w:t>
      </w:r>
      <w:proofErr w:type="spellEnd"/>
      <w:r>
        <w:t xml:space="preserve">” … which </w:t>
      </w:r>
      <w:r>
        <w:rPr>
          <w:i/>
        </w:rPr>
        <w:t>tests</w:t>
      </w:r>
      <w:r>
        <w:t xml:space="preserve"> the degree of accord between a person’s life and its principle of intelligibility or </w:t>
      </w:r>
      <w:r>
        <w:rPr>
          <w:i/>
        </w:rPr>
        <w:t>logos</w:t>
      </w:r>
      <w:r>
        <w:t xml:space="preserve"> … The Greek word </w:t>
      </w:r>
      <w:proofErr w:type="spellStart"/>
      <w:r>
        <w:rPr>
          <w:i/>
        </w:rPr>
        <w:t>basanos</w:t>
      </w:r>
      <w:proofErr w:type="spellEnd"/>
      <w:r>
        <w:t xml:space="preserve"> refers to a “touchstone”, i.e., a black stone which is used to test the genuineness of gold by examining the streak left on the stone when “touched” by the gold in question.’ Foucault, 2001: 97.</w:t>
      </w:r>
    </w:p>
  </w:footnote>
  <w:footnote w:id="23">
    <w:p w:rsidR="007D44BD" w:rsidRDefault="007D44BD" w:rsidP="00C76716">
      <w:pPr>
        <w:pStyle w:val="FootnoteText"/>
      </w:pPr>
      <w:r>
        <w:rPr>
          <w:rStyle w:val="FootnoteReference"/>
        </w:rPr>
        <w:footnoteRef/>
      </w:r>
      <w:r w:rsidR="003D7AA9">
        <w:t xml:space="preserve"> Foucault, 2005</w:t>
      </w:r>
      <w:r>
        <w:t>: 97-8</w:t>
      </w:r>
    </w:p>
  </w:footnote>
  <w:footnote w:id="24">
    <w:p w:rsidR="007D44BD" w:rsidRDefault="007D44BD" w:rsidP="00C76716">
      <w:pPr>
        <w:pStyle w:val="FootnoteText"/>
      </w:pPr>
      <w:r>
        <w:rPr>
          <w:rStyle w:val="FootnoteReference"/>
        </w:rPr>
        <w:footnoteRef/>
      </w:r>
      <w:r w:rsidR="003D7AA9">
        <w:t xml:space="preserve"> Foucault, 2005</w:t>
      </w:r>
      <w:r>
        <w:t>: 106</w:t>
      </w:r>
    </w:p>
  </w:footnote>
  <w:footnote w:id="25">
    <w:p w:rsidR="007D44BD" w:rsidRDefault="007D44BD" w:rsidP="00C76716">
      <w:pPr>
        <w:pStyle w:val="FootnoteText"/>
      </w:pPr>
      <w:r>
        <w:rPr>
          <w:rStyle w:val="FootnoteReference"/>
        </w:rPr>
        <w:footnoteRef/>
      </w:r>
      <w:r>
        <w:t xml:space="preserve"> The centrality of friendship to this theme is one stressed by Foucault in his discussion of Plutarch where the true friend who can act as a </w:t>
      </w:r>
      <w:proofErr w:type="spellStart"/>
      <w:r>
        <w:rPr>
          <w:i/>
        </w:rPr>
        <w:t>parrhesiates</w:t>
      </w:r>
      <w:proofErr w:type="spellEnd"/>
      <w:r>
        <w:t xml:space="preserve"> is distinguished by (1) integrity – the harmony of his words and deeds (which is why Laches identifies Socrates as able to play this role) and (2) steadiness of mind (in contrast to that inconstancy that betrays too much reliance on the views of current interlocutors or fashions in so</w:t>
      </w:r>
      <w:r w:rsidR="003D7AA9">
        <w:t>cial opinion).</w:t>
      </w:r>
    </w:p>
  </w:footnote>
  <w:footnote w:id="26">
    <w:p w:rsidR="007D44BD" w:rsidRDefault="007D44BD" w:rsidP="002A05D6">
      <w:pPr>
        <w:pStyle w:val="FootnoteText"/>
      </w:pPr>
      <w:r>
        <w:rPr>
          <w:rStyle w:val="FootnoteReference"/>
        </w:rPr>
        <w:footnoteRef/>
      </w:r>
      <w:r>
        <w:t xml:space="preserve"> Cavell, 2004: 15</w:t>
      </w:r>
    </w:p>
  </w:footnote>
  <w:footnote w:id="27">
    <w:p w:rsidR="007D44BD" w:rsidRDefault="007D44BD" w:rsidP="002A05D6">
      <w:pPr>
        <w:pStyle w:val="FootnoteText"/>
      </w:pPr>
      <w:r>
        <w:rPr>
          <w:rStyle w:val="FootnoteReference"/>
        </w:rPr>
        <w:footnoteRef/>
      </w:r>
      <w:r>
        <w:t xml:space="preserve"> Cavell, 1981: 146</w:t>
      </w:r>
    </w:p>
  </w:footnote>
  <w:footnote w:id="28">
    <w:p w:rsidR="007D44BD" w:rsidRDefault="007D44BD" w:rsidP="00441878">
      <w:pPr>
        <w:pStyle w:val="FootnoteText"/>
      </w:pPr>
      <w:r>
        <w:rPr>
          <w:rStyle w:val="FootnoteReference"/>
        </w:rPr>
        <w:footnoteRef/>
      </w:r>
      <w:r>
        <w:t xml:space="preserve"> Foucault, 2001: 134-7</w:t>
      </w:r>
    </w:p>
  </w:footnote>
  <w:footnote w:id="29">
    <w:p w:rsidR="007D44BD" w:rsidRDefault="007D44BD" w:rsidP="00441878">
      <w:pPr>
        <w:pStyle w:val="FootnoteText"/>
      </w:pPr>
      <w:r>
        <w:rPr>
          <w:rStyle w:val="FootnoteReference"/>
        </w:rPr>
        <w:footnoteRef/>
      </w:r>
      <w:r>
        <w:t xml:space="preserve"> Cavell, 1981: 139 &amp; 150 respectively.</w:t>
      </w:r>
    </w:p>
  </w:footnote>
  <w:footnote w:id="30">
    <w:p w:rsidR="007D44BD" w:rsidRDefault="007D44BD" w:rsidP="00441878">
      <w:pPr>
        <w:pStyle w:val="FootnoteText"/>
      </w:pPr>
      <w:r>
        <w:rPr>
          <w:rStyle w:val="FootnoteReference"/>
        </w:rPr>
        <w:footnoteRef/>
      </w:r>
      <w:r>
        <w:t xml:space="preserve"> Cavell, 1981: 139</w:t>
      </w:r>
    </w:p>
  </w:footnote>
  <w:footnote w:id="31">
    <w:p w:rsidR="007D44BD" w:rsidRDefault="007D44BD" w:rsidP="00441878">
      <w:pPr>
        <w:pStyle w:val="FootnoteText"/>
      </w:pPr>
      <w:r>
        <w:rPr>
          <w:rStyle w:val="FootnoteReference"/>
        </w:rPr>
        <w:footnoteRef/>
      </w:r>
      <w:r>
        <w:t xml:space="preserve"> Cavell, 1981: 150</w:t>
      </w:r>
    </w:p>
  </w:footnote>
  <w:footnote w:id="32">
    <w:p w:rsidR="007D44BD" w:rsidRDefault="007D44BD" w:rsidP="00441878">
      <w:pPr>
        <w:pStyle w:val="FootnoteText"/>
      </w:pPr>
      <w:r>
        <w:rPr>
          <w:rStyle w:val="FootnoteReference"/>
        </w:rPr>
        <w:footnoteRef/>
      </w:r>
      <w:r>
        <w:t xml:space="preserve"> Cavell, 1981: 145-6</w:t>
      </w:r>
    </w:p>
  </w:footnote>
  <w:footnote w:id="33">
    <w:p w:rsidR="003D7AA9" w:rsidRDefault="003D7AA9">
      <w:pPr>
        <w:pStyle w:val="FootnoteText"/>
      </w:pPr>
      <w:r>
        <w:rPr>
          <w:rStyle w:val="FootnoteReference"/>
        </w:rPr>
        <w:footnoteRef/>
      </w:r>
      <w:r>
        <w:t xml:space="preserve"> </w:t>
      </w:r>
      <w:r w:rsidRPr="003D7AA9">
        <w:t xml:space="preserve">Dexter’s provocation involve two modes of speech that can be found in the tradition of </w:t>
      </w:r>
      <w:proofErr w:type="spellStart"/>
      <w:r w:rsidRPr="003D7AA9">
        <w:t>parrhesia</w:t>
      </w:r>
      <w:proofErr w:type="spellEnd"/>
      <w:r w:rsidRPr="003D7AA9">
        <w:t xml:space="preserve">: first, a free-speaking frankness (the original sense of </w:t>
      </w:r>
      <w:proofErr w:type="spellStart"/>
      <w:r w:rsidRPr="003D7AA9">
        <w:t>parrhesia</w:t>
      </w:r>
      <w:proofErr w:type="spellEnd"/>
      <w:r w:rsidRPr="003D7AA9">
        <w:t>) and, second, a mode of, or variant on, Socratic irony.</w:t>
      </w:r>
    </w:p>
  </w:footnote>
  <w:footnote w:id="34">
    <w:p w:rsidR="007D44BD" w:rsidRPr="00D27BBB" w:rsidRDefault="007D44BD" w:rsidP="00031066">
      <w:pPr>
        <w:spacing w:after="0" w:line="240" w:lineRule="auto"/>
        <w:rPr>
          <w:rFonts w:ascii="Times New Roman" w:hAnsi="Times New Roman" w:cs="Times New Roman"/>
          <w:sz w:val="20"/>
          <w:szCs w:val="20"/>
        </w:rPr>
      </w:pPr>
      <w:r w:rsidRPr="00D27BBB">
        <w:rPr>
          <w:rStyle w:val="FootnoteReference"/>
          <w:rFonts w:ascii="Times New Roman" w:hAnsi="Times New Roman" w:cs="Times New Roman"/>
          <w:sz w:val="20"/>
          <w:szCs w:val="20"/>
        </w:rPr>
        <w:footnoteRef/>
      </w:r>
      <w:r w:rsidRPr="00D27BBB">
        <w:rPr>
          <w:rFonts w:ascii="Times New Roman" w:hAnsi="Times New Roman" w:cs="Times New Roman"/>
          <w:sz w:val="20"/>
          <w:szCs w:val="20"/>
        </w:rPr>
        <w:t xml:space="preserve"> Another useful illustration of this relationship from Cavell’s re-marriage comedies is found in the drama of Lucy and Jerry in </w:t>
      </w:r>
      <w:r w:rsidRPr="00D27BBB">
        <w:rPr>
          <w:rFonts w:ascii="Times New Roman" w:hAnsi="Times New Roman" w:cs="Times New Roman"/>
          <w:i/>
          <w:iCs/>
          <w:sz w:val="20"/>
          <w:szCs w:val="20"/>
        </w:rPr>
        <w:t>The Awful Truth.</w:t>
      </w:r>
      <w:r w:rsidRPr="00D27BBB">
        <w:rPr>
          <w:rFonts w:ascii="Times New Roman" w:hAnsi="Times New Roman" w:cs="Times New Roman"/>
          <w:sz w:val="20"/>
          <w:szCs w:val="20"/>
        </w:rPr>
        <w:t xml:space="preserve"> In the final scene of the film Jerry admits that Lucy has helped him to see that he needed to change his ways and as </w:t>
      </w:r>
      <w:r>
        <w:rPr>
          <w:rFonts w:ascii="Times New Roman" w:hAnsi="Times New Roman" w:cs="Times New Roman"/>
          <w:sz w:val="20"/>
          <w:szCs w:val="20"/>
        </w:rPr>
        <w:t>a consequence</w:t>
      </w:r>
      <w:r w:rsidRPr="00D27BBB">
        <w:rPr>
          <w:rFonts w:ascii="Times New Roman" w:hAnsi="Times New Roman" w:cs="Times New Roman"/>
          <w:sz w:val="20"/>
          <w:szCs w:val="20"/>
        </w:rPr>
        <w:t xml:space="preserve"> he wants their relationship to continue. However, although it will continue in the usual sense, this moment marks it as a re-marriage</w:t>
      </w:r>
      <w:r>
        <w:rPr>
          <w:rFonts w:ascii="Times New Roman" w:hAnsi="Times New Roman" w:cs="Times New Roman"/>
          <w:sz w:val="20"/>
          <w:szCs w:val="20"/>
        </w:rPr>
        <w:t xml:space="preserve">, for the return </w:t>
      </w:r>
      <w:r w:rsidRPr="00D27BBB">
        <w:rPr>
          <w:rFonts w:ascii="Times New Roman" w:hAnsi="Times New Roman" w:cs="Times New Roman"/>
          <w:sz w:val="20"/>
          <w:szCs w:val="20"/>
        </w:rPr>
        <w:t>to the relationship simultaneously involve</w:t>
      </w:r>
      <w:r>
        <w:rPr>
          <w:rFonts w:ascii="Times New Roman" w:hAnsi="Times New Roman" w:cs="Times New Roman"/>
          <w:sz w:val="20"/>
          <w:szCs w:val="20"/>
        </w:rPr>
        <w:t>s</w:t>
      </w:r>
      <w:r w:rsidRPr="00D27BBB">
        <w:rPr>
          <w:rFonts w:ascii="Times New Roman" w:hAnsi="Times New Roman" w:cs="Times New Roman"/>
          <w:sz w:val="20"/>
          <w:szCs w:val="20"/>
        </w:rPr>
        <w:t xml:space="preserve"> starting afresh, </w:t>
      </w:r>
      <w:r>
        <w:rPr>
          <w:rFonts w:ascii="Times New Roman" w:hAnsi="Times New Roman" w:cs="Times New Roman"/>
          <w:sz w:val="20"/>
          <w:szCs w:val="20"/>
        </w:rPr>
        <w:t>as</w:t>
      </w:r>
      <w:r w:rsidRPr="00D27BBB">
        <w:rPr>
          <w:rFonts w:ascii="Times New Roman" w:hAnsi="Times New Roman" w:cs="Times New Roman"/>
          <w:sz w:val="20"/>
          <w:szCs w:val="20"/>
        </w:rPr>
        <w:t xml:space="preserve"> it incorporate Jerry’s new self</w:t>
      </w:r>
      <w:r>
        <w:rPr>
          <w:rFonts w:ascii="Times New Roman" w:hAnsi="Times New Roman" w:cs="Times New Roman"/>
          <w:sz w:val="20"/>
          <w:szCs w:val="20"/>
        </w:rPr>
        <w:t>. He expresses this to his wife through the following</w:t>
      </w:r>
      <w:r w:rsidRPr="00D27BBB">
        <w:rPr>
          <w:rFonts w:ascii="Times New Roman" w:hAnsi="Times New Roman" w:cs="Times New Roman"/>
          <w:sz w:val="20"/>
          <w:szCs w:val="20"/>
        </w:rPr>
        <w:t xml:space="preserve">: ‘You’re still the same, only I’ve been a fool. Well, I’m not now. So, as long as I’m different, don’t you think things could be the same again? </w:t>
      </w:r>
      <w:proofErr w:type="gramStart"/>
      <w:r w:rsidRPr="00D27BBB">
        <w:rPr>
          <w:rFonts w:ascii="Times New Roman" w:hAnsi="Times New Roman" w:cs="Times New Roman"/>
          <w:sz w:val="20"/>
          <w:szCs w:val="20"/>
        </w:rPr>
        <w:t>Only a little different?’</w:t>
      </w:r>
      <w:proofErr w:type="gramEnd"/>
      <w:r w:rsidRPr="00D27BBB">
        <w:rPr>
          <w:rFonts w:ascii="Times New Roman" w:hAnsi="Times New Roman" w:cs="Times New Roman"/>
          <w:sz w:val="20"/>
          <w:szCs w:val="20"/>
        </w:rPr>
        <w:t xml:space="preserve"> (</w:t>
      </w:r>
      <w:proofErr w:type="gramStart"/>
      <w:r w:rsidRPr="00D27BBB">
        <w:rPr>
          <w:rFonts w:ascii="Times New Roman" w:hAnsi="Times New Roman" w:cs="Times New Roman"/>
          <w:sz w:val="20"/>
          <w:szCs w:val="20"/>
        </w:rPr>
        <w:t>cited</w:t>
      </w:r>
      <w:proofErr w:type="gramEnd"/>
      <w:r w:rsidRPr="00D27BBB">
        <w:rPr>
          <w:rFonts w:ascii="Times New Roman" w:hAnsi="Times New Roman" w:cs="Times New Roman"/>
          <w:sz w:val="20"/>
          <w:szCs w:val="20"/>
        </w:rPr>
        <w:t xml:space="preserve"> in Cavell, 1981, p.258).</w:t>
      </w:r>
      <w:r w:rsidR="00FD2472">
        <w:rPr>
          <w:rFonts w:ascii="Times New Roman" w:hAnsi="Times New Roman" w:cs="Times New Roman"/>
          <w:sz w:val="20"/>
          <w:szCs w:val="20"/>
        </w:rPr>
        <w:t xml:space="preserve"> For a full</w:t>
      </w:r>
      <w:r w:rsidR="003D7AA9">
        <w:rPr>
          <w:rFonts w:ascii="Times New Roman" w:hAnsi="Times New Roman" w:cs="Times New Roman"/>
          <w:sz w:val="20"/>
          <w:szCs w:val="20"/>
        </w:rPr>
        <w:t xml:space="preserve"> analysis of </w:t>
      </w:r>
      <w:r w:rsidR="003D7AA9">
        <w:rPr>
          <w:rFonts w:ascii="Times New Roman" w:hAnsi="Times New Roman" w:cs="Times New Roman"/>
          <w:i/>
          <w:iCs/>
          <w:sz w:val="20"/>
          <w:szCs w:val="20"/>
        </w:rPr>
        <w:t>The Philadelphia Story</w:t>
      </w:r>
      <w:r w:rsidR="003D7AA9">
        <w:rPr>
          <w:rFonts w:ascii="Times New Roman" w:hAnsi="Times New Roman" w:cs="Times New Roman"/>
          <w:sz w:val="20"/>
          <w:szCs w:val="20"/>
        </w:rPr>
        <w:t xml:space="preserve"> in relation to Foucault, see Owen 2006.</w:t>
      </w:r>
      <w:r w:rsidRPr="00D27BBB">
        <w:rPr>
          <w:rFonts w:ascii="Times New Roman" w:hAnsi="Times New Roman" w:cs="Times New Roman"/>
          <w:sz w:val="20"/>
          <w:szCs w:val="20"/>
        </w:rPr>
        <w:t xml:space="preserve"> </w:t>
      </w:r>
    </w:p>
  </w:footnote>
  <w:footnote w:id="35">
    <w:p w:rsidR="007D44BD" w:rsidRPr="00483FD4" w:rsidRDefault="007D44BD" w:rsidP="00D27BBB">
      <w:pPr>
        <w:pStyle w:val="FootnoteText"/>
      </w:pPr>
      <w:r w:rsidRPr="00483FD4">
        <w:rPr>
          <w:rStyle w:val="FootnoteReference"/>
        </w:rPr>
        <w:footnoteRef/>
      </w:r>
      <w:r w:rsidRPr="00483FD4">
        <w:t xml:space="preserve"> </w:t>
      </w:r>
      <w:r>
        <w:t xml:space="preserve">Cavell, 2004, </w:t>
      </w:r>
      <w:r w:rsidRPr="00483FD4">
        <w:t>p.174</w:t>
      </w:r>
    </w:p>
  </w:footnote>
  <w:footnote w:id="36">
    <w:p w:rsidR="007D44BD" w:rsidRPr="00483FD4" w:rsidRDefault="007D44BD" w:rsidP="00C220B3">
      <w:pPr>
        <w:pStyle w:val="FootnoteText"/>
      </w:pPr>
      <w:r w:rsidRPr="00483FD4">
        <w:rPr>
          <w:rStyle w:val="FootnoteReference"/>
        </w:rPr>
        <w:footnoteRef/>
      </w:r>
      <w:r w:rsidRPr="00483FD4">
        <w:t xml:space="preserve"> Cavell, 1990, pp.103-4</w:t>
      </w:r>
    </w:p>
  </w:footnote>
  <w:footnote w:id="37">
    <w:p w:rsidR="007D44BD" w:rsidRDefault="007D44BD">
      <w:pPr>
        <w:pStyle w:val="FootnoteText"/>
      </w:pPr>
      <w:r>
        <w:rPr>
          <w:rStyle w:val="FootnoteReference"/>
        </w:rPr>
        <w:footnoteRef/>
      </w:r>
      <w:r>
        <w:t xml:space="preserve"> Cavell, 1981</w:t>
      </w:r>
      <w:r w:rsidR="00FE79BD">
        <w:t>: 142</w:t>
      </w:r>
    </w:p>
  </w:footnote>
  <w:footnote w:id="38">
    <w:p w:rsidR="007D44BD" w:rsidRPr="00483FD4" w:rsidRDefault="007D44BD" w:rsidP="00C220B3">
      <w:pPr>
        <w:pStyle w:val="FootnoteText"/>
      </w:pPr>
      <w:r w:rsidRPr="00483FD4">
        <w:rPr>
          <w:rStyle w:val="FootnoteReference"/>
        </w:rPr>
        <w:footnoteRef/>
      </w:r>
      <w:r w:rsidRPr="00483FD4">
        <w:t xml:space="preserve"> Cavell, 1990, p.104</w:t>
      </w:r>
    </w:p>
  </w:footnote>
  <w:footnote w:id="39">
    <w:p w:rsidR="007D44BD" w:rsidRPr="00483FD4" w:rsidRDefault="007D44BD" w:rsidP="00C220B3">
      <w:pPr>
        <w:pStyle w:val="FootnoteText"/>
      </w:pPr>
      <w:r w:rsidRPr="00483FD4">
        <w:rPr>
          <w:rStyle w:val="FootnoteReference"/>
        </w:rPr>
        <w:footnoteRef/>
      </w:r>
      <w:r w:rsidRPr="00483FD4">
        <w:t xml:space="preserve"> Cavell, 1981, p.193 </w:t>
      </w:r>
      <w:r>
        <w:t>(</w:t>
      </w:r>
      <w:r w:rsidRPr="00A46522">
        <w:t>italics added</w:t>
      </w:r>
      <w:r>
        <w:t>).</w:t>
      </w:r>
    </w:p>
  </w:footnote>
  <w:footnote w:id="40">
    <w:p w:rsidR="007D44BD" w:rsidRDefault="007D44BD">
      <w:pPr>
        <w:pStyle w:val="FootnoteText"/>
      </w:pPr>
      <w:r>
        <w:rPr>
          <w:rStyle w:val="FootnoteReference"/>
        </w:rPr>
        <w:footnoteRef/>
      </w:r>
      <w:r>
        <w:t xml:space="preserve"> See </w:t>
      </w:r>
      <w:proofErr w:type="spellStart"/>
      <w:r>
        <w:t>Mulhall</w:t>
      </w:r>
      <w:proofErr w:type="spellEnd"/>
      <w:r>
        <w:t>, 1997 for more on this.</w:t>
      </w:r>
    </w:p>
  </w:footnote>
  <w:footnote w:id="41">
    <w:p w:rsidR="007D44BD" w:rsidRPr="002B7DF2" w:rsidRDefault="007D44BD" w:rsidP="006B2D04">
      <w:pPr>
        <w:spacing w:after="0" w:line="240" w:lineRule="auto"/>
        <w:rPr>
          <w:rFonts w:asciiTheme="majorBidi" w:hAnsiTheme="majorBidi" w:cstheme="majorBidi"/>
          <w:sz w:val="20"/>
          <w:szCs w:val="20"/>
        </w:rPr>
      </w:pPr>
      <w:r w:rsidRPr="002B7DF2">
        <w:rPr>
          <w:rStyle w:val="FootnoteReference"/>
          <w:rFonts w:asciiTheme="majorBidi" w:hAnsiTheme="majorBidi" w:cstheme="majorBidi"/>
          <w:sz w:val="20"/>
          <w:szCs w:val="20"/>
        </w:rPr>
        <w:footnoteRef/>
      </w:r>
      <w:r w:rsidRPr="002B7DF2">
        <w:rPr>
          <w:rFonts w:asciiTheme="majorBidi" w:hAnsiTheme="majorBidi" w:cstheme="majorBidi"/>
          <w:sz w:val="20"/>
          <w:szCs w:val="20"/>
        </w:rPr>
        <w:t xml:space="preserve"> For a more detailed examination of this argument see Woodford </w:t>
      </w:r>
      <w:r>
        <w:rPr>
          <w:rFonts w:asciiTheme="majorBidi" w:hAnsiTheme="majorBidi" w:cstheme="majorBidi"/>
          <w:sz w:val="20"/>
          <w:szCs w:val="20"/>
        </w:rPr>
        <w:t>(2010)</w:t>
      </w:r>
      <w:r w:rsidRPr="002B7DF2">
        <w:rPr>
          <w:rFonts w:asciiTheme="majorBidi" w:hAnsiTheme="majorBidi" w:cstheme="majorBidi"/>
          <w:sz w:val="20"/>
          <w:szCs w:val="20"/>
        </w:rPr>
        <w:t xml:space="preserve"> which looks at the relationship be</w:t>
      </w:r>
      <w:r>
        <w:rPr>
          <w:rFonts w:asciiTheme="majorBidi" w:hAnsiTheme="majorBidi" w:cstheme="majorBidi"/>
          <w:sz w:val="20"/>
          <w:szCs w:val="20"/>
        </w:rPr>
        <w:t>tween Rawls’ work and p</w:t>
      </w:r>
      <w:r w:rsidRPr="002B7DF2">
        <w:rPr>
          <w:rFonts w:asciiTheme="majorBidi" w:hAnsiTheme="majorBidi" w:cstheme="majorBidi"/>
          <w:sz w:val="20"/>
          <w:szCs w:val="20"/>
        </w:rPr>
        <w:t>ost-</w:t>
      </w:r>
      <w:proofErr w:type="spellStart"/>
      <w:r w:rsidRPr="002B7DF2">
        <w:rPr>
          <w:rFonts w:asciiTheme="majorBidi" w:hAnsiTheme="majorBidi" w:cstheme="majorBidi"/>
          <w:sz w:val="20"/>
          <w:szCs w:val="20"/>
        </w:rPr>
        <w:t>structuralist</w:t>
      </w:r>
      <w:proofErr w:type="spellEnd"/>
      <w:r w:rsidRPr="002B7DF2">
        <w:rPr>
          <w:rFonts w:asciiTheme="majorBidi" w:hAnsiTheme="majorBidi" w:cstheme="majorBidi"/>
          <w:sz w:val="20"/>
          <w:szCs w:val="20"/>
        </w:rPr>
        <w:t xml:space="preserve"> thought as well as </w:t>
      </w:r>
      <w:proofErr w:type="spellStart"/>
      <w:r>
        <w:rPr>
          <w:rFonts w:asciiTheme="majorBidi" w:hAnsiTheme="majorBidi" w:cstheme="majorBidi"/>
          <w:sz w:val="20"/>
          <w:szCs w:val="20"/>
        </w:rPr>
        <w:t>Mulhall</w:t>
      </w:r>
      <w:proofErr w:type="spellEnd"/>
      <w:r>
        <w:rPr>
          <w:rFonts w:asciiTheme="majorBidi" w:hAnsiTheme="majorBidi" w:cstheme="majorBidi"/>
          <w:sz w:val="20"/>
          <w:szCs w:val="20"/>
        </w:rPr>
        <w:t xml:space="preserve"> (1997), Owen (1999) and Woodford (2011)</w:t>
      </w:r>
      <w:r w:rsidRPr="002B7DF2">
        <w:rPr>
          <w:rFonts w:asciiTheme="majorBidi" w:hAnsiTheme="majorBidi" w:cstheme="majorBidi"/>
          <w:sz w:val="20"/>
          <w:szCs w:val="20"/>
        </w:rPr>
        <w:t xml:space="preserve"> which lay out the debate between Cavell and Rawls, and its implications, in more detail. </w:t>
      </w:r>
    </w:p>
  </w:footnote>
  <w:footnote w:id="42">
    <w:p w:rsidR="00FE79BD" w:rsidRDefault="00FE79BD">
      <w:pPr>
        <w:pStyle w:val="FootnoteText"/>
      </w:pPr>
      <w:r>
        <w:rPr>
          <w:rStyle w:val="FootnoteReference"/>
        </w:rPr>
        <w:footnoteRef/>
      </w:r>
      <w:r>
        <w:t xml:space="preserve"> Foucault, 2010: 158-9</w:t>
      </w:r>
    </w:p>
  </w:footnote>
  <w:footnote w:id="43">
    <w:p w:rsidR="00FE79BD" w:rsidRDefault="00FE79BD">
      <w:pPr>
        <w:pStyle w:val="FootnoteText"/>
      </w:pPr>
      <w:r>
        <w:rPr>
          <w:rStyle w:val="FootnoteReference"/>
        </w:rPr>
        <w:footnoteRef/>
      </w:r>
      <w:r>
        <w:t xml:space="preserve"> Foucault, 2010: 158-9</w:t>
      </w:r>
    </w:p>
  </w:footnote>
  <w:footnote w:id="44">
    <w:p w:rsidR="00FE79BD" w:rsidRDefault="00FE79BD">
      <w:pPr>
        <w:pStyle w:val="FootnoteText"/>
      </w:pPr>
      <w:r>
        <w:rPr>
          <w:rStyle w:val="FootnoteReference"/>
        </w:rPr>
        <w:footnoteRef/>
      </w:r>
      <w:r>
        <w:t xml:space="preserve"> Foucault, 2010: 159</w:t>
      </w:r>
    </w:p>
  </w:footnote>
  <w:footnote w:id="45">
    <w:p w:rsidR="007D44BD" w:rsidRDefault="007D44BD">
      <w:pPr>
        <w:pStyle w:val="FootnoteText"/>
      </w:pPr>
      <w:r>
        <w:rPr>
          <w:rStyle w:val="FootnoteReference"/>
        </w:rPr>
        <w:footnoteRef/>
      </w:r>
      <w:r>
        <w:t xml:space="preserve"> Foucault, 2010: 64-5.</w:t>
      </w:r>
    </w:p>
  </w:footnote>
  <w:footnote w:id="46">
    <w:p w:rsidR="00FE79BD" w:rsidRDefault="00FE79BD">
      <w:pPr>
        <w:pStyle w:val="FootnoteText"/>
      </w:pPr>
      <w:r>
        <w:rPr>
          <w:rStyle w:val="FootnoteReference"/>
        </w:rPr>
        <w:footnoteRef/>
      </w:r>
      <w:r>
        <w:t xml:space="preserve"> Foucault, 2010: 173-4.</w:t>
      </w:r>
    </w:p>
  </w:footnote>
  <w:footnote w:id="47">
    <w:p w:rsidR="007D44BD" w:rsidRDefault="007D44BD">
      <w:pPr>
        <w:pStyle w:val="FootnoteText"/>
      </w:pPr>
      <w:r>
        <w:rPr>
          <w:rStyle w:val="FootnoteReference"/>
        </w:rPr>
        <w:footnoteRef/>
      </w:r>
      <w:r w:rsidR="00E358F1">
        <w:t xml:space="preserve"> Conant, 2001</w:t>
      </w:r>
      <w:r>
        <w:t>: 227-8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B2477"/>
    <w:multiLevelType w:val="hybridMultilevel"/>
    <w:tmpl w:val="928A5A02"/>
    <w:lvl w:ilvl="0" w:tplc="E382B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9222CD"/>
    <w:multiLevelType w:val="hybridMultilevel"/>
    <w:tmpl w:val="9724D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75"/>
    <w:rsid w:val="00007C76"/>
    <w:rsid w:val="00016AE0"/>
    <w:rsid w:val="00025E8C"/>
    <w:rsid w:val="00031066"/>
    <w:rsid w:val="000352CE"/>
    <w:rsid w:val="00052109"/>
    <w:rsid w:val="0005399B"/>
    <w:rsid w:val="00054BFA"/>
    <w:rsid w:val="0006115F"/>
    <w:rsid w:val="000619F3"/>
    <w:rsid w:val="00063EF7"/>
    <w:rsid w:val="00087946"/>
    <w:rsid w:val="00091E27"/>
    <w:rsid w:val="00097167"/>
    <w:rsid w:val="00104A39"/>
    <w:rsid w:val="00107A3A"/>
    <w:rsid w:val="001449F2"/>
    <w:rsid w:val="001554AE"/>
    <w:rsid w:val="001853A8"/>
    <w:rsid w:val="00186FF4"/>
    <w:rsid w:val="0019075E"/>
    <w:rsid w:val="001A1D86"/>
    <w:rsid w:val="001A38E8"/>
    <w:rsid w:val="001B1800"/>
    <w:rsid w:val="001D208E"/>
    <w:rsid w:val="001E4C1A"/>
    <w:rsid w:val="001F5793"/>
    <w:rsid w:val="0020001A"/>
    <w:rsid w:val="00200766"/>
    <w:rsid w:val="002052E9"/>
    <w:rsid w:val="00227FFB"/>
    <w:rsid w:val="00254577"/>
    <w:rsid w:val="00266107"/>
    <w:rsid w:val="00280FEC"/>
    <w:rsid w:val="002916B0"/>
    <w:rsid w:val="002A04B2"/>
    <w:rsid w:val="002A05D6"/>
    <w:rsid w:val="002B13C7"/>
    <w:rsid w:val="002B1E3E"/>
    <w:rsid w:val="002B7DF2"/>
    <w:rsid w:val="002F100A"/>
    <w:rsid w:val="002F7A07"/>
    <w:rsid w:val="003326D5"/>
    <w:rsid w:val="003348A3"/>
    <w:rsid w:val="00334B52"/>
    <w:rsid w:val="00342968"/>
    <w:rsid w:val="00356537"/>
    <w:rsid w:val="003725B7"/>
    <w:rsid w:val="00374543"/>
    <w:rsid w:val="003774A1"/>
    <w:rsid w:val="00390602"/>
    <w:rsid w:val="00392F40"/>
    <w:rsid w:val="003A5D60"/>
    <w:rsid w:val="003B3919"/>
    <w:rsid w:val="003B4EE9"/>
    <w:rsid w:val="003B5FFC"/>
    <w:rsid w:val="003C2198"/>
    <w:rsid w:val="003D0C75"/>
    <w:rsid w:val="003D3427"/>
    <w:rsid w:val="003D7AA9"/>
    <w:rsid w:val="003E0419"/>
    <w:rsid w:val="003F61C4"/>
    <w:rsid w:val="004009D3"/>
    <w:rsid w:val="00441878"/>
    <w:rsid w:val="00494B71"/>
    <w:rsid w:val="004A0490"/>
    <w:rsid w:val="004A7726"/>
    <w:rsid w:val="004B08DE"/>
    <w:rsid w:val="004B2CF6"/>
    <w:rsid w:val="004D3F1A"/>
    <w:rsid w:val="004E77D2"/>
    <w:rsid w:val="004F074F"/>
    <w:rsid w:val="004F2582"/>
    <w:rsid w:val="004F4305"/>
    <w:rsid w:val="0051454E"/>
    <w:rsid w:val="005244E0"/>
    <w:rsid w:val="00526173"/>
    <w:rsid w:val="00527FB5"/>
    <w:rsid w:val="00530283"/>
    <w:rsid w:val="00531A1C"/>
    <w:rsid w:val="00536B80"/>
    <w:rsid w:val="00537A78"/>
    <w:rsid w:val="0054706F"/>
    <w:rsid w:val="00555382"/>
    <w:rsid w:val="005559D2"/>
    <w:rsid w:val="005559F1"/>
    <w:rsid w:val="00561278"/>
    <w:rsid w:val="0056575B"/>
    <w:rsid w:val="00584B2A"/>
    <w:rsid w:val="005C3672"/>
    <w:rsid w:val="005E7150"/>
    <w:rsid w:val="005F4DBF"/>
    <w:rsid w:val="006558AC"/>
    <w:rsid w:val="006660F6"/>
    <w:rsid w:val="006B2D04"/>
    <w:rsid w:val="006C61AF"/>
    <w:rsid w:val="006E189E"/>
    <w:rsid w:val="006F1271"/>
    <w:rsid w:val="006F4220"/>
    <w:rsid w:val="00745DC7"/>
    <w:rsid w:val="00787DF2"/>
    <w:rsid w:val="007A5BB1"/>
    <w:rsid w:val="007C56F7"/>
    <w:rsid w:val="007D44BD"/>
    <w:rsid w:val="007D4DCA"/>
    <w:rsid w:val="007F698E"/>
    <w:rsid w:val="008045C3"/>
    <w:rsid w:val="00804FA8"/>
    <w:rsid w:val="008051B4"/>
    <w:rsid w:val="00814D47"/>
    <w:rsid w:val="00821720"/>
    <w:rsid w:val="008244B0"/>
    <w:rsid w:val="00826FBB"/>
    <w:rsid w:val="0084462F"/>
    <w:rsid w:val="00854D59"/>
    <w:rsid w:val="008705C5"/>
    <w:rsid w:val="00886BA4"/>
    <w:rsid w:val="008D40D7"/>
    <w:rsid w:val="008E3217"/>
    <w:rsid w:val="008F386A"/>
    <w:rsid w:val="008F42A7"/>
    <w:rsid w:val="0092200A"/>
    <w:rsid w:val="00956A79"/>
    <w:rsid w:val="00963131"/>
    <w:rsid w:val="00975D5B"/>
    <w:rsid w:val="00976F7E"/>
    <w:rsid w:val="00980942"/>
    <w:rsid w:val="00995023"/>
    <w:rsid w:val="00997795"/>
    <w:rsid w:val="009C5196"/>
    <w:rsid w:val="009C73EE"/>
    <w:rsid w:val="009D5AF9"/>
    <w:rsid w:val="009F3148"/>
    <w:rsid w:val="00A0526E"/>
    <w:rsid w:val="00A121D8"/>
    <w:rsid w:val="00A34D7E"/>
    <w:rsid w:val="00A44E51"/>
    <w:rsid w:val="00A50699"/>
    <w:rsid w:val="00A52CA3"/>
    <w:rsid w:val="00A538BE"/>
    <w:rsid w:val="00A53B69"/>
    <w:rsid w:val="00A757F7"/>
    <w:rsid w:val="00A8250E"/>
    <w:rsid w:val="00A941F0"/>
    <w:rsid w:val="00AA0F40"/>
    <w:rsid w:val="00AB415A"/>
    <w:rsid w:val="00AE2857"/>
    <w:rsid w:val="00B117E8"/>
    <w:rsid w:val="00B15DD8"/>
    <w:rsid w:val="00B3456A"/>
    <w:rsid w:val="00B61353"/>
    <w:rsid w:val="00B65AE9"/>
    <w:rsid w:val="00B66355"/>
    <w:rsid w:val="00B757DF"/>
    <w:rsid w:val="00B85D05"/>
    <w:rsid w:val="00B910C1"/>
    <w:rsid w:val="00BA76C4"/>
    <w:rsid w:val="00BD1FB4"/>
    <w:rsid w:val="00C14108"/>
    <w:rsid w:val="00C160C4"/>
    <w:rsid w:val="00C220B3"/>
    <w:rsid w:val="00C23E0A"/>
    <w:rsid w:val="00C35AF2"/>
    <w:rsid w:val="00C42CDC"/>
    <w:rsid w:val="00C51F0A"/>
    <w:rsid w:val="00C5237A"/>
    <w:rsid w:val="00C56C28"/>
    <w:rsid w:val="00C76073"/>
    <w:rsid w:val="00C76716"/>
    <w:rsid w:val="00C842F6"/>
    <w:rsid w:val="00C844E0"/>
    <w:rsid w:val="00C84531"/>
    <w:rsid w:val="00C86F2D"/>
    <w:rsid w:val="00C91545"/>
    <w:rsid w:val="00C92A61"/>
    <w:rsid w:val="00CB4633"/>
    <w:rsid w:val="00CB6825"/>
    <w:rsid w:val="00CC39B8"/>
    <w:rsid w:val="00CC4AA7"/>
    <w:rsid w:val="00CD49C4"/>
    <w:rsid w:val="00CF2B41"/>
    <w:rsid w:val="00CF536D"/>
    <w:rsid w:val="00CF560A"/>
    <w:rsid w:val="00CF6856"/>
    <w:rsid w:val="00D21D7A"/>
    <w:rsid w:val="00D27BBB"/>
    <w:rsid w:val="00D33E71"/>
    <w:rsid w:val="00D56888"/>
    <w:rsid w:val="00D6696E"/>
    <w:rsid w:val="00D7375C"/>
    <w:rsid w:val="00D74C3D"/>
    <w:rsid w:val="00DA5AF3"/>
    <w:rsid w:val="00DA6F8B"/>
    <w:rsid w:val="00DB2185"/>
    <w:rsid w:val="00DC24D4"/>
    <w:rsid w:val="00DE312E"/>
    <w:rsid w:val="00DF3063"/>
    <w:rsid w:val="00E07CA6"/>
    <w:rsid w:val="00E151A2"/>
    <w:rsid w:val="00E155F9"/>
    <w:rsid w:val="00E358F1"/>
    <w:rsid w:val="00E550C4"/>
    <w:rsid w:val="00E56FDA"/>
    <w:rsid w:val="00E76B9C"/>
    <w:rsid w:val="00E7701B"/>
    <w:rsid w:val="00E82F8B"/>
    <w:rsid w:val="00E83A4B"/>
    <w:rsid w:val="00E84161"/>
    <w:rsid w:val="00E932B2"/>
    <w:rsid w:val="00EB1C0E"/>
    <w:rsid w:val="00ED617F"/>
    <w:rsid w:val="00EE14DD"/>
    <w:rsid w:val="00EE6115"/>
    <w:rsid w:val="00F20569"/>
    <w:rsid w:val="00F36379"/>
    <w:rsid w:val="00F379CA"/>
    <w:rsid w:val="00F81708"/>
    <w:rsid w:val="00F81B74"/>
    <w:rsid w:val="00F82209"/>
    <w:rsid w:val="00F91CE6"/>
    <w:rsid w:val="00F92719"/>
    <w:rsid w:val="00FB26AA"/>
    <w:rsid w:val="00FB28F9"/>
    <w:rsid w:val="00FB2FB5"/>
    <w:rsid w:val="00FB6D04"/>
    <w:rsid w:val="00FC4671"/>
    <w:rsid w:val="00FC4C13"/>
    <w:rsid w:val="00FD2472"/>
    <w:rsid w:val="00FE4C85"/>
    <w:rsid w:val="00FE6B05"/>
    <w:rsid w:val="00FE79BD"/>
    <w:rsid w:val="00FF76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2B4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CF2B41"/>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CF2B41"/>
    <w:rPr>
      <w:vertAlign w:val="superscript"/>
    </w:rPr>
  </w:style>
  <w:style w:type="paragraph" w:styleId="BalloonText">
    <w:name w:val="Balloon Text"/>
    <w:basedOn w:val="Normal"/>
    <w:link w:val="BalloonTextChar"/>
    <w:uiPriority w:val="99"/>
    <w:semiHidden/>
    <w:unhideWhenUsed/>
    <w:rsid w:val="00DF3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063"/>
    <w:rPr>
      <w:rFonts w:ascii="Tahoma" w:hAnsi="Tahoma" w:cs="Tahoma"/>
      <w:sz w:val="16"/>
      <w:szCs w:val="16"/>
    </w:rPr>
  </w:style>
  <w:style w:type="paragraph" w:styleId="ListParagraph">
    <w:name w:val="List Paragraph"/>
    <w:basedOn w:val="Normal"/>
    <w:uiPriority w:val="34"/>
    <w:qFormat/>
    <w:rsid w:val="00FF7672"/>
    <w:pPr>
      <w:ind w:left="720"/>
      <w:contextualSpacing/>
    </w:pPr>
  </w:style>
  <w:style w:type="paragraph" w:styleId="Header">
    <w:name w:val="header"/>
    <w:basedOn w:val="Normal"/>
    <w:link w:val="HeaderChar"/>
    <w:uiPriority w:val="99"/>
    <w:unhideWhenUsed/>
    <w:rsid w:val="00D21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D7A"/>
  </w:style>
  <w:style w:type="paragraph" w:styleId="Footer">
    <w:name w:val="footer"/>
    <w:basedOn w:val="Normal"/>
    <w:link w:val="FooterChar"/>
    <w:uiPriority w:val="99"/>
    <w:unhideWhenUsed/>
    <w:rsid w:val="00D21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2B4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CF2B41"/>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CF2B41"/>
    <w:rPr>
      <w:vertAlign w:val="superscript"/>
    </w:rPr>
  </w:style>
  <w:style w:type="paragraph" w:styleId="BalloonText">
    <w:name w:val="Balloon Text"/>
    <w:basedOn w:val="Normal"/>
    <w:link w:val="BalloonTextChar"/>
    <w:uiPriority w:val="99"/>
    <w:semiHidden/>
    <w:unhideWhenUsed/>
    <w:rsid w:val="00DF3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063"/>
    <w:rPr>
      <w:rFonts w:ascii="Tahoma" w:hAnsi="Tahoma" w:cs="Tahoma"/>
      <w:sz w:val="16"/>
      <w:szCs w:val="16"/>
    </w:rPr>
  </w:style>
  <w:style w:type="paragraph" w:styleId="ListParagraph">
    <w:name w:val="List Paragraph"/>
    <w:basedOn w:val="Normal"/>
    <w:uiPriority w:val="34"/>
    <w:qFormat/>
    <w:rsid w:val="00FF7672"/>
    <w:pPr>
      <w:ind w:left="720"/>
      <w:contextualSpacing/>
    </w:pPr>
  </w:style>
  <w:style w:type="paragraph" w:styleId="Header">
    <w:name w:val="header"/>
    <w:basedOn w:val="Normal"/>
    <w:link w:val="HeaderChar"/>
    <w:uiPriority w:val="99"/>
    <w:unhideWhenUsed/>
    <w:rsid w:val="00D21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D7A"/>
  </w:style>
  <w:style w:type="paragraph" w:styleId="Footer">
    <w:name w:val="footer"/>
    <w:basedOn w:val="Normal"/>
    <w:link w:val="FooterChar"/>
    <w:uiPriority w:val="99"/>
    <w:unhideWhenUsed/>
    <w:rsid w:val="00D21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BAE5-482B-4D04-9F52-897A5AC3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6272</Words>
  <Characters>33178</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D.</dc:creator>
  <cp:lastModifiedBy>Owen D.</cp:lastModifiedBy>
  <cp:revision>3</cp:revision>
  <cp:lastPrinted>2012-01-23T12:01:00Z</cp:lastPrinted>
  <dcterms:created xsi:type="dcterms:W3CDTF">2012-02-01T16:36:00Z</dcterms:created>
  <dcterms:modified xsi:type="dcterms:W3CDTF">2012-02-21T11:22:00Z</dcterms:modified>
</cp:coreProperties>
</file>