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A348B" w:rsidRPr="00617E2F" w:rsidRDefault="00081C4A" w:rsidP="00617E2F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Testing the Finch Hypothesis on Green OA Mandate Effectiveness</w:t>
      </w:r>
    </w:p>
    <w:p w:rsidR="00155AA0" w:rsidRDefault="001A1338" w:rsidP="001A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Gargouri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Lariviere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Y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Gingras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 T Brody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2</w:t>
      </w:r>
      <w:r w:rsidRPr="001A1338">
        <w:rPr>
          <w:rFonts w:ascii="Times New Roman" w:hAnsi="Times New Roman" w:cs="Times New Roman"/>
          <w:b/>
          <w:sz w:val="24"/>
          <w:szCs w:val="24"/>
          <w:lang w:val="en-CA"/>
        </w:rPr>
        <w:t>,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L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Carr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2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Harnad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1,2</w:t>
      </w:r>
    </w:p>
    <w:p w:rsidR="001A1338" w:rsidRPr="001A1338" w:rsidRDefault="001A1338" w:rsidP="001A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1A1338" w:rsidRDefault="001A1338" w:rsidP="001A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Université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 du Québec à Montréal, Canada</w:t>
      </w:r>
    </w:p>
    <w:p w:rsidR="001A1338" w:rsidRDefault="001A1338" w:rsidP="001A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1A1338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University of Southampton, UK</w:t>
      </w:r>
    </w:p>
    <w:p w:rsidR="00DA0591" w:rsidRDefault="00DA0591" w:rsidP="0096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6D5" w:rsidRDefault="006366D5" w:rsidP="0049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June 2012, the UK Finch Committee made the following statement:</w:t>
      </w:r>
    </w:p>
    <w:p w:rsidR="006366D5" w:rsidRPr="001A1338" w:rsidRDefault="006366D5" w:rsidP="006366D5">
      <w:pPr>
        <w:ind w:left="720"/>
        <w:rPr>
          <w:rFonts w:ascii="Times New Roman" w:hAnsi="Times New Roman" w:cs="Times New Roman"/>
          <w:i/>
          <w:sz w:val="20"/>
          <w:szCs w:val="24"/>
        </w:rPr>
      </w:pPr>
      <w:r w:rsidRPr="001A1338">
        <w:rPr>
          <w:rFonts w:ascii="Times New Roman" w:hAnsi="Times New Roman" w:cs="Times New Roman"/>
          <w:i/>
          <w:sz w:val="20"/>
          <w:szCs w:val="24"/>
        </w:rPr>
        <w:t>"The [Green OA</w:t>
      </w:r>
      <w:r>
        <w:rPr>
          <w:rFonts w:ascii="Times New Roman" w:hAnsi="Times New Roman" w:cs="Times New Roman"/>
          <w:i/>
          <w:sz w:val="20"/>
          <w:szCs w:val="24"/>
        </w:rPr>
        <w:t>]</w:t>
      </w:r>
      <w:r w:rsidRPr="001A1338"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 xml:space="preserve">policies </w:t>
      </w:r>
      <w:r w:rsidRPr="001A1338">
        <w:rPr>
          <w:rFonts w:ascii="Times New Roman" w:hAnsi="Times New Roman" w:cs="Times New Roman"/>
          <w:i/>
          <w:sz w:val="20"/>
          <w:szCs w:val="24"/>
        </w:rPr>
        <w:t>of neither research funders nor universities themselves have yet had a major effect in ensuring that researchers make their publications accessible</w:t>
      </w:r>
      <w:r>
        <w:rPr>
          <w:rFonts w:ascii="Times New Roman" w:hAnsi="Times New Roman" w:cs="Times New Roman"/>
          <w:i/>
          <w:sz w:val="20"/>
          <w:szCs w:val="24"/>
        </w:rPr>
        <w:t xml:space="preserve"> in institutional repositories…</w:t>
      </w:r>
      <w:r w:rsidRPr="001A1338">
        <w:rPr>
          <w:rFonts w:ascii="Times New Roman" w:hAnsi="Times New Roman" w:cs="Times New Roman"/>
          <w:i/>
          <w:sz w:val="20"/>
          <w:szCs w:val="24"/>
        </w:rPr>
        <w:t xml:space="preserve">" </w:t>
      </w:r>
      <w:r>
        <w:rPr>
          <w:rFonts w:ascii="Times New Roman" w:hAnsi="Times New Roman" w:cs="Times New Roman"/>
          <w:b/>
          <w:sz w:val="20"/>
          <w:szCs w:val="24"/>
        </w:rPr>
        <w:t>[</w:t>
      </w:r>
      <w:hyperlink r:id="rId8" w:history="1">
        <w:r>
          <w:rPr>
            <w:rStyle w:val="Hyperlink"/>
            <w:rFonts w:ascii="Times New Roman" w:hAnsi="Times New Roman" w:cs="Times New Roman"/>
            <w:b/>
            <w:sz w:val="20"/>
            <w:szCs w:val="24"/>
          </w:rPr>
          <w:t>Finch Committee Recommendation, June 2012</w:t>
        </w:r>
      </w:hyperlink>
      <w:r>
        <w:rPr>
          <w:rFonts w:ascii="Times New Roman" w:hAnsi="Times New Roman" w:cs="Times New Roman"/>
          <w:b/>
          <w:sz w:val="20"/>
          <w:szCs w:val="24"/>
        </w:rPr>
        <w:t>]</w:t>
      </w:r>
    </w:p>
    <w:p w:rsidR="00081C4A" w:rsidRPr="00081C4A" w:rsidRDefault="00081C4A" w:rsidP="004932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Testing the Finch Hypothesis</w:t>
      </w:r>
    </w:p>
    <w:p w:rsidR="00081C4A" w:rsidRPr="00081C4A" w:rsidRDefault="006366D5" w:rsidP="00493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155AA0">
        <w:rPr>
          <w:rFonts w:ascii="Times New Roman" w:hAnsi="Times New Roman" w:cs="Times New Roman"/>
          <w:sz w:val="24"/>
          <w:szCs w:val="24"/>
        </w:rPr>
        <w:t xml:space="preserve">have now tested </w:t>
      </w:r>
      <w:r w:rsidR="00081C4A">
        <w:rPr>
          <w:rFonts w:ascii="Times New Roman" w:hAnsi="Times New Roman" w:cs="Times New Roman"/>
          <w:sz w:val="24"/>
          <w:szCs w:val="24"/>
        </w:rPr>
        <w:t>the Finch Hypothesis</w:t>
      </w:r>
      <w:r>
        <w:rPr>
          <w:rFonts w:ascii="Times New Roman" w:hAnsi="Times New Roman" w:cs="Times New Roman"/>
          <w:sz w:val="24"/>
          <w:szCs w:val="24"/>
        </w:rPr>
        <w:t xml:space="preserve">. Using data from ROARMAP institutional </w:t>
      </w:r>
      <w:r w:rsidR="00C74E44">
        <w:rPr>
          <w:rFonts w:ascii="Times New Roman" w:hAnsi="Times New Roman" w:cs="Times New Roman"/>
          <w:sz w:val="24"/>
          <w:szCs w:val="24"/>
        </w:rPr>
        <w:t>Green OA mandates and data from ROAR</w:t>
      </w:r>
      <w:r>
        <w:rPr>
          <w:rFonts w:ascii="Times New Roman" w:hAnsi="Times New Roman" w:cs="Times New Roman"/>
          <w:sz w:val="24"/>
          <w:szCs w:val="24"/>
        </w:rPr>
        <w:t xml:space="preserve"> on institutional repositories</w:t>
      </w:r>
      <w:r w:rsidR="00C74E44">
        <w:rPr>
          <w:rFonts w:ascii="Times New Roman" w:hAnsi="Times New Roman" w:cs="Times New Roman"/>
          <w:sz w:val="24"/>
          <w:szCs w:val="24"/>
        </w:rPr>
        <w:t xml:space="preserve">, we found that deposit number and rate is significantly correlated with mandate strength (classified as 1-12): The stronger the mandate, the more the deposits. </w:t>
      </w:r>
      <w:r w:rsidR="00081C4A">
        <w:rPr>
          <w:rFonts w:ascii="Times New Roman" w:hAnsi="Times New Roman" w:cs="Times New Roman"/>
          <w:sz w:val="24"/>
          <w:szCs w:val="24"/>
        </w:rPr>
        <w:t>The</w:t>
      </w:r>
      <w:r w:rsidR="00C74E44">
        <w:rPr>
          <w:rFonts w:ascii="Times New Roman" w:hAnsi="Times New Roman" w:cs="Times New Roman"/>
          <w:sz w:val="24"/>
          <w:szCs w:val="24"/>
        </w:rPr>
        <w:t xml:space="preserve"> strongest mandates generate deposit rates of  </w:t>
      </w:r>
      <w:r w:rsidR="00155AA0">
        <w:rPr>
          <w:rFonts w:ascii="Times New Roman" w:hAnsi="Times New Roman" w:cs="Times New Roman"/>
          <w:sz w:val="24"/>
          <w:szCs w:val="24"/>
        </w:rPr>
        <w:t>7</w:t>
      </w:r>
      <w:r w:rsidR="00C74E44">
        <w:rPr>
          <w:rFonts w:ascii="Times New Roman" w:hAnsi="Times New Roman" w:cs="Times New Roman"/>
          <w:sz w:val="24"/>
          <w:szCs w:val="24"/>
        </w:rPr>
        <w:t xml:space="preserve">0%+ </w:t>
      </w:r>
      <w:r w:rsidR="006F3FB9">
        <w:rPr>
          <w:rFonts w:ascii="Times New Roman" w:hAnsi="Times New Roman" w:cs="Times New Roman"/>
          <w:sz w:val="24"/>
          <w:szCs w:val="24"/>
        </w:rPr>
        <w:t xml:space="preserve">within 2 years of adoption, </w:t>
      </w:r>
      <w:r w:rsidR="00C74E44">
        <w:rPr>
          <w:rFonts w:ascii="Times New Roman" w:hAnsi="Times New Roman" w:cs="Times New Roman"/>
          <w:sz w:val="24"/>
          <w:szCs w:val="24"/>
        </w:rPr>
        <w:t xml:space="preserve">compared to the un-mandated deposit rate of  20%. The effect is already detectable at the national level, where the UK, which has the largest proportion of Green OA mandates, has a </w:t>
      </w:r>
      <w:r w:rsidR="00C74E44" w:rsidRPr="00081C4A">
        <w:rPr>
          <w:rFonts w:ascii="Times New Roman" w:hAnsi="Times New Roman" w:cs="Times New Roman"/>
          <w:sz w:val="24"/>
          <w:szCs w:val="24"/>
        </w:rPr>
        <w:t>national OA rate of</w:t>
      </w:r>
      <w:r w:rsidR="00081C4A" w:rsidRPr="00081C4A">
        <w:rPr>
          <w:rFonts w:ascii="Times New Roman" w:hAnsi="Times New Roman" w:cs="Times New Roman"/>
          <w:sz w:val="24"/>
          <w:szCs w:val="24"/>
        </w:rPr>
        <w:t xml:space="preserve"> 35%, compared to the global baseline of 25%.</w:t>
      </w:r>
    </w:p>
    <w:p w:rsidR="00081C4A" w:rsidRPr="006F3FB9" w:rsidRDefault="00081C4A" w:rsidP="00081C4A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081C4A">
        <w:rPr>
          <w:rFonts w:ascii="Times New Roman" w:hAnsi="Times New Roman" w:cs="Times New Roman"/>
          <w:b/>
          <w:sz w:val="24"/>
          <w:szCs w:val="24"/>
          <w:lang w:val="en-CA"/>
        </w:rPr>
        <w:t>Conclusion</w:t>
      </w:r>
      <w:r w:rsidRPr="0040163A">
        <w:rPr>
          <w:rFonts w:ascii="Calibri" w:hAnsi="Calibri"/>
          <w:b/>
          <w:sz w:val="28"/>
        </w:rPr>
        <w:br/>
      </w:r>
      <w:r w:rsidRPr="00977DC7">
        <w:rPr>
          <w:rFonts w:ascii="Times New Roman" w:hAnsi="Times New Roman" w:cs="Times New Roman"/>
          <w:sz w:val="24"/>
          <w:szCs w:val="24"/>
        </w:rPr>
        <w:t>The conclusion</w:t>
      </w:r>
      <w:r>
        <w:rPr>
          <w:rFonts w:ascii="Times New Roman" w:hAnsi="Times New Roman" w:cs="Times New Roman"/>
          <w:sz w:val="24"/>
          <w:szCs w:val="24"/>
        </w:rPr>
        <w:t xml:space="preserve"> is that, con</w:t>
      </w:r>
      <w:r w:rsidR="00E23696">
        <w:rPr>
          <w:rFonts w:ascii="Times New Roman" w:hAnsi="Times New Roman" w:cs="Times New Roman"/>
          <w:sz w:val="24"/>
          <w:szCs w:val="24"/>
        </w:rPr>
        <w:t>trary to the Finch Hypothesis,</w:t>
      </w:r>
      <w:r>
        <w:rPr>
          <w:rFonts w:ascii="Times New Roman" w:hAnsi="Times New Roman" w:cs="Times New Roman"/>
          <w:sz w:val="24"/>
          <w:szCs w:val="24"/>
        </w:rPr>
        <w:t xml:space="preserve"> Green Open Access Mandates </w:t>
      </w:r>
      <w:r w:rsidRPr="006F3FB9"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have a major effect</w:t>
      </w:r>
      <w:r w:rsidRPr="00977DC7">
        <w:rPr>
          <w:rFonts w:ascii="Times New Roman" w:hAnsi="Times New Roman" w:cs="Times New Roman"/>
          <w:sz w:val="24"/>
          <w:szCs w:val="24"/>
        </w:rPr>
        <w:t xml:space="preserve">, and the stronger the mandate, the </w:t>
      </w:r>
      <w:r>
        <w:rPr>
          <w:rFonts w:ascii="Times New Roman" w:hAnsi="Times New Roman" w:cs="Times New Roman"/>
          <w:sz w:val="24"/>
          <w:szCs w:val="24"/>
        </w:rPr>
        <w:t>stronger the effect</w:t>
      </w:r>
      <w:r w:rsidRPr="00977DC7">
        <w:rPr>
          <w:rFonts w:ascii="Times New Roman" w:hAnsi="Times New Roman" w:cs="Times New Roman"/>
          <w:sz w:val="24"/>
          <w:szCs w:val="24"/>
        </w:rPr>
        <w:t xml:space="preserve"> (the </w:t>
      </w:r>
      <w:hyperlink r:id="rId9" w:history="1">
        <w:r w:rsidRPr="006F3FB9">
          <w:rPr>
            <w:rStyle w:val="Hyperlink"/>
            <w:rFonts w:ascii="Times New Roman" w:hAnsi="Times New Roman" w:cs="Times New Roman"/>
            <w:sz w:val="24"/>
            <w:szCs w:val="24"/>
          </w:rPr>
          <w:t>Liege ID/OA mandate</w:t>
        </w:r>
      </w:hyperlink>
      <w:r w:rsidRPr="00977DC7">
        <w:rPr>
          <w:rFonts w:ascii="Times New Roman" w:hAnsi="Times New Roman" w:cs="Times New Roman"/>
          <w:sz w:val="24"/>
          <w:szCs w:val="24"/>
        </w:rPr>
        <w:t>, linked to research performance evaluation, being the strongest</w:t>
      </w:r>
      <w:r>
        <w:rPr>
          <w:rFonts w:ascii="Times New Roman" w:hAnsi="Times New Roman" w:cs="Times New Roman"/>
          <w:sz w:val="24"/>
          <w:szCs w:val="24"/>
        </w:rPr>
        <w:t xml:space="preserve"> mandate model</w:t>
      </w:r>
      <w:r w:rsidRPr="00977DC7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F3FB9">
          <w:rPr>
            <w:rStyle w:val="Hyperlink"/>
            <w:rFonts w:ascii="Times New Roman" w:hAnsi="Times New Roman" w:cs="Times New Roman"/>
            <w:sz w:val="24"/>
            <w:szCs w:val="24"/>
          </w:rPr>
          <w:t>RCUK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(as well as all universities, research institutions and research funders worldwide) would be well advised to adopt the strongest Green OA mandates and to integrate institutional and funder mandates.</w:t>
      </w:r>
    </w:p>
    <w:p w:rsidR="001A1338" w:rsidRPr="006366D5" w:rsidRDefault="001A1338" w:rsidP="004932D0">
      <w:pPr>
        <w:rPr>
          <w:rFonts w:ascii="Times New Roman" w:hAnsi="Times New Roman" w:cs="Times New Roman"/>
          <w:sz w:val="24"/>
          <w:szCs w:val="24"/>
        </w:rPr>
      </w:pPr>
    </w:p>
    <w:p w:rsidR="004932D0" w:rsidRPr="0070518C" w:rsidRDefault="004932D0" w:rsidP="004932D0">
      <w:pPr>
        <w:rPr>
          <w:rFonts w:ascii="Times New Roman" w:hAnsi="Times New Roman" w:cs="Times New Roman"/>
          <w:b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Mandate strength:</w:t>
      </w:r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12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immediate deposit</w:t>
      </w:r>
      <w:r w:rsidR="00182BFF">
        <w:rPr>
          <w:rFonts w:ascii="Times New Roman" w:hAnsi="Times New Roman" w:cs="Times New Roman"/>
          <w:sz w:val="24"/>
          <w:szCs w:val="24"/>
        </w:rPr>
        <w:t xml:space="preserve"> require</w:t>
      </w:r>
      <w:r w:rsidR="004D5A71">
        <w:rPr>
          <w:rFonts w:ascii="Times New Roman" w:hAnsi="Times New Roman" w:cs="Times New Roman"/>
          <w:sz w:val="24"/>
          <w:szCs w:val="24"/>
        </w:rPr>
        <w:t>d</w:t>
      </w:r>
      <w:r w:rsidRPr="0070518C">
        <w:rPr>
          <w:rFonts w:ascii="Times New Roman" w:hAnsi="Times New Roman" w:cs="Times New Roman"/>
          <w:sz w:val="24"/>
          <w:szCs w:val="24"/>
        </w:rPr>
        <w:t xml:space="preserve"> + linked to performance evaluation (</w:t>
      </w:r>
      <w:hyperlink r:id="rId11" w:history="1">
        <w:r w:rsidRPr="00182BFF">
          <w:rPr>
            <w:rStyle w:val="Hyperlink"/>
            <w:rFonts w:ascii="Times New Roman" w:hAnsi="Times New Roman" w:cs="Times New Roman"/>
            <w:sz w:val="24"/>
            <w:szCs w:val="24"/>
          </w:rPr>
          <w:t>Liege</w:t>
        </w:r>
      </w:hyperlink>
      <w:r w:rsidRPr="0070518C">
        <w:rPr>
          <w:rFonts w:ascii="Times New Roman" w:hAnsi="Times New Roman" w:cs="Times New Roman"/>
          <w:sz w:val="24"/>
          <w:szCs w:val="24"/>
        </w:rPr>
        <w:t xml:space="preserve">) (no </w:t>
      </w:r>
      <w:hyperlink r:id="rId12" w:history="1">
        <w:r w:rsidRPr="00182BFF">
          <w:rPr>
            <w:rStyle w:val="Hyperlink"/>
            <w:rFonts w:ascii="Times New Roman" w:hAnsi="Times New Roman" w:cs="Times New Roman"/>
            <w:sz w:val="24"/>
            <w:szCs w:val="24"/>
          </w:rPr>
          <w:t>waiver</w:t>
        </w:r>
      </w:hyperlink>
      <w:r w:rsidRPr="0070518C">
        <w:rPr>
          <w:rFonts w:ascii="Times New Roman" w:hAnsi="Times New Roman" w:cs="Times New Roman"/>
          <w:sz w:val="24"/>
          <w:szCs w:val="24"/>
        </w:rPr>
        <w:t xml:space="preserve"> option)</w:t>
      </w:r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9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immediate deposit </w:t>
      </w:r>
      <w:r w:rsidR="00182BFF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70518C">
        <w:rPr>
          <w:rFonts w:ascii="Times New Roman" w:hAnsi="Times New Roman" w:cs="Times New Roman"/>
          <w:sz w:val="24"/>
          <w:szCs w:val="24"/>
        </w:rPr>
        <w:t>(no waiver option)</w:t>
      </w:r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6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  6-month delay allowed (no waiver option)</w:t>
      </w:r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12-month delay allowed (no waiver option)</w:t>
      </w:r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3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 rights-retention with </w:t>
      </w:r>
      <w:hyperlink r:id="rId13" w:history="1">
        <w:r w:rsidRPr="00182BFF">
          <w:rPr>
            <w:rStyle w:val="Hyperlink"/>
            <w:rFonts w:ascii="Times New Roman" w:hAnsi="Times New Roman" w:cs="Times New Roman"/>
            <w:sz w:val="24"/>
            <w:szCs w:val="24"/>
          </w:rPr>
          <w:t>waiver option</w:t>
        </w:r>
      </w:hyperlink>
    </w:p>
    <w:p w:rsidR="004932D0" w:rsidRPr="0070518C" w:rsidRDefault="004932D0" w:rsidP="004932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0518C">
        <w:rPr>
          <w:rFonts w:ascii="Times New Roman" w:hAnsi="Times New Roman" w:cs="Times New Roman"/>
          <w:sz w:val="24"/>
          <w:szCs w:val="24"/>
        </w:rPr>
        <w:t xml:space="preserve">   deposit if/when publisher says it's ok</w:t>
      </w:r>
    </w:p>
    <w:p w:rsidR="00182BFF" w:rsidRDefault="004932D0" w:rsidP="004932D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sz w:val="24"/>
          <w:szCs w:val="24"/>
        </w:rPr>
        <w:t xml:space="preserve">no requirement: just request, recommendation or encouragement (policies in ROARMAP that are </w:t>
      </w:r>
      <w:hyperlink r:id="rId14" w:history="1">
        <w:r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not classified as mandates</w:t>
        </w:r>
      </w:hyperlink>
      <w:r w:rsidRPr="0070518C">
        <w:rPr>
          <w:rFonts w:ascii="Times New Roman" w:hAnsi="Times New Roman" w:cs="Times New Roman"/>
          <w:sz w:val="24"/>
          <w:szCs w:val="24"/>
        </w:rPr>
        <w:t>)</w:t>
      </w:r>
    </w:p>
    <w:p w:rsidR="00B6649D" w:rsidRPr="004932D0" w:rsidRDefault="00B6649D" w:rsidP="00182BF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6649D" w:rsidRPr="0070518C" w:rsidRDefault="00B6649D" w:rsidP="00B6649D">
      <w:pPr>
        <w:rPr>
          <w:rFonts w:ascii="Times New Roman" w:hAnsi="Times New Roman" w:cs="Times New Roman"/>
          <w:b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Variables:</w:t>
      </w:r>
    </w:p>
    <w:p w:rsidR="00182BFF" w:rsidRDefault="00CD5C9F" w:rsidP="00B664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MAND-STRENGTH</w:t>
      </w:r>
      <w:r w:rsidR="00B6649D" w:rsidRPr="0070518C">
        <w:rPr>
          <w:rFonts w:ascii="Times New Roman" w:hAnsi="Times New Roman" w:cs="Times New Roman"/>
          <w:sz w:val="24"/>
          <w:szCs w:val="24"/>
        </w:rPr>
        <w:t>: strength of institution’s deposit mandate</w:t>
      </w:r>
    </w:p>
    <w:p w:rsidR="004D5A71" w:rsidRDefault="004D5A71" w:rsidP="00182B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MAND_</w:t>
      </w:r>
      <w:r w:rsidR="00182BFF" w:rsidRPr="0070518C">
        <w:rPr>
          <w:rFonts w:ascii="Times New Roman" w:hAnsi="Times New Roman" w:cs="Times New Roman"/>
          <w:b/>
          <w:sz w:val="24"/>
          <w:szCs w:val="24"/>
        </w:rPr>
        <w:t>AGE</w:t>
      </w:r>
      <w:r w:rsidR="00182BFF" w:rsidRPr="0070518C">
        <w:rPr>
          <w:rFonts w:ascii="Times New Roman" w:hAnsi="Times New Roman" w:cs="Times New Roman"/>
          <w:sz w:val="24"/>
          <w:szCs w:val="24"/>
        </w:rPr>
        <w:t>: age of institution’s deposit mandate (in months)</w:t>
      </w:r>
    </w:p>
    <w:p w:rsidR="00B6649D" w:rsidRPr="00182BFF" w:rsidRDefault="004D5A71" w:rsidP="00182B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REPOS_AGE</w:t>
      </w:r>
      <w:r w:rsidRPr="004D5A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18C">
        <w:rPr>
          <w:rFonts w:ascii="Times New Roman" w:hAnsi="Times New Roman" w:cs="Times New Roman"/>
          <w:sz w:val="24"/>
          <w:szCs w:val="24"/>
        </w:rPr>
        <w:t>age of institution’s</w:t>
      </w:r>
      <w:r>
        <w:rPr>
          <w:rFonts w:ascii="Times New Roman" w:hAnsi="Times New Roman" w:cs="Times New Roman"/>
          <w:sz w:val="24"/>
          <w:szCs w:val="24"/>
        </w:rPr>
        <w:t xml:space="preserve"> repository</w:t>
      </w:r>
    </w:p>
    <w:p w:rsidR="00B6649D" w:rsidRDefault="00CD5C9F" w:rsidP="00B664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depos_total</w:t>
      </w:r>
      <w:proofErr w:type="spellEnd"/>
      <w:r w:rsidR="00B6649D" w:rsidRPr="0070518C">
        <w:rPr>
          <w:rFonts w:ascii="Times New Roman" w:hAnsi="Times New Roman" w:cs="Times New Roman"/>
          <w:sz w:val="24"/>
          <w:szCs w:val="24"/>
        </w:rPr>
        <w:t xml:space="preserve"> : </w:t>
      </w:r>
      <w:hyperlink r:id="rId15" w:history="1">
        <w:r w:rsidR="00B6649D"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total number of deposits</w:t>
        </w:r>
      </w:hyperlink>
      <w:r w:rsidR="00B6649D" w:rsidRPr="0070518C">
        <w:rPr>
          <w:rFonts w:ascii="Times New Roman" w:hAnsi="Times New Roman" w:cs="Times New Roman"/>
          <w:sz w:val="24"/>
          <w:szCs w:val="24"/>
        </w:rPr>
        <w:t xml:space="preserve"> in institutional repository, </w:t>
      </w:r>
      <w:r w:rsidR="00B6649D" w:rsidRPr="00B27DD0">
        <w:rPr>
          <w:rFonts w:ascii="Times New Roman" w:hAnsi="Times New Roman" w:cs="Times New Roman"/>
          <w:i/>
          <w:sz w:val="24"/>
          <w:szCs w:val="24"/>
        </w:rPr>
        <w:t>normalized by the number the researchers at institution</w:t>
      </w:r>
      <w:r w:rsidR="00B6649D" w:rsidRPr="00705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FD4" w:rsidRPr="00835C2C" w:rsidRDefault="008D6FD4" w:rsidP="008D6F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5C2C">
        <w:rPr>
          <w:rFonts w:ascii="Times New Roman" w:hAnsi="Times New Roman" w:cs="Times New Roman"/>
          <w:b/>
          <w:sz w:val="24"/>
          <w:szCs w:val="24"/>
        </w:rPr>
        <w:t>depos_average</w:t>
      </w:r>
      <w:proofErr w:type="spellEnd"/>
      <w:r w:rsidRPr="00835C2C">
        <w:rPr>
          <w:rFonts w:ascii="Times New Roman" w:hAnsi="Times New Roman" w:cs="Times New Roman"/>
          <w:sz w:val="24"/>
          <w:szCs w:val="24"/>
        </w:rPr>
        <w:t xml:space="preserve"> : yearly average number of deposits in institutional repository, </w:t>
      </w:r>
      <w:r w:rsidRPr="00835C2C">
        <w:rPr>
          <w:rFonts w:ascii="Times New Roman" w:hAnsi="Times New Roman" w:cs="Times New Roman"/>
          <w:i/>
          <w:sz w:val="24"/>
          <w:szCs w:val="24"/>
        </w:rPr>
        <w:t xml:space="preserve">normalized by number </w:t>
      </w:r>
      <w:r w:rsidR="0088685B" w:rsidRPr="00835C2C">
        <w:rPr>
          <w:rFonts w:ascii="Times New Roman" w:hAnsi="Times New Roman" w:cs="Times New Roman"/>
          <w:i/>
          <w:sz w:val="24"/>
          <w:szCs w:val="24"/>
        </w:rPr>
        <w:t>of</w:t>
      </w:r>
      <w:r w:rsidRPr="00835C2C">
        <w:rPr>
          <w:rFonts w:ascii="Times New Roman" w:hAnsi="Times New Roman" w:cs="Times New Roman"/>
          <w:i/>
          <w:sz w:val="24"/>
          <w:szCs w:val="24"/>
        </w:rPr>
        <w:t xml:space="preserve"> researchers at institution</w:t>
      </w:r>
    </w:p>
    <w:p w:rsidR="00B6649D" w:rsidRPr="0070518C" w:rsidRDefault="004D5A71" w:rsidP="00B664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depos_rate</w:t>
      </w:r>
      <w:proofErr w:type="spellEnd"/>
      <w:r w:rsidR="00B6649D" w:rsidRPr="0070518C">
        <w:rPr>
          <w:rFonts w:ascii="Times New Roman" w:hAnsi="Times New Roman" w:cs="Times New Roman"/>
          <w:sz w:val="24"/>
          <w:szCs w:val="24"/>
        </w:rPr>
        <w:t xml:space="preserve"> : </w:t>
      </w:r>
      <w:hyperlink r:id="rId16" w:history="1">
        <w:r w:rsidR="00B6649D"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rate of deposit</w:t>
        </w:r>
      </w:hyperlink>
      <w:r w:rsidR="00B6649D" w:rsidRPr="0070518C">
        <w:rPr>
          <w:rFonts w:ascii="Times New Roman" w:hAnsi="Times New Roman" w:cs="Times New Roman"/>
          <w:sz w:val="24"/>
          <w:szCs w:val="24"/>
        </w:rPr>
        <w:t xml:space="preserve"> (number of days per year with 10-99 deposits)</w:t>
      </w:r>
      <w:r w:rsidR="00B6649D" w:rsidRPr="0070518C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B6649D" w:rsidRPr="0070518C">
        <w:rPr>
          <w:rFonts w:ascii="Times New Roman" w:hAnsi="Times New Roman" w:cs="Times New Roman"/>
          <w:sz w:val="24"/>
          <w:szCs w:val="24"/>
        </w:rPr>
        <w:t xml:space="preserve">, </w:t>
      </w:r>
      <w:r w:rsidR="00B6649D" w:rsidRPr="00B27DD0">
        <w:rPr>
          <w:rFonts w:ascii="Times New Roman" w:hAnsi="Times New Roman" w:cs="Times New Roman"/>
          <w:i/>
          <w:sz w:val="24"/>
          <w:szCs w:val="24"/>
        </w:rPr>
        <w:t xml:space="preserve">normalized by the number </w:t>
      </w:r>
      <w:r w:rsidR="00835C2C">
        <w:rPr>
          <w:rFonts w:ascii="Times New Roman" w:hAnsi="Times New Roman" w:cs="Times New Roman"/>
          <w:i/>
          <w:sz w:val="24"/>
          <w:szCs w:val="24"/>
        </w:rPr>
        <w:t>of</w:t>
      </w:r>
      <w:r w:rsidR="00B6649D" w:rsidRPr="00B27DD0">
        <w:rPr>
          <w:rFonts w:ascii="Times New Roman" w:hAnsi="Times New Roman" w:cs="Times New Roman"/>
          <w:i/>
          <w:sz w:val="24"/>
          <w:szCs w:val="24"/>
        </w:rPr>
        <w:t xml:space="preserve"> researchers at institution</w:t>
      </w:r>
    </w:p>
    <w:p w:rsidR="004D5A71" w:rsidRDefault="004932D0" w:rsidP="00182B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INST_RANK</w:t>
      </w:r>
      <w:r w:rsidR="00B6649D" w:rsidRPr="0070518C">
        <w:rPr>
          <w:rFonts w:ascii="Times New Roman" w:hAnsi="Times New Roman" w:cs="Times New Roman"/>
          <w:sz w:val="24"/>
          <w:szCs w:val="24"/>
        </w:rPr>
        <w:t xml:space="preserve"> (12,000 minus </w:t>
      </w:r>
      <w:hyperlink r:id="rId17" w:history="1">
        <w:proofErr w:type="spellStart"/>
        <w:r w:rsidR="00182BFF"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Webometrics</w:t>
        </w:r>
        <w:proofErr w:type="spellEnd"/>
        <w:r w:rsidR="00182BFF" w:rsidRPr="00B27D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rank of institution</w:t>
        </w:r>
      </w:hyperlink>
      <w:r w:rsidR="00B6649D" w:rsidRPr="0070518C">
        <w:rPr>
          <w:rFonts w:ascii="Times New Roman" w:hAnsi="Times New Roman" w:cs="Times New Roman"/>
          <w:sz w:val="24"/>
          <w:szCs w:val="24"/>
        </w:rPr>
        <w:t>)</w:t>
      </w:r>
    </w:p>
    <w:p w:rsidR="00B27DD0" w:rsidRPr="004D5A71" w:rsidRDefault="00B27DD0" w:rsidP="004D5A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82BFF" w:rsidRDefault="00182BFF" w:rsidP="00182BFF">
      <w:pPr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sz w:val="24"/>
          <w:szCs w:val="24"/>
        </w:rPr>
        <w:t xml:space="preserve">We used data from </w:t>
      </w:r>
      <w:hyperlink r:id="rId18" w:history="1">
        <w:r w:rsidR="00013A50" w:rsidRPr="0070518C">
          <w:rPr>
            <w:rStyle w:val="Hyperlink"/>
            <w:rFonts w:ascii="Times New Roman" w:hAnsi="Times New Roman" w:cs="Times New Roman"/>
            <w:sz w:val="24"/>
            <w:szCs w:val="24"/>
          </w:rPr>
          <w:t>ROARMAP</w:t>
        </w:r>
      </w:hyperlink>
      <w:r w:rsidR="00013A50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013A50">
        <w:rPr>
          <w:rFonts w:ascii="Times New Roman" w:hAnsi="Times New Roman" w:cs="Times New Roman"/>
          <w:sz w:val="24"/>
          <w:szCs w:val="24"/>
        </w:rPr>
        <w:t>(</w:t>
      </w:r>
      <w:r w:rsidRPr="0070518C">
        <w:rPr>
          <w:rFonts w:ascii="Times New Roman" w:hAnsi="Times New Roman" w:cs="Times New Roman"/>
          <w:sz w:val="24"/>
          <w:szCs w:val="24"/>
        </w:rPr>
        <w:t xml:space="preserve">the </w:t>
      </w:r>
      <w:r w:rsidRPr="004932D0">
        <w:rPr>
          <w:rFonts w:ascii="Times New Roman" w:hAnsi="Times New Roman" w:cs="Times New Roman"/>
          <w:i/>
          <w:sz w:val="24"/>
          <w:szCs w:val="24"/>
        </w:rPr>
        <w:t>Registry of Open Access Repositories’ Mandatory Archiving Policies</w:t>
      </w:r>
      <w:r w:rsidR="00013A50">
        <w:rPr>
          <w:rFonts w:ascii="Times New Roman" w:hAnsi="Times New Roman" w:cs="Times New Roman"/>
          <w:sz w:val="24"/>
          <w:szCs w:val="24"/>
        </w:rPr>
        <w:t xml:space="preserve">) </w:t>
      </w:r>
      <w:r w:rsidRPr="0070518C">
        <w:rPr>
          <w:rFonts w:ascii="Times New Roman" w:hAnsi="Times New Roman" w:cs="Times New Roman"/>
          <w:sz w:val="24"/>
          <w:szCs w:val="24"/>
        </w:rPr>
        <w:t xml:space="preserve">to classify the </w:t>
      </w:r>
      <w:hyperlink r:id="rId19" w:history="1">
        <w:r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age</w:t>
        </w:r>
      </w:hyperlink>
      <w:r w:rsidRPr="0070518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MAND_AGE</w:t>
      </w:r>
      <w:r w:rsidRPr="0070518C">
        <w:rPr>
          <w:rFonts w:ascii="Times New Roman" w:hAnsi="Times New Roman" w:cs="Times New Roman"/>
          <w:sz w:val="24"/>
          <w:szCs w:val="24"/>
        </w:rPr>
        <w:t>) (1-103 months)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CD5C9F">
        <w:rPr>
          <w:rFonts w:ascii="Times New Roman" w:hAnsi="Times New Roman" w:cs="Times New Roman"/>
          <w:sz w:val="24"/>
          <w:szCs w:val="24"/>
        </w:rPr>
        <w:t>strength (MAND-STRENGTH)</w:t>
      </w:r>
      <w:r w:rsidRPr="0070518C">
        <w:rPr>
          <w:rFonts w:ascii="Times New Roman" w:hAnsi="Times New Roman" w:cs="Times New Roman"/>
          <w:sz w:val="24"/>
          <w:szCs w:val="24"/>
        </w:rPr>
        <w:t xml:space="preserve"> (1–12) of </w:t>
      </w:r>
      <w:r>
        <w:rPr>
          <w:rFonts w:ascii="Times New Roman" w:hAnsi="Times New Roman" w:cs="Times New Roman"/>
          <w:sz w:val="24"/>
          <w:szCs w:val="24"/>
        </w:rPr>
        <w:t>self-archiving</w:t>
      </w:r>
      <w:r w:rsidRPr="0070518C">
        <w:rPr>
          <w:rFonts w:ascii="Times New Roman" w:hAnsi="Times New Roman" w:cs="Times New Roman"/>
          <w:sz w:val="24"/>
          <w:szCs w:val="24"/>
        </w:rPr>
        <w:t xml:space="preserve"> mandates for the </w:t>
      </w:r>
      <w:hyperlink r:id="rId20" w:history="1">
        <w:r w:rsidRPr="00B27DD0">
          <w:rPr>
            <w:rStyle w:val="Hyperlink"/>
            <w:rFonts w:ascii="Times New Roman" w:hAnsi="Times New Roman" w:cs="Times New Roman"/>
            <w:sz w:val="24"/>
            <w:szCs w:val="24"/>
          </w:rPr>
          <w:t>155 institutions</w:t>
        </w:r>
      </w:hyperlink>
      <w:r w:rsidRPr="0070518C">
        <w:rPr>
          <w:rFonts w:ascii="Times New Roman" w:hAnsi="Times New Roman" w:cs="Times New Roman"/>
          <w:sz w:val="24"/>
          <w:szCs w:val="24"/>
        </w:rPr>
        <w:t xml:space="preserve"> that have </w:t>
      </w:r>
      <w:r w:rsidR="004D5A71">
        <w:rPr>
          <w:rFonts w:ascii="Times New Roman" w:hAnsi="Times New Roman" w:cs="Times New Roman"/>
          <w:sz w:val="24"/>
          <w:szCs w:val="24"/>
        </w:rPr>
        <w:t>adopted a mandate</w:t>
      </w:r>
      <w:r w:rsidRPr="0070518C">
        <w:rPr>
          <w:rFonts w:ascii="Times New Roman" w:hAnsi="Times New Roman" w:cs="Times New Roman"/>
          <w:sz w:val="24"/>
          <w:szCs w:val="24"/>
        </w:rPr>
        <w:t xml:space="preserve"> to date. </w:t>
      </w:r>
    </w:p>
    <w:p w:rsidR="00182BFF" w:rsidRDefault="00182BFF" w:rsidP="00182BFF">
      <w:pPr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sz w:val="24"/>
          <w:szCs w:val="24"/>
        </w:rPr>
        <w:t>We then used</w:t>
      </w:r>
      <w:r w:rsidR="00013A50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013A50" w:rsidRPr="0070518C">
          <w:rPr>
            <w:rStyle w:val="Hyperlink"/>
            <w:rFonts w:ascii="Times New Roman" w:hAnsi="Times New Roman" w:cs="Times New Roman"/>
            <w:sz w:val="24"/>
            <w:szCs w:val="24"/>
          </w:rPr>
          <w:t>ROAR</w:t>
        </w:r>
      </w:hyperlink>
      <w:r w:rsidR="00013A50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013A50">
        <w:rPr>
          <w:rFonts w:ascii="Times New Roman" w:hAnsi="Times New Roman" w:cs="Times New Roman"/>
          <w:sz w:val="24"/>
          <w:szCs w:val="24"/>
        </w:rPr>
        <w:t>(</w:t>
      </w:r>
      <w:r w:rsidRPr="0070518C">
        <w:rPr>
          <w:rFonts w:ascii="Times New Roman" w:hAnsi="Times New Roman" w:cs="Times New Roman"/>
          <w:sz w:val="24"/>
          <w:szCs w:val="24"/>
        </w:rPr>
        <w:t xml:space="preserve">the </w:t>
      </w:r>
      <w:r w:rsidRPr="004932D0">
        <w:rPr>
          <w:rFonts w:ascii="Times New Roman" w:hAnsi="Times New Roman" w:cs="Times New Roman"/>
          <w:i/>
          <w:sz w:val="24"/>
          <w:szCs w:val="24"/>
        </w:rPr>
        <w:t>Registry of Open Access Repositories</w:t>
      </w:r>
      <w:r w:rsidR="00013A50">
        <w:rPr>
          <w:rFonts w:ascii="Times New Roman" w:hAnsi="Times New Roman" w:cs="Times New Roman"/>
          <w:sz w:val="24"/>
          <w:szCs w:val="24"/>
        </w:rPr>
        <w:t xml:space="preserve">) </w:t>
      </w:r>
      <w:r w:rsidRPr="0070518C">
        <w:rPr>
          <w:rFonts w:ascii="Times New Roman" w:hAnsi="Times New Roman" w:cs="Times New Roman"/>
          <w:sz w:val="24"/>
          <w:szCs w:val="24"/>
        </w:rPr>
        <w:t xml:space="preserve">to </w:t>
      </w:r>
      <w:r w:rsidR="00013A50">
        <w:rPr>
          <w:rFonts w:ascii="Times New Roman" w:hAnsi="Times New Roman" w:cs="Times New Roman"/>
          <w:sz w:val="24"/>
          <w:szCs w:val="24"/>
        </w:rPr>
        <w:t>determine</w:t>
      </w:r>
      <w:r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4D5A71">
        <w:rPr>
          <w:rFonts w:ascii="Times New Roman" w:hAnsi="Times New Roman" w:cs="Times New Roman"/>
          <w:sz w:val="24"/>
          <w:szCs w:val="24"/>
        </w:rPr>
        <w:t xml:space="preserve">for </w:t>
      </w:r>
      <w:r w:rsidR="001538BB">
        <w:rPr>
          <w:rFonts w:ascii="Times New Roman" w:hAnsi="Times New Roman" w:cs="Times New Roman"/>
          <w:sz w:val="24"/>
          <w:szCs w:val="24"/>
        </w:rPr>
        <w:t>each</w:t>
      </w:r>
      <w:r w:rsidR="004D5A71">
        <w:rPr>
          <w:rFonts w:ascii="Times New Roman" w:hAnsi="Times New Roman" w:cs="Times New Roman"/>
          <w:sz w:val="24"/>
          <w:szCs w:val="24"/>
        </w:rPr>
        <w:t xml:space="preserve"> registered institutional repositor</w:t>
      </w:r>
      <w:r w:rsidR="001538BB">
        <w:rPr>
          <w:rFonts w:ascii="Times New Roman" w:hAnsi="Times New Roman" w:cs="Times New Roman"/>
          <w:sz w:val="24"/>
          <w:szCs w:val="24"/>
        </w:rPr>
        <w:t>y</w:t>
      </w:r>
      <w:r w:rsidR="004D5A71">
        <w:rPr>
          <w:rFonts w:ascii="Times New Roman" w:hAnsi="Times New Roman" w:cs="Times New Roman"/>
          <w:sz w:val="24"/>
          <w:szCs w:val="24"/>
        </w:rPr>
        <w:t xml:space="preserve"> (c. 1</w:t>
      </w:r>
      <w:r w:rsidR="001538BB">
        <w:rPr>
          <w:rFonts w:ascii="Times New Roman" w:hAnsi="Times New Roman" w:cs="Times New Roman"/>
          <w:sz w:val="24"/>
          <w:szCs w:val="24"/>
        </w:rPr>
        <w:t>,</w:t>
      </w:r>
      <w:r w:rsidR="004D5A71">
        <w:rPr>
          <w:rFonts w:ascii="Times New Roman" w:hAnsi="Times New Roman" w:cs="Times New Roman"/>
          <w:sz w:val="24"/>
          <w:szCs w:val="24"/>
        </w:rPr>
        <w:t>890</w:t>
      </w:r>
      <w:r w:rsidR="001538BB">
        <w:rPr>
          <w:rFonts w:ascii="Times New Roman" w:hAnsi="Times New Roman" w:cs="Times New Roman"/>
          <w:sz w:val="24"/>
          <w:szCs w:val="24"/>
        </w:rPr>
        <w:t xml:space="preserve"> repositories to date</w:t>
      </w:r>
      <w:r w:rsidR="004D5A71">
        <w:rPr>
          <w:rFonts w:ascii="Times New Roman" w:hAnsi="Times New Roman" w:cs="Times New Roman"/>
          <w:sz w:val="24"/>
          <w:szCs w:val="24"/>
        </w:rPr>
        <w:t>) its</w:t>
      </w:r>
      <w:r w:rsidRPr="0070518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4D5A71">
          <w:rPr>
            <w:rStyle w:val="Hyperlink"/>
            <w:rFonts w:ascii="Times New Roman" w:hAnsi="Times New Roman" w:cs="Times New Roman"/>
            <w:sz w:val="24"/>
            <w:szCs w:val="24"/>
          </w:rPr>
          <w:t>age</w:t>
        </w:r>
      </w:hyperlink>
      <w:r w:rsidRPr="004D5A71">
        <w:rPr>
          <w:rFonts w:ascii="Times New Roman" w:hAnsi="Times New Roman" w:cs="Times New Roman"/>
          <w:sz w:val="24"/>
          <w:szCs w:val="24"/>
        </w:rPr>
        <w:t xml:space="preserve"> </w:t>
      </w:r>
      <w:r w:rsidRPr="007051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REPOS_AGE</w:t>
      </w:r>
      <w:r w:rsidRPr="0070518C">
        <w:rPr>
          <w:rFonts w:ascii="Times New Roman" w:hAnsi="Times New Roman" w:cs="Times New Roman"/>
          <w:sz w:val="24"/>
          <w:szCs w:val="24"/>
        </w:rPr>
        <w:t xml:space="preserve">) and </w:t>
      </w:r>
      <w:r w:rsidR="001538BB">
        <w:rPr>
          <w:rFonts w:ascii="Times New Roman" w:hAnsi="Times New Roman" w:cs="Times New Roman"/>
          <w:sz w:val="24"/>
          <w:szCs w:val="24"/>
        </w:rPr>
        <w:t>the</w:t>
      </w:r>
      <w:r w:rsidR="004D5A71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4D5A71" w:rsidRPr="004D5A71">
          <w:rPr>
            <w:rStyle w:val="Hyperlink"/>
            <w:rFonts w:ascii="Times New Roman" w:hAnsi="Times New Roman" w:cs="Times New Roman"/>
            <w:sz w:val="24"/>
            <w:szCs w:val="24"/>
          </w:rPr>
          <w:t>number</w:t>
        </w:r>
      </w:hyperlink>
      <w:r w:rsidR="004D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5C9F">
        <w:rPr>
          <w:rFonts w:ascii="Times New Roman" w:hAnsi="Times New Roman" w:cs="Times New Roman"/>
          <w:sz w:val="24"/>
          <w:szCs w:val="24"/>
        </w:rPr>
        <w:t>depos_total</w:t>
      </w:r>
      <w:proofErr w:type="spellEnd"/>
      <w:r w:rsidR="004D5A71">
        <w:rPr>
          <w:rFonts w:ascii="Times New Roman" w:hAnsi="Times New Roman" w:cs="Times New Roman"/>
          <w:sz w:val="24"/>
          <w:szCs w:val="24"/>
        </w:rPr>
        <w:t xml:space="preserve">) </w:t>
      </w:r>
      <w:hyperlink r:id="rId24" w:history="1">
        <w:r w:rsidR="004D5A71" w:rsidRPr="00F2423B">
          <w:rPr>
            <w:rStyle w:val="Hyperlink"/>
            <w:rFonts w:ascii="Times New Roman" w:hAnsi="Times New Roman" w:cs="Times New Roman"/>
            <w:sz w:val="24"/>
            <w:szCs w:val="24"/>
          </w:rPr>
          <w:t>rate</w:t>
        </w:r>
      </w:hyperlink>
      <w:r w:rsidR="004D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5A71">
        <w:rPr>
          <w:rFonts w:ascii="Times New Roman" w:hAnsi="Times New Roman" w:cs="Times New Roman"/>
          <w:sz w:val="24"/>
          <w:szCs w:val="24"/>
        </w:rPr>
        <w:t>depos_rate</w:t>
      </w:r>
      <w:proofErr w:type="spellEnd"/>
      <w:r w:rsidR="004D5A71">
        <w:rPr>
          <w:rFonts w:ascii="Times New Roman" w:hAnsi="Times New Roman" w:cs="Times New Roman"/>
          <w:sz w:val="24"/>
          <w:szCs w:val="24"/>
        </w:rPr>
        <w:t xml:space="preserve">) </w:t>
      </w:r>
      <w:r w:rsidR="00CD5C9F">
        <w:rPr>
          <w:rFonts w:ascii="Times New Roman" w:hAnsi="Times New Roman" w:cs="Times New Roman"/>
          <w:sz w:val="24"/>
          <w:szCs w:val="24"/>
        </w:rPr>
        <w:t>and yearly average (</w:t>
      </w:r>
      <w:proofErr w:type="spellStart"/>
      <w:r w:rsidR="00CD5C9F">
        <w:rPr>
          <w:rFonts w:ascii="Times New Roman" w:hAnsi="Times New Roman" w:cs="Times New Roman"/>
          <w:sz w:val="24"/>
          <w:szCs w:val="24"/>
        </w:rPr>
        <w:t>depos_average</w:t>
      </w:r>
      <w:proofErr w:type="spellEnd"/>
      <w:r w:rsidR="00CD5C9F">
        <w:rPr>
          <w:rFonts w:ascii="Times New Roman" w:hAnsi="Times New Roman" w:cs="Times New Roman"/>
          <w:sz w:val="24"/>
          <w:szCs w:val="24"/>
        </w:rPr>
        <w:t xml:space="preserve">) </w:t>
      </w:r>
      <w:r w:rsidR="004D5A71">
        <w:rPr>
          <w:rFonts w:ascii="Times New Roman" w:hAnsi="Times New Roman" w:cs="Times New Roman"/>
          <w:sz w:val="24"/>
          <w:szCs w:val="24"/>
        </w:rPr>
        <w:t>of its deposits.</w:t>
      </w:r>
      <w:r w:rsidRPr="00705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A71" w:rsidRDefault="001151F9" w:rsidP="00182BFF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182BFF" w:rsidRPr="001538BB">
          <w:rPr>
            <w:rStyle w:val="Hyperlink"/>
            <w:rFonts w:ascii="Times New Roman" w:hAnsi="Times New Roman" w:cs="Times New Roman"/>
            <w:sz w:val="24"/>
            <w:szCs w:val="24"/>
          </w:rPr>
          <w:t>Thompson-Reuters database (</w:t>
        </w:r>
        <w:proofErr w:type="spellStart"/>
        <w:r w:rsidR="00182BFF" w:rsidRPr="001538BB">
          <w:rPr>
            <w:rStyle w:val="Hyperlink"/>
            <w:rFonts w:ascii="Times New Roman" w:hAnsi="Times New Roman" w:cs="Times New Roman"/>
            <w:sz w:val="24"/>
            <w:szCs w:val="24"/>
          </w:rPr>
          <w:t>Wo</w:t>
        </w:r>
        <w:r w:rsidR="001538BB" w:rsidRPr="001538BB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  <w:proofErr w:type="spellEnd"/>
        <w:r w:rsidR="00182BFF" w:rsidRPr="001538BB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</w:hyperlink>
      <w:r w:rsidR="00182BFF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4D5A71">
        <w:rPr>
          <w:rFonts w:ascii="Times New Roman" w:hAnsi="Times New Roman" w:cs="Times New Roman"/>
          <w:sz w:val="24"/>
          <w:szCs w:val="24"/>
        </w:rPr>
        <w:t xml:space="preserve">was used 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to normalize the number and the rate of deposits by the number </w:t>
      </w:r>
      <w:r w:rsidR="00182BFF">
        <w:rPr>
          <w:rFonts w:ascii="Times New Roman" w:hAnsi="Times New Roman" w:cs="Times New Roman"/>
          <w:sz w:val="24"/>
          <w:szCs w:val="24"/>
        </w:rPr>
        <w:t>of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 researchers at each institution</w:t>
      </w:r>
      <w:r w:rsidR="00182BFF">
        <w:rPr>
          <w:rFonts w:ascii="Times New Roman" w:hAnsi="Times New Roman" w:cs="Times New Roman"/>
          <w:sz w:val="24"/>
          <w:szCs w:val="24"/>
        </w:rPr>
        <w:t xml:space="preserve"> that had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 published at least one article during the last 4 years. </w:t>
      </w:r>
    </w:p>
    <w:p w:rsidR="004D5A71" w:rsidRDefault="001151F9" w:rsidP="00182BFF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spellStart"/>
        <w:r w:rsidR="00182BFF" w:rsidRPr="0070518C">
          <w:rPr>
            <w:rStyle w:val="Hyperlink"/>
            <w:rFonts w:ascii="Times New Roman" w:hAnsi="Times New Roman" w:cs="Times New Roman"/>
            <w:sz w:val="24"/>
            <w:szCs w:val="24"/>
          </w:rPr>
          <w:t>Webometrics</w:t>
        </w:r>
        <w:proofErr w:type="spellEnd"/>
        <w:r w:rsidR="00182BFF" w:rsidRPr="0070518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university ranking</w:t>
        </w:r>
      </w:hyperlink>
      <w:r w:rsidR="004D5A71">
        <w:rPr>
          <w:rFonts w:ascii="Times New Roman" w:hAnsi="Times New Roman" w:cs="Times New Roman"/>
          <w:sz w:val="24"/>
          <w:szCs w:val="24"/>
        </w:rPr>
        <w:t xml:space="preserve"> was 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used to classify institutions according to their rank among 12,000 institutions. </w:t>
      </w:r>
      <w:r w:rsidR="00182BFF">
        <w:rPr>
          <w:rFonts w:ascii="Times New Roman" w:hAnsi="Times New Roman" w:cs="Times New Roman"/>
          <w:sz w:val="24"/>
          <w:szCs w:val="24"/>
        </w:rPr>
        <w:t>INST_RANK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 (12,000 minus ranking) </w:t>
      </w:r>
      <w:r w:rsidR="00CD5C9F">
        <w:rPr>
          <w:rFonts w:ascii="Times New Roman" w:hAnsi="Times New Roman" w:cs="Times New Roman"/>
          <w:sz w:val="24"/>
          <w:szCs w:val="24"/>
        </w:rPr>
        <w:t>reversed the rank scale</w:t>
      </w:r>
      <w:r w:rsidR="001538BB">
        <w:rPr>
          <w:rFonts w:ascii="Times New Roman" w:hAnsi="Times New Roman" w:cs="Times New Roman"/>
          <w:sz w:val="24"/>
          <w:szCs w:val="24"/>
        </w:rPr>
        <w:t xml:space="preserve"> to give the positive </w:t>
      </w:r>
      <w:r w:rsidR="00182495">
        <w:rPr>
          <w:rFonts w:ascii="Times New Roman" w:hAnsi="Times New Roman" w:cs="Times New Roman"/>
          <w:sz w:val="24"/>
          <w:szCs w:val="24"/>
        </w:rPr>
        <w:t>c</w:t>
      </w:r>
      <w:r w:rsidR="001538BB">
        <w:rPr>
          <w:rFonts w:ascii="Times New Roman" w:hAnsi="Times New Roman" w:cs="Times New Roman"/>
          <w:sz w:val="24"/>
          <w:szCs w:val="24"/>
        </w:rPr>
        <w:t xml:space="preserve">orrelations </w:t>
      </w:r>
      <w:r w:rsidR="00CD5C9F">
        <w:rPr>
          <w:rFonts w:ascii="Times New Roman" w:hAnsi="Times New Roman" w:cs="Times New Roman"/>
          <w:sz w:val="24"/>
          <w:szCs w:val="24"/>
        </w:rPr>
        <w:t>a</w:t>
      </w:r>
      <w:r w:rsidR="001538BB">
        <w:rPr>
          <w:rFonts w:ascii="Times New Roman" w:hAnsi="Times New Roman" w:cs="Times New Roman"/>
          <w:sz w:val="24"/>
          <w:szCs w:val="24"/>
        </w:rPr>
        <w:t xml:space="preserve"> natural interpretation (</w:t>
      </w:r>
      <w:r w:rsidR="00CD5C9F">
        <w:rPr>
          <w:rFonts w:ascii="Times New Roman" w:hAnsi="Times New Roman" w:cs="Times New Roman"/>
          <w:sz w:val="24"/>
          <w:szCs w:val="24"/>
        </w:rPr>
        <w:t xml:space="preserve">in which a </w:t>
      </w:r>
      <w:r w:rsidR="001538BB">
        <w:rPr>
          <w:rFonts w:ascii="Times New Roman" w:hAnsi="Times New Roman" w:cs="Times New Roman"/>
          <w:sz w:val="24"/>
          <w:szCs w:val="24"/>
        </w:rPr>
        <w:t>high</w:t>
      </w:r>
      <w:r w:rsidR="00CD5C9F">
        <w:rPr>
          <w:rFonts w:ascii="Times New Roman" w:hAnsi="Times New Roman" w:cs="Times New Roman"/>
          <w:sz w:val="24"/>
          <w:szCs w:val="24"/>
        </w:rPr>
        <w:t>er</w:t>
      </w:r>
      <w:r w:rsidR="001538BB">
        <w:rPr>
          <w:rFonts w:ascii="Times New Roman" w:hAnsi="Times New Roman" w:cs="Times New Roman"/>
          <w:sz w:val="24"/>
          <w:szCs w:val="24"/>
        </w:rPr>
        <w:t xml:space="preserve"> </w:t>
      </w:r>
      <w:r w:rsidR="00CD5C9F">
        <w:rPr>
          <w:rFonts w:ascii="Times New Roman" w:hAnsi="Times New Roman" w:cs="Times New Roman"/>
          <w:sz w:val="24"/>
          <w:szCs w:val="24"/>
        </w:rPr>
        <w:t>number</w:t>
      </w:r>
      <w:r w:rsidR="001538BB">
        <w:rPr>
          <w:rFonts w:ascii="Times New Roman" w:hAnsi="Times New Roman" w:cs="Times New Roman"/>
          <w:sz w:val="24"/>
          <w:szCs w:val="24"/>
        </w:rPr>
        <w:t xml:space="preserve"> means </w:t>
      </w:r>
      <w:r w:rsidR="00CD5C9F">
        <w:rPr>
          <w:rFonts w:ascii="Times New Roman" w:hAnsi="Times New Roman" w:cs="Times New Roman"/>
          <w:sz w:val="24"/>
          <w:szCs w:val="24"/>
        </w:rPr>
        <w:t xml:space="preserve">a </w:t>
      </w:r>
      <w:r w:rsidR="001538BB">
        <w:rPr>
          <w:rFonts w:ascii="Times New Roman" w:hAnsi="Times New Roman" w:cs="Times New Roman"/>
          <w:sz w:val="24"/>
          <w:szCs w:val="24"/>
        </w:rPr>
        <w:t>high</w:t>
      </w:r>
      <w:r w:rsidR="00CD5C9F">
        <w:rPr>
          <w:rFonts w:ascii="Times New Roman" w:hAnsi="Times New Roman" w:cs="Times New Roman"/>
          <w:sz w:val="24"/>
          <w:szCs w:val="24"/>
        </w:rPr>
        <w:t>er</w:t>
      </w:r>
      <w:r w:rsidR="001538BB">
        <w:rPr>
          <w:rFonts w:ascii="Times New Roman" w:hAnsi="Times New Roman" w:cs="Times New Roman"/>
          <w:sz w:val="24"/>
          <w:szCs w:val="24"/>
        </w:rPr>
        <w:t xml:space="preserve"> rank)</w:t>
      </w:r>
      <w:r w:rsidR="00182BFF" w:rsidRPr="007051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D40" w:rsidRPr="0070518C" w:rsidRDefault="00075D40" w:rsidP="00075D40">
      <w:pPr>
        <w:rPr>
          <w:rFonts w:ascii="Times New Roman" w:hAnsi="Times New Roman" w:cs="Times New Roman"/>
          <w:b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>Negative Binomial Regressions:</w:t>
      </w:r>
    </w:p>
    <w:p w:rsidR="00075D40" w:rsidRPr="0070518C" w:rsidRDefault="00075D40" w:rsidP="004932D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70518C">
        <w:rPr>
          <w:rFonts w:ascii="Times New Roman" w:hAnsi="Times New Roman" w:cs="Times New Roman"/>
          <w:sz w:val="24"/>
          <w:szCs w:val="24"/>
        </w:rPr>
        <w:t xml:space="preserve">We </w:t>
      </w:r>
      <w:r w:rsidR="00960CD5">
        <w:rPr>
          <w:rFonts w:ascii="Times New Roman" w:hAnsi="Times New Roman" w:cs="Times New Roman"/>
          <w:sz w:val="24"/>
          <w:szCs w:val="24"/>
        </w:rPr>
        <w:t xml:space="preserve">then </w:t>
      </w:r>
      <w:r w:rsidRPr="0070518C">
        <w:rPr>
          <w:rFonts w:ascii="Times New Roman" w:hAnsi="Times New Roman" w:cs="Times New Roman"/>
          <w:sz w:val="24"/>
          <w:szCs w:val="24"/>
        </w:rPr>
        <w:t xml:space="preserve">used negative binomial regression to test whether mandate </w:t>
      </w:r>
      <w:r w:rsidR="00CD5C9F">
        <w:rPr>
          <w:rFonts w:ascii="Times New Roman" w:hAnsi="Times New Roman" w:cs="Times New Roman"/>
          <w:sz w:val="24"/>
          <w:szCs w:val="24"/>
        </w:rPr>
        <w:t>MAND-STRENGTH</w:t>
      </w:r>
      <w:r w:rsidR="00960CD5">
        <w:rPr>
          <w:rFonts w:ascii="Times New Roman" w:hAnsi="Times New Roman" w:cs="Times New Roman"/>
          <w:sz w:val="24"/>
          <w:szCs w:val="24"/>
        </w:rPr>
        <w:t xml:space="preserve">, </w:t>
      </w:r>
      <w:r w:rsidR="004932D0">
        <w:rPr>
          <w:rFonts w:ascii="Times New Roman" w:hAnsi="Times New Roman" w:cs="Times New Roman"/>
          <w:sz w:val="24"/>
          <w:szCs w:val="24"/>
        </w:rPr>
        <w:t>MAND_AGE</w:t>
      </w:r>
      <w:r w:rsidRPr="0070518C">
        <w:rPr>
          <w:rFonts w:ascii="Times New Roman" w:hAnsi="Times New Roman" w:cs="Times New Roman"/>
          <w:sz w:val="24"/>
          <w:szCs w:val="24"/>
        </w:rPr>
        <w:t xml:space="preserve">, </w:t>
      </w:r>
      <w:r w:rsidR="004932D0">
        <w:rPr>
          <w:rFonts w:ascii="Times New Roman" w:hAnsi="Times New Roman" w:cs="Times New Roman"/>
          <w:sz w:val="24"/>
          <w:szCs w:val="24"/>
        </w:rPr>
        <w:t>REPOS_AGE</w:t>
      </w:r>
      <w:r w:rsidRPr="0070518C">
        <w:rPr>
          <w:rFonts w:ascii="Times New Roman" w:hAnsi="Times New Roman" w:cs="Times New Roman"/>
          <w:sz w:val="24"/>
          <w:szCs w:val="24"/>
        </w:rPr>
        <w:t xml:space="preserve"> and </w:t>
      </w:r>
      <w:r w:rsidR="004932D0">
        <w:rPr>
          <w:rFonts w:ascii="Times New Roman" w:hAnsi="Times New Roman" w:cs="Times New Roman"/>
          <w:sz w:val="24"/>
          <w:szCs w:val="24"/>
        </w:rPr>
        <w:t>INST_RANK</w:t>
      </w:r>
      <w:r w:rsidRPr="0070518C">
        <w:rPr>
          <w:rFonts w:ascii="Times New Roman" w:hAnsi="Times New Roman" w:cs="Times New Roman"/>
          <w:sz w:val="24"/>
          <w:szCs w:val="24"/>
        </w:rPr>
        <w:t xml:space="preserve"> w</w:t>
      </w:r>
      <w:r w:rsidR="00CD5C9F">
        <w:rPr>
          <w:rFonts w:ascii="Times New Roman" w:hAnsi="Times New Roman" w:cs="Times New Roman"/>
          <w:sz w:val="24"/>
          <w:szCs w:val="24"/>
        </w:rPr>
        <w:t>ere</w:t>
      </w:r>
      <w:r w:rsidRPr="0070518C">
        <w:rPr>
          <w:rFonts w:ascii="Times New Roman" w:hAnsi="Times New Roman" w:cs="Times New Roman"/>
          <w:sz w:val="24"/>
          <w:szCs w:val="24"/>
        </w:rPr>
        <w:t xml:space="preserve"> predictive of the normalized </w:t>
      </w:r>
      <w:r w:rsidR="00CD5C9F">
        <w:rPr>
          <w:rFonts w:ascii="Times New Roman" w:hAnsi="Times New Roman" w:cs="Times New Roman"/>
          <w:sz w:val="24"/>
          <w:szCs w:val="24"/>
        </w:rPr>
        <w:t xml:space="preserve">deposit </w:t>
      </w:r>
      <w:r w:rsidRPr="0070518C">
        <w:rPr>
          <w:rFonts w:ascii="Times New Roman" w:hAnsi="Times New Roman" w:cs="Times New Roman"/>
          <w:sz w:val="24"/>
          <w:szCs w:val="24"/>
        </w:rPr>
        <w:t>number</w:t>
      </w:r>
      <w:r w:rsidR="00CD5C9F">
        <w:rPr>
          <w:rFonts w:ascii="Times New Roman" w:hAnsi="Times New Roman" w:cs="Times New Roman"/>
          <w:sz w:val="24"/>
          <w:szCs w:val="24"/>
        </w:rPr>
        <w:t>, average or</w:t>
      </w:r>
      <w:r w:rsidRPr="0070518C">
        <w:rPr>
          <w:rFonts w:ascii="Times New Roman" w:hAnsi="Times New Roman" w:cs="Times New Roman"/>
          <w:sz w:val="24"/>
          <w:szCs w:val="24"/>
        </w:rPr>
        <w:t xml:space="preserve"> rate of deposit. </w:t>
      </w:r>
      <w:proofErr w:type="spellStart"/>
      <w:r w:rsidRPr="0070518C">
        <w:rPr>
          <w:rFonts w:ascii="Times New Roman" w:hAnsi="Times New Roman" w:cs="Times New Roman"/>
          <w:sz w:val="24"/>
          <w:szCs w:val="24"/>
          <w:lang w:val="fr-CA"/>
        </w:rPr>
        <w:t>These</w:t>
      </w:r>
      <w:proofErr w:type="spellEnd"/>
      <w:r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 test</w:t>
      </w:r>
      <w:r w:rsidR="0013204E">
        <w:rPr>
          <w:rFonts w:ascii="Times New Roman" w:hAnsi="Times New Roman" w:cs="Times New Roman"/>
          <w:sz w:val="24"/>
          <w:szCs w:val="24"/>
          <w:lang w:val="fr-CA"/>
        </w:rPr>
        <w:t xml:space="preserve">s </w:t>
      </w:r>
      <w:proofErr w:type="spellStart"/>
      <w:r w:rsidR="0013204E">
        <w:rPr>
          <w:rFonts w:ascii="Times New Roman" w:hAnsi="Times New Roman" w:cs="Times New Roman"/>
          <w:sz w:val="24"/>
          <w:szCs w:val="24"/>
          <w:lang w:val="fr-CA"/>
        </w:rPr>
        <w:t>were</w:t>
      </w:r>
      <w:proofErr w:type="spellEnd"/>
      <w:r w:rsidR="0013204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960CD5">
        <w:rPr>
          <w:rFonts w:ascii="Times New Roman" w:hAnsi="Times New Roman" w:cs="Times New Roman"/>
          <w:sz w:val="24"/>
          <w:szCs w:val="24"/>
          <w:lang w:val="fr-CA"/>
        </w:rPr>
        <w:t>conducted</w:t>
      </w:r>
      <w:proofErr w:type="spellEnd"/>
      <w:r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 on 5 </w:t>
      </w:r>
      <w:proofErr w:type="spellStart"/>
      <w:r w:rsidRPr="0070518C">
        <w:rPr>
          <w:rFonts w:ascii="Times New Roman" w:hAnsi="Times New Roman" w:cs="Times New Roman"/>
          <w:sz w:val="24"/>
          <w:szCs w:val="24"/>
          <w:lang w:val="fr-CA"/>
        </w:rPr>
        <w:t>samples</w:t>
      </w:r>
      <w:proofErr w:type="spellEnd"/>
      <w:r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 of</w:t>
      </w:r>
      <w:r w:rsidR="00423A1E"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423A1E" w:rsidRPr="0070518C">
        <w:rPr>
          <w:rFonts w:ascii="Times New Roman" w:hAnsi="Times New Roman" w:cs="Times New Roman"/>
          <w:sz w:val="24"/>
          <w:szCs w:val="24"/>
          <w:lang w:val="fr-CA"/>
        </w:rPr>
        <w:t>mandated</w:t>
      </w:r>
      <w:proofErr w:type="spellEnd"/>
      <w:r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 institutions:</w:t>
      </w:r>
    </w:p>
    <w:p w:rsidR="00075D40" w:rsidRPr="0070518C" w:rsidRDefault="00075D40" w:rsidP="00075D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70518C">
        <w:rPr>
          <w:rFonts w:ascii="Times New Roman" w:hAnsi="Times New Roman" w:cs="Times New Roman"/>
          <w:sz w:val="24"/>
          <w:szCs w:val="24"/>
          <w:lang w:val="fr-CA"/>
        </w:rPr>
        <w:t xml:space="preserve">All </w:t>
      </w:r>
      <w:proofErr w:type="spellStart"/>
      <w:r w:rsidR="00960CD5">
        <w:rPr>
          <w:rFonts w:ascii="Times New Roman" w:hAnsi="Times New Roman" w:cs="Times New Roman"/>
          <w:sz w:val="24"/>
          <w:szCs w:val="24"/>
          <w:lang w:val="fr-CA"/>
        </w:rPr>
        <w:t>mandated</w:t>
      </w:r>
      <w:proofErr w:type="spellEnd"/>
      <w:r w:rsidR="00960CD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70518C">
        <w:rPr>
          <w:rFonts w:ascii="Times New Roman" w:hAnsi="Times New Roman" w:cs="Times New Roman"/>
          <w:sz w:val="24"/>
          <w:szCs w:val="24"/>
          <w:lang w:val="fr-CA"/>
        </w:rPr>
        <w:t>institutions</w:t>
      </w:r>
      <w:r w:rsidR="00960CD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:rsidR="00075D40" w:rsidRPr="0070518C" w:rsidRDefault="00423A1E" w:rsidP="00075D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70518C">
        <w:rPr>
          <w:rFonts w:ascii="Times New Roman" w:hAnsi="Times New Roman" w:cs="Times New Roman"/>
          <w:sz w:val="24"/>
          <w:szCs w:val="24"/>
          <w:lang w:val="en-CA"/>
        </w:rPr>
        <w:t>I</w:t>
      </w:r>
      <w:r w:rsidR="00075D40"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nstitutions where </w:t>
      </w:r>
      <w:r w:rsidR="004932D0">
        <w:rPr>
          <w:rFonts w:ascii="Times New Roman" w:hAnsi="Times New Roman" w:cs="Times New Roman"/>
          <w:sz w:val="24"/>
          <w:szCs w:val="24"/>
        </w:rPr>
        <w:t>MAND_AGE</w:t>
      </w:r>
      <w:r w:rsidR="00075D40" w:rsidRPr="0070518C">
        <w:rPr>
          <w:rFonts w:ascii="Times New Roman" w:hAnsi="Times New Roman" w:cs="Times New Roman"/>
          <w:sz w:val="24"/>
          <w:szCs w:val="24"/>
        </w:rPr>
        <w:t xml:space="preserve"> &gt; 2 years</w:t>
      </w:r>
    </w:p>
    <w:p w:rsidR="00075D40" w:rsidRPr="0070518C" w:rsidRDefault="00423A1E" w:rsidP="00075D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Institutions </w:t>
      </w:r>
      <w:r w:rsidR="00075D40"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where </w:t>
      </w:r>
      <w:r w:rsidR="004932D0">
        <w:rPr>
          <w:rFonts w:ascii="Times New Roman" w:hAnsi="Times New Roman" w:cs="Times New Roman"/>
          <w:sz w:val="24"/>
          <w:szCs w:val="24"/>
        </w:rPr>
        <w:t>MAND_AGE</w:t>
      </w:r>
      <w:r w:rsidR="00075D40" w:rsidRPr="0070518C">
        <w:rPr>
          <w:rFonts w:ascii="Times New Roman" w:hAnsi="Times New Roman" w:cs="Times New Roman"/>
          <w:sz w:val="24"/>
          <w:szCs w:val="24"/>
        </w:rPr>
        <w:t xml:space="preserve"> &gt; 3 years</w:t>
      </w:r>
    </w:p>
    <w:p w:rsidR="00075D40" w:rsidRPr="0070518C" w:rsidRDefault="00423A1E" w:rsidP="00075D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AE7200">
        <w:rPr>
          <w:rFonts w:ascii="Times New Roman" w:hAnsi="Times New Roman" w:cs="Times New Roman"/>
          <w:sz w:val="24"/>
          <w:szCs w:val="24"/>
          <w:lang w:val="en-CA"/>
        </w:rPr>
        <w:t>top 50%</w:t>
      </w:r>
      <w:r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 of institutions classified by </w:t>
      </w:r>
      <w:r w:rsidR="004932D0">
        <w:rPr>
          <w:rFonts w:ascii="Times New Roman" w:hAnsi="Times New Roman" w:cs="Times New Roman"/>
          <w:sz w:val="24"/>
          <w:szCs w:val="24"/>
        </w:rPr>
        <w:t>INST_RANK</w:t>
      </w:r>
      <w:r w:rsidRPr="0070518C">
        <w:rPr>
          <w:rFonts w:ascii="Times New Roman" w:hAnsi="Times New Roman" w:cs="Times New Roman"/>
          <w:sz w:val="24"/>
          <w:szCs w:val="24"/>
        </w:rPr>
        <w:t xml:space="preserve"> (</w:t>
      </w:r>
      <w:r w:rsidR="004932D0">
        <w:rPr>
          <w:rFonts w:ascii="Times New Roman" w:hAnsi="Times New Roman" w:cs="Times New Roman"/>
          <w:sz w:val="24"/>
          <w:szCs w:val="24"/>
        </w:rPr>
        <w:t>INST_RANK</w:t>
      </w:r>
      <w:r w:rsidRPr="0070518C">
        <w:rPr>
          <w:rFonts w:ascii="Times New Roman" w:hAnsi="Times New Roman" w:cs="Times New Roman"/>
          <w:sz w:val="24"/>
          <w:szCs w:val="24"/>
        </w:rPr>
        <w:t xml:space="preserve"> &lt; 10,736)</w:t>
      </w:r>
    </w:p>
    <w:p w:rsidR="00423A1E" w:rsidRPr="0070518C" w:rsidRDefault="00423A1E" w:rsidP="00423A1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AE7200">
        <w:rPr>
          <w:rFonts w:ascii="Times New Roman" w:hAnsi="Times New Roman" w:cs="Times New Roman"/>
          <w:sz w:val="24"/>
          <w:szCs w:val="24"/>
          <w:lang w:val="en-CA"/>
        </w:rPr>
        <w:t>bottom 50%</w:t>
      </w:r>
      <w:r w:rsidRPr="0070518C">
        <w:rPr>
          <w:rFonts w:ascii="Times New Roman" w:hAnsi="Times New Roman" w:cs="Times New Roman"/>
          <w:sz w:val="24"/>
          <w:szCs w:val="24"/>
          <w:lang w:val="en-CA"/>
        </w:rPr>
        <w:t xml:space="preserve"> of institutions </w:t>
      </w:r>
      <w:r w:rsidRPr="0070518C">
        <w:rPr>
          <w:rFonts w:ascii="Times New Roman" w:hAnsi="Times New Roman" w:cs="Times New Roman"/>
          <w:sz w:val="24"/>
          <w:szCs w:val="24"/>
        </w:rPr>
        <w:t xml:space="preserve">(10,736 &lt; </w:t>
      </w:r>
      <w:r w:rsidR="004932D0">
        <w:rPr>
          <w:rFonts w:ascii="Times New Roman" w:hAnsi="Times New Roman" w:cs="Times New Roman"/>
          <w:sz w:val="24"/>
          <w:szCs w:val="24"/>
        </w:rPr>
        <w:t>INST_RANK</w:t>
      </w:r>
      <w:r w:rsidRPr="0070518C">
        <w:rPr>
          <w:rFonts w:ascii="Times New Roman" w:hAnsi="Times New Roman" w:cs="Times New Roman"/>
          <w:sz w:val="24"/>
          <w:szCs w:val="24"/>
        </w:rPr>
        <w:t xml:space="preserve"> &lt; 12,000)</w:t>
      </w:r>
    </w:p>
    <w:p w:rsidR="00075D40" w:rsidRPr="0070518C" w:rsidRDefault="00075D40" w:rsidP="00423A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075D40" w:rsidRPr="0070518C" w:rsidRDefault="00423A1E" w:rsidP="00075D40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0518C">
        <w:rPr>
          <w:rFonts w:ascii="Times New Roman" w:hAnsi="Times New Roman" w:cs="Times New Roman"/>
          <w:b/>
          <w:sz w:val="24"/>
          <w:szCs w:val="24"/>
          <w:lang w:val="en-CA"/>
        </w:rPr>
        <w:t>Results:</w:t>
      </w:r>
    </w:p>
    <w:p w:rsidR="00423A1E" w:rsidRDefault="00423A1E" w:rsidP="004932D0">
      <w:pPr>
        <w:jc w:val="both"/>
        <w:rPr>
          <w:rFonts w:ascii="Times New Roman" w:hAnsi="Times New Roman" w:cs="Times New Roman"/>
          <w:sz w:val="24"/>
          <w:szCs w:val="24"/>
        </w:rPr>
      </w:pPr>
      <w:r w:rsidRPr="0070518C">
        <w:rPr>
          <w:rFonts w:ascii="Times New Roman" w:hAnsi="Times New Roman" w:cs="Times New Roman"/>
          <w:sz w:val="24"/>
          <w:szCs w:val="24"/>
        </w:rPr>
        <w:t xml:space="preserve">The following table shows the significant correlations for each model, tested on each of 5 sub-sets of institutions. </w:t>
      </w:r>
      <w:r w:rsidR="00AE7200">
        <w:rPr>
          <w:rFonts w:ascii="Times New Roman" w:hAnsi="Times New Roman" w:cs="Times New Roman"/>
          <w:sz w:val="24"/>
          <w:szCs w:val="24"/>
        </w:rPr>
        <w:t>The</w:t>
      </w:r>
      <w:r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AE7200">
        <w:rPr>
          <w:rFonts w:ascii="Times New Roman" w:hAnsi="Times New Roman" w:cs="Times New Roman"/>
          <w:sz w:val="24"/>
          <w:szCs w:val="24"/>
        </w:rPr>
        <w:t>+ sign indicates a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AE720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positive correlation </w:t>
      </w:r>
      <w:r w:rsidR="00AE7200">
        <w:rPr>
          <w:rFonts w:ascii="Times New Roman" w:hAnsi="Times New Roman" w:cs="Times New Roman"/>
          <w:sz w:val="24"/>
          <w:szCs w:val="24"/>
        </w:rPr>
        <w:t>of (</w:t>
      </w:r>
      <w:r w:rsidR="00272096" w:rsidRPr="0070518C">
        <w:rPr>
          <w:rFonts w:ascii="Times New Roman" w:hAnsi="Times New Roman" w:cs="Times New Roman"/>
          <w:sz w:val="24"/>
          <w:szCs w:val="24"/>
        </w:rPr>
        <w:t>Exp(B)</w:t>
      </w:r>
      <w:r w:rsidR="0013204E">
        <w:rPr>
          <w:rFonts w:ascii="Times New Roman" w:hAnsi="Times New Roman" w:cs="Times New Roman"/>
          <w:sz w:val="24"/>
          <w:szCs w:val="24"/>
        </w:rPr>
        <w:t xml:space="preserve"> </w:t>
      </w:r>
      <w:r w:rsidR="00272096" w:rsidRPr="0070518C">
        <w:rPr>
          <w:rFonts w:ascii="Times New Roman" w:hAnsi="Times New Roman" w:cs="Times New Roman"/>
          <w:sz w:val="24"/>
          <w:szCs w:val="24"/>
        </w:rPr>
        <w:t>&lt;</w:t>
      </w:r>
      <w:r w:rsidR="00AE7200">
        <w:rPr>
          <w:rFonts w:ascii="Times New Roman" w:hAnsi="Times New Roman" w:cs="Times New Roman"/>
          <w:sz w:val="24"/>
          <w:szCs w:val="24"/>
        </w:rPr>
        <w:t xml:space="preserve"> </w:t>
      </w:r>
      <w:r w:rsidR="00272096" w:rsidRPr="0070518C">
        <w:rPr>
          <w:rFonts w:ascii="Times New Roman" w:hAnsi="Times New Roman" w:cs="Times New Roman"/>
          <w:sz w:val="24"/>
          <w:szCs w:val="24"/>
        </w:rPr>
        <w:t>1.05</w:t>
      </w:r>
      <w:r w:rsidR="00AE7200">
        <w:rPr>
          <w:rFonts w:ascii="Times New Roman" w:hAnsi="Times New Roman" w:cs="Times New Roman"/>
          <w:sz w:val="24"/>
          <w:szCs w:val="24"/>
        </w:rPr>
        <w:t>)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. </w:t>
      </w:r>
      <w:r w:rsidR="00AE7200">
        <w:rPr>
          <w:rFonts w:ascii="Times New Roman" w:hAnsi="Times New Roman" w:cs="Times New Roman"/>
          <w:sz w:val="24"/>
          <w:szCs w:val="24"/>
        </w:rPr>
        <w:t>The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AE7200">
        <w:rPr>
          <w:rFonts w:ascii="Times New Roman" w:hAnsi="Times New Roman" w:cs="Times New Roman"/>
          <w:sz w:val="24"/>
          <w:szCs w:val="24"/>
        </w:rPr>
        <w:t>++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 </w:t>
      </w:r>
      <w:r w:rsidR="00AE7200">
        <w:rPr>
          <w:rFonts w:ascii="Times New Roman" w:hAnsi="Times New Roman" w:cs="Times New Roman"/>
          <w:sz w:val="24"/>
          <w:szCs w:val="24"/>
        </w:rPr>
        <w:t>indicates a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AE7200">
        <w:rPr>
          <w:rFonts w:ascii="Times New Roman" w:hAnsi="Times New Roman" w:cs="Times New Roman"/>
          <w:sz w:val="24"/>
          <w:szCs w:val="24"/>
        </w:rPr>
        <w:t xml:space="preserve">positive </w:t>
      </w:r>
      <w:r w:rsidR="00272096" w:rsidRPr="0070518C">
        <w:rPr>
          <w:rFonts w:ascii="Times New Roman" w:hAnsi="Times New Roman" w:cs="Times New Roman"/>
          <w:sz w:val="24"/>
          <w:szCs w:val="24"/>
        </w:rPr>
        <w:t xml:space="preserve">correlation </w:t>
      </w:r>
      <w:r w:rsidR="00AE7200">
        <w:rPr>
          <w:rFonts w:ascii="Times New Roman" w:hAnsi="Times New Roman" w:cs="Times New Roman"/>
          <w:sz w:val="24"/>
          <w:szCs w:val="24"/>
        </w:rPr>
        <w:t xml:space="preserve">of </w:t>
      </w:r>
      <w:r w:rsidR="00272096" w:rsidRPr="0070518C">
        <w:rPr>
          <w:rFonts w:ascii="Times New Roman" w:hAnsi="Times New Roman" w:cs="Times New Roman"/>
          <w:sz w:val="24"/>
          <w:szCs w:val="24"/>
        </w:rPr>
        <w:t>(Exp(B)</w:t>
      </w:r>
      <w:r w:rsidR="00AE7200">
        <w:rPr>
          <w:rFonts w:ascii="Times New Roman" w:hAnsi="Times New Roman" w:cs="Times New Roman"/>
          <w:sz w:val="24"/>
          <w:szCs w:val="24"/>
        </w:rPr>
        <w:t xml:space="preserve"> </w:t>
      </w:r>
      <w:r w:rsidR="00272096" w:rsidRPr="0070518C">
        <w:rPr>
          <w:rFonts w:ascii="Times New Roman" w:hAnsi="Times New Roman" w:cs="Times New Roman"/>
          <w:sz w:val="24"/>
          <w:szCs w:val="24"/>
        </w:rPr>
        <w:t>&gt;</w:t>
      </w:r>
      <w:r w:rsidR="00AE7200">
        <w:rPr>
          <w:rFonts w:ascii="Times New Roman" w:hAnsi="Times New Roman" w:cs="Times New Roman"/>
          <w:sz w:val="24"/>
          <w:szCs w:val="24"/>
        </w:rPr>
        <w:t xml:space="preserve"> </w:t>
      </w:r>
      <w:r w:rsidR="00272096" w:rsidRPr="0070518C">
        <w:rPr>
          <w:rFonts w:ascii="Times New Roman" w:hAnsi="Times New Roman" w:cs="Times New Roman"/>
          <w:sz w:val="24"/>
          <w:szCs w:val="24"/>
        </w:rPr>
        <w:t>1.05).</w:t>
      </w:r>
      <w:r w:rsidR="0070518C" w:rsidRPr="0070518C">
        <w:rPr>
          <w:rFonts w:ascii="Times New Roman" w:hAnsi="Times New Roman" w:cs="Times New Roman"/>
          <w:sz w:val="24"/>
          <w:szCs w:val="24"/>
        </w:rPr>
        <w:t xml:space="preserve"> N is the number of institutions.</w:t>
      </w:r>
    </w:p>
    <w:tbl>
      <w:tblPr>
        <w:tblW w:w="10046" w:type="dxa"/>
        <w:tblInd w:w="10" w:type="dxa"/>
        <w:tblLayout w:type="fixed"/>
        <w:tblLook w:val="04A0"/>
      </w:tblPr>
      <w:tblGrid>
        <w:gridCol w:w="794"/>
        <w:gridCol w:w="1616"/>
        <w:gridCol w:w="1276"/>
        <w:gridCol w:w="567"/>
        <w:gridCol w:w="567"/>
        <w:gridCol w:w="1107"/>
        <w:gridCol w:w="426"/>
        <w:gridCol w:w="708"/>
        <w:gridCol w:w="567"/>
        <w:gridCol w:w="567"/>
        <w:gridCol w:w="709"/>
        <w:gridCol w:w="575"/>
        <w:gridCol w:w="567"/>
      </w:tblGrid>
      <w:tr w:rsidR="00182495" w:rsidRPr="00182495">
        <w:trPr>
          <w:trHeight w:val="270"/>
        </w:trPr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Model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Dependent v.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Independent v.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All</w:t>
            </w:r>
          </w:p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Institutions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Mandate </w:t>
            </w:r>
          </w:p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&gt; 2 years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Mandate </w:t>
            </w:r>
          </w:p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&gt; 3 years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INST_RANK</w:t>
            </w:r>
          </w:p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&lt; 10,736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INST_RANK</w:t>
            </w:r>
            <w:r w:rsidRPr="002720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</w:t>
            </w:r>
          </w:p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&gt; 10,736</w:t>
            </w: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Exp(B)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Exp(B)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Exp(B)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Exp(B)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Exp(B)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en-CA"/>
              </w:rPr>
              <w:t>N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835C2C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835C2C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835C2C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roofErr w:type="spellStart"/>
            <w:r w:rsidRPr="00835C2C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depos_average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55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depos_rate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57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depos_total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57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INST_RANK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106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66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depos_rate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56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INST_RANK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6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depos_total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CD5C9F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MAND-STRENGTH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  <w:r w:rsidRPr="00182495"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  <w:t>56</w:t>
            </w: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MAND_AGE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55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REPOS_AGE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++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+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  <w:tr w:rsidR="00182495" w:rsidRPr="00182495">
        <w:trPr>
          <w:trHeight w:val="270"/>
        </w:trPr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en-CA"/>
              </w:rPr>
              <w:t>INST_RANK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182495" w:rsidRPr="00182495" w:rsidRDefault="00182495" w:rsidP="0018249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8249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2495" w:rsidRPr="00182495" w:rsidRDefault="00182495" w:rsidP="00182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en-CA"/>
              </w:rPr>
            </w:pPr>
          </w:p>
        </w:tc>
      </w:tr>
    </w:tbl>
    <w:p w:rsidR="0070518C" w:rsidRDefault="0070518C" w:rsidP="00182495">
      <w:pPr>
        <w:rPr>
          <w:rFonts w:ascii="Times New Roman" w:hAnsi="Times New Roman" w:cs="Times New Roman"/>
          <w:b/>
        </w:rPr>
      </w:pPr>
    </w:p>
    <w:p w:rsidR="0070518C" w:rsidRPr="0070518C" w:rsidRDefault="0070518C" w:rsidP="001538BB">
      <w:pPr>
        <w:rPr>
          <w:rFonts w:ascii="Times New Roman" w:hAnsi="Times New Roman" w:cs="Times New Roman"/>
          <w:b/>
          <w:sz w:val="24"/>
          <w:szCs w:val="24"/>
        </w:rPr>
      </w:pPr>
      <w:r w:rsidRPr="0070518C">
        <w:rPr>
          <w:rFonts w:ascii="Times New Roman" w:hAnsi="Times New Roman" w:cs="Times New Roman"/>
          <w:b/>
          <w:sz w:val="24"/>
          <w:szCs w:val="24"/>
        </w:rPr>
        <w:t xml:space="preserve">Table 1: Significant </w:t>
      </w:r>
      <w:r w:rsidR="00AE7200">
        <w:rPr>
          <w:rFonts w:ascii="Times New Roman" w:hAnsi="Times New Roman" w:cs="Times New Roman"/>
          <w:b/>
          <w:sz w:val="24"/>
          <w:szCs w:val="24"/>
        </w:rPr>
        <w:t xml:space="preserve">Positive </w:t>
      </w:r>
      <w:r w:rsidRPr="0070518C">
        <w:rPr>
          <w:rFonts w:ascii="Times New Roman" w:hAnsi="Times New Roman" w:cs="Times New Roman"/>
          <w:b/>
          <w:sz w:val="24"/>
          <w:szCs w:val="24"/>
        </w:rPr>
        <w:t xml:space="preserve">Correlations for Negative Binomial Regressions: </w:t>
      </w:r>
      <w:r w:rsidR="004932D0" w:rsidRPr="006F3FB9">
        <w:rPr>
          <w:rFonts w:ascii="Times New Roman" w:hAnsi="Times New Roman" w:cs="Times New Roman"/>
          <w:sz w:val="24"/>
          <w:szCs w:val="24"/>
        </w:rPr>
        <w:t>MAND_AGE</w:t>
      </w:r>
      <w:r w:rsidRPr="006F3FB9">
        <w:rPr>
          <w:rFonts w:ascii="Times New Roman" w:hAnsi="Times New Roman" w:cs="Times New Roman"/>
          <w:sz w:val="24"/>
          <w:szCs w:val="24"/>
        </w:rPr>
        <w:t xml:space="preserve">, </w:t>
      </w:r>
      <w:r w:rsidR="004932D0" w:rsidRPr="006F3FB9">
        <w:rPr>
          <w:rFonts w:ascii="Times New Roman" w:hAnsi="Times New Roman" w:cs="Times New Roman"/>
          <w:sz w:val="24"/>
          <w:szCs w:val="24"/>
        </w:rPr>
        <w:t>REPOS_AGE</w:t>
      </w:r>
      <w:r w:rsidRPr="006F3FB9">
        <w:rPr>
          <w:rFonts w:ascii="Times New Roman" w:hAnsi="Times New Roman" w:cs="Times New Roman"/>
          <w:sz w:val="24"/>
          <w:szCs w:val="24"/>
        </w:rPr>
        <w:t xml:space="preserve">, </w:t>
      </w:r>
      <w:r w:rsidR="00CD5C9F" w:rsidRPr="006F3FB9">
        <w:rPr>
          <w:rFonts w:ascii="Times New Roman" w:hAnsi="Times New Roman" w:cs="Times New Roman"/>
          <w:sz w:val="24"/>
          <w:szCs w:val="24"/>
        </w:rPr>
        <w:t>MAND-STRENGTH</w:t>
      </w:r>
      <w:r w:rsidRPr="006F3FB9">
        <w:rPr>
          <w:rFonts w:ascii="Times New Roman" w:hAnsi="Times New Roman" w:cs="Times New Roman"/>
          <w:sz w:val="24"/>
          <w:szCs w:val="24"/>
        </w:rPr>
        <w:t xml:space="preserve"> and </w:t>
      </w:r>
      <w:r w:rsidR="004932D0" w:rsidRPr="006F3FB9">
        <w:rPr>
          <w:rFonts w:ascii="Times New Roman" w:hAnsi="Times New Roman" w:cs="Times New Roman"/>
          <w:sz w:val="24"/>
          <w:szCs w:val="24"/>
        </w:rPr>
        <w:t>INST_RANK</w:t>
      </w:r>
      <w:r w:rsidR="00AE7200" w:rsidRPr="006F3FB9">
        <w:rPr>
          <w:rFonts w:ascii="Times New Roman" w:hAnsi="Times New Roman" w:cs="Times New Roman"/>
          <w:sz w:val="24"/>
          <w:szCs w:val="24"/>
        </w:rPr>
        <w:t xml:space="preserve"> tested with</w:t>
      </w:r>
      <w:r w:rsidRPr="006F3FB9">
        <w:rPr>
          <w:rFonts w:ascii="Times New Roman" w:hAnsi="Times New Roman" w:cs="Times New Roman"/>
          <w:sz w:val="24"/>
          <w:szCs w:val="24"/>
        </w:rPr>
        <w:t xml:space="preserve"> normalized number and/or rate of deposit</w:t>
      </w:r>
      <w:r w:rsidR="006F3FB9">
        <w:rPr>
          <w:rFonts w:ascii="Times New Roman" w:hAnsi="Times New Roman" w:cs="Times New Roman"/>
          <w:sz w:val="24"/>
          <w:szCs w:val="24"/>
        </w:rPr>
        <w:t>: The stronger the mandate, the higher the deposit number total, average and rate.</w:t>
      </w:r>
    </w:p>
    <w:p w:rsidR="00272096" w:rsidRDefault="00272096" w:rsidP="00075D40">
      <w:pPr>
        <w:rPr>
          <w:rFonts w:ascii="Times New Roman" w:hAnsi="Times New Roman" w:cs="Times New Roman"/>
        </w:rPr>
      </w:pPr>
    </w:p>
    <w:p w:rsidR="00075D40" w:rsidRPr="00075D40" w:rsidRDefault="00D92080" w:rsidP="00075D40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Mandate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CA"/>
        </w:rPr>
        <w:t>s</w:t>
      </w:r>
      <w:r w:rsidR="00075D40" w:rsidRPr="00075D40">
        <w:rPr>
          <w:rFonts w:ascii="Times New Roman" w:hAnsi="Times New Roman" w:cs="Times New Roman"/>
          <w:b/>
          <w:sz w:val="24"/>
          <w:szCs w:val="24"/>
          <w:lang w:val="fr-CA"/>
        </w:rPr>
        <w:t>trength</w:t>
      </w:r>
      <w:proofErr w:type="spellEnd"/>
      <w:r w:rsidR="00075D40" w:rsidRPr="00075D40">
        <w:rPr>
          <w:rFonts w:ascii="Times New Roman" w:hAnsi="Times New Roman" w:cs="Times New Roman"/>
          <w:b/>
          <w:sz w:val="24"/>
          <w:szCs w:val="24"/>
          <w:lang w:val="fr-CA"/>
        </w:rPr>
        <w:t>:</w:t>
      </w:r>
    </w:p>
    <w:p w:rsidR="008D6FD4" w:rsidRPr="00835C2C" w:rsidRDefault="00CD5C9F" w:rsidP="00D92080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35C2C">
        <w:rPr>
          <w:rFonts w:ascii="Times New Roman" w:hAnsi="Times New Roman" w:cs="Times New Roman"/>
          <w:sz w:val="24"/>
          <w:szCs w:val="24"/>
        </w:rPr>
        <w:t>MAND-STRENGTH</w:t>
      </w:r>
      <w:r w:rsidR="008D6FD4" w:rsidRPr="00835C2C">
        <w:rPr>
          <w:rFonts w:ascii="Times New Roman" w:hAnsi="Times New Roman" w:cs="Times New Roman"/>
          <w:sz w:val="24"/>
          <w:szCs w:val="24"/>
        </w:rPr>
        <w:t xml:space="preserve"> is highly and positively correlated with deposit</w:t>
      </w:r>
      <w:r w:rsidR="0088685B" w:rsidRPr="00835C2C">
        <w:rPr>
          <w:rFonts w:ascii="Times New Roman" w:hAnsi="Times New Roman" w:cs="Times New Roman"/>
          <w:sz w:val="24"/>
          <w:szCs w:val="24"/>
        </w:rPr>
        <w:t xml:space="preserve"> average</w:t>
      </w:r>
    </w:p>
    <w:p w:rsidR="00075D40" w:rsidRDefault="00CD5C9F" w:rsidP="00D92080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MAND-STRENGTH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is highly and positively </w:t>
      </w:r>
      <w:r w:rsidR="0088685B">
        <w:rPr>
          <w:rFonts w:ascii="Times New Roman" w:hAnsi="Times New Roman" w:cs="Times New Roman"/>
          <w:sz w:val="24"/>
          <w:szCs w:val="24"/>
        </w:rPr>
        <w:t>correlated with</w:t>
      </w:r>
      <w:r w:rsidR="0013204E">
        <w:rPr>
          <w:rFonts w:ascii="Times New Roman" w:hAnsi="Times New Roman" w:cs="Times New Roman"/>
          <w:sz w:val="24"/>
          <w:szCs w:val="24"/>
        </w:rPr>
        <w:t xml:space="preserve"> deposit</w:t>
      </w:r>
      <w:r w:rsidR="0088685B">
        <w:rPr>
          <w:rFonts w:ascii="Times New Roman" w:hAnsi="Times New Roman" w:cs="Times New Roman"/>
          <w:sz w:val="24"/>
          <w:szCs w:val="24"/>
        </w:rPr>
        <w:t xml:space="preserve"> rate</w:t>
      </w:r>
      <w:r w:rsidR="00D92080">
        <w:rPr>
          <w:rFonts w:ascii="Times New Roman" w:hAnsi="Times New Roman" w:cs="Times New Roman"/>
          <w:sz w:val="24"/>
          <w:szCs w:val="24"/>
        </w:rPr>
        <w:t xml:space="preserve"> when mandate 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age is older than 2 years. </w:t>
      </w:r>
    </w:p>
    <w:p w:rsidR="00D92080" w:rsidRDefault="00CD5C9F" w:rsidP="00D92080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MAND-STRENGTH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is highly and positively correlated with number of deposits when </w:t>
      </w:r>
      <w:r w:rsidR="00D92080">
        <w:rPr>
          <w:rFonts w:ascii="Times New Roman" w:hAnsi="Times New Roman" w:cs="Times New Roman"/>
          <w:sz w:val="24"/>
          <w:szCs w:val="24"/>
        </w:rPr>
        <w:t>mandate age is older than 3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years</w:t>
      </w:r>
      <w:r w:rsidR="00D92080">
        <w:rPr>
          <w:rFonts w:ascii="Times New Roman" w:hAnsi="Times New Roman" w:cs="Times New Roman"/>
          <w:sz w:val="24"/>
          <w:szCs w:val="24"/>
        </w:rPr>
        <w:t xml:space="preserve"> (N is as low as 32), as well as when mandate age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</w:t>
      </w:r>
      <w:r w:rsidR="00D92080">
        <w:rPr>
          <w:rFonts w:ascii="Times New Roman" w:hAnsi="Times New Roman" w:cs="Times New Roman"/>
          <w:sz w:val="24"/>
          <w:szCs w:val="24"/>
        </w:rPr>
        <w:t>is older than 2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years</w:t>
      </w:r>
      <w:r w:rsidR="00D92080">
        <w:rPr>
          <w:rFonts w:ascii="Times New Roman" w:hAnsi="Times New Roman" w:cs="Times New Roman"/>
          <w:sz w:val="24"/>
          <w:szCs w:val="24"/>
        </w:rPr>
        <w:t xml:space="preserve"> (N=51)</w:t>
      </w:r>
    </w:p>
    <w:p w:rsidR="00D92080" w:rsidRPr="00D92080" w:rsidRDefault="00D92080" w:rsidP="00D92080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92080" w:rsidRDefault="00D92080" w:rsidP="00D92080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Mandate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CA"/>
        </w:rPr>
        <w:t>a</w:t>
      </w:r>
      <w:r w:rsidR="001538BB">
        <w:rPr>
          <w:rFonts w:ascii="Times New Roman" w:hAnsi="Times New Roman" w:cs="Times New Roman"/>
          <w:b/>
          <w:sz w:val="24"/>
          <w:szCs w:val="24"/>
          <w:lang w:val="fr-CA"/>
        </w:rPr>
        <w:t>ge</w:t>
      </w:r>
      <w:proofErr w:type="spellEnd"/>
      <w:r w:rsidRPr="00D92080">
        <w:rPr>
          <w:rFonts w:ascii="Times New Roman" w:hAnsi="Times New Roman" w:cs="Times New Roman"/>
          <w:b/>
          <w:sz w:val="24"/>
          <w:szCs w:val="24"/>
          <w:lang w:val="fr-CA"/>
        </w:rPr>
        <w:t>:</w:t>
      </w:r>
    </w:p>
    <w:p w:rsidR="00EF7B96" w:rsidRDefault="004932D0" w:rsidP="00D92080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MAND_AGE</w:t>
      </w:r>
      <w:r w:rsidR="00EF7B96" w:rsidRPr="00D92080">
        <w:rPr>
          <w:rFonts w:ascii="Times New Roman" w:hAnsi="Times New Roman" w:cs="Times New Roman"/>
          <w:sz w:val="24"/>
          <w:szCs w:val="24"/>
        </w:rPr>
        <w:t xml:space="preserve"> is </w:t>
      </w:r>
      <w:r w:rsidR="00EF7B96">
        <w:rPr>
          <w:rFonts w:ascii="Times New Roman" w:hAnsi="Times New Roman" w:cs="Times New Roman"/>
          <w:sz w:val="24"/>
          <w:szCs w:val="24"/>
        </w:rPr>
        <w:t>p</w:t>
      </w:r>
      <w:r w:rsidR="00EF7B96" w:rsidRPr="00D92080">
        <w:rPr>
          <w:rFonts w:ascii="Times New Roman" w:hAnsi="Times New Roman" w:cs="Times New Roman"/>
          <w:sz w:val="24"/>
          <w:szCs w:val="24"/>
        </w:rPr>
        <w:t xml:space="preserve">ositively correlated with </w:t>
      </w:r>
      <w:r w:rsidR="0088685B">
        <w:rPr>
          <w:rFonts w:ascii="Times New Roman" w:hAnsi="Times New Roman" w:cs="Times New Roman"/>
          <w:sz w:val="24"/>
          <w:szCs w:val="24"/>
        </w:rPr>
        <w:t xml:space="preserve">deposit </w:t>
      </w:r>
      <w:r w:rsidR="00EF7B96">
        <w:rPr>
          <w:rFonts w:ascii="Times New Roman" w:hAnsi="Times New Roman" w:cs="Times New Roman"/>
          <w:sz w:val="24"/>
          <w:szCs w:val="24"/>
        </w:rPr>
        <w:t>number</w:t>
      </w:r>
      <w:r w:rsidR="00EF7B96" w:rsidRPr="00D92080">
        <w:rPr>
          <w:rFonts w:ascii="Times New Roman" w:hAnsi="Times New Roman" w:cs="Times New Roman"/>
          <w:sz w:val="24"/>
          <w:szCs w:val="24"/>
        </w:rPr>
        <w:t xml:space="preserve"> </w:t>
      </w:r>
      <w:r w:rsidR="008D6FD4" w:rsidRPr="00835C2C">
        <w:rPr>
          <w:rFonts w:ascii="Times New Roman" w:hAnsi="Times New Roman" w:cs="Times New Roman"/>
          <w:sz w:val="24"/>
          <w:szCs w:val="24"/>
        </w:rPr>
        <w:t>and average</w:t>
      </w:r>
    </w:p>
    <w:p w:rsidR="00EF7B96" w:rsidRDefault="004932D0" w:rsidP="00D92080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MAND_AGE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is </w:t>
      </w:r>
      <w:r w:rsidR="00EF7B96">
        <w:rPr>
          <w:rFonts w:ascii="Times New Roman" w:hAnsi="Times New Roman" w:cs="Times New Roman"/>
          <w:sz w:val="24"/>
          <w:szCs w:val="24"/>
        </w:rPr>
        <w:t>p</w:t>
      </w:r>
      <w:r w:rsidR="00D92080" w:rsidRPr="00D92080">
        <w:rPr>
          <w:rFonts w:ascii="Times New Roman" w:hAnsi="Times New Roman" w:cs="Times New Roman"/>
          <w:sz w:val="24"/>
          <w:szCs w:val="24"/>
        </w:rPr>
        <w:t>ositively correlated with deposit</w:t>
      </w:r>
      <w:r w:rsidR="00835C2C">
        <w:rPr>
          <w:rFonts w:ascii="Times New Roman" w:hAnsi="Times New Roman" w:cs="Times New Roman"/>
          <w:sz w:val="24"/>
          <w:szCs w:val="24"/>
        </w:rPr>
        <w:t xml:space="preserve"> rate</w:t>
      </w:r>
      <w:r w:rsidR="00D92080">
        <w:rPr>
          <w:rFonts w:ascii="Times New Roman" w:hAnsi="Times New Roman" w:cs="Times New Roman"/>
          <w:sz w:val="24"/>
          <w:szCs w:val="24"/>
        </w:rPr>
        <w:t xml:space="preserve"> when mandate 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age is older than </w:t>
      </w:r>
      <w:r w:rsidR="00EF7B96">
        <w:rPr>
          <w:rFonts w:ascii="Times New Roman" w:hAnsi="Times New Roman" w:cs="Times New Roman"/>
          <w:sz w:val="24"/>
          <w:szCs w:val="24"/>
        </w:rPr>
        <w:t>3</w:t>
      </w:r>
      <w:r w:rsidR="00D92080" w:rsidRPr="00D92080">
        <w:rPr>
          <w:rFonts w:ascii="Times New Roman" w:hAnsi="Times New Roman" w:cs="Times New Roman"/>
          <w:sz w:val="24"/>
          <w:szCs w:val="24"/>
        </w:rPr>
        <w:t xml:space="preserve"> years</w:t>
      </w:r>
      <w:r w:rsidR="00EF7B96">
        <w:rPr>
          <w:rFonts w:ascii="Times New Roman" w:hAnsi="Times New Roman" w:cs="Times New Roman"/>
          <w:sz w:val="24"/>
          <w:szCs w:val="24"/>
        </w:rPr>
        <w:t xml:space="preserve"> (N=32)</w:t>
      </w:r>
      <w:r w:rsidR="00D92080" w:rsidRPr="00D92080">
        <w:rPr>
          <w:rFonts w:ascii="Times New Roman" w:hAnsi="Times New Roman" w:cs="Times New Roman"/>
          <w:sz w:val="24"/>
          <w:szCs w:val="24"/>
        </w:rPr>
        <w:t>.</w:t>
      </w:r>
    </w:p>
    <w:p w:rsidR="00EF7B96" w:rsidRDefault="00EF7B96" w:rsidP="00075D40">
      <w:pPr>
        <w:spacing w:after="100" w:line="240" w:lineRule="auto"/>
        <w:rPr>
          <w:rFonts w:ascii="Calibri" w:eastAsia="Times New Roman" w:hAnsi="Calibri" w:cs="Times New Roman"/>
          <w:sz w:val="24"/>
          <w:szCs w:val="24"/>
          <w:lang w:val="en-CA" w:eastAsia="en-CA"/>
        </w:rPr>
      </w:pPr>
    </w:p>
    <w:p w:rsidR="00AE6429" w:rsidRDefault="00AE6429" w:rsidP="00977DC7">
      <w:pPr>
        <w:rPr>
          <w:rFonts w:ascii="Calibri" w:eastAsia="Times New Roman" w:hAnsi="Calibri" w:cs="Times New Roman"/>
          <w:sz w:val="24"/>
          <w:szCs w:val="24"/>
          <w:lang w:val="en-CA" w:eastAsia="en-CA"/>
        </w:rPr>
      </w:pPr>
      <w:proofErr w:type="spellStart"/>
      <w:r w:rsidRPr="00977DC7">
        <w:rPr>
          <w:rFonts w:ascii="Times New Roman" w:hAnsi="Times New Roman" w:cs="Times New Roman"/>
          <w:b/>
          <w:sz w:val="24"/>
          <w:szCs w:val="24"/>
          <w:lang w:val="fr-CA"/>
        </w:rPr>
        <w:t>Repository</w:t>
      </w:r>
      <w:proofErr w:type="spellEnd"/>
      <w:r w:rsidRPr="00977DC7">
        <w:rPr>
          <w:rFonts w:ascii="Times New Roman" w:hAnsi="Times New Roman" w:cs="Times New Roman"/>
          <w:b/>
          <w:sz w:val="24"/>
          <w:szCs w:val="24"/>
          <w:lang w:val="fr-CA"/>
        </w:rPr>
        <w:t xml:space="preserve"> Age</w:t>
      </w:r>
      <w:r w:rsidR="001538BB">
        <w:rPr>
          <w:rFonts w:ascii="Times New Roman" w:hAnsi="Times New Roman" w:cs="Times New Roman"/>
          <w:b/>
          <w:sz w:val="24"/>
          <w:szCs w:val="24"/>
          <w:lang w:val="fr-CA"/>
        </w:rPr>
        <w:t>:</w:t>
      </w:r>
    </w:p>
    <w:p w:rsidR="00AE6429" w:rsidRDefault="004932D0" w:rsidP="00AE6429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REPOS_AGE</w:t>
      </w:r>
      <w:r w:rsidR="00AE6429" w:rsidRPr="00D92080">
        <w:rPr>
          <w:rFonts w:ascii="Times New Roman" w:hAnsi="Times New Roman" w:cs="Times New Roman"/>
          <w:sz w:val="24"/>
          <w:szCs w:val="24"/>
        </w:rPr>
        <w:t xml:space="preserve"> is positively correlated with </w:t>
      </w:r>
      <w:r w:rsidR="0088685B">
        <w:rPr>
          <w:rFonts w:ascii="Times New Roman" w:hAnsi="Times New Roman" w:cs="Times New Roman"/>
          <w:sz w:val="24"/>
          <w:szCs w:val="24"/>
        </w:rPr>
        <w:t xml:space="preserve">deposit </w:t>
      </w:r>
      <w:r w:rsidR="00AE6429" w:rsidRPr="00D92080">
        <w:rPr>
          <w:rFonts w:ascii="Times New Roman" w:hAnsi="Times New Roman" w:cs="Times New Roman"/>
          <w:sz w:val="24"/>
          <w:szCs w:val="24"/>
        </w:rPr>
        <w:t xml:space="preserve">rate </w:t>
      </w:r>
      <w:r w:rsidR="008D6FD4" w:rsidRPr="00835C2C">
        <w:rPr>
          <w:rFonts w:ascii="Times New Roman" w:hAnsi="Times New Roman" w:cs="Times New Roman"/>
          <w:sz w:val="24"/>
          <w:szCs w:val="24"/>
        </w:rPr>
        <w:t>and average</w:t>
      </w:r>
      <w:r w:rsidR="00AE6429" w:rsidRPr="00D920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429" w:rsidRDefault="004932D0" w:rsidP="00AE6429">
      <w:pPr>
        <w:pStyle w:val="ListParagraph"/>
        <w:numPr>
          <w:ilvl w:val="0"/>
          <w:numId w:val="3"/>
        </w:numPr>
        <w:spacing w:after="10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REPOS_AGE</w:t>
      </w:r>
      <w:r w:rsidR="00AE6429" w:rsidRPr="00D92080">
        <w:rPr>
          <w:rFonts w:ascii="Times New Roman" w:hAnsi="Times New Roman" w:cs="Times New Roman"/>
          <w:sz w:val="24"/>
          <w:szCs w:val="24"/>
        </w:rPr>
        <w:t xml:space="preserve"> is positively correlated with number of deposits when </w:t>
      </w:r>
      <w:r w:rsidR="00AE6429">
        <w:rPr>
          <w:rFonts w:ascii="Times New Roman" w:hAnsi="Times New Roman" w:cs="Times New Roman"/>
          <w:sz w:val="24"/>
          <w:szCs w:val="24"/>
        </w:rPr>
        <w:t>mandate age is older than 2</w:t>
      </w:r>
      <w:r w:rsidR="00AE6429" w:rsidRPr="00D92080">
        <w:rPr>
          <w:rFonts w:ascii="Times New Roman" w:hAnsi="Times New Roman" w:cs="Times New Roman"/>
          <w:sz w:val="24"/>
          <w:szCs w:val="24"/>
        </w:rPr>
        <w:t xml:space="preserve"> years</w:t>
      </w:r>
      <w:r w:rsidR="00AE6429">
        <w:rPr>
          <w:rFonts w:ascii="Times New Roman" w:hAnsi="Times New Roman" w:cs="Times New Roman"/>
          <w:sz w:val="24"/>
          <w:szCs w:val="24"/>
        </w:rPr>
        <w:t xml:space="preserve"> (N = 51), as well as for </w:t>
      </w:r>
      <w:r w:rsidR="00977DC7">
        <w:rPr>
          <w:rFonts w:ascii="Times New Roman" w:hAnsi="Times New Roman" w:cs="Times New Roman"/>
        </w:rPr>
        <w:t>higher ranked institutions</w:t>
      </w:r>
      <w:r w:rsidR="00AE6429">
        <w:rPr>
          <w:rFonts w:ascii="Times New Roman" w:hAnsi="Times New Roman" w:cs="Times New Roman"/>
          <w:sz w:val="24"/>
          <w:szCs w:val="24"/>
        </w:rPr>
        <w:t>.</w:t>
      </w:r>
    </w:p>
    <w:p w:rsidR="00EF7B96" w:rsidRPr="006D3BD7" w:rsidRDefault="00075D40" w:rsidP="00977DC7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D92080">
        <w:rPr>
          <w:rFonts w:ascii="Calibri" w:eastAsia="Times New Roman" w:hAnsi="Calibri" w:cs="Times New Roman"/>
          <w:sz w:val="24"/>
          <w:szCs w:val="24"/>
          <w:lang w:val="en-CA" w:eastAsia="en-CA"/>
        </w:rPr>
        <w:br/>
      </w:r>
      <w:r w:rsidR="004932D0" w:rsidRPr="006D3BD7">
        <w:rPr>
          <w:rFonts w:ascii="Times New Roman" w:hAnsi="Times New Roman" w:cs="Times New Roman"/>
          <w:b/>
          <w:sz w:val="24"/>
          <w:szCs w:val="24"/>
          <w:lang w:val="en-CA"/>
        </w:rPr>
        <w:t>INST_RANK</w:t>
      </w:r>
    </w:p>
    <w:p w:rsidR="00477B79" w:rsidRDefault="00977DC7" w:rsidP="004932D0">
      <w:pPr>
        <w:rPr>
          <w:rFonts w:ascii="Times New Roman" w:hAnsi="Times New Roman" w:cs="Times New Roman"/>
          <w:sz w:val="24"/>
          <w:szCs w:val="24"/>
        </w:rPr>
      </w:pPr>
      <w:r w:rsidRPr="00977DC7">
        <w:rPr>
          <w:rFonts w:ascii="Times New Roman" w:hAnsi="Times New Roman" w:cs="Times New Roman"/>
          <w:sz w:val="24"/>
          <w:szCs w:val="24"/>
        </w:rPr>
        <w:t xml:space="preserve">There is no significant correlation with </w:t>
      </w:r>
      <w:r w:rsidR="004932D0">
        <w:rPr>
          <w:rFonts w:ascii="Times New Roman" w:hAnsi="Times New Roman" w:cs="Times New Roman"/>
          <w:sz w:val="24"/>
          <w:szCs w:val="24"/>
        </w:rPr>
        <w:t>INST_RANK</w:t>
      </w:r>
      <w:r w:rsidRPr="00977DC7">
        <w:rPr>
          <w:rFonts w:ascii="Times New Roman" w:hAnsi="Times New Roman" w:cs="Times New Roman"/>
          <w:sz w:val="24"/>
          <w:szCs w:val="24"/>
        </w:rPr>
        <w:t>, so there is no ranking bias.</w:t>
      </w:r>
    </w:p>
    <w:p w:rsidR="00977DC7" w:rsidRPr="00977DC7" w:rsidRDefault="00477B79" w:rsidP="004932D0">
      <w:pPr>
        <w:rPr>
          <w:rFonts w:ascii="Times New Roman" w:hAnsi="Times New Roman" w:cs="Times New Roman"/>
          <w:sz w:val="24"/>
          <w:szCs w:val="24"/>
        </w:rPr>
      </w:pPr>
      <w:r w:rsidRPr="00477B7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86400" cy="4114800"/>
            <wp:effectExtent l="25400" t="0" r="0" b="0"/>
            <wp:docPr id="1" name="Picture 13" descr="Slid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3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B79" w:rsidRDefault="00477B79" w:rsidP="00477B79">
      <w:pPr>
        <w:ind w:left="720"/>
        <w:rPr>
          <w:rFonts w:ascii="Arial" w:hAnsi="Arial" w:cs="Georgia"/>
          <w:color w:val="262626"/>
        </w:rPr>
      </w:pPr>
      <w:r w:rsidRPr="00633869">
        <w:rPr>
          <w:rFonts w:ascii="Arial" w:hAnsi="Arial" w:cs="Georgia"/>
          <w:b/>
          <w:color w:val="262626"/>
        </w:rPr>
        <w:t>Comparing percent OA globally and in UK.</w:t>
      </w:r>
      <w:r>
        <w:rPr>
          <w:rFonts w:ascii="Arial" w:hAnsi="Arial" w:cs="Georgia"/>
          <w:color w:val="262626"/>
        </w:rPr>
        <w:t xml:space="preserve"> UK average OA is close to 40%, 15% higher than the global average of about 2</w:t>
      </w:r>
      <w:r w:rsidR="006F3FB9">
        <w:rPr>
          <w:rFonts w:ascii="Arial" w:hAnsi="Arial" w:cs="Georgia"/>
          <w:color w:val="262626"/>
        </w:rPr>
        <w:t>5</w:t>
      </w:r>
      <w:r>
        <w:rPr>
          <w:rFonts w:ascii="Arial" w:hAnsi="Arial" w:cs="Georgia"/>
          <w:color w:val="262626"/>
        </w:rPr>
        <w:t xml:space="preserve">%. The most likely reason is that RCUK as well as about a third of UK universities have mandated </w:t>
      </w:r>
      <w:r w:rsidRPr="00633869">
        <w:rPr>
          <w:rFonts w:ascii="Arial" w:hAnsi="Arial" w:cs="Georgia"/>
          <w:b/>
          <w:color w:val="04C606"/>
        </w:rPr>
        <w:t>Green</w:t>
      </w:r>
      <w:r>
        <w:rPr>
          <w:rFonts w:ascii="Arial" w:hAnsi="Arial" w:cs="Georgia"/>
          <w:color w:val="262626"/>
        </w:rPr>
        <w:t xml:space="preserve"> OA. The</w:t>
      </w:r>
      <w:r w:rsidR="001444F9">
        <w:rPr>
          <w:rFonts w:ascii="Arial" w:hAnsi="Arial" w:cs="Georgia"/>
          <w:color w:val="262626"/>
        </w:rPr>
        <w:t xml:space="preserve"> UK</w:t>
      </w:r>
      <w:r>
        <w:rPr>
          <w:rFonts w:ascii="Arial" w:hAnsi="Arial" w:cs="Georgia"/>
          <w:color w:val="262626"/>
        </w:rPr>
        <w:t xml:space="preserve"> mandates are not very effective, lacking compliance-verification mechanisms, but they are nevertheless substantially more effective than the global average, which is almost all </w:t>
      </w:r>
      <w:proofErr w:type="spellStart"/>
      <w:r>
        <w:rPr>
          <w:rFonts w:ascii="Arial" w:hAnsi="Arial" w:cs="Georgia"/>
          <w:color w:val="262626"/>
        </w:rPr>
        <w:t>unmandated</w:t>
      </w:r>
      <w:proofErr w:type="spellEnd"/>
      <w:r>
        <w:rPr>
          <w:rFonts w:ascii="Arial" w:hAnsi="Arial" w:cs="Georgia"/>
          <w:color w:val="262626"/>
        </w:rPr>
        <w:t xml:space="preserve"> OA. UK </w:t>
      </w:r>
      <w:r w:rsidRPr="00633869">
        <w:rPr>
          <w:rFonts w:ascii="Arial" w:hAnsi="Arial" w:cs="Georgia"/>
          <w:b/>
          <w:color w:val="04C606"/>
        </w:rPr>
        <w:t>Green</w:t>
      </w:r>
      <w:r>
        <w:rPr>
          <w:rFonts w:ascii="Arial" w:hAnsi="Arial" w:cs="Georgia"/>
          <w:color w:val="262626"/>
        </w:rPr>
        <w:t xml:space="preserve"> OA can be increased to 100% cost-free, by mandating it</w:t>
      </w:r>
      <w:r w:rsidR="001444F9">
        <w:rPr>
          <w:rFonts w:ascii="Arial" w:hAnsi="Arial" w:cs="Georgia"/>
          <w:color w:val="262626"/>
        </w:rPr>
        <w:t xml:space="preserve"> (effectively)</w:t>
      </w:r>
      <w:r>
        <w:rPr>
          <w:rFonts w:ascii="Arial" w:hAnsi="Arial" w:cs="Georgia"/>
          <w:color w:val="262626"/>
        </w:rPr>
        <w:t xml:space="preserve">. </w:t>
      </w:r>
      <w:r w:rsidRPr="00633869">
        <w:rPr>
          <w:rFonts w:ascii="Arial" w:hAnsi="Arial" w:cs="Georgia"/>
          <w:color w:val="E9D612"/>
        </w:rPr>
        <w:t>Gold</w:t>
      </w:r>
      <w:r>
        <w:rPr>
          <w:rFonts w:ascii="Arial" w:hAnsi="Arial" w:cs="Georgia"/>
          <w:color w:val="262626"/>
        </w:rPr>
        <w:t xml:space="preserve"> OA can only be increased by both mandating it </w:t>
      </w:r>
      <w:r w:rsidRPr="001444F9">
        <w:rPr>
          <w:rFonts w:ascii="Arial" w:hAnsi="Arial" w:cs="Georgia"/>
          <w:i/>
          <w:color w:val="262626"/>
          <w:u w:val="single"/>
        </w:rPr>
        <w:t>and</w:t>
      </w:r>
      <w:r>
        <w:rPr>
          <w:rFonts w:ascii="Arial" w:hAnsi="Arial" w:cs="Georgia"/>
          <w:color w:val="262626"/>
        </w:rPr>
        <w:t xml:space="preserve"> paying publishers extra for it, over and above subscriptions.</w:t>
      </w:r>
      <w:r w:rsidR="003E7015">
        <w:rPr>
          <w:rFonts w:ascii="Arial" w:hAnsi="Arial" w:cs="Georgia"/>
          <w:color w:val="262626"/>
        </w:rPr>
        <w:t xml:space="preserve"> (Data </w:t>
      </w:r>
      <w:r w:rsidR="00AE4342">
        <w:rPr>
          <w:rFonts w:ascii="Arial" w:hAnsi="Arial" w:cs="Georgia"/>
          <w:color w:val="262626"/>
        </w:rPr>
        <w:t xml:space="preserve">source: </w:t>
      </w:r>
      <w:hyperlink r:id="rId28" w:history="1">
        <w:proofErr w:type="spellStart"/>
        <w:r w:rsidR="00AE4342" w:rsidRPr="00AE4342">
          <w:rPr>
            <w:rStyle w:val="Hyperlink"/>
            <w:rFonts w:ascii="Arial" w:hAnsi="Arial" w:cs="Georgia"/>
          </w:rPr>
          <w:t>Gargouri</w:t>
        </w:r>
        <w:proofErr w:type="spellEnd"/>
        <w:r w:rsidR="00AE4342" w:rsidRPr="00AE4342">
          <w:rPr>
            <w:rStyle w:val="Hyperlink"/>
            <w:rFonts w:ascii="Arial" w:hAnsi="Arial" w:cs="Georgia"/>
          </w:rPr>
          <w:t xml:space="preserve"> et al 2012</w:t>
        </w:r>
      </w:hyperlink>
      <w:r w:rsidR="00AE4342">
        <w:rPr>
          <w:rFonts w:ascii="Arial" w:hAnsi="Arial" w:cs="Georgia"/>
          <w:color w:val="262626"/>
        </w:rPr>
        <w:t>)</w:t>
      </w:r>
    </w:p>
    <w:p w:rsidR="00477B79" w:rsidRDefault="00477B79" w:rsidP="004932D0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477B79">
        <w:rPr>
          <w:rFonts w:ascii="Times New Roman" w:hAnsi="Times New Roman" w:cs="Times New Roman"/>
          <w:b/>
          <w:sz w:val="24"/>
          <w:szCs w:val="24"/>
          <w:lang w:val="en-CA"/>
        </w:rPr>
        <w:drawing>
          <wp:inline distT="0" distB="0" distL="0" distR="0">
            <wp:extent cx="5027507" cy="3770630"/>
            <wp:effectExtent l="25400" t="0" r="1693" b="0"/>
            <wp:docPr id="15" name="Picture 14" descr="Slid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4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27507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B79" w:rsidRDefault="00477B79" w:rsidP="00477B79">
      <w:pPr>
        <w:ind w:left="720"/>
        <w:rPr>
          <w:rFonts w:ascii="Arial" w:hAnsi="Arial" w:cs="Georgia"/>
          <w:color w:val="262626"/>
        </w:rPr>
      </w:pPr>
      <w:r>
        <w:rPr>
          <w:rFonts w:ascii="Arial" w:hAnsi="Arial" w:cs="Georgia"/>
          <w:b/>
          <w:color w:val="262626"/>
        </w:rPr>
        <w:t>The Need to Strengthen</w:t>
      </w:r>
      <w:r w:rsidRPr="00477B79">
        <w:rPr>
          <w:rFonts w:ascii="Arial" w:hAnsi="Arial" w:cs="Georgia"/>
          <w:b/>
          <w:color w:val="262626"/>
        </w:rPr>
        <w:t xml:space="preserve"> Green OA Mandates.</w:t>
      </w:r>
      <w:r>
        <w:rPr>
          <w:rFonts w:ascii="Arial" w:hAnsi="Arial" w:cs="Georgia"/>
          <w:color w:val="262626"/>
        </w:rPr>
        <w:t xml:space="preserve"> As in the rest of the world, most UK OA is </w:t>
      </w:r>
      <w:r w:rsidRPr="00633869">
        <w:rPr>
          <w:rFonts w:ascii="Arial" w:hAnsi="Arial" w:cs="Georgia"/>
          <w:b/>
          <w:color w:val="04C606"/>
        </w:rPr>
        <w:t>Green</w:t>
      </w:r>
      <w:r>
        <w:rPr>
          <w:rFonts w:ascii="Arial" w:hAnsi="Arial" w:cs="Georgia"/>
          <w:color w:val="262626"/>
        </w:rPr>
        <w:t xml:space="preserve">, not </w:t>
      </w:r>
      <w:r w:rsidRPr="00633869">
        <w:rPr>
          <w:rFonts w:ascii="Arial" w:hAnsi="Arial" w:cs="Georgia"/>
          <w:b/>
          <w:color w:val="E9D612"/>
        </w:rPr>
        <w:t>Gold</w:t>
      </w:r>
      <w:r>
        <w:rPr>
          <w:rFonts w:ascii="Arial" w:hAnsi="Arial" w:cs="Georgia"/>
          <w:color w:val="262626"/>
        </w:rPr>
        <w:t xml:space="preserve">. UK </w:t>
      </w:r>
      <w:r w:rsidRPr="00633869">
        <w:rPr>
          <w:rFonts w:ascii="Arial" w:hAnsi="Arial" w:cs="Georgia"/>
          <w:b/>
          <w:color w:val="04C606"/>
        </w:rPr>
        <w:t>Green</w:t>
      </w:r>
      <w:r>
        <w:rPr>
          <w:rFonts w:ascii="Arial" w:hAnsi="Arial" w:cs="Georgia"/>
          <w:color w:val="262626"/>
        </w:rPr>
        <w:t xml:space="preserve"> OA can be increased to 100% cost-free, by mandating it. </w:t>
      </w:r>
      <w:r w:rsidRPr="00633869">
        <w:rPr>
          <w:rFonts w:ascii="Arial" w:hAnsi="Arial" w:cs="Georgia"/>
          <w:color w:val="E9D612"/>
        </w:rPr>
        <w:t>Gold</w:t>
      </w:r>
      <w:r>
        <w:rPr>
          <w:rFonts w:ascii="Arial" w:hAnsi="Arial" w:cs="Georgia"/>
          <w:color w:val="262626"/>
        </w:rPr>
        <w:t xml:space="preserve"> OA can only be increased by both mandating it and paying publishers extra for it, over and above subscriptions.</w:t>
      </w:r>
      <w:r w:rsidR="003E7015">
        <w:rPr>
          <w:rFonts w:ascii="Arial" w:hAnsi="Arial" w:cs="Georgia"/>
          <w:color w:val="262626"/>
        </w:rPr>
        <w:t xml:space="preserve"> (Data source: </w:t>
      </w:r>
      <w:hyperlink r:id="rId30" w:history="1">
        <w:proofErr w:type="spellStart"/>
        <w:r w:rsidR="003E7015" w:rsidRPr="003E7015">
          <w:rPr>
            <w:rStyle w:val="Hyperlink"/>
            <w:rFonts w:ascii="Arial" w:hAnsi="Arial" w:cs="Georgia"/>
          </w:rPr>
          <w:t>Gargouri</w:t>
        </w:r>
        <w:proofErr w:type="spellEnd"/>
        <w:r w:rsidR="003E7015" w:rsidRPr="003E7015">
          <w:rPr>
            <w:rStyle w:val="Hyperlink"/>
            <w:rFonts w:ascii="Arial" w:hAnsi="Arial" w:cs="Georgia"/>
          </w:rPr>
          <w:t xml:space="preserve"> 2012</w:t>
        </w:r>
      </w:hyperlink>
      <w:r w:rsidR="003E7015">
        <w:rPr>
          <w:rFonts w:ascii="Arial" w:hAnsi="Arial" w:cs="Georgia"/>
          <w:color w:val="262626"/>
        </w:rPr>
        <w:t>)</w:t>
      </w:r>
    </w:p>
    <w:p w:rsidR="0040163A" w:rsidRDefault="00477B79" w:rsidP="0040163A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477B79">
        <w:rPr>
          <w:rFonts w:ascii="Times New Roman" w:hAnsi="Times New Roman" w:cs="Times New Roman"/>
          <w:b/>
          <w:sz w:val="24"/>
          <w:szCs w:val="24"/>
          <w:lang w:val="en-CA"/>
        </w:rPr>
        <w:drawing>
          <wp:inline distT="0" distB="0" distL="0" distR="0">
            <wp:extent cx="3975100" cy="2981324"/>
            <wp:effectExtent l="25400" t="0" r="0" b="0"/>
            <wp:docPr id="18" name="Picture 17" descr="Slid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7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75988" cy="29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AA0" w:rsidRPr="0040163A" w:rsidRDefault="00155AA0" w:rsidP="0040163A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155AA0">
        <w:rPr>
          <w:rFonts w:ascii="Arial" w:hAnsi="Arial" w:cs="Georgia"/>
          <w:b/>
          <w:color w:val="262626"/>
        </w:rPr>
        <w:t>Effective Mandates</w:t>
      </w:r>
      <w:r>
        <w:rPr>
          <w:rFonts w:ascii="Arial" w:hAnsi="Arial" w:cs="Georgia"/>
          <w:color w:val="262626"/>
        </w:rPr>
        <w:t xml:space="preserve">. Effective </w:t>
      </w:r>
      <w:r w:rsidRPr="004A01BE">
        <w:rPr>
          <w:rFonts w:ascii="Arial" w:hAnsi="Arial" w:cs="Georgia"/>
          <w:b/>
          <w:color w:val="1FBE16"/>
        </w:rPr>
        <w:t>Green</w:t>
      </w:r>
      <w:r>
        <w:rPr>
          <w:rFonts w:ascii="Arial" w:hAnsi="Arial" w:cs="Georgia"/>
          <w:color w:val="262626"/>
        </w:rPr>
        <w:t xml:space="preserve"> OA Mandates generate 70%+ OA.</w:t>
      </w:r>
      <w:r w:rsidR="003E7015">
        <w:rPr>
          <w:rFonts w:ascii="Arial" w:hAnsi="Arial" w:cs="Georgia"/>
          <w:color w:val="262626"/>
        </w:rPr>
        <w:t xml:space="preserve"> (Data source: </w:t>
      </w:r>
      <w:hyperlink r:id="rId32" w:history="1">
        <w:proofErr w:type="spellStart"/>
        <w:r w:rsidR="003E7015" w:rsidRPr="003E7015">
          <w:rPr>
            <w:rStyle w:val="Hyperlink"/>
            <w:rFonts w:ascii="Arial" w:hAnsi="Arial" w:cs="Georgia"/>
          </w:rPr>
          <w:t>Gargouri</w:t>
        </w:r>
        <w:proofErr w:type="spellEnd"/>
        <w:r w:rsidR="003E7015" w:rsidRPr="003E7015">
          <w:rPr>
            <w:rStyle w:val="Hyperlink"/>
            <w:rFonts w:ascii="Arial" w:hAnsi="Arial" w:cs="Georgia"/>
          </w:rPr>
          <w:t xml:space="preserve"> et al 2010</w:t>
        </w:r>
      </w:hyperlink>
      <w:r w:rsidR="003E7015">
        <w:rPr>
          <w:rFonts w:ascii="Arial" w:hAnsi="Arial" w:cs="Georgia"/>
          <w:color w:val="262626"/>
        </w:rPr>
        <w:t>)</w:t>
      </w:r>
    </w:p>
    <w:p w:rsidR="0040163A" w:rsidRDefault="0040163A" w:rsidP="004932D0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155AA0" w:rsidRDefault="0040163A" w:rsidP="004932D0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80000" cy="2387600"/>
            <wp:effectExtent l="25400" t="0" r="0" b="0"/>
            <wp:docPr id="2" name="Picture 1" descr="orbigraph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bigraph2012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AA0" w:rsidRPr="0040163A" w:rsidRDefault="0040163A" w:rsidP="0040163A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>
        <w:rPr>
          <w:rFonts w:ascii="Times New Roman" w:hAnsi="Times New Roman" w:cs="Verdana"/>
          <w:b/>
          <w:color w:val="262626"/>
          <w:sz w:val="24"/>
          <w:szCs w:val="26"/>
        </w:rPr>
        <w:t>U</w:t>
      </w:r>
      <w:proofErr w:type="spellEnd"/>
      <w:r>
        <w:rPr>
          <w:rFonts w:ascii="Times New Roman" w:hAnsi="Times New Roman" w:cs="Verdana"/>
          <w:b/>
          <w:color w:val="262626"/>
          <w:sz w:val="24"/>
          <w:szCs w:val="26"/>
        </w:rPr>
        <w:t xml:space="preserve">. </w:t>
      </w:r>
      <w:proofErr w:type="spellStart"/>
      <w:r w:rsidRPr="0040163A">
        <w:rPr>
          <w:rFonts w:ascii="Times New Roman" w:hAnsi="Times New Roman" w:cs="Verdana"/>
          <w:b/>
          <w:color w:val="262626"/>
          <w:sz w:val="24"/>
          <w:szCs w:val="26"/>
        </w:rPr>
        <w:t>Li</w:t>
      </w:r>
      <w:r>
        <w:rPr>
          <w:rFonts w:ascii="Times New Roman" w:hAnsi="Times New Roman" w:cs="Verdana"/>
          <w:b/>
          <w:color w:val="262626"/>
          <w:sz w:val="24"/>
          <w:szCs w:val="26"/>
        </w:rPr>
        <w:t>è</w:t>
      </w:r>
      <w:r w:rsidRPr="0040163A">
        <w:rPr>
          <w:rFonts w:ascii="Times New Roman" w:hAnsi="Times New Roman" w:cs="Verdana"/>
          <w:b/>
          <w:color w:val="262626"/>
          <w:sz w:val="24"/>
          <w:szCs w:val="26"/>
        </w:rPr>
        <w:t>ge</w:t>
      </w:r>
      <w:proofErr w:type="spellEnd"/>
      <w:r w:rsidRPr="0040163A">
        <w:rPr>
          <w:rFonts w:ascii="Times New Roman" w:hAnsi="Times New Roman" w:cs="Verdana"/>
          <w:b/>
          <w:color w:val="262626"/>
          <w:sz w:val="24"/>
          <w:szCs w:val="26"/>
        </w:rPr>
        <w:t xml:space="preserve"> Mandate and Deposit Rate.</w:t>
      </w:r>
      <w:r w:rsidRPr="0040163A">
        <w:rPr>
          <w:rFonts w:ascii="Times New Roman" w:hAnsi="Times New Roman" w:cs="Verdana"/>
          <w:color w:val="262626"/>
          <w:sz w:val="24"/>
          <w:szCs w:val="26"/>
        </w:rPr>
        <w:t xml:space="preserve"> U </w:t>
      </w:r>
      <w:proofErr w:type="spellStart"/>
      <w:r w:rsidRPr="0040163A">
        <w:rPr>
          <w:rFonts w:ascii="Times New Roman" w:hAnsi="Times New Roman" w:cs="Verdana"/>
          <w:color w:val="262626"/>
          <w:sz w:val="24"/>
          <w:szCs w:val="26"/>
        </w:rPr>
        <w:t>Li</w:t>
      </w:r>
      <w:r>
        <w:rPr>
          <w:rFonts w:ascii="Times New Roman" w:hAnsi="Times New Roman" w:cs="Verdana"/>
          <w:color w:val="262626"/>
          <w:sz w:val="24"/>
          <w:szCs w:val="26"/>
        </w:rPr>
        <w:t>è</w:t>
      </w:r>
      <w:r w:rsidRPr="0040163A">
        <w:rPr>
          <w:rFonts w:ascii="Times New Roman" w:hAnsi="Times New Roman" w:cs="Verdana"/>
          <w:color w:val="262626"/>
          <w:sz w:val="24"/>
          <w:szCs w:val="26"/>
        </w:rPr>
        <w:t>ge's</w:t>
      </w:r>
      <w:proofErr w:type="spellEnd"/>
      <w:r w:rsidRPr="0040163A">
        <w:rPr>
          <w:rFonts w:ascii="Times New Roman" w:hAnsi="Times New Roman" w:cs="Verdana"/>
          <w:color w:val="262626"/>
          <w:sz w:val="24"/>
          <w:szCs w:val="26"/>
        </w:rPr>
        <w:t xml:space="preserve"> Rector, Bernard </w:t>
      </w:r>
      <w:proofErr w:type="spellStart"/>
      <w:r w:rsidRPr="0040163A">
        <w:rPr>
          <w:rFonts w:ascii="Times New Roman" w:hAnsi="Times New Roman" w:cs="Verdana"/>
          <w:color w:val="262626"/>
          <w:sz w:val="24"/>
          <w:szCs w:val="26"/>
        </w:rPr>
        <w:t>Rentier</w:t>
      </w:r>
      <w:proofErr w:type="spellEnd"/>
      <w:r w:rsidRPr="0040163A">
        <w:rPr>
          <w:rFonts w:ascii="Times New Roman" w:hAnsi="Times New Roman" w:cs="Verdana"/>
          <w:color w:val="262626"/>
          <w:sz w:val="24"/>
          <w:szCs w:val="26"/>
        </w:rPr>
        <w:t xml:space="preserve">, </w:t>
      </w:r>
      <w:hyperlink r:id="rId34" w:history="1">
        <w:r w:rsidRPr="0040163A">
          <w:rPr>
            <w:rFonts w:ascii="Times New Roman" w:hAnsi="Times New Roman" w:cs="Verdana"/>
            <w:color w:val="042553"/>
            <w:sz w:val="24"/>
            <w:szCs w:val="26"/>
            <w:u w:val="single" w:color="042553"/>
          </w:rPr>
          <w:t>reported</w:t>
        </w:r>
      </w:hyperlink>
      <w:r w:rsidRPr="0040163A">
        <w:rPr>
          <w:rFonts w:ascii="Times New Roman" w:hAnsi="Times New Roman" w:cs="Verdana"/>
          <w:color w:val="042553"/>
          <w:sz w:val="24"/>
          <w:szCs w:val="26"/>
          <w:u w:val="single" w:color="042553"/>
        </w:rPr>
        <w:t xml:space="preserve"> in 2010</w:t>
      </w:r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 that over the </w:t>
      </w:r>
      <w:r w:rsidR="001444F9">
        <w:rPr>
          <w:rFonts w:ascii="Times New Roman" w:hAnsi="Times New Roman" w:cs="Verdana"/>
          <w:color w:val="262626"/>
          <w:sz w:val="24"/>
          <w:szCs w:val="26"/>
          <w:u w:color="042553"/>
        </w:rPr>
        <w:t>prior</w:t>
      </w:r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 year deposits to the U. </w:t>
      </w:r>
      <w:proofErr w:type="spellStart"/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>Li</w:t>
      </w:r>
      <w:r>
        <w:rPr>
          <w:rFonts w:ascii="Times New Roman" w:hAnsi="Times New Roman" w:cs="Verdana"/>
          <w:color w:val="262626"/>
          <w:sz w:val="24"/>
          <w:szCs w:val="26"/>
          <w:u w:color="042553"/>
        </w:rPr>
        <w:t>è</w:t>
      </w:r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>ge</w:t>
      </w:r>
      <w:proofErr w:type="spellEnd"/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 repository (</w:t>
      </w:r>
      <w:hyperlink r:id="rId35" w:history="1">
        <w:proofErr w:type="spellStart"/>
        <w:r w:rsidRPr="0040163A">
          <w:rPr>
            <w:rFonts w:ascii="Times New Roman" w:hAnsi="Times New Roman" w:cs="Verdana"/>
            <w:color w:val="042553"/>
            <w:sz w:val="24"/>
            <w:szCs w:val="26"/>
            <w:u w:val="single" w:color="042553"/>
          </w:rPr>
          <w:t>ORBi</w:t>
        </w:r>
        <w:proofErr w:type="spellEnd"/>
      </w:hyperlink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) had grown from 10 to 40 thousand publications, 25 thousand of them full-text. This is the </w:t>
      </w:r>
      <w:hyperlink r:id="rId36" w:history="1">
        <w:r w:rsidR="003E7015" w:rsidRPr="003E7015">
          <w:rPr>
            <w:rStyle w:val="Hyperlink"/>
            <w:rFonts w:ascii="Times New Roman" w:hAnsi="Times New Roman" w:cs="Verdana"/>
            <w:sz w:val="24"/>
            <w:szCs w:val="26"/>
            <w:u w:color="042553"/>
          </w:rPr>
          <w:t xml:space="preserve">highest deposit rate in </w:t>
        </w:r>
        <w:proofErr w:type="spellStart"/>
        <w:r w:rsidR="003E7015" w:rsidRPr="003E7015">
          <w:rPr>
            <w:rStyle w:val="Hyperlink"/>
            <w:rFonts w:ascii="Times New Roman" w:hAnsi="Times New Roman" w:cs="Verdana"/>
            <w:sz w:val="24"/>
            <w:szCs w:val="26"/>
            <w:u w:color="042553"/>
          </w:rPr>
          <w:t>ROAR's</w:t>
        </w:r>
        <w:proofErr w:type="spellEnd"/>
        <w:r w:rsidR="003E7015" w:rsidRPr="003E7015">
          <w:rPr>
            <w:rStyle w:val="Hyperlink"/>
            <w:rFonts w:ascii="Times New Roman" w:hAnsi="Times New Roman" w:cs="Verdana"/>
            <w:sz w:val="24"/>
            <w:szCs w:val="26"/>
            <w:u w:color="042553"/>
          </w:rPr>
          <w:t xml:space="preserve"> single institutional repository range</w:t>
        </w:r>
      </w:hyperlink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. Viewed 650 thousand times and downloaded 61 thousand times, the 40 thousand deposits coincided with the first year in which, as a part of </w:t>
      </w:r>
      <w:hyperlink r:id="rId37" w:history="1">
        <w:r>
          <w:rPr>
            <w:rFonts w:ascii="Times New Roman" w:hAnsi="Times New Roman" w:cs="Verdana"/>
            <w:color w:val="042553"/>
            <w:sz w:val="24"/>
            <w:szCs w:val="26"/>
            <w:u w:val="single" w:color="042553"/>
          </w:rPr>
          <w:t xml:space="preserve">U </w:t>
        </w:r>
        <w:proofErr w:type="spellStart"/>
        <w:r>
          <w:rPr>
            <w:rFonts w:ascii="Times New Roman" w:hAnsi="Times New Roman" w:cs="Verdana"/>
            <w:color w:val="042553"/>
            <w:sz w:val="24"/>
            <w:szCs w:val="26"/>
            <w:u w:val="single" w:color="042553"/>
          </w:rPr>
          <w:t>Liège's</w:t>
        </w:r>
        <w:proofErr w:type="spellEnd"/>
        <w:r>
          <w:rPr>
            <w:rFonts w:ascii="Times New Roman" w:hAnsi="Times New Roman" w:cs="Verdana"/>
            <w:color w:val="042553"/>
            <w:sz w:val="24"/>
            <w:szCs w:val="26"/>
            <w:u w:val="single" w:color="042553"/>
          </w:rPr>
          <w:t xml:space="preserve"> Open Access Mandate</w:t>
        </w:r>
      </w:hyperlink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, </w:t>
      </w:r>
      <w:proofErr w:type="spellStart"/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>ORBi</w:t>
      </w:r>
      <w:proofErr w:type="spellEnd"/>
      <w:r w:rsidRPr="0040163A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 was designated as U Liege's sole official means of submitting publications for performance review for academic promotion.</w:t>
      </w:r>
      <w:r w:rsidR="003E7015">
        <w:rPr>
          <w:rFonts w:ascii="Times New Roman" w:hAnsi="Times New Roman" w:cs="Verdana"/>
          <w:color w:val="262626"/>
          <w:sz w:val="24"/>
          <w:szCs w:val="26"/>
          <w:u w:color="042553"/>
        </w:rPr>
        <w:t xml:space="preserve"> (Data source: </w:t>
      </w:r>
      <w:hyperlink r:id="rId38" w:history="1">
        <w:r w:rsidR="003E7015" w:rsidRPr="003E7015">
          <w:rPr>
            <w:rStyle w:val="Hyperlink"/>
            <w:rFonts w:ascii="Times New Roman" w:hAnsi="Times New Roman" w:cs="Verdana"/>
            <w:sz w:val="24"/>
            <w:szCs w:val="26"/>
            <w:u w:color="042553"/>
          </w:rPr>
          <w:t>ROAR</w:t>
        </w:r>
      </w:hyperlink>
      <w:r w:rsidR="003E7015">
        <w:rPr>
          <w:rFonts w:ascii="Times New Roman" w:hAnsi="Times New Roman" w:cs="Verdana"/>
          <w:color w:val="262626"/>
          <w:sz w:val="24"/>
          <w:szCs w:val="26"/>
          <w:u w:color="042553"/>
        </w:rPr>
        <w:t>)</w:t>
      </w:r>
    </w:p>
    <w:p w:rsidR="0040163A" w:rsidRDefault="0040163A" w:rsidP="004932D0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6366D5" w:rsidRDefault="008B3EA9" w:rsidP="00D36465">
      <w:pPr>
        <w:ind w:left="72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6D3BD7">
        <w:rPr>
          <w:rFonts w:ascii="Times New Roman" w:hAnsi="Times New Roman" w:cs="Times New Roman"/>
          <w:b/>
          <w:sz w:val="24"/>
          <w:szCs w:val="24"/>
          <w:lang w:val="en-CA"/>
        </w:rPr>
        <w:t>References</w:t>
      </w:r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</w:rPr>
      </w:pPr>
      <w:hyperlink r:id="rId39" w:history="1"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 xml:space="preserve">How to Integrate University and Funder Open Access Mandates </w:t>
        </w:r>
      </w:hyperlink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  <w:hyperlink r:id="rId40" w:history="1"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>Integrating Institutional and Funder Open Access Mandates: Belgian Model</w:t>
        </w:r>
      </w:hyperlink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  <w:hyperlink r:id="rId41" w:history="1">
        <w:proofErr w:type="spellStart"/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>Liège</w:t>
        </w:r>
        <w:proofErr w:type="spellEnd"/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 xml:space="preserve"> </w:t>
        </w:r>
        <w:proofErr w:type="spellStart"/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>ORBi</w:t>
        </w:r>
        <w:proofErr w:type="spellEnd"/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 xml:space="preserve"> model: Mandatory policy without rights retention but linked to assessment procedures</w:t>
        </w:r>
      </w:hyperlink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</w:rPr>
      </w:pPr>
      <w:hyperlink r:id="rId42" w:history="1"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>Optimizing OA Self-Archiving Mandates: What? Where? When? Why? How?</w:t>
        </w:r>
      </w:hyperlink>
    </w:p>
    <w:p w:rsidR="006366D5" w:rsidRPr="00D3646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</w:p>
    <w:p w:rsidR="006366D5" w:rsidRDefault="006366D5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  <w:hyperlink r:id="rId43" w:history="1">
        <w:r w:rsidRPr="00D36465">
          <w:rPr>
            <w:rFonts w:ascii="Times New Roman" w:hAnsi="Times New Roman" w:cs="Times New Roman"/>
            <w:bCs/>
            <w:color w:val="0000FF"/>
            <w:sz w:val="24"/>
            <w:szCs w:val="24"/>
            <w:u w:val="single" w:color="042553"/>
          </w:rPr>
          <w:t>Which Green OA Mandate Is Optimal?</w:t>
        </w:r>
      </w:hyperlink>
    </w:p>
    <w:p w:rsidR="00420307" w:rsidRPr="006366D5" w:rsidRDefault="00420307" w:rsidP="006366D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FF"/>
          <w:sz w:val="24"/>
          <w:szCs w:val="24"/>
          <w:u w:val="single" w:color="042553"/>
        </w:rPr>
      </w:pPr>
    </w:p>
    <w:p w:rsidR="00420307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Finch, Dame Janet et al (2012) </w:t>
      </w:r>
      <w:hyperlink r:id="rId44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Accessibility, sustainability, excellence: how to expand access to research publications</w:t>
        </w:r>
      </w:hyperlink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420307">
        <w:rPr>
          <w:rFonts w:ascii="Times New Roman" w:hAnsi="Times New Roman" w:cs="Times New Roman"/>
          <w:i/>
          <w:sz w:val="24"/>
          <w:szCs w:val="24"/>
          <w:lang w:val="en-CA"/>
        </w:rPr>
        <w:t>Report of the Working Group on Expanding Access to Published Research Findings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:rsidR="003E7015" w:rsidRDefault="00420307" w:rsidP="003E7015">
      <w:pPr>
        <w:ind w:left="720"/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Gargouri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Y,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Lariviere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V,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Gingras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Y, Carr, L &amp;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Harnad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S (2012) </w:t>
      </w:r>
      <w:hyperlink r:id="rId45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Green and Gold Open Access Percentages and Growth</w:t>
        </w:r>
      </w:hyperlink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by Discipline. </w:t>
      </w:r>
      <w:r>
        <w:rPr>
          <w:rFonts w:ascii="Times New Roman" w:hAnsi="Times New Roman" w:cs="Times New Roman"/>
          <w:sz w:val="24"/>
          <w:szCs w:val="24"/>
          <w:lang w:val="en-CA"/>
        </w:rPr>
        <w:t>Montreal: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420307">
        <w:rPr>
          <w:rFonts w:ascii="Times New Roman" w:hAnsi="Times New Roman" w:cs="Times New Roman"/>
          <w:i/>
          <w:sz w:val="24"/>
          <w:szCs w:val="24"/>
          <w:lang w:val="en-CA"/>
        </w:rPr>
        <w:t>17th International Conference on Science and Technology Indicators (STI)</w:t>
      </w:r>
    </w:p>
    <w:p w:rsidR="00420307" w:rsidRPr="003E7015" w:rsidRDefault="003E7015" w:rsidP="003E7015">
      <w:pPr>
        <w:ind w:left="720"/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3E7015">
        <w:rPr>
          <w:rFonts w:ascii="Times New Roman" w:hAnsi="Times New Roman" w:cs="Times New Roman"/>
          <w:bCs/>
          <w:sz w:val="24"/>
          <w:szCs w:val="28"/>
        </w:rPr>
        <w:t>Gargouri</w:t>
      </w:r>
      <w:proofErr w:type="spellEnd"/>
      <w:r w:rsidRPr="003E7015">
        <w:rPr>
          <w:rFonts w:ascii="Times New Roman" w:hAnsi="Times New Roman" w:cs="Times New Roman"/>
          <w:bCs/>
          <w:sz w:val="24"/>
          <w:szCs w:val="28"/>
        </w:rPr>
        <w:t xml:space="preserve">, Y., </w:t>
      </w:r>
      <w:proofErr w:type="spellStart"/>
      <w:r w:rsidRPr="003E7015">
        <w:rPr>
          <w:rFonts w:ascii="Times New Roman" w:hAnsi="Times New Roman" w:cs="Times New Roman"/>
          <w:bCs/>
          <w:sz w:val="24"/>
          <w:szCs w:val="28"/>
        </w:rPr>
        <w:t>Hajjem</w:t>
      </w:r>
      <w:proofErr w:type="spellEnd"/>
      <w:r w:rsidRPr="003E7015">
        <w:rPr>
          <w:rFonts w:ascii="Times New Roman" w:hAnsi="Times New Roman" w:cs="Times New Roman"/>
          <w:bCs/>
          <w:sz w:val="24"/>
          <w:szCs w:val="28"/>
        </w:rPr>
        <w:t xml:space="preserve">, C., </w:t>
      </w:r>
      <w:proofErr w:type="spellStart"/>
      <w:r w:rsidRPr="003E7015">
        <w:rPr>
          <w:rFonts w:ascii="Times New Roman" w:hAnsi="Times New Roman" w:cs="Times New Roman"/>
          <w:bCs/>
          <w:sz w:val="24"/>
          <w:szCs w:val="28"/>
        </w:rPr>
        <w:t>Lariviere</w:t>
      </w:r>
      <w:proofErr w:type="spellEnd"/>
      <w:r w:rsidRPr="003E7015">
        <w:rPr>
          <w:rFonts w:ascii="Times New Roman" w:hAnsi="Times New Roman" w:cs="Times New Roman"/>
          <w:bCs/>
          <w:sz w:val="24"/>
          <w:szCs w:val="28"/>
        </w:rPr>
        <w:t xml:space="preserve">, V., </w:t>
      </w:r>
      <w:proofErr w:type="spellStart"/>
      <w:r w:rsidRPr="003E7015">
        <w:rPr>
          <w:rFonts w:ascii="Times New Roman" w:hAnsi="Times New Roman" w:cs="Times New Roman"/>
          <w:bCs/>
          <w:sz w:val="24"/>
          <w:szCs w:val="28"/>
        </w:rPr>
        <w:t>Gingras</w:t>
      </w:r>
      <w:proofErr w:type="spellEnd"/>
      <w:r w:rsidRPr="003E7015">
        <w:rPr>
          <w:rFonts w:ascii="Times New Roman" w:hAnsi="Times New Roman" w:cs="Times New Roman"/>
          <w:bCs/>
          <w:sz w:val="24"/>
          <w:szCs w:val="28"/>
        </w:rPr>
        <w:t xml:space="preserve">, Y., Brody, T., Carr, L. and </w:t>
      </w:r>
      <w:proofErr w:type="spellStart"/>
      <w:r w:rsidRPr="003E7015">
        <w:rPr>
          <w:rFonts w:ascii="Times New Roman" w:hAnsi="Times New Roman" w:cs="Times New Roman"/>
          <w:bCs/>
          <w:sz w:val="24"/>
          <w:szCs w:val="28"/>
        </w:rPr>
        <w:t>Harnad</w:t>
      </w:r>
      <w:proofErr w:type="spellEnd"/>
      <w:r w:rsidRPr="003E7015">
        <w:rPr>
          <w:rFonts w:ascii="Times New Roman" w:hAnsi="Times New Roman" w:cs="Times New Roman"/>
          <w:bCs/>
          <w:sz w:val="24"/>
          <w:szCs w:val="28"/>
        </w:rPr>
        <w:t xml:space="preserve">, S. (2010) </w:t>
      </w:r>
      <w:hyperlink r:id="rId46" w:history="1">
        <w:r w:rsidRPr="003E7015">
          <w:rPr>
            <w:rFonts w:ascii="Times New Roman" w:hAnsi="Times New Roman" w:cs="Times New Roman"/>
            <w:bCs/>
            <w:color w:val="0000E9"/>
            <w:sz w:val="24"/>
            <w:szCs w:val="28"/>
          </w:rPr>
          <w:t>Self-Selected or Mandated, Open Access Increases Citation Impact for Higher Quality Research</w:t>
        </w:r>
      </w:hyperlink>
      <w:r w:rsidRPr="003E7015">
        <w:rPr>
          <w:rFonts w:ascii="Times New Roman" w:hAnsi="Times New Roman" w:cs="Times New Roman"/>
          <w:bCs/>
          <w:sz w:val="24"/>
          <w:szCs w:val="28"/>
        </w:rPr>
        <w:t xml:space="preserve">. </w:t>
      </w:r>
      <w:hyperlink r:id="rId47" w:history="1">
        <w:r w:rsidRPr="003E7015">
          <w:rPr>
            <w:rFonts w:ascii="Times New Roman" w:hAnsi="Times New Roman" w:cs="Times New Roman"/>
            <w:bCs/>
            <w:color w:val="0000E9"/>
            <w:sz w:val="24"/>
            <w:szCs w:val="28"/>
          </w:rPr>
          <w:t xml:space="preserve">PLOS ONE 5 (10) </w:t>
        </w:r>
      </w:hyperlink>
      <w:r w:rsidRPr="003E7015">
        <w:rPr>
          <w:rFonts w:ascii="Times New Roman" w:hAnsi="Times New Roman" w:cs="Times New Roman"/>
          <w:bCs/>
          <w:sz w:val="24"/>
          <w:szCs w:val="28"/>
        </w:rPr>
        <w:t xml:space="preserve">e13636 </w:t>
      </w:r>
    </w:p>
    <w:p w:rsidR="00420307" w:rsidRPr="00420307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Harnad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S (2012) </w:t>
      </w:r>
      <w:hyperlink r:id="rId48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United Kingdom's Open Access Policy Urgently Needs a Tweak</w:t>
        </w:r>
      </w:hyperlink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420307">
        <w:rPr>
          <w:rFonts w:ascii="Times New Roman" w:hAnsi="Times New Roman" w:cs="Times New Roman"/>
          <w:i/>
          <w:sz w:val="24"/>
          <w:szCs w:val="24"/>
          <w:lang w:val="en-CA"/>
        </w:rPr>
        <w:t>D-Lib Magazine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18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(9/10)</w:t>
      </w:r>
    </w:p>
    <w:p w:rsidR="00B008C6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Harnad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S (2102) </w:t>
      </w:r>
      <w:hyperlink r:id="rId49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How and Why the RCUK Open Access Policy Needs to Be Revised</w:t>
        </w:r>
      </w:hyperlink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. Oxford: </w:t>
      </w:r>
      <w:r w:rsidRPr="00420307">
        <w:rPr>
          <w:rFonts w:ascii="Times New Roman" w:hAnsi="Times New Roman" w:cs="Times New Roman"/>
          <w:i/>
          <w:sz w:val="24"/>
          <w:szCs w:val="24"/>
          <w:lang w:val="en-CA"/>
        </w:rPr>
        <w:t>Digital Research 2012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:rsidR="00420307" w:rsidRDefault="00B008C6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RCUK (2012) </w:t>
      </w:r>
      <w:hyperlink r:id="rId50" w:history="1">
        <w:r w:rsidRPr="00B008C6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Policy on Access to Research Outputs</w:t>
        </w:r>
      </w:hyperlink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B008C6">
        <w:rPr>
          <w:rFonts w:ascii="Times New Roman" w:hAnsi="Times New Roman" w:cs="Times New Roman"/>
          <w:i/>
          <w:sz w:val="24"/>
          <w:szCs w:val="24"/>
          <w:lang w:val="en-CA"/>
        </w:rPr>
        <w:t>RCUK Research Councils UK</w:t>
      </w:r>
    </w:p>
    <w:p w:rsidR="00420307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hyperlink r:id="rId51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ROAR Registry of Open Access Repositories</w:t>
        </w:r>
      </w:hyperlink>
    </w:p>
    <w:p w:rsidR="00420307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hyperlink r:id="rId52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ROARMAP Registry of Open Access Repositories Mandatory Archiving Policies</w:t>
        </w:r>
      </w:hyperlink>
    </w:p>
    <w:p w:rsidR="00D36465" w:rsidRDefault="00420307" w:rsidP="00D36465">
      <w:pPr>
        <w:ind w:left="720"/>
        <w:rPr>
          <w:rFonts w:ascii="Times New Roman" w:hAnsi="Times New Roman" w:cs="Times New Roman"/>
          <w:sz w:val="24"/>
          <w:szCs w:val="24"/>
          <w:lang w:val="en-CA"/>
        </w:rPr>
      </w:pP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Xia, JF; SB Gilchrist, NXP Smith, JA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Kingery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JR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Radecki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, ML Wilhelm, KC Harrison, ML Ashby &amp; AJ </w:t>
      </w:r>
      <w:proofErr w:type="spellStart"/>
      <w:r w:rsidRPr="00420307">
        <w:rPr>
          <w:rFonts w:ascii="Times New Roman" w:hAnsi="Times New Roman" w:cs="Times New Roman"/>
          <w:sz w:val="24"/>
          <w:szCs w:val="24"/>
          <w:lang w:val="en-CA"/>
        </w:rPr>
        <w:t>Mahn</w:t>
      </w:r>
      <w:proofErr w:type="spellEnd"/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(2012) </w:t>
      </w:r>
      <w:hyperlink r:id="rId53" w:history="1">
        <w:r w:rsidRPr="00420307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A Review of Open Access Self-Archiving Mandate Policies</w:t>
        </w:r>
      </w:hyperlink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420307">
        <w:rPr>
          <w:rFonts w:ascii="Times New Roman" w:hAnsi="Times New Roman" w:cs="Times New Roman"/>
          <w:i/>
          <w:sz w:val="24"/>
          <w:szCs w:val="24"/>
          <w:lang w:val="en-CA"/>
        </w:rPr>
        <w:t>Libraries and the Academy</w:t>
      </w:r>
      <w:r w:rsidRPr="00420307">
        <w:rPr>
          <w:rFonts w:ascii="Times New Roman" w:hAnsi="Times New Roman" w:cs="Times New Roman"/>
          <w:sz w:val="24"/>
          <w:szCs w:val="24"/>
          <w:lang w:val="en-CA"/>
        </w:rPr>
        <w:t xml:space="preserve"> 12(1): 85–102</w:t>
      </w:r>
    </w:p>
    <w:p w:rsidR="00D36465" w:rsidRPr="00D36465" w:rsidRDefault="00D36465" w:rsidP="00D36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42553"/>
          <w:sz w:val="24"/>
          <w:szCs w:val="24"/>
          <w:u w:val="single" w:color="042553"/>
        </w:rPr>
      </w:pPr>
    </w:p>
    <w:p w:rsidR="008B3EA9" w:rsidRPr="00D36465" w:rsidRDefault="008B3EA9" w:rsidP="00D36465">
      <w:pPr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sectPr w:rsidR="008B3EA9" w:rsidRPr="00D36465" w:rsidSect="0070518C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F3FB9" w:rsidRDefault="006F3FB9" w:rsidP="000B4CB2">
      <w:pPr>
        <w:spacing w:after="0" w:line="240" w:lineRule="auto"/>
      </w:pPr>
      <w:r>
        <w:separator/>
      </w:r>
    </w:p>
  </w:endnote>
  <w:endnote w:type="continuationSeparator" w:id="1">
    <w:p w:rsidR="006F3FB9" w:rsidRDefault="006F3FB9" w:rsidP="000B4CB2">
      <w:pPr>
        <w:spacing w:after="0" w:line="240" w:lineRule="auto"/>
      </w:pPr>
      <w:r>
        <w:continuationSeparator/>
      </w:r>
    </w:p>
  </w:endnote>
  <w:endnote w:id="2">
    <w:p w:rsidR="006F3FB9" w:rsidRDefault="006F3FB9" w:rsidP="00B6649D">
      <w:pPr>
        <w:pStyle w:val="EndnoteText"/>
        <w:jc w:val="both"/>
        <w:rPr>
          <w:rFonts w:ascii="Times New Roman" w:hAnsi="Times New Roman" w:cs="Times New Roman"/>
        </w:rPr>
      </w:pPr>
      <w:r w:rsidRPr="0097500A">
        <w:rPr>
          <w:rStyle w:val="EndnoteReference"/>
          <w:rFonts w:ascii="Times New Roman" w:hAnsi="Times New Roman" w:cs="Times New Roman"/>
        </w:rPr>
        <w:endnoteRef/>
      </w:r>
      <w:r w:rsidRPr="0097500A">
        <w:rPr>
          <w:rFonts w:ascii="Times New Roman" w:hAnsi="Times New Roman" w:cs="Times New Roman"/>
        </w:rPr>
        <w:t xml:space="preserve"> Deposit rate is calculated as the number of middle-activity days. A low-activity day is 1-9 deposits per day, a middle-activity day is 10-99 deposits per day, and a high-activity day is 100+ deposits per day. ROAR experience has shown that the middle-activity range corresponds to an active single institutional repository’s activity level, whereas the high-activity range corresponds </w:t>
      </w:r>
    </w:p>
    <w:p w:rsidR="006F3FB9" w:rsidRPr="0097500A" w:rsidRDefault="006F3FB9" w:rsidP="00B6649D">
      <w:pPr>
        <w:pStyle w:val="EndnoteText"/>
        <w:jc w:val="both"/>
        <w:rPr>
          <w:rFonts w:ascii="Times New Roman" w:hAnsi="Times New Roman" w:cs="Times New Roman"/>
        </w:rPr>
      </w:pPr>
      <w:r w:rsidRPr="0097500A">
        <w:rPr>
          <w:rFonts w:ascii="Times New Roman" w:hAnsi="Times New Roman" w:cs="Times New Roman"/>
        </w:rPr>
        <w:t>to central (multi-institutional) repository activity levels. Central repositories were not included in this study of institutional mandates.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F3FB9" w:rsidRDefault="006F3FB9" w:rsidP="000B4CB2">
      <w:pPr>
        <w:spacing w:after="0" w:line="240" w:lineRule="auto"/>
      </w:pPr>
      <w:r>
        <w:separator/>
      </w:r>
    </w:p>
  </w:footnote>
  <w:footnote w:type="continuationSeparator" w:id="1">
    <w:p w:rsidR="006F3FB9" w:rsidRDefault="006F3FB9" w:rsidP="000B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EC5DA9"/>
    <w:multiLevelType w:val="hybridMultilevel"/>
    <w:tmpl w:val="045E01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D5352"/>
    <w:multiLevelType w:val="hybridMultilevel"/>
    <w:tmpl w:val="EA0442EE"/>
    <w:lvl w:ilvl="0" w:tplc="B7B2C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552D8"/>
    <w:multiLevelType w:val="hybridMultilevel"/>
    <w:tmpl w:val="04D6D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72B8A"/>
    <w:multiLevelType w:val="hybridMultilevel"/>
    <w:tmpl w:val="61DC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C0257"/>
    <w:multiLevelType w:val="hybridMultilevel"/>
    <w:tmpl w:val="70B2F21E"/>
    <w:lvl w:ilvl="0" w:tplc="8F44A84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E428C"/>
    <w:multiLevelType w:val="hybridMultilevel"/>
    <w:tmpl w:val="739EE874"/>
    <w:lvl w:ilvl="0" w:tplc="B7B2CF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178"/>
    <w:rsid w:val="000042C2"/>
    <w:rsid w:val="0000697E"/>
    <w:rsid w:val="00013A50"/>
    <w:rsid w:val="00032FBF"/>
    <w:rsid w:val="00075D40"/>
    <w:rsid w:val="00081C4A"/>
    <w:rsid w:val="000B2B13"/>
    <w:rsid w:val="000B4CB2"/>
    <w:rsid w:val="000B55FE"/>
    <w:rsid w:val="000D5B4B"/>
    <w:rsid w:val="001010A3"/>
    <w:rsid w:val="001151F9"/>
    <w:rsid w:val="00117350"/>
    <w:rsid w:val="0013204E"/>
    <w:rsid w:val="001444F9"/>
    <w:rsid w:val="00151BBD"/>
    <w:rsid w:val="001538BB"/>
    <w:rsid w:val="00154108"/>
    <w:rsid w:val="00155AA0"/>
    <w:rsid w:val="00163046"/>
    <w:rsid w:val="00163733"/>
    <w:rsid w:val="00182495"/>
    <w:rsid w:val="00182BFF"/>
    <w:rsid w:val="001A1338"/>
    <w:rsid w:val="001A348B"/>
    <w:rsid w:val="001A5641"/>
    <w:rsid w:val="001F7788"/>
    <w:rsid w:val="0022056A"/>
    <w:rsid w:val="00272096"/>
    <w:rsid w:val="00276A2F"/>
    <w:rsid w:val="00285A10"/>
    <w:rsid w:val="0029023F"/>
    <w:rsid w:val="002C53D5"/>
    <w:rsid w:val="002E6616"/>
    <w:rsid w:val="0030112F"/>
    <w:rsid w:val="003276B2"/>
    <w:rsid w:val="003554E0"/>
    <w:rsid w:val="00370767"/>
    <w:rsid w:val="003C278A"/>
    <w:rsid w:val="003E575D"/>
    <w:rsid w:val="003E7015"/>
    <w:rsid w:val="003F0714"/>
    <w:rsid w:val="0040163A"/>
    <w:rsid w:val="00420307"/>
    <w:rsid w:val="00423A1E"/>
    <w:rsid w:val="004356CB"/>
    <w:rsid w:val="004365D3"/>
    <w:rsid w:val="004423BC"/>
    <w:rsid w:val="00477B79"/>
    <w:rsid w:val="00491AEB"/>
    <w:rsid w:val="004932D0"/>
    <w:rsid w:val="004978A0"/>
    <w:rsid w:val="004A384E"/>
    <w:rsid w:val="004D5A71"/>
    <w:rsid w:val="004F2D2E"/>
    <w:rsid w:val="004F7ED7"/>
    <w:rsid w:val="00553314"/>
    <w:rsid w:val="0056591A"/>
    <w:rsid w:val="00570EA3"/>
    <w:rsid w:val="005C7FA7"/>
    <w:rsid w:val="00612BB8"/>
    <w:rsid w:val="00617E2F"/>
    <w:rsid w:val="006366D5"/>
    <w:rsid w:val="00693AC5"/>
    <w:rsid w:val="006D1092"/>
    <w:rsid w:val="006D3BD7"/>
    <w:rsid w:val="006F3FB9"/>
    <w:rsid w:val="00705069"/>
    <w:rsid w:val="0070518C"/>
    <w:rsid w:val="007064EF"/>
    <w:rsid w:val="007232B6"/>
    <w:rsid w:val="007351EF"/>
    <w:rsid w:val="0076202B"/>
    <w:rsid w:val="00771691"/>
    <w:rsid w:val="00777FA7"/>
    <w:rsid w:val="007857A3"/>
    <w:rsid w:val="007B4C07"/>
    <w:rsid w:val="007B7980"/>
    <w:rsid w:val="007F2D04"/>
    <w:rsid w:val="008022BE"/>
    <w:rsid w:val="00806F15"/>
    <w:rsid w:val="00826F69"/>
    <w:rsid w:val="00835C2C"/>
    <w:rsid w:val="008476A2"/>
    <w:rsid w:val="008703A7"/>
    <w:rsid w:val="008843AE"/>
    <w:rsid w:val="0088685B"/>
    <w:rsid w:val="008B3EA9"/>
    <w:rsid w:val="008B4CF6"/>
    <w:rsid w:val="008C58E4"/>
    <w:rsid w:val="008D6FD4"/>
    <w:rsid w:val="008E1178"/>
    <w:rsid w:val="008E16E2"/>
    <w:rsid w:val="00934BF5"/>
    <w:rsid w:val="009409F0"/>
    <w:rsid w:val="009418B2"/>
    <w:rsid w:val="009427B8"/>
    <w:rsid w:val="00960CD5"/>
    <w:rsid w:val="00962F9F"/>
    <w:rsid w:val="00973A6D"/>
    <w:rsid w:val="0097500A"/>
    <w:rsid w:val="009753EF"/>
    <w:rsid w:val="00977DC7"/>
    <w:rsid w:val="00990B1D"/>
    <w:rsid w:val="009E5B0C"/>
    <w:rsid w:val="009F343B"/>
    <w:rsid w:val="00A405F7"/>
    <w:rsid w:val="00AB697F"/>
    <w:rsid w:val="00AE4342"/>
    <w:rsid w:val="00AE4B79"/>
    <w:rsid w:val="00AE6429"/>
    <w:rsid w:val="00AE7200"/>
    <w:rsid w:val="00B008C6"/>
    <w:rsid w:val="00B26863"/>
    <w:rsid w:val="00B26EE5"/>
    <w:rsid w:val="00B27DD0"/>
    <w:rsid w:val="00B46159"/>
    <w:rsid w:val="00B57253"/>
    <w:rsid w:val="00B6649D"/>
    <w:rsid w:val="00BA078A"/>
    <w:rsid w:val="00BD202D"/>
    <w:rsid w:val="00BE4415"/>
    <w:rsid w:val="00C13AA5"/>
    <w:rsid w:val="00C2783F"/>
    <w:rsid w:val="00C43531"/>
    <w:rsid w:val="00C563EF"/>
    <w:rsid w:val="00C56E86"/>
    <w:rsid w:val="00C61B01"/>
    <w:rsid w:val="00C65E4C"/>
    <w:rsid w:val="00C74E44"/>
    <w:rsid w:val="00CD5C9F"/>
    <w:rsid w:val="00CF4DB5"/>
    <w:rsid w:val="00D06C6A"/>
    <w:rsid w:val="00D177E2"/>
    <w:rsid w:val="00D36465"/>
    <w:rsid w:val="00D40ED0"/>
    <w:rsid w:val="00D5386A"/>
    <w:rsid w:val="00D92080"/>
    <w:rsid w:val="00D97D53"/>
    <w:rsid w:val="00DA0591"/>
    <w:rsid w:val="00DC39BD"/>
    <w:rsid w:val="00DE7672"/>
    <w:rsid w:val="00DF0532"/>
    <w:rsid w:val="00DF75F5"/>
    <w:rsid w:val="00E100F8"/>
    <w:rsid w:val="00E23696"/>
    <w:rsid w:val="00E33DD7"/>
    <w:rsid w:val="00E46B61"/>
    <w:rsid w:val="00E66543"/>
    <w:rsid w:val="00E91F50"/>
    <w:rsid w:val="00E94474"/>
    <w:rsid w:val="00EF7B96"/>
    <w:rsid w:val="00F003C6"/>
    <w:rsid w:val="00F130A2"/>
    <w:rsid w:val="00F22846"/>
    <w:rsid w:val="00F2423B"/>
    <w:rsid w:val="00F602FF"/>
    <w:rsid w:val="00FA610E"/>
    <w:rsid w:val="00FF0345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Strong" w:uiPriority="22" w:qFormat="1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4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62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278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78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C27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42C2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42C2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0042C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4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6A2"/>
  </w:style>
  <w:style w:type="paragraph" w:styleId="Footer">
    <w:name w:val="footer"/>
    <w:basedOn w:val="Normal"/>
    <w:link w:val="FooterChar"/>
    <w:uiPriority w:val="99"/>
    <w:unhideWhenUsed/>
    <w:rsid w:val="00847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A2"/>
  </w:style>
  <w:style w:type="character" w:styleId="Hyperlink">
    <w:name w:val="Hyperlink"/>
    <w:basedOn w:val="DefaultParagraphFont"/>
    <w:uiPriority w:val="99"/>
    <w:unhideWhenUsed/>
    <w:rsid w:val="008B3E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0767"/>
    <w:rPr>
      <w:b/>
      <w:bCs/>
    </w:rPr>
  </w:style>
  <w:style w:type="character" w:styleId="FollowedHyperlink">
    <w:name w:val="FollowedHyperlink"/>
    <w:basedOn w:val="DefaultParagraphFont"/>
    <w:rsid w:val="00013A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C7FA7"/>
    <w:pPr>
      <w:spacing w:beforeLines="1" w:afterLines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4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oarmap.eprints.org/75/1/harvtemp.pdf" TargetMode="External"/><Relationship Id="rId14" Type="http://schemas.openxmlformats.org/officeDocument/2006/relationships/hyperlink" Target="http://roarmap.eprints.org/view/type/" TargetMode="External"/><Relationship Id="rId15" Type="http://schemas.openxmlformats.org/officeDocument/2006/relationships/hyperlink" Target="http://roar.eprints.org/cgi/roar_search/advanced?location_country=&amp;software=&amp;type=institutional&amp;order=-recordcount%2F-date" TargetMode="External"/><Relationship Id="rId16" Type="http://schemas.openxmlformats.org/officeDocument/2006/relationships/hyperlink" Target="http://roar.eprints.org/cgi/roar_search/advanced?location_country=&amp;software=&amp;type=institutional&amp;order=-activity_medium%2F-date" TargetMode="External"/><Relationship Id="rId17" Type="http://schemas.openxmlformats.org/officeDocument/2006/relationships/hyperlink" Target="http://www.webometrics.info/en/world" TargetMode="External"/><Relationship Id="rId18" Type="http://schemas.openxmlformats.org/officeDocument/2006/relationships/hyperlink" Target="http://roarmap.eprints.org/" TargetMode="External"/><Relationship Id="rId19" Type="http://schemas.openxmlformats.org/officeDocument/2006/relationships/hyperlink" Target="http://roarmap.eprints.org/cgi/search/archive/advanced?screen=Search&amp;dataset=archive&amp;eprintid=&amp;organisation_merge=ALL&amp;organisation=&amp;keywords_merge=ALL&amp;keywords=&amp;datestamp=&amp;type=institutional_mandate&amp;satisfyall=ALL&amp;order=-datestamp&amp;_action_search=Search" TargetMode="External"/><Relationship Id="rId50" Type="http://schemas.openxmlformats.org/officeDocument/2006/relationships/hyperlink" Target="http://www.rcuk.ac.uk/documents/documents/RCUK%20_Policy_on_Access_to_Research_Outputs.pdf" TargetMode="External"/><Relationship Id="rId51" Type="http://schemas.openxmlformats.org/officeDocument/2006/relationships/hyperlink" Target="http://roar.eprints.org" TargetMode="External"/><Relationship Id="rId52" Type="http://schemas.openxmlformats.org/officeDocument/2006/relationships/hyperlink" Target="http://roarmap.eprints.org" TargetMode="External"/><Relationship Id="rId53" Type="http://schemas.openxmlformats.org/officeDocument/2006/relationships/hyperlink" Target="http://www.eisenhower.press.jhu.edu/journals/portal_libraries_and_the_academy/portal_pre_print/archive/articles/12.1xia.pdf" TargetMode="Externa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http://openaccess.eprints.org/index.php?/archives/864-Integrating-Institutional-and-Funder-Open-Access-Mandates-Belgian-Model.html" TargetMode="External"/><Relationship Id="rId41" Type="http://schemas.openxmlformats.org/officeDocument/2006/relationships/hyperlink" Target="http://openaccess.eprints.org/index.php?/archives/853-The-Liege-ORBi-model-Mandatory-policy-without-rights-retention-but-linked-to-assessment-procedures.html" TargetMode="External"/><Relationship Id="rId42" Type="http://schemas.openxmlformats.org/officeDocument/2006/relationships/hyperlink" Target="http://openaccess.eprints.org/index.php?/archives/136-guid.html" TargetMode="External"/><Relationship Id="rId43" Type="http://schemas.openxmlformats.org/officeDocument/2006/relationships/hyperlink" Target="http://openaccess.eprints.org/index.php?/archives/494-guid.html" TargetMode="External"/><Relationship Id="rId44" Type="http://schemas.openxmlformats.org/officeDocument/2006/relationships/hyperlink" Target="http://www.researchinfonet.org/wp-content/uploads/2012/06/Finch-Group-report-FINAL-VERSION.pdf" TargetMode="External"/><Relationship Id="rId45" Type="http://schemas.openxmlformats.org/officeDocument/2006/relationships/hyperlink" Target="http://eprints.soton.ac.uk/340294/" TargetMode="External"/><Relationship Id="rId46" Type="http://schemas.openxmlformats.org/officeDocument/2006/relationships/hyperlink" Target="http://dx.plos.org/10.1371/journal.pone.0013636" TargetMode="External"/><Relationship Id="rId47" Type="http://schemas.openxmlformats.org/officeDocument/2006/relationships/hyperlink" Target="http://dx.plos.org/10.1371/journal.pone.0013636" TargetMode="External"/><Relationship Id="rId48" Type="http://schemas.openxmlformats.org/officeDocument/2006/relationships/hyperlink" Target="http://www.dlib.org/dlib/september12/harnad/09harnad.html" TargetMode="External"/><Relationship Id="rId49" Type="http://schemas.openxmlformats.org/officeDocument/2006/relationships/hyperlink" Target="http://eprints.soton.ac.uk/342647/1/Oxtalk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esearchinfonet.org/wp-content/uploads/2012/06/Finch-Group-report-FINAL-VERSION.pdf" TargetMode="External"/><Relationship Id="rId9" Type="http://schemas.openxmlformats.org/officeDocument/2006/relationships/hyperlink" Target="http://roarmap.eprints.org/56/" TargetMode="External"/><Relationship Id="rId30" Type="http://schemas.openxmlformats.org/officeDocument/2006/relationships/hyperlink" Target="http://www.nature.com/news/britain-aims-for-broad-open-access-1.10846" TargetMode="External"/><Relationship Id="rId31" Type="http://schemas.openxmlformats.org/officeDocument/2006/relationships/image" Target="media/image3.png"/><Relationship Id="rId32" Type="http://schemas.openxmlformats.org/officeDocument/2006/relationships/hyperlink" Target="http://www.plosone.org/article/info:doi/10.1371/journal.pone.0013636?imageURI=info:doi/10.1371/journal.pone.0013636.g001" TargetMode="External"/><Relationship Id="rId33" Type="http://schemas.openxmlformats.org/officeDocument/2006/relationships/image" Target="media/image4.jpeg"/><Relationship Id="rId34" Type="http://schemas.openxmlformats.org/officeDocument/2006/relationships/hyperlink" Target="http://orbi.ulg.ac.be/?locale=en" TargetMode="External"/><Relationship Id="rId35" Type="http://schemas.openxmlformats.org/officeDocument/2006/relationships/hyperlink" Target="http://roar.eprints.org/985/" TargetMode="External"/><Relationship Id="rId36" Type="http://schemas.openxmlformats.org/officeDocument/2006/relationships/hyperlink" Target="http://roar.eprints.org/cgi/roar_search/advanced?location_country=&amp;software=&amp;type=institutional&amp;order=-activity_medium%2F-date" TargetMode="External"/><Relationship Id="rId37" Type="http://schemas.openxmlformats.org/officeDocument/2006/relationships/hyperlink" Target="http://roarmap.eprints.org/56/" TargetMode="External"/><Relationship Id="rId38" Type="http://schemas.openxmlformats.org/officeDocument/2006/relationships/hyperlink" Target="http://roar.eprints.org" TargetMode="External"/><Relationship Id="rId39" Type="http://schemas.openxmlformats.org/officeDocument/2006/relationships/hyperlink" Target="http://openaccess.eprints.org/index.php?/archives/369-guid.html" TargetMode="External"/><Relationship Id="rId20" Type="http://schemas.openxmlformats.org/officeDocument/2006/relationships/hyperlink" Target="http://roarmap.eprints.org/cgi/search/archive/advanced?screen=Search&amp;dataset=archive&amp;eprintid=&amp;organisation_merge=ALL&amp;organisation=&amp;keywords_merge=ALL&amp;keywords=&amp;datestamp=&amp;type=institutional_mandate&amp;satisfyall=ALL&amp;order=-datestamp&amp;_action_search=Search" TargetMode="External"/><Relationship Id="rId21" Type="http://schemas.openxmlformats.org/officeDocument/2006/relationships/hyperlink" Target="http://roar.eprints.org" TargetMode="External"/><Relationship Id="rId22" Type="http://schemas.openxmlformats.org/officeDocument/2006/relationships/hyperlink" Target="http://roar.eprints.org/cgi/roar_search/advanced?location_country=&amp;software=&amp;type=institutional&amp;order=date%2Ftitle" TargetMode="External"/><Relationship Id="rId23" Type="http://schemas.openxmlformats.org/officeDocument/2006/relationships/hyperlink" Target="http://roar.eprints.org/cgi/roar_search/advanced?location_country=&amp;software=&amp;type=institutional&amp;order=-recordcount%2F-date" TargetMode="External"/><Relationship Id="rId24" Type="http://schemas.openxmlformats.org/officeDocument/2006/relationships/hyperlink" Target="http://roar.eprints.org/cgi/roar_search/advanced?location_country=&amp;software=&amp;type=institutional&amp;order=-activity_medium%2F-date" TargetMode="External"/><Relationship Id="rId25" Type="http://schemas.openxmlformats.org/officeDocument/2006/relationships/hyperlink" Target="http://thomsonreuters.com/products_services/science/science_products/a-z/isi_web_of_knowledge/" TargetMode="External"/><Relationship Id="rId26" Type="http://schemas.openxmlformats.org/officeDocument/2006/relationships/hyperlink" Target="http://www.webometrics.info/" TargetMode="External"/><Relationship Id="rId27" Type="http://schemas.openxmlformats.org/officeDocument/2006/relationships/image" Target="media/image1.png"/><Relationship Id="rId28" Type="http://schemas.openxmlformats.org/officeDocument/2006/relationships/hyperlink" Target="http://eprints.soton.ac.uk/340294/" TargetMode="External"/><Relationship Id="rId29" Type="http://schemas.openxmlformats.org/officeDocument/2006/relationships/image" Target="media/image2.png"/><Relationship Id="rId10" Type="http://schemas.openxmlformats.org/officeDocument/2006/relationships/hyperlink" Target="http://www.rcuk.ac.uk/documents/documents/RCUK%20_Policy_on_Access_to_Research_Outputs.pdf" TargetMode="External"/><Relationship Id="rId11" Type="http://schemas.openxmlformats.org/officeDocument/2006/relationships/hyperlink" Target="http://roarmap.eprints.org/56/" TargetMode="External"/><Relationship Id="rId12" Type="http://schemas.openxmlformats.org/officeDocument/2006/relationships/hyperlink" Target="http://roarmap.eprints.org/75/1/harvtem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AC76B-76D4-4F00-AAA5-D7669231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1975</Words>
  <Characters>11263</Characters>
  <Application>Microsoft Word 12.0.0</Application>
  <DocSecurity>0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YG</Company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</dc:creator>
  <cp:keywords/>
  <dc:description/>
  <cp:lastModifiedBy>Stevan Harnad</cp:lastModifiedBy>
  <cp:revision>10</cp:revision>
  <dcterms:created xsi:type="dcterms:W3CDTF">2012-10-26T00:46:00Z</dcterms:created>
  <dcterms:modified xsi:type="dcterms:W3CDTF">2012-10-26T14:57:00Z</dcterms:modified>
</cp:coreProperties>
</file>