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227B5" w14:textId="77777777" w:rsidR="009101D8" w:rsidRPr="000B6432" w:rsidRDefault="003B191F" w:rsidP="00783484">
      <w:pPr>
        <w:pStyle w:val="01PaperTitle"/>
      </w:pPr>
      <w:r>
        <w:t>Anion r</w:t>
      </w:r>
      <w:r w:rsidR="00BD08A7">
        <w:t>ecognition and transport properties of sulfamide</w:t>
      </w:r>
      <w:r w:rsidR="00FD5BDF">
        <w:t xml:space="preserve">-, phosphoric triamide- </w:t>
      </w:r>
      <w:r w:rsidR="00BD08A7">
        <w:t>and thiophosphoric triamide</w:t>
      </w:r>
      <w:r w:rsidR="00FD5BDF">
        <w:t>-</w:t>
      </w:r>
      <w:r w:rsidR="00BD08A7">
        <w:t>based receptors</w:t>
      </w:r>
    </w:p>
    <w:p w14:paraId="009A324F" w14:textId="77777777" w:rsidR="009101D8" w:rsidRPr="000B6432" w:rsidRDefault="00BD08A7" w:rsidP="009101D8">
      <w:pPr>
        <w:pStyle w:val="02PaperAuthors"/>
      </w:pPr>
      <w:r>
        <w:t>Philippa B. Cranwell,</w:t>
      </w:r>
      <w:r w:rsidR="009101D8">
        <w:rPr>
          <w:i/>
          <w:vertAlign w:val="superscript"/>
        </w:rPr>
        <w:t>a</w:t>
      </w:r>
      <w:r w:rsidR="009101D8">
        <w:t xml:space="preserve"> </w:t>
      </w:r>
      <w:r>
        <w:t>Jennifer R. Hiscock</w:t>
      </w:r>
      <w:r w:rsidR="0050565E">
        <w:t>,</w:t>
      </w:r>
      <w:r w:rsidR="009101D8">
        <w:rPr>
          <w:i/>
          <w:vertAlign w:val="superscript"/>
        </w:rPr>
        <w:t>a</w:t>
      </w:r>
      <w:r w:rsidR="009101D8">
        <w:t xml:space="preserve"> </w:t>
      </w:r>
      <w:r w:rsidR="00DC71C1">
        <w:t>Cally J.E. Haynes,</w:t>
      </w:r>
      <w:r w:rsidR="00DC71C1">
        <w:rPr>
          <w:i/>
          <w:vertAlign w:val="superscript"/>
        </w:rPr>
        <w:t>a</w:t>
      </w:r>
      <w:r w:rsidR="00DC71C1">
        <w:t xml:space="preserve"> </w:t>
      </w:r>
      <w:r w:rsidR="0050565E">
        <w:t>Mark E. Light,</w:t>
      </w:r>
      <w:r w:rsidR="0050565E">
        <w:rPr>
          <w:i/>
          <w:vertAlign w:val="superscript"/>
        </w:rPr>
        <w:t>a</w:t>
      </w:r>
      <w:r w:rsidR="0050565E">
        <w:t xml:space="preserve"> Neil J. Wells</w:t>
      </w:r>
      <w:r w:rsidR="0050565E">
        <w:rPr>
          <w:i/>
          <w:vertAlign w:val="superscript"/>
        </w:rPr>
        <w:t>a</w:t>
      </w:r>
      <w:r w:rsidR="0050565E">
        <w:t xml:space="preserve"> </w:t>
      </w:r>
      <w:r w:rsidR="009101D8">
        <w:t xml:space="preserve">and </w:t>
      </w:r>
      <w:r>
        <w:t>Philip A. Gale</w:t>
      </w:r>
      <w:r>
        <w:rPr>
          <w:i/>
          <w:vertAlign w:val="superscript"/>
        </w:rPr>
        <w:t>a*</w:t>
      </w:r>
    </w:p>
    <w:p w14:paraId="3688B560" w14:textId="77777777" w:rsidR="009101D8" w:rsidRPr="000B6432" w:rsidRDefault="00336344" w:rsidP="009101D8">
      <w:pPr>
        <w:pStyle w:val="L1Receivedaccepteddates"/>
      </w:pPr>
      <w:r>
        <w:t xml:space="preserve">Received (in XXX, XXX) </w:t>
      </w:r>
      <w:r w:rsidR="00677018">
        <w:t>Xth</w:t>
      </w:r>
      <w:r>
        <w:t xml:space="preserve"> </w:t>
      </w:r>
      <w:r w:rsidR="00677018">
        <w:t>XXXXXXXXX</w:t>
      </w:r>
      <w:r>
        <w:t xml:space="preserve"> 20</w:t>
      </w:r>
      <w:r w:rsidR="00DD73E8">
        <w:t>X</w:t>
      </w:r>
      <w:r w:rsidR="00677018">
        <w:t>X</w:t>
      </w:r>
      <w:r>
        <w:t xml:space="preserve">, </w:t>
      </w:r>
      <w:r w:rsidR="00512302">
        <w:t>Accept</w:t>
      </w:r>
      <w:r>
        <w:t xml:space="preserve">ed </w:t>
      </w:r>
      <w:r w:rsidR="00677018">
        <w:t>Xth XXXXXXXXX 20</w:t>
      </w:r>
      <w:r w:rsidR="00DD73E8">
        <w:t>X</w:t>
      </w:r>
      <w:r w:rsidR="00677018">
        <w:t>X</w:t>
      </w:r>
    </w:p>
    <w:p w14:paraId="35A2F1F4" w14:textId="77777777" w:rsidR="009101D8" w:rsidRDefault="009101D8" w:rsidP="009101D8">
      <w:pPr>
        <w:pStyle w:val="L2DOI"/>
      </w:pPr>
      <w:r w:rsidRPr="000B6432">
        <w:t>DOI: 10.1039/b</w:t>
      </w:r>
      <w:r w:rsidR="00336344">
        <w:t>000000x</w:t>
      </w:r>
    </w:p>
    <w:p w14:paraId="4728E6EC" w14:textId="77777777" w:rsidR="00F41228" w:rsidRDefault="00F41228" w:rsidP="003F4A2D">
      <w:pPr>
        <w:pStyle w:val="08ArticleText"/>
        <w:sectPr w:rsidR="00F41228" w:rsidSect="0090472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5593" w:code="123"/>
          <w:pgMar w:top="1021" w:right="907" w:bottom="1021" w:left="1077" w:header="227" w:footer="624" w:gutter="0"/>
          <w:lnNumType w:countBy="5" w:distance="57"/>
          <w:pgNumType w:start="1"/>
          <w:cols w:space="397"/>
          <w:titlePg/>
          <w:docGrid w:linePitch="360"/>
        </w:sectPr>
      </w:pPr>
    </w:p>
    <w:p w14:paraId="072FB7F1" w14:textId="65B56946" w:rsidR="001B4549" w:rsidRPr="005654E1" w:rsidRDefault="007E2EC7" w:rsidP="001B4549">
      <w:pPr>
        <w:pStyle w:val="03Abstract"/>
        <w:rPr>
          <w:b w:val="0"/>
        </w:rPr>
      </w:pPr>
      <w:r>
        <w:lastRenderedPageBreak/>
        <w:t xml:space="preserve">Studies of sulfamide, phosphoric triamide and thiophosphoric triamide-based organocatalysts show that the phosphorus containing systems are effective new hydrogen </w:t>
      </w:r>
      <w:r w:rsidR="000B4093">
        <w:t xml:space="preserve">bonding </w:t>
      </w:r>
      <w:r>
        <w:t>motifs for the recognition and transport of anions</w:t>
      </w:r>
      <w:r w:rsidR="001B4549">
        <w:t>.</w:t>
      </w:r>
    </w:p>
    <w:p w14:paraId="4CB0419C" w14:textId="77777777" w:rsidR="0021638D" w:rsidRDefault="00102323" w:rsidP="003F4A2D">
      <w:pPr>
        <w:pStyle w:val="08ArticleText"/>
      </w:pPr>
      <w:r>
        <w:t>Many of the hydrogen bonding motifs used in synthetic anion receptor compounds</w:t>
      </w:r>
      <w:r w:rsidR="00F27EA6">
        <w:t xml:space="preserve"> </w:t>
      </w:r>
      <w:r>
        <w:t>have also proven effective as components of organocatalysts.</w:t>
      </w:r>
      <w:r w:rsidR="00E92835" w:rsidRPr="00E92835">
        <w:rPr>
          <w:vertAlign w:val="superscript"/>
        </w:rPr>
        <w:t>1</w:t>
      </w:r>
      <w:r w:rsidR="00F27EA6">
        <w:t xml:space="preserve"> </w:t>
      </w:r>
      <w:r>
        <w:t>For example</w:t>
      </w:r>
      <w:r w:rsidR="00F27EA6">
        <w:t xml:space="preserve"> </w:t>
      </w:r>
      <w:r>
        <w:t xml:space="preserve">compounds containing </w:t>
      </w:r>
      <w:r w:rsidR="00F27EA6">
        <w:t>thiourea</w:t>
      </w:r>
      <w:r w:rsidR="00E92835">
        <w:t>,</w:t>
      </w:r>
      <w:r w:rsidR="00E92835" w:rsidRPr="00E92835">
        <w:rPr>
          <w:vertAlign w:val="superscript"/>
        </w:rPr>
        <w:t>2</w:t>
      </w:r>
      <w:r>
        <w:t xml:space="preserve"> squaramide</w:t>
      </w:r>
      <w:r w:rsidR="00E92835" w:rsidRPr="00E92835">
        <w:rPr>
          <w:vertAlign w:val="superscript"/>
        </w:rPr>
        <w:t>3</w:t>
      </w:r>
      <w:r>
        <w:t xml:space="preserve"> and sulfonamide</w:t>
      </w:r>
      <w:r w:rsidR="00E92835" w:rsidRPr="00E92835">
        <w:rPr>
          <w:vertAlign w:val="superscript"/>
        </w:rPr>
        <w:t>4</w:t>
      </w:r>
      <w:r w:rsidR="00E92835">
        <w:t xml:space="preserve"> </w:t>
      </w:r>
      <w:r>
        <w:t>groups have been shown to be effective anion receptors and then subsequently shown to function as</w:t>
      </w:r>
      <w:r w:rsidR="00E92835">
        <w:t xml:space="preserve"> organocatalysts</w:t>
      </w:r>
      <w:r>
        <w:t xml:space="preserve"> for a range of reactions</w:t>
      </w:r>
      <w:r w:rsidR="00E92835">
        <w:t xml:space="preserve">.  Recently Shea and co-workers reported </w:t>
      </w:r>
      <w:r>
        <w:t>that</w:t>
      </w:r>
      <w:r w:rsidR="00E92835">
        <w:t xml:space="preserve"> compounds </w:t>
      </w:r>
      <w:r w:rsidR="00E92835" w:rsidRPr="00C36969">
        <w:rPr>
          <w:b/>
        </w:rPr>
        <w:t>1</w:t>
      </w:r>
      <w:r w:rsidR="00E92835">
        <w:t xml:space="preserve"> – </w:t>
      </w:r>
      <w:r w:rsidR="00E92835" w:rsidRPr="00C36969">
        <w:rPr>
          <w:b/>
        </w:rPr>
        <w:t xml:space="preserve">3 </w:t>
      </w:r>
      <w:r w:rsidR="000E194F">
        <w:t>catalyse Friedel-</w:t>
      </w:r>
      <w:r w:rsidR="00E92835">
        <w:t>Crafts and Baylis-Hillman reactions</w:t>
      </w:r>
      <w:r w:rsidR="005D5ED9">
        <w:t>.</w:t>
      </w:r>
      <w:r w:rsidR="00E92835" w:rsidRPr="00E92835">
        <w:rPr>
          <w:vertAlign w:val="superscript"/>
        </w:rPr>
        <w:t>5</w:t>
      </w:r>
      <w:r w:rsidR="00EF4935">
        <w:rPr>
          <w:vertAlign w:val="superscript"/>
        </w:rPr>
        <w:t>,6</w:t>
      </w:r>
      <w:r w:rsidR="001B4549">
        <w:t xml:space="preserve"> </w:t>
      </w:r>
      <w:r w:rsidR="00E92835">
        <w:t xml:space="preserve"> </w:t>
      </w:r>
      <w:r w:rsidR="001B4549">
        <w:t xml:space="preserve"> </w:t>
      </w:r>
      <w:r w:rsidR="00DF3A65">
        <w:t xml:space="preserve">As part of our </w:t>
      </w:r>
      <w:r>
        <w:t>work on transmembrane anion transport</w:t>
      </w:r>
      <w:r w:rsidR="00BD4B9F">
        <w:t>,</w:t>
      </w:r>
      <w:r w:rsidR="00EF4935">
        <w:rPr>
          <w:vertAlign w:val="superscript"/>
        </w:rPr>
        <w:t>7</w:t>
      </w:r>
      <w:r w:rsidR="00BD4B9F">
        <w:rPr>
          <w:vertAlign w:val="superscript"/>
        </w:rPr>
        <w:t xml:space="preserve"> </w:t>
      </w:r>
      <w:r w:rsidR="00901454">
        <w:t>w</w:t>
      </w:r>
      <w:r w:rsidR="00E92835">
        <w:t xml:space="preserve">e </w:t>
      </w:r>
      <w:r w:rsidR="00C36969">
        <w:t>wished</w:t>
      </w:r>
      <w:r w:rsidR="00E92835">
        <w:t xml:space="preserve"> to </w:t>
      </w:r>
      <w:r w:rsidR="00C36969">
        <w:t>explore</w:t>
      </w:r>
      <w:r w:rsidR="00E92835">
        <w:t xml:space="preserve"> the anion recognition </w:t>
      </w:r>
      <w:r w:rsidR="008259B7">
        <w:t xml:space="preserve">and transport </w:t>
      </w:r>
      <w:r w:rsidR="00E92835">
        <w:t xml:space="preserve">properties of </w:t>
      </w:r>
      <w:r>
        <w:t>these hydrogen bonding arrays as to the best of our knowledge these classes of compound have not previously been employed as anion receptors or transporters</w:t>
      </w:r>
      <w:r w:rsidR="00BD4B9F">
        <w:t>.</w:t>
      </w:r>
      <w:r>
        <w:t xml:space="preserve"> </w:t>
      </w:r>
      <w:r w:rsidR="0043433B">
        <w:t>C</w:t>
      </w:r>
      <w:r w:rsidR="00E92835">
        <w:t xml:space="preserve">ompounds </w:t>
      </w:r>
      <w:r w:rsidR="00E92835" w:rsidRPr="00C36969">
        <w:rPr>
          <w:b/>
        </w:rPr>
        <w:t>2</w:t>
      </w:r>
      <w:r w:rsidR="00E92835">
        <w:t xml:space="preserve"> and </w:t>
      </w:r>
      <w:r w:rsidR="00E92835" w:rsidRPr="00C36969">
        <w:rPr>
          <w:b/>
        </w:rPr>
        <w:t>3</w:t>
      </w:r>
      <w:r w:rsidR="00E92835">
        <w:t xml:space="preserve"> could be regarded as three</w:t>
      </w:r>
      <w:r w:rsidR="00442F7B">
        <w:t>-</w:t>
      </w:r>
      <w:r w:rsidR="00E92835">
        <w:t xml:space="preserve">dimensional analogues of ureas </w:t>
      </w:r>
      <w:r w:rsidR="00C36969">
        <w:t>or</w:t>
      </w:r>
      <w:r w:rsidR="00E92835">
        <w:t xml:space="preserve"> thioureas and may </w:t>
      </w:r>
      <w:r>
        <w:t>interact with</w:t>
      </w:r>
      <w:r w:rsidR="00E92835">
        <w:t xml:space="preserve"> oxo-anions </w:t>
      </w:r>
      <w:r>
        <w:t>through multiple hydrogen bonds</w:t>
      </w:r>
      <w:r w:rsidR="0043433B">
        <w:t xml:space="preserve"> thus displaying interesting selectivity</w:t>
      </w:r>
      <w:r w:rsidR="00442F7B">
        <w:t>.</w:t>
      </w:r>
    </w:p>
    <w:p w14:paraId="20D1EC31" w14:textId="77777777" w:rsidR="0021638D" w:rsidRDefault="0021638D" w:rsidP="00A537B3">
      <w:pPr>
        <w:pStyle w:val="G1aFigureImage"/>
      </w:pPr>
      <w:r>
        <w:rPr>
          <w:noProof/>
          <w:lang w:val="en-US" w:eastAsia="en-US"/>
        </w:rPr>
        <w:drawing>
          <wp:inline distT="0" distB="0" distL="0" distR="0" wp14:anchorId="68C2E293" wp14:editId="177B0EE0">
            <wp:extent cx="1930400" cy="1666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0400" cy="1666240"/>
                    </a:xfrm>
                    <a:prstGeom prst="rect">
                      <a:avLst/>
                    </a:prstGeom>
                    <a:noFill/>
                    <a:ln>
                      <a:noFill/>
                    </a:ln>
                  </pic:spPr>
                </pic:pic>
              </a:graphicData>
            </a:graphic>
          </wp:inline>
        </w:drawing>
      </w:r>
    </w:p>
    <w:p w14:paraId="305EEA92" w14:textId="77777777" w:rsidR="00264F8A" w:rsidRDefault="00B52C54" w:rsidP="00264F8A">
      <w:pPr>
        <w:pStyle w:val="08ArticleText"/>
      </w:pPr>
      <w:r w:rsidRPr="004E1FDE">
        <w:tab/>
      </w:r>
      <w:r w:rsidR="00264F8A">
        <w:t xml:space="preserve">Compounds </w:t>
      </w:r>
      <w:r w:rsidR="00264F8A" w:rsidRPr="00264F8A">
        <w:rPr>
          <w:b/>
        </w:rPr>
        <w:t>1</w:t>
      </w:r>
      <w:r w:rsidR="00264F8A">
        <w:t xml:space="preserve"> –</w:t>
      </w:r>
      <w:r w:rsidR="00264F8A" w:rsidRPr="00264F8A">
        <w:rPr>
          <w:b/>
        </w:rPr>
        <w:t xml:space="preserve"> 3</w:t>
      </w:r>
      <w:r w:rsidR="00264F8A">
        <w:t xml:space="preserve"> were synthesised according to </w:t>
      </w:r>
      <w:r w:rsidR="00BA5C50">
        <w:t>a modification of the method reported by Shea and co-workers</w:t>
      </w:r>
      <w:r w:rsidR="00BA5C50" w:rsidRPr="00BA5C50">
        <w:rPr>
          <w:vertAlign w:val="superscript"/>
        </w:rPr>
        <w:t>5</w:t>
      </w:r>
      <w:r w:rsidR="00BA5C50">
        <w:t xml:space="preserve"> (see ESI).</w:t>
      </w:r>
    </w:p>
    <w:p w14:paraId="4459A38D" w14:textId="77777777" w:rsidR="00AA086F" w:rsidRDefault="00AA086F" w:rsidP="00264F8A">
      <w:pPr>
        <w:pStyle w:val="08ArticleText"/>
      </w:pPr>
      <w:r>
        <w:tab/>
        <w:t xml:space="preserve">Crystals of the chloride complex of compounds </w:t>
      </w:r>
      <w:r w:rsidRPr="004A5205">
        <w:rPr>
          <w:b/>
        </w:rPr>
        <w:t xml:space="preserve">2 </w:t>
      </w:r>
      <w:r>
        <w:t>were grown by slow evaporation of a solution of the receptor in methanol</w:t>
      </w:r>
      <w:r w:rsidR="004A5205">
        <w:t xml:space="preserve"> in the presence of excess tetrabutylammonium chloride</w:t>
      </w:r>
      <w:r>
        <w:t>. The structure of the complex was elucidated by single crystal X-ray diffraction</w:t>
      </w:r>
      <w:r w:rsidR="00EF4935">
        <w:rPr>
          <w:vertAlign w:val="superscript"/>
        </w:rPr>
        <w:t>8</w:t>
      </w:r>
      <w:r>
        <w:t xml:space="preserve"> and revealed the formation of a 1:2 receptor:anion complex in the solid state with one chloride bound by two </w:t>
      </w:r>
      <w:r>
        <w:lastRenderedPageBreak/>
        <w:t xml:space="preserve">hydrogen bonds </w:t>
      </w:r>
      <w:r w:rsidR="004A5205">
        <w:t xml:space="preserve">from two of the NH groups </w:t>
      </w:r>
      <w:r>
        <w:t>(</w:t>
      </w:r>
      <w:r w:rsidR="009256CD">
        <w:t>3.126</w:t>
      </w:r>
      <w:r w:rsidR="00073B45">
        <w:t>(</w:t>
      </w:r>
      <w:r w:rsidR="009256CD">
        <w:t>4</w:t>
      </w:r>
      <w:r w:rsidR="00073B45">
        <w:t>)</w:t>
      </w:r>
      <w:r w:rsidR="00187D50">
        <w:t xml:space="preserve"> </w:t>
      </w:r>
      <w:r>
        <w:t xml:space="preserve">Å, </w:t>
      </w:r>
      <w:r w:rsidR="009256CD">
        <w:t>3.177</w:t>
      </w:r>
      <w:r w:rsidR="00073B45">
        <w:t>(</w:t>
      </w:r>
      <w:r w:rsidR="009256CD">
        <w:t>4</w:t>
      </w:r>
      <w:r w:rsidR="00073B45">
        <w:t>)</w:t>
      </w:r>
      <w:r w:rsidR="00187D50">
        <w:t xml:space="preserve"> </w:t>
      </w:r>
      <w:r>
        <w:t xml:space="preserve">Å) and the other chloride bound by a single hydrogen bond </w:t>
      </w:r>
      <w:r w:rsidR="004A5205">
        <w:t xml:space="preserve">from the other NH group </w:t>
      </w:r>
      <w:r>
        <w:t>(</w:t>
      </w:r>
      <w:r w:rsidR="009256CD">
        <w:t>3.215</w:t>
      </w:r>
      <w:r w:rsidR="00073B45">
        <w:t>(</w:t>
      </w:r>
      <w:r w:rsidR="009256CD">
        <w:t>4</w:t>
      </w:r>
      <w:r w:rsidR="00073B45">
        <w:t>)</w:t>
      </w:r>
      <w:r w:rsidR="00187D50">
        <w:t xml:space="preserve"> </w:t>
      </w:r>
      <w:r>
        <w:t>Å)</w:t>
      </w:r>
      <w:r w:rsidR="004A5205">
        <w:t xml:space="preserve"> (Figure 1)</w:t>
      </w:r>
      <w:r>
        <w:t xml:space="preserve">. </w:t>
      </w:r>
      <w:r w:rsidR="004A5205">
        <w:t xml:space="preserve"> </w:t>
      </w:r>
    </w:p>
    <w:p w14:paraId="3DE4411F" w14:textId="77777777" w:rsidR="008B1B2F" w:rsidRDefault="008B1B2F" w:rsidP="00264F8A">
      <w:pPr>
        <w:pStyle w:val="08ArticleText"/>
      </w:pPr>
    </w:p>
    <w:p w14:paraId="78A3277D" w14:textId="77777777" w:rsidR="008B1B2F" w:rsidRDefault="008B1B2F" w:rsidP="008B1B2F">
      <w:pPr>
        <w:pStyle w:val="G1aFigureImage"/>
      </w:pPr>
      <w:r>
        <w:rPr>
          <w:noProof/>
          <w:lang w:val="en-US" w:eastAsia="en-US"/>
        </w:rPr>
        <w:drawing>
          <wp:inline distT="0" distB="0" distL="0" distR="0" wp14:anchorId="66F6694F" wp14:editId="1632F5E9">
            <wp:extent cx="2517140" cy="2044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140" cy="2044700"/>
                    </a:xfrm>
                    <a:prstGeom prst="rect">
                      <a:avLst/>
                    </a:prstGeom>
                    <a:noFill/>
                    <a:ln>
                      <a:noFill/>
                    </a:ln>
                  </pic:spPr>
                </pic:pic>
              </a:graphicData>
            </a:graphic>
          </wp:inline>
        </w:drawing>
      </w:r>
    </w:p>
    <w:p w14:paraId="262ECF76" w14:textId="77777777" w:rsidR="008B1B2F" w:rsidRDefault="00F84F01" w:rsidP="00F84F01">
      <w:pPr>
        <w:pStyle w:val="G1bFigureCaption"/>
      </w:pPr>
      <w:r>
        <w:t xml:space="preserve">Figure 1 The X-ray crystal structure of the chloride complex of compound </w:t>
      </w:r>
      <w:r w:rsidRPr="00F84F01">
        <w:rPr>
          <w:b/>
        </w:rPr>
        <w:t>2</w:t>
      </w:r>
      <w:r>
        <w:t>. Tetrabutylammonium counter cations are omitted for clarity.</w:t>
      </w:r>
    </w:p>
    <w:p w14:paraId="6CD9AED1" w14:textId="77777777" w:rsidR="00F84F01" w:rsidRDefault="00F84F01" w:rsidP="00264F8A">
      <w:pPr>
        <w:pStyle w:val="08ArticleText"/>
      </w:pPr>
    </w:p>
    <w:p w14:paraId="761476AB" w14:textId="77777777" w:rsidR="004A5205" w:rsidRDefault="004A5205" w:rsidP="00264F8A">
      <w:pPr>
        <w:pStyle w:val="08ArticleText"/>
      </w:pPr>
      <w:r>
        <w:tab/>
        <w:t xml:space="preserve">Crystals of the tetrabutylammonium acetate complex of compound </w:t>
      </w:r>
      <w:r w:rsidRPr="00517268">
        <w:rPr>
          <w:b/>
        </w:rPr>
        <w:t>2</w:t>
      </w:r>
      <w:r>
        <w:t xml:space="preserve"> were obtained by slow evaporation of a methanol solution of the receptor in the presence of excess tetrabutylammonium acetate.  Structural studies revealed the formation of a 1:1 complex with the acetate anion bound to two of the NH groups with bond lengths of </w:t>
      </w:r>
      <w:r w:rsidR="00187D50">
        <w:t>2.707</w:t>
      </w:r>
      <w:r w:rsidR="00073B45">
        <w:t>(</w:t>
      </w:r>
      <w:r w:rsidR="009256CD">
        <w:t>10</w:t>
      </w:r>
      <w:r w:rsidR="00073B45">
        <w:t>)</w:t>
      </w:r>
      <w:r w:rsidR="00187D50">
        <w:t xml:space="preserve"> </w:t>
      </w:r>
      <w:r>
        <w:t xml:space="preserve">Å and </w:t>
      </w:r>
      <w:r w:rsidR="009256CD">
        <w:t>2.774</w:t>
      </w:r>
      <w:r w:rsidR="00073B45">
        <w:t>(</w:t>
      </w:r>
      <w:r w:rsidR="009256CD">
        <w:t>9</w:t>
      </w:r>
      <w:r w:rsidR="00073B45">
        <w:t>)</w:t>
      </w:r>
      <w:r w:rsidR="00187D50">
        <w:t xml:space="preserve"> </w:t>
      </w:r>
      <w:r>
        <w:t>Å.  The other NH group in the receptor forms a hydrogen bond with an adventit</w:t>
      </w:r>
      <w:r w:rsidR="00CC03A6">
        <w:t>ious water molecule (NH</w:t>
      </w:r>
      <w:r w:rsidR="00CC03A6" w:rsidRPr="00073B45">
        <w:rPr>
          <w:vertAlign w:val="superscript"/>
        </w:rPr>
        <w:t>…</w:t>
      </w:r>
      <w:r w:rsidR="00CC03A6">
        <w:t xml:space="preserve">O  </w:t>
      </w:r>
      <w:r w:rsidR="009256CD">
        <w:t>2.870</w:t>
      </w:r>
      <w:r w:rsidR="00073B45">
        <w:t>(</w:t>
      </w:r>
      <w:r w:rsidR="009256CD">
        <w:t>9</w:t>
      </w:r>
      <w:r w:rsidR="00073B45">
        <w:t>)</w:t>
      </w:r>
      <w:r w:rsidR="00187D50">
        <w:t xml:space="preserve"> </w:t>
      </w:r>
      <w:r w:rsidR="00CC03A6">
        <w:t>Å)</w:t>
      </w:r>
      <w:r w:rsidR="00EE2A21">
        <w:t xml:space="preserve"> (Figure 2)</w:t>
      </w:r>
      <w:r w:rsidR="00CC03A6">
        <w:t xml:space="preserve">.  </w:t>
      </w:r>
    </w:p>
    <w:p w14:paraId="0A1969F2" w14:textId="77777777" w:rsidR="008B1B2F" w:rsidRDefault="007D1059" w:rsidP="00264F8A">
      <w:pPr>
        <w:pStyle w:val="08ArticleText"/>
      </w:pPr>
      <w:r>
        <w:t xml:space="preserve">Solution studies with the receptors and anions were conducted using </w:t>
      </w:r>
      <w:r w:rsidRPr="00400998">
        <w:rPr>
          <w:vertAlign w:val="superscript"/>
        </w:rPr>
        <w:t>1</w:t>
      </w:r>
      <w:r>
        <w:t>H NMR titration techniques in DMSO-</w:t>
      </w:r>
      <w:r w:rsidRPr="009E669D">
        <w:rPr>
          <w:i/>
        </w:rPr>
        <w:t>d</w:t>
      </w:r>
      <w:r w:rsidRPr="009E669D">
        <w:rPr>
          <w:i/>
          <w:vertAlign w:val="subscript"/>
        </w:rPr>
        <w:t>6</w:t>
      </w:r>
      <w:r>
        <w:t xml:space="preserve">/0.5% water.  Upon addition of acetate, benzoate, dihydrogen phosphate or sulfate (added as tetrabutylammonium salts) or tetraethylammonium bicarbonate to a solution of compound </w:t>
      </w:r>
      <w:r w:rsidRPr="0050565E">
        <w:rPr>
          <w:b/>
        </w:rPr>
        <w:t>1</w:t>
      </w:r>
      <w:r>
        <w:t xml:space="preserve">, the </w:t>
      </w:r>
      <w:r w:rsidRPr="00C56FD2">
        <w:rPr>
          <w:vertAlign w:val="superscript"/>
        </w:rPr>
        <w:t>1</w:t>
      </w:r>
      <w:r>
        <w:t xml:space="preserve">H NMR resonances corresponding to the aromatic protons shifted upfield and the NH resonances broadened into the baseline after initially shifting upfield.  This was accompanied by a colourless to pink colour change.  This behaviour was also observed upon addition of tetrabutylammonium hydroxide and was again accompanied by a colourless to pink colour change.  </w:t>
      </w:r>
      <w:r>
        <w:lastRenderedPageBreak/>
        <w:t xml:space="preserve">We attribute this behaviour to deprotonation of the receptor.  We attempted to obtain crystals of the deprotonated species by slow evaporation of a solution of receptor </w:t>
      </w:r>
      <w:r w:rsidRPr="000E40B2">
        <w:rPr>
          <w:b/>
        </w:rPr>
        <w:t>1</w:t>
      </w:r>
      <w:r>
        <w:t xml:space="preserve"> in methanol in the presence of tetrabutylammonium benzoate.  The structure obtained from the resulting crystals revealed that the receptor had decomposed forming a sulfamate anion that crystallised as the tetrabutylammonium salt (see ESI).</w:t>
      </w:r>
    </w:p>
    <w:p w14:paraId="0C022B14" w14:textId="77777777" w:rsidR="008B1B2F" w:rsidRDefault="008B1B2F" w:rsidP="008B1B2F">
      <w:pPr>
        <w:pStyle w:val="G1aFigureImage"/>
      </w:pPr>
      <w:r>
        <w:rPr>
          <w:noProof/>
          <w:lang w:val="en-US" w:eastAsia="en-US"/>
        </w:rPr>
        <w:drawing>
          <wp:inline distT="0" distB="0" distL="0" distR="0" wp14:anchorId="3C10A8F0" wp14:editId="662DC8FD">
            <wp:extent cx="2517140" cy="2054860"/>
            <wp:effectExtent l="0" t="0" r="0" b="0"/>
            <wp:docPr id="5" name="Picture 5" descr="Macintosh HD:Users:philgale:Dropbox:phosphate based anion transporter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hilgale:Dropbox:phosphate based anion transporters:Figure 2.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7140" cy="2054860"/>
                    </a:xfrm>
                    <a:prstGeom prst="rect">
                      <a:avLst/>
                    </a:prstGeom>
                    <a:noFill/>
                    <a:ln>
                      <a:noFill/>
                    </a:ln>
                  </pic:spPr>
                </pic:pic>
              </a:graphicData>
            </a:graphic>
          </wp:inline>
        </w:drawing>
      </w:r>
    </w:p>
    <w:p w14:paraId="4A3B60A7" w14:textId="77777777" w:rsidR="00F84F01" w:rsidRPr="00F84F01" w:rsidRDefault="00F84F01" w:rsidP="00F84F01">
      <w:pPr>
        <w:pStyle w:val="G1bFigureCaption"/>
      </w:pPr>
      <w:r>
        <w:t xml:space="preserve">Figure 2 The X-ray crystal structure of the acetate complex of compound </w:t>
      </w:r>
      <w:r w:rsidRPr="00F84F01">
        <w:rPr>
          <w:b/>
        </w:rPr>
        <w:t>2</w:t>
      </w:r>
      <w:r>
        <w:t>. Tetrabutylammonium counter cations are omitted for clarity.</w:t>
      </w:r>
    </w:p>
    <w:p w14:paraId="62F7BDF5" w14:textId="77777777" w:rsidR="00517268" w:rsidRDefault="00C41733" w:rsidP="00264F8A">
      <w:pPr>
        <w:pStyle w:val="08ArticleText"/>
      </w:pPr>
      <w:r>
        <w:tab/>
      </w:r>
    </w:p>
    <w:p w14:paraId="553F514B" w14:textId="57242028" w:rsidR="00BA5C50" w:rsidRDefault="00400998" w:rsidP="00264F8A">
      <w:pPr>
        <w:pStyle w:val="08ArticleText"/>
      </w:pPr>
      <w:r>
        <w:tab/>
      </w:r>
      <w:r w:rsidR="00872F66">
        <w:t xml:space="preserve">Proton NMR titrations with tetrabutylammonium chloride, bromide and iodide </w:t>
      </w:r>
      <w:r w:rsidR="00885BE2">
        <w:t>were conducted and analysis of the results using the EQNMR computer program</w:t>
      </w:r>
      <w:r w:rsidR="00885BE2">
        <w:rPr>
          <w:vertAlign w:val="superscript"/>
        </w:rPr>
        <w:t xml:space="preserve">9 </w:t>
      </w:r>
      <w:r w:rsidR="00885BE2">
        <w:t>showed</w:t>
      </w:r>
      <w:r w:rsidR="00872F66">
        <w:t xml:space="preserve"> stability constants of &lt; 10 M</w:t>
      </w:r>
      <w:r w:rsidR="00872F66" w:rsidRPr="00872F66">
        <w:rPr>
          <w:vertAlign w:val="superscript"/>
        </w:rPr>
        <w:t>-1</w:t>
      </w:r>
      <w:r w:rsidR="00872F66">
        <w:t xml:space="preserve"> in DMSO-</w:t>
      </w:r>
      <w:r w:rsidR="00872F66" w:rsidRPr="00872F66">
        <w:rPr>
          <w:i/>
        </w:rPr>
        <w:t>d</w:t>
      </w:r>
      <w:r w:rsidR="00872F66" w:rsidRPr="00872F66">
        <w:rPr>
          <w:i/>
          <w:vertAlign w:val="subscript"/>
        </w:rPr>
        <w:t>6</w:t>
      </w:r>
      <w:r w:rsidR="00872F66">
        <w:t>/0.5% water</w:t>
      </w:r>
      <w:r w:rsidR="00885BE2">
        <w:t xml:space="preserve">. </w:t>
      </w:r>
      <w:r w:rsidR="00872F66">
        <w:t xml:space="preserve">When </w:t>
      </w:r>
      <w:r w:rsidR="00A0116C">
        <w:t xml:space="preserve">the titration experiments </w:t>
      </w:r>
      <w:r w:rsidR="00BE46C0">
        <w:t xml:space="preserve">were </w:t>
      </w:r>
      <w:r w:rsidR="00872F66">
        <w:t>repeated in CD</w:t>
      </w:r>
      <w:r w:rsidR="00872F66" w:rsidRPr="00872F66">
        <w:rPr>
          <w:vertAlign w:val="subscript"/>
        </w:rPr>
        <w:t>3</w:t>
      </w:r>
      <w:r w:rsidR="00872F66">
        <w:t>CN solution</w:t>
      </w:r>
      <w:r w:rsidR="00BE46C0">
        <w:t>,</w:t>
      </w:r>
      <w:r w:rsidR="00872F66">
        <w:t xml:space="preserve"> 1:1 complex formation was observed with </w:t>
      </w:r>
      <w:r w:rsidR="00A0116C">
        <w:t xml:space="preserve">chloride, bromide and iodide with </w:t>
      </w:r>
      <w:r w:rsidR="00872F66">
        <w:t>stability constants of 104, 59</w:t>
      </w:r>
      <w:r w:rsidR="00820578">
        <w:t xml:space="preserve"> </w:t>
      </w:r>
      <w:r w:rsidR="00872F66">
        <w:t>and 25 M</w:t>
      </w:r>
      <w:r w:rsidR="00872F66" w:rsidRPr="00872F66">
        <w:rPr>
          <w:vertAlign w:val="superscript"/>
        </w:rPr>
        <w:t>-1</w:t>
      </w:r>
      <w:r w:rsidR="00872F66">
        <w:t xml:space="preserve"> respectively</w:t>
      </w:r>
      <w:r w:rsidR="00B5350B">
        <w:t xml:space="preserve"> (Table 1)</w:t>
      </w:r>
      <w:r w:rsidR="00872F66">
        <w:t>.</w:t>
      </w:r>
    </w:p>
    <w:p w14:paraId="791E9CA9" w14:textId="3AD1E667" w:rsidR="001E0189" w:rsidRPr="005F1C87" w:rsidRDefault="00573691" w:rsidP="00264F8A">
      <w:pPr>
        <w:pStyle w:val="08ArticleText"/>
      </w:pPr>
      <w:r>
        <w:tab/>
      </w:r>
      <w:r w:rsidR="00DD2510">
        <w:t xml:space="preserve">Compound </w:t>
      </w:r>
      <w:r w:rsidR="00DD2510" w:rsidRPr="00556245">
        <w:rPr>
          <w:b/>
        </w:rPr>
        <w:t>2</w:t>
      </w:r>
      <w:r w:rsidR="00DD2510">
        <w:t xml:space="preserve"> also interacts weakly with halides in DMSO-</w:t>
      </w:r>
      <w:r w:rsidR="00DD2510" w:rsidRPr="00445937">
        <w:rPr>
          <w:i/>
        </w:rPr>
        <w:t>d</w:t>
      </w:r>
      <w:r w:rsidR="00DD2510" w:rsidRPr="00445937">
        <w:rPr>
          <w:i/>
          <w:vertAlign w:val="subscript"/>
        </w:rPr>
        <w:t>6</w:t>
      </w:r>
      <w:r w:rsidR="00DD2510">
        <w:t>/0.5% water solution.  However in acetonitrile-</w:t>
      </w:r>
      <w:r w:rsidR="00DD2510" w:rsidRPr="00DD2510">
        <w:rPr>
          <w:i/>
        </w:rPr>
        <w:t>d</w:t>
      </w:r>
      <w:r w:rsidR="00DD2510" w:rsidRPr="00DD2510">
        <w:rPr>
          <w:i/>
          <w:vertAlign w:val="subscript"/>
        </w:rPr>
        <w:t>3</w:t>
      </w:r>
      <w:r w:rsidR="00DD2510">
        <w:t xml:space="preserve"> 1:2 receptor:anion complex formation </w:t>
      </w:r>
      <w:r w:rsidR="00F92085">
        <w:t xml:space="preserve">was observed with chloride and bromide.  </w:t>
      </w:r>
      <w:r w:rsidR="00DC0CD5">
        <w:t xml:space="preserve">Job plots for many of the complexes formed were ambiguous.  For the 1:2 complexes observed in these cases fitting of a 1:1 binding model gave unsatisfactory results.  </w:t>
      </w:r>
      <w:r w:rsidR="00445937">
        <w:t>For</w:t>
      </w:r>
      <w:r w:rsidR="00953838">
        <w:t xml:space="preserve"> the more basic mono anionic </w:t>
      </w:r>
      <w:r w:rsidR="00C9142E">
        <w:t>oxo-anions in DMSO-</w:t>
      </w:r>
      <w:r w:rsidR="00C9142E" w:rsidRPr="00953838">
        <w:rPr>
          <w:i/>
        </w:rPr>
        <w:t>d</w:t>
      </w:r>
      <w:r w:rsidR="00C9142E" w:rsidRPr="00953838">
        <w:rPr>
          <w:i/>
          <w:vertAlign w:val="subscript"/>
        </w:rPr>
        <w:t>6</w:t>
      </w:r>
      <w:r w:rsidR="00953838" w:rsidRPr="00953838">
        <w:t>/</w:t>
      </w:r>
      <w:r w:rsidR="00953838">
        <w:t>0.5% water solution</w:t>
      </w:r>
      <w:r w:rsidR="00C9142E">
        <w:t xml:space="preserve"> the anioni</w:t>
      </w:r>
      <w:r w:rsidR="005F1C87">
        <w:t xml:space="preserve">c guests formed 1:2 complexes with </w:t>
      </w:r>
      <w:r w:rsidR="005F1C87" w:rsidRPr="005F1C87">
        <w:rPr>
          <w:i/>
        </w:rPr>
        <w:t>K</w:t>
      </w:r>
      <w:r w:rsidR="005F1C87" w:rsidRPr="005F1C87">
        <w:rPr>
          <w:i/>
          <w:vertAlign w:val="subscript"/>
        </w:rPr>
        <w:t>1</w:t>
      </w:r>
      <w:r w:rsidR="005F1C87">
        <w:t xml:space="preserve"> &gt; </w:t>
      </w:r>
      <w:r w:rsidR="005F1C87" w:rsidRPr="005F1C87">
        <w:rPr>
          <w:i/>
        </w:rPr>
        <w:t>K</w:t>
      </w:r>
      <w:r w:rsidR="005F1C87" w:rsidRPr="005F1C87">
        <w:rPr>
          <w:i/>
          <w:vertAlign w:val="subscript"/>
        </w:rPr>
        <w:t>2</w:t>
      </w:r>
      <w:r w:rsidR="005F1C87">
        <w:t xml:space="preserve">.  </w:t>
      </w:r>
      <w:r w:rsidR="00C9142E">
        <w:t xml:space="preserve">Bicarbonate could not be fitted to a binding model.  This may be due to </w:t>
      </w:r>
      <w:r w:rsidR="000F2361">
        <w:t xml:space="preserve">deprotonation or </w:t>
      </w:r>
      <w:r w:rsidR="00C9142E">
        <w:t>proton transfer processes occurring in solution.</w:t>
      </w:r>
      <w:r w:rsidR="00C9142E" w:rsidRPr="00C9142E">
        <w:rPr>
          <w:vertAlign w:val="superscript"/>
        </w:rPr>
        <w:t>10</w:t>
      </w:r>
      <w:r w:rsidR="005F1C87">
        <w:rPr>
          <w:vertAlign w:val="superscript"/>
        </w:rPr>
        <w:t xml:space="preserve"> </w:t>
      </w:r>
      <w:r w:rsidR="00D23533">
        <w:t xml:space="preserve">In fact the NMR titration with bicarbonate was very similar to a titration performed with tetrabutylammonium hydroxide, evidence of a deprotonation process occurring in solution. </w:t>
      </w:r>
      <w:r w:rsidR="005F1C87">
        <w:t xml:space="preserve">The less basic nitrate and hydrogen sulfate form weak 1:1 complexes.  </w:t>
      </w:r>
      <w:r w:rsidR="00131C57">
        <w:t>Contrastingly sulfate forms a stron</w:t>
      </w:r>
      <w:r w:rsidR="001E0189">
        <w:t xml:space="preserve">g 1:1 complex with the receptor </w:t>
      </w:r>
      <w:r w:rsidR="00556245">
        <w:t>that</w:t>
      </w:r>
      <w:r w:rsidR="001E0189">
        <w:t xml:space="preserve"> may be due to the formation of a complex </w:t>
      </w:r>
      <w:r w:rsidR="001E0189" w:rsidRPr="00D55CF6">
        <w:rPr>
          <w:i/>
        </w:rPr>
        <w:t>via</w:t>
      </w:r>
      <w:r w:rsidR="001E0189">
        <w:t xml:space="preserve"> three hydrogen</w:t>
      </w:r>
      <w:r w:rsidR="00D55CF6">
        <w:t>-</w:t>
      </w:r>
      <w:r w:rsidR="001E0189">
        <w:t xml:space="preserve">bonding interactions in the case of this </w:t>
      </w:r>
      <w:r w:rsidR="00D55CF6">
        <w:t>doubly negative</w:t>
      </w:r>
      <w:r w:rsidR="001E0189">
        <w:t xml:space="preserve"> anion</w:t>
      </w:r>
      <w:r w:rsidR="00F974CE">
        <w:t xml:space="preserve"> (Figure 3)</w:t>
      </w:r>
      <w:r w:rsidR="001E0189">
        <w:t>.</w:t>
      </w:r>
    </w:p>
    <w:p w14:paraId="266CE73F" w14:textId="77777777" w:rsidR="007D1059" w:rsidRDefault="007D1059" w:rsidP="007D1059">
      <w:pPr>
        <w:pStyle w:val="08ArticleText"/>
      </w:pPr>
      <w:r>
        <w:tab/>
        <w:t xml:space="preserve">Compound </w:t>
      </w:r>
      <w:r w:rsidRPr="00DE2E57">
        <w:rPr>
          <w:b/>
        </w:rPr>
        <w:t>3</w:t>
      </w:r>
      <w:r>
        <w:t xml:space="preserve"> generally has a similar affinity profile for anions as compound </w:t>
      </w:r>
      <w:r w:rsidRPr="00DE2E57">
        <w:rPr>
          <w:b/>
        </w:rPr>
        <w:t>2</w:t>
      </w:r>
      <w:r>
        <w:t xml:space="preserve"> however the increased acidity of this receptor resulted in deprotonation processes occurring upon addition of bicarbonate, sulfate and acetate (Table 1).</w:t>
      </w:r>
    </w:p>
    <w:p w14:paraId="3AF02C6F" w14:textId="77777777" w:rsidR="00F92085" w:rsidRDefault="007D1059" w:rsidP="00264F8A">
      <w:pPr>
        <w:pStyle w:val="08ArticleText"/>
        <w:rPr>
          <w:lang w:val="en-US"/>
        </w:rPr>
      </w:pPr>
      <w:r w:rsidRPr="00DE1DCC">
        <w:rPr>
          <w:lang w:val="en-US"/>
        </w:rPr>
        <w:t xml:space="preserve">In order to study the chloride transport properties of compounds </w:t>
      </w:r>
      <w:r>
        <w:rPr>
          <w:b/>
          <w:lang w:val="en-US"/>
        </w:rPr>
        <w:t xml:space="preserve">1 </w:t>
      </w:r>
      <w:r>
        <w:rPr>
          <w:lang w:val="en-US"/>
        </w:rPr>
        <w:t>to</w:t>
      </w:r>
      <w:r>
        <w:rPr>
          <w:b/>
          <w:lang w:val="en-US"/>
        </w:rPr>
        <w:t xml:space="preserve"> 3</w:t>
      </w:r>
      <w:r w:rsidRPr="00DE1DCC">
        <w:rPr>
          <w:lang w:val="en-US"/>
        </w:rPr>
        <w:t xml:space="preserve"> we prepared a series of unilamellar 1-palmitoyl-2-oleoylphosphatidylcholine (POPC) vesicles loaded with </w:t>
      </w:r>
      <w:r>
        <w:rPr>
          <w:lang w:val="en-US"/>
        </w:rPr>
        <w:t>Na</w:t>
      </w:r>
      <w:r w:rsidRPr="00DE1DCC">
        <w:rPr>
          <w:lang w:val="en-US"/>
        </w:rPr>
        <w:t xml:space="preserve">Cl (489 mM) and suspended them in an external </w:t>
      </w:r>
      <w:r>
        <w:rPr>
          <w:lang w:val="en-US"/>
        </w:rPr>
        <w:t>Na</w:t>
      </w:r>
      <w:r w:rsidRPr="00DE1DCC">
        <w:rPr>
          <w:lang w:val="en-US"/>
        </w:rPr>
        <w:t>NO</w:t>
      </w:r>
      <w:r w:rsidRPr="00DE1DCC">
        <w:rPr>
          <w:szCs w:val="12"/>
          <w:vertAlign w:val="subscript"/>
          <w:lang w:val="en-US"/>
        </w:rPr>
        <w:t>3</w:t>
      </w:r>
      <w:r w:rsidRPr="00DE1DCC">
        <w:rPr>
          <w:szCs w:val="12"/>
          <w:lang w:val="en-US"/>
        </w:rPr>
        <w:t xml:space="preserve"> </w:t>
      </w:r>
      <w:r w:rsidRPr="00DE1DCC">
        <w:rPr>
          <w:lang w:val="en-US"/>
        </w:rPr>
        <w:t xml:space="preserve">(489 mM) </w:t>
      </w:r>
      <w:r w:rsidRPr="00DE1DCC">
        <w:rPr>
          <w:lang w:val="en-US"/>
        </w:rPr>
        <w:lastRenderedPageBreak/>
        <w:t>solution</w:t>
      </w:r>
      <w:r>
        <w:rPr>
          <w:lang w:val="en-US"/>
        </w:rPr>
        <w:t xml:space="preserve"> using previously reported procedures</w:t>
      </w:r>
      <w:r w:rsidRPr="00DE1DCC">
        <w:rPr>
          <w:lang w:val="en-US"/>
        </w:rPr>
        <w:t>.</w:t>
      </w:r>
      <w:r w:rsidR="00147FD2" w:rsidRPr="00DC15F8">
        <w:rPr>
          <w:lang w:val="en-US"/>
        </w:rPr>
        <w:fldChar w:fldCharType="begin">
          <w:fldData xml:space="preserve">PEVuZE5vdGU+PENpdGU+PEF1dGhvcj5BbmRyZXdzPC9BdXRob3I+PFllYXI+MjAxMDwvWWVhcj48
UmVjTnVtPjc4PC9SZWNOdW0+PHJlY29yZD48cmVjLW51bWJlcj43ODwvcmVjLW51bWJlcj48Zm9y
ZWlnbi1rZXlzPjxrZXkgYXBwPSJFTiIgZGItaWQ9ImE1d3J0d2FkczVlcnphZTVzemQ1OTB3eXQw
MmFwcnN2ZnZyOSI+Nzg8L2tleT48L2ZvcmVpZ24ta2V5cz48cmVmLXR5cGUgbmFtZT0iSm91cm5h
bCBBcnRpY2xlIj4xNzwvcmVmLXR5cGU+PGNvbnRyaWJ1dG9ycz48YXV0aG9ycz48YXV0aG9yPkFu
ZHJld3MsIE5hdGFsaWUgSi48L2F1dGhvcj48YXV0aG9yPkhheW5lcywgQ2FsbHkgSi4gRS48L2F1
dGhvcj48YXV0aG9yPkxpZ2h0LCBNYXJrIEUuPC9hdXRob3I+PGF1dGhvcj5Nb29yZSwgU3RlcGhl
biBKLjwvYXV0aG9yPjxhdXRob3I+VG9uZywgQ2hyaXN0aW5lIEMuPC9hdXRob3I+PGF1dGhvcj5E
YXZpcywgSmVmZmVyeSBULjwvYXV0aG9yPjxhdXRob3I+SGFycmVsbCBKciwgV2lsbGlhbSBBLjwv
YXV0aG9yPjxhdXRob3I+R2FsZSwgUGhpbGlwIEEuPC9hdXRob3I+PC9hdXRob3JzPjwvY29udHJp
YnV0b3JzPjx0aXRsZXM+PHRpdGxlPlN0cnVjdHVyYWxseSBzaW1wbGUgbGlwaWQgYmlsYXllciB0
cmFuc3BvcnQgYWdlbnRzIGZvciBjaGxvcmlkZSBhbmQgYmljYXJib25hdGU8L3RpdGxlPjxzZWNv
bmRhcnktdGl0bGU+Q2hlbWljYWwgU2NpZW5jZTwvc2Vjb25kYXJ5LXRpdGxlPjwvdGl0bGVzPjxw
ZXJpb2RpY2FsPjxmdWxsLXRpdGxlPkNoZW1pY2FsIFNjaWVuY2U8L2Z1bGwtdGl0bGU+PC9wZXJp
b2RpY2FsPjxwYWdlcz4yNTYtMjYwPC9wYWdlcz48dm9sdW1lPjI8L3ZvbHVtZT48bnVtYmVyPjI8
L251bWJlcj48ZGF0ZXM+PHllYXI+MjAxMDwveWVhcj48L2RhdGVzPjxwdWJsaXNoZXI+VGhlIFJv
eWFsIFNvY2lldHkgb2YgQ2hlbWlzdHJ5PC9wdWJsaXNoZXI+PGlzYm4+MjA0MS02NTIwPC9pc2Ju
Pjx1cmxzPjxyZWxhdGVkLXVybHM+PHVybD5odHRwOi8vZHguZG9pLm9yZy8xMC4xMDM5L0MwU0Mw
MDUwM0c8L3VybD48L3JlbGF0ZWQtdXJscz48L3VybHM+PC9yZWNvcmQ+PC9DaXRlPjxDaXRlPjxB
dXRob3I+QnVzc2NoYWVydDwvQXV0aG9yPjxZZWFyPjIwMTA8L1llYXI+PFJlY051bT43NzwvUmVj
TnVtPjxyZWNvcmQ+PHJlYy1udW1iZXI+Nzc8L3JlYy1udW1iZXI+PGZvcmVpZ24ta2V5cz48a2V5
IGFwcD0iRU4iIGRiLWlkPSJhNXdydHdhZHM1ZXJ6YWU1c3pkNTkwd3l0MDJhcHJzdmZ2cjkiPjc3
PC9rZXk+PC9mb3JlaWduLWtleXM+PHJlZi10eXBlIG5hbWU9IkpvdXJuYWwgQXJ0aWNsZSI+MTc8
L3JlZi10eXBlPjxjb250cmlidXRvcnM+PGF1dGhvcnM+PGF1dGhvcj5CdXNzY2hhZXJ0LCBOYXRo
YWxpZTwvYXV0aG9yPjxhdXRob3I+R2FsZSwgUGhpbGlwIEEuPC9hdXRob3I+PGF1dGhvcj5IYXlu
ZXMsIENhbGx5IEouIEUuPC9hdXRob3I+PGF1dGhvcj5MaWdodCwgTWFyayBFLjwvYXV0aG9yPjxh
dXRob3I+TW9vcmUsIFN0ZXBoZW4gSi48L2F1dGhvcj48YXV0aG9yPlRvbmcsIENocmlzdGluZSBD
LjwvYXV0aG9yPjxhdXRob3I+RGF2aXMsIEplZmZlcnkgVC48L2F1dGhvcj48YXV0aG9yPkhhcnJl
bGwsIEpyIFdpbGxpYW0gQS48L2F1dGhvcj48L2F1dGhvcnM+PC9jb250cmlidXRvcnM+PHRpdGxl
cz48dGl0bGU+VHJpcG9kYWwgdHJhbnNtZW1icmFuZSB0cmFuc3BvcnRlcnMgZm9yIGJpY2FyYm9u
YXRlPC90aXRsZT48c2Vjb25kYXJ5LXRpdGxlPkNoZW1pY2FsIENvbW11bmljYXRpb25zPC9zZWNv
bmRhcnktdGl0bGU+PC90aXRsZXM+PHBlcmlvZGljYWw+PGZ1bGwtdGl0bGU+Q2hlbWljYWwgQ29t
bXVuaWNhdGlvbnM8L2Z1bGwtdGl0bGU+PC9wZXJpb2RpY2FsPjxwYWdlcz42MjUyLTYyNTQ8L3Bh
Z2VzPjx2b2x1bWU+NDY8L3ZvbHVtZT48bnVtYmVyPjM0PC9udW1iZXI+PGRhdGVzPjx5ZWFyPjIw
MTA8L3llYXI+PC9kYXRlcz48cHVibGlzaGVyPlRoZSBSb3lhbCBTb2NpZXR5IG9mIENoZW1pc3Ry
eTwvcHVibGlzaGVyPjxpc2JuPjEzNTktNzM0NTwvaXNibj48dXJscz48cmVsYXRlZC11cmxzPjx1
cmw+aHR0cDovL2R4LmRvaS5vcmcvMTAuMTAzOS9DMENDMDE2ODRFPC91cmw+PC9yZWxhdGVkLXVy
bHM+PC91cmxzPjwvcmVjb3JkPjwvQ2l0ZT48L0VuZE5vdGU+AG==
</w:fldData>
        </w:fldChar>
      </w:r>
      <w:r w:rsidRPr="00DC15F8">
        <w:rPr>
          <w:lang w:val="en-US"/>
        </w:rPr>
        <w:instrText xml:space="preserve"> ADDIN EN.CITE </w:instrText>
      </w:r>
      <w:r w:rsidR="00147FD2" w:rsidRPr="00DC15F8">
        <w:rPr>
          <w:lang w:val="en-US"/>
        </w:rPr>
        <w:fldChar w:fldCharType="begin">
          <w:fldData xml:space="preserve">PEVuZE5vdGU+PENpdGU+PEF1dGhvcj5BbmRyZXdzPC9BdXRob3I+PFllYXI+MjAxMDwvWWVhcj48
UmVjTnVtPjc4PC9SZWNOdW0+PHJlY29yZD48cmVjLW51bWJlcj43ODwvcmVjLW51bWJlcj48Zm9y
ZWlnbi1rZXlzPjxrZXkgYXBwPSJFTiIgZGItaWQ9ImE1d3J0d2FkczVlcnphZTVzemQ1OTB3eXQw
MmFwcnN2ZnZyOSI+Nzg8L2tleT48L2ZvcmVpZ24ta2V5cz48cmVmLXR5cGUgbmFtZT0iSm91cm5h
bCBBcnRpY2xlIj4xNzwvcmVmLXR5cGU+PGNvbnRyaWJ1dG9ycz48YXV0aG9ycz48YXV0aG9yPkFu
ZHJld3MsIE5hdGFsaWUgSi48L2F1dGhvcj48YXV0aG9yPkhheW5lcywgQ2FsbHkgSi4gRS48L2F1
dGhvcj48YXV0aG9yPkxpZ2h0LCBNYXJrIEUuPC9hdXRob3I+PGF1dGhvcj5Nb29yZSwgU3RlcGhl
biBKLjwvYXV0aG9yPjxhdXRob3I+VG9uZywgQ2hyaXN0aW5lIEMuPC9hdXRob3I+PGF1dGhvcj5E
YXZpcywgSmVmZmVyeSBULjwvYXV0aG9yPjxhdXRob3I+SGFycmVsbCBKciwgV2lsbGlhbSBBLjwv
YXV0aG9yPjxhdXRob3I+R2FsZSwgUGhpbGlwIEEuPC9hdXRob3I+PC9hdXRob3JzPjwvY29udHJp
YnV0b3JzPjx0aXRsZXM+PHRpdGxlPlN0cnVjdHVyYWxseSBzaW1wbGUgbGlwaWQgYmlsYXllciB0
cmFuc3BvcnQgYWdlbnRzIGZvciBjaGxvcmlkZSBhbmQgYmljYXJib25hdGU8L3RpdGxlPjxzZWNv
bmRhcnktdGl0bGU+Q2hlbWljYWwgU2NpZW5jZTwvc2Vjb25kYXJ5LXRpdGxlPjwvdGl0bGVzPjxw
ZXJpb2RpY2FsPjxmdWxsLXRpdGxlPkNoZW1pY2FsIFNjaWVuY2U8L2Z1bGwtdGl0bGU+PC9wZXJp
b2RpY2FsPjxwYWdlcz4yNTYtMjYwPC9wYWdlcz48dm9sdW1lPjI8L3ZvbHVtZT48bnVtYmVyPjI8
L251bWJlcj48ZGF0ZXM+PHllYXI+MjAxMDwveWVhcj48L2RhdGVzPjxwdWJsaXNoZXI+VGhlIFJv
eWFsIFNvY2lldHkgb2YgQ2hlbWlzdHJ5PC9wdWJsaXNoZXI+PGlzYm4+MjA0MS02NTIwPC9pc2Ju
Pjx1cmxzPjxyZWxhdGVkLXVybHM+PHVybD5odHRwOi8vZHguZG9pLm9yZy8xMC4xMDM5L0MwU0Mw
MDUwM0c8L3VybD48L3JlbGF0ZWQtdXJscz48L3VybHM+PC9yZWNvcmQ+PC9DaXRlPjxDaXRlPjxB
dXRob3I+QnVzc2NoYWVydDwvQXV0aG9yPjxZZWFyPjIwMTA8L1llYXI+PFJlY051bT43NzwvUmVj
TnVtPjxyZWNvcmQ+PHJlYy1udW1iZXI+Nzc8L3JlYy1udW1iZXI+PGZvcmVpZ24ta2V5cz48a2V5
IGFwcD0iRU4iIGRiLWlkPSJhNXdydHdhZHM1ZXJ6YWU1c3pkNTkwd3l0MDJhcHJzdmZ2cjkiPjc3
PC9rZXk+PC9mb3JlaWduLWtleXM+PHJlZi10eXBlIG5hbWU9IkpvdXJuYWwgQXJ0aWNsZSI+MTc8
L3JlZi10eXBlPjxjb250cmlidXRvcnM+PGF1dGhvcnM+PGF1dGhvcj5CdXNzY2hhZXJ0LCBOYXRo
YWxpZTwvYXV0aG9yPjxhdXRob3I+R2FsZSwgUGhpbGlwIEEuPC9hdXRob3I+PGF1dGhvcj5IYXlu
ZXMsIENhbGx5IEouIEUuPC9hdXRob3I+PGF1dGhvcj5MaWdodCwgTWFyayBFLjwvYXV0aG9yPjxh
dXRob3I+TW9vcmUsIFN0ZXBoZW4gSi48L2F1dGhvcj48YXV0aG9yPlRvbmcsIENocmlzdGluZSBD
LjwvYXV0aG9yPjxhdXRob3I+RGF2aXMsIEplZmZlcnkgVC48L2F1dGhvcj48YXV0aG9yPkhhcnJl
bGwsIEpyIFdpbGxpYW0gQS48L2F1dGhvcj48L2F1dGhvcnM+PC9jb250cmlidXRvcnM+PHRpdGxl
cz48dGl0bGU+VHJpcG9kYWwgdHJhbnNtZW1icmFuZSB0cmFuc3BvcnRlcnMgZm9yIGJpY2FyYm9u
YXRlPC90aXRsZT48c2Vjb25kYXJ5LXRpdGxlPkNoZW1pY2FsIENvbW11bmljYXRpb25zPC9zZWNv
bmRhcnktdGl0bGU+PC90aXRsZXM+PHBlcmlvZGljYWw+PGZ1bGwtdGl0bGU+Q2hlbWljYWwgQ29t
bXVuaWNhdGlvbnM8L2Z1bGwtdGl0bGU+PC9wZXJpb2RpY2FsPjxwYWdlcz42MjUyLTYyNTQ8L3Bh
Z2VzPjx2b2x1bWU+NDY8L3ZvbHVtZT48bnVtYmVyPjM0PC9udW1iZXI+PGRhdGVzPjx5ZWFyPjIw
MTA8L3llYXI+PC9kYXRlcz48cHVibGlzaGVyPlRoZSBSb3lhbCBTb2NpZXR5IG9mIENoZW1pc3Ry
eTwvcHVibGlzaGVyPjxpc2JuPjEzNTktNzM0NTwvaXNibj48dXJscz48cmVsYXRlZC11cmxzPjx1
cmw+aHR0cDovL2R4LmRvaS5vcmcvMTAuMTAzOS9DMENDMDE2ODRFPC91cmw+PC9yZWxhdGVkLXVy
bHM+PC91cmxzPjwvcmVjb3JkPjwvQ2l0ZT48L0VuZE5vdGU+AG==
</w:fldData>
        </w:fldChar>
      </w:r>
      <w:r w:rsidRPr="00DC15F8">
        <w:rPr>
          <w:lang w:val="en-US"/>
        </w:rPr>
        <w:instrText xml:space="preserve"> ADDIN EN.CITE.DATA </w:instrText>
      </w:r>
      <w:r w:rsidR="00147FD2" w:rsidRPr="00DC15F8">
        <w:rPr>
          <w:lang w:val="en-US"/>
        </w:rPr>
      </w:r>
      <w:r w:rsidR="00147FD2" w:rsidRPr="00DC15F8">
        <w:rPr>
          <w:lang w:val="en-US"/>
        </w:rPr>
        <w:fldChar w:fldCharType="end"/>
      </w:r>
      <w:r w:rsidR="00147FD2" w:rsidRPr="00DC15F8">
        <w:rPr>
          <w:lang w:val="en-US"/>
        </w:rPr>
      </w:r>
      <w:r w:rsidR="00147FD2" w:rsidRPr="00DC15F8">
        <w:rPr>
          <w:lang w:val="en-US"/>
        </w:rPr>
        <w:fldChar w:fldCharType="separate"/>
      </w:r>
      <w:r>
        <w:rPr>
          <w:noProof/>
          <w:vertAlign w:val="superscript"/>
          <w:lang w:val="en-US"/>
        </w:rPr>
        <w:t>11,12</w:t>
      </w:r>
      <w:r w:rsidR="00147FD2" w:rsidRPr="00DC15F8">
        <w:rPr>
          <w:lang w:val="en-US"/>
        </w:rPr>
        <w:fldChar w:fldCharType="end"/>
      </w:r>
      <w:r>
        <w:rPr>
          <w:lang w:val="en-US"/>
        </w:rPr>
        <w:t xml:space="preserve"> Chloride efflux from the vesicles was monitored using an Accumet chloride selective electrode.  Upon addition of compound </w:t>
      </w:r>
      <w:r w:rsidRPr="00894F12">
        <w:rPr>
          <w:b/>
          <w:lang w:val="en-US"/>
        </w:rPr>
        <w:t>1</w:t>
      </w:r>
      <w:r>
        <w:rPr>
          <w:lang w:val="en-US"/>
        </w:rPr>
        <w:t xml:space="preserve"> (at 2% molar transporter to lipid overall concentration) in a small amount of DMSO no chloride efflux was observed.  However addition of compounds </w:t>
      </w:r>
      <w:r w:rsidRPr="00894F12">
        <w:rPr>
          <w:b/>
          <w:lang w:val="en-US"/>
        </w:rPr>
        <w:t>2</w:t>
      </w:r>
      <w:r>
        <w:rPr>
          <w:lang w:val="en-US"/>
        </w:rPr>
        <w:t xml:space="preserve"> or </w:t>
      </w:r>
      <w:r w:rsidRPr="00894F12">
        <w:rPr>
          <w:b/>
          <w:lang w:val="en-US"/>
        </w:rPr>
        <w:t>3</w:t>
      </w:r>
      <w:r>
        <w:rPr>
          <w:lang w:val="en-US"/>
        </w:rPr>
        <w:t xml:space="preserve"> at this concentration</w:t>
      </w:r>
      <w:r w:rsidRPr="00DE1DCC">
        <w:rPr>
          <w:lang w:val="en-US"/>
        </w:rPr>
        <w:t xml:space="preserve"> </w:t>
      </w:r>
      <w:r>
        <w:rPr>
          <w:lang w:val="en-US"/>
        </w:rPr>
        <w:t>did result in chloride efflux.  Therefore we added</w:t>
      </w:r>
      <w:r w:rsidRPr="00DE1DCC">
        <w:rPr>
          <w:lang w:val="en-US"/>
        </w:rPr>
        <w:t xml:space="preserve"> sample of receptor </w:t>
      </w:r>
      <w:r>
        <w:rPr>
          <w:b/>
          <w:lang w:val="en-US"/>
        </w:rPr>
        <w:t xml:space="preserve">2 </w:t>
      </w:r>
      <w:r w:rsidRPr="005C6DFB">
        <w:rPr>
          <w:lang w:val="en-US"/>
        </w:rPr>
        <w:t>or</w:t>
      </w:r>
      <w:r>
        <w:rPr>
          <w:b/>
          <w:lang w:val="en-US"/>
        </w:rPr>
        <w:t xml:space="preserve"> </w:t>
      </w:r>
      <w:r w:rsidRPr="005C6DFB">
        <w:rPr>
          <w:b/>
          <w:lang w:val="en-US"/>
        </w:rPr>
        <w:t>3</w:t>
      </w:r>
      <w:r>
        <w:rPr>
          <w:lang w:val="en-US"/>
        </w:rPr>
        <w:t xml:space="preserve"> at varying % molar transporter to lipid concentrations </w:t>
      </w:r>
      <w:r w:rsidRPr="00DE1DCC">
        <w:rPr>
          <w:lang w:val="en-US"/>
        </w:rPr>
        <w:t>and the resultant Cl</w:t>
      </w:r>
      <w:r w:rsidRPr="00DE1DCC">
        <w:rPr>
          <w:vertAlign w:val="superscript"/>
          <w:lang w:val="en-US"/>
        </w:rPr>
        <w:t>-</w:t>
      </w:r>
      <w:r w:rsidRPr="00DE1DCC">
        <w:rPr>
          <w:szCs w:val="12"/>
          <w:lang w:val="en-US"/>
        </w:rPr>
        <w:t xml:space="preserve"> </w:t>
      </w:r>
      <w:r w:rsidRPr="00DE1DCC">
        <w:rPr>
          <w:lang w:val="en-US"/>
        </w:rPr>
        <w:t>efflux monitored using a chloride selective electrode.</w:t>
      </w:r>
      <w:r w:rsidRPr="00DE1DCC">
        <w:rPr>
          <w:szCs w:val="12"/>
          <w:lang w:val="en-US"/>
        </w:rPr>
        <w:t xml:space="preserve"> </w:t>
      </w:r>
      <w:r w:rsidRPr="00DE1DCC">
        <w:rPr>
          <w:lang w:val="en-US"/>
        </w:rPr>
        <w:t>After 300 s, the vesicles were lysed by addition of detergent and the final reading of the electrode was used to calibrate 100</w:t>
      </w:r>
      <w:r>
        <w:rPr>
          <w:lang w:val="en-US"/>
        </w:rPr>
        <w:t xml:space="preserve"> </w:t>
      </w:r>
      <w:r w:rsidRPr="00DE1DCC">
        <w:rPr>
          <w:lang w:val="en-US"/>
        </w:rPr>
        <w:t>% release of chloride.</w:t>
      </w:r>
      <w:r>
        <w:rPr>
          <w:lang w:val="en-US"/>
        </w:rPr>
        <w:t xml:space="preserve">  The results of these studies were used to perform a Hill analysis</w:t>
      </w:r>
      <w:r w:rsidRPr="00C66CDF">
        <w:rPr>
          <w:vertAlign w:val="superscript"/>
          <w:lang w:val="en-US"/>
        </w:rPr>
        <w:t>13</w:t>
      </w:r>
      <w:r>
        <w:rPr>
          <w:lang w:val="en-US"/>
        </w:rPr>
        <w:t xml:space="preserve"> of the transport properties of these receptors in order to ascertain the EC</w:t>
      </w:r>
      <w:r w:rsidRPr="00F34513">
        <w:rPr>
          <w:vertAlign w:val="subscript"/>
          <w:lang w:val="en-US"/>
        </w:rPr>
        <w:t>50</w:t>
      </w:r>
      <w:r>
        <w:rPr>
          <w:lang w:val="en-US"/>
        </w:rPr>
        <w:t xml:space="preserve"> values of these systems i.e. the</w:t>
      </w:r>
      <w:r>
        <w:t xml:space="preserve"> concentration of transporter needed to achieve 50% chloride efflux in 270 s.</w:t>
      </w:r>
      <w:r>
        <w:rPr>
          <w:lang w:val="en-US"/>
        </w:rPr>
        <w:t xml:space="preserve">  Compound </w:t>
      </w:r>
      <w:r w:rsidRPr="00C66CDF">
        <w:rPr>
          <w:b/>
          <w:lang w:val="en-US"/>
        </w:rPr>
        <w:t>2</w:t>
      </w:r>
      <w:r>
        <w:rPr>
          <w:lang w:val="en-US"/>
        </w:rPr>
        <w:t xml:space="preserve"> was found to have an EC</w:t>
      </w:r>
      <w:r w:rsidRPr="00C66CDF">
        <w:rPr>
          <w:vertAlign w:val="subscript"/>
          <w:lang w:val="en-US"/>
        </w:rPr>
        <w:t>50</w:t>
      </w:r>
      <w:r>
        <w:rPr>
          <w:lang w:val="en-US"/>
        </w:rPr>
        <w:t xml:space="preserve"> value of 7.0% molar transporter to lipid (see Figure 4) whilst compound </w:t>
      </w:r>
      <w:r w:rsidRPr="00C66CDF">
        <w:rPr>
          <w:b/>
          <w:lang w:val="en-US"/>
        </w:rPr>
        <w:t>3</w:t>
      </w:r>
      <w:r>
        <w:rPr>
          <w:lang w:val="en-US"/>
        </w:rPr>
        <w:t xml:space="preserve"> was found to have an EC</w:t>
      </w:r>
      <w:r w:rsidRPr="00C66CDF">
        <w:rPr>
          <w:vertAlign w:val="subscript"/>
          <w:lang w:val="en-US"/>
        </w:rPr>
        <w:t>50</w:t>
      </w:r>
      <w:r>
        <w:rPr>
          <w:lang w:val="en-US"/>
        </w:rPr>
        <w:t xml:space="preserve"> value of 6.2% molar transporter to lipid.  Further experiments to elucidate the mechanism of transport showed that in both cases Cl</w:t>
      </w:r>
      <w:r w:rsidRPr="000D7F4C">
        <w:rPr>
          <w:vertAlign w:val="superscript"/>
          <w:lang w:val="en-US"/>
        </w:rPr>
        <w:t>-</w:t>
      </w:r>
      <w:r>
        <w:rPr>
          <w:lang w:val="en-US"/>
        </w:rPr>
        <w:t>/NO</w:t>
      </w:r>
      <w:r w:rsidRPr="000D7F4C">
        <w:rPr>
          <w:vertAlign w:val="subscript"/>
          <w:lang w:val="en-US"/>
        </w:rPr>
        <w:t>3</w:t>
      </w:r>
      <w:r w:rsidRPr="000D7F4C">
        <w:rPr>
          <w:vertAlign w:val="superscript"/>
          <w:lang w:val="en-US"/>
        </w:rPr>
        <w:t>-</w:t>
      </w:r>
      <w:r>
        <w:rPr>
          <w:lang w:val="en-US"/>
        </w:rPr>
        <w:t xml:space="preserve"> antiport was occurring (see ESI). Chloride/bicarbonate antiport was also observed but at a lower level of activity.</w:t>
      </w:r>
    </w:p>
    <w:p w14:paraId="2AE58248" w14:textId="77777777" w:rsidR="007D1059" w:rsidRDefault="007D1059" w:rsidP="00264F8A">
      <w:pPr>
        <w:pStyle w:val="08ArticleText"/>
      </w:pPr>
    </w:p>
    <w:p w14:paraId="41C3C379" w14:textId="77777777" w:rsidR="006A7C50" w:rsidRDefault="003D058A" w:rsidP="009A49CA">
      <w:pPr>
        <w:pStyle w:val="G4aTableTitle"/>
      </w:pPr>
      <w:r>
        <w:t>Table 1 Stability constants (</w:t>
      </w:r>
      <w:r w:rsidRPr="003D058A">
        <w:rPr>
          <w:i/>
        </w:rPr>
        <w:t>K</w:t>
      </w:r>
      <w:r w:rsidRPr="003D058A">
        <w:rPr>
          <w:i/>
          <w:vertAlign w:val="subscript"/>
        </w:rPr>
        <w:t>a</w:t>
      </w:r>
      <w:r>
        <w:t>/M</w:t>
      </w:r>
      <w:r w:rsidRPr="003D058A">
        <w:rPr>
          <w:vertAlign w:val="superscript"/>
        </w:rPr>
        <w:t>-1</w:t>
      </w:r>
      <w:r>
        <w:t xml:space="preserve">) </w:t>
      </w:r>
      <w:r w:rsidR="009A49CA">
        <w:t xml:space="preserve">and errors (%) </w:t>
      </w:r>
      <w:r>
        <w:t xml:space="preserve">measured for compounds </w:t>
      </w:r>
      <w:r w:rsidRPr="003D058A">
        <w:rPr>
          <w:b/>
        </w:rPr>
        <w:t>1</w:t>
      </w:r>
      <w:r>
        <w:t>-</w:t>
      </w:r>
      <w:r w:rsidRPr="003D058A">
        <w:rPr>
          <w:b/>
        </w:rPr>
        <w:t>3</w:t>
      </w:r>
      <w:r>
        <w:t xml:space="preserve"> with a range of anions added as tetrabutylammonium salts (apart from bicarbonate added as the tetraethylammonium salt) at 298K. </w:t>
      </w:r>
    </w:p>
    <w:tbl>
      <w:tblPr>
        <w:tblStyle w:val="TableGrid"/>
        <w:tblW w:w="0" w:type="auto"/>
        <w:tblLook w:val="04A0" w:firstRow="1" w:lastRow="0" w:firstColumn="1" w:lastColumn="0" w:noHBand="0" w:noVBand="1"/>
      </w:tblPr>
      <w:tblGrid>
        <w:gridCol w:w="1201"/>
        <w:gridCol w:w="1184"/>
        <w:gridCol w:w="1189"/>
        <w:gridCol w:w="1189"/>
      </w:tblGrid>
      <w:tr w:rsidR="003D058A" w14:paraId="1BA13934" w14:textId="77777777" w:rsidTr="003D058A">
        <w:tc>
          <w:tcPr>
            <w:tcW w:w="1244" w:type="dxa"/>
          </w:tcPr>
          <w:p w14:paraId="0E2EBF18" w14:textId="77777777" w:rsidR="003D058A" w:rsidRDefault="003D058A" w:rsidP="003D058A">
            <w:pPr>
              <w:pStyle w:val="G4bTableBody"/>
            </w:pPr>
          </w:p>
        </w:tc>
        <w:tc>
          <w:tcPr>
            <w:tcW w:w="1245" w:type="dxa"/>
          </w:tcPr>
          <w:p w14:paraId="3265AFCC" w14:textId="77777777" w:rsidR="003D058A" w:rsidRPr="003D058A" w:rsidRDefault="003D058A" w:rsidP="003D058A">
            <w:pPr>
              <w:pStyle w:val="G4bTableBody"/>
              <w:rPr>
                <w:b/>
              </w:rPr>
            </w:pPr>
            <w:r w:rsidRPr="003D058A">
              <w:rPr>
                <w:b/>
              </w:rPr>
              <w:t>1</w:t>
            </w:r>
          </w:p>
        </w:tc>
        <w:tc>
          <w:tcPr>
            <w:tcW w:w="1245" w:type="dxa"/>
          </w:tcPr>
          <w:p w14:paraId="0215E1CE" w14:textId="77777777" w:rsidR="003D058A" w:rsidRPr="003D058A" w:rsidRDefault="003D058A" w:rsidP="003D058A">
            <w:pPr>
              <w:pStyle w:val="G4bTableBody"/>
              <w:rPr>
                <w:b/>
              </w:rPr>
            </w:pPr>
            <w:r w:rsidRPr="003D058A">
              <w:rPr>
                <w:b/>
              </w:rPr>
              <w:t>2</w:t>
            </w:r>
          </w:p>
        </w:tc>
        <w:tc>
          <w:tcPr>
            <w:tcW w:w="1245" w:type="dxa"/>
          </w:tcPr>
          <w:p w14:paraId="1C845442" w14:textId="77777777" w:rsidR="003D058A" w:rsidRPr="003D058A" w:rsidRDefault="003D058A" w:rsidP="003D058A">
            <w:pPr>
              <w:pStyle w:val="G4bTableBody"/>
              <w:rPr>
                <w:b/>
              </w:rPr>
            </w:pPr>
            <w:r w:rsidRPr="003D058A">
              <w:rPr>
                <w:b/>
              </w:rPr>
              <w:t>3</w:t>
            </w:r>
          </w:p>
        </w:tc>
      </w:tr>
      <w:tr w:rsidR="003D058A" w14:paraId="24D1D3D0" w14:textId="77777777" w:rsidTr="003D058A">
        <w:tc>
          <w:tcPr>
            <w:tcW w:w="1244" w:type="dxa"/>
          </w:tcPr>
          <w:p w14:paraId="131C467A" w14:textId="77777777" w:rsidR="003D058A" w:rsidRDefault="003D058A" w:rsidP="003D058A">
            <w:pPr>
              <w:pStyle w:val="G4bTableBody"/>
            </w:pPr>
            <w:r>
              <w:t>Cl</w:t>
            </w:r>
            <w:r w:rsidRPr="003D058A">
              <w:rPr>
                <w:vertAlign w:val="superscript"/>
              </w:rPr>
              <w:t>-</w:t>
            </w:r>
            <w:r w:rsidR="00842785">
              <w:rPr>
                <w:vertAlign w:val="superscript"/>
              </w:rPr>
              <w:t>a</w:t>
            </w:r>
          </w:p>
        </w:tc>
        <w:tc>
          <w:tcPr>
            <w:tcW w:w="1245" w:type="dxa"/>
          </w:tcPr>
          <w:p w14:paraId="3EC86DD8" w14:textId="77777777" w:rsidR="003D058A" w:rsidRDefault="009A49CA" w:rsidP="003D058A">
            <w:pPr>
              <w:pStyle w:val="G4bTableBody"/>
            </w:pPr>
            <w:r>
              <w:t>104 (8%)</w:t>
            </w:r>
          </w:p>
        </w:tc>
        <w:tc>
          <w:tcPr>
            <w:tcW w:w="1245" w:type="dxa"/>
          </w:tcPr>
          <w:p w14:paraId="2A2AC1CD" w14:textId="77777777" w:rsidR="009A49CA" w:rsidRDefault="009A49CA" w:rsidP="009A49CA">
            <w:pPr>
              <w:pStyle w:val="G4bTableBody"/>
            </w:pPr>
            <w:r w:rsidRPr="0005549D">
              <w:rPr>
                <w:i/>
              </w:rPr>
              <w:t>K</w:t>
            </w:r>
            <w:r w:rsidRPr="0005549D">
              <w:rPr>
                <w:i/>
                <w:vertAlign w:val="subscript"/>
              </w:rPr>
              <w:t>1</w:t>
            </w:r>
            <w:r w:rsidRPr="0005549D">
              <w:rPr>
                <w:i/>
              </w:rPr>
              <w:t xml:space="preserve"> </w:t>
            </w:r>
            <w:r>
              <w:t>= 17</w:t>
            </w:r>
            <w:r w:rsidR="00DA6DF3">
              <w:t>400</w:t>
            </w:r>
            <w:r>
              <w:t xml:space="preserve"> (5%)</w:t>
            </w:r>
          </w:p>
          <w:p w14:paraId="45599024" w14:textId="77777777" w:rsidR="003D058A" w:rsidRDefault="009A49CA" w:rsidP="009A49CA">
            <w:pPr>
              <w:pStyle w:val="G4bTableBody"/>
            </w:pPr>
            <w:r w:rsidRPr="0005549D">
              <w:rPr>
                <w:i/>
              </w:rPr>
              <w:t>K</w:t>
            </w:r>
            <w:r w:rsidRPr="0005549D">
              <w:rPr>
                <w:i/>
                <w:vertAlign w:val="subscript"/>
              </w:rPr>
              <w:t>2</w:t>
            </w:r>
            <w:r>
              <w:t xml:space="preserve"> = 59 (5%)</w:t>
            </w:r>
          </w:p>
        </w:tc>
        <w:tc>
          <w:tcPr>
            <w:tcW w:w="1245" w:type="dxa"/>
          </w:tcPr>
          <w:p w14:paraId="17FB9789" w14:textId="77777777" w:rsidR="003D058A" w:rsidRDefault="0005549D" w:rsidP="003D058A">
            <w:pPr>
              <w:pStyle w:val="G4bTableBody"/>
            </w:pPr>
            <w:r w:rsidRPr="0005549D">
              <w:rPr>
                <w:i/>
              </w:rPr>
              <w:t>K</w:t>
            </w:r>
            <w:r w:rsidRPr="0005549D">
              <w:rPr>
                <w:i/>
                <w:vertAlign w:val="subscript"/>
              </w:rPr>
              <w:t>1</w:t>
            </w:r>
            <w:r w:rsidRPr="0005549D">
              <w:rPr>
                <w:i/>
              </w:rPr>
              <w:t xml:space="preserve"> </w:t>
            </w:r>
            <w:r>
              <w:t>= 26</w:t>
            </w:r>
            <w:r w:rsidR="00DA6DF3">
              <w:t>800</w:t>
            </w:r>
            <w:r>
              <w:t xml:space="preserve"> (4%)</w:t>
            </w:r>
          </w:p>
          <w:p w14:paraId="29F1302C" w14:textId="77777777" w:rsidR="0005549D" w:rsidRDefault="0005549D" w:rsidP="003D058A">
            <w:pPr>
              <w:pStyle w:val="G4bTableBody"/>
            </w:pPr>
            <w:r w:rsidRPr="0005549D">
              <w:rPr>
                <w:i/>
              </w:rPr>
              <w:t>K</w:t>
            </w:r>
            <w:r w:rsidRPr="0005549D">
              <w:rPr>
                <w:i/>
                <w:vertAlign w:val="subscript"/>
              </w:rPr>
              <w:t>2</w:t>
            </w:r>
            <w:r>
              <w:t xml:space="preserve"> = 36 (4%)</w:t>
            </w:r>
          </w:p>
        </w:tc>
      </w:tr>
      <w:tr w:rsidR="003D058A" w14:paraId="03E48019" w14:textId="77777777" w:rsidTr="003D058A">
        <w:tc>
          <w:tcPr>
            <w:tcW w:w="1244" w:type="dxa"/>
          </w:tcPr>
          <w:p w14:paraId="20B7A583" w14:textId="77777777" w:rsidR="003D058A" w:rsidRDefault="003D058A" w:rsidP="003D058A">
            <w:pPr>
              <w:pStyle w:val="G4bTableBody"/>
            </w:pPr>
            <w:r>
              <w:t>Br</w:t>
            </w:r>
            <w:r w:rsidRPr="003D058A">
              <w:rPr>
                <w:vertAlign w:val="superscript"/>
              </w:rPr>
              <w:t>-</w:t>
            </w:r>
            <w:r w:rsidR="00842785">
              <w:rPr>
                <w:vertAlign w:val="superscript"/>
              </w:rPr>
              <w:t>a</w:t>
            </w:r>
          </w:p>
        </w:tc>
        <w:tc>
          <w:tcPr>
            <w:tcW w:w="1245" w:type="dxa"/>
          </w:tcPr>
          <w:p w14:paraId="405548FD" w14:textId="77777777" w:rsidR="003D058A" w:rsidRDefault="009A49CA" w:rsidP="003D058A">
            <w:pPr>
              <w:pStyle w:val="G4bTableBody"/>
            </w:pPr>
            <w:r>
              <w:t>59 (6%)</w:t>
            </w:r>
          </w:p>
        </w:tc>
        <w:tc>
          <w:tcPr>
            <w:tcW w:w="1245" w:type="dxa"/>
          </w:tcPr>
          <w:p w14:paraId="22DDE6CE" w14:textId="77777777" w:rsidR="003D058A" w:rsidRDefault="009A49CA" w:rsidP="003D058A">
            <w:pPr>
              <w:pStyle w:val="G4bTableBody"/>
            </w:pPr>
            <w:r w:rsidRPr="0005549D">
              <w:rPr>
                <w:i/>
              </w:rPr>
              <w:t>K</w:t>
            </w:r>
            <w:r w:rsidRPr="0005549D">
              <w:rPr>
                <w:i/>
                <w:vertAlign w:val="subscript"/>
              </w:rPr>
              <w:t>1</w:t>
            </w:r>
            <w:r w:rsidRPr="0005549D">
              <w:rPr>
                <w:i/>
              </w:rPr>
              <w:t xml:space="preserve"> </w:t>
            </w:r>
            <w:r>
              <w:t>= 10</w:t>
            </w:r>
            <w:r w:rsidR="00DA6DF3">
              <w:t>800</w:t>
            </w:r>
            <w:r>
              <w:t xml:space="preserve"> (3%)</w:t>
            </w:r>
          </w:p>
          <w:p w14:paraId="35EC3EF5" w14:textId="77777777" w:rsidR="009A49CA" w:rsidRDefault="009A49CA" w:rsidP="003D058A">
            <w:pPr>
              <w:pStyle w:val="G4bTableBody"/>
            </w:pPr>
            <w:r w:rsidRPr="0005549D">
              <w:rPr>
                <w:i/>
              </w:rPr>
              <w:t>K</w:t>
            </w:r>
            <w:r w:rsidRPr="0005549D">
              <w:rPr>
                <w:i/>
                <w:vertAlign w:val="subscript"/>
              </w:rPr>
              <w:t>2</w:t>
            </w:r>
            <w:r>
              <w:t xml:space="preserve"> =</w:t>
            </w:r>
            <w:r w:rsidR="0005549D">
              <w:t xml:space="preserve"> 120 (5%)</w:t>
            </w:r>
          </w:p>
        </w:tc>
        <w:tc>
          <w:tcPr>
            <w:tcW w:w="1245" w:type="dxa"/>
          </w:tcPr>
          <w:p w14:paraId="433819D7" w14:textId="77777777" w:rsidR="003D058A" w:rsidRDefault="0005549D" w:rsidP="003D058A">
            <w:pPr>
              <w:pStyle w:val="G4bTableBody"/>
            </w:pPr>
            <w:r w:rsidRPr="0005549D">
              <w:rPr>
                <w:i/>
              </w:rPr>
              <w:t>K</w:t>
            </w:r>
            <w:r w:rsidRPr="0005549D">
              <w:rPr>
                <w:i/>
                <w:vertAlign w:val="subscript"/>
              </w:rPr>
              <w:t>1</w:t>
            </w:r>
            <w:r w:rsidR="00DA6DF3">
              <w:t xml:space="preserve"> = 8510</w:t>
            </w:r>
            <w:r>
              <w:t xml:space="preserve"> (5%)</w:t>
            </w:r>
          </w:p>
          <w:p w14:paraId="5A4428F7" w14:textId="77777777" w:rsidR="0005549D" w:rsidRDefault="0005549D" w:rsidP="003D058A">
            <w:pPr>
              <w:pStyle w:val="G4bTableBody"/>
            </w:pPr>
            <w:r w:rsidRPr="0005549D">
              <w:rPr>
                <w:i/>
              </w:rPr>
              <w:t>K</w:t>
            </w:r>
            <w:r w:rsidRPr="0005549D">
              <w:rPr>
                <w:i/>
                <w:vertAlign w:val="subscript"/>
              </w:rPr>
              <w:t>2</w:t>
            </w:r>
            <w:r w:rsidRPr="0005549D">
              <w:rPr>
                <w:i/>
              </w:rPr>
              <w:t xml:space="preserve"> </w:t>
            </w:r>
            <w:r>
              <w:t>= 130 (5%)</w:t>
            </w:r>
          </w:p>
        </w:tc>
      </w:tr>
      <w:tr w:rsidR="003D058A" w14:paraId="59502417" w14:textId="77777777" w:rsidTr="003D058A">
        <w:tc>
          <w:tcPr>
            <w:tcW w:w="1244" w:type="dxa"/>
          </w:tcPr>
          <w:p w14:paraId="7012F5ED" w14:textId="77777777" w:rsidR="003D058A" w:rsidRDefault="003D058A" w:rsidP="003D058A">
            <w:pPr>
              <w:pStyle w:val="G4bTableBody"/>
            </w:pPr>
            <w:r>
              <w:t>I</w:t>
            </w:r>
            <w:r w:rsidRPr="003D058A">
              <w:rPr>
                <w:vertAlign w:val="superscript"/>
              </w:rPr>
              <w:t>-</w:t>
            </w:r>
            <w:r w:rsidR="00842785">
              <w:rPr>
                <w:vertAlign w:val="superscript"/>
              </w:rPr>
              <w:t>a</w:t>
            </w:r>
          </w:p>
        </w:tc>
        <w:tc>
          <w:tcPr>
            <w:tcW w:w="1245" w:type="dxa"/>
          </w:tcPr>
          <w:p w14:paraId="227183CE" w14:textId="77777777" w:rsidR="003D058A" w:rsidRDefault="009A49CA" w:rsidP="003D058A">
            <w:pPr>
              <w:pStyle w:val="G4bTableBody"/>
            </w:pPr>
            <w:r>
              <w:t>25</w:t>
            </w:r>
            <w:r w:rsidR="002128C6">
              <w:t xml:space="preserve"> </w:t>
            </w:r>
            <w:r>
              <w:t>(</w:t>
            </w:r>
            <w:r w:rsidR="00D7010D">
              <w:t>7</w:t>
            </w:r>
            <w:r>
              <w:t>%)</w:t>
            </w:r>
          </w:p>
        </w:tc>
        <w:tc>
          <w:tcPr>
            <w:tcW w:w="1245" w:type="dxa"/>
          </w:tcPr>
          <w:p w14:paraId="77DA2F4E" w14:textId="77777777" w:rsidR="003D058A" w:rsidRDefault="0005549D" w:rsidP="003D058A">
            <w:pPr>
              <w:pStyle w:val="G4bTableBody"/>
            </w:pPr>
            <w:r>
              <w:t>48 (5%)</w:t>
            </w:r>
          </w:p>
        </w:tc>
        <w:tc>
          <w:tcPr>
            <w:tcW w:w="1245" w:type="dxa"/>
          </w:tcPr>
          <w:p w14:paraId="0855A964" w14:textId="77777777" w:rsidR="003D058A" w:rsidRDefault="0005549D" w:rsidP="003D058A">
            <w:pPr>
              <w:pStyle w:val="G4bTableBody"/>
            </w:pPr>
            <w:r>
              <w:t>74 (4%)</w:t>
            </w:r>
          </w:p>
        </w:tc>
      </w:tr>
      <w:tr w:rsidR="003D058A" w14:paraId="6D8E4605" w14:textId="77777777" w:rsidTr="003D058A">
        <w:tc>
          <w:tcPr>
            <w:tcW w:w="1244" w:type="dxa"/>
          </w:tcPr>
          <w:p w14:paraId="72855A1F" w14:textId="77777777" w:rsidR="003D058A" w:rsidRDefault="003D058A" w:rsidP="003D058A">
            <w:pPr>
              <w:pStyle w:val="G4bTableBody"/>
            </w:pPr>
            <w:r>
              <w:t>Cl</w:t>
            </w:r>
            <w:r w:rsidRPr="003D058A">
              <w:rPr>
                <w:vertAlign w:val="superscript"/>
              </w:rPr>
              <w:t>-</w:t>
            </w:r>
            <w:r w:rsidR="00842785">
              <w:rPr>
                <w:vertAlign w:val="superscript"/>
              </w:rPr>
              <w:t>b</w:t>
            </w:r>
          </w:p>
        </w:tc>
        <w:tc>
          <w:tcPr>
            <w:tcW w:w="1245" w:type="dxa"/>
          </w:tcPr>
          <w:p w14:paraId="00DF5A51" w14:textId="77777777" w:rsidR="009A49CA" w:rsidRDefault="00B55E62" w:rsidP="003D058A">
            <w:pPr>
              <w:pStyle w:val="G4bTableBody"/>
            </w:pPr>
            <w:r>
              <w:t>&lt;10</w:t>
            </w:r>
          </w:p>
        </w:tc>
        <w:tc>
          <w:tcPr>
            <w:tcW w:w="1245" w:type="dxa"/>
          </w:tcPr>
          <w:p w14:paraId="13987D11" w14:textId="77777777" w:rsidR="003D058A" w:rsidRDefault="00B55E62" w:rsidP="00B55E62">
            <w:pPr>
              <w:pStyle w:val="G4bTableBody"/>
            </w:pPr>
            <w:r>
              <w:t>13 (7%)</w:t>
            </w:r>
            <w:r w:rsidRPr="00FB61D1">
              <w:rPr>
                <w:vertAlign w:val="superscript"/>
              </w:rPr>
              <w:t>c</w:t>
            </w:r>
          </w:p>
        </w:tc>
        <w:tc>
          <w:tcPr>
            <w:tcW w:w="1245" w:type="dxa"/>
          </w:tcPr>
          <w:p w14:paraId="5C02AC06" w14:textId="77777777" w:rsidR="003D058A" w:rsidRDefault="00B55E62" w:rsidP="003D058A">
            <w:pPr>
              <w:pStyle w:val="G4bTableBody"/>
            </w:pPr>
            <w:r>
              <w:t>17 (7%)</w:t>
            </w:r>
            <w:r w:rsidRPr="00FB61D1">
              <w:rPr>
                <w:vertAlign w:val="superscript"/>
              </w:rPr>
              <w:t>c</w:t>
            </w:r>
          </w:p>
        </w:tc>
      </w:tr>
      <w:tr w:rsidR="003D058A" w14:paraId="19C021D0" w14:textId="77777777" w:rsidTr="003D058A">
        <w:tc>
          <w:tcPr>
            <w:tcW w:w="1244" w:type="dxa"/>
          </w:tcPr>
          <w:p w14:paraId="06211C44" w14:textId="77777777" w:rsidR="003D058A" w:rsidRDefault="003D058A" w:rsidP="003D058A">
            <w:pPr>
              <w:pStyle w:val="G4bTableBody"/>
            </w:pPr>
            <w:r>
              <w:t>Br</w:t>
            </w:r>
            <w:r w:rsidRPr="003D058A">
              <w:rPr>
                <w:vertAlign w:val="superscript"/>
              </w:rPr>
              <w:t>-</w:t>
            </w:r>
            <w:r w:rsidR="00842785">
              <w:rPr>
                <w:vertAlign w:val="superscript"/>
              </w:rPr>
              <w:t>b</w:t>
            </w:r>
          </w:p>
        </w:tc>
        <w:tc>
          <w:tcPr>
            <w:tcW w:w="1245" w:type="dxa"/>
          </w:tcPr>
          <w:p w14:paraId="3F46064A" w14:textId="77777777" w:rsidR="003D058A" w:rsidRDefault="00B55E62" w:rsidP="003D058A">
            <w:pPr>
              <w:pStyle w:val="G4bTableBody"/>
            </w:pPr>
            <w:r>
              <w:t>&lt;10</w:t>
            </w:r>
          </w:p>
        </w:tc>
        <w:tc>
          <w:tcPr>
            <w:tcW w:w="1245" w:type="dxa"/>
          </w:tcPr>
          <w:p w14:paraId="7C6C1773" w14:textId="77777777" w:rsidR="003D058A" w:rsidRDefault="00B55E62" w:rsidP="003D058A">
            <w:pPr>
              <w:pStyle w:val="G4bTableBody"/>
            </w:pPr>
            <w:r>
              <w:t>32 (6%)</w:t>
            </w:r>
            <w:r w:rsidRPr="00FB61D1">
              <w:rPr>
                <w:vertAlign w:val="superscript"/>
              </w:rPr>
              <w:t>c</w:t>
            </w:r>
          </w:p>
        </w:tc>
        <w:tc>
          <w:tcPr>
            <w:tcW w:w="1245" w:type="dxa"/>
          </w:tcPr>
          <w:p w14:paraId="59CC9D6C" w14:textId="77777777" w:rsidR="003D058A" w:rsidRDefault="00B55E62" w:rsidP="003D058A">
            <w:pPr>
              <w:pStyle w:val="G4bTableBody"/>
            </w:pPr>
            <w:r>
              <w:t>25 (6%)</w:t>
            </w:r>
            <w:r w:rsidR="009618BB" w:rsidRPr="00FB61D1">
              <w:rPr>
                <w:vertAlign w:val="superscript"/>
              </w:rPr>
              <w:t>c</w:t>
            </w:r>
          </w:p>
        </w:tc>
      </w:tr>
      <w:tr w:rsidR="003D058A" w14:paraId="2F85F0D7" w14:textId="77777777" w:rsidTr="003D058A">
        <w:tc>
          <w:tcPr>
            <w:tcW w:w="1244" w:type="dxa"/>
          </w:tcPr>
          <w:p w14:paraId="7ADDD96A" w14:textId="77777777" w:rsidR="003D058A" w:rsidRDefault="003D058A" w:rsidP="003D058A">
            <w:pPr>
              <w:pStyle w:val="G4bTableBody"/>
            </w:pPr>
            <w:r>
              <w:t>I</w:t>
            </w:r>
            <w:r w:rsidRPr="003D058A">
              <w:rPr>
                <w:vertAlign w:val="superscript"/>
              </w:rPr>
              <w:t>-</w:t>
            </w:r>
            <w:r w:rsidR="00842785">
              <w:rPr>
                <w:vertAlign w:val="superscript"/>
              </w:rPr>
              <w:t>b</w:t>
            </w:r>
          </w:p>
        </w:tc>
        <w:tc>
          <w:tcPr>
            <w:tcW w:w="1245" w:type="dxa"/>
          </w:tcPr>
          <w:p w14:paraId="2BEAA1D5" w14:textId="77777777" w:rsidR="003D058A" w:rsidRDefault="00B55E62" w:rsidP="003D058A">
            <w:pPr>
              <w:pStyle w:val="G4bTableBody"/>
            </w:pPr>
            <w:r>
              <w:t>&lt;10</w:t>
            </w:r>
          </w:p>
        </w:tc>
        <w:tc>
          <w:tcPr>
            <w:tcW w:w="1245" w:type="dxa"/>
          </w:tcPr>
          <w:p w14:paraId="634F38A0" w14:textId="77777777" w:rsidR="003D058A" w:rsidRDefault="00B55E62" w:rsidP="003D058A">
            <w:pPr>
              <w:pStyle w:val="G4bTableBody"/>
            </w:pPr>
            <w:r>
              <w:t>36 (6%)</w:t>
            </w:r>
            <w:r w:rsidRPr="00FB61D1">
              <w:rPr>
                <w:vertAlign w:val="superscript"/>
              </w:rPr>
              <w:t>c</w:t>
            </w:r>
          </w:p>
        </w:tc>
        <w:tc>
          <w:tcPr>
            <w:tcW w:w="1245" w:type="dxa"/>
          </w:tcPr>
          <w:p w14:paraId="713C4091" w14:textId="77777777" w:rsidR="003D058A" w:rsidRDefault="00B55E62" w:rsidP="003D058A">
            <w:pPr>
              <w:pStyle w:val="G4bTableBody"/>
            </w:pPr>
            <w:r>
              <w:t>21 (6%)</w:t>
            </w:r>
            <w:r w:rsidR="009618BB" w:rsidRPr="00FB61D1">
              <w:rPr>
                <w:vertAlign w:val="superscript"/>
              </w:rPr>
              <w:t>c</w:t>
            </w:r>
          </w:p>
        </w:tc>
      </w:tr>
      <w:tr w:rsidR="003D058A" w14:paraId="07AA455D" w14:textId="77777777" w:rsidTr="003D058A">
        <w:tc>
          <w:tcPr>
            <w:tcW w:w="1244" w:type="dxa"/>
          </w:tcPr>
          <w:p w14:paraId="40752CD1" w14:textId="77777777" w:rsidR="003D058A" w:rsidRDefault="003D058A" w:rsidP="003D058A">
            <w:pPr>
              <w:pStyle w:val="G4bTableBody"/>
            </w:pPr>
            <w:r>
              <w:t>HCO</w:t>
            </w:r>
            <w:r w:rsidRPr="003D058A">
              <w:rPr>
                <w:vertAlign w:val="subscript"/>
              </w:rPr>
              <w:t>3</w:t>
            </w:r>
            <w:r w:rsidRPr="003D058A">
              <w:rPr>
                <w:vertAlign w:val="superscript"/>
              </w:rPr>
              <w:t>-</w:t>
            </w:r>
            <w:r w:rsidR="00842785">
              <w:rPr>
                <w:vertAlign w:val="superscript"/>
              </w:rPr>
              <w:t>b</w:t>
            </w:r>
          </w:p>
        </w:tc>
        <w:tc>
          <w:tcPr>
            <w:tcW w:w="1245" w:type="dxa"/>
          </w:tcPr>
          <w:p w14:paraId="6A45170E" w14:textId="77777777" w:rsidR="003D058A" w:rsidRPr="003D2E80" w:rsidRDefault="00FB61D1" w:rsidP="003D058A">
            <w:pPr>
              <w:pStyle w:val="G4bTableBody"/>
              <w:rPr>
                <w:vertAlign w:val="superscript"/>
              </w:rPr>
            </w:pPr>
            <w:r w:rsidRPr="003D2E80">
              <w:rPr>
                <w:vertAlign w:val="superscript"/>
              </w:rPr>
              <w:t>d</w:t>
            </w:r>
          </w:p>
        </w:tc>
        <w:tc>
          <w:tcPr>
            <w:tcW w:w="1245" w:type="dxa"/>
          </w:tcPr>
          <w:p w14:paraId="779258B6" w14:textId="77777777" w:rsidR="003D058A" w:rsidRDefault="00057EFF" w:rsidP="003D058A">
            <w:pPr>
              <w:pStyle w:val="G4bTableBody"/>
            </w:pPr>
            <w:r>
              <w:t>d</w:t>
            </w:r>
          </w:p>
        </w:tc>
        <w:tc>
          <w:tcPr>
            <w:tcW w:w="1245" w:type="dxa"/>
          </w:tcPr>
          <w:p w14:paraId="44623C26" w14:textId="77777777" w:rsidR="003D058A" w:rsidRDefault="00057EFF" w:rsidP="003D058A">
            <w:pPr>
              <w:pStyle w:val="G4bTableBody"/>
            </w:pPr>
            <w:r>
              <w:t>d</w:t>
            </w:r>
          </w:p>
        </w:tc>
      </w:tr>
      <w:tr w:rsidR="003D058A" w14:paraId="079D81AD" w14:textId="77777777" w:rsidTr="003D058A">
        <w:tc>
          <w:tcPr>
            <w:tcW w:w="1244" w:type="dxa"/>
          </w:tcPr>
          <w:p w14:paraId="2A33C62C" w14:textId="77777777" w:rsidR="003D058A" w:rsidRDefault="003D058A" w:rsidP="003D058A">
            <w:pPr>
              <w:pStyle w:val="G4bTableBody"/>
            </w:pPr>
            <w:r>
              <w:t>CH</w:t>
            </w:r>
            <w:r w:rsidRPr="003D058A">
              <w:rPr>
                <w:vertAlign w:val="subscript"/>
              </w:rPr>
              <w:t>3</w:t>
            </w:r>
            <w:r>
              <w:t>CO</w:t>
            </w:r>
            <w:r w:rsidRPr="003D058A">
              <w:rPr>
                <w:vertAlign w:val="subscript"/>
              </w:rPr>
              <w:t>2</w:t>
            </w:r>
            <w:r w:rsidRPr="003D058A">
              <w:rPr>
                <w:vertAlign w:val="superscript"/>
              </w:rPr>
              <w:t>-</w:t>
            </w:r>
            <w:r w:rsidR="00842785">
              <w:rPr>
                <w:vertAlign w:val="superscript"/>
              </w:rPr>
              <w:t>b</w:t>
            </w:r>
          </w:p>
        </w:tc>
        <w:tc>
          <w:tcPr>
            <w:tcW w:w="1245" w:type="dxa"/>
          </w:tcPr>
          <w:p w14:paraId="1F46411B" w14:textId="77777777" w:rsidR="003D058A" w:rsidRDefault="003D2E80" w:rsidP="003D058A">
            <w:pPr>
              <w:pStyle w:val="G4bTableBody"/>
            </w:pPr>
            <w:r w:rsidRPr="003D2E80">
              <w:rPr>
                <w:vertAlign w:val="superscript"/>
              </w:rPr>
              <w:t>d</w:t>
            </w:r>
          </w:p>
        </w:tc>
        <w:tc>
          <w:tcPr>
            <w:tcW w:w="1245" w:type="dxa"/>
          </w:tcPr>
          <w:p w14:paraId="653C6859" w14:textId="77777777" w:rsidR="003D058A" w:rsidRDefault="002B6311" w:rsidP="003D058A">
            <w:pPr>
              <w:pStyle w:val="G4bTableBody"/>
            </w:pPr>
            <w:r w:rsidRPr="00D60189">
              <w:rPr>
                <w:i/>
              </w:rPr>
              <w:t>K</w:t>
            </w:r>
            <w:r w:rsidRPr="00D60189">
              <w:rPr>
                <w:i/>
                <w:vertAlign w:val="subscript"/>
              </w:rPr>
              <w:t>1</w:t>
            </w:r>
            <w:r>
              <w:t xml:space="preserve"> = 65</w:t>
            </w:r>
            <w:r w:rsidR="00DA6DF3">
              <w:t>10</w:t>
            </w:r>
            <w:r>
              <w:t xml:space="preserve"> (4%)</w:t>
            </w:r>
          </w:p>
          <w:p w14:paraId="597BF95E" w14:textId="77777777" w:rsidR="002B6311" w:rsidRDefault="002B6311" w:rsidP="003D058A">
            <w:pPr>
              <w:pStyle w:val="G4bTableBody"/>
            </w:pPr>
            <w:r w:rsidRPr="00D60189">
              <w:rPr>
                <w:i/>
              </w:rPr>
              <w:t>K</w:t>
            </w:r>
            <w:r w:rsidRPr="00D60189">
              <w:rPr>
                <w:i/>
                <w:vertAlign w:val="subscript"/>
              </w:rPr>
              <w:t>2</w:t>
            </w:r>
            <w:r>
              <w:t xml:space="preserve"> = 39 (4%)</w:t>
            </w:r>
          </w:p>
        </w:tc>
        <w:tc>
          <w:tcPr>
            <w:tcW w:w="1245" w:type="dxa"/>
          </w:tcPr>
          <w:p w14:paraId="041A7F97" w14:textId="77777777" w:rsidR="003D058A" w:rsidRDefault="00057EFF" w:rsidP="003D058A">
            <w:pPr>
              <w:pStyle w:val="G4bTableBody"/>
            </w:pPr>
            <w:r>
              <w:t>d</w:t>
            </w:r>
          </w:p>
        </w:tc>
      </w:tr>
      <w:tr w:rsidR="003D058A" w14:paraId="6F8154DC" w14:textId="77777777" w:rsidTr="003D058A">
        <w:tc>
          <w:tcPr>
            <w:tcW w:w="1244" w:type="dxa"/>
          </w:tcPr>
          <w:p w14:paraId="408477B4" w14:textId="77777777" w:rsidR="003D058A" w:rsidRDefault="003D058A" w:rsidP="003D058A">
            <w:pPr>
              <w:pStyle w:val="G4bTableBody"/>
            </w:pPr>
            <w:r>
              <w:t>PhCO</w:t>
            </w:r>
            <w:r w:rsidRPr="003D058A">
              <w:rPr>
                <w:vertAlign w:val="subscript"/>
              </w:rPr>
              <w:t>2</w:t>
            </w:r>
            <w:r w:rsidRPr="003D058A">
              <w:rPr>
                <w:vertAlign w:val="superscript"/>
              </w:rPr>
              <w:t>-</w:t>
            </w:r>
            <w:r w:rsidR="00842785">
              <w:rPr>
                <w:vertAlign w:val="superscript"/>
              </w:rPr>
              <w:t>b</w:t>
            </w:r>
          </w:p>
        </w:tc>
        <w:tc>
          <w:tcPr>
            <w:tcW w:w="1245" w:type="dxa"/>
          </w:tcPr>
          <w:p w14:paraId="34F11486" w14:textId="77777777" w:rsidR="003D058A" w:rsidRDefault="003D2E80" w:rsidP="003D058A">
            <w:pPr>
              <w:pStyle w:val="G4bTableBody"/>
            </w:pPr>
            <w:r w:rsidRPr="003D2E80">
              <w:rPr>
                <w:vertAlign w:val="superscript"/>
              </w:rPr>
              <w:t>d</w:t>
            </w:r>
          </w:p>
        </w:tc>
        <w:tc>
          <w:tcPr>
            <w:tcW w:w="1245" w:type="dxa"/>
          </w:tcPr>
          <w:p w14:paraId="1FAD343F" w14:textId="77777777" w:rsidR="00E150F9" w:rsidRPr="00B52F35" w:rsidRDefault="00E72B54" w:rsidP="00E72B54">
            <w:pPr>
              <w:pStyle w:val="G4bTableBody"/>
            </w:pPr>
            <w:r>
              <w:t>e</w:t>
            </w:r>
          </w:p>
        </w:tc>
        <w:tc>
          <w:tcPr>
            <w:tcW w:w="1245" w:type="dxa"/>
          </w:tcPr>
          <w:p w14:paraId="52BA0703" w14:textId="77777777" w:rsidR="003D058A" w:rsidRDefault="003F1BD3" w:rsidP="003D058A">
            <w:pPr>
              <w:pStyle w:val="G4bTableBody"/>
            </w:pPr>
            <w:r w:rsidRPr="00FB2D25">
              <w:rPr>
                <w:i/>
              </w:rPr>
              <w:t>K</w:t>
            </w:r>
            <w:r w:rsidRPr="00FB2D25">
              <w:rPr>
                <w:i/>
                <w:vertAlign w:val="subscript"/>
              </w:rPr>
              <w:t>1</w:t>
            </w:r>
            <w:r>
              <w:t xml:space="preserve"> = </w:t>
            </w:r>
            <w:r w:rsidR="00E150F9">
              <w:t>100</w:t>
            </w:r>
            <w:r w:rsidR="00DA6DF3">
              <w:t>00</w:t>
            </w:r>
            <w:r w:rsidR="00E150F9">
              <w:t xml:space="preserve"> (3%)</w:t>
            </w:r>
          </w:p>
          <w:p w14:paraId="45ABEBC9" w14:textId="77777777" w:rsidR="003F1BD3" w:rsidRDefault="003F1BD3" w:rsidP="00E150F9">
            <w:pPr>
              <w:pStyle w:val="G4bTableBody"/>
            </w:pPr>
            <w:r w:rsidRPr="00FB2D25">
              <w:rPr>
                <w:i/>
              </w:rPr>
              <w:t>K</w:t>
            </w:r>
            <w:r w:rsidRPr="00FB2D25">
              <w:rPr>
                <w:i/>
                <w:vertAlign w:val="subscript"/>
              </w:rPr>
              <w:t>2</w:t>
            </w:r>
            <w:r w:rsidRPr="00FB2D25">
              <w:rPr>
                <w:i/>
              </w:rPr>
              <w:t xml:space="preserve"> </w:t>
            </w:r>
            <w:r>
              <w:t xml:space="preserve">= </w:t>
            </w:r>
            <w:r w:rsidR="00E150F9">
              <w:t>48 (3%)</w:t>
            </w:r>
          </w:p>
        </w:tc>
      </w:tr>
      <w:tr w:rsidR="003D058A" w14:paraId="709B67BF" w14:textId="77777777" w:rsidTr="003D058A">
        <w:tc>
          <w:tcPr>
            <w:tcW w:w="1244" w:type="dxa"/>
          </w:tcPr>
          <w:p w14:paraId="4FA169C4" w14:textId="77777777" w:rsidR="003D058A" w:rsidRDefault="003D058A" w:rsidP="003D058A">
            <w:pPr>
              <w:pStyle w:val="G4bTableBody"/>
            </w:pPr>
            <w:r>
              <w:t>H</w:t>
            </w:r>
            <w:r w:rsidRPr="003D058A">
              <w:rPr>
                <w:vertAlign w:val="subscript"/>
              </w:rPr>
              <w:t>2</w:t>
            </w:r>
            <w:r>
              <w:t>PO</w:t>
            </w:r>
            <w:r w:rsidRPr="003D058A">
              <w:rPr>
                <w:vertAlign w:val="subscript"/>
              </w:rPr>
              <w:t>4</w:t>
            </w:r>
            <w:r w:rsidRPr="003D058A">
              <w:rPr>
                <w:vertAlign w:val="superscript"/>
              </w:rPr>
              <w:t>-</w:t>
            </w:r>
            <w:r w:rsidR="00842785">
              <w:rPr>
                <w:vertAlign w:val="superscript"/>
              </w:rPr>
              <w:t>b</w:t>
            </w:r>
          </w:p>
        </w:tc>
        <w:tc>
          <w:tcPr>
            <w:tcW w:w="1245" w:type="dxa"/>
          </w:tcPr>
          <w:p w14:paraId="7E636921" w14:textId="77777777" w:rsidR="003D058A" w:rsidRDefault="003D2E80" w:rsidP="003D058A">
            <w:pPr>
              <w:pStyle w:val="G4bTableBody"/>
            </w:pPr>
            <w:r w:rsidRPr="003D2E80">
              <w:rPr>
                <w:vertAlign w:val="superscript"/>
              </w:rPr>
              <w:t>d</w:t>
            </w:r>
          </w:p>
        </w:tc>
        <w:tc>
          <w:tcPr>
            <w:tcW w:w="1245" w:type="dxa"/>
          </w:tcPr>
          <w:p w14:paraId="46C50A87" w14:textId="77777777" w:rsidR="003D058A" w:rsidRDefault="00F62703" w:rsidP="003D058A">
            <w:pPr>
              <w:pStyle w:val="G4bTableBody"/>
            </w:pPr>
            <w:r w:rsidRPr="00D60189">
              <w:rPr>
                <w:i/>
              </w:rPr>
              <w:t>K</w:t>
            </w:r>
            <w:r w:rsidRPr="00D60189">
              <w:rPr>
                <w:i/>
                <w:vertAlign w:val="subscript"/>
              </w:rPr>
              <w:t>1</w:t>
            </w:r>
            <w:r w:rsidRPr="00D60189">
              <w:rPr>
                <w:i/>
              </w:rPr>
              <w:t xml:space="preserve"> </w:t>
            </w:r>
            <w:r>
              <w:t>= 54</w:t>
            </w:r>
            <w:r w:rsidR="00DA6DF3">
              <w:t>60</w:t>
            </w:r>
            <w:r>
              <w:t xml:space="preserve"> (3%)</w:t>
            </w:r>
          </w:p>
          <w:p w14:paraId="1031BA7B" w14:textId="77777777" w:rsidR="00F62703" w:rsidRDefault="00F62703" w:rsidP="003D058A">
            <w:pPr>
              <w:pStyle w:val="G4bTableBody"/>
            </w:pPr>
            <w:r w:rsidRPr="00D60189">
              <w:rPr>
                <w:i/>
              </w:rPr>
              <w:t>K</w:t>
            </w:r>
            <w:r w:rsidRPr="00D60189">
              <w:rPr>
                <w:i/>
                <w:vertAlign w:val="subscript"/>
              </w:rPr>
              <w:t>2</w:t>
            </w:r>
            <w:r>
              <w:t xml:space="preserve"> = </w:t>
            </w:r>
            <w:r w:rsidR="00B52F35">
              <w:t>107 (3%)</w:t>
            </w:r>
          </w:p>
        </w:tc>
        <w:tc>
          <w:tcPr>
            <w:tcW w:w="1245" w:type="dxa"/>
          </w:tcPr>
          <w:p w14:paraId="5ECBC790" w14:textId="77777777" w:rsidR="003D058A" w:rsidRDefault="003F1BD3" w:rsidP="003D058A">
            <w:pPr>
              <w:pStyle w:val="G4bTableBody"/>
            </w:pPr>
            <w:r w:rsidRPr="003F1BD3">
              <w:rPr>
                <w:i/>
              </w:rPr>
              <w:t>K</w:t>
            </w:r>
            <w:r w:rsidRPr="003F1BD3">
              <w:rPr>
                <w:i/>
                <w:vertAlign w:val="subscript"/>
              </w:rPr>
              <w:t>1</w:t>
            </w:r>
            <w:r>
              <w:t xml:space="preserve"> = </w:t>
            </w:r>
            <w:r w:rsidR="000F2361">
              <w:t>204</w:t>
            </w:r>
            <w:r w:rsidR="00DA6DF3">
              <w:t>0</w:t>
            </w:r>
            <w:r w:rsidR="000F2361">
              <w:t xml:space="preserve"> (7</w:t>
            </w:r>
            <w:r>
              <w:t>%)</w:t>
            </w:r>
          </w:p>
          <w:p w14:paraId="4AB3D912" w14:textId="77777777" w:rsidR="003F1BD3" w:rsidRDefault="003F1BD3" w:rsidP="000F2361">
            <w:pPr>
              <w:pStyle w:val="G4bTableBody"/>
            </w:pPr>
            <w:r w:rsidRPr="003F1BD3">
              <w:rPr>
                <w:i/>
              </w:rPr>
              <w:t>K</w:t>
            </w:r>
            <w:r w:rsidRPr="003F1BD3">
              <w:rPr>
                <w:i/>
                <w:vertAlign w:val="subscript"/>
              </w:rPr>
              <w:t>2</w:t>
            </w:r>
            <w:r w:rsidRPr="003F1BD3">
              <w:rPr>
                <w:i/>
              </w:rPr>
              <w:t xml:space="preserve"> </w:t>
            </w:r>
            <w:r w:rsidRPr="000F2361">
              <w:t xml:space="preserve">= </w:t>
            </w:r>
            <w:r w:rsidR="000F2361">
              <w:t>432 (7%)</w:t>
            </w:r>
          </w:p>
        </w:tc>
      </w:tr>
      <w:tr w:rsidR="003D058A" w14:paraId="16E6DF0F" w14:textId="77777777" w:rsidTr="003D058A">
        <w:tc>
          <w:tcPr>
            <w:tcW w:w="1244" w:type="dxa"/>
          </w:tcPr>
          <w:p w14:paraId="14E7ECEC" w14:textId="77777777" w:rsidR="003D058A" w:rsidRDefault="003D058A" w:rsidP="003D058A">
            <w:pPr>
              <w:pStyle w:val="G4bTableBody"/>
            </w:pPr>
            <w:r>
              <w:t>NO</w:t>
            </w:r>
            <w:r w:rsidRPr="003D058A">
              <w:rPr>
                <w:vertAlign w:val="subscript"/>
              </w:rPr>
              <w:t>3</w:t>
            </w:r>
            <w:r w:rsidRPr="003D058A">
              <w:rPr>
                <w:vertAlign w:val="superscript"/>
              </w:rPr>
              <w:t>-</w:t>
            </w:r>
            <w:r w:rsidR="00842785">
              <w:rPr>
                <w:vertAlign w:val="superscript"/>
              </w:rPr>
              <w:t>b</w:t>
            </w:r>
          </w:p>
        </w:tc>
        <w:tc>
          <w:tcPr>
            <w:tcW w:w="1245" w:type="dxa"/>
          </w:tcPr>
          <w:p w14:paraId="2078C7D1" w14:textId="77777777" w:rsidR="003D058A" w:rsidRDefault="00FB61D1" w:rsidP="003D058A">
            <w:pPr>
              <w:pStyle w:val="G4bTableBody"/>
            </w:pPr>
            <w:r>
              <w:t>&lt;10</w:t>
            </w:r>
          </w:p>
        </w:tc>
        <w:tc>
          <w:tcPr>
            <w:tcW w:w="1245" w:type="dxa"/>
          </w:tcPr>
          <w:p w14:paraId="54966B99" w14:textId="77777777" w:rsidR="003D058A" w:rsidRDefault="00B52F35" w:rsidP="003D058A">
            <w:pPr>
              <w:pStyle w:val="G4bTableBody"/>
            </w:pPr>
            <w:r>
              <w:t>20 (7%)</w:t>
            </w:r>
            <w:r w:rsidRPr="00B52F35">
              <w:rPr>
                <w:vertAlign w:val="superscript"/>
              </w:rPr>
              <w:t>c</w:t>
            </w:r>
          </w:p>
        </w:tc>
        <w:tc>
          <w:tcPr>
            <w:tcW w:w="1245" w:type="dxa"/>
          </w:tcPr>
          <w:p w14:paraId="29AAC225" w14:textId="77777777" w:rsidR="003D058A" w:rsidRDefault="003F1BD3" w:rsidP="003D058A">
            <w:pPr>
              <w:pStyle w:val="G4bTableBody"/>
            </w:pPr>
            <w:r>
              <w:t>16 (10%)</w:t>
            </w:r>
          </w:p>
        </w:tc>
      </w:tr>
      <w:tr w:rsidR="003D058A" w14:paraId="4ED1A1D0" w14:textId="77777777" w:rsidTr="003D058A">
        <w:tc>
          <w:tcPr>
            <w:tcW w:w="1244" w:type="dxa"/>
          </w:tcPr>
          <w:p w14:paraId="3207FF38" w14:textId="77777777" w:rsidR="003D058A" w:rsidRDefault="003D058A" w:rsidP="003D058A">
            <w:pPr>
              <w:pStyle w:val="G4bTableBody"/>
            </w:pPr>
            <w:r>
              <w:t>HSO</w:t>
            </w:r>
            <w:r w:rsidRPr="003D058A">
              <w:rPr>
                <w:vertAlign w:val="subscript"/>
              </w:rPr>
              <w:t>4</w:t>
            </w:r>
            <w:r w:rsidRPr="003D058A">
              <w:rPr>
                <w:vertAlign w:val="superscript"/>
              </w:rPr>
              <w:t>-</w:t>
            </w:r>
            <w:r w:rsidR="00842785">
              <w:rPr>
                <w:vertAlign w:val="superscript"/>
              </w:rPr>
              <w:t>b</w:t>
            </w:r>
          </w:p>
        </w:tc>
        <w:tc>
          <w:tcPr>
            <w:tcW w:w="1245" w:type="dxa"/>
          </w:tcPr>
          <w:p w14:paraId="77D6C6BB" w14:textId="77777777" w:rsidR="003D058A" w:rsidRDefault="00FB61D1" w:rsidP="003D058A">
            <w:pPr>
              <w:pStyle w:val="G4bTableBody"/>
            </w:pPr>
            <w:r>
              <w:t>&lt;10</w:t>
            </w:r>
          </w:p>
        </w:tc>
        <w:tc>
          <w:tcPr>
            <w:tcW w:w="1245" w:type="dxa"/>
          </w:tcPr>
          <w:p w14:paraId="0592E767" w14:textId="77777777" w:rsidR="003D058A" w:rsidRDefault="00B52F35" w:rsidP="003D058A">
            <w:pPr>
              <w:pStyle w:val="G4bTableBody"/>
            </w:pPr>
            <w:r>
              <w:t>43 (4%)</w:t>
            </w:r>
            <w:r w:rsidRPr="00B52F35">
              <w:rPr>
                <w:vertAlign w:val="superscript"/>
              </w:rPr>
              <w:t>c</w:t>
            </w:r>
          </w:p>
        </w:tc>
        <w:tc>
          <w:tcPr>
            <w:tcW w:w="1245" w:type="dxa"/>
          </w:tcPr>
          <w:p w14:paraId="6FC40A72" w14:textId="77777777" w:rsidR="003D058A" w:rsidRDefault="003F1BD3" w:rsidP="003D058A">
            <w:pPr>
              <w:pStyle w:val="G4bTableBody"/>
            </w:pPr>
            <w:r>
              <w:t>57 (6%)</w:t>
            </w:r>
          </w:p>
        </w:tc>
      </w:tr>
      <w:tr w:rsidR="003D058A" w14:paraId="7780EC80" w14:textId="77777777" w:rsidTr="003D2E80">
        <w:trPr>
          <w:trHeight w:val="245"/>
        </w:trPr>
        <w:tc>
          <w:tcPr>
            <w:tcW w:w="1244" w:type="dxa"/>
          </w:tcPr>
          <w:p w14:paraId="5B397FB4" w14:textId="77777777" w:rsidR="003D058A" w:rsidRDefault="003D058A" w:rsidP="003D058A">
            <w:pPr>
              <w:pStyle w:val="G4bTableBody"/>
            </w:pPr>
            <w:r>
              <w:t>SO</w:t>
            </w:r>
            <w:r w:rsidRPr="003D058A">
              <w:rPr>
                <w:vertAlign w:val="subscript"/>
              </w:rPr>
              <w:t>4</w:t>
            </w:r>
            <w:r w:rsidRPr="003D058A">
              <w:rPr>
                <w:vertAlign w:val="superscript"/>
              </w:rPr>
              <w:t>2-</w:t>
            </w:r>
            <w:r w:rsidR="00842785">
              <w:rPr>
                <w:vertAlign w:val="superscript"/>
              </w:rPr>
              <w:t>b</w:t>
            </w:r>
          </w:p>
        </w:tc>
        <w:tc>
          <w:tcPr>
            <w:tcW w:w="1245" w:type="dxa"/>
          </w:tcPr>
          <w:p w14:paraId="47E4FFBF" w14:textId="77777777" w:rsidR="003D058A" w:rsidRDefault="003D2E80" w:rsidP="003D058A">
            <w:pPr>
              <w:pStyle w:val="G4bTableBody"/>
            </w:pPr>
            <w:r w:rsidRPr="003D2E80">
              <w:rPr>
                <w:vertAlign w:val="superscript"/>
              </w:rPr>
              <w:t>d</w:t>
            </w:r>
          </w:p>
        </w:tc>
        <w:tc>
          <w:tcPr>
            <w:tcW w:w="1245" w:type="dxa"/>
          </w:tcPr>
          <w:p w14:paraId="373416AF" w14:textId="77777777" w:rsidR="003D058A" w:rsidRDefault="00B52F35" w:rsidP="003D058A">
            <w:pPr>
              <w:pStyle w:val="G4bTableBody"/>
            </w:pPr>
            <w:r>
              <w:t>&gt;10</w:t>
            </w:r>
            <w:r w:rsidRPr="00B52F35">
              <w:rPr>
                <w:vertAlign w:val="superscript"/>
              </w:rPr>
              <w:t>4</w:t>
            </w:r>
          </w:p>
        </w:tc>
        <w:tc>
          <w:tcPr>
            <w:tcW w:w="1245" w:type="dxa"/>
          </w:tcPr>
          <w:p w14:paraId="6456F84F" w14:textId="77777777" w:rsidR="003D058A" w:rsidRDefault="00057EFF" w:rsidP="003D058A">
            <w:pPr>
              <w:pStyle w:val="G4bTableBody"/>
            </w:pPr>
            <w:r>
              <w:t>d</w:t>
            </w:r>
          </w:p>
        </w:tc>
      </w:tr>
    </w:tbl>
    <w:p w14:paraId="27FDE9BB" w14:textId="77777777" w:rsidR="006A7C50" w:rsidRDefault="00842785" w:rsidP="009A49CA">
      <w:pPr>
        <w:pStyle w:val="G4cTableFootnote"/>
      </w:pPr>
      <w:r w:rsidRPr="003D2E80">
        <w:rPr>
          <w:vertAlign w:val="superscript"/>
        </w:rPr>
        <w:t xml:space="preserve">a </w:t>
      </w:r>
      <w:r>
        <w:t>Titration conducted in acetonitrile-</w:t>
      </w:r>
      <w:r w:rsidRPr="00842785">
        <w:rPr>
          <w:i/>
        </w:rPr>
        <w:t>d</w:t>
      </w:r>
      <w:r w:rsidRPr="00842785">
        <w:rPr>
          <w:i/>
          <w:vertAlign w:val="subscript"/>
        </w:rPr>
        <w:t>3</w:t>
      </w:r>
      <w:r>
        <w:t xml:space="preserve">.  </w:t>
      </w:r>
      <w:r w:rsidRPr="003D2E80">
        <w:rPr>
          <w:vertAlign w:val="superscript"/>
        </w:rPr>
        <w:t>b</w:t>
      </w:r>
      <w:r>
        <w:t xml:space="preserve"> Titration conducted in DMSO-</w:t>
      </w:r>
      <w:r w:rsidRPr="00842785">
        <w:rPr>
          <w:i/>
        </w:rPr>
        <w:t>d</w:t>
      </w:r>
      <w:r w:rsidRPr="00842785">
        <w:rPr>
          <w:i/>
          <w:vertAlign w:val="subscript"/>
        </w:rPr>
        <w:t>6</w:t>
      </w:r>
      <w:r>
        <w:t>/0.5% water.</w:t>
      </w:r>
      <w:r w:rsidR="00B55E62">
        <w:t xml:space="preserve"> </w:t>
      </w:r>
      <w:r w:rsidR="00FB61D1" w:rsidRPr="003D2E80">
        <w:rPr>
          <w:vertAlign w:val="superscript"/>
        </w:rPr>
        <w:t>c</w:t>
      </w:r>
      <w:r w:rsidR="00B55E62">
        <w:t xml:space="preserve"> Stability constant determined following the shift of a CH resonance.</w:t>
      </w:r>
      <w:r w:rsidR="00FB61D1">
        <w:t xml:space="preserve"> </w:t>
      </w:r>
      <w:r w:rsidR="00FB61D1" w:rsidRPr="00FB61D1">
        <w:rPr>
          <w:vertAlign w:val="superscript"/>
        </w:rPr>
        <w:t>d</w:t>
      </w:r>
      <w:r w:rsidR="00FB61D1">
        <w:t xml:space="preserve"> Upfield shift of NH resonance followed by broadening into the baseline </w:t>
      </w:r>
      <w:r w:rsidR="003F1BD3">
        <w:t>(</w:t>
      </w:r>
      <w:r w:rsidR="00FB61D1">
        <w:t>and evolution of a pin</w:t>
      </w:r>
      <w:r w:rsidR="003D2E80">
        <w:t>k</w:t>
      </w:r>
      <w:r w:rsidR="00FB61D1">
        <w:t xml:space="preserve"> colour</w:t>
      </w:r>
      <w:r w:rsidR="003F1BD3">
        <w:t xml:space="preserve"> in the case of compound </w:t>
      </w:r>
      <w:r w:rsidR="003F1BD3" w:rsidRPr="003F1BD3">
        <w:rPr>
          <w:b/>
        </w:rPr>
        <w:t>1</w:t>
      </w:r>
      <w:r w:rsidR="003F1BD3">
        <w:t>)</w:t>
      </w:r>
      <w:r w:rsidR="00FB61D1">
        <w:t xml:space="preserve"> indicative of deprotonation.</w:t>
      </w:r>
      <w:r w:rsidR="002B6311">
        <w:t xml:space="preserve"> </w:t>
      </w:r>
      <w:r w:rsidR="002B6311" w:rsidRPr="00F92085">
        <w:rPr>
          <w:vertAlign w:val="superscript"/>
        </w:rPr>
        <w:t>e</w:t>
      </w:r>
      <w:r w:rsidR="002B6311">
        <w:t xml:space="preserve"> </w:t>
      </w:r>
      <w:r w:rsidR="00E72B54">
        <w:t>An adequate fit</w:t>
      </w:r>
      <w:r w:rsidR="002B6311">
        <w:t xml:space="preserve"> to a binding model</w:t>
      </w:r>
      <w:r w:rsidR="00E72B54">
        <w:t xml:space="preserve"> could not be obtained</w:t>
      </w:r>
      <w:r w:rsidR="002B6311">
        <w:t>.</w:t>
      </w:r>
    </w:p>
    <w:p w14:paraId="52FC6EE5" w14:textId="77777777" w:rsidR="0059351E" w:rsidRDefault="0059351E" w:rsidP="00EB402C">
      <w:pPr>
        <w:pStyle w:val="08ArticleText"/>
      </w:pPr>
    </w:p>
    <w:p w14:paraId="3937175E" w14:textId="77777777" w:rsidR="001E0189" w:rsidRDefault="001E0189" w:rsidP="001E0189">
      <w:pPr>
        <w:pStyle w:val="G1aFigureImage"/>
      </w:pPr>
      <w:r>
        <w:rPr>
          <w:noProof/>
          <w:lang w:val="en-US" w:eastAsia="en-US"/>
        </w:rPr>
        <w:drawing>
          <wp:inline distT="0" distB="0" distL="0" distR="0" wp14:anchorId="05848EE5" wp14:editId="496A99C5">
            <wp:extent cx="765810" cy="101346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5810" cy="1013460"/>
                    </a:xfrm>
                    <a:prstGeom prst="rect">
                      <a:avLst/>
                    </a:prstGeom>
                    <a:noFill/>
                    <a:ln>
                      <a:noFill/>
                    </a:ln>
                  </pic:spPr>
                </pic:pic>
              </a:graphicData>
            </a:graphic>
          </wp:inline>
        </w:drawing>
      </w:r>
    </w:p>
    <w:p w14:paraId="11883244" w14:textId="4624B6ED" w:rsidR="001E0189" w:rsidRDefault="001E0189" w:rsidP="001E0189">
      <w:pPr>
        <w:pStyle w:val="G1bFigureCaption"/>
      </w:pPr>
      <w:r>
        <w:t xml:space="preserve">Figure 3 </w:t>
      </w:r>
      <w:r w:rsidR="007F19E3">
        <w:t>A</w:t>
      </w:r>
      <w:bookmarkStart w:id="0" w:name="_GoBack"/>
      <w:bookmarkEnd w:id="0"/>
      <w:r>
        <w:t xml:space="preserve"> proposed structure of the complex formed between compound </w:t>
      </w:r>
      <w:r w:rsidRPr="001E0189">
        <w:rPr>
          <w:b/>
        </w:rPr>
        <w:t>2</w:t>
      </w:r>
      <w:r>
        <w:t xml:space="preserve"> and sulfate.</w:t>
      </w:r>
    </w:p>
    <w:p w14:paraId="30FD0843" w14:textId="55A8F808" w:rsidR="007149E0" w:rsidRDefault="007149E0" w:rsidP="00D23533">
      <w:pPr>
        <w:pStyle w:val="08ArticleText"/>
        <w:rPr>
          <w:lang w:val="en-US"/>
        </w:rPr>
      </w:pPr>
    </w:p>
    <w:p w14:paraId="7632B699" w14:textId="77777777" w:rsidR="007149E0" w:rsidRDefault="007149E0" w:rsidP="007149E0">
      <w:pPr>
        <w:pStyle w:val="G1aFigureImage"/>
        <w:rPr>
          <w:lang w:val="en-US"/>
        </w:rPr>
      </w:pPr>
      <w:r>
        <w:rPr>
          <w:noProof/>
          <w:lang w:val="en-US" w:eastAsia="en-US"/>
        </w:rPr>
        <w:drawing>
          <wp:inline distT="0" distB="0" distL="0" distR="0" wp14:anchorId="1999E559" wp14:editId="40004573">
            <wp:extent cx="3025140" cy="2110740"/>
            <wp:effectExtent l="0" t="0" r="0" b="0"/>
            <wp:docPr id="3" name="Picture 3" descr="Macintosh HD:Users:philgale:Dropbox:phosphate based anion transporters:transport graphs:nitrate p=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hilgale:Dropbox:phosphate based anion transporters:transport graphs:nitrate p=o.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5140" cy="2110740"/>
                    </a:xfrm>
                    <a:prstGeom prst="rect">
                      <a:avLst/>
                    </a:prstGeom>
                    <a:noFill/>
                    <a:ln>
                      <a:noFill/>
                    </a:ln>
                  </pic:spPr>
                </pic:pic>
              </a:graphicData>
            </a:graphic>
          </wp:inline>
        </w:drawing>
      </w:r>
    </w:p>
    <w:p w14:paraId="1293F7A2" w14:textId="77777777" w:rsidR="007149E0" w:rsidRPr="007149E0" w:rsidRDefault="007149E0" w:rsidP="00A537B3">
      <w:pPr>
        <w:pStyle w:val="G1bFigureCaption"/>
      </w:pPr>
      <w:r w:rsidRPr="007D1059">
        <w:t>Figure 4</w:t>
      </w:r>
      <w:r w:rsidR="00BE46C0" w:rsidRPr="007D1059">
        <w:t xml:space="preserve"> Chloride efflux promoted by </w:t>
      </w:r>
      <w:r w:rsidR="00BE46C0" w:rsidRPr="007D1059">
        <w:rPr>
          <w:bCs/>
        </w:rPr>
        <w:t xml:space="preserve">compound </w:t>
      </w:r>
      <w:r w:rsidR="00BE46C0" w:rsidRPr="007D1059">
        <w:rPr>
          <w:b/>
          <w:bCs/>
        </w:rPr>
        <w:t xml:space="preserve">2 </w:t>
      </w:r>
      <w:r w:rsidR="00BE46C0" w:rsidRPr="007D1059">
        <w:t>(at varying % molar carrier to lipid) from unilamellar POPC vesicles loaded with 489 mM NaCl buffered to pH 7.2 with 5 mM sodium phosphate salts. The vesicles were dispersed in 489 mM NaNO</w:t>
      </w:r>
      <w:r w:rsidR="00BE46C0" w:rsidRPr="007D1059">
        <w:rPr>
          <w:vertAlign w:val="subscript"/>
        </w:rPr>
        <w:t>3</w:t>
      </w:r>
      <w:r w:rsidR="00BE46C0" w:rsidRPr="007D1059">
        <w:t xml:space="preserve"> buffered to pH 7.2 with 5 mM sodium phosphate salts. At the end of the experiment, detergent was added to lyse the vesicles and calibrate the ISE to 100 % chloride efflux. Each point represents the average of three trials. DMSO was used as control.</w:t>
      </w:r>
    </w:p>
    <w:p w14:paraId="518FB2A1" w14:textId="4C926BB7" w:rsidR="0035599F" w:rsidRPr="0035599F" w:rsidRDefault="0035599F" w:rsidP="00D23533">
      <w:pPr>
        <w:pStyle w:val="08ArticleText"/>
        <w:rPr>
          <w:lang w:val="en-US"/>
        </w:rPr>
      </w:pPr>
      <w:r>
        <w:rPr>
          <w:lang w:val="en-US"/>
        </w:rPr>
        <w:tab/>
      </w:r>
      <w:r w:rsidR="00F34513">
        <w:rPr>
          <w:lang w:val="en-US"/>
        </w:rPr>
        <w:t xml:space="preserve">We also studied the transport properties of compounds </w:t>
      </w:r>
      <w:r w:rsidR="00F34513" w:rsidRPr="00F34513">
        <w:rPr>
          <w:b/>
          <w:lang w:val="en-US"/>
        </w:rPr>
        <w:t>2</w:t>
      </w:r>
      <w:r w:rsidR="00F34513">
        <w:rPr>
          <w:lang w:val="en-US"/>
        </w:rPr>
        <w:t xml:space="preserve"> and </w:t>
      </w:r>
      <w:r w:rsidR="00F34513" w:rsidRPr="00F34513">
        <w:rPr>
          <w:b/>
          <w:lang w:val="en-US"/>
        </w:rPr>
        <w:t>3</w:t>
      </w:r>
      <w:r w:rsidR="00F34513">
        <w:rPr>
          <w:lang w:val="en-US"/>
        </w:rPr>
        <w:t xml:space="preserve"> in vesicles consisting of 70% POPC: 30% cholesterol. It has been suggested that incorporation of cholesterol in a lipid bilayer will increase the viscosity of the membrane and therefore should slow down the rate of transport of a carrier whilst leaving the rate of transport of a channel unaffected.</w:t>
      </w:r>
      <w:r w:rsidR="00F34513">
        <w:rPr>
          <w:vertAlign w:val="superscript"/>
          <w:lang w:val="en-US"/>
        </w:rPr>
        <w:t>1</w:t>
      </w:r>
      <w:r w:rsidR="00F34513" w:rsidRPr="00F34513">
        <w:rPr>
          <w:vertAlign w:val="superscript"/>
          <w:lang w:val="en-US"/>
        </w:rPr>
        <w:t>4</w:t>
      </w:r>
      <w:r w:rsidR="00F34513">
        <w:rPr>
          <w:lang w:val="en-US"/>
        </w:rPr>
        <w:t xml:space="preserve"> We found</w:t>
      </w:r>
      <w:r>
        <w:rPr>
          <w:lang w:val="en-US"/>
        </w:rPr>
        <w:t xml:space="preserve"> </w:t>
      </w:r>
      <w:r w:rsidR="00F34513">
        <w:rPr>
          <w:lang w:val="en-US"/>
        </w:rPr>
        <w:t xml:space="preserve">in these studies that the rate of </w:t>
      </w:r>
      <w:r>
        <w:rPr>
          <w:lang w:val="en-US"/>
        </w:rPr>
        <w:t>chloride/nitrate anti</w:t>
      </w:r>
      <w:r w:rsidR="00F34513">
        <w:rPr>
          <w:lang w:val="en-US"/>
        </w:rPr>
        <w:t xml:space="preserve">port </w:t>
      </w:r>
      <w:r>
        <w:rPr>
          <w:lang w:val="en-US"/>
        </w:rPr>
        <w:t>mediated by</w:t>
      </w:r>
      <w:r w:rsidR="00F34513">
        <w:rPr>
          <w:lang w:val="en-US"/>
        </w:rPr>
        <w:t xml:space="preserve"> compounds </w:t>
      </w:r>
      <w:r w:rsidR="00F34513" w:rsidRPr="0035599F">
        <w:rPr>
          <w:b/>
          <w:lang w:val="en-US"/>
        </w:rPr>
        <w:t>2</w:t>
      </w:r>
      <w:r w:rsidR="00F34513">
        <w:rPr>
          <w:lang w:val="en-US"/>
        </w:rPr>
        <w:t xml:space="preserve"> and </w:t>
      </w:r>
      <w:r w:rsidR="00F34513" w:rsidRPr="0035599F">
        <w:rPr>
          <w:b/>
          <w:lang w:val="en-US"/>
        </w:rPr>
        <w:t>3</w:t>
      </w:r>
      <w:r w:rsidR="00F34513">
        <w:rPr>
          <w:lang w:val="en-US"/>
        </w:rPr>
        <w:t xml:space="preserve"> was </w:t>
      </w:r>
      <w:r w:rsidR="002916E1">
        <w:rPr>
          <w:lang w:val="en-US"/>
        </w:rPr>
        <w:t xml:space="preserve">significantly </w:t>
      </w:r>
      <w:r w:rsidR="00F34513">
        <w:rPr>
          <w:lang w:val="en-US"/>
        </w:rPr>
        <w:t>enhanced in vesicles containing cholesterol</w:t>
      </w:r>
      <w:r w:rsidR="001A550E">
        <w:rPr>
          <w:lang w:val="en-US"/>
        </w:rPr>
        <w:t>,</w:t>
      </w:r>
      <w:r w:rsidR="00F34513">
        <w:rPr>
          <w:lang w:val="en-US"/>
        </w:rPr>
        <w:t xml:space="preserve"> </w:t>
      </w:r>
      <w:r w:rsidR="00BE46C0">
        <w:rPr>
          <w:lang w:val="en-US"/>
        </w:rPr>
        <w:t>a finding that</w:t>
      </w:r>
      <w:r>
        <w:rPr>
          <w:lang w:val="en-US"/>
        </w:rPr>
        <w:t xml:space="preserve"> </w:t>
      </w:r>
      <w:r w:rsidR="00BE46C0">
        <w:rPr>
          <w:lang w:val="en-US"/>
        </w:rPr>
        <w:t xml:space="preserve">our </w:t>
      </w:r>
      <w:r w:rsidR="00BE46C0" w:rsidRPr="007D1059">
        <w:rPr>
          <w:lang w:val="en-US"/>
        </w:rPr>
        <w:t>group</w:t>
      </w:r>
      <w:r w:rsidR="00AF2243" w:rsidRPr="007D1059">
        <w:rPr>
          <w:vertAlign w:val="superscript"/>
          <w:lang w:val="en-US"/>
        </w:rPr>
        <w:t>7b</w:t>
      </w:r>
      <w:r w:rsidR="005E5752" w:rsidRPr="007D1059">
        <w:rPr>
          <w:vertAlign w:val="superscript"/>
          <w:lang w:val="en-US"/>
        </w:rPr>
        <w:t>,</w:t>
      </w:r>
      <w:r w:rsidR="005E5752">
        <w:rPr>
          <w:vertAlign w:val="superscript"/>
          <w:lang w:val="en-US"/>
        </w:rPr>
        <w:t>15</w:t>
      </w:r>
      <w:r w:rsidR="00AF2243">
        <w:rPr>
          <w:lang w:val="en-US"/>
        </w:rPr>
        <w:t xml:space="preserve"> and other</w:t>
      </w:r>
      <w:r w:rsidR="005E5752">
        <w:rPr>
          <w:lang w:val="en-US"/>
        </w:rPr>
        <w:t>s</w:t>
      </w:r>
      <w:r w:rsidR="005E5752" w:rsidRPr="005E5752">
        <w:rPr>
          <w:vertAlign w:val="superscript"/>
          <w:lang w:val="en-US"/>
        </w:rPr>
        <w:t>16</w:t>
      </w:r>
      <w:r>
        <w:rPr>
          <w:lang w:val="en-US"/>
        </w:rPr>
        <w:t xml:space="preserve"> have observed previously with other transporters. This could be due to enhanced p</w:t>
      </w:r>
      <w:r w:rsidR="002916E1">
        <w:rPr>
          <w:lang w:val="en-US"/>
        </w:rPr>
        <w:t>a</w:t>
      </w:r>
      <w:r>
        <w:rPr>
          <w:lang w:val="en-US"/>
        </w:rPr>
        <w:t>rti</w:t>
      </w:r>
      <w:r w:rsidR="002916E1">
        <w:rPr>
          <w:lang w:val="en-US"/>
        </w:rPr>
        <w:t>ti</w:t>
      </w:r>
      <w:r>
        <w:rPr>
          <w:lang w:val="en-US"/>
        </w:rPr>
        <w:t xml:space="preserve">oning of these systems into the cholesterol containing membrane. </w:t>
      </w:r>
      <w:r w:rsidR="00B20642">
        <w:rPr>
          <w:lang w:val="en-US"/>
        </w:rPr>
        <w:t xml:space="preserve">Classical nitrobenzene/water </w:t>
      </w:r>
      <w:r>
        <w:rPr>
          <w:lang w:val="en-US"/>
        </w:rPr>
        <w:t xml:space="preserve">U-tube experiments with compounds </w:t>
      </w:r>
      <w:r w:rsidRPr="0035599F">
        <w:rPr>
          <w:b/>
          <w:lang w:val="en-US"/>
        </w:rPr>
        <w:t>2</w:t>
      </w:r>
      <w:r>
        <w:rPr>
          <w:lang w:val="en-US"/>
        </w:rPr>
        <w:t xml:space="preserve"> and </w:t>
      </w:r>
      <w:r w:rsidRPr="0035599F">
        <w:rPr>
          <w:b/>
          <w:lang w:val="en-US"/>
        </w:rPr>
        <w:t>3</w:t>
      </w:r>
      <w:r>
        <w:rPr>
          <w:lang w:val="en-US"/>
        </w:rPr>
        <w:t xml:space="preserve"> were inconclusive with compound </w:t>
      </w:r>
      <w:r w:rsidRPr="0035599F">
        <w:rPr>
          <w:b/>
          <w:lang w:val="en-US"/>
        </w:rPr>
        <w:t>3</w:t>
      </w:r>
      <w:r>
        <w:rPr>
          <w:lang w:val="en-US"/>
        </w:rPr>
        <w:t xml:space="preserve"> mediating </w:t>
      </w:r>
      <w:r w:rsidR="00B20642">
        <w:rPr>
          <w:lang w:val="en-US"/>
        </w:rPr>
        <w:t xml:space="preserve">only </w:t>
      </w:r>
      <w:r>
        <w:rPr>
          <w:lang w:val="en-US"/>
        </w:rPr>
        <w:t>a small mount of chloride transport (see ESI for more details).</w:t>
      </w:r>
    </w:p>
    <w:p w14:paraId="10C4ADD9" w14:textId="77777777" w:rsidR="005C4499" w:rsidRDefault="005C4499" w:rsidP="005C4499">
      <w:pPr>
        <w:pStyle w:val="04AHeading"/>
      </w:pPr>
      <w:r>
        <w:t>Conclusions</w:t>
      </w:r>
    </w:p>
    <w:p w14:paraId="644E0BC3" w14:textId="7035319D" w:rsidR="005C4499" w:rsidRDefault="0035599F" w:rsidP="003F4A2D">
      <w:pPr>
        <w:pStyle w:val="08ArticleText"/>
      </w:pPr>
      <w:r>
        <w:t>We have shown that new hydrogen bonding motifs based on phosphoric triamide and thiophosphoric triamide hydrogen bonding arrays are effective anion receptors and are capable of mediating the exchange of chloride and nitrate across a lipid bilayer membrane.</w:t>
      </w:r>
      <w:r w:rsidR="00276D33" w:rsidRPr="00276D33">
        <w:rPr>
          <w:vertAlign w:val="superscript"/>
        </w:rPr>
        <w:t>17</w:t>
      </w:r>
      <w:r>
        <w:t xml:space="preserve"> Interesting</w:t>
      </w:r>
      <w:r w:rsidR="003C31FF">
        <w:t>ly</w:t>
      </w:r>
      <w:r>
        <w:t xml:space="preserve"> compound </w:t>
      </w:r>
      <w:r w:rsidRPr="0035599F">
        <w:rPr>
          <w:b/>
        </w:rPr>
        <w:t>2</w:t>
      </w:r>
      <w:r>
        <w:t xml:space="preserve"> has a high selectivity for sulfate anions in DMSO-</w:t>
      </w:r>
      <w:r w:rsidRPr="0035599F">
        <w:rPr>
          <w:i/>
        </w:rPr>
        <w:t>d</w:t>
      </w:r>
      <w:r w:rsidRPr="0035599F">
        <w:rPr>
          <w:i/>
          <w:vertAlign w:val="subscript"/>
        </w:rPr>
        <w:t>6</w:t>
      </w:r>
      <w:r>
        <w:t xml:space="preserve">/0.5% water solution.  </w:t>
      </w:r>
      <w:r w:rsidR="00B009EF">
        <w:t>These early findings suggest that these new classes of hydrogen bond donor anion receptor may have applications in a range of systems designed for selective interactions with anionic guests.  We are continuing to study the properties of these new anion rec</w:t>
      </w:r>
      <w:r w:rsidR="00C72EE3">
        <w:t>ep</w:t>
      </w:r>
      <w:r w:rsidR="00B009EF">
        <w:t>tors.</w:t>
      </w:r>
    </w:p>
    <w:p w14:paraId="21261EF2" w14:textId="77777777" w:rsidR="00A1666B" w:rsidRDefault="00A1666B" w:rsidP="003F4A2D">
      <w:pPr>
        <w:pStyle w:val="08ArticleText"/>
      </w:pPr>
    </w:p>
    <w:p w14:paraId="4E7DDAFE" w14:textId="77777777" w:rsidR="00A1666B" w:rsidRDefault="00A1666B" w:rsidP="003F4A2D">
      <w:pPr>
        <w:pStyle w:val="08ArticleText"/>
      </w:pPr>
      <w:r>
        <w:t>Acknowledgements</w:t>
      </w:r>
    </w:p>
    <w:p w14:paraId="4D471B23" w14:textId="77777777" w:rsidR="00A1666B" w:rsidRDefault="00A1666B" w:rsidP="003F4A2D">
      <w:pPr>
        <w:pStyle w:val="08ArticleText"/>
      </w:pPr>
      <w:r>
        <w:t>We thank the EPSRC for a post-doctoral research fellowship (C.J.E.H.) and for access to the crystallographic facilities at the University of Southampton.</w:t>
      </w:r>
    </w:p>
    <w:p w14:paraId="3BE8F7E4" w14:textId="77777777" w:rsidR="00A1666B" w:rsidRDefault="00A1666B" w:rsidP="003F4A2D">
      <w:pPr>
        <w:pStyle w:val="08ArticleText"/>
      </w:pPr>
    </w:p>
    <w:p w14:paraId="737AA810" w14:textId="77777777" w:rsidR="00A1666B" w:rsidRDefault="00A1666B" w:rsidP="003F4A2D">
      <w:pPr>
        <w:pStyle w:val="08ArticleText"/>
      </w:pPr>
    </w:p>
    <w:p w14:paraId="47A6FDA7" w14:textId="77777777" w:rsidR="00641DA1" w:rsidRPr="003725DA" w:rsidRDefault="00641DA1" w:rsidP="00641DA1">
      <w:pPr>
        <w:pStyle w:val="04AHeading"/>
      </w:pPr>
      <w:r>
        <w:lastRenderedPageBreak/>
        <w:t>Notes and references</w:t>
      </w:r>
    </w:p>
    <w:p w14:paraId="6C5DC1F0" w14:textId="77777777" w:rsidR="0021638D" w:rsidRDefault="0021638D" w:rsidP="0021638D">
      <w:pPr>
        <w:pStyle w:val="N1AuthorAddresses"/>
      </w:pPr>
      <w:r>
        <w:rPr>
          <w:vertAlign w:val="superscript"/>
        </w:rPr>
        <w:t>a</w:t>
      </w:r>
      <w:r>
        <w:t xml:space="preserve"> Chemistry, University of Southampton, Southampton SO17 1BJ, UK. Email: philip.gale@soton.ac.uk; Fax: +44 (0)23 8059 6805; Tel: +44 (0)23 8059 3332.</w:t>
      </w:r>
    </w:p>
    <w:p w14:paraId="63E5FEF5" w14:textId="77777777" w:rsidR="00641DA1" w:rsidRPr="003628FE" w:rsidRDefault="00641DA1" w:rsidP="00641DA1">
      <w:pPr>
        <w:pStyle w:val="N2Footnotes"/>
      </w:pPr>
      <w:r w:rsidRPr="003628FE">
        <w:t>†</w:t>
      </w:r>
      <w:r w:rsidRPr="003628FE">
        <w:tab/>
      </w:r>
      <w:r w:rsidRPr="0031610B">
        <w:t>Electronic</w:t>
      </w:r>
      <w:r w:rsidRPr="003628FE">
        <w:t xml:space="preserve"> Supplementary Information (ESI) available: </w:t>
      </w:r>
      <w:r w:rsidR="007D1059">
        <w:t>synthesis details, NMR spectra, titration profiles, transport experiments and crystallographic details</w:t>
      </w:r>
      <w:r w:rsidR="00935123">
        <w:t xml:space="preserve"> (CCDC </w:t>
      </w:r>
      <w:r w:rsidR="00935123" w:rsidRPr="00935123">
        <w:rPr>
          <w:szCs w:val="24"/>
          <w:lang w:val="en-US"/>
        </w:rPr>
        <w:t>910542 – 910544</w:t>
      </w:r>
      <w:r w:rsidR="00935123">
        <w:rPr>
          <w:rFonts w:ascii="Verdana" w:hAnsi="Verdana" w:cs="Verdana"/>
          <w:szCs w:val="24"/>
          <w:lang w:val="en-US"/>
        </w:rPr>
        <w:t>)</w:t>
      </w:r>
      <w:r w:rsidRPr="003628FE">
        <w:t xml:space="preserve">. See </w:t>
      </w:r>
      <w:r w:rsidR="00E22346">
        <w:t>DOI: </w:t>
      </w:r>
      <w:r w:rsidRPr="00EA020E">
        <w:t>10.1039/</w:t>
      </w:r>
      <w:r w:rsidRPr="003628FE">
        <w:t>b000000x/</w:t>
      </w:r>
    </w:p>
    <w:p w14:paraId="0972F711" w14:textId="77777777" w:rsidR="0080711F" w:rsidRDefault="00641DA1" w:rsidP="00F07F3A">
      <w:pPr>
        <w:pStyle w:val="N3References"/>
      </w:pPr>
      <w:r>
        <w:t>1</w:t>
      </w:r>
      <w:r>
        <w:tab/>
      </w:r>
      <w:r w:rsidR="00055E00">
        <w:t xml:space="preserve">Z. Zhang and P.R. Schreiner, </w:t>
      </w:r>
      <w:r w:rsidR="00055E00" w:rsidRPr="00055E00">
        <w:rPr>
          <w:i/>
        </w:rPr>
        <w:t>Chem. Soc. Rev.</w:t>
      </w:r>
      <w:r w:rsidR="00055E00">
        <w:t xml:space="preserve"> 2009, </w:t>
      </w:r>
      <w:r w:rsidR="00055E00" w:rsidRPr="00055E00">
        <w:rPr>
          <w:b/>
        </w:rPr>
        <w:t>38</w:t>
      </w:r>
      <w:r w:rsidR="00055E00">
        <w:t xml:space="preserve">, 1187-1198; P.R. Schreiner, </w:t>
      </w:r>
      <w:r w:rsidR="00055E00" w:rsidRPr="00925719">
        <w:rPr>
          <w:i/>
        </w:rPr>
        <w:t>Chem. Soc. Rev.</w:t>
      </w:r>
      <w:r w:rsidR="00055E00">
        <w:t xml:space="preserve"> </w:t>
      </w:r>
      <w:r w:rsidR="00925719">
        <w:t xml:space="preserve">2003, </w:t>
      </w:r>
      <w:r w:rsidR="00925719" w:rsidRPr="00925719">
        <w:rPr>
          <w:b/>
        </w:rPr>
        <w:t>32</w:t>
      </w:r>
      <w:r w:rsidR="00925719">
        <w:t>, 289-296.</w:t>
      </w:r>
    </w:p>
    <w:p w14:paraId="1A7CF688" w14:textId="77777777" w:rsidR="00E9643F" w:rsidRDefault="00E9643F" w:rsidP="00F07F3A">
      <w:pPr>
        <w:pStyle w:val="N3References"/>
      </w:pPr>
      <w:r>
        <w:t>2</w:t>
      </w:r>
      <w:r w:rsidR="00652A55">
        <w:tab/>
      </w:r>
      <w:r w:rsidR="00652A55">
        <w:rPr>
          <w:lang w:val="nl-BE"/>
        </w:rPr>
        <w:t>M. Kotke and</w:t>
      </w:r>
      <w:r w:rsidR="00652A55" w:rsidRPr="009E1C6A">
        <w:rPr>
          <w:lang w:val="nl-BE"/>
        </w:rPr>
        <w:t xml:space="preserve"> P. R. Schreiner, </w:t>
      </w:r>
      <w:r w:rsidR="00652A55" w:rsidRPr="009E1C6A">
        <w:rPr>
          <w:i/>
          <w:lang w:val="nl-BE"/>
        </w:rPr>
        <w:t xml:space="preserve">Tetrahedron </w:t>
      </w:r>
      <w:r w:rsidR="00652A55" w:rsidRPr="00652A55">
        <w:rPr>
          <w:lang w:val="nl-BE"/>
        </w:rPr>
        <w:t>2006</w:t>
      </w:r>
      <w:r w:rsidR="00652A55" w:rsidRPr="009E1C6A">
        <w:rPr>
          <w:lang w:val="nl-BE"/>
        </w:rPr>
        <w:t xml:space="preserve">, </w:t>
      </w:r>
      <w:r w:rsidR="00652A55" w:rsidRPr="00652A55">
        <w:rPr>
          <w:b/>
          <w:lang w:val="nl-BE"/>
        </w:rPr>
        <w:t>62</w:t>
      </w:r>
      <w:r w:rsidR="00652A55" w:rsidRPr="009E1C6A">
        <w:rPr>
          <w:lang w:val="nl-BE"/>
        </w:rPr>
        <w:t>, 434-439.</w:t>
      </w:r>
    </w:p>
    <w:p w14:paraId="470A9174" w14:textId="77777777" w:rsidR="00E9643F" w:rsidRDefault="00E9643F" w:rsidP="00F07F3A">
      <w:pPr>
        <w:pStyle w:val="N3References"/>
      </w:pPr>
      <w:r>
        <w:t>3</w:t>
      </w:r>
      <w:r w:rsidR="00901454">
        <w:tab/>
        <w:t xml:space="preserve">For a recent review about the use of squaramides in organocatalysis see: J. Alemán, A. Parra, H. Jiang and </w:t>
      </w:r>
      <w:r w:rsidR="00901454" w:rsidRPr="009E1C6A">
        <w:t xml:space="preserve">K. A. Jørgensen, </w:t>
      </w:r>
      <w:r w:rsidR="00901454" w:rsidRPr="009E1C6A">
        <w:rPr>
          <w:i/>
        </w:rPr>
        <w:t xml:space="preserve">Chem. Eur. J. </w:t>
      </w:r>
      <w:r w:rsidR="00901454" w:rsidRPr="00901454">
        <w:t>2011</w:t>
      </w:r>
      <w:r w:rsidR="00901454" w:rsidRPr="009E1C6A">
        <w:t xml:space="preserve">, </w:t>
      </w:r>
      <w:r w:rsidR="00901454" w:rsidRPr="00901454">
        <w:rPr>
          <w:b/>
        </w:rPr>
        <w:t>17</w:t>
      </w:r>
      <w:r w:rsidR="00901454" w:rsidRPr="009E1C6A">
        <w:t>, 6890-6899</w:t>
      </w:r>
      <w:r w:rsidR="00901454">
        <w:t>.</w:t>
      </w:r>
    </w:p>
    <w:p w14:paraId="7B7AE501" w14:textId="77777777" w:rsidR="00E9643F" w:rsidRPr="00B47506" w:rsidRDefault="00E9643F" w:rsidP="00B47506">
      <w:pPr>
        <w:pStyle w:val="N3References"/>
        <w:rPr>
          <w:lang w:val="en-US"/>
        </w:rPr>
      </w:pPr>
      <w:r>
        <w:t>4</w:t>
      </w:r>
      <w:r w:rsidR="00614120">
        <w:tab/>
      </w:r>
      <w:r w:rsidR="00614120">
        <w:rPr>
          <w:lang w:val="en-US"/>
        </w:rPr>
        <w:t xml:space="preserve">(a) S.H. Oh, H.S. Rho, J.W. Lee, J. E. Lee, S.H. Youk, J. Chin, C.E. Song, </w:t>
      </w:r>
      <w:r w:rsidR="00614120" w:rsidRPr="00B47506">
        <w:rPr>
          <w:i/>
          <w:lang w:val="en-US"/>
        </w:rPr>
        <w:t>Angew. Chem., Int. Ed.</w:t>
      </w:r>
      <w:r w:rsidR="00614120">
        <w:rPr>
          <w:lang w:val="en-US"/>
        </w:rPr>
        <w:t xml:space="preserve"> 2008, </w:t>
      </w:r>
      <w:r w:rsidR="00614120" w:rsidRPr="00B47506">
        <w:rPr>
          <w:b/>
          <w:lang w:val="en-US"/>
        </w:rPr>
        <w:t>47</w:t>
      </w:r>
      <w:r w:rsidR="00614120">
        <w:rPr>
          <w:lang w:val="en-US"/>
        </w:rPr>
        <w:t xml:space="preserve">, 7872–7875; (b) </w:t>
      </w:r>
      <w:r w:rsidR="00B47506">
        <w:rPr>
          <w:lang w:val="en-US"/>
        </w:rPr>
        <w:t xml:space="preserve">J. </w:t>
      </w:r>
      <w:r w:rsidR="00614120">
        <w:rPr>
          <w:lang w:val="en-US"/>
        </w:rPr>
        <w:t xml:space="preserve">Luo, </w:t>
      </w:r>
      <w:r w:rsidR="00B47506">
        <w:rPr>
          <w:lang w:val="en-US"/>
        </w:rPr>
        <w:t xml:space="preserve">L.-W. </w:t>
      </w:r>
      <w:r w:rsidR="00614120">
        <w:rPr>
          <w:lang w:val="en-US"/>
        </w:rPr>
        <w:t xml:space="preserve">Xu, </w:t>
      </w:r>
      <w:r w:rsidR="00B47506">
        <w:rPr>
          <w:lang w:val="en-US"/>
        </w:rPr>
        <w:t xml:space="preserve">R. A. S. </w:t>
      </w:r>
      <w:r w:rsidR="00614120">
        <w:rPr>
          <w:lang w:val="en-US"/>
        </w:rPr>
        <w:t>Hay</w:t>
      </w:r>
      <w:r w:rsidR="00B47506">
        <w:rPr>
          <w:lang w:val="en-US"/>
        </w:rPr>
        <w:t xml:space="preserve"> and Y. Lu, </w:t>
      </w:r>
      <w:r w:rsidR="00614120" w:rsidRPr="00B47506">
        <w:rPr>
          <w:i/>
          <w:lang w:val="en-US"/>
        </w:rPr>
        <w:t>Org. Lett.</w:t>
      </w:r>
      <w:r w:rsidR="00614120">
        <w:rPr>
          <w:lang w:val="en-US"/>
        </w:rPr>
        <w:t xml:space="preserve"> 2009, </w:t>
      </w:r>
      <w:r w:rsidR="00614120" w:rsidRPr="00B47506">
        <w:rPr>
          <w:b/>
          <w:lang w:val="en-US"/>
        </w:rPr>
        <w:t>11</w:t>
      </w:r>
      <w:r w:rsidR="00614120">
        <w:rPr>
          <w:lang w:val="en-US"/>
        </w:rPr>
        <w:t>, 437–440.</w:t>
      </w:r>
    </w:p>
    <w:p w14:paraId="34B05DB6" w14:textId="77777777" w:rsidR="00E9643F" w:rsidRDefault="00E9643F" w:rsidP="00F07F3A">
      <w:pPr>
        <w:pStyle w:val="N3References"/>
      </w:pPr>
      <w:r>
        <w:t>5</w:t>
      </w:r>
      <w:r>
        <w:tab/>
        <w:t xml:space="preserve">A.A. Rodriguez, H. Yoo, J.W. Ziller and K.J. Shea, </w:t>
      </w:r>
      <w:r w:rsidRPr="00E9643F">
        <w:rPr>
          <w:i/>
        </w:rPr>
        <w:t xml:space="preserve">Tetrahedron Lett. </w:t>
      </w:r>
      <w:r>
        <w:t xml:space="preserve">2009, </w:t>
      </w:r>
      <w:r w:rsidRPr="00055E00">
        <w:rPr>
          <w:b/>
        </w:rPr>
        <w:t>50</w:t>
      </w:r>
      <w:r>
        <w:t>, 6830-6833.</w:t>
      </w:r>
    </w:p>
    <w:p w14:paraId="6D07DCD1" w14:textId="77777777" w:rsidR="00EF4935" w:rsidRDefault="00A226B7" w:rsidP="00F07F3A">
      <w:pPr>
        <w:pStyle w:val="N3References"/>
      </w:pPr>
      <w:r>
        <w:t>6</w:t>
      </w:r>
      <w:r>
        <w:tab/>
        <w:t>For crystal structures of</w:t>
      </w:r>
      <w:r w:rsidR="003C31FF">
        <w:t xml:space="preserve"> related compounds see: J.L. At</w:t>
      </w:r>
      <w:r>
        <w:t xml:space="preserve">wood, A.H. Cowley, W.E. Hunter and S.K. Mehrotra, </w:t>
      </w:r>
      <w:r w:rsidRPr="00365A1F">
        <w:rPr>
          <w:i/>
        </w:rPr>
        <w:t>Inorg. Chem.</w:t>
      </w:r>
      <w:r>
        <w:t xml:space="preserve"> 1982, </w:t>
      </w:r>
      <w:r w:rsidRPr="00365A1F">
        <w:rPr>
          <w:b/>
        </w:rPr>
        <w:t>21</w:t>
      </w:r>
      <w:r>
        <w:t xml:space="preserve">, 435-437; T. Chivers, M. Krahn, G. Schatte and M. Parvez, </w:t>
      </w:r>
      <w:r w:rsidRPr="00365A1F">
        <w:rPr>
          <w:i/>
        </w:rPr>
        <w:t xml:space="preserve">Inorg. Chem. </w:t>
      </w:r>
      <w:r>
        <w:t xml:space="preserve">2003, </w:t>
      </w:r>
      <w:r w:rsidRPr="00365A1F">
        <w:rPr>
          <w:b/>
        </w:rPr>
        <w:t>42</w:t>
      </w:r>
      <w:r>
        <w:t>, 3994-4005.</w:t>
      </w:r>
    </w:p>
    <w:p w14:paraId="61AF25A0" w14:textId="78517BF3" w:rsidR="00901454" w:rsidRPr="001F007B" w:rsidRDefault="00EF4935" w:rsidP="00F07F3A">
      <w:pPr>
        <w:pStyle w:val="N3References"/>
      </w:pPr>
      <w:r>
        <w:t>7</w:t>
      </w:r>
      <w:r w:rsidR="00901454">
        <w:tab/>
      </w:r>
      <w:r w:rsidR="00F53B5D">
        <w:t>a</w:t>
      </w:r>
      <w:r w:rsidR="00F53B5D">
        <w:t xml:space="preserve">) N. Busschaert and P.A. Gale, </w:t>
      </w:r>
      <w:r w:rsidR="00F53B5D" w:rsidRPr="001F007B">
        <w:rPr>
          <w:i/>
        </w:rPr>
        <w:t>Angew. Chem. Int. Ed.</w:t>
      </w:r>
      <w:r w:rsidR="00F53B5D" w:rsidRPr="001F007B">
        <w:t xml:space="preserve"> DOI: 10.1002/anie.201207535</w:t>
      </w:r>
      <w:r w:rsidR="00F53B5D">
        <w:t>; b</w:t>
      </w:r>
      <w:r w:rsidR="0003211B">
        <w:t xml:space="preserve">) </w:t>
      </w:r>
      <w:r w:rsidR="0028467E" w:rsidRPr="0028467E">
        <w:t>S.J. Moore, C.J.E. Haynes, J. González, J.L. Sutton, S.J. Brooks, M.E. Light, J. Herniman, G. J. Langley, V</w:t>
      </w:r>
      <w:r w:rsidR="003120DF">
        <w:t>.</w:t>
      </w:r>
      <w:r w:rsidR="0028467E" w:rsidRPr="0028467E">
        <w:t xml:space="preserve"> Soto-Cerrato, R. Pérez-Tomás, I. Marques, P.J. Costa, V. Félix and P.A. Gale, </w:t>
      </w:r>
      <w:r w:rsidR="0028467E" w:rsidRPr="0003211B">
        <w:rPr>
          <w:i/>
        </w:rPr>
        <w:t xml:space="preserve">Chem. Sci. </w:t>
      </w:r>
      <w:r w:rsidR="0028467E" w:rsidRPr="0028467E">
        <w:t>201</w:t>
      </w:r>
      <w:r w:rsidR="003120DF">
        <w:t>3</w:t>
      </w:r>
      <w:r w:rsidR="0028467E" w:rsidRPr="0028467E">
        <w:t xml:space="preserve">, </w:t>
      </w:r>
      <w:r w:rsidR="000F5E91" w:rsidRPr="000F5E91">
        <w:rPr>
          <w:b/>
        </w:rPr>
        <w:t>4</w:t>
      </w:r>
      <w:r w:rsidR="000F5E91">
        <w:t>, 103-117</w:t>
      </w:r>
      <w:r w:rsidR="0028467E">
        <w:t xml:space="preserve">; </w:t>
      </w:r>
      <w:r w:rsidR="00F53B5D">
        <w:t>c</w:t>
      </w:r>
      <w:r w:rsidR="0028467E" w:rsidRPr="0028467E">
        <w:t xml:space="preserve">) N. Busschaert, I.L. Kirby, S. Young, S.J. Coles, P.N. Horton, M.E. Light and P.A. Gale, </w:t>
      </w:r>
      <w:r w:rsidR="0028467E" w:rsidRPr="0028467E">
        <w:rPr>
          <w:i/>
        </w:rPr>
        <w:t>Angew. Chem. Int. Ed.</w:t>
      </w:r>
      <w:r w:rsidR="0028467E" w:rsidRPr="0028467E">
        <w:t xml:space="preserve"> 2012, </w:t>
      </w:r>
      <w:r w:rsidR="0028467E" w:rsidRPr="0028467E">
        <w:rPr>
          <w:b/>
        </w:rPr>
        <w:t>51</w:t>
      </w:r>
      <w:r w:rsidR="0028467E" w:rsidRPr="0028467E">
        <w:t xml:space="preserve">, 4426-4430; </w:t>
      </w:r>
      <w:r w:rsidR="00F53B5D">
        <w:t>d</w:t>
      </w:r>
      <w:r w:rsidR="0028467E">
        <w:t xml:space="preserve">) </w:t>
      </w:r>
      <w:r w:rsidR="0028467E" w:rsidRPr="0028467E">
        <w:t xml:space="preserve">N. Busschaert, M. Wenzel, M.E. Light, P. Iglesias-Hernández, R. Pérez-Tomás and P.A. Gale, </w:t>
      </w:r>
      <w:r w:rsidR="0028467E" w:rsidRPr="0028467E">
        <w:rPr>
          <w:i/>
        </w:rPr>
        <w:t>J. Am. Chem. Soc.</w:t>
      </w:r>
      <w:r w:rsidR="0028467E" w:rsidRPr="0028467E">
        <w:t xml:space="preserve">, 2011, </w:t>
      </w:r>
      <w:r w:rsidR="0028467E" w:rsidRPr="0028467E">
        <w:rPr>
          <w:b/>
        </w:rPr>
        <w:t>133</w:t>
      </w:r>
      <w:r w:rsidR="0028467E" w:rsidRPr="0028467E">
        <w:t xml:space="preserve">, 14136-14148; </w:t>
      </w:r>
      <w:r w:rsidR="00F53B5D">
        <w:t>e</w:t>
      </w:r>
      <w:r w:rsidR="0028467E">
        <w:t xml:space="preserve">) </w:t>
      </w:r>
      <w:r w:rsidR="0028467E" w:rsidRPr="0028467E">
        <w:t xml:space="preserve">M. Wenzel, M.E. Light, A.P. Davis and P.A. Gale, </w:t>
      </w:r>
      <w:r w:rsidR="0028467E" w:rsidRPr="0028467E">
        <w:rPr>
          <w:i/>
        </w:rPr>
        <w:t>Chem. Commun.</w:t>
      </w:r>
      <w:r w:rsidR="0028467E" w:rsidRPr="0028467E">
        <w:t xml:space="preserve"> 2011, </w:t>
      </w:r>
      <w:r w:rsidR="0028467E" w:rsidRPr="0003211B">
        <w:rPr>
          <w:b/>
        </w:rPr>
        <w:t>47</w:t>
      </w:r>
      <w:r w:rsidR="0028467E" w:rsidRPr="0028467E">
        <w:t xml:space="preserve">, 7641-7643; </w:t>
      </w:r>
      <w:r w:rsidR="00F53B5D">
        <w:t>f</w:t>
      </w:r>
      <w:r w:rsidR="0028467E">
        <w:t xml:space="preserve">) </w:t>
      </w:r>
      <w:r w:rsidR="0028467E" w:rsidRPr="0028467E">
        <w:t xml:space="preserve">N.J. Andrews, C.J.E. Haynes, M.E. Light, S.J. Moore, C.C. Tong, J.T. Davis, W.A. Harrell Jr. and P.A. Gale, </w:t>
      </w:r>
      <w:r w:rsidR="0028467E" w:rsidRPr="0028467E">
        <w:rPr>
          <w:i/>
        </w:rPr>
        <w:t>Chem. Sci.</w:t>
      </w:r>
      <w:r w:rsidR="0028467E" w:rsidRPr="0028467E">
        <w:t xml:space="preserve">, 2011, </w:t>
      </w:r>
      <w:r w:rsidR="0028467E" w:rsidRPr="0028467E">
        <w:rPr>
          <w:b/>
        </w:rPr>
        <w:t>2</w:t>
      </w:r>
      <w:r w:rsidR="0028467E" w:rsidRPr="0028467E">
        <w:t>, 256-260</w:t>
      </w:r>
      <w:r w:rsidR="0028467E">
        <w:t xml:space="preserve">; </w:t>
      </w:r>
      <w:r w:rsidR="00F53B5D">
        <w:t>g</w:t>
      </w:r>
      <w:r w:rsidR="0003211B">
        <w:t xml:space="preserve">) </w:t>
      </w:r>
      <w:r w:rsidR="0028467E" w:rsidRPr="0028467E">
        <w:t xml:space="preserve">P.A. Gale, </w:t>
      </w:r>
      <w:r w:rsidR="0028467E" w:rsidRPr="0028467E">
        <w:rPr>
          <w:i/>
        </w:rPr>
        <w:t xml:space="preserve">Acc. Chem. Res. </w:t>
      </w:r>
      <w:r w:rsidR="0028467E" w:rsidRPr="0028467E">
        <w:t xml:space="preserve">2011, </w:t>
      </w:r>
      <w:r w:rsidR="0028467E" w:rsidRPr="0028467E">
        <w:rPr>
          <w:b/>
        </w:rPr>
        <w:t>44</w:t>
      </w:r>
      <w:r w:rsidR="0028467E" w:rsidRPr="0028467E">
        <w:t>, 216-226.</w:t>
      </w:r>
      <w:r w:rsidR="001F007B">
        <w:t xml:space="preserve"> </w:t>
      </w:r>
    </w:p>
    <w:p w14:paraId="174353F4" w14:textId="77777777" w:rsidR="00EF7916" w:rsidRDefault="00EF4935" w:rsidP="00F07F3A">
      <w:pPr>
        <w:pStyle w:val="N3References"/>
      </w:pPr>
      <w:r>
        <w:t>8</w:t>
      </w:r>
      <w:r w:rsidR="00EF7916">
        <w:tab/>
        <w:t xml:space="preserve">S.J. Coles and P.A. Gale, </w:t>
      </w:r>
      <w:r w:rsidR="00EF7916" w:rsidRPr="007D1059">
        <w:rPr>
          <w:i/>
        </w:rPr>
        <w:t>Chem. Sci.</w:t>
      </w:r>
      <w:r w:rsidR="00EF7916">
        <w:t xml:space="preserve"> 2012, </w:t>
      </w:r>
      <w:r w:rsidR="00EF7916" w:rsidRPr="00EF7916">
        <w:rPr>
          <w:b/>
        </w:rPr>
        <w:t>3</w:t>
      </w:r>
      <w:r w:rsidR="00EF7916">
        <w:t>, 683-689.</w:t>
      </w:r>
    </w:p>
    <w:p w14:paraId="0CF86F8A" w14:textId="77777777" w:rsidR="00EF7916" w:rsidRDefault="00EF4935" w:rsidP="00F07F3A">
      <w:pPr>
        <w:pStyle w:val="N3References"/>
      </w:pPr>
      <w:r>
        <w:t>9</w:t>
      </w:r>
      <w:r w:rsidR="00EF7916">
        <w:tab/>
        <w:t xml:space="preserve">M.J. Hynes, </w:t>
      </w:r>
      <w:r w:rsidR="00EF7916" w:rsidRPr="00EF7916">
        <w:rPr>
          <w:i/>
        </w:rPr>
        <w:t>J. Chem. Soc. Dalton Trans.</w:t>
      </w:r>
      <w:r w:rsidR="00EF7916">
        <w:t xml:space="preserve"> 1993, 311-312.</w:t>
      </w:r>
    </w:p>
    <w:p w14:paraId="31DBC7F1" w14:textId="77777777" w:rsidR="00C9142E" w:rsidRDefault="00C9142E" w:rsidP="00F07F3A">
      <w:pPr>
        <w:pStyle w:val="N3References"/>
      </w:pPr>
      <w:r>
        <w:t>10</w:t>
      </w:r>
      <w:r>
        <w:tab/>
      </w:r>
      <w:r w:rsidR="006C51C3">
        <w:t xml:space="preserve">a) </w:t>
      </w:r>
      <w:r w:rsidRPr="00C9142E">
        <w:t xml:space="preserve">P.A. Gale, J.R. Hiscock, S.J. Moore, C. Caltagirone, M.B. Hursthouse and M.E. Light, </w:t>
      </w:r>
      <w:r w:rsidRPr="004E36C0">
        <w:rPr>
          <w:i/>
        </w:rPr>
        <w:t>Chem. Asian J.</w:t>
      </w:r>
      <w:r w:rsidRPr="00C9142E">
        <w:t xml:space="preserve">, 2010, </w:t>
      </w:r>
      <w:r w:rsidRPr="00C9142E">
        <w:rPr>
          <w:b/>
        </w:rPr>
        <w:t>5</w:t>
      </w:r>
      <w:r w:rsidRPr="00C9142E">
        <w:t xml:space="preserve">, 555-561; b) P.A. Gale, J.R. Hiscock, C.Z. Jie, M.B. Hursthouse, and M.E. Light, </w:t>
      </w:r>
      <w:r w:rsidRPr="004E36C0">
        <w:rPr>
          <w:i/>
        </w:rPr>
        <w:t>Chem. Sci.</w:t>
      </w:r>
      <w:r w:rsidRPr="00C9142E">
        <w:t xml:space="preserve">, 2010, </w:t>
      </w:r>
      <w:r w:rsidRPr="00C9142E">
        <w:rPr>
          <w:b/>
        </w:rPr>
        <w:t>1</w:t>
      </w:r>
      <w:r w:rsidRPr="00C9142E">
        <w:t>, 215-220</w:t>
      </w:r>
      <w:r w:rsidR="00445937" w:rsidRPr="00445937">
        <w:t xml:space="preserve">; c) L.S. Evans, P.A. Gale, M.E. Light and R. Quesada, </w:t>
      </w:r>
      <w:r w:rsidR="00445937" w:rsidRPr="004E36C0">
        <w:rPr>
          <w:i/>
        </w:rPr>
        <w:t>Chem. Commun.</w:t>
      </w:r>
      <w:r w:rsidR="00445937" w:rsidRPr="00445937">
        <w:t xml:space="preserve"> 2006, 965-967;</w:t>
      </w:r>
      <w:r w:rsidR="00445937">
        <w:t xml:space="preserve"> </w:t>
      </w:r>
      <w:r w:rsidR="00445937" w:rsidRPr="00445937">
        <w:t xml:space="preserve">d) C. Caltagirone, G.W. Bates, P.A. Gale and M.E. Light, </w:t>
      </w:r>
      <w:r w:rsidR="00445937" w:rsidRPr="004E36C0">
        <w:rPr>
          <w:i/>
        </w:rPr>
        <w:t>Chem. Commun.</w:t>
      </w:r>
      <w:r w:rsidR="00445937" w:rsidRPr="00445937">
        <w:t xml:space="preserve"> 2008, 61-63.</w:t>
      </w:r>
    </w:p>
    <w:p w14:paraId="579234FA" w14:textId="77777777" w:rsidR="005C6DFB" w:rsidRDefault="005C6DFB" w:rsidP="005C6DFB">
      <w:pPr>
        <w:pStyle w:val="N3References"/>
        <w:spacing w:line="240" w:lineRule="auto"/>
      </w:pPr>
      <w:r>
        <w:t>11</w:t>
      </w:r>
      <w:r>
        <w:tab/>
        <w:t xml:space="preserve">S. A. Svarovsky, R. H. Simoyi and S. V. Makarov, </w:t>
      </w:r>
      <w:r w:rsidRPr="00DC15F8">
        <w:rPr>
          <w:i/>
        </w:rPr>
        <w:t>J. Phys. Chem. B</w:t>
      </w:r>
      <w:r>
        <w:t xml:space="preserve">, 2001, </w:t>
      </w:r>
      <w:r w:rsidRPr="00DC15F8">
        <w:rPr>
          <w:b/>
        </w:rPr>
        <w:t>105</w:t>
      </w:r>
      <w:r>
        <w:t>, 12634-12643.</w:t>
      </w:r>
    </w:p>
    <w:p w14:paraId="1F073F27" w14:textId="77777777" w:rsidR="005C6DFB" w:rsidRDefault="005C6DFB" w:rsidP="005C6DFB">
      <w:pPr>
        <w:pStyle w:val="N3References"/>
        <w:spacing w:line="240" w:lineRule="auto"/>
      </w:pPr>
      <w:r>
        <w:t>12</w:t>
      </w:r>
      <w:r>
        <w:tab/>
        <w:t xml:space="preserve">G. J. Durant, J. C. Emmett, C. R. Ganellin, P. D. Miles, M. E. Parsons, H. D. Prain and G. R. White, </w:t>
      </w:r>
      <w:r w:rsidRPr="00DC15F8">
        <w:rPr>
          <w:i/>
        </w:rPr>
        <w:t>J. Med. Chem.</w:t>
      </w:r>
      <w:r>
        <w:t xml:space="preserve">, 1977, </w:t>
      </w:r>
      <w:r w:rsidRPr="00DC15F8">
        <w:rPr>
          <w:b/>
        </w:rPr>
        <w:t>20</w:t>
      </w:r>
      <w:r>
        <w:t>, 901-906.</w:t>
      </w:r>
    </w:p>
    <w:p w14:paraId="740E76F5" w14:textId="77777777" w:rsidR="00C66CDF" w:rsidRDefault="00C66CDF" w:rsidP="005C6DFB">
      <w:pPr>
        <w:pStyle w:val="N3References"/>
        <w:spacing w:line="240" w:lineRule="auto"/>
      </w:pPr>
      <w:r>
        <w:t>13</w:t>
      </w:r>
      <w:r>
        <w:tab/>
      </w:r>
      <w:r w:rsidRPr="009E1C6A">
        <w:t>a</w:t>
      </w:r>
      <w:r>
        <w:t xml:space="preserve">) </w:t>
      </w:r>
      <w:r w:rsidRPr="009E1C6A">
        <w:t xml:space="preserve">A. V. Hill, </w:t>
      </w:r>
      <w:r w:rsidRPr="009E1C6A">
        <w:rPr>
          <w:i/>
        </w:rPr>
        <w:t xml:space="preserve">Biochem J </w:t>
      </w:r>
      <w:r w:rsidRPr="00C66CDF">
        <w:t>1913</w:t>
      </w:r>
      <w:r w:rsidRPr="009E1C6A">
        <w:t xml:space="preserve">, </w:t>
      </w:r>
      <w:r w:rsidRPr="00C66CDF">
        <w:rPr>
          <w:b/>
        </w:rPr>
        <w:t>7</w:t>
      </w:r>
      <w:r w:rsidRPr="009E1C6A">
        <w:t>, 471-480; b</w:t>
      </w:r>
      <w:r>
        <w:t xml:space="preserve">) </w:t>
      </w:r>
      <w:r w:rsidRPr="009E1C6A">
        <w:t xml:space="preserve">S. Bhosale, S. Matile, </w:t>
      </w:r>
      <w:r w:rsidRPr="009E1C6A">
        <w:rPr>
          <w:i/>
        </w:rPr>
        <w:t xml:space="preserve">Chirality </w:t>
      </w:r>
      <w:r w:rsidRPr="00C66CDF">
        <w:t>2006</w:t>
      </w:r>
      <w:r w:rsidRPr="009E1C6A">
        <w:t xml:space="preserve">, </w:t>
      </w:r>
      <w:r w:rsidRPr="00C66CDF">
        <w:rPr>
          <w:b/>
        </w:rPr>
        <w:t>18</w:t>
      </w:r>
      <w:r w:rsidRPr="009E1C6A">
        <w:t>, 849-856.</w:t>
      </w:r>
    </w:p>
    <w:p w14:paraId="69F69341" w14:textId="77777777" w:rsidR="00F34513" w:rsidRDefault="00F34513" w:rsidP="005C6DFB">
      <w:pPr>
        <w:pStyle w:val="N3References"/>
        <w:spacing w:line="240" w:lineRule="auto"/>
        <w:rPr>
          <w:lang w:val="nl-BE"/>
        </w:rPr>
      </w:pPr>
      <w:r>
        <w:t>14</w:t>
      </w:r>
      <w:r>
        <w:tab/>
      </w:r>
      <w:r w:rsidRPr="009E1C6A">
        <w:t xml:space="preserve">W. F. D. Bennett, J. L. MacCallum, D. P. Tieleman, </w:t>
      </w:r>
      <w:r w:rsidRPr="009E1C6A">
        <w:rPr>
          <w:i/>
        </w:rPr>
        <w:t xml:space="preserve">J. Am. </w:t>
      </w:r>
      <w:r w:rsidRPr="009E1C6A">
        <w:rPr>
          <w:i/>
          <w:lang w:val="nl-BE"/>
        </w:rPr>
        <w:t>Chem. Soc</w:t>
      </w:r>
      <w:r w:rsidRPr="00F34513">
        <w:rPr>
          <w:i/>
          <w:lang w:val="nl-BE"/>
        </w:rPr>
        <w:t xml:space="preserve">. </w:t>
      </w:r>
      <w:r w:rsidRPr="00F34513">
        <w:rPr>
          <w:lang w:val="nl-BE"/>
        </w:rPr>
        <w:t>2009</w:t>
      </w:r>
      <w:r w:rsidRPr="009E1C6A">
        <w:rPr>
          <w:lang w:val="nl-BE"/>
        </w:rPr>
        <w:t xml:space="preserve">, </w:t>
      </w:r>
      <w:r w:rsidRPr="00F34513">
        <w:rPr>
          <w:b/>
          <w:lang w:val="nl-BE"/>
        </w:rPr>
        <w:t>131</w:t>
      </w:r>
      <w:r w:rsidRPr="00F34513">
        <w:rPr>
          <w:lang w:val="nl-BE"/>
        </w:rPr>
        <w:t>,</w:t>
      </w:r>
      <w:r w:rsidRPr="009E1C6A">
        <w:rPr>
          <w:lang w:val="nl-BE"/>
        </w:rPr>
        <w:t xml:space="preserve"> 1972-1978.</w:t>
      </w:r>
    </w:p>
    <w:p w14:paraId="337C275D" w14:textId="77777777" w:rsidR="00AF2243" w:rsidRDefault="00AF2243" w:rsidP="005C6DFB">
      <w:pPr>
        <w:pStyle w:val="N3References"/>
        <w:spacing w:line="240" w:lineRule="auto"/>
        <w:rPr>
          <w:lang w:val="nl-BE"/>
        </w:rPr>
      </w:pPr>
      <w:r>
        <w:rPr>
          <w:lang w:val="nl-BE"/>
        </w:rPr>
        <w:t>15</w:t>
      </w:r>
      <w:r>
        <w:rPr>
          <w:lang w:val="nl-BE"/>
        </w:rPr>
        <w:tab/>
        <w:t>We have observed similar b</w:t>
      </w:r>
      <w:r w:rsidR="005E5752">
        <w:rPr>
          <w:lang w:val="nl-BE"/>
        </w:rPr>
        <w:t>e</w:t>
      </w:r>
      <w:r>
        <w:rPr>
          <w:lang w:val="nl-BE"/>
        </w:rPr>
        <w:t xml:space="preserve">haviour recently: </w:t>
      </w:r>
      <w:r w:rsidRPr="00AF2243">
        <w:t xml:space="preserve">a) S.J. Moore, M. Wenzel, M.E. Light, R. Morley, S.J. Bradberry, P. Gómez-Iglesias, V. Soto-Cerrato, R. Pérez-Tomás, and P.A. Gale, </w:t>
      </w:r>
      <w:r w:rsidRPr="00AF2243">
        <w:rPr>
          <w:i/>
        </w:rPr>
        <w:t>Chem. Sci</w:t>
      </w:r>
      <w:r w:rsidRPr="00AF2243">
        <w:t xml:space="preserve">., 2012, </w:t>
      </w:r>
      <w:r w:rsidRPr="00AF2243">
        <w:rPr>
          <w:b/>
        </w:rPr>
        <w:t>3</w:t>
      </w:r>
      <w:r w:rsidRPr="00AF2243">
        <w:t>, 2501-2508</w:t>
      </w:r>
      <w:r>
        <w:t xml:space="preserve">; b) </w:t>
      </w:r>
      <w:r w:rsidRPr="00AF2243">
        <w:t xml:space="preserve">C.J.E. Haynes, S.J. Moore, J.R. Hiscock, I. Marques, P.J. Costa, V. Félix and P.A. Gale, </w:t>
      </w:r>
      <w:r w:rsidRPr="00AF2243">
        <w:rPr>
          <w:i/>
        </w:rPr>
        <w:t>Chem. Sci.</w:t>
      </w:r>
      <w:r w:rsidRPr="00AF2243">
        <w:t xml:space="preserve"> 2012, </w:t>
      </w:r>
      <w:r w:rsidRPr="00AF2243">
        <w:rPr>
          <w:b/>
        </w:rPr>
        <w:t>3</w:t>
      </w:r>
      <w:r w:rsidRPr="00AF2243">
        <w:t>, 1436-1444</w:t>
      </w:r>
      <w:r>
        <w:t>.</w:t>
      </w:r>
    </w:p>
    <w:p w14:paraId="3CFEF333" w14:textId="77777777" w:rsidR="00AF2243" w:rsidRDefault="00AF2243" w:rsidP="005C6DFB">
      <w:pPr>
        <w:pStyle w:val="N3References"/>
        <w:spacing w:line="240" w:lineRule="auto"/>
        <w:rPr>
          <w:lang w:val="nl-BE"/>
        </w:rPr>
      </w:pPr>
      <w:r>
        <w:rPr>
          <w:lang w:val="nl-BE"/>
        </w:rPr>
        <w:t>16</w:t>
      </w:r>
      <w:r>
        <w:rPr>
          <w:lang w:val="nl-BE"/>
        </w:rPr>
        <w:tab/>
        <w:t xml:space="preserve">H. Cho and Y. Zhao, </w:t>
      </w:r>
      <w:r w:rsidRPr="00AF2243">
        <w:rPr>
          <w:i/>
          <w:lang w:val="nl-BE"/>
        </w:rPr>
        <w:t xml:space="preserve">Chem. Commun. </w:t>
      </w:r>
      <w:r>
        <w:rPr>
          <w:lang w:val="nl-BE"/>
        </w:rPr>
        <w:t xml:space="preserve">2011, </w:t>
      </w:r>
      <w:r w:rsidRPr="00AF2243">
        <w:rPr>
          <w:b/>
          <w:lang w:val="nl-BE"/>
        </w:rPr>
        <w:t>47</w:t>
      </w:r>
      <w:r>
        <w:rPr>
          <w:lang w:val="nl-BE"/>
        </w:rPr>
        <w:t>, 8970-8972.</w:t>
      </w:r>
    </w:p>
    <w:p w14:paraId="1BC4D242" w14:textId="72E239E8" w:rsidR="005C6DFB" w:rsidRPr="0028467E" w:rsidRDefault="00276D33" w:rsidP="009923D2">
      <w:pPr>
        <w:pStyle w:val="N3References"/>
        <w:spacing w:line="240" w:lineRule="auto"/>
      </w:pPr>
      <w:r>
        <w:rPr>
          <w:lang w:val="nl-BE"/>
        </w:rPr>
        <w:t>17.</w:t>
      </w:r>
      <w:r>
        <w:rPr>
          <w:lang w:val="nl-BE"/>
        </w:rPr>
        <w:tab/>
      </w:r>
      <w:r w:rsidR="009923D2">
        <w:rPr>
          <w:lang w:val="nl-BE"/>
        </w:rPr>
        <w:t>For other recent transme</w:t>
      </w:r>
      <w:r w:rsidR="004A7DD1">
        <w:rPr>
          <w:lang w:val="nl-BE"/>
        </w:rPr>
        <w:t xml:space="preserve">mbrane anion transporters see: </w:t>
      </w:r>
      <w:r w:rsidR="009923D2">
        <w:rPr>
          <w:lang w:val="nl-BE"/>
        </w:rPr>
        <w:t xml:space="preserve">a) </w:t>
      </w:r>
      <w:r w:rsidR="009923D2" w:rsidRPr="006203CB">
        <w:rPr>
          <w:lang w:val="en-US"/>
        </w:rPr>
        <w:t>B.</w:t>
      </w:r>
      <w:r w:rsidR="009923D2">
        <w:rPr>
          <w:lang w:val="en-US"/>
        </w:rPr>
        <w:t xml:space="preserve"> D. de Greñ</w:t>
      </w:r>
      <w:r w:rsidR="009923D2" w:rsidRPr="006203CB">
        <w:rPr>
          <w:lang w:val="en-US"/>
        </w:rPr>
        <w:t>u, P.</w:t>
      </w:r>
      <w:r w:rsidR="009923D2">
        <w:rPr>
          <w:lang w:val="en-US"/>
        </w:rPr>
        <w:t xml:space="preserve"> I. Hernández, M. Espona, D. Quiñ</w:t>
      </w:r>
      <w:r w:rsidR="009923D2" w:rsidRPr="006203CB">
        <w:rPr>
          <w:lang w:val="en-US"/>
        </w:rPr>
        <w:t>onero, M.</w:t>
      </w:r>
      <w:r w:rsidR="009923D2">
        <w:rPr>
          <w:lang w:val="en-US"/>
        </w:rPr>
        <w:t xml:space="preserve"> E. Light, T. Torroba, R. Pérez-Tomá</w:t>
      </w:r>
      <w:r w:rsidR="009923D2" w:rsidRPr="006203CB">
        <w:rPr>
          <w:lang w:val="en-US"/>
        </w:rPr>
        <w:t xml:space="preserve">s, R. Quesada, </w:t>
      </w:r>
      <w:r w:rsidR="009923D2" w:rsidRPr="006203CB">
        <w:rPr>
          <w:i/>
          <w:lang w:val="en-US"/>
        </w:rPr>
        <w:t>Chem. Eur. J.</w:t>
      </w:r>
      <w:r w:rsidR="009923D2" w:rsidRPr="006203CB">
        <w:rPr>
          <w:lang w:val="en-US"/>
        </w:rPr>
        <w:t xml:space="preserve"> </w:t>
      </w:r>
      <w:r w:rsidR="009923D2" w:rsidRPr="00351F03">
        <w:rPr>
          <w:lang w:val="en-US"/>
        </w:rPr>
        <w:t>2011</w:t>
      </w:r>
      <w:r w:rsidR="009923D2" w:rsidRPr="006203CB">
        <w:rPr>
          <w:lang w:val="en-US"/>
        </w:rPr>
        <w:t xml:space="preserve">, </w:t>
      </w:r>
      <w:r w:rsidR="009923D2" w:rsidRPr="00351F03">
        <w:rPr>
          <w:b/>
          <w:lang w:val="en-US"/>
        </w:rPr>
        <w:t>17</w:t>
      </w:r>
      <w:r w:rsidR="009923D2" w:rsidRPr="006203CB">
        <w:rPr>
          <w:lang w:val="en-US"/>
        </w:rPr>
        <w:t>, 14074-14083.</w:t>
      </w:r>
      <w:r w:rsidR="004A7DD1">
        <w:rPr>
          <w:lang w:val="nl-BE"/>
        </w:rPr>
        <w:t xml:space="preserve"> </w:t>
      </w:r>
      <w:r w:rsidR="009923D2">
        <w:rPr>
          <w:lang w:val="nl-BE"/>
        </w:rPr>
        <w:t xml:space="preserve">b) </w:t>
      </w:r>
      <w:r w:rsidR="009923D2" w:rsidRPr="00D26974">
        <w:rPr>
          <w:lang w:val="en-US"/>
        </w:rPr>
        <w:t xml:space="preserve">P. I. Hernández, D. Moreno, A. A. Javier, T. Torroba, R. Pérez-Tomás and R. Quesada, </w:t>
      </w:r>
      <w:r w:rsidR="009923D2" w:rsidRPr="00D26974">
        <w:rPr>
          <w:i/>
          <w:lang w:val="en-US"/>
        </w:rPr>
        <w:t>Chem. Commun.</w:t>
      </w:r>
      <w:r w:rsidR="009923D2" w:rsidRPr="00D26974">
        <w:rPr>
          <w:lang w:val="en-US"/>
        </w:rPr>
        <w:t xml:space="preserve"> </w:t>
      </w:r>
      <w:r w:rsidR="009923D2" w:rsidRPr="00351F03">
        <w:rPr>
          <w:lang w:val="en-US"/>
        </w:rPr>
        <w:t>2012</w:t>
      </w:r>
      <w:r w:rsidR="009923D2" w:rsidRPr="00D26974">
        <w:rPr>
          <w:lang w:val="en-US"/>
        </w:rPr>
        <w:t xml:space="preserve">, </w:t>
      </w:r>
      <w:r w:rsidR="009923D2" w:rsidRPr="00351F03">
        <w:rPr>
          <w:b/>
          <w:lang w:val="en-US"/>
        </w:rPr>
        <w:t>48</w:t>
      </w:r>
      <w:r w:rsidR="004A7DD1">
        <w:rPr>
          <w:lang w:val="en-US"/>
        </w:rPr>
        <w:t xml:space="preserve">, 1556-1558; </w:t>
      </w:r>
      <w:r w:rsidR="009923D2">
        <w:rPr>
          <w:lang w:val="en-US"/>
        </w:rPr>
        <w:t xml:space="preserve">c) </w:t>
      </w:r>
      <w:r w:rsidR="009923D2" w:rsidRPr="00D26974">
        <w:rPr>
          <w:lang w:val="en-US"/>
        </w:rPr>
        <w:t xml:space="preserve">V. Saggiomo, S. Otto, I. Marques, V. Félix, T. Torroba, R. Quesada, </w:t>
      </w:r>
      <w:r w:rsidR="009923D2" w:rsidRPr="00D26974">
        <w:rPr>
          <w:i/>
          <w:lang w:val="en-US"/>
        </w:rPr>
        <w:t>Chem. Commun.</w:t>
      </w:r>
      <w:r w:rsidR="009923D2" w:rsidRPr="00D26974">
        <w:rPr>
          <w:lang w:val="en-US"/>
        </w:rPr>
        <w:t xml:space="preserve"> </w:t>
      </w:r>
      <w:r w:rsidR="009923D2" w:rsidRPr="00351F03">
        <w:rPr>
          <w:lang w:val="en-US"/>
        </w:rPr>
        <w:t>2012</w:t>
      </w:r>
      <w:r w:rsidR="009923D2" w:rsidRPr="00D26974">
        <w:rPr>
          <w:lang w:val="en-US"/>
        </w:rPr>
        <w:t xml:space="preserve">, </w:t>
      </w:r>
      <w:r w:rsidR="009923D2" w:rsidRPr="00351F03">
        <w:rPr>
          <w:b/>
          <w:lang w:val="en-US"/>
        </w:rPr>
        <w:t>48</w:t>
      </w:r>
      <w:r w:rsidR="004A7DD1">
        <w:rPr>
          <w:lang w:val="en-US"/>
        </w:rPr>
        <w:t xml:space="preserve">, 5274-5276; </w:t>
      </w:r>
      <w:r w:rsidR="009923D2">
        <w:rPr>
          <w:lang w:val="en-US"/>
        </w:rPr>
        <w:t xml:space="preserve">d) </w:t>
      </w:r>
      <w:r w:rsidR="009923D2" w:rsidRPr="006203CB">
        <w:rPr>
          <w:lang w:val="en-US"/>
        </w:rPr>
        <w:t>S. Bahmanjah, N. Zhang</w:t>
      </w:r>
      <w:r w:rsidR="009923D2">
        <w:rPr>
          <w:lang w:val="en-US"/>
        </w:rPr>
        <w:t>,</w:t>
      </w:r>
      <w:r w:rsidR="009923D2" w:rsidRPr="006203CB">
        <w:rPr>
          <w:lang w:val="en-US"/>
        </w:rPr>
        <w:t xml:space="preserve"> J.</w:t>
      </w:r>
      <w:r w:rsidR="009923D2">
        <w:rPr>
          <w:lang w:val="en-US"/>
        </w:rPr>
        <w:t xml:space="preserve"> </w:t>
      </w:r>
      <w:r w:rsidR="009923D2" w:rsidRPr="006203CB">
        <w:rPr>
          <w:lang w:val="en-US"/>
        </w:rPr>
        <w:t xml:space="preserve">T. Davis, </w:t>
      </w:r>
      <w:r w:rsidR="009923D2" w:rsidRPr="006203CB">
        <w:rPr>
          <w:i/>
          <w:lang w:val="en-US"/>
        </w:rPr>
        <w:t>Chem. Commun.</w:t>
      </w:r>
      <w:r w:rsidR="009923D2" w:rsidRPr="006203CB">
        <w:rPr>
          <w:lang w:val="en-US"/>
        </w:rPr>
        <w:t xml:space="preserve"> </w:t>
      </w:r>
      <w:r w:rsidR="009923D2" w:rsidRPr="00351F03">
        <w:rPr>
          <w:lang w:val="en-US"/>
        </w:rPr>
        <w:t>2012</w:t>
      </w:r>
      <w:r w:rsidR="009923D2" w:rsidRPr="006203CB">
        <w:rPr>
          <w:lang w:val="en-US"/>
        </w:rPr>
        <w:t xml:space="preserve">, </w:t>
      </w:r>
      <w:r w:rsidR="009923D2" w:rsidRPr="00351F03">
        <w:rPr>
          <w:b/>
          <w:lang w:val="en-US"/>
        </w:rPr>
        <w:t>48</w:t>
      </w:r>
      <w:r w:rsidR="009923D2" w:rsidRPr="006203CB">
        <w:rPr>
          <w:lang w:val="en-US"/>
        </w:rPr>
        <w:t>, 4432-4434.</w:t>
      </w:r>
    </w:p>
    <w:sectPr w:rsidR="005C6DFB" w:rsidRPr="0028467E" w:rsidSect="00904722">
      <w:headerReference w:type="even" r:id="rId20"/>
      <w:headerReference w:type="default" r:id="rId21"/>
      <w:endnotePr>
        <w:numFmt w:val="decimal"/>
      </w:endnotePr>
      <w:type w:val="continuous"/>
      <w:pgSz w:w="11907" w:h="15593" w:code="123"/>
      <w:pgMar w:top="1021" w:right="907" w:bottom="1021" w:left="1077" w:header="227" w:footer="624" w:gutter="0"/>
      <w:lnNumType w:countBy="5" w:distance="57"/>
      <w:cols w:num="2" w:space="39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D875A" w14:textId="77777777" w:rsidR="006672E4" w:rsidRPr="004C27D7" w:rsidRDefault="006672E4" w:rsidP="004C27D7">
      <w:pPr>
        <w:pStyle w:val="Footer"/>
        <w:rPr>
          <w:sz w:val="2"/>
          <w:szCs w:val="2"/>
        </w:rPr>
      </w:pPr>
    </w:p>
  </w:endnote>
  <w:endnote w:type="continuationSeparator" w:id="0">
    <w:p w14:paraId="5D4CCC8A" w14:textId="77777777" w:rsidR="006672E4" w:rsidRPr="004C27D7" w:rsidRDefault="006672E4" w:rsidP="004C27D7">
      <w:pPr>
        <w:pStyle w:val="Footer"/>
        <w:rPr>
          <w:sz w:val="2"/>
          <w:szCs w:val="2"/>
        </w:rPr>
      </w:pPr>
    </w:p>
  </w:endnote>
  <w:endnote w:type="continuationNotice" w:id="1">
    <w:p w14:paraId="1C7CC927" w14:textId="77777777" w:rsidR="006672E4" w:rsidRPr="004C27D7" w:rsidRDefault="006672E4">
      <w:pPr>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ompei">
    <w:altName w:val="Times New Roman"/>
    <w:panose1 w:val="00000000000000000000"/>
    <w:charset w:val="00"/>
    <w:family w:val="roman"/>
    <w:notTrueType/>
    <w:pitch w:val="variable"/>
    <w:sig w:usb0="00000083" w:usb1="00000000" w:usb2="00000000" w:usb3="00000000" w:csb0="00000009" w:csb1="00000000"/>
  </w:font>
  <w:font w:name="Myriad Pro Light">
    <w:altName w:val="Myriad Pro Semibold It"/>
    <w:panose1 w:val="00000000000000000000"/>
    <w:charset w:val="00"/>
    <w:family w:val="swiss"/>
    <w:notTrueType/>
    <w:pitch w:val="variable"/>
    <w:sig w:usb0="00000001" w:usb1="00000000" w:usb2="00000000" w:usb3="00000000" w:csb0="0000009F" w:csb1="00000000"/>
  </w:font>
  <w:font w:name="Myriad Condensed Web">
    <w:altName w:val="Times New Roman"/>
    <w:charset w:val="00"/>
    <w:family w:val="swiss"/>
    <w:pitch w:val="variable"/>
    <w:sig w:usb0="00000007" w:usb1="00000000" w:usb2="00000000" w:usb3="00000000" w:csb0="00000093"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FD49E" w14:textId="77777777" w:rsidR="006672E4" w:rsidRPr="004E5F6D" w:rsidRDefault="006672E4" w:rsidP="00512C15">
    <w:pPr>
      <w:pStyle w:val="F1RunningFooter"/>
    </w:pPr>
    <w:r w:rsidRPr="000C02B6">
      <w:rPr>
        <w:b/>
      </w:rPr>
      <w:fldChar w:fldCharType="begin"/>
    </w:r>
    <w:r w:rsidRPr="000C02B6">
      <w:rPr>
        <w:b/>
      </w:rPr>
      <w:instrText xml:space="preserve"> PAGE </w:instrText>
    </w:r>
    <w:r w:rsidRPr="000C02B6">
      <w:rPr>
        <w:b/>
      </w:rPr>
      <w:fldChar w:fldCharType="separate"/>
    </w:r>
    <w:r w:rsidR="007F19E3">
      <w:rPr>
        <w:b/>
        <w:noProof/>
      </w:rPr>
      <w:t>2</w:t>
    </w:r>
    <w:r w:rsidRPr="000C02B6">
      <w:rPr>
        <w:b/>
      </w:rPr>
      <w:fldChar w:fldCharType="end"/>
    </w:r>
    <w:r>
      <w:t xml:space="preserve">  </w:t>
    </w:r>
    <w:r w:rsidRPr="004E5F6D">
      <w:t>|</w:t>
    </w:r>
    <w:r>
      <w:t xml:space="preserve">  </w:t>
    </w:r>
    <w:r>
      <w:rPr>
        <w:i/>
      </w:rPr>
      <w:t>Journal Name</w:t>
    </w:r>
    <w:r w:rsidRPr="004E5F6D">
      <w:t xml:space="preserve">, </w:t>
    </w:r>
    <w:r>
      <w:t>[year]</w:t>
    </w:r>
    <w:r w:rsidRPr="004E5F6D">
      <w:t xml:space="preserve">, </w:t>
    </w:r>
    <w:r>
      <w:rPr>
        <w:b/>
      </w:rPr>
      <w:t>[vol]</w:t>
    </w:r>
    <w:r w:rsidRPr="004E5F6D">
      <w:t xml:space="preserve">, </w:t>
    </w:r>
    <w:r>
      <w:t>00–00</w:t>
    </w:r>
    <w:r>
      <w:rPr>
        <w:b/>
      </w:rPr>
      <w:tab/>
    </w:r>
    <w:r w:rsidRPr="00E26194">
      <w:rPr>
        <w:rStyle w:val="C1Gray"/>
        <w:lang w:val="en-GB"/>
      </w:rPr>
      <w:t>This journal is © The Royal Society of Chemistry [year]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00BB" w14:textId="77777777" w:rsidR="006672E4" w:rsidRPr="004E5F6D" w:rsidRDefault="006672E4" w:rsidP="00512C15">
    <w:pPr>
      <w:pStyle w:val="F1RunningFooter"/>
    </w:pPr>
    <w:r w:rsidRPr="00E26194">
      <w:rPr>
        <w:rStyle w:val="C1Gray"/>
        <w:lang w:val="en-GB"/>
      </w:rPr>
      <w:t>This journal is © The Royal Society of Chemistry [year]</w:t>
    </w:r>
    <w:r>
      <w:rPr>
        <w:b/>
      </w:rPr>
      <w:tab/>
    </w:r>
    <w:r>
      <w:rPr>
        <w:i/>
      </w:rPr>
      <w:t>Journal Name</w:t>
    </w:r>
    <w:r w:rsidRPr="004E5F6D">
      <w:t xml:space="preserve">, </w:t>
    </w:r>
    <w:r>
      <w:t>[year]</w:t>
    </w:r>
    <w:r w:rsidRPr="004E5F6D">
      <w:t xml:space="preserve">, </w:t>
    </w:r>
    <w:r>
      <w:rPr>
        <w:b/>
      </w:rPr>
      <w:t>[vol]</w:t>
    </w:r>
    <w:r w:rsidRPr="004E5F6D">
      <w:t xml:space="preserve">, </w:t>
    </w:r>
    <w:r>
      <w:t xml:space="preserve">00–00  </w:t>
    </w:r>
    <w:r w:rsidRPr="004E5F6D">
      <w:t>|</w:t>
    </w:r>
    <w:r>
      <w:t xml:space="preserve">  </w:t>
    </w:r>
    <w:r w:rsidRPr="000C02B6">
      <w:rPr>
        <w:b/>
      </w:rPr>
      <w:fldChar w:fldCharType="begin"/>
    </w:r>
    <w:r w:rsidRPr="000C02B6">
      <w:rPr>
        <w:b/>
      </w:rPr>
      <w:instrText xml:space="preserve"> PAGE </w:instrText>
    </w:r>
    <w:r w:rsidRPr="000C02B6">
      <w:rPr>
        <w:b/>
      </w:rPr>
      <w:fldChar w:fldCharType="separate"/>
    </w:r>
    <w:r w:rsidR="004A7DD1">
      <w:rPr>
        <w:b/>
        <w:noProof/>
      </w:rPr>
      <w:t>3</w:t>
    </w:r>
    <w:r w:rsidRPr="000C02B6">
      <w:rPr>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30B9" w14:textId="77777777" w:rsidR="006672E4" w:rsidRPr="004E5F6D" w:rsidRDefault="006672E4" w:rsidP="008E64AC">
    <w:pPr>
      <w:pBdr>
        <w:top w:val="single" w:sz="6" w:space="1" w:color="auto"/>
      </w:pBdr>
      <w:tabs>
        <w:tab w:val="right" w:pos="9923"/>
      </w:tabs>
      <w:rPr>
        <w:rFonts w:ascii="Arial" w:hAnsi="Arial" w:cs="Arial"/>
        <w:sz w:val="17"/>
        <w:szCs w:val="17"/>
      </w:rPr>
    </w:pPr>
    <w:r w:rsidRPr="00D40D6C">
      <w:rPr>
        <w:rFonts w:ascii="Arial" w:hAnsi="Arial" w:cs="Arial"/>
        <w:color w:val="666666"/>
        <w:sz w:val="17"/>
        <w:szCs w:val="17"/>
      </w:rPr>
      <w:t xml:space="preserve">This journal </w:t>
    </w:r>
    <w:r>
      <w:rPr>
        <w:rFonts w:ascii="Arial" w:hAnsi="Arial" w:cs="Arial"/>
        <w:color w:val="666666"/>
        <w:sz w:val="17"/>
        <w:szCs w:val="17"/>
      </w:rPr>
      <w:t xml:space="preserve">is </w:t>
    </w:r>
    <w:r w:rsidRPr="00D40D6C">
      <w:rPr>
        <w:rFonts w:ascii="Arial" w:hAnsi="Arial" w:cs="Arial"/>
        <w:color w:val="666666"/>
        <w:sz w:val="17"/>
        <w:szCs w:val="17"/>
      </w:rPr>
      <w:t xml:space="preserve">© </w:t>
    </w:r>
    <w:r>
      <w:rPr>
        <w:rFonts w:ascii="Arial" w:hAnsi="Arial" w:cs="Arial"/>
        <w:color w:val="666666"/>
        <w:sz w:val="17"/>
        <w:szCs w:val="17"/>
      </w:rPr>
      <w:t xml:space="preserve">The </w:t>
    </w:r>
    <w:r w:rsidRPr="00D40D6C">
      <w:rPr>
        <w:rFonts w:ascii="Arial" w:hAnsi="Arial" w:cs="Arial"/>
        <w:color w:val="666666"/>
        <w:sz w:val="17"/>
        <w:szCs w:val="17"/>
      </w:rPr>
      <w:t>Royal Society of Chemistry</w:t>
    </w:r>
    <w:r>
      <w:rPr>
        <w:rFonts w:ascii="Arial" w:hAnsi="Arial" w:cs="Arial"/>
        <w:color w:val="666666"/>
        <w:sz w:val="17"/>
        <w:szCs w:val="17"/>
      </w:rPr>
      <w:t xml:space="preserve"> [year]</w:t>
    </w:r>
    <w:r>
      <w:rPr>
        <w:rFonts w:ascii="Arial" w:hAnsi="Arial" w:cs="Arial"/>
        <w:b/>
        <w:sz w:val="17"/>
        <w:szCs w:val="17"/>
      </w:rPr>
      <w:tab/>
    </w:r>
    <w:r w:rsidRPr="00F5304A">
      <w:rPr>
        <w:rFonts w:ascii="Arial" w:hAnsi="Arial" w:cs="Arial"/>
        <w:i/>
        <w:sz w:val="17"/>
        <w:szCs w:val="17"/>
      </w:rPr>
      <w:t>[journal]</w:t>
    </w:r>
    <w:r w:rsidRPr="004E5F6D">
      <w:rPr>
        <w:rFonts w:ascii="Arial" w:hAnsi="Arial" w:cs="Arial"/>
        <w:sz w:val="17"/>
        <w:szCs w:val="17"/>
      </w:rPr>
      <w:t xml:space="preserve">, </w:t>
    </w:r>
    <w:r>
      <w:rPr>
        <w:rFonts w:ascii="Arial" w:hAnsi="Arial" w:cs="Arial"/>
        <w:sz w:val="17"/>
        <w:szCs w:val="17"/>
      </w:rPr>
      <w:t>[year]</w:t>
    </w:r>
    <w:r w:rsidRPr="004E5F6D">
      <w:rPr>
        <w:rFonts w:ascii="Arial" w:hAnsi="Arial" w:cs="Arial"/>
        <w:sz w:val="17"/>
        <w:szCs w:val="17"/>
      </w:rPr>
      <w:t xml:space="preserve">, </w:t>
    </w:r>
    <w:r>
      <w:rPr>
        <w:rFonts w:ascii="Arial" w:hAnsi="Arial" w:cs="Arial"/>
        <w:b/>
        <w:sz w:val="17"/>
        <w:szCs w:val="17"/>
      </w:rPr>
      <w:t>[vol]</w:t>
    </w:r>
    <w:r w:rsidRPr="004E5F6D">
      <w:rPr>
        <w:rFonts w:ascii="Arial" w:hAnsi="Arial" w:cs="Arial"/>
        <w:sz w:val="17"/>
        <w:szCs w:val="17"/>
      </w:rPr>
      <w:t xml:space="preserve">, </w:t>
    </w:r>
    <w:r>
      <w:rPr>
        <w:rFonts w:ascii="Arial" w:hAnsi="Arial" w:cs="Arial"/>
        <w:sz w:val="17"/>
        <w:szCs w:val="17"/>
      </w:rPr>
      <w:t xml:space="preserve">00–00  </w:t>
    </w:r>
    <w:r w:rsidRPr="004E5F6D">
      <w:rPr>
        <w:rFonts w:ascii="Arial" w:hAnsi="Arial" w:cs="Arial"/>
        <w:sz w:val="17"/>
        <w:szCs w:val="17"/>
      </w:rPr>
      <w:t>|</w:t>
    </w:r>
    <w:r>
      <w:rPr>
        <w:rFonts w:ascii="Arial" w:hAnsi="Arial" w:cs="Arial"/>
        <w:sz w:val="17"/>
        <w:szCs w:val="17"/>
      </w:rPr>
      <w:t xml:space="preserve">  </w:t>
    </w:r>
    <w:r w:rsidRPr="000C02B6">
      <w:rPr>
        <w:rFonts w:ascii="Arial" w:hAnsi="Arial" w:cs="Arial"/>
        <w:b/>
        <w:sz w:val="17"/>
        <w:szCs w:val="17"/>
      </w:rPr>
      <w:fldChar w:fldCharType="begin"/>
    </w:r>
    <w:r w:rsidRPr="000C02B6">
      <w:rPr>
        <w:rFonts w:ascii="Arial" w:hAnsi="Arial" w:cs="Arial"/>
        <w:b/>
        <w:sz w:val="17"/>
        <w:szCs w:val="17"/>
      </w:rPr>
      <w:instrText xml:space="preserve"> PAGE </w:instrText>
    </w:r>
    <w:r w:rsidRPr="000C02B6">
      <w:rPr>
        <w:rFonts w:ascii="Arial" w:hAnsi="Arial" w:cs="Arial"/>
        <w:b/>
        <w:sz w:val="17"/>
        <w:szCs w:val="17"/>
      </w:rPr>
      <w:fldChar w:fldCharType="separate"/>
    </w:r>
    <w:r w:rsidR="00D5620A">
      <w:rPr>
        <w:rFonts w:ascii="Arial" w:hAnsi="Arial" w:cs="Arial"/>
        <w:b/>
        <w:noProof/>
        <w:sz w:val="17"/>
        <w:szCs w:val="17"/>
      </w:rPr>
      <w:t>1</w:t>
    </w:r>
    <w:r w:rsidRPr="000C02B6">
      <w:rPr>
        <w:rFonts w:ascii="Arial" w:hAnsi="Arial" w:cs="Arial"/>
        <w:b/>
        <w:sz w:val="17"/>
        <w:szCs w:val="17"/>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1681" w14:textId="77777777" w:rsidR="006672E4" w:rsidRDefault="006672E4">
      <w:r>
        <w:separator/>
      </w:r>
    </w:p>
  </w:footnote>
  <w:footnote w:type="continuationSeparator" w:id="0">
    <w:p w14:paraId="45119670" w14:textId="77777777" w:rsidR="006672E4" w:rsidRDefault="006672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32B1" w14:textId="77777777" w:rsidR="006672E4" w:rsidRDefault="006672E4" w:rsidP="00D216FB">
    <w:pPr>
      <w:spacing w:after="80"/>
      <w:jc w:val="center"/>
      <w:rPr>
        <w:rFonts w:ascii="Arial" w:hAnsi="Arial"/>
        <w:b/>
        <w:color w:val="000000"/>
        <w:sz w:val="12"/>
      </w:rPr>
    </w:pPr>
    <w:r>
      <w:rPr>
        <w:rFonts w:ascii="Arial" w:hAnsi="Arial"/>
        <w:b/>
        <w:color w:val="000000"/>
        <w:sz w:val="12"/>
      </w:rPr>
      <w:t>CREATED USING THE RSC ARTICLE TEMPLATE (VER. 3.0) - SEE WWW.RSC.ORG/ELECTRONICFILES FOR DETAILS</w:t>
    </w:r>
  </w:p>
  <w:p w14:paraId="210A79F5" w14:textId="77777777" w:rsidR="006672E4" w:rsidRPr="00641DA1" w:rsidRDefault="006672E4" w:rsidP="008C11DC">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www.rsc.org/xxxxxx</w:t>
    </w:r>
    <w:r w:rsidRPr="00641DA1">
      <w:rPr>
        <w:color w:val="000000"/>
        <w:lang w:val="fr-FR"/>
      </w:rPr>
      <w:t xml:space="preserve">  |  XXXXXXXX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3EC2" w14:textId="77777777" w:rsidR="006672E4" w:rsidRDefault="006672E4" w:rsidP="00D216FB">
    <w:pPr>
      <w:spacing w:after="80"/>
      <w:jc w:val="center"/>
      <w:rPr>
        <w:rFonts w:ascii="Arial" w:hAnsi="Arial"/>
        <w:b/>
        <w:color w:val="000000"/>
        <w:sz w:val="12"/>
      </w:rPr>
    </w:pPr>
    <w:r>
      <w:rPr>
        <w:rFonts w:ascii="Arial" w:hAnsi="Arial"/>
        <w:b/>
        <w:color w:val="000000"/>
        <w:sz w:val="12"/>
      </w:rPr>
      <w:t>CREATED USING THE RSC COMMUNICATION TEMPLATE (VER. 3.1) - SEE WWW.RSC.ORG/ELECTRONICFILES FOR DETAILS</w:t>
    </w:r>
  </w:p>
  <w:p w14:paraId="7A966281" w14:textId="77777777" w:rsidR="006672E4" w:rsidRPr="00641DA1" w:rsidRDefault="006672E4" w:rsidP="00D216FB">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w:t>
    </w:r>
    <w:r>
      <w:rPr>
        <w:rStyle w:val="C1Gray"/>
      </w:rPr>
      <w:t>xxxxxx</w:t>
    </w:r>
    <w:r w:rsidRPr="00641DA1">
      <w:rPr>
        <w:color w:val="000000"/>
        <w:lang w:val="fr-FR"/>
      </w:rPr>
      <w:t xml:space="preserve">  |  </w:t>
    </w:r>
    <w:r>
      <w:rPr>
        <w:color w:val="000000"/>
        <w:lang w:val="fr-FR"/>
      </w:rPr>
      <w:t>XXXXXXXX</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bottom w:val="single" w:sz="4" w:space="0" w:color="auto"/>
      </w:tblBorders>
      <w:tblLook w:val="04A0" w:firstRow="1" w:lastRow="0" w:firstColumn="1" w:lastColumn="0" w:noHBand="0" w:noVBand="1"/>
    </w:tblPr>
    <w:tblGrid>
      <w:gridCol w:w="4965"/>
      <w:gridCol w:w="4958"/>
    </w:tblGrid>
    <w:tr w:rsidR="006672E4" w:rsidRPr="00045511" w14:paraId="6E7C3863" w14:textId="77777777" w:rsidTr="00BD08A7">
      <w:tc>
        <w:tcPr>
          <w:tcW w:w="5069" w:type="dxa"/>
          <w:tcBorders>
            <w:bottom w:val="single" w:sz="4" w:space="0" w:color="auto"/>
          </w:tcBorders>
        </w:tcPr>
        <w:p w14:paraId="694DC923" w14:textId="77777777" w:rsidR="006672E4" w:rsidRPr="00BA7F22" w:rsidRDefault="006672E4" w:rsidP="00BD08A7">
          <w:pPr>
            <w:pStyle w:val="H1RunningHeader"/>
            <w:pBdr>
              <w:bottom w:val="none" w:sz="0" w:space="0" w:color="auto"/>
            </w:pBdr>
            <w:spacing w:line="440" w:lineRule="exact"/>
            <w:rPr>
              <w:rStyle w:val="C1Gray"/>
              <w:rFonts w:ascii="Pompei" w:hAnsi="Pompei"/>
              <w:color w:val="auto"/>
              <w:w w:val="100"/>
              <w:position w:val="4"/>
              <w:sz w:val="40"/>
              <w:szCs w:val="40"/>
              <w:lang w:val="en-GB"/>
            </w:rPr>
          </w:pPr>
          <w:r w:rsidRPr="00BA7F22">
            <w:rPr>
              <w:rStyle w:val="C1Gray"/>
              <w:rFonts w:ascii="Pompei" w:hAnsi="Pompei"/>
              <w:color w:val="auto"/>
              <w:w w:val="100"/>
              <w:position w:val="4"/>
              <w:sz w:val="40"/>
              <w:szCs w:val="40"/>
              <w:lang w:val="en-GB"/>
            </w:rPr>
            <w:t>Journal Name</w:t>
          </w:r>
        </w:p>
        <w:p w14:paraId="682A208D" w14:textId="77777777" w:rsidR="006672E4" w:rsidRPr="00BA7F22" w:rsidRDefault="006672E4" w:rsidP="00BD08A7">
          <w:pPr>
            <w:pStyle w:val="H1RunningHeader"/>
            <w:pBdr>
              <w:bottom w:val="none" w:sz="0" w:space="0" w:color="auto"/>
            </w:pBdr>
            <w:spacing w:before="720" w:line="240" w:lineRule="exact"/>
            <w:rPr>
              <w:rStyle w:val="C1Gray"/>
              <w:rFonts w:ascii="Myriad Pro Light" w:hAnsi="Myriad Pro Light"/>
              <w:w w:val="100"/>
              <w:sz w:val="24"/>
              <w:szCs w:val="24"/>
              <w:lang w:val="en-GB"/>
            </w:rPr>
          </w:pPr>
          <w:r w:rsidRPr="00BA7F22">
            <w:rPr>
              <w:rStyle w:val="C1Gray"/>
              <w:rFonts w:ascii="Myriad Pro Light" w:hAnsi="Myriad Pro Light"/>
              <w:w w:val="100"/>
              <w:sz w:val="24"/>
              <w:szCs w:val="24"/>
              <w:lang w:val="en-GB"/>
            </w:rPr>
            <w:t>Cite this: DOI: 10.1039/c0xx00000x</w:t>
          </w:r>
        </w:p>
        <w:p w14:paraId="332F9D16" w14:textId="77777777" w:rsidR="006672E4" w:rsidRPr="00BA7F22" w:rsidRDefault="006672E4" w:rsidP="00BD08A7">
          <w:pPr>
            <w:pStyle w:val="H1RunningHeader"/>
            <w:pBdr>
              <w:bottom w:val="none" w:sz="0" w:space="0" w:color="auto"/>
            </w:pBdr>
            <w:spacing w:before="220" w:after="60" w:line="240" w:lineRule="exact"/>
            <w:rPr>
              <w:rStyle w:val="C1Gray"/>
              <w:rFonts w:ascii="Myriad Pro Light" w:hAnsi="Myriad Pro Light"/>
              <w:w w:val="100"/>
              <w:sz w:val="24"/>
              <w:szCs w:val="24"/>
              <w:lang w:val="en-GB"/>
            </w:rPr>
          </w:pPr>
          <w:r w:rsidRPr="00BA7F22">
            <w:rPr>
              <w:rStyle w:val="C1Gray"/>
              <w:rFonts w:ascii="Myriad Pro Light" w:hAnsi="Myriad Pro Light"/>
              <w:w w:val="100"/>
              <w:sz w:val="24"/>
              <w:szCs w:val="24"/>
              <w:lang w:val="en-GB"/>
            </w:rPr>
            <w:t>www.rsc.org/xxxxxx</w:t>
          </w:r>
        </w:p>
      </w:tc>
      <w:tc>
        <w:tcPr>
          <w:tcW w:w="5070" w:type="dxa"/>
          <w:tcBorders>
            <w:bottom w:val="single" w:sz="4" w:space="0" w:color="auto"/>
          </w:tcBorders>
        </w:tcPr>
        <w:p w14:paraId="44AA22FE" w14:textId="77777777" w:rsidR="006672E4" w:rsidRPr="00BA7F22" w:rsidRDefault="006672E4" w:rsidP="00BD08A7">
          <w:pPr>
            <w:pStyle w:val="H1RunningHeader"/>
            <w:pBdr>
              <w:bottom w:val="none" w:sz="0" w:space="0" w:color="auto"/>
            </w:pBdr>
            <w:spacing w:before="20" w:line="240" w:lineRule="exact"/>
            <w:jc w:val="right"/>
            <w:rPr>
              <w:rFonts w:ascii="Times New Roman" w:hAnsi="Times New Roman" w:cs="Times New Roman"/>
              <w:color w:val="0000ED"/>
              <w:w w:val="100"/>
            </w:rPr>
          </w:pPr>
          <w:r w:rsidRPr="00BA7F22">
            <w:rPr>
              <w:rStyle w:val="C1Gray"/>
              <w:rFonts w:ascii="Myriad Pro Light" w:hAnsi="Myriad Pro Light"/>
              <w:color w:val="0000ED"/>
              <w:w w:val="100"/>
              <w:sz w:val="24"/>
              <w:szCs w:val="24"/>
              <w:lang w:val="en-GB"/>
            </w:rPr>
            <w:t>Dynamic Article Links</w:t>
          </w:r>
          <w:r w:rsidRPr="00BA7F22">
            <w:rPr>
              <w:w w:val="100"/>
            </w:rPr>
            <w:t xml:space="preserve"> </w:t>
          </w:r>
          <w:r w:rsidRPr="00BA7F22">
            <w:rPr>
              <w:rFonts w:ascii="Times New Roman" w:hAnsi="Times New Roman" w:cs="Times New Roman"/>
              <w:color w:val="0000ED"/>
              <w:w w:val="100"/>
              <w:sz w:val="24"/>
              <w:szCs w:val="24"/>
            </w:rPr>
            <w:t>►</w:t>
          </w:r>
        </w:p>
        <w:p w14:paraId="4E0D477C" w14:textId="77777777" w:rsidR="006672E4" w:rsidRPr="00BA7F22" w:rsidRDefault="006672E4" w:rsidP="00BD08A7">
          <w:pPr>
            <w:pStyle w:val="H1RunningHeader"/>
            <w:pBdr>
              <w:bottom w:val="none" w:sz="0" w:space="0" w:color="auto"/>
            </w:pBdr>
            <w:spacing w:before="1240" w:line="400" w:lineRule="exact"/>
            <w:jc w:val="right"/>
            <w:rPr>
              <w:rStyle w:val="C1Gray"/>
              <w:rFonts w:ascii="Pompei" w:hAnsi="Pompei"/>
              <w:color w:val="auto"/>
              <w:w w:val="100"/>
              <w:sz w:val="40"/>
              <w:szCs w:val="40"/>
              <w:lang w:val="en-GB"/>
            </w:rPr>
          </w:pPr>
          <w:r w:rsidRPr="00BA7F22">
            <w:rPr>
              <w:rStyle w:val="C1Gray"/>
              <w:rFonts w:ascii="Myriad Condensed Web" w:hAnsi="Myriad Condensed Web"/>
              <w:b/>
              <w:color w:val="auto"/>
              <w:w w:val="100"/>
              <w:sz w:val="40"/>
              <w:szCs w:val="40"/>
              <w:lang w:val="en-GB"/>
            </w:rPr>
            <w:t>ARTICLE TYPE</w:t>
          </w:r>
        </w:p>
      </w:tc>
    </w:tr>
  </w:tbl>
  <w:p w14:paraId="2E8C0DB9" w14:textId="77777777" w:rsidR="006672E4" w:rsidRPr="00171725" w:rsidRDefault="006672E4" w:rsidP="007909CC">
    <w:pPr>
      <w:pStyle w:val="Header"/>
      <w:spacing w:line="200" w:lineRule="exact"/>
      <w:rPr>
        <w:sz w:val="2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5A66F" w14:textId="77777777" w:rsidR="006672E4" w:rsidRPr="00740342" w:rsidRDefault="006672E4" w:rsidP="0059351E">
    <w:pPr>
      <w:pStyle w:val="H1RunningHeader"/>
      <w:rPr>
        <w:sz w:val="48"/>
        <w:szCs w:val="48"/>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0FD61" w14:textId="77777777" w:rsidR="006672E4" w:rsidRPr="00740342" w:rsidRDefault="006672E4" w:rsidP="0059351E">
    <w:pPr>
      <w:pStyle w:val="H1RunningHeader"/>
      <w:rPr>
        <w:sz w:val="48"/>
        <w:szCs w:val="4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200842"/>
    <w:lvl w:ilvl="0">
      <w:start w:val="1"/>
      <w:numFmt w:val="decimal"/>
      <w:lvlText w:val="%1."/>
      <w:lvlJc w:val="left"/>
      <w:pPr>
        <w:tabs>
          <w:tab w:val="num" w:pos="1209"/>
        </w:tabs>
        <w:ind w:left="1209" w:hanging="360"/>
      </w:pPr>
    </w:lvl>
  </w:abstractNum>
  <w:abstractNum w:abstractNumId="1">
    <w:nsid w:val="FFFFFF7E"/>
    <w:multiLevelType w:val="singleLevel"/>
    <w:tmpl w:val="CF56D2CC"/>
    <w:lvl w:ilvl="0">
      <w:start w:val="1"/>
      <w:numFmt w:val="decimal"/>
      <w:lvlText w:val="%1."/>
      <w:lvlJc w:val="left"/>
      <w:pPr>
        <w:tabs>
          <w:tab w:val="num" w:pos="926"/>
        </w:tabs>
        <w:ind w:left="926" w:hanging="360"/>
      </w:pPr>
    </w:lvl>
  </w:abstractNum>
  <w:abstractNum w:abstractNumId="2">
    <w:nsid w:val="FFFFFF7F"/>
    <w:multiLevelType w:val="singleLevel"/>
    <w:tmpl w:val="938013B0"/>
    <w:lvl w:ilvl="0">
      <w:start w:val="1"/>
      <w:numFmt w:val="decimal"/>
      <w:lvlText w:val="%1."/>
      <w:lvlJc w:val="left"/>
      <w:pPr>
        <w:tabs>
          <w:tab w:val="num" w:pos="643"/>
        </w:tabs>
        <w:ind w:left="643" w:hanging="360"/>
      </w:pPr>
    </w:lvl>
  </w:abstractNum>
  <w:abstractNum w:abstractNumId="3">
    <w:nsid w:val="FFFFFF80"/>
    <w:multiLevelType w:val="singleLevel"/>
    <w:tmpl w:val="938C0E4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1B2524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80803B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2DDCAD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0D62A6B8"/>
    <w:lvl w:ilvl="0">
      <w:start w:val="1"/>
      <w:numFmt w:val="decimal"/>
      <w:lvlText w:val="%1."/>
      <w:lvlJc w:val="left"/>
      <w:pPr>
        <w:tabs>
          <w:tab w:val="num" w:pos="360"/>
        </w:tabs>
        <w:ind w:left="360" w:hanging="360"/>
      </w:pPr>
    </w:lvl>
  </w:abstractNum>
  <w:abstractNum w:abstractNumId="8">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9">
    <w:nsid w:val="0D8840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CD3B4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E77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TrueTypeFonts/>
  <w:mirrorMargin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0,0,0,0"/>
    </o:shapedefaults>
  </w:hdrShapeDefaults>
  <w:footnotePr>
    <w:footnote w:id="-1"/>
    <w:footnote w:id="0"/>
  </w:footnotePr>
  <w:endnotePr>
    <w:numFmt w:val="decimal"/>
    <w:endnote w:id="-1"/>
    <w:endnote w:id="0"/>
    <w:endnote w:id="1"/>
  </w:endnotePr>
  <w:compat>
    <w:compatSetting w:name="compatibilityMode" w:uri="http://schemas.microsoft.com/office/word" w:val="12"/>
  </w:compat>
  <w:docVars>
    <w:docVar w:name="EN.InstantFormat" w:val="&quot;7_x000a_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ᆡׯᔲ∘ᆽ׹ᕔ≏ᇚ؂ᕷ⊇ᇷ،ᖙ⊾ሔؖᖻ⋵ሰ؟ᗞ⌬ቍةᘀ⍤ቪسᘢ⎛ኇؼᙅ⏒ኣنᙧ␉ዀِᚉ⑁ዝٙᚬ⑸ዺ٣ᛎ⒯጖٭ᛰⓦጳٶᜓ┞ፐڀ᜵╕፬ڊ᝗▌ᎉړ᝺◃Ꭶڝវ◻Ꮓڧើ☲Ꮯڰ១♩ᏼں᠃⚠ᐙۄᠥ⛗ᐶۍᡈ✏ᑒۗᡪ❆ᑯۡᢌ❽ᒌ۪᢯➴ᒩ۴ᣑ⟬ᓅ۾ᣳ⠣ᓢ܇ᤖ⡚ᓿܑᤸ⢑ᔜܛᥚ⣉ᔸܤ᥽⤀ᕕܮᦟ⤷ᕲܸᧂ⥮ᖏ݂᧤⦦ᖫ݋ᨆ⧝ᗈݕᨩ⨔ᗥݟᩋ⩋ᘂݨᩭ⪃ᘞݲ᪐⪺ᘻݼ᪲⫱ᙘޅ᫔⬨ᙵޏ᫷⭠ᚑޙᬙ⮗ᚮޢᬻ⯎ᛋެ᭞Ⰵᛨ޶ᮀⰽᜄ޿ᮢⱴᜡ߉ᯅⲫ᜾ߓᯧ"/>
    <w:docVar w:name="EN.Layout" w:val="砶¬섔섞섪센셆셐셚셤셮셸솂소솖솠솪솴솾쇈쇒쇜쇦쇰쇺숄숎수숢숬숶쉀쉊쉔쉞쉨쉲쉼슆슐슚스슮슸싂싌싖신싪싴싾쌈쌒쌜쌦쌰쌺썄썎썘썢썬썶쎀쎊쎔쎞쎨쎲쎼쏆쏐쏚쏤쏮쏸쐂쐌쐖쐠쐪쐴쐾쑈쑒쑜쑦쑰쑺쒄쒎쒘쒢쒬쒶쓀쓊쓔쓞쓨쓲쓼씆씐씚씤씮씸앂알앖애앪앴앾얈얒얜얦얰얺엄엎엘엢여엶였옊옔옞온옲옼왆왐왚왤왮외욂욌욖욠욪운욾웈웒웜웦웰웺위윎윘윢윬윶은읊읔읞읨읲일있잔잠재잸쟄쟐쟜쟨쟴저젌젘젤젰젼졈졔졠졬졸좄좐좜좨좴죀죌죘죤죰주줈줔줠줬줸쥄쥐쥜쥨쥴즀즌즘즤즰즼질짔짠짬째쨄쨐쨜쨨쨴쩀쩌쩘쩤쩰쩼쪈쪔쪢쪰쪾쫌쫚쫨쫶쬄쬒쬠쬮쬼쭊쭘쭦쭴쮂쮐쮞쮬쮺쯎쯚쯦쯲쯺찂찊찒찚찢찪찲찺챂챊챒챜챦챰챺첄첎처첢첬첶쳀쳊쳔쳞쳨쳲쳼촆촐촚촤촮촸쵂쵌쵖쵠쵪쵴쵾춈춒출춦춰춺췄췎췘췢췬췶츀츊츔츞츨츲츼칆칐칚칤칮칸캂캌캖캠캪캴캾컈컒컜컦컰컺켄켎켘켢켬켶콀콊코콞콨콲콼쾆쾐쾚쾤쾮쾸쿂쿌쿖쿠쿪쿴쿾퀈퀒퀜퀦퀲퀾큊큖큢큮큺킆킒킞킪킶탂탎탚탦탲탾턊턖턢턮턺텆텒텞텪텶톂톎톚톦톲톾퇊퇖퇢퇮퇺툆툒툞툪툶퉄퉒퉠퉮퉼튊튘튦튴틈틒틜틦티틺팄팎팘팢팬팶퍀퍊퍔퍞퍨퍲퍼펆펐펚펤펮편폂폌폖폠폪폴폾퐈퐒퐜퐦퐰퐺푄푎푘푤푰푼품풔풠풬풸퓄퓐퓜퓨퓴픀플픘픤픰피핈핖핤핲햀햎햜햪햸헆헔헢헶헼현혌혔혜혤혬혴혼홄홌화활홤홬홴홾횈횒횜횦횰횺후훎훘훢훬훶휀휊휔휞휨휲휼흆흐흚흤흮흸힂힌힖힠힪ힴힾ퟈ퟒퟜퟦퟰퟺ"/>
  </w:docVars>
  <w:rsids>
    <w:rsidRoot w:val="0079296B"/>
    <w:rsid w:val="00000D5C"/>
    <w:rsid w:val="00001BBF"/>
    <w:rsid w:val="000073CD"/>
    <w:rsid w:val="000132B0"/>
    <w:rsid w:val="0001466E"/>
    <w:rsid w:val="000166DC"/>
    <w:rsid w:val="000173F5"/>
    <w:rsid w:val="00020950"/>
    <w:rsid w:val="000246F9"/>
    <w:rsid w:val="00025CC2"/>
    <w:rsid w:val="0003211B"/>
    <w:rsid w:val="00042FAB"/>
    <w:rsid w:val="00045271"/>
    <w:rsid w:val="00045A67"/>
    <w:rsid w:val="000471E9"/>
    <w:rsid w:val="0005549D"/>
    <w:rsid w:val="00055E00"/>
    <w:rsid w:val="00057982"/>
    <w:rsid w:val="00057EFF"/>
    <w:rsid w:val="00065238"/>
    <w:rsid w:val="00065BFF"/>
    <w:rsid w:val="00072C21"/>
    <w:rsid w:val="000734A0"/>
    <w:rsid w:val="00073B45"/>
    <w:rsid w:val="00081108"/>
    <w:rsid w:val="000958E8"/>
    <w:rsid w:val="000A7DBA"/>
    <w:rsid w:val="000B24AB"/>
    <w:rsid w:val="000B4093"/>
    <w:rsid w:val="000B7545"/>
    <w:rsid w:val="000C0DC2"/>
    <w:rsid w:val="000C29C4"/>
    <w:rsid w:val="000C2BB7"/>
    <w:rsid w:val="000C605C"/>
    <w:rsid w:val="000C73AC"/>
    <w:rsid w:val="000D7F4C"/>
    <w:rsid w:val="000E194F"/>
    <w:rsid w:val="000E2372"/>
    <w:rsid w:val="000E2F8D"/>
    <w:rsid w:val="000E40B2"/>
    <w:rsid w:val="000F2361"/>
    <w:rsid w:val="000F359A"/>
    <w:rsid w:val="000F5A24"/>
    <w:rsid w:val="000F5E91"/>
    <w:rsid w:val="00102323"/>
    <w:rsid w:val="001107BA"/>
    <w:rsid w:val="001108D6"/>
    <w:rsid w:val="00110E73"/>
    <w:rsid w:val="0012428D"/>
    <w:rsid w:val="001266E9"/>
    <w:rsid w:val="00127C07"/>
    <w:rsid w:val="00131C57"/>
    <w:rsid w:val="001474EC"/>
    <w:rsid w:val="00147FD2"/>
    <w:rsid w:val="00151CBD"/>
    <w:rsid w:val="00153182"/>
    <w:rsid w:val="001531BA"/>
    <w:rsid w:val="00162682"/>
    <w:rsid w:val="00165FFB"/>
    <w:rsid w:val="00170A98"/>
    <w:rsid w:val="00174FEF"/>
    <w:rsid w:val="00187D50"/>
    <w:rsid w:val="00190CA1"/>
    <w:rsid w:val="00191E4B"/>
    <w:rsid w:val="001928DD"/>
    <w:rsid w:val="001936E9"/>
    <w:rsid w:val="00193A7B"/>
    <w:rsid w:val="001A0995"/>
    <w:rsid w:val="001A3D58"/>
    <w:rsid w:val="001A550E"/>
    <w:rsid w:val="001A6533"/>
    <w:rsid w:val="001B2209"/>
    <w:rsid w:val="001B4549"/>
    <w:rsid w:val="001E0189"/>
    <w:rsid w:val="001F007B"/>
    <w:rsid w:val="001F0302"/>
    <w:rsid w:val="001F128A"/>
    <w:rsid w:val="002067F0"/>
    <w:rsid w:val="002128C6"/>
    <w:rsid w:val="0021638D"/>
    <w:rsid w:val="00225822"/>
    <w:rsid w:val="00233BD7"/>
    <w:rsid w:val="00236D7F"/>
    <w:rsid w:val="00237FA5"/>
    <w:rsid w:val="00240887"/>
    <w:rsid w:val="002544AE"/>
    <w:rsid w:val="00264F8A"/>
    <w:rsid w:val="00276D33"/>
    <w:rsid w:val="00281257"/>
    <w:rsid w:val="0028467E"/>
    <w:rsid w:val="002916E1"/>
    <w:rsid w:val="00293877"/>
    <w:rsid w:val="002A1822"/>
    <w:rsid w:val="002B211E"/>
    <w:rsid w:val="002B6311"/>
    <w:rsid w:val="002B7EEE"/>
    <w:rsid w:val="002C10EF"/>
    <w:rsid w:val="002D0294"/>
    <w:rsid w:val="002D04D6"/>
    <w:rsid w:val="002E652C"/>
    <w:rsid w:val="002F18FF"/>
    <w:rsid w:val="002F20EF"/>
    <w:rsid w:val="002F3718"/>
    <w:rsid w:val="002F7FB8"/>
    <w:rsid w:val="003017A5"/>
    <w:rsid w:val="003114A2"/>
    <w:rsid w:val="003115B8"/>
    <w:rsid w:val="003119A9"/>
    <w:rsid w:val="003120DF"/>
    <w:rsid w:val="00314B02"/>
    <w:rsid w:val="00315BA1"/>
    <w:rsid w:val="0031610B"/>
    <w:rsid w:val="00321C36"/>
    <w:rsid w:val="0032556E"/>
    <w:rsid w:val="00334D45"/>
    <w:rsid w:val="00336344"/>
    <w:rsid w:val="0034256B"/>
    <w:rsid w:val="00343E33"/>
    <w:rsid w:val="00350810"/>
    <w:rsid w:val="00350DD8"/>
    <w:rsid w:val="00351F03"/>
    <w:rsid w:val="0035599F"/>
    <w:rsid w:val="00357D83"/>
    <w:rsid w:val="003628FE"/>
    <w:rsid w:val="00365A1F"/>
    <w:rsid w:val="00370C94"/>
    <w:rsid w:val="0037307E"/>
    <w:rsid w:val="00373B58"/>
    <w:rsid w:val="00376048"/>
    <w:rsid w:val="00386335"/>
    <w:rsid w:val="003871C9"/>
    <w:rsid w:val="003B0EE4"/>
    <w:rsid w:val="003B191F"/>
    <w:rsid w:val="003B4829"/>
    <w:rsid w:val="003B78DD"/>
    <w:rsid w:val="003C22B6"/>
    <w:rsid w:val="003C31FF"/>
    <w:rsid w:val="003C6397"/>
    <w:rsid w:val="003C7D33"/>
    <w:rsid w:val="003D058A"/>
    <w:rsid w:val="003D0803"/>
    <w:rsid w:val="003D2B9A"/>
    <w:rsid w:val="003D2E80"/>
    <w:rsid w:val="003E2E49"/>
    <w:rsid w:val="003F1BD3"/>
    <w:rsid w:val="003F2BBC"/>
    <w:rsid w:val="003F4A2D"/>
    <w:rsid w:val="003F516B"/>
    <w:rsid w:val="00400998"/>
    <w:rsid w:val="004147E6"/>
    <w:rsid w:val="0042585B"/>
    <w:rsid w:val="00427D07"/>
    <w:rsid w:val="00430084"/>
    <w:rsid w:val="0043150C"/>
    <w:rsid w:val="0043352F"/>
    <w:rsid w:val="0043433B"/>
    <w:rsid w:val="004407E4"/>
    <w:rsid w:val="00440A3C"/>
    <w:rsid w:val="00442F7B"/>
    <w:rsid w:val="00445505"/>
    <w:rsid w:val="00445937"/>
    <w:rsid w:val="00451324"/>
    <w:rsid w:val="004521B6"/>
    <w:rsid w:val="004541B5"/>
    <w:rsid w:val="00454D8A"/>
    <w:rsid w:val="00456365"/>
    <w:rsid w:val="004623B6"/>
    <w:rsid w:val="00465501"/>
    <w:rsid w:val="004662B2"/>
    <w:rsid w:val="00467A6D"/>
    <w:rsid w:val="004747FF"/>
    <w:rsid w:val="004755C5"/>
    <w:rsid w:val="004768D5"/>
    <w:rsid w:val="0048194C"/>
    <w:rsid w:val="00482506"/>
    <w:rsid w:val="004870C6"/>
    <w:rsid w:val="004871B8"/>
    <w:rsid w:val="00490497"/>
    <w:rsid w:val="00491891"/>
    <w:rsid w:val="00492E9C"/>
    <w:rsid w:val="004971BA"/>
    <w:rsid w:val="004A5205"/>
    <w:rsid w:val="004A5F73"/>
    <w:rsid w:val="004A62CC"/>
    <w:rsid w:val="004A7DD1"/>
    <w:rsid w:val="004C27D7"/>
    <w:rsid w:val="004C3EBE"/>
    <w:rsid w:val="004C4987"/>
    <w:rsid w:val="004C4EC6"/>
    <w:rsid w:val="004D01DE"/>
    <w:rsid w:val="004D23AE"/>
    <w:rsid w:val="004D37E5"/>
    <w:rsid w:val="004D6F66"/>
    <w:rsid w:val="004E153F"/>
    <w:rsid w:val="004E1FDE"/>
    <w:rsid w:val="004E36C0"/>
    <w:rsid w:val="004E7316"/>
    <w:rsid w:val="004F47EC"/>
    <w:rsid w:val="005054BE"/>
    <w:rsid w:val="0050565E"/>
    <w:rsid w:val="00506C50"/>
    <w:rsid w:val="005121CB"/>
    <w:rsid w:val="00512302"/>
    <w:rsid w:val="00512C15"/>
    <w:rsid w:val="00516730"/>
    <w:rsid w:val="00517268"/>
    <w:rsid w:val="00520633"/>
    <w:rsid w:val="00520FC1"/>
    <w:rsid w:val="005404D9"/>
    <w:rsid w:val="00540CC9"/>
    <w:rsid w:val="00544FE2"/>
    <w:rsid w:val="00556245"/>
    <w:rsid w:val="00561AF1"/>
    <w:rsid w:val="00563C56"/>
    <w:rsid w:val="00564D66"/>
    <w:rsid w:val="005654E1"/>
    <w:rsid w:val="00571CD0"/>
    <w:rsid w:val="00573691"/>
    <w:rsid w:val="00587AC1"/>
    <w:rsid w:val="0059351E"/>
    <w:rsid w:val="005A2ED8"/>
    <w:rsid w:val="005B7CAC"/>
    <w:rsid w:val="005C4499"/>
    <w:rsid w:val="005C6DFB"/>
    <w:rsid w:val="005C7D19"/>
    <w:rsid w:val="005D49A5"/>
    <w:rsid w:val="005D5CDB"/>
    <w:rsid w:val="005D5ED9"/>
    <w:rsid w:val="005E4040"/>
    <w:rsid w:val="005E5752"/>
    <w:rsid w:val="005F1C87"/>
    <w:rsid w:val="005F7467"/>
    <w:rsid w:val="00602841"/>
    <w:rsid w:val="00605506"/>
    <w:rsid w:val="00606ACE"/>
    <w:rsid w:val="00607902"/>
    <w:rsid w:val="00613ECB"/>
    <w:rsid w:val="00614120"/>
    <w:rsid w:val="00626858"/>
    <w:rsid w:val="00631326"/>
    <w:rsid w:val="00632215"/>
    <w:rsid w:val="00641DA1"/>
    <w:rsid w:val="006431BA"/>
    <w:rsid w:val="00645243"/>
    <w:rsid w:val="006523E0"/>
    <w:rsid w:val="00652A55"/>
    <w:rsid w:val="006672E4"/>
    <w:rsid w:val="006763B3"/>
    <w:rsid w:val="00677018"/>
    <w:rsid w:val="006809F2"/>
    <w:rsid w:val="00684366"/>
    <w:rsid w:val="0069118F"/>
    <w:rsid w:val="00694F76"/>
    <w:rsid w:val="006956CB"/>
    <w:rsid w:val="006970A8"/>
    <w:rsid w:val="00697537"/>
    <w:rsid w:val="006A7C50"/>
    <w:rsid w:val="006B2CBF"/>
    <w:rsid w:val="006B5C87"/>
    <w:rsid w:val="006B670A"/>
    <w:rsid w:val="006B6BA7"/>
    <w:rsid w:val="006C51C3"/>
    <w:rsid w:val="006C7E5E"/>
    <w:rsid w:val="006D463A"/>
    <w:rsid w:val="006D67E4"/>
    <w:rsid w:val="006D6856"/>
    <w:rsid w:val="006F448E"/>
    <w:rsid w:val="007020C5"/>
    <w:rsid w:val="007149E0"/>
    <w:rsid w:val="0071784E"/>
    <w:rsid w:val="0072442A"/>
    <w:rsid w:val="00727C41"/>
    <w:rsid w:val="00727F4C"/>
    <w:rsid w:val="007411B0"/>
    <w:rsid w:val="00742C74"/>
    <w:rsid w:val="00743252"/>
    <w:rsid w:val="00743B20"/>
    <w:rsid w:val="00763827"/>
    <w:rsid w:val="0076425B"/>
    <w:rsid w:val="0076495E"/>
    <w:rsid w:val="007657D1"/>
    <w:rsid w:val="00775019"/>
    <w:rsid w:val="00775AF2"/>
    <w:rsid w:val="00783484"/>
    <w:rsid w:val="007848F5"/>
    <w:rsid w:val="0078702C"/>
    <w:rsid w:val="007903BC"/>
    <w:rsid w:val="007909CC"/>
    <w:rsid w:val="0079296B"/>
    <w:rsid w:val="00794A98"/>
    <w:rsid w:val="007964A9"/>
    <w:rsid w:val="007A30C0"/>
    <w:rsid w:val="007B5FF8"/>
    <w:rsid w:val="007B79E6"/>
    <w:rsid w:val="007C11F2"/>
    <w:rsid w:val="007D00AB"/>
    <w:rsid w:val="007D02CC"/>
    <w:rsid w:val="007D1059"/>
    <w:rsid w:val="007D1C55"/>
    <w:rsid w:val="007D249E"/>
    <w:rsid w:val="007D7259"/>
    <w:rsid w:val="007E2EC7"/>
    <w:rsid w:val="007F19E3"/>
    <w:rsid w:val="007F2863"/>
    <w:rsid w:val="007F4496"/>
    <w:rsid w:val="0080485A"/>
    <w:rsid w:val="00804D37"/>
    <w:rsid w:val="0080711F"/>
    <w:rsid w:val="008128EC"/>
    <w:rsid w:val="00820578"/>
    <w:rsid w:val="008240A1"/>
    <w:rsid w:val="008259B7"/>
    <w:rsid w:val="00836B92"/>
    <w:rsid w:val="00842785"/>
    <w:rsid w:val="00846128"/>
    <w:rsid w:val="00852E43"/>
    <w:rsid w:val="0085460F"/>
    <w:rsid w:val="0085578B"/>
    <w:rsid w:val="00856460"/>
    <w:rsid w:val="00872F66"/>
    <w:rsid w:val="00873A20"/>
    <w:rsid w:val="00880904"/>
    <w:rsid w:val="00882401"/>
    <w:rsid w:val="00885BE2"/>
    <w:rsid w:val="00890AD5"/>
    <w:rsid w:val="00893C37"/>
    <w:rsid w:val="00894F12"/>
    <w:rsid w:val="008A3AD4"/>
    <w:rsid w:val="008A6B8F"/>
    <w:rsid w:val="008B165D"/>
    <w:rsid w:val="008B1B2F"/>
    <w:rsid w:val="008C04FE"/>
    <w:rsid w:val="008C11DC"/>
    <w:rsid w:val="008C1E0A"/>
    <w:rsid w:val="008C7328"/>
    <w:rsid w:val="008D6C30"/>
    <w:rsid w:val="008E0418"/>
    <w:rsid w:val="008E1520"/>
    <w:rsid w:val="008E64AC"/>
    <w:rsid w:val="008F03D4"/>
    <w:rsid w:val="008F22F7"/>
    <w:rsid w:val="008F4620"/>
    <w:rsid w:val="00901454"/>
    <w:rsid w:val="00904722"/>
    <w:rsid w:val="00905B5F"/>
    <w:rsid w:val="009101D8"/>
    <w:rsid w:val="00912A1A"/>
    <w:rsid w:val="00913CDF"/>
    <w:rsid w:val="00914D36"/>
    <w:rsid w:val="00921D8E"/>
    <w:rsid w:val="009241C3"/>
    <w:rsid w:val="0092547C"/>
    <w:rsid w:val="009256CD"/>
    <w:rsid w:val="00925719"/>
    <w:rsid w:val="0092712D"/>
    <w:rsid w:val="00931F97"/>
    <w:rsid w:val="00935123"/>
    <w:rsid w:val="00942BAB"/>
    <w:rsid w:val="00944BE2"/>
    <w:rsid w:val="00944DFB"/>
    <w:rsid w:val="00953838"/>
    <w:rsid w:val="00953E1E"/>
    <w:rsid w:val="009547D1"/>
    <w:rsid w:val="009618BB"/>
    <w:rsid w:val="009717DD"/>
    <w:rsid w:val="00972233"/>
    <w:rsid w:val="0097415F"/>
    <w:rsid w:val="00982400"/>
    <w:rsid w:val="009923C9"/>
    <w:rsid w:val="009923D2"/>
    <w:rsid w:val="009A49CA"/>
    <w:rsid w:val="009A5302"/>
    <w:rsid w:val="009B2FFF"/>
    <w:rsid w:val="009B36CB"/>
    <w:rsid w:val="009B5C42"/>
    <w:rsid w:val="009B6032"/>
    <w:rsid w:val="009C28CE"/>
    <w:rsid w:val="009C36E9"/>
    <w:rsid w:val="009E226E"/>
    <w:rsid w:val="009E6602"/>
    <w:rsid w:val="009E669D"/>
    <w:rsid w:val="009E6AA0"/>
    <w:rsid w:val="009F60F5"/>
    <w:rsid w:val="009F6DF0"/>
    <w:rsid w:val="009F71B5"/>
    <w:rsid w:val="00A0116C"/>
    <w:rsid w:val="00A05F83"/>
    <w:rsid w:val="00A11327"/>
    <w:rsid w:val="00A1666B"/>
    <w:rsid w:val="00A17E21"/>
    <w:rsid w:val="00A22430"/>
    <w:rsid w:val="00A226B7"/>
    <w:rsid w:val="00A248B7"/>
    <w:rsid w:val="00A25700"/>
    <w:rsid w:val="00A278EB"/>
    <w:rsid w:val="00A27F01"/>
    <w:rsid w:val="00A35C6B"/>
    <w:rsid w:val="00A35D88"/>
    <w:rsid w:val="00A36F2C"/>
    <w:rsid w:val="00A456AE"/>
    <w:rsid w:val="00A46CB4"/>
    <w:rsid w:val="00A5119B"/>
    <w:rsid w:val="00A51333"/>
    <w:rsid w:val="00A537B3"/>
    <w:rsid w:val="00A55B05"/>
    <w:rsid w:val="00A71836"/>
    <w:rsid w:val="00A82005"/>
    <w:rsid w:val="00A87030"/>
    <w:rsid w:val="00A904DD"/>
    <w:rsid w:val="00A96428"/>
    <w:rsid w:val="00A96F94"/>
    <w:rsid w:val="00A978F1"/>
    <w:rsid w:val="00AA086F"/>
    <w:rsid w:val="00AA0BD2"/>
    <w:rsid w:val="00AA2AE0"/>
    <w:rsid w:val="00AA4F5C"/>
    <w:rsid w:val="00AA5CA9"/>
    <w:rsid w:val="00AD3974"/>
    <w:rsid w:val="00AE016C"/>
    <w:rsid w:val="00AE0E23"/>
    <w:rsid w:val="00AE1259"/>
    <w:rsid w:val="00AE219F"/>
    <w:rsid w:val="00AE51C1"/>
    <w:rsid w:val="00AF2243"/>
    <w:rsid w:val="00B009EF"/>
    <w:rsid w:val="00B04A68"/>
    <w:rsid w:val="00B05667"/>
    <w:rsid w:val="00B07539"/>
    <w:rsid w:val="00B12896"/>
    <w:rsid w:val="00B1460B"/>
    <w:rsid w:val="00B20642"/>
    <w:rsid w:val="00B22CFF"/>
    <w:rsid w:val="00B24821"/>
    <w:rsid w:val="00B25044"/>
    <w:rsid w:val="00B26217"/>
    <w:rsid w:val="00B47506"/>
    <w:rsid w:val="00B52C54"/>
    <w:rsid w:val="00B52F35"/>
    <w:rsid w:val="00B5350B"/>
    <w:rsid w:val="00B55E62"/>
    <w:rsid w:val="00B665F1"/>
    <w:rsid w:val="00B678DF"/>
    <w:rsid w:val="00B71009"/>
    <w:rsid w:val="00B762BC"/>
    <w:rsid w:val="00B80726"/>
    <w:rsid w:val="00B80C57"/>
    <w:rsid w:val="00B917D3"/>
    <w:rsid w:val="00B92286"/>
    <w:rsid w:val="00B9768F"/>
    <w:rsid w:val="00BA5C50"/>
    <w:rsid w:val="00BA7F22"/>
    <w:rsid w:val="00BB21D5"/>
    <w:rsid w:val="00BB37DA"/>
    <w:rsid w:val="00BD08A7"/>
    <w:rsid w:val="00BD4B9F"/>
    <w:rsid w:val="00BD5DDA"/>
    <w:rsid w:val="00BE0932"/>
    <w:rsid w:val="00BE10E6"/>
    <w:rsid w:val="00BE3C42"/>
    <w:rsid w:val="00BE46C0"/>
    <w:rsid w:val="00BF07DF"/>
    <w:rsid w:val="00BF6118"/>
    <w:rsid w:val="00C05187"/>
    <w:rsid w:val="00C27EFE"/>
    <w:rsid w:val="00C300F5"/>
    <w:rsid w:val="00C317AD"/>
    <w:rsid w:val="00C33FA7"/>
    <w:rsid w:val="00C36969"/>
    <w:rsid w:val="00C3777D"/>
    <w:rsid w:val="00C41733"/>
    <w:rsid w:val="00C43D15"/>
    <w:rsid w:val="00C51158"/>
    <w:rsid w:val="00C54321"/>
    <w:rsid w:val="00C56FD2"/>
    <w:rsid w:val="00C57E93"/>
    <w:rsid w:val="00C600C4"/>
    <w:rsid w:val="00C656AE"/>
    <w:rsid w:val="00C66CDF"/>
    <w:rsid w:val="00C72EE3"/>
    <w:rsid w:val="00C844C9"/>
    <w:rsid w:val="00C84725"/>
    <w:rsid w:val="00C9142E"/>
    <w:rsid w:val="00C921D2"/>
    <w:rsid w:val="00C92862"/>
    <w:rsid w:val="00CA16C4"/>
    <w:rsid w:val="00CA37B5"/>
    <w:rsid w:val="00CA4A53"/>
    <w:rsid w:val="00CA4EDE"/>
    <w:rsid w:val="00CA6279"/>
    <w:rsid w:val="00CA7F98"/>
    <w:rsid w:val="00CB1CD3"/>
    <w:rsid w:val="00CB2900"/>
    <w:rsid w:val="00CC03A6"/>
    <w:rsid w:val="00CC0C65"/>
    <w:rsid w:val="00CC11C9"/>
    <w:rsid w:val="00CC1CD2"/>
    <w:rsid w:val="00CD5663"/>
    <w:rsid w:val="00CE3C1A"/>
    <w:rsid w:val="00CE4FD2"/>
    <w:rsid w:val="00CE6472"/>
    <w:rsid w:val="00CE6575"/>
    <w:rsid w:val="00CF184D"/>
    <w:rsid w:val="00D05967"/>
    <w:rsid w:val="00D11FE0"/>
    <w:rsid w:val="00D167DD"/>
    <w:rsid w:val="00D2054A"/>
    <w:rsid w:val="00D216FB"/>
    <w:rsid w:val="00D23533"/>
    <w:rsid w:val="00D30ECA"/>
    <w:rsid w:val="00D353B9"/>
    <w:rsid w:val="00D40D6C"/>
    <w:rsid w:val="00D4158B"/>
    <w:rsid w:val="00D41593"/>
    <w:rsid w:val="00D5548A"/>
    <w:rsid w:val="00D55CF6"/>
    <w:rsid w:val="00D5620A"/>
    <w:rsid w:val="00D56E9B"/>
    <w:rsid w:val="00D60189"/>
    <w:rsid w:val="00D601B1"/>
    <w:rsid w:val="00D7010D"/>
    <w:rsid w:val="00D829B8"/>
    <w:rsid w:val="00D8414B"/>
    <w:rsid w:val="00D9301C"/>
    <w:rsid w:val="00D93609"/>
    <w:rsid w:val="00D93A18"/>
    <w:rsid w:val="00D93EDC"/>
    <w:rsid w:val="00D94862"/>
    <w:rsid w:val="00DA6DF3"/>
    <w:rsid w:val="00DB12C8"/>
    <w:rsid w:val="00DC024E"/>
    <w:rsid w:val="00DC0CD5"/>
    <w:rsid w:val="00DC1947"/>
    <w:rsid w:val="00DC2383"/>
    <w:rsid w:val="00DC71C1"/>
    <w:rsid w:val="00DD2510"/>
    <w:rsid w:val="00DD3786"/>
    <w:rsid w:val="00DD6806"/>
    <w:rsid w:val="00DD73E8"/>
    <w:rsid w:val="00DE1609"/>
    <w:rsid w:val="00DE21DA"/>
    <w:rsid w:val="00DE2E57"/>
    <w:rsid w:val="00DE430E"/>
    <w:rsid w:val="00DE48DE"/>
    <w:rsid w:val="00DE5CCB"/>
    <w:rsid w:val="00DF2DA3"/>
    <w:rsid w:val="00DF3A65"/>
    <w:rsid w:val="00DF50C7"/>
    <w:rsid w:val="00E01F60"/>
    <w:rsid w:val="00E025A6"/>
    <w:rsid w:val="00E07BD4"/>
    <w:rsid w:val="00E1279B"/>
    <w:rsid w:val="00E13EDF"/>
    <w:rsid w:val="00E140F2"/>
    <w:rsid w:val="00E150F9"/>
    <w:rsid w:val="00E15B29"/>
    <w:rsid w:val="00E22346"/>
    <w:rsid w:val="00E26194"/>
    <w:rsid w:val="00E265AB"/>
    <w:rsid w:val="00E37106"/>
    <w:rsid w:val="00E50371"/>
    <w:rsid w:val="00E53FA0"/>
    <w:rsid w:val="00E540F9"/>
    <w:rsid w:val="00E54FF9"/>
    <w:rsid w:val="00E603CC"/>
    <w:rsid w:val="00E6425D"/>
    <w:rsid w:val="00E66051"/>
    <w:rsid w:val="00E70200"/>
    <w:rsid w:val="00E71E90"/>
    <w:rsid w:val="00E72B54"/>
    <w:rsid w:val="00E806BA"/>
    <w:rsid w:val="00E87FB0"/>
    <w:rsid w:val="00E91BD1"/>
    <w:rsid w:val="00E92835"/>
    <w:rsid w:val="00E9643F"/>
    <w:rsid w:val="00E96C9B"/>
    <w:rsid w:val="00EA020E"/>
    <w:rsid w:val="00EA2906"/>
    <w:rsid w:val="00EA2EF5"/>
    <w:rsid w:val="00EA5E4E"/>
    <w:rsid w:val="00EB032C"/>
    <w:rsid w:val="00EB3CBA"/>
    <w:rsid w:val="00EB402C"/>
    <w:rsid w:val="00ED32A9"/>
    <w:rsid w:val="00ED3A59"/>
    <w:rsid w:val="00ED5A6B"/>
    <w:rsid w:val="00EE2A21"/>
    <w:rsid w:val="00EF34EC"/>
    <w:rsid w:val="00EF4201"/>
    <w:rsid w:val="00EF4935"/>
    <w:rsid w:val="00EF620B"/>
    <w:rsid w:val="00EF7916"/>
    <w:rsid w:val="00EF7B13"/>
    <w:rsid w:val="00F006CA"/>
    <w:rsid w:val="00F07F3A"/>
    <w:rsid w:val="00F13826"/>
    <w:rsid w:val="00F17465"/>
    <w:rsid w:val="00F2680E"/>
    <w:rsid w:val="00F27EA6"/>
    <w:rsid w:val="00F34513"/>
    <w:rsid w:val="00F36BF7"/>
    <w:rsid w:val="00F41228"/>
    <w:rsid w:val="00F45D20"/>
    <w:rsid w:val="00F463A2"/>
    <w:rsid w:val="00F516D6"/>
    <w:rsid w:val="00F53B5D"/>
    <w:rsid w:val="00F54FA0"/>
    <w:rsid w:val="00F55578"/>
    <w:rsid w:val="00F57F77"/>
    <w:rsid w:val="00F62703"/>
    <w:rsid w:val="00F7067A"/>
    <w:rsid w:val="00F71AE3"/>
    <w:rsid w:val="00F7433F"/>
    <w:rsid w:val="00F841B1"/>
    <w:rsid w:val="00F84F01"/>
    <w:rsid w:val="00F92085"/>
    <w:rsid w:val="00F974CE"/>
    <w:rsid w:val="00FA0C30"/>
    <w:rsid w:val="00FA186E"/>
    <w:rsid w:val="00FA399C"/>
    <w:rsid w:val="00FA71B5"/>
    <w:rsid w:val="00FB2D25"/>
    <w:rsid w:val="00FB3F77"/>
    <w:rsid w:val="00FB41C7"/>
    <w:rsid w:val="00FB61D1"/>
    <w:rsid w:val="00FC3A76"/>
    <w:rsid w:val="00FC3A9F"/>
    <w:rsid w:val="00FD5BDF"/>
    <w:rsid w:val="00FD61C2"/>
    <w:rsid w:val="00FE56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0,0,0,0"/>
    </o:shapedefaults>
    <o:shapelayout v:ext="edit">
      <o:idmap v:ext="edit" data="1"/>
    </o:shapelayout>
  </w:shapeDefaults>
  <w:decimalSymbol w:val="."/>
  <w:listSeparator w:val=","/>
  <w14:docId w14:val="245B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2ED8"/>
    <w:rPr>
      <w:sz w:val="24"/>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E50371"/>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E50371"/>
    <w:pPr>
      <w:spacing w:after="200" w:line="240" w:lineRule="exact"/>
      <w:jc w:val="both"/>
    </w:pPr>
    <w:rPr>
      <w:b/>
      <w:sz w:val="18"/>
      <w:szCs w:val="18"/>
    </w:rPr>
  </w:style>
  <w:style w:type="paragraph" w:customStyle="1" w:styleId="04AHeading">
    <w:name w:val="04 A Heading"/>
    <w:next w:val="08ArticleText"/>
    <w:qFormat/>
    <w:rsid w:val="00E50371"/>
    <w:pPr>
      <w:spacing w:before="240" w:after="120" w:line="240" w:lineRule="exact"/>
    </w:pPr>
    <w:rPr>
      <w:b/>
      <w:sz w:val="22"/>
    </w:rPr>
  </w:style>
  <w:style w:type="paragraph" w:customStyle="1" w:styleId="08ArticleText">
    <w:name w:val="08 Article Text"/>
    <w:qFormat/>
    <w:rsid w:val="00E50371"/>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7909CC"/>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E50371"/>
    <w:pPr>
      <w:spacing w:before="120" w:after="120" w:line="200" w:lineRule="exact"/>
      <w:jc w:val="both"/>
    </w:pPr>
    <w:rPr>
      <w:b/>
      <w:sz w:val="18"/>
    </w:rPr>
  </w:style>
  <w:style w:type="paragraph" w:customStyle="1" w:styleId="06CHeading">
    <w:name w:val="06 C Heading"/>
    <w:next w:val="08ArticleText"/>
    <w:qFormat/>
    <w:rsid w:val="00E50371"/>
    <w:pPr>
      <w:spacing w:line="200" w:lineRule="exact"/>
      <w:jc w:val="both"/>
    </w:pPr>
    <w:rPr>
      <w:b/>
      <w:sz w:val="18"/>
    </w:rPr>
  </w:style>
  <w:style w:type="paragraph" w:customStyle="1" w:styleId="07DHeading">
    <w:name w:val="07 D Heading"/>
    <w:next w:val="08ArticleText"/>
    <w:qFormat/>
    <w:rsid w:val="00E50371"/>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BalloonText">
    <w:name w:val="Balloon Text"/>
    <w:basedOn w:val="Normal"/>
    <w:link w:val="BalloonTextChar"/>
    <w:rsid w:val="009A5302"/>
    <w:rPr>
      <w:rFonts w:ascii="Lucida Grande" w:hAnsi="Lucida Grande" w:cs="Lucida Grande"/>
      <w:sz w:val="18"/>
      <w:szCs w:val="18"/>
    </w:rPr>
  </w:style>
  <w:style w:type="character" w:customStyle="1" w:styleId="BalloonTextChar">
    <w:name w:val="Balloon Text Char"/>
    <w:basedOn w:val="DefaultParagraphFont"/>
    <w:link w:val="BalloonText"/>
    <w:rsid w:val="009A53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2ED8"/>
    <w:rPr>
      <w:sz w:val="24"/>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E50371"/>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E50371"/>
    <w:pPr>
      <w:spacing w:after="200" w:line="240" w:lineRule="exact"/>
      <w:jc w:val="both"/>
    </w:pPr>
    <w:rPr>
      <w:b/>
      <w:sz w:val="18"/>
      <w:szCs w:val="18"/>
    </w:rPr>
  </w:style>
  <w:style w:type="paragraph" w:customStyle="1" w:styleId="04AHeading">
    <w:name w:val="04 A Heading"/>
    <w:next w:val="08ArticleText"/>
    <w:qFormat/>
    <w:rsid w:val="00E50371"/>
    <w:pPr>
      <w:spacing w:before="240" w:after="120" w:line="240" w:lineRule="exact"/>
    </w:pPr>
    <w:rPr>
      <w:b/>
      <w:sz w:val="22"/>
    </w:rPr>
  </w:style>
  <w:style w:type="paragraph" w:customStyle="1" w:styleId="08ArticleText">
    <w:name w:val="08 Article Text"/>
    <w:qFormat/>
    <w:rsid w:val="00E50371"/>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7909CC"/>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E50371"/>
    <w:pPr>
      <w:spacing w:before="120" w:after="120" w:line="200" w:lineRule="exact"/>
      <w:jc w:val="both"/>
    </w:pPr>
    <w:rPr>
      <w:b/>
      <w:sz w:val="18"/>
    </w:rPr>
  </w:style>
  <w:style w:type="paragraph" w:customStyle="1" w:styleId="06CHeading">
    <w:name w:val="06 C Heading"/>
    <w:next w:val="08ArticleText"/>
    <w:qFormat/>
    <w:rsid w:val="00E50371"/>
    <w:pPr>
      <w:spacing w:line="200" w:lineRule="exact"/>
      <w:jc w:val="both"/>
    </w:pPr>
    <w:rPr>
      <w:b/>
      <w:sz w:val="18"/>
    </w:rPr>
  </w:style>
  <w:style w:type="paragraph" w:customStyle="1" w:styleId="07DHeading">
    <w:name w:val="07 D Heading"/>
    <w:next w:val="08ArticleText"/>
    <w:qFormat/>
    <w:rsid w:val="00E50371"/>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BalloonText">
    <w:name w:val="Balloon Text"/>
    <w:basedOn w:val="Normal"/>
    <w:link w:val="BalloonTextChar"/>
    <w:rsid w:val="009A5302"/>
    <w:rPr>
      <w:rFonts w:ascii="Lucida Grande" w:hAnsi="Lucida Grande" w:cs="Lucida Grande"/>
      <w:sz w:val="18"/>
      <w:szCs w:val="18"/>
    </w:rPr>
  </w:style>
  <w:style w:type="character" w:customStyle="1" w:styleId="BalloonTextChar">
    <w:name w:val="Balloon Text Char"/>
    <w:basedOn w:val="DefaultParagraphFont"/>
    <w:link w:val="BalloonText"/>
    <w:rsid w:val="009A53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emf"/><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emf"/><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C16DC-2576-E146-82DE-56AB52C4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2191</Words>
  <Characters>12491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RSC Article Template (Version 3.1)</vt:lpstr>
    </vt:vector>
  </TitlesOfParts>
  <Company>Royal Society of Chemistry</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Communication Template (Version 3.2)</dc:title>
  <dc:subject/>
  <dc:creator>Philip Gale</dc:creator>
  <cp:keywords/>
  <dc:description>Design update</dc:description>
  <cp:lastModifiedBy>Philip Gale</cp:lastModifiedBy>
  <cp:revision>141</cp:revision>
  <cp:lastPrinted>2010-12-02T12:02:00Z</cp:lastPrinted>
  <dcterms:created xsi:type="dcterms:W3CDTF">2012-10-20T10:34:00Z</dcterms:created>
  <dcterms:modified xsi:type="dcterms:W3CDTF">2012-12-03T11:50:00Z</dcterms:modified>
</cp:coreProperties>
</file>