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818CB" w:rsidRPr="00B818CB" w:rsidRDefault="00B818CB" w:rsidP="00B818CB">
      <w:pPr>
        <w:pStyle w:val="Heading2"/>
        <w:ind w:right="-57"/>
        <w:jc w:val="center"/>
      </w:pPr>
      <w:r w:rsidRPr="00B818CB">
        <w:t>Written evidence</w:t>
      </w:r>
    </w:p>
    <w:p w:rsidR="00B818CB" w:rsidRPr="00B818CB" w:rsidRDefault="00B818CB" w:rsidP="00B818CB">
      <w:pPr>
        <w:pStyle w:val="Heading2"/>
        <w:ind w:right="-57"/>
        <w:jc w:val="center"/>
      </w:pPr>
      <w:r w:rsidRPr="00B818CB">
        <w:t>to House of Lords Science and Technology</w:t>
      </w:r>
    </w:p>
    <w:p w:rsidR="00B818CB" w:rsidRPr="00B818CB" w:rsidRDefault="00B818CB" w:rsidP="00B818CB">
      <w:pPr>
        <w:pStyle w:val="Heading2"/>
        <w:ind w:right="-57"/>
        <w:jc w:val="center"/>
      </w:pPr>
      <w:r w:rsidRPr="00B818CB">
        <w:t>Select Committee on Open Access</w:t>
      </w:r>
    </w:p>
    <w:p w:rsidR="00B818CB" w:rsidRDefault="00B818CB" w:rsidP="00B818CB">
      <w:pPr>
        <w:spacing w:after="0"/>
        <w:jc w:val="center"/>
        <w:rPr>
          <w:rFonts w:ascii="Arial" w:hAnsi="Arial"/>
          <w:b/>
          <w:lang w:val="en-CA"/>
        </w:rPr>
      </w:pPr>
    </w:p>
    <w:p w:rsidR="00B818CB" w:rsidRDefault="00E7425E" w:rsidP="00B818CB">
      <w:pPr>
        <w:spacing w:after="0"/>
        <w:jc w:val="center"/>
        <w:rPr>
          <w:rFonts w:ascii="Arial" w:hAnsi="Arial"/>
          <w:lang w:val="en-CA"/>
        </w:rPr>
      </w:pPr>
      <w:proofErr w:type="spellStart"/>
      <w:r>
        <w:rPr>
          <w:rFonts w:ascii="Arial" w:hAnsi="Arial"/>
          <w:lang w:val="en-CA"/>
        </w:rPr>
        <w:t>Stevan</w:t>
      </w:r>
      <w:proofErr w:type="spellEnd"/>
      <w:r>
        <w:rPr>
          <w:rFonts w:ascii="Arial" w:hAnsi="Arial"/>
          <w:lang w:val="en-CA"/>
        </w:rPr>
        <w:t xml:space="preserve"> </w:t>
      </w:r>
      <w:proofErr w:type="spellStart"/>
      <w:r>
        <w:rPr>
          <w:rFonts w:ascii="Arial" w:hAnsi="Arial"/>
          <w:lang w:val="en-CA"/>
        </w:rPr>
        <w:t>Harnad</w:t>
      </w:r>
      <w:proofErr w:type="spellEnd"/>
    </w:p>
    <w:p w:rsidR="00B818CB" w:rsidRDefault="00B818CB" w:rsidP="00B818CB">
      <w:pPr>
        <w:spacing w:after="0"/>
        <w:jc w:val="center"/>
        <w:rPr>
          <w:rFonts w:ascii="Arial" w:hAnsi="Arial"/>
          <w:lang w:val="en-CA"/>
        </w:rPr>
      </w:pPr>
    </w:p>
    <w:p w:rsidR="00E7425E" w:rsidRDefault="00E7425E" w:rsidP="00B818CB">
      <w:pPr>
        <w:spacing w:after="0"/>
        <w:jc w:val="center"/>
        <w:rPr>
          <w:rFonts w:ascii="Arial" w:hAnsi="Arial"/>
          <w:lang w:val="en-CA"/>
        </w:rPr>
      </w:pPr>
      <w:r>
        <w:rPr>
          <w:rFonts w:ascii="Arial" w:hAnsi="Arial"/>
          <w:lang w:val="en-CA"/>
        </w:rPr>
        <w:t>University of Southampton</w:t>
      </w:r>
    </w:p>
    <w:p w:rsidR="00B818CB" w:rsidRDefault="00E7425E" w:rsidP="00B818CB">
      <w:pPr>
        <w:spacing w:after="0"/>
        <w:jc w:val="center"/>
        <w:rPr>
          <w:rFonts w:ascii="Arial" w:hAnsi="Arial"/>
          <w:lang w:val="en-CA"/>
        </w:rPr>
      </w:pPr>
      <w:r>
        <w:rPr>
          <w:rFonts w:ascii="Arial" w:hAnsi="Arial"/>
          <w:lang w:val="en-CA"/>
        </w:rPr>
        <w:t xml:space="preserve">Canada Research Chair in Cognitive Sciences, </w:t>
      </w:r>
      <w:proofErr w:type="spellStart"/>
      <w:r>
        <w:rPr>
          <w:rFonts w:ascii="Arial" w:hAnsi="Arial"/>
          <w:lang w:val="en-CA"/>
        </w:rPr>
        <w:t>Universit</w:t>
      </w:r>
      <w:r w:rsidR="00B818CB">
        <w:rPr>
          <w:rFonts w:ascii="Arial" w:hAnsi="Arial"/>
          <w:lang w:val="en-CA"/>
        </w:rPr>
        <w:t>é</w:t>
      </w:r>
      <w:proofErr w:type="spellEnd"/>
      <w:r>
        <w:rPr>
          <w:rFonts w:ascii="Arial" w:hAnsi="Arial"/>
          <w:lang w:val="en-CA"/>
        </w:rPr>
        <w:t xml:space="preserve"> du Qu</w:t>
      </w:r>
      <w:r w:rsidR="00B818CB">
        <w:rPr>
          <w:rFonts w:ascii="Arial" w:hAnsi="Arial"/>
          <w:lang w:val="en-CA"/>
        </w:rPr>
        <w:t>é</w:t>
      </w:r>
      <w:r>
        <w:rPr>
          <w:rFonts w:ascii="Arial" w:hAnsi="Arial"/>
          <w:lang w:val="en-CA"/>
        </w:rPr>
        <w:t xml:space="preserve">bec </w:t>
      </w:r>
      <w:r w:rsidR="00B818CB">
        <w:rPr>
          <w:rFonts w:ascii="Arial" w:hAnsi="Arial"/>
          <w:lang w:val="en-CA"/>
        </w:rPr>
        <w:t>à</w:t>
      </w:r>
      <w:r>
        <w:rPr>
          <w:rFonts w:ascii="Arial" w:hAnsi="Arial"/>
          <w:lang w:val="en-CA"/>
        </w:rPr>
        <w:t xml:space="preserve"> Montr</w:t>
      </w:r>
      <w:r w:rsidR="00B818CB">
        <w:rPr>
          <w:rFonts w:ascii="Arial" w:hAnsi="Arial"/>
          <w:lang w:val="en-CA"/>
        </w:rPr>
        <w:t>é</w:t>
      </w:r>
      <w:r>
        <w:rPr>
          <w:rFonts w:ascii="Arial" w:hAnsi="Arial"/>
          <w:lang w:val="en-CA"/>
        </w:rPr>
        <w:t>al</w:t>
      </w:r>
    </w:p>
    <w:p w:rsidR="00E7425E" w:rsidRDefault="00B818CB" w:rsidP="00B818CB">
      <w:pPr>
        <w:spacing w:after="0"/>
        <w:jc w:val="center"/>
        <w:rPr>
          <w:rFonts w:ascii="Arial" w:hAnsi="Arial"/>
          <w:lang w:val="en-CA"/>
        </w:rPr>
      </w:pPr>
      <w:r>
        <w:rPr>
          <w:rFonts w:ascii="Arial" w:hAnsi="Arial"/>
          <w:lang w:val="en-CA"/>
        </w:rPr>
        <w:t>&amp;</w:t>
      </w:r>
    </w:p>
    <w:p w:rsidR="00E7425E" w:rsidRPr="00E7425E" w:rsidRDefault="00E7425E" w:rsidP="00B818CB">
      <w:pPr>
        <w:spacing w:after="0"/>
        <w:jc w:val="center"/>
        <w:rPr>
          <w:rFonts w:ascii="Arial" w:hAnsi="Arial"/>
          <w:lang w:val="en-CA"/>
        </w:rPr>
      </w:pPr>
      <w:r>
        <w:rPr>
          <w:rFonts w:ascii="Arial" w:hAnsi="Arial"/>
          <w:lang w:val="en-CA"/>
        </w:rPr>
        <w:t>McGill University</w:t>
      </w:r>
    </w:p>
    <w:p w:rsidR="00826D87" w:rsidRDefault="00826D87" w:rsidP="00E7425E">
      <w:pPr>
        <w:pStyle w:val="ListParagraph"/>
        <w:rPr>
          <w:rFonts w:ascii="Arial" w:hAnsi="Arial"/>
          <w:lang w:val="en-CA"/>
        </w:rPr>
      </w:pPr>
    </w:p>
    <w:p w:rsidR="00826D87" w:rsidRDefault="00826D87" w:rsidP="00826D87">
      <w:pPr>
        <w:pStyle w:val="ListParagraph"/>
        <w:jc w:val="center"/>
        <w:rPr>
          <w:rFonts w:ascii="Arial" w:hAnsi="Arial"/>
          <w:b/>
          <w:lang w:val="en-CA"/>
        </w:rPr>
      </w:pPr>
      <w:r w:rsidRPr="00826D87">
        <w:rPr>
          <w:rFonts w:ascii="Arial" w:hAnsi="Arial"/>
          <w:b/>
          <w:lang w:val="en-CA"/>
        </w:rPr>
        <w:t xml:space="preserve">I. </w:t>
      </w:r>
      <w:r>
        <w:rPr>
          <w:rFonts w:ascii="Arial" w:hAnsi="Arial"/>
          <w:b/>
          <w:lang w:val="en-CA"/>
        </w:rPr>
        <w:t>Overview of OA</w:t>
      </w:r>
    </w:p>
    <w:p w:rsidR="00CD08D2" w:rsidRPr="00826D87" w:rsidRDefault="00CD08D2" w:rsidP="00826D87">
      <w:pPr>
        <w:pStyle w:val="ListParagraph"/>
        <w:jc w:val="center"/>
        <w:rPr>
          <w:rFonts w:ascii="Arial" w:hAnsi="Arial"/>
          <w:b/>
          <w:lang w:val="en-CA"/>
        </w:rPr>
      </w:pPr>
    </w:p>
    <w:p w:rsidR="00E7425E" w:rsidRPr="003F601F" w:rsidRDefault="00E7425E" w:rsidP="00E7425E">
      <w:pPr>
        <w:pStyle w:val="ListParagraph"/>
        <w:numPr>
          <w:ilvl w:val="0"/>
          <w:numId w:val="1"/>
        </w:numPr>
        <w:rPr>
          <w:rFonts w:ascii="Arial" w:hAnsi="Arial"/>
          <w:lang w:val="en-CA"/>
        </w:rPr>
      </w:pPr>
      <w:r w:rsidRPr="003F601F">
        <w:rPr>
          <w:rFonts w:ascii="Arial" w:hAnsi="Arial"/>
          <w:b/>
          <w:lang w:val="en-CA"/>
        </w:rPr>
        <w:t>Open Access (OA)</w:t>
      </w:r>
      <w:r w:rsidRPr="003F601F">
        <w:rPr>
          <w:rFonts w:ascii="Arial" w:hAnsi="Arial"/>
          <w:lang w:val="en-CA"/>
        </w:rPr>
        <w:t xml:space="preserve"> means </w:t>
      </w:r>
      <w:r w:rsidRPr="003F601F">
        <w:rPr>
          <w:rFonts w:ascii="Arial" w:hAnsi="Arial"/>
          <w:i/>
          <w:lang w:val="en-CA"/>
        </w:rPr>
        <w:t>free online access to peer-reviewed research journal articles</w:t>
      </w:r>
      <w:r w:rsidRPr="003F601F">
        <w:rPr>
          <w:rFonts w:ascii="Arial" w:hAnsi="Arial"/>
          <w:lang w:val="en-CA"/>
        </w:rPr>
        <w:t xml:space="preserve">. (There are </w:t>
      </w:r>
      <w:hyperlink r:id="rId5" w:history="1">
        <w:r w:rsidRPr="003F601F">
          <w:rPr>
            <w:rStyle w:val="Hyperlink"/>
            <w:rFonts w:ascii="Arial" w:hAnsi="Arial"/>
            <w:lang w:val="en-CA"/>
          </w:rPr>
          <w:t>about 28,000 such journals</w:t>
        </w:r>
      </w:hyperlink>
      <w:r w:rsidRPr="003F601F">
        <w:rPr>
          <w:rFonts w:ascii="Arial" w:hAnsi="Arial"/>
          <w:lang w:val="en-CA"/>
        </w:rPr>
        <w:t>, in all fields and languages.)</w:t>
      </w:r>
    </w:p>
    <w:p w:rsidR="00CD08D2" w:rsidRPr="00E7425E" w:rsidRDefault="00CD08D2" w:rsidP="00E7425E">
      <w:pPr>
        <w:pStyle w:val="ListParagraph"/>
        <w:numPr>
          <w:ilvl w:val="0"/>
          <w:numId w:val="1"/>
        </w:numPr>
        <w:rPr>
          <w:rFonts w:ascii="Arial" w:hAnsi="Arial"/>
          <w:lang w:val="en-CA"/>
        </w:rPr>
      </w:pPr>
      <w:r w:rsidRPr="00E7425E">
        <w:rPr>
          <w:rFonts w:ascii="Arial" w:hAnsi="Arial"/>
          <w:lang w:val="en-CA"/>
        </w:rPr>
        <w:t xml:space="preserve">Most research journals recover their publication costs </w:t>
      </w:r>
      <w:r w:rsidR="00F360C6">
        <w:rPr>
          <w:rFonts w:ascii="Arial" w:hAnsi="Arial"/>
          <w:lang w:val="en-CA"/>
        </w:rPr>
        <w:t>through</w:t>
      </w:r>
      <w:r w:rsidRPr="00E7425E">
        <w:rPr>
          <w:rFonts w:ascii="Arial" w:hAnsi="Arial"/>
          <w:lang w:val="en-CA"/>
        </w:rPr>
        <w:t xml:space="preserve"> institutional subscriptions.</w:t>
      </w:r>
    </w:p>
    <w:p w:rsidR="00CD08D2" w:rsidRPr="003F601F" w:rsidRDefault="00882401" w:rsidP="00CD08D2">
      <w:pPr>
        <w:pStyle w:val="ListParagraph"/>
        <w:numPr>
          <w:ilvl w:val="0"/>
          <w:numId w:val="1"/>
        </w:numPr>
        <w:rPr>
          <w:rFonts w:ascii="Arial" w:hAnsi="Arial"/>
          <w:lang w:val="en-CA"/>
        </w:rPr>
      </w:pPr>
      <w:hyperlink r:id="rId6" w:history="1">
        <w:r w:rsidR="00CD08D2" w:rsidRPr="003F601F">
          <w:rPr>
            <w:rStyle w:val="Hyperlink"/>
            <w:rFonts w:ascii="Arial" w:hAnsi="Arial"/>
            <w:lang w:val="en-CA"/>
          </w:rPr>
          <w:t>No institution</w:t>
        </w:r>
      </w:hyperlink>
      <w:r w:rsidR="00CD08D2" w:rsidRPr="003F601F">
        <w:rPr>
          <w:rFonts w:ascii="Arial" w:hAnsi="Arial"/>
          <w:lang w:val="en-CA"/>
        </w:rPr>
        <w:t xml:space="preserve"> can afford to subscribe to all o</w:t>
      </w:r>
      <w:r w:rsidR="003A7576">
        <w:rPr>
          <w:rFonts w:ascii="Arial" w:hAnsi="Arial"/>
          <w:lang w:val="en-CA"/>
        </w:rPr>
        <w:t>r</w:t>
      </w:r>
      <w:r w:rsidR="00CD08D2" w:rsidRPr="003F601F">
        <w:rPr>
          <w:rFonts w:ascii="Arial" w:hAnsi="Arial"/>
          <w:lang w:val="en-CA"/>
        </w:rPr>
        <w:t xml:space="preserve"> most or even many of the 28,000 journals, only to a small fraction of them, a fraction shrinking b</w:t>
      </w:r>
      <w:r w:rsidR="00B07A5B" w:rsidRPr="003F601F">
        <w:rPr>
          <w:rFonts w:ascii="Arial" w:hAnsi="Arial"/>
          <w:lang w:val="en-CA"/>
        </w:rPr>
        <w:t>ecause of rising journal costs.</w:t>
      </w:r>
    </w:p>
    <w:p w:rsidR="00CD08D2" w:rsidRPr="003F601F" w:rsidRDefault="00CD08D2" w:rsidP="00CD08D2">
      <w:pPr>
        <w:pStyle w:val="ListParagraph"/>
        <w:numPr>
          <w:ilvl w:val="0"/>
          <w:numId w:val="1"/>
        </w:numPr>
        <w:rPr>
          <w:rFonts w:ascii="Arial" w:hAnsi="Arial"/>
          <w:lang w:val="en-CA"/>
        </w:rPr>
      </w:pPr>
      <w:r w:rsidRPr="003F601F">
        <w:rPr>
          <w:rFonts w:ascii="Arial" w:hAnsi="Arial"/>
          <w:lang w:val="en-CA"/>
        </w:rPr>
        <w:t>As a result, all researchers</w:t>
      </w:r>
      <w:r w:rsidR="00B07A5B" w:rsidRPr="003F601F">
        <w:rPr>
          <w:rFonts w:ascii="Arial" w:hAnsi="Arial"/>
          <w:lang w:val="en-CA"/>
        </w:rPr>
        <w:t xml:space="preserve"> today</w:t>
      </w:r>
      <w:r w:rsidRPr="003F601F">
        <w:rPr>
          <w:rFonts w:ascii="Arial" w:hAnsi="Arial"/>
          <w:lang w:val="en-CA"/>
        </w:rPr>
        <w:t xml:space="preserve">, at all institutions, are denied access to articles </w:t>
      </w:r>
      <w:r w:rsidR="00F360C6">
        <w:rPr>
          <w:rFonts w:ascii="Arial" w:hAnsi="Arial"/>
          <w:lang w:val="en-CA"/>
        </w:rPr>
        <w:t>published in those</w:t>
      </w:r>
      <w:r w:rsidRPr="003F601F">
        <w:rPr>
          <w:rFonts w:ascii="Arial" w:hAnsi="Arial"/>
          <w:lang w:val="en-CA"/>
        </w:rPr>
        <w:t xml:space="preserve"> journals</w:t>
      </w:r>
      <w:r w:rsidR="00F360C6">
        <w:rPr>
          <w:rFonts w:ascii="Arial" w:hAnsi="Arial"/>
          <w:lang w:val="en-CA"/>
        </w:rPr>
        <w:t xml:space="preserve"> whose </w:t>
      </w:r>
      <w:r w:rsidRPr="003F601F">
        <w:rPr>
          <w:rFonts w:ascii="Arial" w:hAnsi="Arial"/>
          <w:lang w:val="en-CA"/>
        </w:rPr>
        <w:t>subscriptions are unaffordable to their institutions.</w:t>
      </w:r>
    </w:p>
    <w:p w:rsidR="0006150B" w:rsidRPr="003F601F" w:rsidRDefault="00CD08D2" w:rsidP="00CD08D2">
      <w:pPr>
        <w:pStyle w:val="ListParagraph"/>
        <w:numPr>
          <w:ilvl w:val="0"/>
          <w:numId w:val="1"/>
        </w:numPr>
        <w:rPr>
          <w:rFonts w:ascii="Arial" w:hAnsi="Arial"/>
          <w:lang w:val="en-CA"/>
        </w:rPr>
      </w:pPr>
      <w:r w:rsidRPr="003F601F">
        <w:rPr>
          <w:rFonts w:ascii="Arial" w:hAnsi="Arial"/>
          <w:lang w:val="en-CA"/>
        </w:rPr>
        <w:t>As a result, the research that is funded by public tax</w:t>
      </w:r>
      <w:r w:rsidR="0006150B" w:rsidRPr="003F601F">
        <w:rPr>
          <w:rFonts w:ascii="Arial" w:hAnsi="Arial"/>
          <w:lang w:val="en-CA"/>
        </w:rPr>
        <w:t xml:space="preserve"> revenue</w:t>
      </w:r>
      <w:r w:rsidRPr="003F601F">
        <w:rPr>
          <w:rFonts w:ascii="Arial" w:hAnsi="Arial"/>
          <w:lang w:val="en-CA"/>
        </w:rPr>
        <w:t xml:space="preserve">, and conducted by researchers employed by publicly funded institutions (universities and research institutes) is not accessible to </w:t>
      </w:r>
      <w:r w:rsidR="00B07A5B" w:rsidRPr="003F601F">
        <w:rPr>
          <w:rFonts w:ascii="Arial" w:hAnsi="Arial"/>
          <w:lang w:val="en-CA"/>
        </w:rPr>
        <w:t>all</w:t>
      </w:r>
      <w:r w:rsidRPr="003F601F">
        <w:rPr>
          <w:rFonts w:ascii="Arial" w:hAnsi="Arial"/>
          <w:lang w:val="en-CA"/>
        </w:rPr>
        <w:t xml:space="preserve"> of its primary intended users – </w:t>
      </w:r>
      <w:r w:rsidRPr="003F601F">
        <w:rPr>
          <w:rFonts w:ascii="Arial" w:hAnsi="Arial"/>
          <w:i/>
          <w:lang w:val="en-CA"/>
        </w:rPr>
        <w:t xml:space="preserve">the researchers who can </w:t>
      </w:r>
      <w:hyperlink r:id="rId7" w:history="1">
        <w:r w:rsidRPr="003F601F">
          <w:rPr>
            <w:rStyle w:val="Hyperlink"/>
            <w:rFonts w:ascii="Arial" w:hAnsi="Arial"/>
            <w:i/>
            <w:lang w:val="en-CA"/>
          </w:rPr>
          <w:t>use, apply and build upon it</w:t>
        </w:r>
      </w:hyperlink>
      <w:r w:rsidRPr="003F601F">
        <w:rPr>
          <w:rFonts w:ascii="Arial" w:hAnsi="Arial"/>
          <w:i/>
          <w:lang w:val="en-CA"/>
        </w:rPr>
        <w:t xml:space="preserve">, to the </w:t>
      </w:r>
      <w:hyperlink r:id="rId8" w:history="1">
        <w:r w:rsidRPr="003F601F">
          <w:rPr>
            <w:rStyle w:val="Hyperlink"/>
            <w:rFonts w:ascii="Arial" w:hAnsi="Arial"/>
            <w:i/>
            <w:lang w:val="en-CA"/>
          </w:rPr>
          <w:t>benefit of the public that funded it</w:t>
        </w:r>
      </w:hyperlink>
      <w:r w:rsidR="0006150B" w:rsidRPr="003F601F">
        <w:rPr>
          <w:rFonts w:ascii="Arial" w:hAnsi="Arial"/>
          <w:i/>
          <w:lang w:val="en-CA"/>
        </w:rPr>
        <w:t>.</w:t>
      </w:r>
    </w:p>
    <w:p w:rsidR="00CD08D2" w:rsidRPr="003F601F" w:rsidRDefault="00CD08D2" w:rsidP="00CD08D2">
      <w:pPr>
        <w:pStyle w:val="ListParagraph"/>
        <w:numPr>
          <w:ilvl w:val="0"/>
          <w:numId w:val="1"/>
        </w:numPr>
        <w:rPr>
          <w:rFonts w:ascii="Arial" w:hAnsi="Arial"/>
          <w:lang w:val="en-CA"/>
        </w:rPr>
      </w:pPr>
      <w:r w:rsidRPr="003F601F">
        <w:rPr>
          <w:rFonts w:ascii="Arial" w:hAnsi="Arial"/>
          <w:lang w:val="en-CA"/>
        </w:rPr>
        <w:t xml:space="preserve">The Internet and the Web have made it possible to remedy this access-denial problem, which </w:t>
      </w:r>
      <w:r w:rsidR="00B07A5B" w:rsidRPr="003F601F">
        <w:rPr>
          <w:rFonts w:ascii="Arial" w:hAnsi="Arial"/>
          <w:lang w:val="en-CA"/>
        </w:rPr>
        <w:t>had been</w:t>
      </w:r>
      <w:r w:rsidRPr="003F601F">
        <w:rPr>
          <w:rFonts w:ascii="Arial" w:hAnsi="Arial"/>
          <w:lang w:val="en-CA"/>
        </w:rPr>
        <w:t xml:space="preserve"> a legacy of the Gutenberg era of print on paper, and its associated costs.</w:t>
      </w:r>
    </w:p>
    <w:p w:rsidR="00792DDC" w:rsidRPr="003F601F" w:rsidRDefault="00CD08D2" w:rsidP="00CD08D2">
      <w:pPr>
        <w:pStyle w:val="ListParagraph"/>
        <w:numPr>
          <w:ilvl w:val="0"/>
          <w:numId w:val="1"/>
        </w:numPr>
        <w:rPr>
          <w:rFonts w:ascii="Arial" w:hAnsi="Arial"/>
          <w:lang w:val="en-CA"/>
        </w:rPr>
      </w:pPr>
      <w:r w:rsidRPr="003F601F">
        <w:rPr>
          <w:rFonts w:ascii="Arial" w:hAnsi="Arial"/>
          <w:lang w:val="en-CA"/>
        </w:rPr>
        <w:t>Researchers can continue to publish their research in subscription jo</w:t>
      </w:r>
      <w:r w:rsidR="00792DDC" w:rsidRPr="003F601F">
        <w:rPr>
          <w:rFonts w:ascii="Arial" w:hAnsi="Arial"/>
          <w:lang w:val="en-CA"/>
        </w:rPr>
        <w:t xml:space="preserve">urnals, but they can </w:t>
      </w:r>
      <w:hyperlink r:id="rId9" w:history="1">
        <w:r w:rsidR="00792DDC" w:rsidRPr="003F601F">
          <w:rPr>
            <w:rStyle w:val="Hyperlink"/>
            <w:rFonts w:ascii="Arial" w:hAnsi="Arial"/>
            <w:i/>
            <w:lang w:val="en-CA"/>
          </w:rPr>
          <w:t>self-archive</w:t>
        </w:r>
      </w:hyperlink>
      <w:r w:rsidR="00792DDC" w:rsidRPr="003F601F">
        <w:rPr>
          <w:rFonts w:ascii="Arial" w:hAnsi="Arial"/>
          <w:lang w:val="en-CA"/>
        </w:rPr>
        <w:t xml:space="preserve"> their final, peer-reviewed drafts in the</w:t>
      </w:r>
      <w:r w:rsidR="00F360C6">
        <w:rPr>
          <w:rFonts w:ascii="Arial" w:hAnsi="Arial"/>
          <w:lang w:val="en-CA"/>
        </w:rPr>
        <w:t xml:space="preserve">ir institutional repositories, </w:t>
      </w:r>
      <w:r w:rsidR="00792DDC" w:rsidRPr="003F601F">
        <w:rPr>
          <w:rFonts w:ascii="Arial" w:hAnsi="Arial"/>
          <w:lang w:val="en-CA"/>
        </w:rPr>
        <w:t xml:space="preserve">as a </w:t>
      </w:r>
      <w:r w:rsidR="00792DDC" w:rsidRPr="003F601F">
        <w:rPr>
          <w:rFonts w:ascii="Arial" w:hAnsi="Arial"/>
          <w:i/>
          <w:lang w:val="en-CA"/>
        </w:rPr>
        <w:t>supplement</w:t>
      </w:r>
      <w:r w:rsidR="00792DDC" w:rsidRPr="003F601F">
        <w:rPr>
          <w:rFonts w:ascii="Arial" w:hAnsi="Arial"/>
          <w:lang w:val="en-CA"/>
        </w:rPr>
        <w:t xml:space="preserve">, for </w:t>
      </w:r>
      <w:r w:rsidR="00F360C6">
        <w:rPr>
          <w:rFonts w:ascii="Arial" w:hAnsi="Arial"/>
          <w:lang w:val="en-CA"/>
        </w:rPr>
        <w:t>all</w:t>
      </w:r>
      <w:r w:rsidR="00792DDC" w:rsidRPr="003F601F">
        <w:rPr>
          <w:rFonts w:ascii="Arial" w:hAnsi="Arial"/>
          <w:lang w:val="en-CA"/>
        </w:rPr>
        <w:t xml:space="preserve"> users whose institutions cannot afford subscription access to the journal in which the article was published.</w:t>
      </w:r>
    </w:p>
    <w:p w:rsidR="00792DDC" w:rsidRPr="003F601F" w:rsidRDefault="00792DDC" w:rsidP="00CD08D2">
      <w:pPr>
        <w:pStyle w:val="ListParagraph"/>
        <w:numPr>
          <w:ilvl w:val="0"/>
          <w:numId w:val="1"/>
        </w:numPr>
        <w:rPr>
          <w:rFonts w:ascii="Arial" w:hAnsi="Arial"/>
          <w:lang w:val="en-CA"/>
        </w:rPr>
      </w:pPr>
      <w:r w:rsidRPr="003F601F">
        <w:rPr>
          <w:rFonts w:ascii="Arial" w:hAnsi="Arial"/>
          <w:lang w:val="en-CA"/>
        </w:rPr>
        <w:t xml:space="preserve">Author self-archiving is called </w:t>
      </w:r>
      <w:r w:rsidRPr="003F601F">
        <w:rPr>
          <w:rFonts w:ascii="Arial" w:hAnsi="Arial"/>
        </w:rPr>
        <w:t>“</w:t>
      </w:r>
      <w:r w:rsidRPr="003F601F">
        <w:rPr>
          <w:rFonts w:ascii="Arial" w:hAnsi="Arial"/>
          <w:b/>
        </w:rPr>
        <w:t>Green OA</w:t>
      </w:r>
      <w:r w:rsidRPr="003F601F">
        <w:rPr>
          <w:rFonts w:ascii="Arial" w:hAnsi="Arial"/>
        </w:rPr>
        <w:t>.”</w:t>
      </w:r>
      <w:r w:rsidRPr="003F601F">
        <w:rPr>
          <w:rFonts w:ascii="Arial" w:hAnsi="Arial"/>
          <w:lang w:val="en-CA"/>
        </w:rPr>
        <w:t xml:space="preserve"> </w:t>
      </w:r>
    </w:p>
    <w:p w:rsidR="00792DDC" w:rsidRPr="003F601F" w:rsidRDefault="00882401" w:rsidP="00CD08D2">
      <w:pPr>
        <w:pStyle w:val="ListParagraph"/>
        <w:numPr>
          <w:ilvl w:val="0"/>
          <w:numId w:val="1"/>
        </w:numPr>
        <w:rPr>
          <w:rFonts w:ascii="Arial" w:hAnsi="Arial"/>
          <w:lang w:val="en-CA"/>
        </w:rPr>
      </w:pPr>
      <w:hyperlink r:id="rId10" w:history="1">
        <w:r w:rsidR="00792DDC" w:rsidRPr="003F601F">
          <w:rPr>
            <w:rStyle w:val="Hyperlink"/>
            <w:rFonts w:ascii="Arial" w:hAnsi="Arial"/>
            <w:lang w:val="en-CA"/>
          </w:rPr>
          <w:t>Sixty percent of journals</w:t>
        </w:r>
      </w:hyperlink>
      <w:r w:rsidR="00792DDC" w:rsidRPr="003F601F">
        <w:rPr>
          <w:rFonts w:ascii="Arial" w:hAnsi="Arial"/>
          <w:lang w:val="en-CA"/>
        </w:rPr>
        <w:t xml:space="preserve"> (including most of the top journals in most fields) already endorse Green OA self-archiving by authors, </w:t>
      </w:r>
      <w:r w:rsidR="00792DDC" w:rsidRPr="003F601F">
        <w:rPr>
          <w:rFonts w:ascii="Arial" w:hAnsi="Arial"/>
          <w:i/>
          <w:lang w:val="en-CA"/>
        </w:rPr>
        <w:t>immediately upon publication (no embargo).</w:t>
      </w:r>
    </w:p>
    <w:p w:rsidR="002E05AD" w:rsidRPr="003F601F" w:rsidRDefault="00792DDC" w:rsidP="00CD08D2">
      <w:pPr>
        <w:pStyle w:val="ListParagraph"/>
        <w:numPr>
          <w:ilvl w:val="0"/>
          <w:numId w:val="1"/>
        </w:numPr>
        <w:rPr>
          <w:rFonts w:ascii="Arial" w:hAnsi="Arial"/>
          <w:lang w:val="en-CA"/>
        </w:rPr>
      </w:pPr>
      <w:r w:rsidRPr="003F601F">
        <w:rPr>
          <w:rFonts w:ascii="Arial" w:hAnsi="Arial"/>
          <w:lang w:val="en-CA"/>
        </w:rPr>
        <w:t xml:space="preserve">The remaining 40% of journals request an embargo or delay on providing OA for 6-12 months or more; the </w:t>
      </w:r>
      <w:r w:rsidR="00B07A5B" w:rsidRPr="003F601F">
        <w:rPr>
          <w:rFonts w:ascii="Arial" w:hAnsi="Arial"/>
          <w:lang w:val="en-CA"/>
        </w:rPr>
        <w:t xml:space="preserve">publisher </w:t>
      </w:r>
      <w:r w:rsidRPr="003F601F">
        <w:rPr>
          <w:rFonts w:ascii="Arial" w:hAnsi="Arial"/>
          <w:lang w:val="en-CA"/>
        </w:rPr>
        <w:t xml:space="preserve">rationale for the embargo is that it protects </w:t>
      </w:r>
      <w:r w:rsidR="002E05AD" w:rsidRPr="003F601F">
        <w:rPr>
          <w:rFonts w:ascii="Arial" w:hAnsi="Arial"/>
          <w:lang w:val="en-CA"/>
        </w:rPr>
        <w:t>journal</w:t>
      </w:r>
      <w:r w:rsidRPr="003F601F">
        <w:rPr>
          <w:rFonts w:ascii="Arial" w:hAnsi="Arial"/>
          <w:lang w:val="en-CA"/>
        </w:rPr>
        <w:t xml:space="preserve"> subscription revenues</w:t>
      </w:r>
      <w:r w:rsidR="002E05AD" w:rsidRPr="003F601F">
        <w:rPr>
          <w:rFonts w:ascii="Arial" w:hAnsi="Arial"/>
          <w:lang w:val="en-CA"/>
        </w:rPr>
        <w:t xml:space="preserve"> </w:t>
      </w:r>
      <w:r w:rsidR="007858D4" w:rsidRPr="003F601F">
        <w:rPr>
          <w:rFonts w:ascii="Arial" w:hAnsi="Arial"/>
          <w:lang w:val="en-CA"/>
        </w:rPr>
        <w:t>that</w:t>
      </w:r>
      <w:r w:rsidR="002E05AD" w:rsidRPr="003F601F">
        <w:rPr>
          <w:rFonts w:ascii="Arial" w:hAnsi="Arial"/>
          <w:lang w:val="en-CA"/>
        </w:rPr>
        <w:t xml:space="preserve"> Green OA </w:t>
      </w:r>
      <w:r w:rsidR="007858D4" w:rsidRPr="003F601F">
        <w:rPr>
          <w:rFonts w:ascii="Arial" w:hAnsi="Arial"/>
          <w:lang w:val="en-CA"/>
        </w:rPr>
        <w:t>might</w:t>
      </w:r>
      <w:r w:rsidR="002E05AD" w:rsidRPr="003F601F">
        <w:rPr>
          <w:rFonts w:ascii="Arial" w:hAnsi="Arial"/>
          <w:lang w:val="en-CA"/>
        </w:rPr>
        <w:t xml:space="preserve"> otherwise make unsustainable</w:t>
      </w:r>
      <w:r w:rsidRPr="003F601F">
        <w:rPr>
          <w:rFonts w:ascii="Arial" w:hAnsi="Arial"/>
          <w:lang w:val="en-CA"/>
        </w:rPr>
        <w:t>.</w:t>
      </w:r>
    </w:p>
    <w:p w:rsidR="002E05AD" w:rsidRPr="003F601F" w:rsidRDefault="002E05AD" w:rsidP="00CD08D2">
      <w:pPr>
        <w:pStyle w:val="ListParagraph"/>
        <w:numPr>
          <w:ilvl w:val="0"/>
          <w:numId w:val="1"/>
        </w:numPr>
        <w:rPr>
          <w:rFonts w:ascii="Arial" w:hAnsi="Arial"/>
          <w:lang w:val="en-CA"/>
        </w:rPr>
      </w:pPr>
      <w:r w:rsidRPr="003F601F">
        <w:rPr>
          <w:rFonts w:ascii="Arial" w:hAnsi="Arial"/>
          <w:lang w:val="en-CA"/>
        </w:rPr>
        <w:t xml:space="preserve">There is as yet </w:t>
      </w:r>
      <w:hyperlink r:id="rId11" w:history="1">
        <w:r w:rsidRPr="003F601F">
          <w:rPr>
            <w:rStyle w:val="Hyperlink"/>
            <w:rFonts w:ascii="Arial" w:hAnsi="Arial"/>
            <w:lang w:val="en-CA"/>
          </w:rPr>
          <w:t>no evidence at all</w:t>
        </w:r>
      </w:hyperlink>
      <w:r w:rsidRPr="003F601F">
        <w:rPr>
          <w:rFonts w:ascii="Arial" w:hAnsi="Arial"/>
          <w:lang w:val="en-CA"/>
        </w:rPr>
        <w:t xml:space="preserve"> that immediate, un-embargoed Green OA self-archiving reduces subscriptions, even in fields, such as </w:t>
      </w:r>
      <w:hyperlink r:id="rId12" w:history="1">
        <w:r w:rsidRPr="003F601F">
          <w:rPr>
            <w:rStyle w:val="Hyperlink"/>
            <w:rFonts w:ascii="Arial" w:hAnsi="Arial"/>
            <w:lang w:val="en-CA"/>
          </w:rPr>
          <w:t>physics</w:t>
        </w:r>
      </w:hyperlink>
      <w:r w:rsidRPr="003F601F">
        <w:rPr>
          <w:rFonts w:ascii="Arial" w:hAnsi="Arial"/>
          <w:lang w:val="en-CA"/>
        </w:rPr>
        <w:t>, where i</w:t>
      </w:r>
      <w:r w:rsidR="007858D4" w:rsidRPr="003F601F">
        <w:rPr>
          <w:rFonts w:ascii="Arial" w:hAnsi="Arial"/>
          <w:lang w:val="en-CA"/>
        </w:rPr>
        <w:t xml:space="preserve">t </w:t>
      </w:r>
      <w:r w:rsidRPr="003F601F">
        <w:rPr>
          <w:rFonts w:ascii="Arial" w:hAnsi="Arial"/>
          <w:lang w:val="en-CA"/>
        </w:rPr>
        <w:t xml:space="preserve">has been practiced for over 20 years and has long </w:t>
      </w:r>
      <w:r w:rsidR="00F360C6">
        <w:rPr>
          <w:rFonts w:ascii="Arial" w:hAnsi="Arial"/>
          <w:lang w:val="en-CA"/>
        </w:rPr>
        <w:t>reached</w:t>
      </w:r>
      <w:r w:rsidRPr="003F601F">
        <w:rPr>
          <w:rFonts w:ascii="Arial" w:hAnsi="Arial"/>
          <w:lang w:val="en-CA"/>
        </w:rPr>
        <w:t xml:space="preserve"> close to 100%.</w:t>
      </w:r>
    </w:p>
    <w:p w:rsidR="002E05AD" w:rsidRPr="003F601F" w:rsidRDefault="002E05AD" w:rsidP="00CD08D2">
      <w:pPr>
        <w:pStyle w:val="ListParagraph"/>
        <w:numPr>
          <w:ilvl w:val="0"/>
          <w:numId w:val="1"/>
        </w:numPr>
        <w:rPr>
          <w:rFonts w:ascii="Arial" w:hAnsi="Arial"/>
          <w:lang w:val="en-CA"/>
        </w:rPr>
      </w:pPr>
      <w:r w:rsidRPr="003F601F">
        <w:rPr>
          <w:rFonts w:ascii="Arial" w:hAnsi="Arial"/>
          <w:lang w:val="en-CA"/>
        </w:rPr>
        <w:t xml:space="preserve">The second way to provide OA is for the </w:t>
      </w:r>
      <w:r w:rsidRPr="00F360C6">
        <w:rPr>
          <w:rFonts w:ascii="Arial" w:hAnsi="Arial"/>
          <w:i/>
          <w:lang w:val="en-CA"/>
        </w:rPr>
        <w:t xml:space="preserve">journal </w:t>
      </w:r>
      <w:r w:rsidR="007D5C0A" w:rsidRPr="003F601F">
        <w:rPr>
          <w:rFonts w:ascii="Arial" w:hAnsi="Arial"/>
          <w:lang w:val="en-CA"/>
        </w:rPr>
        <w:t xml:space="preserve">rather than the </w:t>
      </w:r>
      <w:r w:rsidR="007D5C0A" w:rsidRPr="00F360C6">
        <w:rPr>
          <w:rFonts w:ascii="Arial" w:hAnsi="Arial"/>
          <w:i/>
          <w:lang w:val="en-CA"/>
        </w:rPr>
        <w:t>author</w:t>
      </w:r>
      <w:r w:rsidR="007D5C0A" w:rsidRPr="003F601F">
        <w:rPr>
          <w:rFonts w:ascii="Arial" w:hAnsi="Arial"/>
          <w:lang w:val="en-CA"/>
        </w:rPr>
        <w:t xml:space="preserve"> </w:t>
      </w:r>
      <w:r w:rsidRPr="003F601F">
        <w:rPr>
          <w:rFonts w:ascii="Arial" w:hAnsi="Arial"/>
          <w:lang w:val="en-CA"/>
        </w:rPr>
        <w:t>to make all of its articles freely accessible online immediately upon publication.</w:t>
      </w:r>
    </w:p>
    <w:p w:rsidR="002E05AD" w:rsidRPr="003F601F" w:rsidRDefault="002E05AD" w:rsidP="00CD08D2">
      <w:pPr>
        <w:pStyle w:val="ListParagraph"/>
        <w:numPr>
          <w:ilvl w:val="0"/>
          <w:numId w:val="1"/>
        </w:numPr>
        <w:rPr>
          <w:rFonts w:ascii="Arial" w:hAnsi="Arial"/>
          <w:lang w:val="en-CA"/>
        </w:rPr>
      </w:pPr>
      <w:r w:rsidRPr="003F601F">
        <w:rPr>
          <w:rFonts w:ascii="Arial" w:hAnsi="Arial"/>
          <w:lang w:val="en-CA"/>
        </w:rPr>
        <w:t>OA journal publishing is called “</w:t>
      </w:r>
      <w:r w:rsidRPr="003F601F">
        <w:rPr>
          <w:rFonts w:ascii="Arial" w:hAnsi="Arial"/>
          <w:b/>
          <w:lang w:val="en-CA"/>
        </w:rPr>
        <w:t>Gold OA</w:t>
      </w:r>
      <w:r w:rsidRPr="003F601F">
        <w:rPr>
          <w:rFonts w:ascii="Arial" w:hAnsi="Arial"/>
          <w:lang w:val="en-CA"/>
        </w:rPr>
        <w:t>.”</w:t>
      </w:r>
    </w:p>
    <w:p w:rsidR="002E05AD" w:rsidRPr="003F601F" w:rsidRDefault="00882401" w:rsidP="00CD08D2">
      <w:pPr>
        <w:pStyle w:val="ListParagraph"/>
        <w:numPr>
          <w:ilvl w:val="0"/>
          <w:numId w:val="1"/>
        </w:numPr>
        <w:rPr>
          <w:rFonts w:ascii="Arial" w:hAnsi="Arial"/>
          <w:lang w:val="en-CA"/>
        </w:rPr>
      </w:pPr>
      <w:hyperlink r:id="rId13" w:history="1">
        <w:r w:rsidR="002E05AD" w:rsidRPr="003F601F">
          <w:rPr>
            <w:rStyle w:val="Hyperlink"/>
            <w:rFonts w:ascii="Arial" w:hAnsi="Arial"/>
            <w:lang w:val="en-CA"/>
          </w:rPr>
          <w:t>About 20%</w:t>
        </w:r>
      </w:hyperlink>
      <w:r w:rsidR="002E05AD" w:rsidRPr="003F601F">
        <w:rPr>
          <w:rFonts w:ascii="Arial" w:hAnsi="Arial"/>
          <w:lang w:val="en-CA"/>
        </w:rPr>
        <w:t xml:space="preserve"> of the world’s 28,000 journals are Gold OA</w:t>
      </w:r>
      <w:r w:rsidR="007858D4" w:rsidRPr="003F601F">
        <w:rPr>
          <w:rFonts w:ascii="Arial" w:hAnsi="Arial"/>
          <w:lang w:val="en-CA"/>
        </w:rPr>
        <w:t xml:space="preserve"> journals</w:t>
      </w:r>
      <w:r w:rsidR="002E05AD" w:rsidRPr="003F601F">
        <w:rPr>
          <w:rFonts w:ascii="Arial" w:hAnsi="Arial"/>
          <w:lang w:val="en-CA"/>
        </w:rPr>
        <w:t xml:space="preserve">, but </w:t>
      </w:r>
      <w:r w:rsidR="007858D4" w:rsidRPr="003F601F">
        <w:rPr>
          <w:rFonts w:ascii="Arial" w:hAnsi="Arial"/>
          <w:lang w:val="en-CA"/>
        </w:rPr>
        <w:t xml:space="preserve">very few of them are among the top journals in </w:t>
      </w:r>
      <w:r w:rsidR="00F360C6">
        <w:rPr>
          <w:rFonts w:ascii="Arial" w:hAnsi="Arial"/>
          <w:lang w:val="en-CA"/>
        </w:rPr>
        <w:t>each</w:t>
      </w:r>
      <w:r w:rsidR="007858D4" w:rsidRPr="003F601F">
        <w:rPr>
          <w:rFonts w:ascii="Arial" w:hAnsi="Arial"/>
          <w:lang w:val="en-CA"/>
        </w:rPr>
        <w:t xml:space="preserve"> field</w:t>
      </w:r>
      <w:r w:rsidR="002E05AD" w:rsidRPr="003F601F">
        <w:rPr>
          <w:rFonts w:ascii="Arial" w:hAnsi="Arial"/>
          <w:lang w:val="en-CA"/>
        </w:rPr>
        <w:t>.</w:t>
      </w:r>
    </w:p>
    <w:p w:rsidR="002E05AD" w:rsidRPr="003F601F" w:rsidRDefault="002E05AD" w:rsidP="00CD08D2">
      <w:pPr>
        <w:pStyle w:val="ListParagraph"/>
        <w:numPr>
          <w:ilvl w:val="0"/>
          <w:numId w:val="1"/>
        </w:numPr>
        <w:rPr>
          <w:rFonts w:ascii="Arial" w:hAnsi="Arial"/>
          <w:lang w:val="en-CA"/>
        </w:rPr>
      </w:pPr>
      <w:r w:rsidRPr="003F601F">
        <w:rPr>
          <w:rFonts w:ascii="Arial" w:hAnsi="Arial"/>
          <w:lang w:val="en-CA"/>
        </w:rPr>
        <w:t xml:space="preserve">Most Gold OA journals continue to cover </w:t>
      </w:r>
      <w:r w:rsidR="00825442" w:rsidRPr="003F601F">
        <w:rPr>
          <w:rFonts w:ascii="Arial" w:hAnsi="Arial"/>
          <w:lang w:val="en-CA"/>
        </w:rPr>
        <w:t xml:space="preserve">their </w:t>
      </w:r>
      <w:r w:rsidRPr="003F601F">
        <w:rPr>
          <w:rFonts w:ascii="Arial" w:hAnsi="Arial"/>
          <w:lang w:val="en-CA"/>
        </w:rPr>
        <w:t>costs from subscriptions (to the print edition) but the top Gold OA journals have no print edition and instead of charging the user-institution for access</w:t>
      </w:r>
      <w:r w:rsidR="007858D4" w:rsidRPr="003F601F">
        <w:rPr>
          <w:rFonts w:ascii="Arial" w:hAnsi="Arial"/>
          <w:lang w:val="en-CA"/>
        </w:rPr>
        <w:t>,</w:t>
      </w:r>
      <w:r w:rsidRPr="003F601F">
        <w:rPr>
          <w:rFonts w:ascii="Arial" w:hAnsi="Arial"/>
          <w:lang w:val="en-CA"/>
        </w:rPr>
        <w:t xml:space="preserve"> through subscription fees, </w:t>
      </w:r>
      <w:r w:rsidR="007858D4" w:rsidRPr="003F601F">
        <w:rPr>
          <w:rFonts w:ascii="Arial" w:hAnsi="Arial"/>
          <w:lang w:val="en-CA"/>
        </w:rPr>
        <w:t xml:space="preserve">they charge the author-institution for publishing, </w:t>
      </w:r>
      <w:r w:rsidRPr="003F601F">
        <w:rPr>
          <w:rFonts w:ascii="Arial" w:hAnsi="Arial"/>
          <w:lang w:val="en-CA"/>
        </w:rPr>
        <w:t>through publication fees.</w:t>
      </w:r>
    </w:p>
    <w:p w:rsidR="00825442" w:rsidRPr="003F601F" w:rsidRDefault="002E05AD" w:rsidP="00CD08D2">
      <w:pPr>
        <w:pStyle w:val="ListParagraph"/>
        <w:numPr>
          <w:ilvl w:val="0"/>
          <w:numId w:val="1"/>
        </w:numPr>
        <w:rPr>
          <w:rFonts w:ascii="Arial" w:hAnsi="Arial"/>
          <w:lang w:val="en-CA"/>
        </w:rPr>
      </w:pPr>
      <w:r w:rsidRPr="003F601F">
        <w:rPr>
          <w:rFonts w:ascii="Arial" w:hAnsi="Arial"/>
          <w:lang w:val="en-CA"/>
        </w:rPr>
        <w:t>There are also hybrid subscription/Gold journal</w:t>
      </w:r>
      <w:r w:rsidR="00825442" w:rsidRPr="003F601F">
        <w:rPr>
          <w:rFonts w:ascii="Arial" w:hAnsi="Arial"/>
          <w:lang w:val="en-CA"/>
        </w:rPr>
        <w:t xml:space="preserve">s, who publish non-OA articles and continue to charge institutional subscription fees, but offer authors the option of paying to make their individual article </w:t>
      </w:r>
      <w:r w:rsidR="007858D4" w:rsidRPr="003F601F">
        <w:rPr>
          <w:rFonts w:ascii="Arial" w:hAnsi="Arial"/>
          <w:lang w:val="en-CA"/>
        </w:rPr>
        <w:t xml:space="preserve">OA </w:t>
      </w:r>
      <w:r w:rsidR="00825442" w:rsidRPr="003F601F">
        <w:rPr>
          <w:rFonts w:ascii="Arial" w:hAnsi="Arial"/>
          <w:lang w:val="en-CA"/>
        </w:rPr>
        <w:t>if they pay a Gold OA fee.</w:t>
      </w:r>
    </w:p>
    <w:p w:rsidR="00825442" w:rsidRPr="003F601F" w:rsidRDefault="00825442" w:rsidP="00CD08D2">
      <w:pPr>
        <w:pStyle w:val="ListParagraph"/>
        <w:numPr>
          <w:ilvl w:val="0"/>
          <w:numId w:val="1"/>
        </w:numPr>
        <w:rPr>
          <w:rFonts w:ascii="Arial" w:hAnsi="Arial"/>
          <w:lang w:val="en-CA"/>
        </w:rPr>
      </w:pPr>
      <w:r w:rsidRPr="003F601F">
        <w:rPr>
          <w:rFonts w:ascii="Arial" w:hAnsi="Arial"/>
          <w:lang w:val="en-CA"/>
        </w:rPr>
        <w:t xml:space="preserve">Paying Gold OA fees is a problem for authors and their institutions because as long as most journals are still subscription journals, institutions have to continue subscribing to </w:t>
      </w:r>
      <w:r w:rsidR="007858D4" w:rsidRPr="003F601F">
        <w:rPr>
          <w:rFonts w:ascii="Arial" w:hAnsi="Arial"/>
          <w:lang w:val="en-CA"/>
        </w:rPr>
        <w:t>whatever</w:t>
      </w:r>
      <w:r w:rsidRPr="003F601F">
        <w:rPr>
          <w:rFonts w:ascii="Arial" w:hAnsi="Arial"/>
          <w:lang w:val="en-CA"/>
        </w:rPr>
        <w:t xml:space="preserve"> journals they can afford</w:t>
      </w:r>
      <w:r w:rsidR="007858D4" w:rsidRPr="003F601F">
        <w:rPr>
          <w:rFonts w:ascii="Arial" w:hAnsi="Arial"/>
          <w:lang w:val="en-CA"/>
        </w:rPr>
        <w:t xml:space="preserve"> that</w:t>
      </w:r>
      <w:r w:rsidRPr="003F601F">
        <w:rPr>
          <w:rFonts w:ascii="Arial" w:hAnsi="Arial"/>
          <w:lang w:val="en-CA"/>
        </w:rPr>
        <w:t xml:space="preserve"> their users need.</w:t>
      </w:r>
    </w:p>
    <w:p w:rsidR="00825442" w:rsidRPr="003F601F" w:rsidRDefault="00825442" w:rsidP="00CD08D2">
      <w:pPr>
        <w:pStyle w:val="ListParagraph"/>
        <w:numPr>
          <w:ilvl w:val="0"/>
          <w:numId w:val="1"/>
        </w:numPr>
        <w:rPr>
          <w:rFonts w:ascii="Arial" w:hAnsi="Arial"/>
          <w:lang w:val="en-CA"/>
        </w:rPr>
      </w:pPr>
      <w:r w:rsidRPr="003F601F">
        <w:rPr>
          <w:rFonts w:ascii="Arial" w:hAnsi="Arial"/>
          <w:lang w:val="en-CA"/>
        </w:rPr>
        <w:t xml:space="preserve">Hence paying for Gold OA today increases the financial burden on institutions at a time when subscription costs are already </w:t>
      </w:r>
      <w:r w:rsidR="007858D4" w:rsidRPr="003F601F">
        <w:rPr>
          <w:rFonts w:ascii="Arial" w:hAnsi="Arial"/>
          <w:lang w:val="en-CA"/>
        </w:rPr>
        <w:t xml:space="preserve">barely </w:t>
      </w:r>
      <w:r w:rsidRPr="003F601F">
        <w:rPr>
          <w:rFonts w:ascii="Arial" w:hAnsi="Arial"/>
          <w:lang w:val="en-CA"/>
        </w:rPr>
        <w:t>affordable.</w:t>
      </w:r>
    </w:p>
    <w:p w:rsidR="00825442" w:rsidRPr="003F601F" w:rsidRDefault="00825442" w:rsidP="00CD08D2">
      <w:pPr>
        <w:pStyle w:val="ListParagraph"/>
        <w:numPr>
          <w:ilvl w:val="0"/>
          <w:numId w:val="1"/>
        </w:numPr>
        <w:rPr>
          <w:rFonts w:ascii="Arial" w:hAnsi="Arial"/>
          <w:lang w:val="en-CA"/>
        </w:rPr>
      </w:pPr>
      <w:r w:rsidRPr="003F601F">
        <w:rPr>
          <w:rFonts w:ascii="Arial" w:hAnsi="Arial"/>
          <w:lang w:val="en-CA"/>
        </w:rPr>
        <w:t xml:space="preserve">Paying for Gold OA while subscriptions still need to be paid is not only an extra financial burden, but it is also unnecessary, </w:t>
      </w:r>
      <w:r w:rsidR="00AB689C" w:rsidRPr="003F601F">
        <w:rPr>
          <w:rFonts w:ascii="Arial" w:hAnsi="Arial"/>
          <w:lang w:val="en-CA"/>
        </w:rPr>
        <w:t>because</w:t>
      </w:r>
      <w:r w:rsidRPr="003F601F">
        <w:rPr>
          <w:rFonts w:ascii="Arial" w:hAnsi="Arial"/>
          <w:lang w:val="en-CA"/>
        </w:rPr>
        <w:t xml:space="preserve"> </w:t>
      </w:r>
      <w:r w:rsidRPr="003F601F">
        <w:rPr>
          <w:rFonts w:ascii="Arial" w:hAnsi="Arial"/>
          <w:i/>
          <w:lang w:val="en-CA"/>
        </w:rPr>
        <w:t xml:space="preserve">Green OA can be provided for free while </w:t>
      </w:r>
      <w:r w:rsidR="00F360C6">
        <w:rPr>
          <w:rFonts w:ascii="Arial" w:hAnsi="Arial"/>
          <w:i/>
          <w:lang w:val="en-CA"/>
        </w:rPr>
        <w:t xml:space="preserve">worldwide </w:t>
      </w:r>
      <w:r w:rsidRPr="003F601F">
        <w:rPr>
          <w:rFonts w:ascii="Arial" w:hAnsi="Arial"/>
          <w:i/>
          <w:lang w:val="en-CA"/>
        </w:rPr>
        <w:t>subscriptions are still paying the cost of publication</w:t>
      </w:r>
      <w:r w:rsidRPr="003F601F">
        <w:rPr>
          <w:rFonts w:ascii="Arial" w:hAnsi="Arial"/>
          <w:lang w:val="en-CA"/>
        </w:rPr>
        <w:t>.</w:t>
      </w:r>
    </w:p>
    <w:p w:rsidR="00825442" w:rsidRPr="003F601F" w:rsidRDefault="00825442" w:rsidP="00CD08D2">
      <w:pPr>
        <w:pStyle w:val="ListParagraph"/>
        <w:numPr>
          <w:ilvl w:val="0"/>
          <w:numId w:val="1"/>
        </w:numPr>
        <w:rPr>
          <w:rFonts w:ascii="Arial" w:hAnsi="Arial"/>
          <w:lang w:val="en-CA"/>
        </w:rPr>
      </w:pPr>
      <w:r w:rsidRPr="003F601F">
        <w:rPr>
          <w:rFonts w:ascii="Arial" w:hAnsi="Arial"/>
          <w:lang w:val="en-CA"/>
        </w:rPr>
        <w:t xml:space="preserve">If and when Green OA becomes universal, and </w:t>
      </w:r>
      <w:r w:rsidR="007858D4" w:rsidRPr="003F601F">
        <w:rPr>
          <w:rFonts w:ascii="Arial" w:hAnsi="Arial"/>
          <w:lang w:val="en-CA"/>
        </w:rPr>
        <w:t>if and when that</w:t>
      </w:r>
      <w:r w:rsidR="00F360C6">
        <w:rPr>
          <w:rFonts w:ascii="Arial" w:hAnsi="Arial"/>
          <w:lang w:val="en-CA"/>
        </w:rPr>
        <w:t>,</w:t>
      </w:r>
      <w:r w:rsidR="007858D4" w:rsidRPr="003F601F">
        <w:rPr>
          <w:rFonts w:ascii="Arial" w:hAnsi="Arial"/>
          <w:lang w:val="en-CA"/>
        </w:rPr>
        <w:t xml:space="preserve"> in turn</w:t>
      </w:r>
      <w:r w:rsidR="00F360C6">
        <w:rPr>
          <w:rFonts w:ascii="Arial" w:hAnsi="Arial"/>
          <w:lang w:val="en-CA"/>
        </w:rPr>
        <w:t>,</w:t>
      </w:r>
      <w:r w:rsidR="007858D4" w:rsidRPr="003F601F">
        <w:rPr>
          <w:rFonts w:ascii="Arial" w:hAnsi="Arial"/>
          <w:lang w:val="en-CA"/>
        </w:rPr>
        <w:t xml:space="preserve"> </w:t>
      </w:r>
      <w:r w:rsidRPr="003F601F">
        <w:rPr>
          <w:rFonts w:ascii="Arial" w:hAnsi="Arial"/>
          <w:lang w:val="en-CA"/>
        </w:rPr>
        <w:t xml:space="preserve">makes subscriptions unsustainable, then all journals can </w:t>
      </w:r>
      <w:hyperlink r:id="rId14" w:history="1">
        <w:r w:rsidRPr="003F601F">
          <w:rPr>
            <w:rStyle w:val="Hyperlink"/>
            <w:rFonts w:ascii="Arial" w:hAnsi="Arial"/>
            <w:lang w:val="en-CA"/>
          </w:rPr>
          <w:t>convert to Gold</w:t>
        </w:r>
      </w:hyperlink>
      <w:r w:rsidRPr="003F601F">
        <w:rPr>
          <w:rFonts w:ascii="Arial" w:hAnsi="Arial"/>
          <w:lang w:val="en-CA"/>
        </w:rPr>
        <w:t xml:space="preserve"> and institutions </w:t>
      </w:r>
      <w:r w:rsidR="00F360C6">
        <w:rPr>
          <w:rFonts w:ascii="Arial" w:hAnsi="Arial"/>
          <w:lang w:val="en-CA"/>
        </w:rPr>
        <w:t>will have the money to pay</w:t>
      </w:r>
      <w:r w:rsidRPr="003F601F">
        <w:rPr>
          <w:rFonts w:ascii="Arial" w:hAnsi="Arial"/>
          <w:lang w:val="en-CA"/>
        </w:rPr>
        <w:t xml:space="preserve"> </w:t>
      </w:r>
      <w:r w:rsidR="007858D4" w:rsidRPr="003F601F">
        <w:rPr>
          <w:rFonts w:ascii="Arial" w:hAnsi="Arial"/>
          <w:lang w:val="en-CA"/>
        </w:rPr>
        <w:t xml:space="preserve">the </w:t>
      </w:r>
      <w:r w:rsidRPr="003F601F">
        <w:rPr>
          <w:rFonts w:ascii="Arial" w:hAnsi="Arial"/>
          <w:lang w:val="en-CA"/>
        </w:rPr>
        <w:t>Gold OA costs out of their annual windfall subscription cancelation savings.</w:t>
      </w:r>
    </w:p>
    <w:p w:rsidR="00DC1F57" w:rsidRPr="003F601F" w:rsidRDefault="00825442" w:rsidP="00CD08D2">
      <w:pPr>
        <w:pStyle w:val="ListParagraph"/>
        <w:numPr>
          <w:ilvl w:val="0"/>
          <w:numId w:val="1"/>
        </w:numPr>
        <w:rPr>
          <w:rFonts w:ascii="Arial" w:hAnsi="Arial"/>
          <w:lang w:val="en-CA"/>
        </w:rPr>
      </w:pPr>
      <w:r w:rsidRPr="003F601F">
        <w:rPr>
          <w:rFonts w:ascii="Arial" w:hAnsi="Arial"/>
          <w:lang w:val="en-CA"/>
        </w:rPr>
        <w:t xml:space="preserve">There is every reason to believe that </w:t>
      </w:r>
      <w:hyperlink r:id="rId15" w:history="1">
        <w:r w:rsidRPr="003F601F">
          <w:rPr>
            <w:rStyle w:val="Hyperlink"/>
            <w:rFonts w:ascii="Arial" w:hAnsi="Arial"/>
            <w:lang w:val="en-CA"/>
          </w:rPr>
          <w:t>Gold OA costs after universal Green OA will be much lower th</w:t>
        </w:r>
        <w:r w:rsidR="00AB689C" w:rsidRPr="003F601F">
          <w:rPr>
            <w:rStyle w:val="Hyperlink"/>
            <w:rFonts w:ascii="Arial" w:hAnsi="Arial"/>
            <w:lang w:val="en-CA"/>
          </w:rPr>
          <w:t>a</w:t>
        </w:r>
        <w:r w:rsidRPr="003F601F">
          <w:rPr>
            <w:rStyle w:val="Hyperlink"/>
            <w:rFonts w:ascii="Arial" w:hAnsi="Arial"/>
            <w:lang w:val="en-CA"/>
          </w:rPr>
          <w:t>n they are today</w:t>
        </w:r>
      </w:hyperlink>
      <w:r w:rsidR="00DC1F57" w:rsidRPr="003F601F">
        <w:rPr>
          <w:rFonts w:ascii="Arial" w:hAnsi="Arial"/>
          <w:lang w:val="en-CA"/>
        </w:rPr>
        <w:t>: the print edition and its costs as well as the online edition will be gone, the worldwide network of Green OA Institutional Repositories will provide access and archiving, and journals will only need to manage peer review (all peers already review for free).</w:t>
      </w:r>
    </w:p>
    <w:p w:rsidR="00DC1F57" w:rsidRPr="003F601F" w:rsidRDefault="00DC1F57" w:rsidP="00CD08D2">
      <w:pPr>
        <w:pStyle w:val="ListParagraph"/>
        <w:numPr>
          <w:ilvl w:val="0"/>
          <w:numId w:val="1"/>
        </w:numPr>
        <w:rPr>
          <w:rFonts w:ascii="Arial" w:hAnsi="Arial"/>
          <w:lang w:val="en-CA"/>
        </w:rPr>
      </w:pPr>
      <w:r w:rsidRPr="003F601F">
        <w:rPr>
          <w:rFonts w:ascii="Arial" w:hAnsi="Arial"/>
          <w:lang w:val="en-CA"/>
        </w:rPr>
        <w:t xml:space="preserve">It remains to explain how to achieve universal Green OA, in order (1) to provide universal OA, </w:t>
      </w:r>
      <w:r w:rsidR="00F360C6">
        <w:rPr>
          <w:rFonts w:ascii="Arial" w:hAnsi="Arial"/>
          <w:lang w:val="en-CA"/>
        </w:rPr>
        <w:t>first and foremost, and then</w:t>
      </w:r>
      <w:r w:rsidR="003A7576">
        <w:rPr>
          <w:rFonts w:ascii="Arial" w:hAnsi="Arial"/>
          <w:lang w:val="en-CA"/>
        </w:rPr>
        <w:t xml:space="preserve"> </w:t>
      </w:r>
      <w:r w:rsidRPr="003F601F">
        <w:rPr>
          <w:rFonts w:ascii="Arial" w:hAnsi="Arial"/>
          <w:lang w:val="en-CA"/>
        </w:rPr>
        <w:t xml:space="preserve">(2) to induce a transition to universal Gold OA at an affordable price </w:t>
      </w:r>
      <w:r w:rsidR="00F360C6">
        <w:rPr>
          <w:rFonts w:ascii="Arial" w:hAnsi="Arial"/>
          <w:lang w:val="en-CA"/>
        </w:rPr>
        <w:t xml:space="preserve">if and when Green OA makes subscription publishing unsustainable, </w:t>
      </w:r>
      <w:r w:rsidRPr="003F601F">
        <w:rPr>
          <w:rFonts w:ascii="Arial" w:hAnsi="Arial"/>
          <w:lang w:val="en-CA"/>
        </w:rPr>
        <w:t>and (3) to release the institutional subscription funds in which the potential money to pay for Gold OA is currently locked.</w:t>
      </w:r>
    </w:p>
    <w:p w:rsidR="00DC1F57" w:rsidRPr="003F601F" w:rsidRDefault="00DC1F57" w:rsidP="00CD08D2">
      <w:pPr>
        <w:pStyle w:val="ListParagraph"/>
        <w:numPr>
          <w:ilvl w:val="0"/>
          <w:numId w:val="1"/>
        </w:numPr>
        <w:rPr>
          <w:rFonts w:ascii="Arial" w:hAnsi="Arial"/>
          <w:lang w:val="en-CA"/>
        </w:rPr>
      </w:pPr>
      <w:r w:rsidRPr="003F601F">
        <w:rPr>
          <w:rFonts w:ascii="Arial" w:hAnsi="Arial"/>
          <w:lang w:val="en-CA"/>
        </w:rPr>
        <w:t xml:space="preserve">The way to achieve universal Green OA is for institutions (universities and research institutes) and research funders to </w:t>
      </w:r>
      <w:hyperlink r:id="rId16" w:history="1">
        <w:r w:rsidRPr="003F601F">
          <w:rPr>
            <w:rStyle w:val="Hyperlink"/>
            <w:rFonts w:ascii="Arial" w:hAnsi="Arial"/>
            <w:lang w:val="en-CA"/>
          </w:rPr>
          <w:t>mandate</w:t>
        </w:r>
      </w:hyperlink>
      <w:r w:rsidRPr="003F601F">
        <w:rPr>
          <w:rFonts w:ascii="Arial" w:hAnsi="Arial"/>
          <w:lang w:val="en-CA"/>
        </w:rPr>
        <w:t xml:space="preserve"> (require) that all research </w:t>
      </w:r>
      <w:r w:rsidR="007858D4" w:rsidRPr="003F601F">
        <w:rPr>
          <w:rFonts w:ascii="Arial" w:hAnsi="Arial"/>
          <w:lang w:val="en-CA"/>
        </w:rPr>
        <w:t xml:space="preserve">that </w:t>
      </w:r>
      <w:r w:rsidRPr="003F601F">
        <w:rPr>
          <w:rFonts w:ascii="Arial" w:hAnsi="Arial"/>
          <w:lang w:val="en-CA"/>
        </w:rPr>
        <w:t>they fund, and that they employ researchers to conduct</w:t>
      </w:r>
      <w:r w:rsidR="007858D4" w:rsidRPr="003F601F">
        <w:rPr>
          <w:rFonts w:ascii="Arial" w:hAnsi="Arial"/>
          <w:lang w:val="en-CA"/>
        </w:rPr>
        <w:t>,</w:t>
      </w:r>
      <w:r w:rsidRPr="003F601F">
        <w:rPr>
          <w:rFonts w:ascii="Arial" w:hAnsi="Arial"/>
          <w:lang w:val="en-CA"/>
        </w:rPr>
        <w:t xml:space="preserve"> must not only be published, as now (</w:t>
      </w:r>
      <w:r w:rsidR="007858D4" w:rsidRPr="003F601F">
        <w:rPr>
          <w:rFonts w:ascii="Arial" w:hAnsi="Arial"/>
          <w:lang w:val="en-CA"/>
        </w:rPr>
        <w:t>“</w:t>
      </w:r>
      <w:r w:rsidRPr="003F601F">
        <w:rPr>
          <w:rFonts w:ascii="Arial" w:hAnsi="Arial"/>
          <w:lang w:val="en-CA"/>
        </w:rPr>
        <w:t>publish or perish</w:t>
      </w:r>
      <w:r w:rsidR="007858D4" w:rsidRPr="003F601F">
        <w:rPr>
          <w:rFonts w:ascii="Arial" w:hAnsi="Arial"/>
          <w:lang w:val="en-CA"/>
        </w:rPr>
        <w:t>”</w:t>
      </w:r>
      <w:r w:rsidRPr="003F601F">
        <w:rPr>
          <w:rFonts w:ascii="Arial" w:hAnsi="Arial"/>
          <w:lang w:val="en-CA"/>
        </w:rPr>
        <w:t>), but the peer-reviewed final draft</w:t>
      </w:r>
      <w:r w:rsidR="007858D4" w:rsidRPr="003F601F">
        <w:rPr>
          <w:rFonts w:ascii="Arial" w:hAnsi="Arial"/>
          <w:lang w:val="en-CA"/>
        </w:rPr>
        <w:t>s</w:t>
      </w:r>
      <w:r w:rsidRPr="003F601F">
        <w:rPr>
          <w:rFonts w:ascii="Arial" w:hAnsi="Arial"/>
          <w:lang w:val="en-CA"/>
        </w:rPr>
        <w:t xml:space="preserve"> must also be deposited in the researcher’s </w:t>
      </w:r>
      <w:hyperlink r:id="rId17" w:history="1">
        <w:r w:rsidRPr="003F601F">
          <w:rPr>
            <w:rStyle w:val="Hyperlink"/>
            <w:rFonts w:ascii="Arial" w:hAnsi="Arial"/>
            <w:lang w:val="en-CA"/>
          </w:rPr>
          <w:t>institutional repository</w:t>
        </w:r>
      </w:hyperlink>
      <w:r w:rsidRPr="003F601F">
        <w:rPr>
          <w:rFonts w:ascii="Arial" w:hAnsi="Arial"/>
          <w:lang w:val="en-CA"/>
        </w:rPr>
        <w:t xml:space="preserve"> immediately upon acceptance for publication.</w:t>
      </w:r>
    </w:p>
    <w:p w:rsidR="00DC1F57" w:rsidRPr="003F601F" w:rsidRDefault="00AB689C" w:rsidP="00CD08D2">
      <w:pPr>
        <w:pStyle w:val="ListParagraph"/>
        <w:numPr>
          <w:ilvl w:val="0"/>
          <w:numId w:val="1"/>
        </w:numPr>
        <w:rPr>
          <w:rFonts w:ascii="Arial" w:hAnsi="Arial"/>
          <w:lang w:val="en-CA"/>
        </w:rPr>
      </w:pPr>
      <w:r w:rsidRPr="003F601F">
        <w:rPr>
          <w:rFonts w:ascii="Arial" w:hAnsi="Arial"/>
          <w:lang w:val="en-CA"/>
        </w:rPr>
        <w:t xml:space="preserve">Optimally, access to the </w:t>
      </w:r>
      <w:r w:rsidR="00DC1F57" w:rsidRPr="003F601F">
        <w:rPr>
          <w:rFonts w:ascii="Arial" w:hAnsi="Arial"/>
          <w:lang w:val="en-CA"/>
        </w:rPr>
        <w:t>deposit should be made OA immediately</w:t>
      </w:r>
      <w:r w:rsidRPr="003F601F">
        <w:rPr>
          <w:rFonts w:ascii="Arial" w:hAnsi="Arial"/>
          <w:lang w:val="en-CA"/>
        </w:rPr>
        <w:t>; in any case any</w:t>
      </w:r>
      <w:r w:rsidR="003A46EB" w:rsidRPr="003F601F">
        <w:rPr>
          <w:rFonts w:ascii="Arial" w:hAnsi="Arial"/>
          <w:lang w:val="en-CA"/>
        </w:rPr>
        <w:t xml:space="preserve"> OA embargo should be as short as possible.</w:t>
      </w:r>
    </w:p>
    <w:p w:rsidR="003A46EB" w:rsidRPr="003F601F" w:rsidRDefault="00DC1F57" w:rsidP="00CD08D2">
      <w:pPr>
        <w:pStyle w:val="ListParagraph"/>
        <w:numPr>
          <w:ilvl w:val="0"/>
          <w:numId w:val="1"/>
        </w:numPr>
        <w:rPr>
          <w:rFonts w:ascii="Arial" w:hAnsi="Arial"/>
          <w:lang w:val="en-CA"/>
        </w:rPr>
      </w:pPr>
      <w:r w:rsidRPr="003F601F">
        <w:rPr>
          <w:rFonts w:ascii="Arial" w:hAnsi="Arial"/>
          <w:lang w:val="en-CA"/>
        </w:rPr>
        <w:t xml:space="preserve">However, if </w:t>
      </w:r>
      <w:r w:rsidR="003A46EB" w:rsidRPr="003F601F">
        <w:rPr>
          <w:rFonts w:ascii="Arial" w:hAnsi="Arial"/>
          <w:lang w:val="en-CA"/>
        </w:rPr>
        <w:t>necessary</w:t>
      </w:r>
      <w:r w:rsidRPr="003F601F">
        <w:rPr>
          <w:rFonts w:ascii="Arial" w:hAnsi="Arial"/>
          <w:lang w:val="en-CA"/>
        </w:rPr>
        <w:t>, an embargo of 6 months o</w:t>
      </w:r>
      <w:r w:rsidR="003A46EB" w:rsidRPr="003F601F">
        <w:rPr>
          <w:rFonts w:ascii="Arial" w:hAnsi="Arial"/>
          <w:lang w:val="en-CA"/>
        </w:rPr>
        <w:t>r even 12 months or longer can be tolerated in the case of the 40% of articles published in journals that do not endorse immediate Green OA.</w:t>
      </w:r>
    </w:p>
    <w:p w:rsidR="007858D4" w:rsidRPr="003F601F" w:rsidRDefault="003A46EB" w:rsidP="00CD08D2">
      <w:pPr>
        <w:pStyle w:val="ListParagraph"/>
        <w:numPr>
          <w:ilvl w:val="0"/>
          <w:numId w:val="1"/>
        </w:numPr>
        <w:rPr>
          <w:rFonts w:ascii="Arial" w:hAnsi="Arial"/>
          <w:lang w:val="en-CA"/>
        </w:rPr>
      </w:pPr>
      <w:r w:rsidRPr="003F601F">
        <w:rPr>
          <w:rFonts w:ascii="Arial" w:hAnsi="Arial"/>
          <w:lang w:val="en-CA"/>
        </w:rPr>
        <w:t>The repositories make it possible for authors to provide “</w:t>
      </w:r>
      <w:hyperlink r:id="rId18" w:history="1">
        <w:r w:rsidRPr="003F601F">
          <w:rPr>
            <w:rStyle w:val="Hyperlink"/>
            <w:rFonts w:ascii="Arial" w:hAnsi="Arial"/>
            <w:lang w:val="en-CA"/>
          </w:rPr>
          <w:t>Almost-OA</w:t>
        </w:r>
      </w:hyperlink>
      <w:r w:rsidRPr="003F601F">
        <w:rPr>
          <w:rFonts w:ascii="Arial" w:hAnsi="Arial"/>
          <w:lang w:val="en-CA"/>
        </w:rPr>
        <w:t xml:space="preserve">” to the deposits that are under OA embargo by automatically forwarding reprint requests from would-be users to the author, </w:t>
      </w:r>
      <w:r w:rsidR="007858D4" w:rsidRPr="003F601F">
        <w:rPr>
          <w:rFonts w:ascii="Arial" w:hAnsi="Arial"/>
          <w:lang w:val="en-CA"/>
        </w:rPr>
        <w:t>who can then</w:t>
      </w:r>
      <w:r w:rsidRPr="003F601F">
        <w:rPr>
          <w:rFonts w:ascii="Arial" w:hAnsi="Arial"/>
          <w:lang w:val="en-CA"/>
        </w:rPr>
        <w:t xml:space="preserve"> decide, with one click, whether or not to email</w:t>
      </w:r>
      <w:r w:rsidR="007858D4" w:rsidRPr="003F601F">
        <w:rPr>
          <w:rFonts w:ascii="Arial" w:hAnsi="Arial"/>
          <w:lang w:val="en-CA"/>
        </w:rPr>
        <w:t xml:space="preserve"> the </w:t>
      </w:r>
      <w:r w:rsidR="00F360C6">
        <w:rPr>
          <w:rFonts w:ascii="Arial" w:hAnsi="Arial"/>
          <w:lang w:val="en-CA"/>
        </w:rPr>
        <w:t xml:space="preserve">deposited </w:t>
      </w:r>
      <w:r w:rsidR="007858D4" w:rsidRPr="003F601F">
        <w:rPr>
          <w:rFonts w:ascii="Arial" w:hAnsi="Arial"/>
          <w:lang w:val="en-CA"/>
        </w:rPr>
        <w:t>reprint to the requester</w:t>
      </w:r>
      <w:r w:rsidRPr="003F601F">
        <w:rPr>
          <w:rFonts w:ascii="Arial" w:hAnsi="Arial"/>
          <w:lang w:val="en-CA"/>
        </w:rPr>
        <w:t>.</w:t>
      </w:r>
      <w:r w:rsidR="007858D4" w:rsidRPr="003F601F">
        <w:rPr>
          <w:rFonts w:ascii="Arial" w:hAnsi="Arial"/>
          <w:lang w:val="en-CA"/>
        </w:rPr>
        <w:t xml:space="preserve"> </w:t>
      </w:r>
    </w:p>
    <w:p w:rsidR="00826D87" w:rsidRDefault="007858D4" w:rsidP="00CD08D2">
      <w:pPr>
        <w:pStyle w:val="ListParagraph"/>
        <w:numPr>
          <w:ilvl w:val="0"/>
          <w:numId w:val="1"/>
        </w:numPr>
        <w:rPr>
          <w:rFonts w:ascii="Arial" w:hAnsi="Arial"/>
          <w:lang w:val="en-CA"/>
        </w:rPr>
      </w:pPr>
      <w:r w:rsidRPr="003F601F">
        <w:rPr>
          <w:rFonts w:ascii="Arial" w:hAnsi="Arial"/>
          <w:lang w:val="en-CA"/>
        </w:rPr>
        <w:t>Researchers have been fulfilling reprint request</w:t>
      </w:r>
      <w:r w:rsidR="00AB689C" w:rsidRPr="003F601F">
        <w:rPr>
          <w:rFonts w:ascii="Arial" w:hAnsi="Arial"/>
          <w:lang w:val="en-CA"/>
        </w:rPr>
        <w:t>s</w:t>
      </w:r>
      <w:r w:rsidRPr="003F601F">
        <w:rPr>
          <w:rFonts w:ascii="Arial" w:hAnsi="Arial"/>
          <w:lang w:val="en-CA"/>
        </w:rPr>
        <w:t xml:space="preserve"> </w:t>
      </w:r>
      <w:r w:rsidR="00335B9D" w:rsidRPr="003F601F">
        <w:rPr>
          <w:rFonts w:ascii="Arial" w:hAnsi="Arial"/>
          <w:lang w:val="en-CA"/>
        </w:rPr>
        <w:t xml:space="preserve">from fellow-researchers </w:t>
      </w:r>
      <w:r w:rsidRPr="003F601F">
        <w:rPr>
          <w:rFonts w:ascii="Arial" w:hAnsi="Arial"/>
          <w:lang w:val="en-CA"/>
        </w:rPr>
        <w:t xml:space="preserve">for over a half century, but in the online era this can be greatly facilitated and accelerated </w:t>
      </w:r>
      <w:r w:rsidR="00335B9D" w:rsidRPr="00F360C6">
        <w:rPr>
          <w:rFonts w:ascii="Arial" w:hAnsi="Arial"/>
          <w:i/>
          <w:lang w:val="en-CA"/>
        </w:rPr>
        <w:t>through</w:t>
      </w:r>
      <w:r w:rsidRPr="00F360C6">
        <w:rPr>
          <w:rFonts w:ascii="Arial" w:hAnsi="Arial"/>
          <w:i/>
          <w:lang w:val="en-CA"/>
        </w:rPr>
        <w:t xml:space="preserve"> universally mandated repository deposit</w:t>
      </w:r>
      <w:r w:rsidRPr="003F601F">
        <w:rPr>
          <w:rFonts w:ascii="Arial" w:hAnsi="Arial"/>
          <w:lang w:val="en-CA"/>
        </w:rPr>
        <w:t>.</w:t>
      </w:r>
    </w:p>
    <w:p w:rsidR="00826D87" w:rsidRDefault="00826D87" w:rsidP="00826D87">
      <w:pPr>
        <w:pStyle w:val="ListParagraph"/>
        <w:rPr>
          <w:rFonts w:ascii="Arial" w:hAnsi="Arial"/>
          <w:lang w:val="en-CA"/>
        </w:rPr>
      </w:pPr>
    </w:p>
    <w:p w:rsidR="00826D87" w:rsidRPr="00826D87" w:rsidRDefault="00826D87" w:rsidP="00826D87">
      <w:pPr>
        <w:pStyle w:val="ListParagraph"/>
        <w:jc w:val="center"/>
        <w:rPr>
          <w:rFonts w:ascii="Arial" w:hAnsi="Arial"/>
          <w:b/>
          <w:lang w:val="en-CA"/>
        </w:rPr>
      </w:pPr>
      <w:r w:rsidRPr="00826D87">
        <w:rPr>
          <w:rFonts w:ascii="Arial" w:hAnsi="Arial"/>
          <w:b/>
          <w:lang w:val="en-CA"/>
        </w:rPr>
        <w:t>II. UK OA Policy</w:t>
      </w:r>
    </w:p>
    <w:p w:rsidR="007858D4" w:rsidRPr="003F601F" w:rsidRDefault="007858D4" w:rsidP="00826D87">
      <w:pPr>
        <w:pStyle w:val="ListParagraph"/>
        <w:rPr>
          <w:rFonts w:ascii="Arial" w:hAnsi="Arial"/>
          <w:lang w:val="en-CA"/>
        </w:rPr>
      </w:pPr>
    </w:p>
    <w:p w:rsidR="00DF0EA5" w:rsidRPr="003F601F" w:rsidRDefault="00DF0EA5" w:rsidP="00CD08D2">
      <w:pPr>
        <w:pStyle w:val="ListParagraph"/>
        <w:numPr>
          <w:ilvl w:val="0"/>
          <w:numId w:val="1"/>
        </w:numPr>
        <w:rPr>
          <w:rFonts w:ascii="Arial" w:hAnsi="Arial"/>
          <w:lang w:val="en-CA"/>
        </w:rPr>
      </w:pPr>
      <w:r w:rsidRPr="003F601F">
        <w:rPr>
          <w:rFonts w:ascii="Arial" w:hAnsi="Arial"/>
          <w:lang w:val="en-CA"/>
        </w:rPr>
        <w:t>In 2004, t</w:t>
      </w:r>
      <w:r w:rsidR="007858D4" w:rsidRPr="003F601F">
        <w:rPr>
          <w:rFonts w:ascii="Arial" w:hAnsi="Arial"/>
          <w:lang w:val="en-CA"/>
        </w:rPr>
        <w:t xml:space="preserve">he </w:t>
      </w:r>
      <w:hyperlink r:id="rId19" w:history="1">
        <w:r w:rsidR="007858D4" w:rsidRPr="003F601F">
          <w:rPr>
            <w:rStyle w:val="Hyperlink"/>
            <w:rFonts w:ascii="Arial" w:hAnsi="Arial"/>
            <w:lang w:val="en-CA"/>
          </w:rPr>
          <w:t>UK Parliamentary Select Committee</w:t>
        </w:r>
      </w:hyperlink>
      <w:r w:rsidRPr="003F601F">
        <w:rPr>
          <w:rFonts w:ascii="Arial" w:hAnsi="Arial"/>
          <w:lang w:val="en-CA"/>
        </w:rPr>
        <w:t xml:space="preserve"> recommended that UK</w:t>
      </w:r>
      <w:r w:rsidR="007858D4" w:rsidRPr="003F601F">
        <w:rPr>
          <w:rFonts w:ascii="Arial" w:hAnsi="Arial"/>
          <w:lang w:val="en-CA"/>
        </w:rPr>
        <w:t xml:space="preserve"> </w:t>
      </w:r>
      <w:r w:rsidRPr="003F601F">
        <w:rPr>
          <w:rFonts w:ascii="Arial" w:hAnsi="Arial"/>
          <w:lang w:val="en-CA"/>
        </w:rPr>
        <w:t xml:space="preserve">universities and </w:t>
      </w:r>
      <w:r w:rsidR="00335B9D" w:rsidRPr="003F601F">
        <w:rPr>
          <w:rFonts w:ascii="Arial" w:hAnsi="Arial"/>
          <w:lang w:val="en-CA"/>
        </w:rPr>
        <w:t xml:space="preserve">UK </w:t>
      </w:r>
      <w:r w:rsidRPr="003F601F">
        <w:rPr>
          <w:rFonts w:ascii="Arial" w:hAnsi="Arial"/>
          <w:lang w:val="en-CA"/>
        </w:rPr>
        <w:t>funding councils mandate Green OA self-archiving.</w:t>
      </w:r>
    </w:p>
    <w:p w:rsidR="00DF0EA5" w:rsidRPr="003F601F" w:rsidRDefault="00DF0EA5" w:rsidP="00CD08D2">
      <w:pPr>
        <w:pStyle w:val="ListParagraph"/>
        <w:numPr>
          <w:ilvl w:val="0"/>
          <w:numId w:val="1"/>
        </w:numPr>
        <w:rPr>
          <w:rFonts w:ascii="Arial" w:hAnsi="Arial"/>
          <w:lang w:val="en-CA"/>
        </w:rPr>
      </w:pPr>
      <w:r w:rsidRPr="003F601F">
        <w:rPr>
          <w:rFonts w:ascii="Arial" w:hAnsi="Arial"/>
          <w:lang w:val="en-CA"/>
        </w:rPr>
        <w:t>With this, the UK became the world leader in OA and OA policy.</w:t>
      </w:r>
    </w:p>
    <w:p w:rsidR="00DF0EA5" w:rsidRPr="003F601F" w:rsidRDefault="00DF0EA5" w:rsidP="00CD08D2">
      <w:pPr>
        <w:pStyle w:val="ListParagraph"/>
        <w:numPr>
          <w:ilvl w:val="0"/>
          <w:numId w:val="1"/>
        </w:numPr>
        <w:rPr>
          <w:rFonts w:ascii="Arial" w:hAnsi="Arial"/>
          <w:lang w:val="en-CA"/>
        </w:rPr>
      </w:pPr>
      <w:r w:rsidRPr="003F601F">
        <w:rPr>
          <w:rFonts w:ascii="Arial" w:hAnsi="Arial"/>
          <w:lang w:val="en-CA"/>
        </w:rPr>
        <w:t>Green OA self-archiving has since been mandated by funding councils and universities in the EU, Canada, and Australia, including the National Institutes of Health, Harvard, and MIT in the US</w:t>
      </w:r>
      <w:r w:rsidR="00335B9D" w:rsidRPr="003F601F">
        <w:rPr>
          <w:rFonts w:ascii="Arial" w:hAnsi="Arial"/>
          <w:lang w:val="en-CA"/>
        </w:rPr>
        <w:t xml:space="preserve"> (</w:t>
      </w:r>
      <w:hyperlink r:id="rId20" w:history="1">
        <w:r w:rsidR="00335B9D" w:rsidRPr="003F601F">
          <w:rPr>
            <w:rStyle w:val="Hyperlink"/>
            <w:rFonts w:ascii="Arial" w:hAnsi="Arial"/>
            <w:lang w:val="en-CA"/>
          </w:rPr>
          <w:t>over 250</w:t>
        </w:r>
      </w:hyperlink>
      <w:r w:rsidR="00335B9D" w:rsidRPr="003F601F">
        <w:rPr>
          <w:rFonts w:ascii="Arial" w:hAnsi="Arial"/>
          <w:lang w:val="en-CA"/>
        </w:rPr>
        <w:t xml:space="preserve"> Green OA mandates worldwide to date)</w:t>
      </w:r>
      <w:r w:rsidRPr="003F601F">
        <w:rPr>
          <w:rFonts w:ascii="Arial" w:hAnsi="Arial"/>
          <w:lang w:val="en-CA"/>
        </w:rPr>
        <w:t>.</w:t>
      </w:r>
    </w:p>
    <w:p w:rsidR="00163AA8" w:rsidRPr="003F601F" w:rsidRDefault="00DF0EA5" w:rsidP="00CD08D2">
      <w:pPr>
        <w:pStyle w:val="ListParagraph"/>
        <w:numPr>
          <w:ilvl w:val="0"/>
          <w:numId w:val="1"/>
        </w:numPr>
        <w:rPr>
          <w:rFonts w:ascii="Arial" w:hAnsi="Arial"/>
          <w:i/>
          <w:lang w:val="en-CA"/>
        </w:rPr>
      </w:pPr>
      <w:r w:rsidRPr="003F601F">
        <w:rPr>
          <w:rFonts w:ascii="Arial" w:hAnsi="Arial"/>
          <w:i/>
          <w:lang w:val="en-CA"/>
        </w:rPr>
        <w:t xml:space="preserve">Green OA </w:t>
      </w:r>
      <w:r w:rsidR="00826D87">
        <w:rPr>
          <w:rFonts w:ascii="Arial" w:hAnsi="Arial"/>
          <w:i/>
          <w:lang w:val="en-CA"/>
        </w:rPr>
        <w:t>mandates</w:t>
      </w:r>
      <w:r w:rsidRPr="003F601F">
        <w:rPr>
          <w:rFonts w:ascii="Arial" w:hAnsi="Arial"/>
          <w:i/>
          <w:lang w:val="en-CA"/>
        </w:rPr>
        <w:t xml:space="preserve"> are growing worldwide</w:t>
      </w:r>
      <w:r w:rsidR="00335B9D" w:rsidRPr="003F601F">
        <w:rPr>
          <w:rFonts w:ascii="Arial" w:hAnsi="Arial"/>
          <w:i/>
          <w:lang w:val="en-CA"/>
        </w:rPr>
        <w:t>, guided by the UK model;</w:t>
      </w:r>
      <w:r w:rsidRPr="003F601F">
        <w:rPr>
          <w:rFonts w:ascii="Arial" w:hAnsi="Arial"/>
          <w:i/>
          <w:lang w:val="en-CA"/>
        </w:rPr>
        <w:t xml:space="preserve"> to </w:t>
      </w:r>
      <w:r w:rsidR="00335B9D" w:rsidRPr="003F601F">
        <w:rPr>
          <w:rFonts w:ascii="Arial" w:hAnsi="Arial"/>
          <w:i/>
          <w:lang w:val="en-CA"/>
        </w:rPr>
        <w:t xml:space="preserve">accelerate </w:t>
      </w:r>
      <w:r w:rsidR="00826D87">
        <w:rPr>
          <w:rFonts w:ascii="Arial" w:hAnsi="Arial"/>
          <w:i/>
          <w:lang w:val="en-CA"/>
        </w:rPr>
        <w:t xml:space="preserve">mandate </w:t>
      </w:r>
      <w:r w:rsidR="00335B9D" w:rsidRPr="003F601F">
        <w:rPr>
          <w:rFonts w:ascii="Arial" w:hAnsi="Arial"/>
          <w:i/>
          <w:lang w:val="en-CA"/>
        </w:rPr>
        <w:t>adoption</w:t>
      </w:r>
      <w:r w:rsidR="00163AA8" w:rsidRPr="003F601F">
        <w:rPr>
          <w:rFonts w:ascii="Arial" w:hAnsi="Arial"/>
          <w:i/>
          <w:lang w:val="en-CA"/>
        </w:rPr>
        <w:t xml:space="preserve"> all that is needed</w:t>
      </w:r>
      <w:r w:rsidR="00335B9D" w:rsidRPr="003F601F">
        <w:rPr>
          <w:rFonts w:ascii="Arial" w:hAnsi="Arial"/>
          <w:i/>
          <w:lang w:val="en-CA"/>
        </w:rPr>
        <w:t xml:space="preserve"> is </w:t>
      </w:r>
      <w:hyperlink r:id="rId21" w:history="1">
        <w:r w:rsidR="00335B9D" w:rsidRPr="003F601F">
          <w:rPr>
            <w:rStyle w:val="Hyperlink"/>
            <w:rFonts w:ascii="Arial" w:hAnsi="Arial"/>
            <w:i/>
            <w:lang w:val="en-CA"/>
          </w:rPr>
          <w:t>a few practical upgrades</w:t>
        </w:r>
      </w:hyperlink>
      <w:r w:rsidR="00335B9D" w:rsidRPr="003F601F">
        <w:rPr>
          <w:rFonts w:ascii="Arial" w:hAnsi="Arial"/>
          <w:i/>
          <w:lang w:val="en-CA"/>
        </w:rPr>
        <w:t xml:space="preserve"> (such as upgraded compliance mechanisms and fuller integration of institutional and funder mandates).</w:t>
      </w:r>
    </w:p>
    <w:p w:rsidR="00163AA8" w:rsidRPr="003F601F" w:rsidRDefault="00163AA8" w:rsidP="00CD08D2">
      <w:pPr>
        <w:pStyle w:val="ListParagraph"/>
        <w:numPr>
          <w:ilvl w:val="0"/>
          <w:numId w:val="1"/>
        </w:numPr>
        <w:rPr>
          <w:rFonts w:ascii="Arial" w:hAnsi="Arial"/>
          <w:lang w:val="en-CA"/>
        </w:rPr>
      </w:pPr>
      <w:r w:rsidRPr="003F601F">
        <w:rPr>
          <w:rFonts w:ascii="Arial" w:hAnsi="Arial"/>
          <w:lang w:val="en-CA"/>
        </w:rPr>
        <w:t xml:space="preserve">But </w:t>
      </w:r>
      <w:r w:rsidR="00521DDE" w:rsidRPr="003F601F">
        <w:rPr>
          <w:rFonts w:ascii="Arial" w:hAnsi="Arial"/>
          <w:lang w:val="en-CA"/>
        </w:rPr>
        <w:t xml:space="preserve">in 2012, </w:t>
      </w:r>
      <w:r w:rsidRPr="003F601F">
        <w:rPr>
          <w:rFonts w:ascii="Arial" w:hAnsi="Arial"/>
          <w:lang w:val="en-CA"/>
        </w:rPr>
        <w:t xml:space="preserve">instead of building on its 8-year success in worldwide OA leadership, the UK took an abrupt U-turn on OA, with the recommendations of the </w:t>
      </w:r>
      <w:hyperlink r:id="rId22" w:history="1">
        <w:r w:rsidRPr="003F601F">
          <w:rPr>
            <w:rStyle w:val="Hyperlink"/>
            <w:rFonts w:ascii="Arial" w:hAnsi="Arial"/>
            <w:lang w:val="en-CA"/>
          </w:rPr>
          <w:t>Finch Committee</w:t>
        </w:r>
      </w:hyperlink>
      <w:r w:rsidRPr="003F601F">
        <w:rPr>
          <w:rFonts w:ascii="Arial" w:hAnsi="Arial"/>
          <w:lang w:val="en-CA"/>
        </w:rPr>
        <w:t>.</w:t>
      </w:r>
    </w:p>
    <w:p w:rsidR="00521DDE" w:rsidRPr="003F601F" w:rsidRDefault="00163AA8" w:rsidP="00CD08D2">
      <w:pPr>
        <w:pStyle w:val="ListParagraph"/>
        <w:numPr>
          <w:ilvl w:val="0"/>
          <w:numId w:val="1"/>
        </w:numPr>
        <w:rPr>
          <w:rFonts w:ascii="Arial" w:hAnsi="Arial"/>
          <w:lang w:val="en-CA"/>
        </w:rPr>
      </w:pPr>
      <w:r w:rsidRPr="003F601F">
        <w:rPr>
          <w:rFonts w:ascii="Arial" w:hAnsi="Arial"/>
          <w:lang w:val="en-CA"/>
        </w:rPr>
        <w:t xml:space="preserve">The Finch Committee </w:t>
      </w:r>
      <w:r w:rsidR="00521DDE" w:rsidRPr="003F601F">
        <w:rPr>
          <w:rFonts w:ascii="Arial" w:hAnsi="Arial"/>
          <w:lang w:val="en-CA"/>
        </w:rPr>
        <w:t>declared Green OA a failure, and recommended downgrading it to just preservation archiving.</w:t>
      </w:r>
    </w:p>
    <w:p w:rsidR="00521DDE" w:rsidRPr="003F601F" w:rsidRDefault="00521DDE" w:rsidP="00CD08D2">
      <w:pPr>
        <w:pStyle w:val="ListParagraph"/>
        <w:numPr>
          <w:ilvl w:val="0"/>
          <w:numId w:val="1"/>
        </w:numPr>
        <w:rPr>
          <w:rFonts w:ascii="Arial" w:hAnsi="Arial"/>
          <w:lang w:val="en-CA"/>
        </w:rPr>
      </w:pPr>
      <w:r w:rsidRPr="003F601F">
        <w:rPr>
          <w:rFonts w:ascii="Arial" w:hAnsi="Arial"/>
          <w:lang w:val="en-CA"/>
        </w:rPr>
        <w:t xml:space="preserve">In place of mandating Green OA (which is almost cost-free, while publishing is still being paid for worldwide via institutional subscriptions) the Finch Committee recommended paying even more for publishing, by redirecting scarce </w:t>
      </w:r>
      <w:r w:rsidR="00ED46E3" w:rsidRPr="003F601F">
        <w:rPr>
          <w:rFonts w:ascii="Arial" w:hAnsi="Arial"/>
          <w:lang w:val="en-CA"/>
        </w:rPr>
        <w:t>UK research funds to</w:t>
      </w:r>
      <w:r w:rsidRPr="003F601F">
        <w:rPr>
          <w:rFonts w:ascii="Arial" w:hAnsi="Arial"/>
          <w:lang w:val="en-CA"/>
        </w:rPr>
        <w:t xml:space="preserve"> paying for Gold OA</w:t>
      </w:r>
      <w:r w:rsidR="00826D87">
        <w:rPr>
          <w:rFonts w:ascii="Arial" w:hAnsi="Arial"/>
          <w:lang w:val="en-CA"/>
        </w:rPr>
        <w:t xml:space="preserve">, over and above </w:t>
      </w:r>
      <w:r w:rsidR="003A7576">
        <w:rPr>
          <w:rFonts w:ascii="Arial" w:hAnsi="Arial"/>
          <w:lang w:val="en-CA"/>
        </w:rPr>
        <w:t>w</w:t>
      </w:r>
      <w:r w:rsidR="00826D87">
        <w:rPr>
          <w:rFonts w:ascii="Arial" w:hAnsi="Arial"/>
          <w:lang w:val="en-CA"/>
        </w:rPr>
        <w:t>hat the UK is already paying for subscriptions</w:t>
      </w:r>
      <w:r w:rsidRPr="003F601F">
        <w:rPr>
          <w:rFonts w:ascii="Arial" w:hAnsi="Arial"/>
          <w:lang w:val="en-CA"/>
        </w:rPr>
        <w:t>.</w:t>
      </w:r>
    </w:p>
    <w:p w:rsidR="006A2DBA" w:rsidRPr="003F601F" w:rsidRDefault="00521DDE" w:rsidP="006A2DBA">
      <w:pPr>
        <w:pStyle w:val="ListParagraph"/>
        <w:numPr>
          <w:ilvl w:val="0"/>
          <w:numId w:val="1"/>
        </w:numPr>
        <w:rPr>
          <w:rFonts w:ascii="Arial" w:hAnsi="Arial"/>
          <w:lang w:val="en-CA"/>
        </w:rPr>
      </w:pPr>
      <w:r w:rsidRPr="003F601F">
        <w:rPr>
          <w:rFonts w:ascii="Arial" w:hAnsi="Arial"/>
          <w:lang w:val="en-CA"/>
        </w:rPr>
        <w:t xml:space="preserve">One can only conjecture </w:t>
      </w:r>
      <w:r w:rsidR="00747C07" w:rsidRPr="003F601F">
        <w:rPr>
          <w:rFonts w:ascii="Arial" w:hAnsi="Arial"/>
          <w:lang w:val="en-CA"/>
        </w:rPr>
        <w:t>as to</w:t>
      </w:r>
      <w:r w:rsidRPr="003F601F">
        <w:rPr>
          <w:rFonts w:ascii="Arial" w:hAnsi="Arial"/>
          <w:lang w:val="en-CA"/>
        </w:rPr>
        <w:t xml:space="preserve"> the causes underlying this </w:t>
      </w:r>
      <w:r w:rsidR="006A2DBA" w:rsidRPr="003F601F">
        <w:rPr>
          <w:rFonts w:ascii="Arial" w:hAnsi="Arial"/>
          <w:lang w:val="en-CA"/>
        </w:rPr>
        <w:t xml:space="preserve">inexplicable about-face when Green OA mandates are growing worldwide: </w:t>
      </w:r>
    </w:p>
    <w:p w:rsidR="00747C07" w:rsidRPr="003F601F" w:rsidRDefault="00747C07" w:rsidP="006A2DBA">
      <w:pPr>
        <w:pStyle w:val="ListParagraph"/>
        <w:numPr>
          <w:ilvl w:val="0"/>
          <w:numId w:val="1"/>
        </w:numPr>
        <w:rPr>
          <w:rFonts w:ascii="Arial" w:hAnsi="Arial"/>
          <w:lang w:val="en-CA"/>
        </w:rPr>
      </w:pPr>
      <w:r w:rsidRPr="003F601F">
        <w:rPr>
          <w:rFonts w:ascii="Arial" w:hAnsi="Arial"/>
          <w:lang w:val="en-CA"/>
        </w:rPr>
        <w:t>The cause may have been s</w:t>
      </w:r>
      <w:r w:rsidR="00ED46E3" w:rsidRPr="003F601F">
        <w:rPr>
          <w:rFonts w:ascii="Arial" w:hAnsi="Arial"/>
          <w:lang w:val="en-CA"/>
        </w:rPr>
        <w:t>ubscription-</w:t>
      </w:r>
      <w:r w:rsidR="006A2DBA" w:rsidRPr="003F601F">
        <w:rPr>
          <w:rFonts w:ascii="Arial" w:hAnsi="Arial"/>
          <w:lang w:val="en-CA"/>
        </w:rPr>
        <w:t xml:space="preserve">publisher lobbying </w:t>
      </w:r>
      <w:r w:rsidR="00826D87">
        <w:rPr>
          <w:rFonts w:ascii="Arial" w:hAnsi="Arial"/>
          <w:lang w:val="en-CA"/>
        </w:rPr>
        <w:t xml:space="preserve">of </w:t>
      </w:r>
      <w:r w:rsidR="001A638C" w:rsidRPr="003F601F">
        <w:rPr>
          <w:rFonts w:ascii="Arial" w:hAnsi="Arial"/>
          <w:lang w:val="en-CA"/>
        </w:rPr>
        <w:t xml:space="preserve">BIS </w:t>
      </w:r>
      <w:r w:rsidR="006A2DBA" w:rsidRPr="003F601F">
        <w:rPr>
          <w:rFonts w:ascii="Arial" w:hAnsi="Arial"/>
          <w:lang w:val="en-CA"/>
        </w:rPr>
        <w:t>against Green OA</w:t>
      </w:r>
      <w:r w:rsidRPr="003F601F">
        <w:rPr>
          <w:rFonts w:ascii="Arial" w:hAnsi="Arial"/>
          <w:lang w:val="en-CA"/>
        </w:rPr>
        <w:t xml:space="preserve"> or </w:t>
      </w:r>
      <w:r w:rsidR="00ED46E3" w:rsidRPr="003F601F">
        <w:rPr>
          <w:rFonts w:ascii="Arial" w:hAnsi="Arial"/>
          <w:lang w:val="en-CA"/>
        </w:rPr>
        <w:t>Gold-OA-</w:t>
      </w:r>
      <w:r w:rsidR="006A2DBA" w:rsidRPr="003F601F">
        <w:rPr>
          <w:rFonts w:ascii="Arial" w:hAnsi="Arial"/>
          <w:lang w:val="en-CA"/>
        </w:rPr>
        <w:t>publisher lobbying for Gold OA</w:t>
      </w:r>
      <w:r w:rsidRPr="003F601F">
        <w:rPr>
          <w:rFonts w:ascii="Arial" w:hAnsi="Arial"/>
          <w:lang w:val="en-CA"/>
        </w:rPr>
        <w:t>.</w:t>
      </w:r>
      <w:r w:rsidR="006A2DBA" w:rsidRPr="003F601F">
        <w:rPr>
          <w:rFonts w:ascii="Arial" w:hAnsi="Arial"/>
          <w:lang w:val="en-CA"/>
        </w:rPr>
        <w:t xml:space="preserve"> </w:t>
      </w:r>
    </w:p>
    <w:p w:rsidR="006A2DBA" w:rsidRPr="003F601F" w:rsidRDefault="00747C07" w:rsidP="006A2DBA">
      <w:pPr>
        <w:pStyle w:val="ListParagraph"/>
        <w:numPr>
          <w:ilvl w:val="0"/>
          <w:numId w:val="1"/>
        </w:numPr>
        <w:rPr>
          <w:rFonts w:ascii="Arial" w:hAnsi="Arial"/>
          <w:lang w:val="en-CA"/>
        </w:rPr>
      </w:pPr>
      <w:r w:rsidRPr="003F601F">
        <w:rPr>
          <w:rFonts w:ascii="Arial" w:hAnsi="Arial"/>
          <w:lang w:val="en-CA"/>
        </w:rPr>
        <w:t xml:space="preserve">There was </w:t>
      </w:r>
      <w:r w:rsidR="006A2DBA" w:rsidRPr="003F601F">
        <w:rPr>
          <w:rFonts w:ascii="Arial" w:hAnsi="Arial"/>
          <w:lang w:val="en-CA"/>
        </w:rPr>
        <w:t xml:space="preserve">perhaps </w:t>
      </w:r>
      <w:r w:rsidRPr="003F601F">
        <w:rPr>
          <w:rFonts w:ascii="Arial" w:hAnsi="Arial"/>
          <w:lang w:val="en-CA"/>
        </w:rPr>
        <w:t>also</w:t>
      </w:r>
      <w:r w:rsidR="006A2DBA" w:rsidRPr="003F601F">
        <w:rPr>
          <w:rFonts w:ascii="Arial" w:hAnsi="Arial"/>
          <w:lang w:val="en-CA"/>
        </w:rPr>
        <w:t xml:space="preserve"> some pressure from a vocal minority of OA advocates arguing </w:t>
      </w:r>
      <w:r w:rsidRPr="003F601F">
        <w:rPr>
          <w:rFonts w:ascii="Arial" w:hAnsi="Arial"/>
          <w:lang w:val="en-CA"/>
        </w:rPr>
        <w:t xml:space="preserve">that there is </w:t>
      </w:r>
      <w:r w:rsidR="001A638C" w:rsidRPr="003F601F">
        <w:rPr>
          <w:rFonts w:ascii="Arial" w:hAnsi="Arial"/>
          <w:lang w:val="en-CA"/>
        </w:rPr>
        <w:t xml:space="preserve">an urgent immediate </w:t>
      </w:r>
      <w:r w:rsidRPr="003F601F">
        <w:rPr>
          <w:rFonts w:ascii="Arial" w:hAnsi="Arial"/>
          <w:lang w:val="en-CA"/>
        </w:rPr>
        <w:t xml:space="preserve">need </w:t>
      </w:r>
      <w:r w:rsidR="006A2DBA" w:rsidRPr="003F601F">
        <w:rPr>
          <w:rFonts w:ascii="Arial" w:hAnsi="Arial"/>
          <w:lang w:val="en-CA"/>
        </w:rPr>
        <w:t xml:space="preserve">for something stronger than the free online access mandated by Green OA (the </w:t>
      </w:r>
      <w:hyperlink r:id="rId23" w:history="1">
        <w:r w:rsidR="006A2DBA" w:rsidRPr="00826D87">
          <w:rPr>
            <w:rStyle w:val="Hyperlink"/>
            <w:rFonts w:ascii="Arial" w:hAnsi="Arial"/>
            <w:lang w:val="en-CA"/>
          </w:rPr>
          <w:t>additional re-use rights</w:t>
        </w:r>
      </w:hyperlink>
      <w:r w:rsidR="006A2DBA" w:rsidRPr="003F601F">
        <w:rPr>
          <w:rFonts w:ascii="Arial" w:hAnsi="Arial"/>
          <w:lang w:val="en-CA"/>
        </w:rPr>
        <w:t xml:space="preserve"> conferred by a </w:t>
      </w:r>
      <w:hyperlink r:id="rId24" w:history="1">
        <w:r w:rsidR="006A2DBA" w:rsidRPr="00826D87">
          <w:rPr>
            <w:rStyle w:val="Hyperlink"/>
            <w:rFonts w:ascii="Arial" w:hAnsi="Arial"/>
            <w:lang w:val="en-CA"/>
          </w:rPr>
          <w:t>CC-BY license</w:t>
        </w:r>
      </w:hyperlink>
      <w:r w:rsidR="006A2DBA" w:rsidRPr="003F601F">
        <w:rPr>
          <w:rFonts w:ascii="Arial" w:hAnsi="Arial"/>
          <w:lang w:val="en-CA"/>
        </w:rPr>
        <w:t>)</w:t>
      </w:r>
      <w:r w:rsidR="00ED46E3" w:rsidRPr="003F601F">
        <w:rPr>
          <w:rFonts w:ascii="Arial" w:hAnsi="Arial"/>
          <w:lang w:val="en-CA"/>
        </w:rPr>
        <w:t xml:space="preserve"> for which it is </w:t>
      </w:r>
      <w:r w:rsidR="00826D87">
        <w:rPr>
          <w:rFonts w:ascii="Arial" w:hAnsi="Arial"/>
          <w:lang w:val="en-CA"/>
        </w:rPr>
        <w:t xml:space="preserve">claimed that it is </w:t>
      </w:r>
      <w:r w:rsidR="00ED46E3" w:rsidRPr="003F601F">
        <w:rPr>
          <w:rFonts w:ascii="Arial" w:hAnsi="Arial"/>
          <w:lang w:val="en-CA"/>
        </w:rPr>
        <w:t>worth paying Gold OA fees.</w:t>
      </w:r>
    </w:p>
    <w:p w:rsidR="00747C07" w:rsidRPr="003F601F" w:rsidRDefault="006A2DBA" w:rsidP="006A2DBA">
      <w:pPr>
        <w:pStyle w:val="ListParagraph"/>
        <w:numPr>
          <w:ilvl w:val="0"/>
          <w:numId w:val="1"/>
        </w:numPr>
        <w:rPr>
          <w:rFonts w:ascii="Arial" w:hAnsi="Arial"/>
          <w:lang w:val="en-CA"/>
        </w:rPr>
      </w:pPr>
      <w:r w:rsidRPr="003F601F">
        <w:rPr>
          <w:rFonts w:ascii="Arial" w:hAnsi="Arial"/>
          <w:lang w:val="en-CA"/>
        </w:rPr>
        <w:t>The outcome</w:t>
      </w:r>
      <w:r w:rsidR="00747C07" w:rsidRPr="003F601F">
        <w:rPr>
          <w:rFonts w:ascii="Arial" w:hAnsi="Arial"/>
          <w:lang w:val="en-CA"/>
        </w:rPr>
        <w:t xml:space="preserve"> has been </w:t>
      </w:r>
      <w:r w:rsidR="001A638C" w:rsidRPr="003F601F">
        <w:rPr>
          <w:rFonts w:ascii="Arial" w:hAnsi="Arial"/>
          <w:lang w:val="en-CA"/>
        </w:rPr>
        <w:t xml:space="preserve">significantly </w:t>
      </w:r>
      <w:r w:rsidR="00006D18" w:rsidRPr="003F601F">
        <w:rPr>
          <w:rFonts w:ascii="Arial" w:hAnsi="Arial"/>
          <w:lang w:val="en-CA"/>
        </w:rPr>
        <w:t>to</w:t>
      </w:r>
      <w:r w:rsidR="00747C07" w:rsidRPr="003F601F">
        <w:rPr>
          <w:rFonts w:ascii="Arial" w:hAnsi="Arial"/>
          <w:lang w:val="en-CA"/>
        </w:rPr>
        <w:t xml:space="preserve"> weak</w:t>
      </w:r>
      <w:r w:rsidR="00006D18" w:rsidRPr="003F601F">
        <w:rPr>
          <w:rFonts w:ascii="Arial" w:hAnsi="Arial"/>
          <w:lang w:val="en-CA"/>
        </w:rPr>
        <w:t>en instead of strengthen the</w:t>
      </w:r>
      <w:r w:rsidR="00747C07" w:rsidRPr="003F601F">
        <w:rPr>
          <w:rFonts w:ascii="Arial" w:hAnsi="Arial"/>
          <w:lang w:val="en-CA"/>
        </w:rPr>
        <w:t xml:space="preserve"> RCUK OA policy:</w:t>
      </w:r>
    </w:p>
    <w:p w:rsidR="00747C07" w:rsidRPr="003F601F" w:rsidRDefault="00ED46E3" w:rsidP="006A2DBA">
      <w:pPr>
        <w:pStyle w:val="ListParagraph"/>
        <w:numPr>
          <w:ilvl w:val="0"/>
          <w:numId w:val="1"/>
        </w:numPr>
        <w:rPr>
          <w:rFonts w:ascii="Arial" w:hAnsi="Arial"/>
          <w:lang w:val="en-CA"/>
        </w:rPr>
      </w:pPr>
      <w:r w:rsidRPr="003F601F">
        <w:rPr>
          <w:rFonts w:ascii="Arial" w:hAnsi="Arial"/>
          <w:lang w:val="en-CA"/>
        </w:rPr>
        <w:t>RC</w:t>
      </w:r>
      <w:r w:rsidR="00747C07" w:rsidRPr="003F601F">
        <w:rPr>
          <w:rFonts w:ascii="Arial" w:hAnsi="Arial"/>
          <w:lang w:val="en-CA"/>
        </w:rPr>
        <w:t xml:space="preserve">UK researchers may still choose between paying for Gold OA or providing cost-free Green OA, but RCUK expresses a preference for Gold and does not permit </w:t>
      </w:r>
      <w:r w:rsidR="001A638C" w:rsidRPr="003F601F">
        <w:rPr>
          <w:rFonts w:ascii="Arial" w:hAnsi="Arial"/>
          <w:lang w:val="en-CA"/>
        </w:rPr>
        <w:t>researchers</w:t>
      </w:r>
      <w:r w:rsidRPr="003F601F">
        <w:rPr>
          <w:rFonts w:ascii="Arial" w:hAnsi="Arial"/>
          <w:lang w:val="en-CA"/>
        </w:rPr>
        <w:t xml:space="preserve"> to choose</w:t>
      </w:r>
      <w:r w:rsidR="00747C07" w:rsidRPr="003F601F">
        <w:rPr>
          <w:rFonts w:ascii="Arial" w:hAnsi="Arial"/>
          <w:lang w:val="en-CA"/>
        </w:rPr>
        <w:t xml:space="preserve"> Green if the</w:t>
      </w:r>
      <w:r w:rsidR="001A638C" w:rsidRPr="003F601F">
        <w:rPr>
          <w:rFonts w:ascii="Arial" w:hAnsi="Arial"/>
          <w:lang w:val="en-CA"/>
        </w:rPr>
        <w:t>ir chosen</w:t>
      </w:r>
      <w:r w:rsidR="00747C07" w:rsidRPr="003F601F">
        <w:rPr>
          <w:rFonts w:ascii="Arial" w:hAnsi="Arial"/>
          <w:lang w:val="en-CA"/>
        </w:rPr>
        <w:t xml:space="preserve"> journal’s </w:t>
      </w:r>
      <w:r w:rsidR="001A638C" w:rsidRPr="003F601F">
        <w:rPr>
          <w:rFonts w:ascii="Arial" w:hAnsi="Arial"/>
          <w:lang w:val="en-CA"/>
        </w:rPr>
        <w:t xml:space="preserve">OA </w:t>
      </w:r>
      <w:r w:rsidR="00747C07" w:rsidRPr="003F601F">
        <w:rPr>
          <w:rFonts w:ascii="Arial" w:hAnsi="Arial"/>
          <w:lang w:val="en-CA"/>
        </w:rPr>
        <w:t>embargo exceeds 6-12 months.</w:t>
      </w:r>
    </w:p>
    <w:p w:rsidR="00006D18" w:rsidRPr="003F601F" w:rsidRDefault="00747C07" w:rsidP="006A2DBA">
      <w:pPr>
        <w:pStyle w:val="ListParagraph"/>
        <w:numPr>
          <w:ilvl w:val="0"/>
          <w:numId w:val="1"/>
        </w:numPr>
        <w:rPr>
          <w:rFonts w:ascii="Arial" w:hAnsi="Arial"/>
          <w:lang w:val="en-CA"/>
        </w:rPr>
      </w:pPr>
      <w:r w:rsidRPr="003F601F">
        <w:rPr>
          <w:rFonts w:ascii="Arial" w:hAnsi="Arial"/>
          <w:lang w:val="en-CA"/>
        </w:rPr>
        <w:t xml:space="preserve">This policy has the perverse consequence of giving subscription publishers </w:t>
      </w:r>
      <w:r w:rsidR="001A638C" w:rsidRPr="003F601F">
        <w:rPr>
          <w:rFonts w:ascii="Arial" w:hAnsi="Arial"/>
          <w:lang w:val="en-CA"/>
        </w:rPr>
        <w:t>a</w:t>
      </w:r>
      <w:r w:rsidRPr="003F601F">
        <w:rPr>
          <w:rFonts w:ascii="Arial" w:hAnsi="Arial"/>
          <w:lang w:val="en-CA"/>
        </w:rPr>
        <w:t xml:space="preserve"> strong incentive </w:t>
      </w:r>
      <w:r w:rsidR="001A638C" w:rsidRPr="003F601F">
        <w:rPr>
          <w:rFonts w:ascii="Arial" w:hAnsi="Arial"/>
          <w:lang w:val="en-CA"/>
        </w:rPr>
        <w:t xml:space="preserve">(1) </w:t>
      </w:r>
      <w:r w:rsidRPr="003F601F">
        <w:rPr>
          <w:rFonts w:ascii="Arial" w:hAnsi="Arial"/>
          <w:lang w:val="en-CA"/>
        </w:rPr>
        <w:t xml:space="preserve">to add a hybrid Gold option just in order to collect the extra UK revenue, and </w:t>
      </w:r>
      <w:r w:rsidR="001A638C" w:rsidRPr="003F601F">
        <w:rPr>
          <w:rFonts w:ascii="Arial" w:hAnsi="Arial"/>
          <w:lang w:val="en-CA"/>
        </w:rPr>
        <w:t xml:space="preserve">(2) </w:t>
      </w:r>
      <w:r w:rsidRPr="003F601F">
        <w:rPr>
          <w:rFonts w:ascii="Arial" w:hAnsi="Arial"/>
          <w:lang w:val="en-CA"/>
        </w:rPr>
        <w:t xml:space="preserve">to adopt and extend Green OA embargoes beyond the UK’s allowable </w:t>
      </w:r>
      <w:r w:rsidR="00006D18" w:rsidRPr="003F601F">
        <w:rPr>
          <w:rFonts w:ascii="Arial" w:hAnsi="Arial"/>
          <w:lang w:val="en-CA"/>
        </w:rPr>
        <w:t xml:space="preserve">6-12 months, to make sure </w:t>
      </w:r>
      <w:r w:rsidR="001A638C" w:rsidRPr="003F601F">
        <w:rPr>
          <w:rFonts w:ascii="Arial" w:hAnsi="Arial"/>
          <w:lang w:val="en-CA"/>
        </w:rPr>
        <w:t xml:space="preserve">that </w:t>
      </w:r>
      <w:r w:rsidR="00006D18" w:rsidRPr="003F601F">
        <w:rPr>
          <w:rFonts w:ascii="Arial" w:hAnsi="Arial"/>
          <w:lang w:val="en-CA"/>
        </w:rPr>
        <w:t>UK researchers must choose the paid Gold option rather than the cost-free Green one.</w:t>
      </w:r>
    </w:p>
    <w:p w:rsidR="00006D18" w:rsidRPr="003F601F" w:rsidRDefault="00006D18" w:rsidP="006A2DBA">
      <w:pPr>
        <w:pStyle w:val="ListParagraph"/>
        <w:numPr>
          <w:ilvl w:val="0"/>
          <w:numId w:val="1"/>
        </w:numPr>
        <w:rPr>
          <w:rFonts w:ascii="Arial" w:hAnsi="Arial"/>
          <w:lang w:val="en-CA"/>
        </w:rPr>
      </w:pPr>
      <w:r w:rsidRPr="003F601F">
        <w:rPr>
          <w:rFonts w:ascii="Arial" w:hAnsi="Arial"/>
          <w:lang w:val="en-CA"/>
        </w:rPr>
        <w:t>The rest of the world cannot, need not, and will not follow suit with this perverse</w:t>
      </w:r>
      <w:r w:rsidR="001A638C" w:rsidRPr="003F601F">
        <w:rPr>
          <w:rFonts w:ascii="Arial" w:hAnsi="Arial"/>
          <w:lang w:val="en-CA"/>
        </w:rPr>
        <w:t>, needless</w:t>
      </w:r>
      <w:r w:rsidRPr="003F601F">
        <w:rPr>
          <w:rFonts w:ascii="Arial" w:hAnsi="Arial"/>
          <w:lang w:val="en-CA"/>
        </w:rPr>
        <w:t xml:space="preserve"> and profligate UK policy.</w:t>
      </w:r>
    </w:p>
    <w:p w:rsidR="003F601F" w:rsidRPr="003F601F" w:rsidRDefault="00006D18" w:rsidP="003F601F">
      <w:pPr>
        <w:pStyle w:val="ListParagraph"/>
        <w:numPr>
          <w:ilvl w:val="0"/>
          <w:numId w:val="1"/>
        </w:numPr>
        <w:rPr>
          <w:rFonts w:ascii="Arial" w:hAnsi="Arial"/>
          <w:lang w:val="en-CA"/>
        </w:rPr>
      </w:pPr>
      <w:r w:rsidRPr="003F601F">
        <w:rPr>
          <w:rFonts w:ascii="Arial" w:hAnsi="Arial"/>
          <w:lang w:val="en-CA"/>
        </w:rPr>
        <w:t>In Europe, the Americas and Asia, low-cost Green OA mandates will continue to grow, while the UK loses its leadership role in worldwide OA, needlessly squandering increasingly scarce research funds in order to pay publishers even more in order to make UK research output (and UK research output alone) OA, while the rest of the world makes its research output OA at next to no extra cost.</w:t>
      </w:r>
    </w:p>
    <w:p w:rsidR="001A638C" w:rsidRPr="003F601F" w:rsidRDefault="00ED46E3" w:rsidP="003F601F">
      <w:pPr>
        <w:rPr>
          <w:rFonts w:ascii="Arial" w:hAnsi="Arial"/>
          <w:lang w:val="en-CA"/>
        </w:rPr>
      </w:pPr>
      <w:r w:rsidRPr="003F601F">
        <w:rPr>
          <w:rFonts w:ascii="Arial" w:hAnsi="Arial"/>
          <w:lang w:val="en-CA"/>
        </w:rPr>
        <w:t xml:space="preserve">The Australian economist, John Houghton, has analyzed OA policy in country after country. The House of Lords Select Committee is urged to look at </w:t>
      </w:r>
      <w:r w:rsidR="001A638C" w:rsidRPr="003F601F">
        <w:rPr>
          <w:rFonts w:ascii="Arial" w:hAnsi="Arial"/>
          <w:lang w:val="en-CA"/>
        </w:rPr>
        <w:t xml:space="preserve">the </w:t>
      </w:r>
      <w:r w:rsidRPr="003F601F">
        <w:rPr>
          <w:rFonts w:ascii="Arial" w:hAnsi="Arial"/>
          <w:lang w:val="en-CA"/>
        </w:rPr>
        <w:t>outcome</w:t>
      </w:r>
      <w:r w:rsidR="001A638C" w:rsidRPr="003F601F">
        <w:rPr>
          <w:rFonts w:ascii="Arial" w:hAnsi="Arial"/>
          <w:lang w:val="en-CA"/>
        </w:rPr>
        <w:t xml:space="preserve"> of these analyses</w:t>
      </w:r>
      <w:r w:rsidRPr="003F601F">
        <w:rPr>
          <w:rFonts w:ascii="Arial" w:hAnsi="Arial"/>
          <w:lang w:val="en-CA"/>
        </w:rPr>
        <w:t>, which is that it is far cheaper to mandate Green OA first, rather than to pay pre-emptively for Gold</w:t>
      </w:r>
      <w:r w:rsidR="001A638C" w:rsidRPr="003F601F">
        <w:rPr>
          <w:rFonts w:ascii="Arial" w:hAnsi="Arial"/>
          <w:lang w:val="en-CA"/>
        </w:rPr>
        <w:t xml:space="preserve"> unilaterally</w:t>
      </w:r>
      <w:r w:rsidRPr="003F601F">
        <w:rPr>
          <w:rFonts w:ascii="Arial" w:hAnsi="Arial"/>
          <w:lang w:val="en-CA"/>
        </w:rPr>
        <w:t>. That not only provides OA, but it paves the way to affordable, sustainable Gold OA.</w:t>
      </w:r>
    </w:p>
    <w:p w:rsidR="00FA0614" w:rsidRPr="003F601F" w:rsidRDefault="001A638C" w:rsidP="003F601F">
      <w:pPr>
        <w:ind w:left="720"/>
        <w:rPr>
          <w:rFonts w:ascii="Arial" w:hAnsi="Arial"/>
          <w:sz w:val="22"/>
          <w:lang w:val="en-CA"/>
        </w:rPr>
      </w:pPr>
      <w:r w:rsidRPr="003F601F">
        <w:rPr>
          <w:rFonts w:ascii="Arial" w:hAnsi="Arial"/>
          <w:sz w:val="22"/>
          <w:lang w:val="en-CA"/>
        </w:rPr>
        <w:t>Houghton, J. &amp; Swan, A. (2013</w:t>
      </w:r>
      <w:hyperlink r:id="rId25" w:history="1">
        <w:r w:rsidRPr="003F601F">
          <w:rPr>
            <w:rStyle w:val="Hyperlink"/>
            <w:rFonts w:ascii="Arial" w:hAnsi="Arial"/>
            <w:sz w:val="22"/>
            <w:lang w:val="en-CA"/>
          </w:rPr>
          <w:t>) Planting the Green Seeds for a Golden Harvest: Comments and Clarifications on "Going for Gold"</w:t>
        </w:r>
      </w:hyperlink>
      <w:r w:rsidRPr="003F601F">
        <w:rPr>
          <w:rFonts w:ascii="Arial" w:hAnsi="Arial"/>
          <w:sz w:val="22"/>
          <w:lang w:val="en-CA"/>
        </w:rPr>
        <w:t xml:space="preserve"> </w:t>
      </w:r>
      <w:r w:rsidRPr="003F601F">
        <w:rPr>
          <w:rFonts w:ascii="Arial" w:hAnsi="Arial"/>
          <w:i/>
          <w:sz w:val="22"/>
          <w:lang w:val="en-CA"/>
        </w:rPr>
        <w:t>D-Lib Magazine</w:t>
      </w:r>
      <w:r w:rsidRPr="003F601F">
        <w:rPr>
          <w:rFonts w:ascii="Arial" w:hAnsi="Arial"/>
          <w:sz w:val="22"/>
          <w:lang w:val="en-CA"/>
        </w:rPr>
        <w:t xml:space="preserve"> Volume 19, Number 1/2 </w:t>
      </w:r>
      <w:hyperlink r:id="rId26" w:history="1">
        <w:r w:rsidRPr="003F601F">
          <w:rPr>
            <w:rStyle w:val="Hyperlink"/>
            <w:rFonts w:ascii="Arial" w:hAnsi="Arial"/>
            <w:sz w:val="22"/>
            <w:lang w:val="en-CA"/>
          </w:rPr>
          <w:t>http://www.dlib.org/dlib/january13/houghton/01houghton.html</w:t>
        </w:r>
      </w:hyperlink>
      <w:r w:rsidRPr="003F601F">
        <w:rPr>
          <w:rFonts w:ascii="Arial" w:hAnsi="Arial"/>
          <w:sz w:val="22"/>
          <w:lang w:val="en-CA"/>
        </w:rPr>
        <w:t xml:space="preserve"> </w:t>
      </w:r>
    </w:p>
    <w:p w:rsidR="00E7425E" w:rsidRDefault="003F601F" w:rsidP="003F601F">
      <w:pPr>
        <w:rPr>
          <w:rFonts w:ascii="Arial" w:hAnsi="Arial"/>
          <w:lang w:val="en-CA"/>
        </w:rPr>
      </w:pPr>
      <w:r w:rsidRPr="003F601F">
        <w:rPr>
          <w:rFonts w:ascii="Arial" w:hAnsi="Arial"/>
          <w:b/>
          <w:lang w:val="en-CA"/>
        </w:rPr>
        <w:t>Conclusion:</w:t>
      </w:r>
      <w:r w:rsidRPr="003F601F">
        <w:rPr>
          <w:rFonts w:ascii="Arial" w:hAnsi="Arial"/>
          <w:lang w:val="en-CA"/>
        </w:rPr>
        <w:t xml:space="preserve"> RCUK OA policy should adopt </w:t>
      </w:r>
      <w:hyperlink r:id="rId27" w:history="1">
        <w:r w:rsidRPr="003F601F">
          <w:rPr>
            <w:rStyle w:val="Hyperlink"/>
            <w:rFonts w:ascii="Arial" w:hAnsi="Arial"/>
            <w:lang w:val="en-CA"/>
          </w:rPr>
          <w:t>a few practical upgrades</w:t>
        </w:r>
      </w:hyperlink>
      <w:r w:rsidRPr="003F601F">
        <w:rPr>
          <w:rFonts w:ascii="Arial" w:hAnsi="Arial"/>
          <w:lang w:val="en-CA"/>
        </w:rPr>
        <w:t xml:space="preserve"> (such as upgraded Green OA compliance mechanisms and fuller integration of institutional and funder Green OA mandates) instead of following the Finch Committee’s recommendations to require and subsidise Gold OA.</w:t>
      </w:r>
    </w:p>
    <w:p w:rsidR="003F601F" w:rsidRPr="00E7425E" w:rsidRDefault="00E7425E" w:rsidP="00E7425E">
      <w:pPr>
        <w:ind w:left="720"/>
        <w:rPr>
          <w:rFonts w:ascii="Arial" w:hAnsi="Arial"/>
          <w:b/>
          <w:lang w:val="en-CA"/>
        </w:rPr>
      </w:pPr>
      <w:r w:rsidRPr="00E7425E">
        <w:rPr>
          <w:rFonts w:ascii="Arial" w:hAnsi="Arial"/>
          <w:b/>
          <w:lang w:val="en-CA"/>
        </w:rPr>
        <w:t>Appendix:</w:t>
      </w:r>
    </w:p>
    <w:p w:rsidR="003F601F" w:rsidRPr="00E7425E" w:rsidRDefault="003F601F" w:rsidP="00E7425E">
      <w:pPr>
        <w:ind w:left="1440"/>
        <w:rPr>
          <w:rFonts w:ascii="Arial" w:hAnsi="Arial"/>
          <w:b/>
          <w:i/>
          <w:lang w:val="en-CA"/>
        </w:rPr>
      </w:pPr>
      <w:r w:rsidRPr="00E7425E">
        <w:rPr>
          <w:rFonts w:ascii="Arial" w:hAnsi="Arial"/>
          <w:b/>
          <w:i/>
          <w:lang w:val="en-CA"/>
        </w:rPr>
        <w:t xml:space="preserve">support for Universities in the form of funds to cover article processing charges, and the response of universities and other </w:t>
      </w:r>
      <w:proofErr w:type="spellStart"/>
      <w:r w:rsidRPr="00E7425E">
        <w:rPr>
          <w:rFonts w:ascii="Arial" w:hAnsi="Arial"/>
          <w:b/>
          <w:i/>
          <w:lang w:val="en-CA"/>
        </w:rPr>
        <w:t>HEIs</w:t>
      </w:r>
      <w:proofErr w:type="spellEnd"/>
      <w:r w:rsidRPr="00E7425E">
        <w:rPr>
          <w:rFonts w:ascii="Arial" w:hAnsi="Arial"/>
          <w:b/>
          <w:i/>
          <w:lang w:val="en-CA"/>
        </w:rPr>
        <w:t xml:space="preserve"> to these efforts</w:t>
      </w:r>
    </w:p>
    <w:p w:rsidR="003F601F" w:rsidRPr="003F601F" w:rsidRDefault="00C00AFE" w:rsidP="00E7425E">
      <w:pPr>
        <w:ind w:left="720"/>
        <w:rPr>
          <w:rFonts w:ascii="Arial" w:hAnsi="Arial"/>
          <w:lang w:val="en-CA"/>
        </w:rPr>
      </w:pPr>
      <w:r>
        <w:rPr>
          <w:rFonts w:ascii="Arial" w:hAnsi="Arial"/>
          <w:lang w:val="en-CA"/>
        </w:rPr>
        <w:t>If there are UK funds to spare to subsidise Gold OA, fine, make them available, but mandate (require) Green OA self-archiving in all cases (ID/OA) and do not require researchers to choose a Gold OA journal unless they wish to.</w:t>
      </w:r>
    </w:p>
    <w:p w:rsidR="00C00AFE" w:rsidRPr="00E7425E" w:rsidRDefault="003F601F" w:rsidP="00E7425E">
      <w:pPr>
        <w:ind w:left="1440"/>
        <w:rPr>
          <w:rFonts w:ascii="Arial" w:hAnsi="Arial"/>
          <w:b/>
          <w:i/>
          <w:lang w:val="en-CA"/>
        </w:rPr>
      </w:pPr>
      <w:r w:rsidRPr="00E7425E">
        <w:rPr>
          <w:rFonts w:ascii="Arial" w:hAnsi="Arial"/>
          <w:b/>
          <w:i/>
          <w:lang w:val="en-CA"/>
        </w:rPr>
        <w:t>embargo periods for articles published under the green model</w:t>
      </w:r>
    </w:p>
    <w:p w:rsidR="003F601F" w:rsidRPr="00C00AFE" w:rsidRDefault="00C00AFE" w:rsidP="00E7425E">
      <w:pPr>
        <w:ind w:left="720"/>
        <w:rPr>
          <w:rFonts w:ascii="Arial" w:hAnsi="Arial"/>
          <w:lang w:val="en-CA"/>
        </w:rPr>
      </w:pPr>
      <w:r>
        <w:rPr>
          <w:rFonts w:ascii="Arial" w:hAnsi="Arial"/>
          <w:lang w:val="en-CA"/>
        </w:rPr>
        <w:t>The shorter the better, but always require immediate deposit (ID/OA) in the author’s institutional repository, even for embargoed articles, and implement the “Almost OA” Button during the embargo.</w:t>
      </w:r>
    </w:p>
    <w:p w:rsidR="00C00AFE" w:rsidRPr="00E7425E" w:rsidRDefault="003F601F" w:rsidP="00E7425E">
      <w:pPr>
        <w:ind w:left="1440"/>
        <w:rPr>
          <w:rFonts w:ascii="Arial" w:hAnsi="Arial"/>
          <w:b/>
          <w:i/>
          <w:lang w:val="en-CA"/>
        </w:rPr>
      </w:pPr>
      <w:r w:rsidRPr="00E7425E">
        <w:rPr>
          <w:rFonts w:ascii="Arial" w:hAnsi="Arial"/>
          <w:b/>
          <w:i/>
          <w:lang w:val="en-CA"/>
        </w:rPr>
        <w:t>engagement with publishers, universities, learned societies and other stakeholders in the development of research council open access policies and guidance</w:t>
      </w:r>
    </w:p>
    <w:p w:rsidR="00C00AFE" w:rsidRDefault="00C00AFE" w:rsidP="00E7425E">
      <w:pPr>
        <w:ind w:left="720"/>
        <w:rPr>
          <w:rFonts w:ascii="Arial" w:hAnsi="Arial"/>
          <w:lang w:val="en-CA"/>
        </w:rPr>
      </w:pPr>
      <w:r>
        <w:rPr>
          <w:rFonts w:ascii="Arial" w:hAnsi="Arial"/>
          <w:lang w:val="en-CA"/>
        </w:rPr>
        <w:t>Publishers should endorse immediate Green OA, but ID/OA mandates are compatible with embargoes.</w:t>
      </w:r>
    </w:p>
    <w:p w:rsidR="00C00AFE" w:rsidRDefault="00C00AFE" w:rsidP="00E7425E">
      <w:pPr>
        <w:ind w:left="720"/>
        <w:rPr>
          <w:rFonts w:ascii="Arial" w:hAnsi="Arial"/>
          <w:lang w:val="en-CA"/>
        </w:rPr>
      </w:pPr>
      <w:r>
        <w:rPr>
          <w:rFonts w:ascii="Arial" w:hAnsi="Arial"/>
          <w:lang w:val="en-CA"/>
        </w:rPr>
        <w:t>Universities should mandate Green OA too; funder and university mandates should be convergent, requiring deposit in the institutional repository, with the institution monitoring and ensuring compliance. Deposits or their metadata can then be harvested to any desired central repositories. Repository deposit should be designated the sole mechanism for submitting publications for institutional performance review o</w:t>
      </w:r>
      <w:r w:rsidR="008F018C">
        <w:rPr>
          <w:rFonts w:ascii="Arial" w:hAnsi="Arial"/>
          <w:lang w:val="en-CA"/>
        </w:rPr>
        <w:t>r</w:t>
      </w:r>
      <w:r>
        <w:rPr>
          <w:rFonts w:ascii="Arial" w:hAnsi="Arial"/>
          <w:lang w:val="en-CA"/>
        </w:rPr>
        <w:t xml:space="preserve"> national research assessment.</w:t>
      </w:r>
    </w:p>
    <w:p w:rsidR="003F601F" w:rsidRPr="00C00AFE" w:rsidRDefault="00C00AFE" w:rsidP="00E7425E">
      <w:pPr>
        <w:ind w:left="720"/>
        <w:rPr>
          <w:rFonts w:ascii="Arial" w:hAnsi="Arial"/>
          <w:i/>
          <w:lang w:val="en-CA"/>
        </w:rPr>
      </w:pPr>
      <w:r>
        <w:rPr>
          <w:rFonts w:ascii="Arial" w:hAnsi="Arial"/>
          <w:lang w:val="en-CA"/>
        </w:rPr>
        <w:t>Learned Society publishers, like all publishers, should endorse immediate Green OA, but ID/OA mandates are compatible with embargoes. If and when universally mandated Green OA makes subscription publishing unsustainable, publishers can convert to Gold OA and institutions can pay for it out of the windfall subscription cancelation savings freed by the Green-OA-induced cancelations.</w:t>
      </w:r>
    </w:p>
    <w:p w:rsidR="00E7425E" w:rsidRPr="00E7425E" w:rsidRDefault="003F601F" w:rsidP="00E7425E">
      <w:pPr>
        <w:ind w:left="1440"/>
        <w:rPr>
          <w:rFonts w:ascii="Arial" w:hAnsi="Arial"/>
          <w:b/>
          <w:i/>
          <w:lang w:val="en-CA"/>
        </w:rPr>
      </w:pPr>
      <w:r w:rsidRPr="00E7425E">
        <w:rPr>
          <w:rFonts w:ascii="Arial" w:hAnsi="Arial"/>
          <w:b/>
          <w:i/>
          <w:lang w:val="en-CA"/>
        </w:rPr>
        <w:t>challenges and concerns raised by the scientific and publishing communities, and how these have been addressed.</w:t>
      </w:r>
    </w:p>
    <w:p w:rsidR="00E7425E" w:rsidRDefault="00E7425E" w:rsidP="00E7425E">
      <w:pPr>
        <w:ind w:left="720"/>
        <w:rPr>
          <w:rFonts w:ascii="Arial" w:hAnsi="Arial"/>
          <w:lang w:val="en-CA"/>
        </w:rPr>
      </w:pPr>
      <w:r>
        <w:rPr>
          <w:rFonts w:ascii="Arial" w:hAnsi="Arial"/>
          <w:lang w:val="en-CA"/>
        </w:rPr>
        <w:t>The UK scientific community has rightly expressed concern about not being allowed to publish in their journal of choice, and about having to pay for Gold OA. The solution is to mandate Green OA and not to require Gold OA except if the author wishes it.</w:t>
      </w:r>
    </w:p>
    <w:p w:rsidR="003F601F" w:rsidRPr="00E7425E" w:rsidRDefault="00E7425E" w:rsidP="00E7425E">
      <w:pPr>
        <w:ind w:left="720"/>
        <w:rPr>
          <w:rFonts w:ascii="Arial" w:hAnsi="Arial"/>
          <w:lang w:val="en-CA"/>
        </w:rPr>
      </w:pPr>
      <w:r>
        <w:rPr>
          <w:rFonts w:ascii="Arial" w:hAnsi="Arial"/>
          <w:lang w:val="en-CA"/>
        </w:rPr>
        <w:t>The UK subscription publishing community is being paid in full for publication, via worldwide subscriptions. If and when universally mandated Green OA makes subscription publishing unsustainable, publishers can convert to Gold OA and institutions can pay for it out of the windfall subscription cancelation savings freed by the Green-OA-induced cancelations.</w:t>
      </w:r>
    </w:p>
    <w:p w:rsidR="00E7425E" w:rsidRPr="00E7425E" w:rsidRDefault="003F601F" w:rsidP="00E7425E">
      <w:pPr>
        <w:ind w:left="1440"/>
        <w:rPr>
          <w:rFonts w:ascii="Arial" w:hAnsi="Arial"/>
          <w:b/>
          <w:i/>
          <w:lang w:val="en-CA"/>
        </w:rPr>
      </w:pPr>
      <w:r w:rsidRPr="00E7425E">
        <w:rPr>
          <w:rFonts w:ascii="Arial" w:hAnsi="Arial"/>
          <w:b/>
          <w:i/>
          <w:lang w:val="en-CA"/>
        </w:rPr>
        <w:t>international issues</w:t>
      </w:r>
    </w:p>
    <w:p w:rsidR="003F601F" w:rsidRPr="00E7425E" w:rsidRDefault="00E7425E" w:rsidP="00E7425E">
      <w:pPr>
        <w:ind w:left="720"/>
        <w:rPr>
          <w:rFonts w:ascii="Arial" w:hAnsi="Arial"/>
          <w:lang w:val="en-CA"/>
        </w:rPr>
      </w:pPr>
      <w:r>
        <w:rPr>
          <w:rFonts w:ascii="Arial" w:hAnsi="Arial"/>
          <w:lang w:val="en-CA"/>
        </w:rPr>
        <w:t>The rest of the world need not, cannot, and will not follow the Finch Committee’s recommendation to pay pre-emptively for Gold instead of mandating Green OA. It would be best if the UK returned to the direction it set in 2004, otherwise it is simply using UK research funds to provide (Gold) OA for the UK and the world at a much higher cost than necessary, and at the cost of inducing perverse effects in publishers (such as subscription publishers offering hybrid Gold in order to attract double payment for UK’s Gold subsidy, and adopting and increasing OA embargoes in order to ensure that UK researchers must pay extra for Gold OA).</w:t>
      </w:r>
    </w:p>
    <w:p w:rsidR="007858D4" w:rsidRPr="003F601F" w:rsidRDefault="007858D4" w:rsidP="00E7425E">
      <w:pPr>
        <w:ind w:left="1440"/>
        <w:rPr>
          <w:rFonts w:ascii="Arial" w:hAnsi="Arial"/>
          <w:lang w:val="en-CA"/>
        </w:rPr>
      </w:pPr>
    </w:p>
    <w:p w:rsidR="00B566F0" w:rsidRPr="003F601F" w:rsidRDefault="00B566F0" w:rsidP="007858D4">
      <w:pPr>
        <w:rPr>
          <w:rFonts w:ascii="Arial" w:hAnsi="Arial"/>
          <w:lang w:val="en-CA"/>
        </w:rPr>
      </w:pPr>
    </w:p>
    <w:p w:rsidR="00B566F0" w:rsidRPr="003F601F" w:rsidRDefault="00B566F0" w:rsidP="007858D4">
      <w:pPr>
        <w:rPr>
          <w:rFonts w:ascii="Arial" w:hAnsi="Arial"/>
          <w:lang w:val="en-CA"/>
        </w:rPr>
      </w:pPr>
      <w:r w:rsidRPr="003F601F">
        <w:rPr>
          <w:rFonts w:ascii="Arial" w:hAnsi="Arial"/>
          <w:noProof/>
        </w:rPr>
        <w:drawing>
          <wp:inline distT="0" distB="0" distL="0" distR="0">
            <wp:extent cx="5486400" cy="4185920"/>
            <wp:effectExtent l="25400" t="0" r="0" b="0"/>
            <wp:docPr id="3" name="Picture 2" descr="UKGreenGol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GreenGold.bmp"/>
                    <pic:cNvPicPr/>
                  </pic:nvPicPr>
                  <pic:blipFill>
                    <a:blip r:embed="rId28"/>
                    <a:stretch>
                      <a:fillRect/>
                    </a:stretch>
                  </pic:blipFill>
                  <pic:spPr>
                    <a:xfrm>
                      <a:off x="0" y="0"/>
                      <a:ext cx="5486400" cy="4185920"/>
                    </a:xfrm>
                    <a:prstGeom prst="rect">
                      <a:avLst/>
                    </a:prstGeom>
                  </pic:spPr>
                </pic:pic>
              </a:graphicData>
            </a:graphic>
          </wp:inline>
        </w:drawing>
      </w:r>
    </w:p>
    <w:p w:rsidR="00B566F0" w:rsidRPr="003F601F" w:rsidRDefault="00B566F0" w:rsidP="007858D4">
      <w:pPr>
        <w:rPr>
          <w:rFonts w:ascii="Arial" w:hAnsi="Arial" w:cs="Helvetica"/>
          <w:szCs w:val="26"/>
        </w:rPr>
      </w:pPr>
      <w:r w:rsidRPr="003F601F">
        <w:rPr>
          <w:rFonts w:ascii="Arial" w:hAnsi="Arial"/>
          <w:b/>
          <w:lang w:val="en-CA"/>
        </w:rPr>
        <w:t>Figure 1</w:t>
      </w:r>
      <w:r w:rsidRPr="003F601F">
        <w:rPr>
          <w:rFonts w:ascii="Arial" w:hAnsi="Arial"/>
          <w:lang w:val="en-CA"/>
        </w:rPr>
        <w:t xml:space="preserve">. The percentage of Green and Gold OA in the UK (2007-2011, Web of Science). Note that most OA is Green OA. From: </w:t>
      </w:r>
      <w:proofErr w:type="spellStart"/>
      <w:r w:rsidRPr="003F601F">
        <w:rPr>
          <w:rFonts w:ascii="Arial" w:hAnsi="Arial" w:cs="Helvetica"/>
          <w:szCs w:val="26"/>
        </w:rPr>
        <w:t>Gargouri</w:t>
      </w:r>
      <w:proofErr w:type="spellEnd"/>
      <w:r w:rsidRPr="003F601F">
        <w:rPr>
          <w:rFonts w:ascii="Arial" w:hAnsi="Arial" w:cs="Helvetica"/>
          <w:szCs w:val="26"/>
        </w:rPr>
        <w:t>, Y, </w:t>
      </w:r>
      <w:proofErr w:type="spellStart"/>
      <w:r w:rsidRPr="003F601F">
        <w:rPr>
          <w:rFonts w:ascii="Arial" w:hAnsi="Arial" w:cs="Helvetica"/>
          <w:szCs w:val="26"/>
        </w:rPr>
        <w:t>Lariviere</w:t>
      </w:r>
      <w:proofErr w:type="spellEnd"/>
      <w:r w:rsidRPr="003F601F">
        <w:rPr>
          <w:rFonts w:ascii="Arial" w:hAnsi="Arial" w:cs="Helvetica"/>
          <w:szCs w:val="26"/>
        </w:rPr>
        <w:t>, V, </w:t>
      </w:r>
      <w:proofErr w:type="spellStart"/>
      <w:r w:rsidRPr="003F601F">
        <w:rPr>
          <w:rFonts w:ascii="Arial" w:hAnsi="Arial" w:cs="Helvetica"/>
          <w:szCs w:val="26"/>
        </w:rPr>
        <w:t>Gingras</w:t>
      </w:r>
      <w:proofErr w:type="spellEnd"/>
      <w:r w:rsidRPr="003F601F">
        <w:rPr>
          <w:rFonts w:ascii="Arial" w:hAnsi="Arial" w:cs="Helvetica"/>
          <w:szCs w:val="26"/>
        </w:rPr>
        <w:t>, Y, Carr, L and </w:t>
      </w:r>
      <w:proofErr w:type="spellStart"/>
      <w:r w:rsidRPr="003F601F">
        <w:rPr>
          <w:rFonts w:ascii="Arial" w:hAnsi="Arial" w:cs="Helvetica"/>
          <w:szCs w:val="26"/>
        </w:rPr>
        <w:t>Harnad</w:t>
      </w:r>
      <w:proofErr w:type="spellEnd"/>
      <w:r w:rsidRPr="003F601F">
        <w:rPr>
          <w:rFonts w:ascii="Arial" w:hAnsi="Arial" w:cs="Helvetica"/>
          <w:szCs w:val="26"/>
        </w:rPr>
        <w:t>, S (2012b) </w:t>
      </w:r>
      <w:hyperlink r:id="rId29" w:history="1">
        <w:r w:rsidRPr="003F601F">
          <w:rPr>
            <w:rFonts w:ascii="Arial" w:hAnsi="Arial" w:cs="Helvetica"/>
            <w:color w:val="386EFF"/>
            <w:szCs w:val="26"/>
            <w:u w:val="single" w:color="386EFF"/>
          </w:rPr>
          <w:t>Green and Gold Open Access percentages and growth</w:t>
        </w:r>
      </w:hyperlink>
      <w:r w:rsidRPr="003F601F">
        <w:rPr>
          <w:rFonts w:ascii="Arial" w:hAnsi="Arial" w:cs="Helvetica"/>
          <w:szCs w:val="26"/>
        </w:rPr>
        <w:t>, by discipline. In: </w:t>
      </w:r>
      <w:r w:rsidRPr="003F601F">
        <w:rPr>
          <w:rFonts w:ascii="Arial" w:hAnsi="Arial" w:cs="Helvetica"/>
          <w:i/>
          <w:iCs/>
          <w:szCs w:val="26"/>
        </w:rPr>
        <w:t>17th International Conference on Science and Technology Indicators (STI), Montreal, CA,</w:t>
      </w:r>
      <w:r w:rsidRPr="003F601F">
        <w:rPr>
          <w:rFonts w:ascii="Arial" w:hAnsi="Arial" w:cs="Helvetica"/>
          <w:szCs w:val="26"/>
        </w:rPr>
        <w:t> </w:t>
      </w:r>
      <w:r w:rsidRPr="003F601F">
        <w:rPr>
          <w:rFonts w:ascii="Arial" w:hAnsi="Arial" w:cs="Helvetica"/>
          <w:i/>
          <w:iCs/>
          <w:szCs w:val="26"/>
        </w:rPr>
        <w:t>05 - 08 Sep 2012.</w:t>
      </w:r>
      <w:r w:rsidRPr="003F601F">
        <w:rPr>
          <w:rFonts w:ascii="Arial" w:hAnsi="Arial" w:cs="Helvetica"/>
          <w:szCs w:val="26"/>
        </w:rPr>
        <w:t> 11pp. </w:t>
      </w:r>
      <w:hyperlink r:id="rId30" w:history="1">
        <w:r w:rsidRPr="003F601F">
          <w:rPr>
            <w:rFonts w:ascii="Arial" w:hAnsi="Arial" w:cs="Helvetica"/>
            <w:color w:val="386EFF"/>
            <w:u w:val="single" w:color="386EFF"/>
          </w:rPr>
          <w:t>http://eprints.soton.ac.uk/340294/</w:t>
        </w:r>
      </w:hyperlink>
    </w:p>
    <w:p w:rsidR="00B566F0" w:rsidRPr="003F601F" w:rsidRDefault="00B566F0" w:rsidP="007858D4">
      <w:pPr>
        <w:rPr>
          <w:rFonts w:ascii="Arial" w:hAnsi="Arial"/>
          <w:lang w:val="en-CA"/>
        </w:rPr>
      </w:pPr>
    </w:p>
    <w:p w:rsidR="00B566F0" w:rsidRPr="003F601F" w:rsidRDefault="00B566F0" w:rsidP="007858D4">
      <w:pPr>
        <w:rPr>
          <w:rFonts w:ascii="Arial" w:hAnsi="Arial"/>
          <w:lang w:val="en-CA"/>
        </w:rPr>
      </w:pPr>
      <w:r w:rsidRPr="003F601F">
        <w:rPr>
          <w:rFonts w:ascii="Arial" w:hAnsi="Arial"/>
          <w:noProof/>
        </w:rPr>
        <w:drawing>
          <wp:inline distT="0" distB="0" distL="0" distR="0">
            <wp:extent cx="5486400" cy="2951480"/>
            <wp:effectExtent l="25400" t="0" r="0" b="0"/>
            <wp:docPr id="4" name="Picture 3" descr="MandNonMan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dNonMand.bmp"/>
                    <pic:cNvPicPr/>
                  </pic:nvPicPr>
                  <pic:blipFill>
                    <a:blip r:embed="rId31"/>
                    <a:stretch>
                      <a:fillRect/>
                    </a:stretch>
                  </pic:blipFill>
                  <pic:spPr>
                    <a:xfrm>
                      <a:off x="0" y="0"/>
                      <a:ext cx="5486400" cy="2951480"/>
                    </a:xfrm>
                    <a:prstGeom prst="rect">
                      <a:avLst/>
                    </a:prstGeom>
                  </pic:spPr>
                </pic:pic>
              </a:graphicData>
            </a:graphic>
          </wp:inline>
        </w:drawing>
      </w:r>
    </w:p>
    <w:p w:rsidR="00B566F0" w:rsidRPr="003F601F" w:rsidRDefault="00B566F0" w:rsidP="007858D4">
      <w:pPr>
        <w:rPr>
          <w:rFonts w:ascii="Arial" w:hAnsi="Arial"/>
          <w:lang w:val="en-CA"/>
        </w:rPr>
      </w:pPr>
    </w:p>
    <w:p w:rsidR="00B566F0" w:rsidRPr="003F601F" w:rsidRDefault="00B566F0" w:rsidP="00B566F0">
      <w:pPr>
        <w:widowControl w:val="0"/>
        <w:autoSpaceDE w:val="0"/>
        <w:autoSpaceDN w:val="0"/>
        <w:adjustRightInd w:val="0"/>
        <w:spacing w:after="0"/>
        <w:rPr>
          <w:rFonts w:ascii="Arial" w:hAnsi="Arial" w:cs="Helvetica"/>
        </w:rPr>
      </w:pPr>
      <w:r w:rsidRPr="003F601F">
        <w:rPr>
          <w:rFonts w:ascii="Arial" w:hAnsi="Arial"/>
          <w:b/>
          <w:lang w:val="en-CA"/>
        </w:rPr>
        <w:t>Figure 2.</w:t>
      </w:r>
      <w:r w:rsidRPr="003F601F">
        <w:rPr>
          <w:rFonts w:ascii="Arial" w:hAnsi="Arial"/>
          <w:lang w:val="en-CA"/>
        </w:rPr>
        <w:t xml:space="preserve"> The effect of Green OA mandates (comparing </w:t>
      </w:r>
      <w:proofErr w:type="spellStart"/>
      <w:r w:rsidRPr="003F601F">
        <w:rPr>
          <w:rFonts w:ascii="Arial" w:hAnsi="Arial"/>
          <w:lang w:val="en-CA"/>
        </w:rPr>
        <w:t>nonmandated</w:t>
      </w:r>
      <w:proofErr w:type="spellEnd"/>
      <w:r w:rsidRPr="003F601F">
        <w:rPr>
          <w:rFonts w:ascii="Arial" w:hAnsi="Arial"/>
          <w:lang w:val="en-CA"/>
        </w:rPr>
        <w:t xml:space="preserve"> </w:t>
      </w:r>
      <w:proofErr w:type="spellStart"/>
      <w:r w:rsidRPr="003F601F">
        <w:rPr>
          <w:rFonts w:ascii="Arial" w:hAnsi="Arial"/>
          <w:lang w:val="en-CA"/>
        </w:rPr>
        <w:t>vs</w:t>
      </w:r>
      <w:proofErr w:type="spellEnd"/>
      <w:r w:rsidRPr="003F601F">
        <w:rPr>
          <w:rFonts w:ascii="Arial" w:hAnsi="Arial"/>
          <w:lang w:val="en-CA"/>
        </w:rPr>
        <w:t xml:space="preserve"> mandated OA provision: 2002-2009). Data from </w:t>
      </w:r>
      <w:proofErr w:type="spellStart"/>
      <w:r w:rsidRPr="003F601F">
        <w:rPr>
          <w:rFonts w:ascii="Arial" w:hAnsi="Arial" w:cs="Helvetica"/>
          <w:szCs w:val="26"/>
        </w:rPr>
        <w:t>Gargouri</w:t>
      </w:r>
      <w:proofErr w:type="spellEnd"/>
      <w:r w:rsidRPr="003F601F">
        <w:rPr>
          <w:rFonts w:ascii="Arial" w:hAnsi="Arial" w:cs="Helvetica"/>
          <w:szCs w:val="26"/>
        </w:rPr>
        <w:t>, Y, </w:t>
      </w:r>
      <w:proofErr w:type="spellStart"/>
      <w:r w:rsidRPr="003F601F">
        <w:rPr>
          <w:rFonts w:ascii="Arial" w:hAnsi="Arial" w:cs="Helvetica"/>
          <w:szCs w:val="26"/>
        </w:rPr>
        <w:t>Lariviere</w:t>
      </w:r>
      <w:proofErr w:type="spellEnd"/>
      <w:r w:rsidRPr="003F601F">
        <w:rPr>
          <w:rFonts w:ascii="Arial" w:hAnsi="Arial" w:cs="Helvetica"/>
          <w:szCs w:val="26"/>
        </w:rPr>
        <w:t>, V, </w:t>
      </w:r>
      <w:proofErr w:type="spellStart"/>
      <w:r w:rsidRPr="003F601F">
        <w:rPr>
          <w:rFonts w:ascii="Arial" w:hAnsi="Arial" w:cs="Helvetica"/>
          <w:szCs w:val="26"/>
        </w:rPr>
        <w:t>Gingras</w:t>
      </w:r>
      <w:proofErr w:type="spellEnd"/>
      <w:r w:rsidRPr="003F601F">
        <w:rPr>
          <w:rFonts w:ascii="Arial" w:hAnsi="Arial" w:cs="Helvetica"/>
          <w:szCs w:val="26"/>
        </w:rPr>
        <w:t>, Y, Brody, T, Carr, L and </w:t>
      </w:r>
      <w:proofErr w:type="spellStart"/>
      <w:r w:rsidRPr="003F601F">
        <w:rPr>
          <w:rFonts w:ascii="Arial" w:hAnsi="Arial" w:cs="Helvetica"/>
          <w:szCs w:val="26"/>
        </w:rPr>
        <w:t>Harnad</w:t>
      </w:r>
      <w:proofErr w:type="spellEnd"/>
      <w:r w:rsidRPr="003F601F">
        <w:rPr>
          <w:rFonts w:ascii="Arial" w:hAnsi="Arial" w:cs="Helvetica"/>
          <w:szCs w:val="26"/>
        </w:rPr>
        <w:t>, S (2012a) </w:t>
      </w:r>
      <w:hyperlink r:id="rId32" w:history="1">
        <w:r w:rsidRPr="003F601F">
          <w:rPr>
            <w:rFonts w:ascii="Arial" w:hAnsi="Arial" w:cs="Helvetica"/>
            <w:color w:val="386EFF"/>
            <w:szCs w:val="26"/>
            <w:u w:val="single" w:color="386EFF"/>
          </w:rPr>
          <w:t>Testing the Finch Hypothesis on Green OA Mandate Ineffectiveness</w:t>
        </w:r>
      </w:hyperlink>
      <w:r w:rsidRPr="003F601F">
        <w:rPr>
          <w:rFonts w:ascii="Arial" w:hAnsi="Arial" w:cs="Helvetica"/>
          <w:szCs w:val="26"/>
        </w:rPr>
        <w:t>. Presented: </w:t>
      </w:r>
      <w:r w:rsidRPr="003F601F">
        <w:rPr>
          <w:rFonts w:ascii="Arial" w:hAnsi="Arial" w:cs="Helvetica"/>
          <w:i/>
          <w:iCs/>
          <w:szCs w:val="26"/>
        </w:rPr>
        <w:t>Open Access Week 2012 </w:t>
      </w:r>
      <w:hyperlink r:id="rId33" w:history="1">
        <w:r w:rsidRPr="003F601F">
          <w:rPr>
            <w:rFonts w:ascii="Arial" w:hAnsi="Arial" w:cs="Helvetica"/>
            <w:color w:val="386EFF"/>
            <w:u w:val="single" w:color="386EFF"/>
          </w:rPr>
          <w:t>http://eprints.soton.ac.uk/344687/</w:t>
        </w:r>
      </w:hyperlink>
    </w:p>
    <w:p w:rsidR="00CD08D2" w:rsidRPr="003F601F" w:rsidRDefault="00CD08D2" w:rsidP="007858D4">
      <w:pPr>
        <w:rPr>
          <w:rFonts w:ascii="Arial" w:hAnsi="Arial"/>
          <w:lang w:val="en-CA"/>
        </w:rPr>
      </w:pPr>
    </w:p>
    <w:sectPr w:rsidR="00CD08D2" w:rsidRPr="003F601F" w:rsidSect="00CD08D2">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C192375"/>
    <w:multiLevelType w:val="hybridMultilevel"/>
    <w:tmpl w:val="3E548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7"/>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07D3D"/>
    <w:rsid w:val="00006D18"/>
    <w:rsid w:val="0006150B"/>
    <w:rsid w:val="00135AB9"/>
    <w:rsid w:val="00163AA8"/>
    <w:rsid w:val="001A638C"/>
    <w:rsid w:val="00207D3D"/>
    <w:rsid w:val="002E05AD"/>
    <w:rsid w:val="00335B9D"/>
    <w:rsid w:val="003A46EB"/>
    <w:rsid w:val="003A7576"/>
    <w:rsid w:val="003F601F"/>
    <w:rsid w:val="00521DDE"/>
    <w:rsid w:val="006A2DBA"/>
    <w:rsid w:val="00747C07"/>
    <w:rsid w:val="007858D4"/>
    <w:rsid w:val="00792DDC"/>
    <w:rsid w:val="007D5C0A"/>
    <w:rsid w:val="00825442"/>
    <w:rsid w:val="00826D87"/>
    <w:rsid w:val="00882401"/>
    <w:rsid w:val="008F018C"/>
    <w:rsid w:val="00A35591"/>
    <w:rsid w:val="00AB689C"/>
    <w:rsid w:val="00AF5F08"/>
    <w:rsid w:val="00B07A5B"/>
    <w:rsid w:val="00B566F0"/>
    <w:rsid w:val="00B818CB"/>
    <w:rsid w:val="00C00AFE"/>
    <w:rsid w:val="00CD08D2"/>
    <w:rsid w:val="00D904E0"/>
    <w:rsid w:val="00DC1F57"/>
    <w:rsid w:val="00DF0EA5"/>
    <w:rsid w:val="00E7425E"/>
    <w:rsid w:val="00ED46E3"/>
    <w:rsid w:val="00F360C6"/>
    <w:rsid w:val="00F57D0C"/>
    <w:rsid w:val="00FA0614"/>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53B"/>
  </w:style>
  <w:style w:type="paragraph" w:styleId="Heading1">
    <w:name w:val="heading 1"/>
    <w:basedOn w:val="Normal"/>
    <w:next w:val="Normal"/>
    <w:link w:val="Heading1Char"/>
    <w:uiPriority w:val="9"/>
    <w:qFormat/>
    <w:rsid w:val="00B818C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818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D08D2"/>
    <w:pPr>
      <w:ind w:left="720"/>
      <w:contextualSpacing/>
    </w:pPr>
  </w:style>
  <w:style w:type="character" w:styleId="Hyperlink">
    <w:name w:val="Hyperlink"/>
    <w:basedOn w:val="DefaultParagraphFont"/>
    <w:uiPriority w:val="99"/>
    <w:semiHidden/>
    <w:unhideWhenUsed/>
    <w:rsid w:val="00135AB9"/>
    <w:rPr>
      <w:color w:val="0000FF" w:themeColor="hyperlink"/>
      <w:u w:val="single"/>
    </w:rPr>
  </w:style>
  <w:style w:type="character" w:styleId="FollowedHyperlink">
    <w:name w:val="FollowedHyperlink"/>
    <w:basedOn w:val="DefaultParagraphFont"/>
    <w:uiPriority w:val="99"/>
    <w:semiHidden/>
    <w:unhideWhenUsed/>
    <w:rsid w:val="0006150B"/>
    <w:rPr>
      <w:color w:val="800080" w:themeColor="followedHyperlink"/>
      <w:u w:val="single"/>
    </w:rPr>
  </w:style>
  <w:style w:type="character" w:customStyle="1" w:styleId="Heading1Char">
    <w:name w:val="Heading 1 Char"/>
    <w:basedOn w:val="DefaultParagraphFont"/>
    <w:link w:val="Heading1"/>
    <w:uiPriority w:val="9"/>
    <w:rsid w:val="00B818C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B818C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roarmap.eprints.org" TargetMode="External"/><Relationship Id="rId21" Type="http://schemas.openxmlformats.org/officeDocument/2006/relationships/hyperlink" Target="http://www.dlib.org/dlib/september12/harnad/09harnad.html" TargetMode="External"/><Relationship Id="rId22" Type="http://schemas.openxmlformats.org/officeDocument/2006/relationships/hyperlink" Target="http://www.researchinfonet.org/wp-content/uploads/2012/06/Finch-Group-report-FINAL-VERSION.pdf" TargetMode="External"/><Relationship Id="rId23" Type="http://schemas.openxmlformats.org/officeDocument/2006/relationships/hyperlink" Target="http://openaccess.eprints.org/index.php?/archives/946-.html" TargetMode="External"/><Relationship Id="rId24" Type="http://schemas.openxmlformats.org/officeDocument/2006/relationships/hyperlink" Target="http://openaccess.eprints.org/index.php?/archives/909-.html" TargetMode="External"/><Relationship Id="rId25" Type="http://schemas.openxmlformats.org/officeDocument/2006/relationships/hyperlink" Target="http://www.dlib.org/dlib/january13/houghton/01houghton.html" TargetMode="External"/><Relationship Id="rId26" Type="http://schemas.openxmlformats.org/officeDocument/2006/relationships/hyperlink" Target="http://www.dlib.org/dlib/january13/houghton/01houghton.html" TargetMode="External"/><Relationship Id="rId27" Type="http://schemas.openxmlformats.org/officeDocument/2006/relationships/hyperlink" Target="http://www.dlib.org/dlib/september12/harnad/09harnad.html" TargetMode="External"/><Relationship Id="rId28" Type="http://schemas.openxmlformats.org/officeDocument/2006/relationships/image" Target="media/image1.png"/><Relationship Id="rId29" Type="http://schemas.openxmlformats.org/officeDocument/2006/relationships/hyperlink" Target="http://eprints.soton.ac.uk/340294/"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lrichsweb.com/ulrichsweb/analysis/" TargetMode="External"/><Relationship Id="rId30" Type="http://schemas.openxmlformats.org/officeDocument/2006/relationships/hyperlink" Target="http://eprints.soton.ac.uk/340294/" TargetMode="External"/><Relationship Id="rId31" Type="http://schemas.openxmlformats.org/officeDocument/2006/relationships/image" Target="media/image2.png"/><Relationship Id="rId32" Type="http://schemas.openxmlformats.org/officeDocument/2006/relationships/hyperlink" Target="http://eprints.soton.ac.uk/344687/" TargetMode="External"/><Relationship Id="rId9" Type="http://schemas.openxmlformats.org/officeDocument/2006/relationships/hyperlink" Target="http://www.eprints.org/openaccess/self-faq/" TargetMode="External"/><Relationship Id="rId6" Type="http://schemas.openxmlformats.org/officeDocument/2006/relationships/hyperlink" Target="http://fisher.lib.virginia.edu/cgi-local/arlbin/arl.cgi?task=setupstats" TargetMode="External"/><Relationship Id="rId7" Type="http://schemas.openxmlformats.org/officeDocument/2006/relationships/hyperlink" Target="http://eprints.soton.ac.uk/268493/" TargetMode="External"/><Relationship Id="rId8" Type="http://schemas.openxmlformats.org/officeDocument/2006/relationships/hyperlink" Target="http://opcit.eprints.org/oacitation-biblio.html" TargetMode="External"/><Relationship Id="rId33" Type="http://schemas.openxmlformats.org/officeDocument/2006/relationships/hyperlink" Target="http://eprints.soton.ac.uk/344687/"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www.sherpa.ac.uk/romeo/statistics.php?la=en&amp;fIDnum=%7C&amp;mode=simple" TargetMode="External"/><Relationship Id="rId11" Type="http://schemas.openxmlformats.org/officeDocument/2006/relationships/hyperlink" Target="http://eprints.soton.ac.uk/260999/" TargetMode="External"/><Relationship Id="rId12" Type="http://schemas.openxmlformats.org/officeDocument/2006/relationships/hyperlink" Target="http://arxiv.org/show_monthly_submissions" TargetMode="External"/><Relationship Id="rId13" Type="http://schemas.openxmlformats.org/officeDocument/2006/relationships/hyperlink" Target="http://www.doaj.org" TargetMode="External"/><Relationship Id="rId14" Type="http://schemas.openxmlformats.org/officeDocument/2006/relationships/hyperlink" Target="http://www.dlib.org/dlib/july10/harnad/07harnad.html" TargetMode="External"/><Relationship Id="rId15" Type="http://schemas.openxmlformats.org/officeDocument/2006/relationships/hyperlink" Target="http://www.dlib.org/dlib/january13/houghton/01houghton.html" TargetMode="External"/><Relationship Id="rId16" Type="http://schemas.openxmlformats.org/officeDocument/2006/relationships/hyperlink" Target="http://roarmap.eprints.org" TargetMode="External"/><Relationship Id="rId17" Type="http://schemas.openxmlformats.org/officeDocument/2006/relationships/hyperlink" Target="http://roar.eprints.org" TargetMode="External"/><Relationship Id="rId18" Type="http://schemas.openxmlformats.org/officeDocument/2006/relationships/hyperlink" Target="http://eprints.soton.ac.uk/268511/" TargetMode="External"/><Relationship Id="rId19" Type="http://schemas.openxmlformats.org/officeDocument/2006/relationships/hyperlink" Target="http://www.publications.parliament.uk/pa/cm200304/cmselect/cmsctech/399/399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7</Pages>
  <Words>2258</Words>
  <Characters>12876</Characters>
  <Application>Microsoft Word 12.0.0</Application>
  <DocSecurity>0</DocSecurity>
  <Lines>107</Lines>
  <Paragraphs>25</Paragraphs>
  <ScaleCrop>false</ScaleCrop>
  <Company>UQaM</Company>
  <LinksUpToDate>false</LinksUpToDate>
  <CharactersWithSpaces>15812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Stevan Harnad</dc:creator>
  <cp:keywords/>
  <cp:lastModifiedBy>Stevan Harnad</cp:lastModifiedBy>
  <cp:revision>9</cp:revision>
  <dcterms:created xsi:type="dcterms:W3CDTF">2013-01-17T18:51:00Z</dcterms:created>
  <dcterms:modified xsi:type="dcterms:W3CDTF">2013-01-23T13:12:00Z</dcterms:modified>
</cp:coreProperties>
</file>