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9E" w:rsidRPr="00556528" w:rsidRDefault="0004599E" w:rsidP="00560F23">
      <w:pPr>
        <w:jc w:val="center"/>
        <w:rPr>
          <w:b/>
          <w:sz w:val="32"/>
          <w:szCs w:val="32"/>
        </w:rPr>
      </w:pPr>
      <w:bookmarkStart w:id="0" w:name="_GoBack"/>
      <w:bookmarkEnd w:id="0"/>
      <w:r w:rsidRPr="00556528">
        <w:rPr>
          <w:b/>
          <w:sz w:val="32"/>
          <w:szCs w:val="32"/>
        </w:rPr>
        <w:t>2</w:t>
      </w:r>
      <w:r w:rsidR="00271C9D">
        <w:rPr>
          <w:b/>
          <w:sz w:val="32"/>
          <w:szCs w:val="32"/>
        </w:rPr>
        <w:t>7</w:t>
      </w:r>
      <w:r w:rsidR="00680F70" w:rsidRPr="00556528">
        <w:rPr>
          <w:b/>
          <w:sz w:val="32"/>
          <w:szCs w:val="32"/>
          <w:vertAlign w:val="superscript"/>
        </w:rPr>
        <w:t>th</w:t>
      </w:r>
      <w:r w:rsidR="00841551" w:rsidRPr="00556528">
        <w:rPr>
          <w:b/>
          <w:sz w:val="32"/>
          <w:szCs w:val="32"/>
        </w:rPr>
        <w:t xml:space="preserve"> </w:t>
      </w:r>
      <w:r w:rsidR="00B31954" w:rsidRPr="00556528">
        <w:rPr>
          <w:b/>
          <w:sz w:val="32"/>
          <w:szCs w:val="32"/>
        </w:rPr>
        <w:t>ANZAM 201</w:t>
      </w:r>
      <w:r w:rsidR="00271C9D">
        <w:rPr>
          <w:b/>
          <w:sz w:val="32"/>
          <w:szCs w:val="32"/>
        </w:rPr>
        <w:t>3</w:t>
      </w:r>
      <w:r w:rsidRPr="00556528">
        <w:rPr>
          <w:b/>
          <w:sz w:val="32"/>
          <w:szCs w:val="32"/>
        </w:rPr>
        <w:t xml:space="preserve"> Conference</w:t>
      </w:r>
    </w:p>
    <w:p w:rsidR="00744450" w:rsidRPr="00556528" w:rsidRDefault="00635A01" w:rsidP="00560F23">
      <w:pPr>
        <w:jc w:val="center"/>
        <w:rPr>
          <w:b/>
          <w:sz w:val="32"/>
          <w:szCs w:val="32"/>
        </w:rPr>
      </w:pPr>
      <w:r>
        <w:rPr>
          <w:b/>
          <w:sz w:val="32"/>
          <w:szCs w:val="32"/>
        </w:rPr>
        <w:t xml:space="preserve">Research </w:t>
      </w:r>
      <w:r w:rsidRPr="00556528">
        <w:rPr>
          <w:b/>
          <w:sz w:val="32"/>
          <w:szCs w:val="32"/>
        </w:rPr>
        <w:t>Symposium</w:t>
      </w:r>
      <w:r>
        <w:rPr>
          <w:b/>
          <w:sz w:val="32"/>
          <w:szCs w:val="32"/>
        </w:rPr>
        <w:t>/</w:t>
      </w:r>
      <w:r w:rsidR="0004599E" w:rsidRPr="00556528">
        <w:rPr>
          <w:b/>
          <w:sz w:val="32"/>
          <w:szCs w:val="32"/>
        </w:rPr>
        <w:t xml:space="preserve">Workshop </w:t>
      </w:r>
      <w:r w:rsidR="00E733AE" w:rsidRPr="00556528">
        <w:rPr>
          <w:b/>
          <w:sz w:val="32"/>
          <w:szCs w:val="32"/>
        </w:rPr>
        <w:t>Template</w:t>
      </w:r>
    </w:p>
    <w:p w:rsidR="0004599E" w:rsidRPr="00556528" w:rsidRDefault="0004599E"/>
    <w:p w:rsidR="0004599E" w:rsidRPr="00556528" w:rsidRDefault="0004599E"/>
    <w:tbl>
      <w:tblPr>
        <w:tblStyle w:val="TableGrid"/>
        <w:tblW w:w="9828" w:type="dxa"/>
        <w:tblLook w:val="01E0" w:firstRow="1" w:lastRow="1" w:firstColumn="1" w:lastColumn="1" w:noHBand="0" w:noVBand="0"/>
      </w:tblPr>
      <w:tblGrid>
        <w:gridCol w:w="1368"/>
        <w:gridCol w:w="3135"/>
        <w:gridCol w:w="5325"/>
      </w:tblGrid>
      <w:tr w:rsidR="003606A9" w:rsidRPr="00D500EB">
        <w:tc>
          <w:tcPr>
            <w:tcW w:w="9828" w:type="dxa"/>
            <w:gridSpan w:val="3"/>
            <w:tcBorders>
              <w:top w:val="single" w:sz="4" w:space="0" w:color="auto"/>
            </w:tcBorders>
          </w:tcPr>
          <w:p w:rsidR="003606A9" w:rsidRPr="00D500EB" w:rsidRDefault="003606A9" w:rsidP="00D500EB">
            <w:pPr>
              <w:numPr>
                <w:ilvl w:val="0"/>
                <w:numId w:val="1"/>
              </w:numPr>
              <w:spacing w:before="120" w:after="120"/>
              <w:ind w:left="714" w:hanging="357"/>
            </w:pPr>
            <w:r w:rsidRPr="00D500EB">
              <w:rPr>
                <w:b/>
              </w:rPr>
              <w:t xml:space="preserve">The proposed </w:t>
            </w:r>
            <w:r w:rsidR="00635A01" w:rsidRPr="00D500EB">
              <w:rPr>
                <w:b/>
              </w:rPr>
              <w:t xml:space="preserve">Research Symposium/Workshop </w:t>
            </w:r>
            <w:r w:rsidR="00E733AE" w:rsidRPr="00D500EB">
              <w:rPr>
                <w:b/>
              </w:rPr>
              <w:t>Title</w:t>
            </w:r>
          </w:p>
        </w:tc>
      </w:tr>
      <w:tr w:rsidR="003606A9" w:rsidRPr="00D500EB" w:rsidTr="007C41B4">
        <w:trPr>
          <w:trHeight w:val="539"/>
        </w:trPr>
        <w:tc>
          <w:tcPr>
            <w:tcW w:w="9828" w:type="dxa"/>
            <w:gridSpan w:val="3"/>
          </w:tcPr>
          <w:p w:rsidR="003606A9" w:rsidRPr="00D500EB" w:rsidRDefault="007D5D62" w:rsidP="00D500EB">
            <w:pPr>
              <w:spacing w:before="120" w:after="120"/>
              <w:jc w:val="center"/>
            </w:pPr>
            <w:r w:rsidRPr="00D500EB">
              <w:rPr>
                <w:lang w:val="en-GB"/>
              </w:rPr>
              <w:t xml:space="preserve">Viewing computer-assisted qualitative data analysis </w:t>
            </w:r>
            <w:r w:rsidRPr="00D500EB">
              <w:rPr>
                <w:caps/>
                <w:lang w:val="en-GB"/>
              </w:rPr>
              <w:t xml:space="preserve">(caqdas) </w:t>
            </w:r>
            <w:r w:rsidRPr="00D500EB">
              <w:rPr>
                <w:lang w:val="en-GB"/>
              </w:rPr>
              <w:t xml:space="preserve">through </w:t>
            </w:r>
            <w:r w:rsidR="002D4B44" w:rsidRPr="00D500EB">
              <w:rPr>
                <w:lang w:val="en-GB"/>
              </w:rPr>
              <w:t>Leximanc</w:t>
            </w:r>
            <w:r w:rsidRPr="00D500EB">
              <w:rPr>
                <w:lang w:val="en-GB"/>
              </w:rPr>
              <w:t>er: Building rigour rather than just applying tools</w:t>
            </w:r>
          </w:p>
        </w:tc>
      </w:tr>
      <w:tr w:rsidR="00E733AE" w:rsidRPr="00D500EB">
        <w:tc>
          <w:tcPr>
            <w:tcW w:w="9828" w:type="dxa"/>
            <w:gridSpan w:val="3"/>
            <w:tcBorders>
              <w:top w:val="single" w:sz="4" w:space="0" w:color="auto"/>
            </w:tcBorders>
          </w:tcPr>
          <w:p w:rsidR="00E733AE" w:rsidRPr="00D500EB" w:rsidRDefault="00E733AE" w:rsidP="00D500EB">
            <w:pPr>
              <w:numPr>
                <w:ilvl w:val="0"/>
                <w:numId w:val="1"/>
              </w:numPr>
              <w:spacing w:before="120" w:after="120"/>
              <w:ind w:left="714" w:hanging="357"/>
            </w:pPr>
            <w:r w:rsidRPr="00D500EB">
              <w:rPr>
                <w:b/>
              </w:rPr>
              <w:t>The abbreviated heading for the Conference program - maximum 5-8 words</w:t>
            </w:r>
          </w:p>
        </w:tc>
      </w:tr>
      <w:tr w:rsidR="00E733AE" w:rsidRPr="00D500EB">
        <w:tc>
          <w:tcPr>
            <w:tcW w:w="9828" w:type="dxa"/>
            <w:gridSpan w:val="3"/>
          </w:tcPr>
          <w:p w:rsidR="00E733AE" w:rsidRPr="00D500EB" w:rsidRDefault="007D5D62" w:rsidP="00D500EB">
            <w:pPr>
              <w:pStyle w:val="Header"/>
              <w:spacing w:before="120" w:after="120"/>
              <w:rPr>
                <w:sz w:val="24"/>
              </w:rPr>
            </w:pPr>
            <w:r w:rsidRPr="00D500EB">
              <w:rPr>
                <w:caps w:val="0"/>
                <w:sz w:val="24"/>
                <w:lang w:val="en-GB"/>
              </w:rPr>
              <w:t xml:space="preserve">Viewing computer-assisted qualitative </w:t>
            </w:r>
            <w:r w:rsidR="002D4B44" w:rsidRPr="00D500EB">
              <w:rPr>
                <w:caps w:val="0"/>
                <w:sz w:val="24"/>
                <w:lang w:val="en-GB"/>
              </w:rPr>
              <w:t>data analysis (CAQDAS) through Leximanc</w:t>
            </w:r>
            <w:r w:rsidRPr="00D500EB">
              <w:rPr>
                <w:caps w:val="0"/>
                <w:sz w:val="24"/>
                <w:lang w:val="en-GB"/>
              </w:rPr>
              <w:t>er</w:t>
            </w:r>
          </w:p>
        </w:tc>
      </w:tr>
      <w:tr w:rsidR="003606A9" w:rsidRPr="00D500EB" w:rsidTr="00483E17">
        <w:trPr>
          <w:trHeight w:val="381"/>
        </w:trPr>
        <w:tc>
          <w:tcPr>
            <w:tcW w:w="9828" w:type="dxa"/>
            <w:gridSpan w:val="3"/>
          </w:tcPr>
          <w:p w:rsidR="003606A9" w:rsidRPr="00D500EB" w:rsidRDefault="003606A9" w:rsidP="00D500EB">
            <w:pPr>
              <w:numPr>
                <w:ilvl w:val="0"/>
                <w:numId w:val="1"/>
              </w:numPr>
              <w:spacing w:before="120" w:after="120"/>
              <w:ind w:left="714" w:hanging="357"/>
              <w:rPr>
                <w:b/>
              </w:rPr>
            </w:pPr>
            <w:r w:rsidRPr="00D500EB">
              <w:rPr>
                <w:b/>
              </w:rPr>
              <w:t xml:space="preserve">Summary of the </w:t>
            </w:r>
            <w:r w:rsidR="00635A01" w:rsidRPr="00D500EB">
              <w:rPr>
                <w:b/>
              </w:rPr>
              <w:t xml:space="preserve">Research Symposium/Workshop </w:t>
            </w:r>
            <w:r w:rsidRPr="00D500EB">
              <w:rPr>
                <w:b/>
              </w:rPr>
              <w:t>objectives and activities</w:t>
            </w:r>
            <w:r w:rsidR="00646E14" w:rsidRPr="00D500EB">
              <w:rPr>
                <w:b/>
              </w:rPr>
              <w:t xml:space="preserve"> (</w:t>
            </w:r>
            <w:r w:rsidR="00792D80" w:rsidRPr="00D500EB">
              <w:rPr>
                <w:b/>
              </w:rPr>
              <w:t xml:space="preserve">6-8 </w:t>
            </w:r>
            <w:r w:rsidR="00646E14" w:rsidRPr="00D500EB">
              <w:rPr>
                <w:b/>
              </w:rPr>
              <w:t>dot points)</w:t>
            </w:r>
          </w:p>
        </w:tc>
      </w:tr>
      <w:tr w:rsidR="003606A9" w:rsidRPr="00D500EB">
        <w:tc>
          <w:tcPr>
            <w:tcW w:w="9828" w:type="dxa"/>
            <w:gridSpan w:val="3"/>
          </w:tcPr>
          <w:p w:rsidR="000F0B38" w:rsidRPr="00D500EB" w:rsidRDefault="000F0B38" w:rsidP="00D500EB">
            <w:pPr>
              <w:pStyle w:val="Header"/>
              <w:spacing w:before="120" w:after="120"/>
              <w:rPr>
                <w:caps w:val="0"/>
                <w:sz w:val="24"/>
                <w:lang w:val="en-GB"/>
              </w:rPr>
            </w:pPr>
            <w:r w:rsidRPr="00D500EB">
              <w:rPr>
                <w:caps w:val="0"/>
                <w:sz w:val="24"/>
                <w:lang w:val="en-GB"/>
              </w:rPr>
              <w:t>The following will be covered in an interactive fashion by linking a theoretical background to practical examples:</w:t>
            </w:r>
          </w:p>
          <w:p w:rsidR="000F0B38" w:rsidRPr="00D500EB" w:rsidRDefault="002D4B44" w:rsidP="00D500EB">
            <w:pPr>
              <w:pStyle w:val="Header"/>
              <w:numPr>
                <w:ilvl w:val="0"/>
                <w:numId w:val="3"/>
              </w:numPr>
              <w:spacing w:before="120" w:after="120"/>
              <w:rPr>
                <w:sz w:val="24"/>
                <w:lang w:val="en-GB"/>
              </w:rPr>
            </w:pPr>
            <w:r w:rsidRPr="00D500EB">
              <w:rPr>
                <w:caps w:val="0"/>
                <w:sz w:val="24"/>
                <w:lang w:val="en-GB"/>
              </w:rPr>
              <w:t>What is L</w:t>
            </w:r>
            <w:r w:rsidR="000F0B38" w:rsidRPr="00D500EB">
              <w:rPr>
                <w:caps w:val="0"/>
                <w:sz w:val="24"/>
                <w:lang w:val="en-GB"/>
              </w:rPr>
              <w:t>eximancer and how does it work?</w:t>
            </w:r>
          </w:p>
          <w:p w:rsidR="000F0B38" w:rsidRPr="00D500EB" w:rsidRDefault="002D4B44" w:rsidP="00D500EB">
            <w:pPr>
              <w:pStyle w:val="Header"/>
              <w:numPr>
                <w:ilvl w:val="0"/>
                <w:numId w:val="3"/>
              </w:numPr>
              <w:spacing w:before="120" w:after="120"/>
              <w:rPr>
                <w:sz w:val="24"/>
                <w:lang w:val="en-GB"/>
              </w:rPr>
            </w:pPr>
            <w:r w:rsidRPr="00D500EB">
              <w:rPr>
                <w:caps w:val="0"/>
                <w:sz w:val="24"/>
                <w:lang w:val="en-GB"/>
              </w:rPr>
              <w:t>Why L</w:t>
            </w:r>
            <w:r w:rsidR="000F0B38" w:rsidRPr="00D500EB">
              <w:rPr>
                <w:caps w:val="0"/>
                <w:sz w:val="24"/>
                <w:lang w:val="en-GB"/>
              </w:rPr>
              <w:t>eximancer</w:t>
            </w:r>
            <w:r w:rsidR="000F0B38" w:rsidRPr="00D500EB">
              <w:rPr>
                <w:sz w:val="24"/>
                <w:lang w:val="en-GB"/>
              </w:rPr>
              <w:t>?</w:t>
            </w:r>
          </w:p>
          <w:p w:rsidR="000F0B38" w:rsidRPr="00D500EB" w:rsidRDefault="002D4B44" w:rsidP="00D500EB">
            <w:pPr>
              <w:pStyle w:val="Header"/>
              <w:numPr>
                <w:ilvl w:val="0"/>
                <w:numId w:val="3"/>
              </w:numPr>
              <w:spacing w:before="120" w:after="120"/>
              <w:rPr>
                <w:sz w:val="24"/>
                <w:lang w:val="en-GB"/>
              </w:rPr>
            </w:pPr>
            <w:r w:rsidRPr="00D500EB">
              <w:rPr>
                <w:caps w:val="0"/>
                <w:sz w:val="24"/>
                <w:lang w:val="en-GB"/>
              </w:rPr>
              <w:t>When to use L</w:t>
            </w:r>
            <w:r w:rsidR="000F0B38" w:rsidRPr="00D500EB">
              <w:rPr>
                <w:caps w:val="0"/>
                <w:sz w:val="24"/>
                <w:lang w:val="en-GB"/>
              </w:rPr>
              <w:t>eximancer?</w:t>
            </w:r>
          </w:p>
          <w:p w:rsidR="000F0B38" w:rsidRPr="00D500EB" w:rsidRDefault="000F0B38" w:rsidP="00D500EB">
            <w:pPr>
              <w:pStyle w:val="BodyText"/>
              <w:numPr>
                <w:ilvl w:val="0"/>
                <w:numId w:val="3"/>
              </w:numPr>
              <w:spacing w:before="120"/>
              <w:rPr>
                <w:rFonts w:cs="Times New Roman"/>
                <w:lang w:val="en-GB"/>
              </w:rPr>
            </w:pPr>
            <w:r w:rsidRPr="00D500EB">
              <w:rPr>
                <w:rFonts w:cs="Times New Roman"/>
                <w:lang w:val="en-GB"/>
              </w:rPr>
              <w:t xml:space="preserve">Issues of computer-assisted qualitative data analysis </w:t>
            </w:r>
            <w:r w:rsidRPr="00D500EB">
              <w:rPr>
                <w:rFonts w:cs="Times New Roman"/>
                <w:caps/>
                <w:lang w:val="en-GB"/>
              </w:rPr>
              <w:t xml:space="preserve">(caqdas) </w:t>
            </w:r>
            <w:r w:rsidRPr="00D500EB">
              <w:rPr>
                <w:rFonts w:cs="Times New Roman"/>
                <w:lang w:val="en-GB"/>
              </w:rPr>
              <w:t>software use and misuse in qualitative research</w:t>
            </w:r>
            <w:r w:rsidR="002D4B44" w:rsidRPr="00D500EB">
              <w:rPr>
                <w:rFonts w:cs="Times New Roman"/>
                <w:lang w:val="en-GB"/>
              </w:rPr>
              <w:t>.</w:t>
            </w:r>
          </w:p>
          <w:p w:rsidR="000F0B38" w:rsidRPr="00D500EB" w:rsidRDefault="000F0B38" w:rsidP="00D500EB">
            <w:pPr>
              <w:pStyle w:val="BodyText"/>
              <w:numPr>
                <w:ilvl w:val="0"/>
                <w:numId w:val="3"/>
              </w:numPr>
              <w:spacing w:before="120"/>
              <w:rPr>
                <w:rFonts w:cs="Times New Roman"/>
                <w:lang w:val="en-GB"/>
              </w:rPr>
            </w:pPr>
            <w:r w:rsidRPr="00D500EB">
              <w:rPr>
                <w:rFonts w:cs="Times New Roman"/>
                <w:lang w:val="en-GB"/>
              </w:rPr>
              <w:t xml:space="preserve">Three research projects that demonstrate the strengths of the program within different research settings </w:t>
            </w:r>
            <w:r w:rsidR="00246318" w:rsidRPr="00D500EB">
              <w:rPr>
                <w:rFonts w:cs="Times New Roman"/>
                <w:lang w:val="en-GB"/>
              </w:rPr>
              <w:t>(Change M</w:t>
            </w:r>
            <w:r w:rsidRPr="00D500EB">
              <w:rPr>
                <w:rFonts w:cs="Times New Roman"/>
                <w:lang w:val="en-GB"/>
              </w:rPr>
              <w:t>anagement within a health care setting, CSR within an SME context and understanding the common themes in stories for successful pharmacy managers)</w:t>
            </w:r>
            <w:r w:rsidR="002D4B44" w:rsidRPr="00D500EB">
              <w:rPr>
                <w:rFonts w:cs="Times New Roman"/>
                <w:lang w:val="en-GB"/>
              </w:rPr>
              <w:t>.</w:t>
            </w:r>
            <w:r w:rsidRPr="00D500EB">
              <w:rPr>
                <w:rFonts w:cs="Times New Roman"/>
                <w:lang w:val="en-GB"/>
              </w:rPr>
              <w:t xml:space="preserve"> </w:t>
            </w:r>
          </w:p>
          <w:p w:rsidR="000F0B38" w:rsidRPr="00D500EB" w:rsidRDefault="000F0B38" w:rsidP="00D500EB">
            <w:pPr>
              <w:pStyle w:val="BodyText"/>
              <w:numPr>
                <w:ilvl w:val="0"/>
                <w:numId w:val="3"/>
              </w:numPr>
              <w:spacing w:before="120"/>
              <w:rPr>
                <w:rFonts w:cs="Times New Roman"/>
                <w:lang w:val="en-GB"/>
              </w:rPr>
            </w:pPr>
            <w:r w:rsidRPr="00D500EB">
              <w:rPr>
                <w:rFonts w:cs="Times New Roman"/>
                <w:lang w:val="en-GB"/>
              </w:rPr>
              <w:t>A real life</w:t>
            </w:r>
            <w:r w:rsidR="002D4B44" w:rsidRPr="00D500EB">
              <w:rPr>
                <w:rFonts w:cs="Times New Roman"/>
                <w:lang w:val="en-GB"/>
              </w:rPr>
              <w:t xml:space="preserve"> analysis of a simple story</w:t>
            </w:r>
            <w:r w:rsidR="00D24E49" w:rsidRPr="00D500EB">
              <w:rPr>
                <w:rFonts w:cs="Times New Roman"/>
                <w:lang w:val="en-GB"/>
              </w:rPr>
              <w:t xml:space="preserve"> </w:t>
            </w:r>
            <w:r w:rsidR="00EF5B1C" w:rsidRPr="00D500EB">
              <w:rPr>
                <w:rFonts w:cs="Times New Roman"/>
                <w:lang w:val="en-GB"/>
              </w:rPr>
              <w:t>will be demonstrated</w:t>
            </w:r>
            <w:r w:rsidRPr="00D500EB">
              <w:rPr>
                <w:rFonts w:cs="Times New Roman"/>
                <w:lang w:val="en-GB"/>
              </w:rPr>
              <w:t xml:space="preserve"> interactive</w:t>
            </w:r>
            <w:r w:rsidR="00D24E49" w:rsidRPr="00D500EB">
              <w:rPr>
                <w:rFonts w:cs="Times New Roman"/>
                <w:lang w:val="en-GB"/>
              </w:rPr>
              <w:t>ly</w:t>
            </w:r>
            <w:r w:rsidR="002D4B44" w:rsidRPr="00D500EB">
              <w:rPr>
                <w:rFonts w:cs="Times New Roman"/>
                <w:lang w:val="en-GB"/>
              </w:rPr>
              <w:t xml:space="preserve"> t</w:t>
            </w:r>
            <w:r w:rsidR="00D24E49" w:rsidRPr="00D500EB">
              <w:rPr>
                <w:rFonts w:cs="Times New Roman"/>
                <w:lang w:val="en-GB"/>
              </w:rPr>
              <w:t>o illustrate</w:t>
            </w:r>
            <w:r w:rsidRPr="00D500EB">
              <w:rPr>
                <w:rFonts w:cs="Times New Roman"/>
                <w:lang w:val="en-GB"/>
              </w:rPr>
              <w:t xml:space="preserve"> the power and complexity of the lexical analysis process. </w:t>
            </w:r>
          </w:p>
          <w:p w:rsidR="000F0B38" w:rsidRPr="00D500EB" w:rsidRDefault="000F0B38" w:rsidP="00D500EB">
            <w:pPr>
              <w:pStyle w:val="BodyText"/>
              <w:numPr>
                <w:ilvl w:val="0"/>
                <w:numId w:val="3"/>
              </w:numPr>
              <w:spacing w:before="120"/>
              <w:rPr>
                <w:rFonts w:cs="Times New Roman"/>
                <w:lang w:val="en-GB"/>
              </w:rPr>
            </w:pPr>
            <w:r w:rsidRPr="00D500EB">
              <w:rPr>
                <w:rFonts w:cs="Times New Roman"/>
                <w:lang w:val="en-GB"/>
              </w:rPr>
              <w:t xml:space="preserve">Summary of where CAQDAS is at </w:t>
            </w:r>
            <w:r w:rsidR="002D4B44" w:rsidRPr="00D500EB">
              <w:rPr>
                <w:rFonts w:cs="Times New Roman"/>
                <w:lang w:val="en-GB"/>
              </w:rPr>
              <w:t xml:space="preserve">and </w:t>
            </w:r>
            <w:r w:rsidR="00483E17" w:rsidRPr="00D500EB">
              <w:rPr>
                <w:rFonts w:cs="Times New Roman"/>
                <w:lang w:val="en-GB"/>
              </w:rPr>
              <w:t>what the future holds</w:t>
            </w:r>
            <w:r w:rsidR="002D4B44" w:rsidRPr="00D500EB">
              <w:rPr>
                <w:rFonts w:cs="Times New Roman"/>
                <w:lang w:val="en-GB"/>
              </w:rPr>
              <w:t>,</w:t>
            </w:r>
            <w:r w:rsidR="00483E17" w:rsidRPr="00D500EB">
              <w:rPr>
                <w:rFonts w:cs="Times New Roman"/>
                <w:lang w:val="en-GB"/>
              </w:rPr>
              <w:t xml:space="preserve"> </w:t>
            </w:r>
            <w:r w:rsidRPr="00D500EB">
              <w:rPr>
                <w:rFonts w:cs="Times New Roman"/>
                <w:lang w:val="en-GB"/>
              </w:rPr>
              <w:t>including further reading and exa</w:t>
            </w:r>
            <w:r w:rsidR="002D4B44" w:rsidRPr="00D500EB">
              <w:rPr>
                <w:rFonts w:cs="Times New Roman"/>
                <w:lang w:val="en-GB"/>
              </w:rPr>
              <w:t>mples fro</w:t>
            </w:r>
            <w:r w:rsidRPr="00D500EB">
              <w:rPr>
                <w:rFonts w:cs="Times New Roman"/>
                <w:lang w:val="en-GB"/>
              </w:rPr>
              <w:t>m the research literature</w:t>
            </w:r>
            <w:r w:rsidR="002D4B44" w:rsidRPr="00D500EB">
              <w:rPr>
                <w:rFonts w:cs="Times New Roman"/>
                <w:lang w:val="en-GB"/>
              </w:rPr>
              <w:t>.</w:t>
            </w:r>
          </w:p>
          <w:p w:rsidR="00E972E1" w:rsidRPr="00D500EB" w:rsidRDefault="00E972E1" w:rsidP="00D500EB">
            <w:pPr>
              <w:spacing w:before="120" w:after="120"/>
            </w:pPr>
          </w:p>
        </w:tc>
      </w:tr>
      <w:tr w:rsidR="003606A9" w:rsidRPr="00D500EB" w:rsidTr="007C41B4">
        <w:trPr>
          <w:trHeight w:val="894"/>
        </w:trPr>
        <w:tc>
          <w:tcPr>
            <w:tcW w:w="9828" w:type="dxa"/>
            <w:gridSpan w:val="3"/>
          </w:tcPr>
          <w:p w:rsidR="003606A9" w:rsidRPr="00D500EB" w:rsidRDefault="003606A9" w:rsidP="003606A9">
            <w:pPr>
              <w:numPr>
                <w:ilvl w:val="0"/>
                <w:numId w:val="1"/>
              </w:numPr>
              <w:ind w:left="714" w:hanging="357"/>
              <w:rPr>
                <w:b/>
              </w:rPr>
            </w:pPr>
            <w:r w:rsidRPr="00D500EB">
              <w:rPr>
                <w:b/>
              </w:rPr>
              <w:t xml:space="preserve">A 300 word (maximum) description of the </w:t>
            </w:r>
            <w:r w:rsidR="00635A01" w:rsidRPr="00D500EB">
              <w:rPr>
                <w:b/>
              </w:rPr>
              <w:t xml:space="preserve">Research Symposium/Workshop </w:t>
            </w:r>
            <w:r w:rsidRPr="00D500EB">
              <w:rPr>
                <w:b/>
              </w:rPr>
              <w:t>for the Conference Abstract Booklet (</w:t>
            </w:r>
            <w:r w:rsidR="00792D80" w:rsidRPr="00D500EB">
              <w:rPr>
                <w:b/>
              </w:rPr>
              <w:t>N</w:t>
            </w:r>
            <w:r w:rsidR="00635A01" w:rsidRPr="00D500EB">
              <w:rPr>
                <w:b/>
              </w:rPr>
              <w:t>ote: this should also ‘sell’</w:t>
            </w:r>
            <w:r w:rsidRPr="00D500EB">
              <w:rPr>
                <w:b/>
              </w:rPr>
              <w:t xml:space="preserve"> the benefits of attending</w:t>
            </w:r>
            <w:r w:rsidR="00414F9F" w:rsidRPr="00D500EB">
              <w:rPr>
                <w:b/>
              </w:rPr>
              <w:t xml:space="preserve"> the session</w:t>
            </w:r>
            <w:r w:rsidRPr="00D500EB">
              <w:rPr>
                <w:b/>
              </w:rPr>
              <w:t>)</w:t>
            </w:r>
          </w:p>
        </w:tc>
      </w:tr>
      <w:tr w:rsidR="003606A9" w:rsidRPr="00D500EB">
        <w:tc>
          <w:tcPr>
            <w:tcW w:w="9828" w:type="dxa"/>
            <w:gridSpan w:val="3"/>
          </w:tcPr>
          <w:p w:rsidR="007C41B4" w:rsidRPr="00D500EB" w:rsidRDefault="007C41B4" w:rsidP="00D500EB">
            <w:pPr>
              <w:pStyle w:val="BodyText"/>
              <w:spacing w:before="120"/>
              <w:jc w:val="both"/>
              <w:rPr>
                <w:rFonts w:cs="Times New Roman"/>
                <w:lang w:val="en-GB"/>
              </w:rPr>
            </w:pPr>
            <w:r w:rsidRPr="00D500EB">
              <w:rPr>
                <w:rFonts w:cs="Times New Roman"/>
              </w:rPr>
              <w:t xml:space="preserve">Stories, interviews and other </w:t>
            </w:r>
            <w:r w:rsidR="001E312E" w:rsidRPr="00D500EB">
              <w:rPr>
                <w:rFonts w:cs="Times New Roman"/>
              </w:rPr>
              <w:t>narratives</w:t>
            </w:r>
            <w:r w:rsidRPr="00D500EB">
              <w:rPr>
                <w:rFonts w:cs="Times New Roman"/>
              </w:rPr>
              <w:t xml:space="preserve"> provide a platform for gaining insight and understanding of events and situation</w:t>
            </w:r>
            <w:r w:rsidR="001E312E" w:rsidRPr="00D500EB">
              <w:rPr>
                <w:rFonts w:cs="Times New Roman"/>
              </w:rPr>
              <w:t xml:space="preserve">s.  Exploring these </w:t>
            </w:r>
            <w:r w:rsidR="00B43D46" w:rsidRPr="00D500EB">
              <w:rPr>
                <w:rFonts w:cs="Times New Roman"/>
              </w:rPr>
              <w:t>values</w:t>
            </w:r>
            <w:r w:rsidR="001E312E" w:rsidRPr="00D500EB">
              <w:rPr>
                <w:rFonts w:cs="Times New Roman"/>
              </w:rPr>
              <w:t xml:space="preserve"> has</w:t>
            </w:r>
            <w:r w:rsidRPr="00D500EB">
              <w:rPr>
                <w:rFonts w:cs="Times New Roman"/>
              </w:rPr>
              <w:t xml:space="preserve"> seen a growth in the application of qualitativ</w:t>
            </w:r>
            <w:r w:rsidR="001E312E" w:rsidRPr="00D500EB">
              <w:rPr>
                <w:rFonts w:cs="Times New Roman"/>
              </w:rPr>
              <w:t>e research within the field of M</w:t>
            </w:r>
            <w:r w:rsidRPr="00D500EB">
              <w:rPr>
                <w:rFonts w:cs="Times New Roman"/>
              </w:rPr>
              <w:t>anagement.  Recent improvements in computer-assisted qualitative data analysis (</w:t>
            </w:r>
            <w:r w:rsidR="007575D4" w:rsidRPr="00D500EB">
              <w:rPr>
                <w:rFonts w:cs="Times New Roman"/>
              </w:rPr>
              <w:t>CAQDAS)</w:t>
            </w:r>
            <w:r w:rsidRPr="00D500EB">
              <w:rPr>
                <w:rFonts w:cs="Times New Roman"/>
              </w:rPr>
              <w:t xml:space="preserve"> softwar</w:t>
            </w:r>
            <w:r w:rsidR="000F2B75" w:rsidRPr="00D500EB">
              <w:rPr>
                <w:rFonts w:cs="Times New Roman"/>
              </w:rPr>
              <w:t>e design, if used correctly, have</w:t>
            </w:r>
            <w:r w:rsidRPr="00D500EB">
              <w:rPr>
                <w:rFonts w:cs="Times New Roman"/>
              </w:rPr>
              <w:t xml:space="preserve"> the “ability to support the research process” </w:t>
            </w:r>
            <w:r w:rsidR="00103656" w:rsidRPr="00D500EB">
              <w:rPr>
                <w:rFonts w:cs="Times New Roman"/>
              </w:rPr>
              <w:fldChar w:fldCharType="begin"/>
            </w:r>
            <w:r w:rsidRPr="00D500EB">
              <w:rPr>
                <w:rFonts w:cs="Times New Roman"/>
              </w:rPr>
              <w:instrText xml:space="preserve"> ADDIN EN.CITE &lt;EndNote&gt;&lt;Cite&gt;&lt;Author&gt;Corbin&lt;/Author&gt;&lt;Year&gt;2008&lt;/Year&gt;&lt;RecNum&gt;2165&lt;/RecNum&gt;&lt;Pages&gt;xi&lt;/Pages&gt;&lt;DisplayText&gt;(Corbin and Strauss, 2008)&lt;/DisplayText&gt;&lt;record&gt;&lt;rec-number&gt;2165&lt;/rec-number&gt;&lt;foreign-keys&gt;&lt;key app="EN" db-id="0dxpsdd27fxr0ie5wdyxx9a5vzeavtx955dr"&gt;2165&lt;/key&gt;&lt;/foreign-keys&gt;&lt;ref-type name="Book"&gt;6&lt;/ref-type&gt;&lt;contributors&gt;&lt;authors&gt;&lt;author&gt;Corbin, J.&lt;/author&gt;&lt;author&gt;Strauss, A.L.&lt;/author&gt;&lt;/authors&gt;&lt;/contributors&gt;&lt;titles&gt;&lt;title&gt;Basics of qualitative research&lt;/title&gt;&lt;/titles&gt;&lt;edition&gt;3rd&lt;/edition&gt;&lt;dates&gt;&lt;year&gt;2008&lt;/year&gt;&lt;/dates&gt;&lt;pub-location&gt;Thousand Oaks, CA&lt;/pub-location&gt;&lt;publisher&gt;Sage&lt;/publisher&gt;&lt;urls&gt;&lt;/urls&gt;&lt;/record&gt;&lt;/Cite&gt;&lt;/EndNote&gt;</w:instrText>
            </w:r>
            <w:r w:rsidR="00103656" w:rsidRPr="00D500EB">
              <w:rPr>
                <w:rFonts w:cs="Times New Roman"/>
              </w:rPr>
              <w:fldChar w:fldCharType="separate"/>
            </w:r>
            <w:r w:rsidRPr="00D500EB">
              <w:rPr>
                <w:rFonts w:cs="Times New Roman"/>
                <w:noProof/>
              </w:rPr>
              <w:t>(</w:t>
            </w:r>
            <w:hyperlink w:anchor="_ENREF_2" w:tooltip="Corbin, 2008 #2165" w:history="1">
              <w:r w:rsidRPr="00D500EB">
                <w:rPr>
                  <w:rFonts w:cs="Times New Roman"/>
                  <w:noProof/>
                </w:rPr>
                <w:t>Corbin and Strauss, 2008</w:t>
              </w:r>
            </w:hyperlink>
            <w:r w:rsidRPr="00D500EB">
              <w:rPr>
                <w:rFonts w:cs="Times New Roman"/>
                <w:noProof/>
              </w:rPr>
              <w:t>)</w:t>
            </w:r>
            <w:r w:rsidR="00103656" w:rsidRPr="00D500EB">
              <w:rPr>
                <w:rFonts w:cs="Times New Roman"/>
              </w:rPr>
              <w:fldChar w:fldCharType="end"/>
            </w:r>
            <w:r w:rsidRPr="00D500EB">
              <w:rPr>
                <w:rFonts w:cs="Times New Roman"/>
              </w:rPr>
              <w:t>.</w:t>
            </w:r>
            <w:r w:rsidRPr="00D500EB">
              <w:rPr>
                <w:rFonts w:cs="Times New Roman"/>
                <w:lang w:val="en-GB"/>
              </w:rPr>
              <w:t xml:space="preserve"> Software may improve the </w:t>
            </w:r>
            <w:r w:rsidR="001E312E" w:rsidRPr="00D500EB">
              <w:rPr>
                <w:rFonts w:cs="Times New Roman"/>
                <w:lang w:val="en-GB"/>
              </w:rPr>
              <w:t>analytical process</w:t>
            </w:r>
            <w:r w:rsidRPr="00D500EB">
              <w:rPr>
                <w:rFonts w:cs="Times New Roman"/>
                <w:lang w:val="en-GB"/>
              </w:rPr>
              <w:t xml:space="preserve"> involved at this level</w:t>
            </w:r>
            <w:r w:rsidR="001E312E" w:rsidRPr="00D500EB">
              <w:rPr>
                <w:rFonts w:cs="Times New Roman"/>
                <w:lang w:val="en-GB"/>
              </w:rPr>
              <w:t>,</w:t>
            </w:r>
            <w:r w:rsidRPr="00D500EB">
              <w:rPr>
                <w:rFonts w:cs="Times New Roman"/>
                <w:lang w:val="en-GB"/>
              </w:rPr>
              <w:t xml:space="preserve"> yet critical thinking is still required along with the time and commitment of the researcher. I</w:t>
            </w:r>
            <w:r w:rsidR="001A57E0" w:rsidRPr="00D500EB">
              <w:rPr>
                <w:rFonts w:cs="Times New Roman"/>
                <w:lang w:val="en-GB"/>
              </w:rPr>
              <w:t>t is clear that</w:t>
            </w:r>
            <w:r w:rsidR="00246318" w:rsidRPr="00D500EB">
              <w:rPr>
                <w:rFonts w:cs="Times New Roman"/>
                <w:lang w:val="en-GB"/>
              </w:rPr>
              <w:t xml:space="preserve"> </w:t>
            </w:r>
            <w:r w:rsidRPr="00D500EB">
              <w:rPr>
                <w:rFonts w:cs="Times New Roman"/>
                <w:lang w:val="en-GB"/>
              </w:rPr>
              <w:t>software can aid the experienced re</w:t>
            </w:r>
            <w:r w:rsidR="00246318" w:rsidRPr="00D500EB">
              <w:rPr>
                <w:rFonts w:cs="Times New Roman"/>
                <w:lang w:val="en-GB"/>
              </w:rPr>
              <w:t>searcher in crafting their work, h</w:t>
            </w:r>
            <w:r w:rsidR="001A57E0" w:rsidRPr="00D500EB">
              <w:rPr>
                <w:rFonts w:cs="Times New Roman"/>
                <w:lang w:val="en-GB"/>
              </w:rPr>
              <w:t>owever, i</w:t>
            </w:r>
            <w:r w:rsidRPr="00D500EB">
              <w:rPr>
                <w:rFonts w:cs="Times New Roman"/>
                <w:lang w:val="en-GB"/>
              </w:rPr>
              <w:t>n the hands of an inexperienced qualitative researcher it can detract not only from the research being undertaken</w:t>
            </w:r>
            <w:r w:rsidR="001A57E0" w:rsidRPr="00D500EB">
              <w:rPr>
                <w:rFonts w:cs="Times New Roman"/>
                <w:lang w:val="en-GB"/>
              </w:rPr>
              <w:t>,</w:t>
            </w:r>
            <w:r w:rsidRPr="00D500EB">
              <w:rPr>
                <w:rFonts w:cs="Times New Roman"/>
                <w:lang w:val="en-GB"/>
              </w:rPr>
              <w:t xml:space="preserve"> but also from the field of qualitative research itself.</w:t>
            </w:r>
          </w:p>
          <w:p w:rsidR="004078D9" w:rsidRPr="00D500EB" w:rsidRDefault="007C41B4" w:rsidP="00D500EB">
            <w:pPr>
              <w:pStyle w:val="Thesisbody"/>
              <w:spacing w:before="120"/>
              <w:rPr>
                <w:rFonts w:cs="Times New Roman"/>
                <w:sz w:val="24"/>
                <w:szCs w:val="24"/>
              </w:rPr>
            </w:pPr>
            <w:r w:rsidRPr="00D500EB">
              <w:rPr>
                <w:rFonts w:cs="Times New Roman"/>
                <w:caps w:val="0"/>
                <w:sz w:val="24"/>
                <w:szCs w:val="24"/>
              </w:rPr>
              <w:t>This workshop provides insight into an Australia</w:t>
            </w:r>
            <w:r w:rsidR="007575D4" w:rsidRPr="00D500EB">
              <w:rPr>
                <w:rFonts w:cs="Times New Roman"/>
                <w:caps w:val="0"/>
                <w:sz w:val="24"/>
                <w:szCs w:val="24"/>
              </w:rPr>
              <w:t>n</w:t>
            </w:r>
            <w:r w:rsidRPr="00D500EB">
              <w:rPr>
                <w:rFonts w:cs="Times New Roman"/>
                <w:caps w:val="0"/>
                <w:sz w:val="24"/>
                <w:szCs w:val="24"/>
              </w:rPr>
              <w:t xml:space="preserve"> </w:t>
            </w:r>
            <w:r w:rsidR="001A57E0" w:rsidRPr="00D500EB">
              <w:rPr>
                <w:rFonts w:cs="Times New Roman"/>
                <w:caps w:val="0"/>
                <w:sz w:val="24"/>
                <w:szCs w:val="24"/>
              </w:rPr>
              <w:t xml:space="preserve">software </w:t>
            </w:r>
            <w:r w:rsidRPr="00D500EB">
              <w:rPr>
                <w:rFonts w:cs="Times New Roman"/>
                <w:caps w:val="0"/>
                <w:sz w:val="24"/>
                <w:szCs w:val="24"/>
              </w:rPr>
              <w:t>creation</w:t>
            </w:r>
            <w:r w:rsidR="001A57E0" w:rsidRPr="00D500EB">
              <w:rPr>
                <w:rFonts w:cs="Times New Roman"/>
                <w:caps w:val="0"/>
                <w:sz w:val="24"/>
                <w:szCs w:val="24"/>
              </w:rPr>
              <w:t>:</w:t>
            </w:r>
            <w:r w:rsidR="007575D4" w:rsidRPr="00D500EB">
              <w:rPr>
                <w:rFonts w:cs="Times New Roman"/>
                <w:caps w:val="0"/>
                <w:sz w:val="24"/>
                <w:szCs w:val="24"/>
              </w:rPr>
              <w:t xml:space="preserve"> Leximanc</w:t>
            </w:r>
            <w:r w:rsidRPr="00D500EB">
              <w:rPr>
                <w:rFonts w:cs="Times New Roman"/>
                <w:caps w:val="0"/>
                <w:sz w:val="24"/>
                <w:szCs w:val="24"/>
              </w:rPr>
              <w:t>er</w:t>
            </w:r>
            <w:r w:rsidR="007575D4" w:rsidRPr="00D500EB">
              <w:rPr>
                <w:rFonts w:cs="Times New Roman"/>
                <w:caps w:val="0"/>
                <w:sz w:val="24"/>
                <w:szCs w:val="24"/>
              </w:rPr>
              <w:t>,</w:t>
            </w:r>
            <w:r w:rsidRPr="00D500EB">
              <w:rPr>
                <w:rFonts w:cs="Times New Roman"/>
                <w:caps w:val="0"/>
                <w:sz w:val="24"/>
                <w:szCs w:val="24"/>
              </w:rPr>
              <w:t xml:space="preserve"> and demonstrates</w:t>
            </w:r>
            <w:r w:rsidR="007575D4" w:rsidRPr="00D500EB">
              <w:rPr>
                <w:rFonts w:cs="Times New Roman"/>
                <w:caps w:val="0"/>
                <w:sz w:val="24"/>
                <w:szCs w:val="24"/>
              </w:rPr>
              <w:t xml:space="preserve"> its</w:t>
            </w:r>
            <w:r w:rsidRPr="00D500EB">
              <w:rPr>
                <w:rFonts w:cs="Times New Roman"/>
                <w:caps w:val="0"/>
                <w:sz w:val="24"/>
                <w:szCs w:val="24"/>
              </w:rPr>
              <w:t xml:space="preserve"> relevance to management research by linking theory to practice across three different research projects and hands</w:t>
            </w:r>
            <w:r w:rsidR="001A57E0" w:rsidRPr="00D500EB">
              <w:rPr>
                <w:rFonts w:cs="Times New Roman"/>
                <w:caps w:val="0"/>
                <w:sz w:val="24"/>
                <w:szCs w:val="24"/>
              </w:rPr>
              <w:t>-</w:t>
            </w:r>
            <w:r w:rsidRPr="00D500EB">
              <w:rPr>
                <w:rFonts w:cs="Times New Roman"/>
                <w:caps w:val="0"/>
                <w:sz w:val="24"/>
                <w:szCs w:val="24"/>
              </w:rPr>
              <w:t xml:space="preserve">on activities. </w:t>
            </w:r>
            <w:r w:rsidRPr="00D500EB">
              <w:rPr>
                <w:rFonts w:cs="Times New Roman"/>
                <w:sz w:val="24"/>
                <w:szCs w:val="24"/>
              </w:rPr>
              <w:t xml:space="preserve"> </w:t>
            </w:r>
            <w:r w:rsidR="007575D4" w:rsidRPr="00D500EB">
              <w:rPr>
                <w:rFonts w:cs="Times New Roman"/>
                <w:caps w:val="0"/>
                <w:sz w:val="24"/>
                <w:szCs w:val="24"/>
              </w:rPr>
              <w:t>The primary benefit of L</w:t>
            </w:r>
            <w:r w:rsidRPr="00D500EB">
              <w:rPr>
                <w:rFonts w:cs="Times New Roman"/>
                <w:caps w:val="0"/>
                <w:sz w:val="24"/>
                <w:szCs w:val="24"/>
              </w:rPr>
              <w:t>eximancer over most other qualitative software packages is that it links complex algorithmic analysis with aspects of psychology and language when interpreting transcript data. To delve into t</w:t>
            </w:r>
            <w:r w:rsidR="007575D4" w:rsidRPr="00D500EB">
              <w:rPr>
                <w:rFonts w:cs="Times New Roman"/>
                <w:caps w:val="0"/>
                <w:sz w:val="24"/>
                <w:szCs w:val="24"/>
              </w:rPr>
              <w:t xml:space="preserve">he pros and cons of why to use </w:t>
            </w:r>
            <w:r w:rsidR="007575D4" w:rsidRPr="00D500EB">
              <w:rPr>
                <w:rFonts w:cs="Times New Roman"/>
                <w:caps w:val="0"/>
                <w:sz w:val="24"/>
                <w:szCs w:val="24"/>
              </w:rPr>
              <w:lastRenderedPageBreak/>
              <w:t>L</w:t>
            </w:r>
            <w:r w:rsidRPr="00D500EB">
              <w:rPr>
                <w:rFonts w:cs="Times New Roman"/>
                <w:caps w:val="0"/>
                <w:sz w:val="24"/>
                <w:szCs w:val="24"/>
              </w:rPr>
              <w:t>eximancer over other software packages is not the subject of this workshop</w:t>
            </w:r>
            <w:r w:rsidRPr="00D500EB">
              <w:rPr>
                <w:rFonts w:cs="Times New Roman"/>
                <w:sz w:val="24"/>
                <w:szCs w:val="24"/>
              </w:rPr>
              <w:t>;</w:t>
            </w:r>
            <w:r w:rsidRPr="00D500EB">
              <w:rPr>
                <w:rFonts w:cs="Times New Roman"/>
                <w:caps w:val="0"/>
                <w:sz w:val="24"/>
                <w:szCs w:val="24"/>
              </w:rPr>
              <w:t xml:space="preserve"> however</w:t>
            </w:r>
            <w:r w:rsidR="007575D4" w:rsidRPr="00D500EB">
              <w:rPr>
                <w:rFonts w:cs="Times New Roman"/>
                <w:caps w:val="0"/>
                <w:sz w:val="24"/>
                <w:szCs w:val="24"/>
              </w:rPr>
              <w:t>,</w:t>
            </w:r>
            <w:r w:rsidRPr="00D500EB">
              <w:rPr>
                <w:rFonts w:cs="Times New Roman"/>
                <w:caps w:val="0"/>
                <w:sz w:val="24"/>
                <w:szCs w:val="24"/>
              </w:rPr>
              <w:t xml:space="preserve"> users of other software will be able to compar</w:t>
            </w:r>
            <w:r w:rsidR="007575D4" w:rsidRPr="00D500EB">
              <w:rPr>
                <w:rFonts w:cs="Times New Roman"/>
                <w:caps w:val="0"/>
                <w:sz w:val="24"/>
                <w:szCs w:val="24"/>
              </w:rPr>
              <w:t>e L</w:t>
            </w:r>
            <w:r w:rsidRPr="00D500EB">
              <w:rPr>
                <w:rFonts w:cs="Times New Roman"/>
                <w:caps w:val="0"/>
                <w:sz w:val="24"/>
                <w:szCs w:val="24"/>
              </w:rPr>
              <w:t>eximancer with their existing software experience. Insights into our choice of leximancer will be provided and the workshop builds on this by providing an opportunity for those who would like t</w:t>
            </w:r>
            <w:r w:rsidR="007575D4" w:rsidRPr="00D500EB">
              <w:rPr>
                <w:rFonts w:cs="Times New Roman"/>
                <w:caps w:val="0"/>
                <w:sz w:val="24"/>
                <w:szCs w:val="24"/>
              </w:rPr>
              <w:t>o explore the possibilities of L</w:t>
            </w:r>
            <w:r w:rsidRPr="00D500EB">
              <w:rPr>
                <w:rFonts w:cs="Times New Roman"/>
                <w:caps w:val="0"/>
                <w:sz w:val="24"/>
                <w:szCs w:val="24"/>
              </w:rPr>
              <w:t xml:space="preserve">eximancer in a collaborative environment. </w:t>
            </w:r>
          </w:p>
        </w:tc>
      </w:tr>
      <w:tr w:rsidR="003606A9" w:rsidRPr="00D500EB">
        <w:tc>
          <w:tcPr>
            <w:tcW w:w="9828" w:type="dxa"/>
            <w:gridSpan w:val="3"/>
          </w:tcPr>
          <w:p w:rsidR="003606A9" w:rsidRPr="00D500EB" w:rsidRDefault="003606A9" w:rsidP="00D500EB">
            <w:pPr>
              <w:numPr>
                <w:ilvl w:val="0"/>
                <w:numId w:val="1"/>
              </w:numPr>
              <w:spacing w:before="120" w:after="120"/>
              <w:ind w:left="714" w:hanging="357"/>
              <w:rPr>
                <w:b/>
              </w:rPr>
            </w:pPr>
            <w:r w:rsidRPr="00D500EB">
              <w:rPr>
                <w:b/>
              </w:rPr>
              <w:lastRenderedPageBreak/>
              <w:t xml:space="preserve">Relevance of the </w:t>
            </w:r>
            <w:r w:rsidR="00635A01" w:rsidRPr="00D500EB">
              <w:rPr>
                <w:b/>
              </w:rPr>
              <w:t xml:space="preserve">Research Symposium/Workshop </w:t>
            </w:r>
            <w:r w:rsidRPr="00D500EB">
              <w:rPr>
                <w:b/>
              </w:rPr>
              <w:t>to ANZAM members</w:t>
            </w:r>
            <w:r w:rsidR="004078D9" w:rsidRPr="00D500EB">
              <w:rPr>
                <w:b/>
              </w:rPr>
              <w:t xml:space="preserve"> (100 word max</w:t>
            </w:r>
            <w:r w:rsidR="007B7DFD" w:rsidRPr="00D500EB">
              <w:rPr>
                <w:b/>
              </w:rPr>
              <w:t>imum</w:t>
            </w:r>
            <w:r w:rsidR="004078D9" w:rsidRPr="00D500EB">
              <w:rPr>
                <w:b/>
              </w:rPr>
              <w:t>)</w:t>
            </w:r>
          </w:p>
        </w:tc>
      </w:tr>
      <w:tr w:rsidR="003606A9" w:rsidRPr="00D500EB">
        <w:tc>
          <w:tcPr>
            <w:tcW w:w="9828" w:type="dxa"/>
            <w:gridSpan w:val="3"/>
          </w:tcPr>
          <w:p w:rsidR="004078D9" w:rsidRPr="00D500EB" w:rsidRDefault="001D760B" w:rsidP="00D500EB">
            <w:pPr>
              <w:pStyle w:val="Header"/>
              <w:spacing w:before="120" w:after="120"/>
              <w:jc w:val="both"/>
              <w:rPr>
                <w:sz w:val="24"/>
              </w:rPr>
            </w:pPr>
            <w:r w:rsidRPr="00D500EB">
              <w:rPr>
                <w:caps w:val="0"/>
                <w:sz w:val="24"/>
                <w:lang w:val="en-GB"/>
              </w:rPr>
              <w:t>Aimed specifically for new to mid-career qualitative researchers (including Ph</w:t>
            </w:r>
            <w:r w:rsidR="00D90309" w:rsidRPr="00D500EB">
              <w:rPr>
                <w:caps w:val="0"/>
                <w:sz w:val="24"/>
                <w:lang w:val="en-GB"/>
              </w:rPr>
              <w:t>D</w:t>
            </w:r>
            <w:r w:rsidRPr="00D500EB">
              <w:rPr>
                <w:caps w:val="0"/>
                <w:sz w:val="24"/>
                <w:lang w:val="en-GB"/>
              </w:rPr>
              <w:t xml:space="preserve"> students)</w:t>
            </w:r>
            <w:r w:rsidR="00D90309" w:rsidRPr="00D500EB">
              <w:rPr>
                <w:caps w:val="0"/>
                <w:sz w:val="24"/>
                <w:lang w:val="en-GB"/>
              </w:rPr>
              <w:t>,</w:t>
            </w:r>
            <w:r w:rsidRPr="00D500EB">
              <w:rPr>
                <w:caps w:val="0"/>
                <w:sz w:val="24"/>
                <w:lang w:val="en-GB"/>
              </w:rPr>
              <w:t xml:space="preserve"> this workshop also adds value</w:t>
            </w:r>
            <w:r w:rsidR="00D90309" w:rsidRPr="00D500EB">
              <w:rPr>
                <w:caps w:val="0"/>
                <w:sz w:val="24"/>
                <w:lang w:val="en-GB"/>
              </w:rPr>
              <w:t xml:space="preserve"> to </w:t>
            </w:r>
            <w:r w:rsidRPr="00D500EB">
              <w:rPr>
                <w:caps w:val="0"/>
                <w:sz w:val="24"/>
                <w:lang w:val="en-GB"/>
              </w:rPr>
              <w:t>experienced researchers within ANZAM</w:t>
            </w:r>
            <w:r w:rsidR="00D90309" w:rsidRPr="00D500EB">
              <w:rPr>
                <w:caps w:val="0"/>
                <w:sz w:val="24"/>
                <w:lang w:val="en-GB"/>
              </w:rPr>
              <w:t xml:space="preserve"> </w:t>
            </w:r>
            <w:r w:rsidRPr="00D500EB">
              <w:rPr>
                <w:caps w:val="0"/>
                <w:sz w:val="24"/>
                <w:lang w:val="en-GB"/>
              </w:rPr>
              <w:t>not familiar with computer-assisted qualitative data analysis (</w:t>
            </w:r>
            <w:r w:rsidR="000F2B75" w:rsidRPr="00D500EB">
              <w:rPr>
                <w:caps w:val="0"/>
                <w:sz w:val="24"/>
                <w:lang w:val="en-GB"/>
              </w:rPr>
              <w:t>CAQDAS</w:t>
            </w:r>
            <w:r w:rsidRPr="00D500EB">
              <w:rPr>
                <w:caps w:val="0"/>
                <w:sz w:val="24"/>
                <w:lang w:val="en-GB"/>
              </w:rPr>
              <w:t>) software. Leximancer</w:t>
            </w:r>
            <w:r w:rsidRPr="00D500EB">
              <w:rPr>
                <w:sz w:val="24"/>
                <w:lang w:val="en-GB"/>
              </w:rPr>
              <w:t xml:space="preserve"> </w:t>
            </w:r>
            <w:r w:rsidRPr="00D500EB">
              <w:rPr>
                <w:caps w:val="0"/>
                <w:sz w:val="24"/>
                <w:lang w:val="en-GB"/>
              </w:rPr>
              <w:t xml:space="preserve">is a cutting edge Australian </w:t>
            </w:r>
            <w:r w:rsidR="000F2B75" w:rsidRPr="00D500EB">
              <w:rPr>
                <w:caps w:val="0"/>
                <w:sz w:val="24"/>
                <w:lang w:val="en-GB"/>
              </w:rPr>
              <w:t>CAQDAS</w:t>
            </w:r>
            <w:r w:rsidRPr="00D500EB">
              <w:rPr>
                <w:caps w:val="0"/>
                <w:sz w:val="24"/>
                <w:lang w:val="en-GB"/>
              </w:rPr>
              <w:t xml:space="preserve"> that can be a valuable data analysis tool when fully understood and is more powerful than other programs. Misuse of </w:t>
            </w:r>
            <w:r w:rsidR="00D90309" w:rsidRPr="00D500EB">
              <w:rPr>
                <w:caps w:val="0"/>
                <w:sz w:val="24"/>
                <w:lang w:val="en-GB"/>
              </w:rPr>
              <w:t>CAQDAS</w:t>
            </w:r>
            <w:r w:rsidRPr="00D500EB">
              <w:rPr>
                <w:caps w:val="0"/>
                <w:sz w:val="24"/>
                <w:lang w:val="en-GB"/>
              </w:rPr>
              <w:t xml:space="preserve"> occurs when issues of technique replace rigour. Through actual research outcomes and practical examples linking theory to practice</w:t>
            </w:r>
            <w:r w:rsidR="00D90309" w:rsidRPr="00D500EB">
              <w:rPr>
                <w:caps w:val="0"/>
                <w:sz w:val="24"/>
                <w:lang w:val="en-GB"/>
              </w:rPr>
              <w:t>,</w:t>
            </w:r>
            <w:r w:rsidRPr="00D500EB">
              <w:rPr>
                <w:caps w:val="0"/>
                <w:sz w:val="24"/>
                <w:lang w:val="en-GB"/>
              </w:rPr>
              <w:t xml:space="preserve"> a more complete understanding of the professional judgements required for the effective use of</w:t>
            </w:r>
            <w:r w:rsidR="00D90309" w:rsidRPr="00D500EB">
              <w:rPr>
                <w:caps w:val="0"/>
                <w:sz w:val="24"/>
                <w:lang w:val="en-GB"/>
              </w:rPr>
              <w:t xml:space="preserve"> L</w:t>
            </w:r>
            <w:r w:rsidRPr="00D500EB">
              <w:rPr>
                <w:caps w:val="0"/>
                <w:sz w:val="24"/>
                <w:lang w:val="en-GB"/>
              </w:rPr>
              <w:t xml:space="preserve">eximancer and other </w:t>
            </w:r>
            <w:r w:rsidR="00D90309" w:rsidRPr="00D500EB">
              <w:rPr>
                <w:caps w:val="0"/>
                <w:sz w:val="24"/>
                <w:lang w:val="en-GB"/>
              </w:rPr>
              <w:t>CAQDAS</w:t>
            </w:r>
            <w:r w:rsidRPr="00D500EB">
              <w:rPr>
                <w:caps w:val="0"/>
                <w:sz w:val="24"/>
                <w:lang w:val="en-GB"/>
              </w:rPr>
              <w:t xml:space="preserve"> will be addressed in this workshop.</w:t>
            </w:r>
          </w:p>
        </w:tc>
      </w:tr>
      <w:tr w:rsidR="003606A9" w:rsidRPr="00D500EB">
        <w:tc>
          <w:tcPr>
            <w:tcW w:w="9828" w:type="dxa"/>
            <w:gridSpan w:val="3"/>
          </w:tcPr>
          <w:p w:rsidR="003606A9" w:rsidRPr="00D500EB" w:rsidRDefault="003606A9" w:rsidP="00D500EB">
            <w:pPr>
              <w:numPr>
                <w:ilvl w:val="0"/>
                <w:numId w:val="1"/>
              </w:numPr>
              <w:spacing w:before="120" w:after="120"/>
              <w:ind w:left="714" w:hanging="357"/>
              <w:rPr>
                <w:b/>
              </w:rPr>
            </w:pPr>
            <w:r w:rsidRPr="00D500EB">
              <w:rPr>
                <w:b/>
              </w:rPr>
              <w:t xml:space="preserve">Names, </w:t>
            </w:r>
            <w:r w:rsidR="00BA3262" w:rsidRPr="00D500EB">
              <w:rPr>
                <w:b/>
              </w:rPr>
              <w:t xml:space="preserve">titles and </w:t>
            </w:r>
            <w:r w:rsidRPr="00D500EB">
              <w:rPr>
                <w:b/>
              </w:rPr>
              <w:t xml:space="preserve">affiliations of the </w:t>
            </w:r>
            <w:r w:rsidR="00635A01" w:rsidRPr="00D500EB">
              <w:rPr>
                <w:b/>
              </w:rPr>
              <w:t xml:space="preserve">Research Symposium/Workshop </w:t>
            </w:r>
            <w:r w:rsidRPr="00D500EB">
              <w:rPr>
                <w:b/>
              </w:rPr>
              <w:t>organiser</w:t>
            </w:r>
            <w:r w:rsidR="00414F9F" w:rsidRPr="00D500EB">
              <w:rPr>
                <w:b/>
              </w:rPr>
              <w:t xml:space="preserve">s and </w:t>
            </w:r>
            <w:r w:rsidRPr="00D500EB">
              <w:rPr>
                <w:b/>
              </w:rPr>
              <w:t>presenters</w:t>
            </w:r>
          </w:p>
        </w:tc>
      </w:tr>
      <w:tr w:rsidR="00357779" w:rsidRPr="00D500EB" w:rsidTr="00A242BE">
        <w:tc>
          <w:tcPr>
            <w:tcW w:w="1368" w:type="dxa"/>
          </w:tcPr>
          <w:p w:rsidR="00357779" w:rsidRPr="00D500EB" w:rsidRDefault="00357779" w:rsidP="00D500EB">
            <w:pPr>
              <w:spacing w:before="120" w:after="120"/>
            </w:pPr>
            <w:r w:rsidRPr="00D500EB">
              <w:rPr>
                <w:b/>
              </w:rPr>
              <w:t>1.</w:t>
            </w:r>
            <w:r w:rsidRPr="00D500EB">
              <w:t xml:space="preserve"> </w:t>
            </w:r>
            <w:r w:rsidR="00A242BE" w:rsidRPr="00D500EB">
              <w:rPr>
                <w:lang w:val="en-GB"/>
              </w:rPr>
              <w:t>Dr</w:t>
            </w:r>
          </w:p>
        </w:tc>
        <w:tc>
          <w:tcPr>
            <w:tcW w:w="3135" w:type="dxa"/>
          </w:tcPr>
          <w:p w:rsidR="00A242BE" w:rsidRPr="00D500EB" w:rsidRDefault="00A242BE" w:rsidP="00D500EB">
            <w:pPr>
              <w:spacing w:before="120" w:after="120"/>
              <w:rPr>
                <w:lang w:val="en-GB"/>
              </w:rPr>
            </w:pPr>
            <w:r w:rsidRPr="00D500EB">
              <w:rPr>
                <w:lang w:val="en-GB"/>
              </w:rPr>
              <w:t xml:space="preserve">Rod Gapp </w:t>
            </w:r>
          </w:p>
          <w:p w:rsidR="00357779" w:rsidRPr="00D500EB" w:rsidRDefault="00357779" w:rsidP="00D500EB">
            <w:pPr>
              <w:spacing w:before="120" w:after="120"/>
            </w:pPr>
          </w:p>
        </w:tc>
        <w:tc>
          <w:tcPr>
            <w:tcW w:w="5325" w:type="dxa"/>
          </w:tcPr>
          <w:p w:rsidR="00973BCA" w:rsidRPr="00D500EB" w:rsidRDefault="00973BCA" w:rsidP="00D500EB">
            <w:pPr>
              <w:spacing w:before="120" w:after="120"/>
            </w:pPr>
            <w:r w:rsidRPr="00D500EB">
              <w:t>Senior Lecturer in Management</w:t>
            </w:r>
          </w:p>
          <w:p w:rsidR="00A242BE" w:rsidRPr="00D500EB" w:rsidRDefault="00A242BE" w:rsidP="00D500EB">
            <w:pPr>
              <w:spacing w:before="120" w:after="120"/>
            </w:pPr>
            <w:r w:rsidRPr="00D500EB">
              <w:t>Griffith Business School</w:t>
            </w:r>
          </w:p>
          <w:p w:rsidR="00357779" w:rsidRPr="00D500EB" w:rsidRDefault="00A242BE" w:rsidP="00D500EB">
            <w:pPr>
              <w:spacing w:before="120" w:after="120"/>
            </w:pPr>
            <w:r w:rsidRPr="00D500EB">
              <w:t>Griffith University</w:t>
            </w:r>
          </w:p>
        </w:tc>
      </w:tr>
      <w:tr w:rsidR="00357779" w:rsidRPr="00D500EB" w:rsidTr="00A242BE">
        <w:trPr>
          <w:trHeight w:val="349"/>
        </w:trPr>
        <w:tc>
          <w:tcPr>
            <w:tcW w:w="1368" w:type="dxa"/>
          </w:tcPr>
          <w:p w:rsidR="00357779" w:rsidRPr="00D500EB" w:rsidRDefault="00357779" w:rsidP="00D500EB">
            <w:pPr>
              <w:spacing w:before="120" w:after="120"/>
            </w:pPr>
            <w:r w:rsidRPr="00D500EB">
              <w:rPr>
                <w:b/>
              </w:rPr>
              <w:t>2</w:t>
            </w:r>
            <w:r w:rsidRPr="00D500EB">
              <w:t xml:space="preserve">. </w:t>
            </w:r>
            <w:r w:rsidR="00A242BE" w:rsidRPr="00D500EB">
              <w:t>Dr</w:t>
            </w:r>
          </w:p>
        </w:tc>
        <w:tc>
          <w:tcPr>
            <w:tcW w:w="3135" w:type="dxa"/>
          </w:tcPr>
          <w:p w:rsidR="00357779" w:rsidRPr="00D500EB" w:rsidRDefault="00A242BE" w:rsidP="00D500EB">
            <w:pPr>
              <w:spacing w:before="120" w:after="120"/>
            </w:pPr>
            <w:r w:rsidRPr="00D500EB">
              <w:t>Ian Harwood</w:t>
            </w:r>
          </w:p>
        </w:tc>
        <w:tc>
          <w:tcPr>
            <w:tcW w:w="5325" w:type="dxa"/>
          </w:tcPr>
          <w:p w:rsidR="00973BCA" w:rsidRPr="00D500EB" w:rsidRDefault="00973BCA" w:rsidP="00D500EB">
            <w:pPr>
              <w:spacing w:before="120" w:after="120"/>
              <w:rPr>
                <w:lang w:val="en-GB"/>
              </w:rPr>
            </w:pPr>
            <w:r w:rsidRPr="00D500EB">
              <w:rPr>
                <w:lang w:val="en-GB"/>
              </w:rPr>
              <w:t>Senior Lecturer in Management</w:t>
            </w:r>
          </w:p>
          <w:p w:rsidR="00A242BE" w:rsidRPr="00D500EB" w:rsidRDefault="00D90309" w:rsidP="00D500EB">
            <w:pPr>
              <w:spacing w:before="120" w:after="120"/>
              <w:rPr>
                <w:lang w:val="en-GB"/>
              </w:rPr>
            </w:pPr>
            <w:r w:rsidRPr="00D500EB">
              <w:rPr>
                <w:lang w:val="en-GB"/>
              </w:rPr>
              <w:t>Southampton Management School</w:t>
            </w:r>
          </w:p>
          <w:p w:rsidR="00A242BE" w:rsidRPr="00D500EB" w:rsidRDefault="00A242BE" w:rsidP="00D500EB">
            <w:pPr>
              <w:spacing w:before="120" w:after="120"/>
            </w:pPr>
            <w:r w:rsidRPr="00D500EB">
              <w:rPr>
                <w:lang w:val="en-GB"/>
              </w:rPr>
              <w:t>University of Southampton</w:t>
            </w:r>
          </w:p>
        </w:tc>
      </w:tr>
      <w:tr w:rsidR="00357779" w:rsidRPr="00D500EB" w:rsidTr="00A242BE">
        <w:tc>
          <w:tcPr>
            <w:tcW w:w="1368" w:type="dxa"/>
          </w:tcPr>
          <w:p w:rsidR="00357779" w:rsidRPr="00D500EB" w:rsidRDefault="00357779" w:rsidP="00D500EB">
            <w:pPr>
              <w:spacing w:before="120" w:after="120"/>
            </w:pPr>
            <w:r w:rsidRPr="00D500EB">
              <w:rPr>
                <w:b/>
              </w:rPr>
              <w:t>3.</w:t>
            </w:r>
            <w:r w:rsidRPr="00D500EB">
              <w:t xml:space="preserve"> </w:t>
            </w:r>
            <w:r w:rsidR="00A242BE" w:rsidRPr="00D500EB">
              <w:t>Ms</w:t>
            </w:r>
          </w:p>
        </w:tc>
        <w:tc>
          <w:tcPr>
            <w:tcW w:w="3135" w:type="dxa"/>
          </w:tcPr>
          <w:p w:rsidR="00357779" w:rsidRPr="00D500EB" w:rsidRDefault="00A242BE" w:rsidP="00D500EB">
            <w:pPr>
              <w:spacing w:before="120" w:after="120"/>
            </w:pPr>
            <w:r w:rsidRPr="00D500EB">
              <w:t>Heather Stewart</w:t>
            </w:r>
          </w:p>
        </w:tc>
        <w:tc>
          <w:tcPr>
            <w:tcW w:w="5325" w:type="dxa"/>
          </w:tcPr>
          <w:p w:rsidR="00973BCA" w:rsidRPr="00D500EB" w:rsidRDefault="007D5D62" w:rsidP="00D500EB">
            <w:pPr>
              <w:spacing w:before="120" w:after="120"/>
            </w:pPr>
            <w:r w:rsidRPr="00D500EB">
              <w:t xml:space="preserve">Senior </w:t>
            </w:r>
            <w:r w:rsidR="00973BCA" w:rsidRPr="00D500EB">
              <w:t>Resear</w:t>
            </w:r>
            <w:r w:rsidRPr="00D500EB">
              <w:t xml:space="preserve">ch Assistant </w:t>
            </w:r>
            <w:r w:rsidR="00973BCA" w:rsidRPr="00D500EB">
              <w:t>and PhD Candidate</w:t>
            </w:r>
          </w:p>
          <w:p w:rsidR="00A242BE" w:rsidRPr="00D500EB" w:rsidRDefault="00A242BE" w:rsidP="00D500EB">
            <w:pPr>
              <w:spacing w:before="120" w:after="120"/>
            </w:pPr>
            <w:r w:rsidRPr="00D500EB">
              <w:t>Griffith Business School</w:t>
            </w:r>
          </w:p>
          <w:p w:rsidR="00357779" w:rsidRPr="00D500EB" w:rsidRDefault="00A242BE" w:rsidP="00D500EB">
            <w:pPr>
              <w:spacing w:before="120" w:after="120"/>
            </w:pPr>
            <w:r w:rsidRPr="00D500EB">
              <w:t>Griffith University</w:t>
            </w:r>
          </w:p>
        </w:tc>
      </w:tr>
      <w:tr w:rsidR="00357779" w:rsidRPr="00D500EB" w:rsidTr="00A242BE">
        <w:tc>
          <w:tcPr>
            <w:tcW w:w="1368" w:type="dxa"/>
          </w:tcPr>
          <w:p w:rsidR="00357779" w:rsidRPr="00D500EB" w:rsidRDefault="00357779" w:rsidP="00D500EB">
            <w:pPr>
              <w:spacing w:before="120" w:after="120"/>
            </w:pPr>
            <w:r w:rsidRPr="00D500EB">
              <w:rPr>
                <w:b/>
              </w:rPr>
              <w:t>4</w:t>
            </w:r>
            <w:r w:rsidRPr="00D500EB">
              <w:t xml:space="preserve">. </w:t>
            </w:r>
            <w:r w:rsidR="00A242BE" w:rsidRPr="00D500EB">
              <w:t xml:space="preserve">Mr </w:t>
            </w:r>
          </w:p>
        </w:tc>
        <w:tc>
          <w:tcPr>
            <w:tcW w:w="3135" w:type="dxa"/>
          </w:tcPr>
          <w:p w:rsidR="00357779" w:rsidRPr="00D500EB" w:rsidRDefault="00A242BE" w:rsidP="00D500EB">
            <w:pPr>
              <w:spacing w:before="120" w:after="120"/>
            </w:pPr>
            <w:r w:rsidRPr="00D500EB">
              <w:t>Phillip Woods</w:t>
            </w:r>
          </w:p>
        </w:tc>
        <w:tc>
          <w:tcPr>
            <w:tcW w:w="5325" w:type="dxa"/>
          </w:tcPr>
          <w:p w:rsidR="00973BCA" w:rsidRPr="00D500EB" w:rsidRDefault="00973BCA" w:rsidP="00D500EB">
            <w:pPr>
              <w:spacing w:before="120" w:after="120"/>
            </w:pPr>
            <w:r w:rsidRPr="00D500EB">
              <w:t xml:space="preserve">Lecturer  in Pharmacy Management </w:t>
            </w:r>
          </w:p>
          <w:p w:rsidR="00A242BE" w:rsidRPr="00D500EB" w:rsidRDefault="00A242BE" w:rsidP="00D500EB">
            <w:pPr>
              <w:spacing w:before="120" w:after="120"/>
            </w:pPr>
            <w:r w:rsidRPr="00D500EB">
              <w:t>School of Pharmacy and Griffith Business School</w:t>
            </w:r>
          </w:p>
          <w:p w:rsidR="00357779" w:rsidRPr="00D500EB" w:rsidRDefault="00A242BE" w:rsidP="00D500EB">
            <w:pPr>
              <w:spacing w:before="120" w:after="120"/>
            </w:pPr>
            <w:r w:rsidRPr="00D500EB">
              <w:t>Griffith University</w:t>
            </w:r>
          </w:p>
        </w:tc>
      </w:tr>
      <w:tr w:rsidR="00357779" w:rsidRPr="00D500EB" w:rsidTr="00A242BE">
        <w:tc>
          <w:tcPr>
            <w:tcW w:w="1368" w:type="dxa"/>
          </w:tcPr>
          <w:p w:rsidR="00357779" w:rsidRPr="00D500EB" w:rsidRDefault="00357779" w:rsidP="00D500EB">
            <w:pPr>
              <w:spacing w:before="120" w:after="120"/>
            </w:pPr>
            <w:r w:rsidRPr="00D500EB">
              <w:rPr>
                <w:b/>
              </w:rPr>
              <w:t>5</w:t>
            </w:r>
            <w:r w:rsidRPr="00D500EB">
              <w:t xml:space="preserve">. </w:t>
            </w:r>
          </w:p>
        </w:tc>
        <w:tc>
          <w:tcPr>
            <w:tcW w:w="3135" w:type="dxa"/>
          </w:tcPr>
          <w:p w:rsidR="00357779" w:rsidRPr="00D500EB" w:rsidRDefault="00357779" w:rsidP="00D500EB">
            <w:pPr>
              <w:spacing w:before="120" w:after="120"/>
            </w:pPr>
          </w:p>
        </w:tc>
        <w:tc>
          <w:tcPr>
            <w:tcW w:w="5325" w:type="dxa"/>
          </w:tcPr>
          <w:p w:rsidR="00357779" w:rsidRPr="00D500EB" w:rsidRDefault="00357779" w:rsidP="00D500EB">
            <w:pPr>
              <w:spacing w:before="120" w:after="120"/>
            </w:pPr>
          </w:p>
        </w:tc>
      </w:tr>
      <w:tr w:rsidR="00357779" w:rsidRPr="00D500EB">
        <w:tc>
          <w:tcPr>
            <w:tcW w:w="9828" w:type="dxa"/>
            <w:gridSpan w:val="3"/>
          </w:tcPr>
          <w:p w:rsidR="00357779" w:rsidRPr="00D500EB" w:rsidRDefault="00357779" w:rsidP="00D500EB">
            <w:pPr>
              <w:numPr>
                <w:ilvl w:val="0"/>
                <w:numId w:val="1"/>
              </w:numPr>
              <w:spacing w:before="120" w:after="120"/>
              <w:ind w:left="714" w:hanging="357"/>
              <w:rPr>
                <w:b/>
              </w:rPr>
            </w:pPr>
            <w:r w:rsidRPr="00D500EB">
              <w:rPr>
                <w:b/>
              </w:rPr>
              <w:t xml:space="preserve">Email of </w:t>
            </w:r>
            <w:r w:rsidR="00635A01" w:rsidRPr="00D500EB">
              <w:rPr>
                <w:b/>
              </w:rPr>
              <w:t xml:space="preserve">Research Symposium/Workshop </w:t>
            </w:r>
            <w:r w:rsidRPr="00D500EB">
              <w:rPr>
                <w:b/>
              </w:rPr>
              <w:t>organiser</w:t>
            </w:r>
            <w:r w:rsidR="00414F9F" w:rsidRPr="00D500EB">
              <w:rPr>
                <w:b/>
              </w:rPr>
              <w:t xml:space="preserve">s and </w:t>
            </w:r>
            <w:r w:rsidRPr="00D500EB">
              <w:rPr>
                <w:b/>
              </w:rPr>
              <w:t>presenters</w:t>
            </w:r>
          </w:p>
        </w:tc>
      </w:tr>
      <w:tr w:rsidR="00DF6C56" w:rsidRPr="00D500EB">
        <w:tc>
          <w:tcPr>
            <w:tcW w:w="9828" w:type="dxa"/>
            <w:gridSpan w:val="3"/>
          </w:tcPr>
          <w:p w:rsidR="00DF6C56" w:rsidRPr="00D500EB" w:rsidRDefault="00DF6C56" w:rsidP="00D500EB">
            <w:pPr>
              <w:spacing w:before="120" w:after="120"/>
            </w:pPr>
            <w:r w:rsidRPr="00D500EB">
              <w:rPr>
                <w:b/>
              </w:rPr>
              <w:t xml:space="preserve">1. </w:t>
            </w:r>
            <w:hyperlink r:id="rId6" w:history="1">
              <w:r w:rsidR="00A242BE" w:rsidRPr="00D500EB">
                <w:rPr>
                  <w:rStyle w:val="Hyperlink"/>
                  <w:rFonts w:eastAsiaTheme="minorEastAsia"/>
                  <w:lang w:val="en-GB"/>
                </w:rPr>
                <w:t>r.gapp@griffith.edu.au</w:t>
              </w:r>
            </w:hyperlink>
          </w:p>
        </w:tc>
      </w:tr>
      <w:tr w:rsidR="00DF6C56" w:rsidRPr="00D500EB">
        <w:tc>
          <w:tcPr>
            <w:tcW w:w="9828" w:type="dxa"/>
            <w:gridSpan w:val="3"/>
          </w:tcPr>
          <w:p w:rsidR="00DF6C56" w:rsidRPr="00D500EB" w:rsidRDefault="00DF6C56" w:rsidP="00D500EB">
            <w:pPr>
              <w:spacing w:before="120" w:after="120"/>
            </w:pPr>
            <w:r w:rsidRPr="00D500EB">
              <w:rPr>
                <w:b/>
              </w:rPr>
              <w:t xml:space="preserve">2. </w:t>
            </w:r>
            <w:r w:rsidR="00A242BE" w:rsidRPr="00D500EB">
              <w:rPr>
                <w:b/>
              </w:rPr>
              <w:t xml:space="preserve"> </w:t>
            </w:r>
            <w:hyperlink r:id="rId7" w:history="1">
              <w:r w:rsidR="00A242BE" w:rsidRPr="00D500EB">
                <w:rPr>
                  <w:rStyle w:val="Hyperlink"/>
                  <w:rFonts w:eastAsiaTheme="minorEastAsia"/>
                  <w:lang w:val="en-GB"/>
                </w:rPr>
                <w:t>iah@soton.ac.uk</w:t>
              </w:r>
            </w:hyperlink>
          </w:p>
        </w:tc>
      </w:tr>
      <w:tr w:rsidR="00DF6C56" w:rsidRPr="00D500EB">
        <w:tc>
          <w:tcPr>
            <w:tcW w:w="9828" w:type="dxa"/>
            <w:gridSpan w:val="3"/>
          </w:tcPr>
          <w:p w:rsidR="00DF6C56" w:rsidRPr="00D500EB" w:rsidRDefault="00DF6C56" w:rsidP="00D500EB">
            <w:pPr>
              <w:spacing w:before="120" w:after="120"/>
            </w:pPr>
            <w:r w:rsidRPr="00D500EB">
              <w:rPr>
                <w:b/>
              </w:rPr>
              <w:t>3</w:t>
            </w:r>
            <w:r w:rsidR="00A242BE" w:rsidRPr="00D500EB">
              <w:rPr>
                <w:b/>
              </w:rPr>
              <w:t xml:space="preserve">.  </w:t>
            </w:r>
            <w:hyperlink r:id="rId8" w:history="1">
              <w:r w:rsidR="00A242BE" w:rsidRPr="00D500EB">
                <w:rPr>
                  <w:rStyle w:val="Hyperlink"/>
                  <w:rFonts w:eastAsiaTheme="minorEastAsia"/>
                  <w:lang w:val="en-GB"/>
                </w:rPr>
                <w:t>h.stewart@griffith.edu.au</w:t>
              </w:r>
            </w:hyperlink>
          </w:p>
        </w:tc>
      </w:tr>
      <w:tr w:rsidR="00DF6C56" w:rsidRPr="00D500EB">
        <w:tc>
          <w:tcPr>
            <w:tcW w:w="9828" w:type="dxa"/>
            <w:gridSpan w:val="3"/>
          </w:tcPr>
          <w:p w:rsidR="00A242BE" w:rsidRPr="00D500EB" w:rsidRDefault="00DF6C56" w:rsidP="00D500EB">
            <w:pPr>
              <w:pStyle w:val="BlockText"/>
              <w:spacing w:before="120" w:after="120"/>
              <w:ind w:left="0"/>
              <w:jc w:val="left"/>
              <w:rPr>
                <w:rStyle w:val="Hyperlink"/>
                <w:rFonts w:cs="Times New Roman"/>
                <w:color w:val="auto"/>
                <w:lang w:val="en-GB"/>
              </w:rPr>
            </w:pPr>
            <w:r w:rsidRPr="00D500EB">
              <w:rPr>
                <w:rFonts w:cs="Times New Roman"/>
                <w:b/>
              </w:rPr>
              <w:t>4.</w:t>
            </w:r>
            <w:r w:rsidR="00A242BE" w:rsidRPr="00D500EB">
              <w:rPr>
                <w:rFonts w:cs="Times New Roman"/>
                <w:b/>
              </w:rPr>
              <w:t xml:space="preserve">  </w:t>
            </w:r>
            <w:hyperlink r:id="rId9" w:history="1">
              <w:r w:rsidR="00A242BE" w:rsidRPr="00D500EB">
                <w:rPr>
                  <w:rStyle w:val="Hyperlink"/>
                  <w:rFonts w:cs="Times New Roman"/>
                  <w:color w:val="auto"/>
                  <w:lang w:val="en-GB"/>
                </w:rPr>
                <w:t>phillip.woods@griffith.edu.au</w:t>
              </w:r>
            </w:hyperlink>
          </w:p>
          <w:p w:rsidR="00DF6C56" w:rsidRPr="00D500EB" w:rsidRDefault="00DF6C56" w:rsidP="00D500EB">
            <w:pPr>
              <w:spacing w:before="120" w:after="120"/>
            </w:pPr>
          </w:p>
        </w:tc>
      </w:tr>
      <w:tr w:rsidR="00DF6C56" w:rsidRPr="00D500EB">
        <w:tc>
          <w:tcPr>
            <w:tcW w:w="9828" w:type="dxa"/>
            <w:gridSpan w:val="3"/>
          </w:tcPr>
          <w:p w:rsidR="00DF6C56" w:rsidRPr="00D500EB" w:rsidRDefault="00DF6C56" w:rsidP="00D500EB">
            <w:pPr>
              <w:spacing w:before="120" w:after="120"/>
            </w:pPr>
            <w:r w:rsidRPr="00D500EB">
              <w:rPr>
                <w:b/>
              </w:rPr>
              <w:t xml:space="preserve">5. </w:t>
            </w:r>
            <w:r w:rsidR="00103656" w:rsidRPr="00D500EB">
              <w:fldChar w:fldCharType="begin">
                <w:ffData>
                  <w:name w:val="Text18"/>
                  <w:enabled/>
                  <w:calcOnExit w:val="0"/>
                  <w:textInput>
                    <w:default w:val="Email"/>
                  </w:textInput>
                </w:ffData>
              </w:fldChar>
            </w:r>
            <w:r w:rsidRPr="00D500EB">
              <w:instrText xml:space="preserve"> FORMTEXT </w:instrText>
            </w:r>
            <w:r w:rsidR="00103656" w:rsidRPr="00D500EB">
              <w:fldChar w:fldCharType="separate"/>
            </w:r>
            <w:r w:rsidRPr="00D500EB">
              <w:rPr>
                <w:noProof/>
              </w:rPr>
              <w:t>Email</w:t>
            </w:r>
            <w:r w:rsidR="00103656" w:rsidRPr="00D500EB">
              <w:fldChar w:fldCharType="end"/>
            </w:r>
          </w:p>
        </w:tc>
      </w:tr>
      <w:tr w:rsidR="00357779" w:rsidRPr="00D500EB">
        <w:tc>
          <w:tcPr>
            <w:tcW w:w="9828" w:type="dxa"/>
            <w:gridSpan w:val="3"/>
          </w:tcPr>
          <w:p w:rsidR="00357779" w:rsidRPr="00D500EB" w:rsidRDefault="005A5672" w:rsidP="00D500EB">
            <w:pPr>
              <w:numPr>
                <w:ilvl w:val="0"/>
                <w:numId w:val="1"/>
              </w:numPr>
              <w:spacing w:before="120" w:after="120"/>
              <w:ind w:left="714" w:hanging="357"/>
              <w:rPr>
                <w:b/>
              </w:rPr>
            </w:pPr>
            <w:r w:rsidRPr="00D500EB">
              <w:rPr>
                <w:b/>
              </w:rPr>
              <w:lastRenderedPageBreak/>
              <w:t xml:space="preserve">Format of </w:t>
            </w:r>
            <w:r w:rsidR="00635A01" w:rsidRPr="00D500EB">
              <w:rPr>
                <w:b/>
              </w:rPr>
              <w:t xml:space="preserve">Research Symposium/Workshop </w:t>
            </w:r>
            <w:r w:rsidRPr="00D500EB">
              <w:rPr>
                <w:b/>
              </w:rPr>
              <w:t>(sub-divide allotted 90 minutes)</w:t>
            </w:r>
          </w:p>
        </w:tc>
      </w:tr>
      <w:tr w:rsidR="00357779" w:rsidRPr="00D500EB">
        <w:tc>
          <w:tcPr>
            <w:tcW w:w="9828" w:type="dxa"/>
            <w:gridSpan w:val="3"/>
          </w:tcPr>
          <w:p w:rsidR="00AF619A" w:rsidRPr="00D500EB" w:rsidRDefault="00AF619A" w:rsidP="00D500EB">
            <w:pPr>
              <w:pStyle w:val="Header"/>
              <w:spacing w:before="120" w:after="120"/>
              <w:jc w:val="both"/>
              <w:rPr>
                <w:rFonts w:eastAsiaTheme="minorEastAsia"/>
                <w:caps w:val="0"/>
                <w:sz w:val="24"/>
                <w:lang w:val="en-GB" w:eastAsia="ja-JP"/>
              </w:rPr>
            </w:pPr>
            <w:r w:rsidRPr="00D500EB">
              <w:rPr>
                <w:rFonts w:eastAsiaTheme="minorEastAsia"/>
                <w:caps w:val="0"/>
                <w:sz w:val="24"/>
                <w:lang w:val="en-GB" w:eastAsia="ja-JP"/>
              </w:rPr>
              <w:t>The workshop aims to demonstrate the utility of Leximancer as a robust and efficient tool for analysing large quantities of qualitative data. The outline below highlights the interactive nature of the workshop, enabling participants to experience Leximancer first hand.</w:t>
            </w:r>
          </w:p>
          <w:p w:rsidR="00AF619A" w:rsidRPr="00D500EB" w:rsidRDefault="00AF619A" w:rsidP="00D500EB">
            <w:pPr>
              <w:numPr>
                <w:ilvl w:val="0"/>
                <w:numId w:val="4"/>
              </w:numPr>
              <w:spacing w:before="120" w:after="120"/>
              <w:rPr>
                <w:lang w:val="en-GB"/>
              </w:rPr>
            </w:pPr>
            <w:r w:rsidRPr="00D500EB">
              <w:rPr>
                <w:lang w:val="en-GB"/>
              </w:rPr>
              <w:t>Introduction and background to the workshop (5 minutes)</w:t>
            </w:r>
            <w:r w:rsidR="00D90309" w:rsidRPr="00D500EB">
              <w:rPr>
                <w:lang w:val="en-GB"/>
              </w:rPr>
              <w:t>.</w:t>
            </w:r>
          </w:p>
          <w:p w:rsidR="00AF619A" w:rsidRPr="00D500EB" w:rsidRDefault="00AF619A" w:rsidP="00D500EB">
            <w:pPr>
              <w:numPr>
                <w:ilvl w:val="0"/>
                <w:numId w:val="4"/>
              </w:numPr>
              <w:spacing w:before="120" w:after="120"/>
              <w:rPr>
                <w:lang w:val="en-GB"/>
              </w:rPr>
            </w:pPr>
            <w:r w:rsidRPr="00D500EB">
              <w:rPr>
                <w:lang w:val="en-GB"/>
              </w:rPr>
              <w:t>An overview of Leximancer</w:t>
            </w:r>
            <w:r w:rsidR="00D90309" w:rsidRPr="00D500EB">
              <w:rPr>
                <w:lang w:val="en-GB"/>
              </w:rPr>
              <w:t>,</w:t>
            </w:r>
            <w:r w:rsidRPr="00D500EB">
              <w:rPr>
                <w:lang w:val="en-GB"/>
              </w:rPr>
              <w:t xml:space="preserve"> what it is and what it is not (10 minutes)</w:t>
            </w:r>
            <w:r w:rsidR="00D90309" w:rsidRPr="00D500EB">
              <w:rPr>
                <w:lang w:val="en-GB"/>
              </w:rPr>
              <w:t>.</w:t>
            </w:r>
          </w:p>
          <w:p w:rsidR="00AF619A" w:rsidRPr="00D500EB" w:rsidRDefault="00AF619A" w:rsidP="00D500EB">
            <w:pPr>
              <w:numPr>
                <w:ilvl w:val="0"/>
                <w:numId w:val="4"/>
              </w:numPr>
              <w:spacing w:before="120" w:after="120"/>
              <w:rPr>
                <w:lang w:val="en-GB"/>
              </w:rPr>
            </w:pPr>
            <w:r w:rsidRPr="00D500EB">
              <w:rPr>
                <w:lang w:val="en-GB"/>
              </w:rPr>
              <w:t>Demonstrating different strengths of the program for different research reasons and perspective</w:t>
            </w:r>
            <w:r w:rsidR="00D90309" w:rsidRPr="00D500EB">
              <w:rPr>
                <w:lang w:val="en-GB"/>
              </w:rPr>
              <w:t>s,</w:t>
            </w:r>
            <w:r w:rsidRPr="00D500EB">
              <w:rPr>
                <w:lang w:val="en-GB"/>
              </w:rPr>
              <w:t xml:space="preserve"> across 3 projects (Change Management within a health care setting, CSR within an SME context and understanding the common themes in stories for successful pharmacy managers) including common mistakes and issues for new and </w:t>
            </w:r>
            <w:r w:rsidR="00D90309" w:rsidRPr="00D500EB">
              <w:rPr>
                <w:lang w:val="en-GB"/>
              </w:rPr>
              <w:t>not so new players (30 minutes).</w:t>
            </w:r>
          </w:p>
          <w:p w:rsidR="00AF619A" w:rsidRPr="00D500EB" w:rsidRDefault="00AF619A" w:rsidP="00D500EB">
            <w:pPr>
              <w:numPr>
                <w:ilvl w:val="0"/>
                <w:numId w:val="4"/>
              </w:numPr>
              <w:spacing w:before="120" w:after="120"/>
              <w:rPr>
                <w:lang w:val="en-GB"/>
              </w:rPr>
            </w:pPr>
            <w:r w:rsidRPr="00D500EB">
              <w:rPr>
                <w:lang w:val="en-GB"/>
              </w:rPr>
              <w:t>Group activity based on a well-known piece of text (15 minutes)</w:t>
            </w:r>
            <w:r w:rsidR="00D90309" w:rsidRPr="00D500EB">
              <w:rPr>
                <w:lang w:val="en-GB"/>
              </w:rPr>
              <w:t>.</w:t>
            </w:r>
          </w:p>
          <w:p w:rsidR="00AF619A" w:rsidRPr="00D500EB" w:rsidRDefault="00AF619A" w:rsidP="00D500EB">
            <w:pPr>
              <w:numPr>
                <w:ilvl w:val="0"/>
                <w:numId w:val="4"/>
              </w:numPr>
              <w:spacing w:before="120" w:after="120"/>
              <w:rPr>
                <w:lang w:val="en-GB"/>
              </w:rPr>
            </w:pPr>
            <w:r w:rsidRPr="00D500EB">
              <w:rPr>
                <w:lang w:val="en-GB"/>
              </w:rPr>
              <w:t>Comparison of group work outcomes to lexical analysis undertaken during the workshop (15 minutes)</w:t>
            </w:r>
            <w:r w:rsidR="00B43D46" w:rsidRPr="00D500EB">
              <w:rPr>
                <w:lang w:val="en-GB"/>
              </w:rPr>
              <w:t>.</w:t>
            </w:r>
          </w:p>
          <w:p w:rsidR="00AF619A" w:rsidRPr="00D500EB" w:rsidRDefault="00AF619A" w:rsidP="00D500EB">
            <w:pPr>
              <w:pStyle w:val="ListParagraph"/>
              <w:numPr>
                <w:ilvl w:val="0"/>
                <w:numId w:val="4"/>
              </w:numPr>
              <w:spacing w:before="120" w:after="120"/>
              <w:rPr>
                <w:lang w:val="en-GB"/>
              </w:rPr>
            </w:pPr>
            <w:r w:rsidRPr="00D500EB">
              <w:rPr>
                <w:lang w:val="en-GB"/>
              </w:rPr>
              <w:t xml:space="preserve">Summary of the current state of play in terms of </w:t>
            </w:r>
            <w:r w:rsidRPr="00D500EB">
              <w:rPr>
                <w:caps/>
                <w:lang w:val="en-GB"/>
              </w:rPr>
              <w:t>CAQDAS</w:t>
            </w:r>
            <w:r w:rsidRPr="00D500EB">
              <w:rPr>
                <w:lang w:val="en-GB"/>
              </w:rPr>
              <w:t xml:space="preserve"> and moving forward</w:t>
            </w:r>
            <w:r w:rsidR="00B43D46" w:rsidRPr="00D500EB">
              <w:rPr>
                <w:lang w:val="en-GB"/>
              </w:rPr>
              <w:t>,</w:t>
            </w:r>
            <w:r w:rsidRPr="00D500EB">
              <w:rPr>
                <w:lang w:val="en-GB"/>
              </w:rPr>
              <w:t xml:space="preserve"> what the future holds including </w:t>
            </w:r>
            <w:r w:rsidR="00B43D46" w:rsidRPr="00D500EB">
              <w:rPr>
                <w:lang w:val="en-GB"/>
              </w:rPr>
              <w:t>further reading and examples fro</w:t>
            </w:r>
            <w:r w:rsidRPr="00D500EB">
              <w:rPr>
                <w:lang w:val="en-GB"/>
              </w:rPr>
              <w:t>m the research literature (10 minutes)</w:t>
            </w:r>
            <w:r w:rsidR="00D90309" w:rsidRPr="00D500EB">
              <w:rPr>
                <w:lang w:val="en-GB"/>
              </w:rPr>
              <w:t>.</w:t>
            </w:r>
            <w:r w:rsidRPr="00D500EB">
              <w:rPr>
                <w:lang w:val="en-GB"/>
              </w:rPr>
              <w:t xml:space="preserve"> </w:t>
            </w:r>
          </w:p>
          <w:p w:rsidR="00AF619A" w:rsidRPr="00D500EB" w:rsidRDefault="00AF619A" w:rsidP="00D500EB">
            <w:pPr>
              <w:pStyle w:val="ListParagraph"/>
              <w:numPr>
                <w:ilvl w:val="0"/>
                <w:numId w:val="4"/>
              </w:numPr>
              <w:spacing w:before="120" w:after="120"/>
              <w:rPr>
                <w:lang w:val="en-GB"/>
              </w:rPr>
            </w:pPr>
            <w:r w:rsidRPr="00D500EB">
              <w:rPr>
                <w:lang w:val="en-GB"/>
              </w:rPr>
              <w:t>Concluding comments and interaction</w:t>
            </w:r>
            <w:r w:rsidR="00D90309" w:rsidRPr="00D500EB">
              <w:rPr>
                <w:lang w:val="en-GB"/>
              </w:rPr>
              <w:t xml:space="preserve"> </w:t>
            </w:r>
            <w:r w:rsidRPr="00D500EB">
              <w:rPr>
                <w:lang w:val="en-GB"/>
              </w:rPr>
              <w:t>(5 minutes)</w:t>
            </w:r>
            <w:r w:rsidR="00D90309" w:rsidRPr="00D500EB">
              <w:rPr>
                <w:lang w:val="en-GB"/>
              </w:rPr>
              <w:t>.</w:t>
            </w:r>
            <w:r w:rsidRPr="00D500EB">
              <w:rPr>
                <w:lang w:val="en-GB"/>
              </w:rPr>
              <w:t xml:space="preserve"> </w:t>
            </w:r>
          </w:p>
          <w:p w:rsidR="00357779" w:rsidRPr="00D500EB" w:rsidRDefault="00357779" w:rsidP="00D500EB">
            <w:pPr>
              <w:spacing w:before="120" w:after="120"/>
            </w:pPr>
          </w:p>
        </w:tc>
      </w:tr>
      <w:tr w:rsidR="005A5672" w:rsidRPr="00D500EB">
        <w:tc>
          <w:tcPr>
            <w:tcW w:w="9828" w:type="dxa"/>
            <w:gridSpan w:val="3"/>
          </w:tcPr>
          <w:p w:rsidR="005A5672" w:rsidRPr="00D500EB" w:rsidRDefault="005A5672" w:rsidP="00D500EB">
            <w:pPr>
              <w:numPr>
                <w:ilvl w:val="0"/>
                <w:numId w:val="1"/>
              </w:numPr>
              <w:spacing w:before="120" w:after="120"/>
              <w:ind w:left="714" w:hanging="357"/>
              <w:rPr>
                <w:b/>
              </w:rPr>
            </w:pPr>
            <w:r w:rsidRPr="00D500EB">
              <w:rPr>
                <w:b/>
              </w:rPr>
              <w:t>Targeted attendees</w:t>
            </w:r>
          </w:p>
        </w:tc>
      </w:tr>
      <w:tr w:rsidR="005A5672" w:rsidRPr="00D500EB">
        <w:tc>
          <w:tcPr>
            <w:tcW w:w="9828" w:type="dxa"/>
            <w:gridSpan w:val="3"/>
          </w:tcPr>
          <w:p w:rsidR="005A5672" w:rsidRPr="00D500EB" w:rsidRDefault="001D760B" w:rsidP="00D500EB">
            <w:pPr>
              <w:spacing w:before="120" w:after="120"/>
            </w:pPr>
            <w:r w:rsidRPr="00D500EB">
              <w:rPr>
                <w:lang w:val="en-GB"/>
              </w:rPr>
              <w:t>New to mid-career qualitative researchers (including PhD students)</w:t>
            </w:r>
            <w:r w:rsidR="00B43D46" w:rsidRPr="00D500EB">
              <w:rPr>
                <w:lang w:val="en-GB"/>
              </w:rPr>
              <w:t>,</w:t>
            </w:r>
            <w:r w:rsidRPr="00D500EB">
              <w:rPr>
                <w:lang w:val="en-GB"/>
              </w:rPr>
              <w:t xml:space="preserve"> this workshop is also of value to experienced researchers not familiar with computer-assisted qualitative data analysis (</w:t>
            </w:r>
            <w:r w:rsidR="00483E17" w:rsidRPr="00D500EB">
              <w:rPr>
                <w:lang w:val="en-GB"/>
              </w:rPr>
              <w:t>CAQDAS</w:t>
            </w:r>
            <w:r w:rsidRPr="00D500EB">
              <w:rPr>
                <w:lang w:val="en-GB"/>
              </w:rPr>
              <w:t>) software</w:t>
            </w:r>
            <w:r w:rsidR="00485FC8" w:rsidRPr="00D500EB">
              <w:rPr>
                <w:lang w:val="en-GB"/>
              </w:rPr>
              <w:t xml:space="preserve">; </w:t>
            </w:r>
            <w:r w:rsidRPr="00D500EB">
              <w:rPr>
                <w:lang w:val="en-GB"/>
              </w:rPr>
              <w:t>specifically Leximancer.</w:t>
            </w:r>
          </w:p>
        </w:tc>
      </w:tr>
      <w:tr w:rsidR="005A5672" w:rsidRPr="00D500EB">
        <w:tc>
          <w:tcPr>
            <w:tcW w:w="9828" w:type="dxa"/>
            <w:gridSpan w:val="3"/>
          </w:tcPr>
          <w:p w:rsidR="005A5672" w:rsidRPr="00D500EB" w:rsidRDefault="005A5672" w:rsidP="00D500EB">
            <w:pPr>
              <w:numPr>
                <w:ilvl w:val="0"/>
                <w:numId w:val="1"/>
              </w:numPr>
              <w:spacing w:before="120" w:after="120"/>
              <w:ind w:left="714" w:hanging="357"/>
              <w:rPr>
                <w:b/>
              </w:rPr>
            </w:pPr>
            <w:r w:rsidRPr="00D500EB">
              <w:rPr>
                <w:b/>
              </w:rPr>
              <w:t>Anticipated outcomes</w:t>
            </w:r>
          </w:p>
        </w:tc>
      </w:tr>
      <w:tr w:rsidR="005A5672" w:rsidRPr="00D500EB">
        <w:tc>
          <w:tcPr>
            <w:tcW w:w="9828" w:type="dxa"/>
            <w:gridSpan w:val="3"/>
          </w:tcPr>
          <w:p w:rsidR="005A5672" w:rsidRPr="00D500EB" w:rsidRDefault="009D21A2" w:rsidP="00D500EB">
            <w:pPr>
              <w:spacing w:before="120" w:after="120"/>
              <w:jc w:val="both"/>
            </w:pPr>
            <w:r w:rsidRPr="00D500EB">
              <w:rPr>
                <w:lang w:val="en-GB"/>
              </w:rPr>
              <w:t>The workshop will provide detailed insight through demonstration and participation in the use of</w:t>
            </w:r>
            <w:r w:rsidR="00485FC8" w:rsidRPr="00D500EB">
              <w:rPr>
                <w:lang w:val="en-GB"/>
              </w:rPr>
              <w:t xml:space="preserve"> Leximancer </w:t>
            </w:r>
            <w:proofErr w:type="gramStart"/>
            <w:r w:rsidR="00485FC8" w:rsidRPr="00D500EB">
              <w:rPr>
                <w:lang w:val="en-GB"/>
              </w:rPr>
              <w:t>and  more</w:t>
            </w:r>
            <w:proofErr w:type="gramEnd"/>
            <w:r w:rsidR="00485FC8" w:rsidRPr="00D500EB">
              <w:rPr>
                <w:lang w:val="en-GB"/>
              </w:rPr>
              <w:t xml:space="preserve"> importantly, </w:t>
            </w:r>
            <w:r w:rsidRPr="00D500EB">
              <w:rPr>
                <w:lang w:val="en-GB"/>
              </w:rPr>
              <w:t xml:space="preserve"> the future of qualitative research through the appropriate use of CAQDAS systems. It will demonstrate that the researcher must be the master of the process if critical thinking and improvement of outcomes are to be achieved. The workshop will also emphasise the issues that arise with CAQDAS systems. </w:t>
            </w:r>
          </w:p>
        </w:tc>
      </w:tr>
      <w:tr w:rsidR="005A5672" w:rsidRPr="00D500EB">
        <w:tc>
          <w:tcPr>
            <w:tcW w:w="9828" w:type="dxa"/>
            <w:gridSpan w:val="3"/>
          </w:tcPr>
          <w:p w:rsidR="005A5672" w:rsidRPr="00D500EB" w:rsidRDefault="005A5672" w:rsidP="00D500EB">
            <w:pPr>
              <w:numPr>
                <w:ilvl w:val="0"/>
                <w:numId w:val="1"/>
              </w:numPr>
              <w:spacing w:before="120" w:after="120"/>
              <w:ind w:left="714" w:hanging="357"/>
              <w:rPr>
                <w:b/>
              </w:rPr>
            </w:pPr>
            <w:r w:rsidRPr="00D500EB">
              <w:rPr>
                <w:b/>
              </w:rPr>
              <w:t>Desired AV equipment (The need for any specialised equipment (anything beyond the supplied set-up may require separate funding)</w:t>
            </w:r>
          </w:p>
        </w:tc>
      </w:tr>
      <w:tr w:rsidR="005A5672" w:rsidRPr="00D500EB">
        <w:tc>
          <w:tcPr>
            <w:tcW w:w="9828" w:type="dxa"/>
            <w:gridSpan w:val="3"/>
          </w:tcPr>
          <w:p w:rsidR="005A5672" w:rsidRPr="00D500EB" w:rsidRDefault="00973BCA" w:rsidP="00D500EB">
            <w:pPr>
              <w:spacing w:before="120" w:after="120"/>
              <w:jc w:val="both"/>
            </w:pPr>
            <w:r w:rsidRPr="00D500EB">
              <w:rPr>
                <w:lang w:val="en-GB"/>
              </w:rPr>
              <w:t>A tutorial type room where participants can engage in</w:t>
            </w:r>
            <w:r w:rsidR="00B43D46" w:rsidRPr="00D500EB">
              <w:rPr>
                <w:lang w:val="en-GB"/>
              </w:rPr>
              <w:t xml:space="preserve"> the </w:t>
            </w:r>
            <w:r w:rsidRPr="00D500EB">
              <w:rPr>
                <w:lang w:val="en-GB"/>
              </w:rPr>
              <w:t xml:space="preserve">presentation </w:t>
            </w:r>
            <w:proofErr w:type="gramStart"/>
            <w:r w:rsidRPr="00D500EB">
              <w:rPr>
                <w:lang w:val="en-GB"/>
              </w:rPr>
              <w:t>and  work</w:t>
            </w:r>
            <w:proofErr w:type="gramEnd"/>
            <w:r w:rsidRPr="00D500EB">
              <w:rPr>
                <w:lang w:val="en-GB"/>
              </w:rPr>
              <w:t xml:space="preserve"> in small groups </w:t>
            </w:r>
            <w:r w:rsidR="00B43D46" w:rsidRPr="00D500EB">
              <w:rPr>
                <w:lang w:val="en-GB"/>
              </w:rPr>
              <w:t>to discuss findings. In</w:t>
            </w:r>
            <w:r w:rsidRPr="00D500EB">
              <w:rPr>
                <w:lang w:val="en-GB"/>
              </w:rPr>
              <w:t xml:space="preserve">ternet access for three </w:t>
            </w:r>
            <w:r w:rsidR="00B43D46" w:rsidRPr="00D500EB">
              <w:rPr>
                <w:lang w:val="en-GB"/>
              </w:rPr>
              <w:t xml:space="preserve">(3) </w:t>
            </w:r>
            <w:r w:rsidRPr="00D500EB">
              <w:rPr>
                <w:lang w:val="en-GB"/>
              </w:rPr>
              <w:t>laptops, data projection facilities and a whiteboard.</w:t>
            </w:r>
          </w:p>
        </w:tc>
      </w:tr>
    </w:tbl>
    <w:p w:rsidR="0004599E" w:rsidRPr="00D500EB" w:rsidRDefault="0004599E" w:rsidP="00D500EB">
      <w:pPr>
        <w:spacing w:before="120" w:after="120"/>
      </w:pPr>
    </w:p>
    <w:p w:rsidR="00414F9F" w:rsidRPr="00D500EB" w:rsidRDefault="00414F9F" w:rsidP="00D500EB">
      <w:pPr>
        <w:spacing w:before="120" w:after="120"/>
        <w:rPr>
          <w:b/>
        </w:rPr>
      </w:pPr>
      <w:r w:rsidRPr="00D500EB">
        <w:rPr>
          <w:b/>
        </w:rPr>
        <w:t>Handouts</w:t>
      </w:r>
    </w:p>
    <w:p w:rsidR="00414F9F" w:rsidRPr="00D500EB" w:rsidRDefault="00414F9F" w:rsidP="00D500EB">
      <w:pPr>
        <w:spacing w:before="120" w:after="120"/>
        <w:jc w:val="both"/>
      </w:pPr>
      <w:r w:rsidRPr="00D500EB">
        <w:t xml:space="preserve">Please note that the preparation and supply of any handouts and materials used in the </w:t>
      </w:r>
      <w:r w:rsidR="00635A01" w:rsidRPr="00D500EB">
        <w:t xml:space="preserve">Research Symposium/Workshop </w:t>
      </w:r>
      <w:r w:rsidRPr="00D500EB">
        <w:t>will be the responsibility of the presenters.</w:t>
      </w:r>
    </w:p>
    <w:p w:rsidR="00414F9F" w:rsidRPr="00D500EB" w:rsidRDefault="00414F9F" w:rsidP="00D500EB">
      <w:pPr>
        <w:spacing w:before="120" w:after="120"/>
      </w:pPr>
    </w:p>
    <w:p w:rsidR="00414F9F" w:rsidRPr="00D500EB" w:rsidRDefault="00414F9F" w:rsidP="00D500EB">
      <w:pPr>
        <w:spacing w:before="120" w:after="120"/>
        <w:rPr>
          <w:b/>
        </w:rPr>
      </w:pPr>
      <w:r w:rsidRPr="00D500EB">
        <w:rPr>
          <w:b/>
        </w:rPr>
        <w:t>Costs</w:t>
      </w:r>
    </w:p>
    <w:p w:rsidR="00414F9F" w:rsidRPr="00D500EB" w:rsidRDefault="00414F9F" w:rsidP="00D500EB">
      <w:pPr>
        <w:spacing w:before="120" w:after="120"/>
      </w:pPr>
      <w:r w:rsidRPr="00D500EB">
        <w:t>All costs to attend the conference, including the conference registration fee, must be met by the presenters.</w:t>
      </w:r>
    </w:p>
    <w:p w:rsidR="00414F9F" w:rsidRPr="00D500EB" w:rsidRDefault="00414F9F" w:rsidP="00D500EB">
      <w:pPr>
        <w:spacing w:before="120" w:after="120"/>
      </w:pPr>
    </w:p>
    <w:sectPr w:rsidR="00414F9F" w:rsidRPr="00D500EB" w:rsidSect="00B8119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88"/>
    <w:multiLevelType w:val="hybridMultilevel"/>
    <w:tmpl w:val="C756E4EA"/>
    <w:lvl w:ilvl="0" w:tplc="0C09000F">
      <w:start w:val="1"/>
      <w:numFmt w:val="decimal"/>
      <w:lvlText w:val="%1."/>
      <w:lvlJc w:val="left"/>
      <w:pPr>
        <w:ind w:left="360" w:hanging="360"/>
      </w:pPr>
    </w:lvl>
    <w:lvl w:ilvl="1" w:tplc="0C090019">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
    <w:nsid w:val="27DF5D5D"/>
    <w:multiLevelType w:val="hybridMultilevel"/>
    <w:tmpl w:val="740EA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6987B27"/>
    <w:multiLevelType w:val="multilevel"/>
    <w:tmpl w:val="BBE60BC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3">
    <w:nsid w:val="71935E8A"/>
    <w:multiLevelType w:val="hybridMultilevel"/>
    <w:tmpl w:val="2F8C6B66"/>
    <w:lvl w:ilvl="0" w:tplc="E06646D0">
      <w:start w:val="1"/>
      <w:numFmt w:val="bullet"/>
      <w:lvlText w:val=""/>
      <w:lvlJc w:val="left"/>
      <w:pPr>
        <w:tabs>
          <w:tab w:val="num" w:pos="567"/>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9E"/>
    <w:rsid w:val="00041CA6"/>
    <w:rsid w:val="0004599E"/>
    <w:rsid w:val="00084204"/>
    <w:rsid w:val="000858FE"/>
    <w:rsid w:val="000B1D4E"/>
    <w:rsid w:val="000F0B38"/>
    <w:rsid w:val="000F2B75"/>
    <w:rsid w:val="00103656"/>
    <w:rsid w:val="00113586"/>
    <w:rsid w:val="00165C80"/>
    <w:rsid w:val="0016708A"/>
    <w:rsid w:val="001A57E0"/>
    <w:rsid w:val="001D760B"/>
    <w:rsid w:val="001E312E"/>
    <w:rsid w:val="00246318"/>
    <w:rsid w:val="00271C9D"/>
    <w:rsid w:val="002B691C"/>
    <w:rsid w:val="002C26DC"/>
    <w:rsid w:val="002D4B44"/>
    <w:rsid w:val="002F7D30"/>
    <w:rsid w:val="00344B1F"/>
    <w:rsid w:val="00357779"/>
    <w:rsid w:val="003606A9"/>
    <w:rsid w:val="00383EED"/>
    <w:rsid w:val="004078D9"/>
    <w:rsid w:val="00414F9F"/>
    <w:rsid w:val="0045298F"/>
    <w:rsid w:val="00483E17"/>
    <w:rsid w:val="00485FC8"/>
    <w:rsid w:val="00556528"/>
    <w:rsid w:val="00560F23"/>
    <w:rsid w:val="005720A9"/>
    <w:rsid w:val="005A5672"/>
    <w:rsid w:val="005D5B8D"/>
    <w:rsid w:val="00635A01"/>
    <w:rsid w:val="00641FFE"/>
    <w:rsid w:val="00646E14"/>
    <w:rsid w:val="00680F70"/>
    <w:rsid w:val="00713105"/>
    <w:rsid w:val="00744450"/>
    <w:rsid w:val="00756E95"/>
    <w:rsid w:val="007575D4"/>
    <w:rsid w:val="00792D80"/>
    <w:rsid w:val="007B7DFD"/>
    <w:rsid w:val="007C41B4"/>
    <w:rsid w:val="007D5D62"/>
    <w:rsid w:val="00841551"/>
    <w:rsid w:val="008B2072"/>
    <w:rsid w:val="008D0569"/>
    <w:rsid w:val="008D188C"/>
    <w:rsid w:val="009067FA"/>
    <w:rsid w:val="009628F8"/>
    <w:rsid w:val="00973BCA"/>
    <w:rsid w:val="009D21A2"/>
    <w:rsid w:val="009E1A78"/>
    <w:rsid w:val="00A013E5"/>
    <w:rsid w:val="00A026D7"/>
    <w:rsid w:val="00A242BE"/>
    <w:rsid w:val="00A62F64"/>
    <w:rsid w:val="00AF619A"/>
    <w:rsid w:val="00B31954"/>
    <w:rsid w:val="00B43D46"/>
    <w:rsid w:val="00B621BD"/>
    <w:rsid w:val="00B81196"/>
    <w:rsid w:val="00BA3262"/>
    <w:rsid w:val="00BC060E"/>
    <w:rsid w:val="00D20054"/>
    <w:rsid w:val="00D248FE"/>
    <w:rsid w:val="00D24E49"/>
    <w:rsid w:val="00D500EB"/>
    <w:rsid w:val="00D90309"/>
    <w:rsid w:val="00D91A32"/>
    <w:rsid w:val="00DF6C56"/>
    <w:rsid w:val="00E733AE"/>
    <w:rsid w:val="00E972E1"/>
    <w:rsid w:val="00EA38C2"/>
    <w:rsid w:val="00EB5FDF"/>
    <w:rsid w:val="00ED4E9C"/>
    <w:rsid w:val="00EE50EF"/>
    <w:rsid w:val="00EF5B1C"/>
    <w:rsid w:val="00FB6C84"/>
    <w:rsid w:val="00FC4D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0F23"/>
    <w:rPr>
      <w:color w:val="0000FF"/>
      <w:u w:val="single"/>
    </w:rPr>
  </w:style>
  <w:style w:type="paragraph" w:styleId="BalloonText">
    <w:name w:val="Balloon Text"/>
    <w:basedOn w:val="Normal"/>
    <w:semiHidden/>
    <w:rsid w:val="009628F8"/>
    <w:rPr>
      <w:rFonts w:ascii="Tahoma" w:hAnsi="Tahoma" w:cs="Tahoma"/>
      <w:sz w:val="16"/>
      <w:szCs w:val="16"/>
    </w:rPr>
  </w:style>
  <w:style w:type="paragraph" w:styleId="Header">
    <w:name w:val="header"/>
    <w:basedOn w:val="Normal"/>
    <w:link w:val="HeaderChar"/>
    <w:uiPriority w:val="99"/>
    <w:rsid w:val="001D760B"/>
    <w:pPr>
      <w:tabs>
        <w:tab w:val="center" w:pos="4320"/>
        <w:tab w:val="right" w:pos="8640"/>
      </w:tabs>
    </w:pPr>
    <w:rPr>
      <w:caps/>
      <w:sz w:val="28"/>
    </w:rPr>
  </w:style>
  <w:style w:type="character" w:customStyle="1" w:styleId="HeaderChar">
    <w:name w:val="Header Char"/>
    <w:basedOn w:val="DefaultParagraphFont"/>
    <w:link w:val="Header"/>
    <w:uiPriority w:val="99"/>
    <w:rsid w:val="001D760B"/>
    <w:rPr>
      <w:caps/>
      <w:sz w:val="28"/>
      <w:szCs w:val="24"/>
    </w:rPr>
  </w:style>
  <w:style w:type="paragraph" w:styleId="BlockText">
    <w:name w:val="Block Text"/>
    <w:basedOn w:val="Normal"/>
    <w:uiPriority w:val="99"/>
    <w:rsid w:val="00A242BE"/>
    <w:pPr>
      <w:ind w:left="1440" w:right="1440"/>
      <w:jc w:val="center"/>
    </w:pPr>
    <w:rPr>
      <w:rFonts w:eastAsia="ヒラギノ角ゴ Pro W3" w:cstheme="minorBidi"/>
      <w:color w:val="000000"/>
      <w:lang w:eastAsia="en-US"/>
    </w:rPr>
  </w:style>
  <w:style w:type="paragraph" w:styleId="BodyText">
    <w:name w:val="Body Text"/>
    <w:basedOn w:val="Normal"/>
    <w:link w:val="BodyTextChar"/>
    <w:uiPriority w:val="99"/>
    <w:unhideWhenUsed/>
    <w:rsid w:val="000F0B38"/>
    <w:pPr>
      <w:spacing w:after="120"/>
    </w:pPr>
    <w:rPr>
      <w:rFonts w:eastAsiaTheme="minorEastAsia" w:cstheme="minorBidi"/>
      <w:lang w:val="en-US" w:eastAsia="ja-JP"/>
    </w:rPr>
  </w:style>
  <w:style w:type="character" w:customStyle="1" w:styleId="BodyTextChar">
    <w:name w:val="Body Text Char"/>
    <w:basedOn w:val="DefaultParagraphFont"/>
    <w:link w:val="BodyText"/>
    <w:uiPriority w:val="99"/>
    <w:rsid w:val="000F0B38"/>
    <w:rPr>
      <w:rFonts w:eastAsiaTheme="minorEastAsia" w:cstheme="minorBidi"/>
      <w:sz w:val="24"/>
      <w:szCs w:val="24"/>
      <w:lang w:val="en-US" w:eastAsia="ja-JP"/>
    </w:rPr>
  </w:style>
  <w:style w:type="paragraph" w:styleId="ListParagraph">
    <w:name w:val="List Paragraph"/>
    <w:basedOn w:val="Normal"/>
    <w:uiPriority w:val="34"/>
    <w:qFormat/>
    <w:rsid w:val="00AF619A"/>
    <w:pPr>
      <w:ind w:left="720"/>
      <w:contextualSpacing/>
    </w:pPr>
  </w:style>
  <w:style w:type="paragraph" w:customStyle="1" w:styleId="Thesisbody">
    <w:name w:val="Thesis body"/>
    <w:basedOn w:val="BodyText"/>
    <w:next w:val="BodyText"/>
    <w:autoRedefine/>
    <w:qFormat/>
    <w:rsid w:val="007C41B4"/>
    <w:pPr>
      <w:jc w:val="both"/>
    </w:pPr>
    <w:rPr>
      <w:caps/>
      <w:sz w:val="22"/>
      <w:szCs w:val="22"/>
      <w:lang w:val="en-GB"/>
    </w:rPr>
  </w:style>
  <w:style w:type="character" w:styleId="CommentReference">
    <w:name w:val="annotation reference"/>
    <w:basedOn w:val="DefaultParagraphFont"/>
    <w:rsid w:val="00D24E49"/>
    <w:rPr>
      <w:sz w:val="16"/>
      <w:szCs w:val="16"/>
    </w:rPr>
  </w:style>
  <w:style w:type="paragraph" w:styleId="CommentText">
    <w:name w:val="annotation text"/>
    <w:basedOn w:val="Normal"/>
    <w:link w:val="CommentTextChar"/>
    <w:rsid w:val="00D24E49"/>
    <w:rPr>
      <w:sz w:val="20"/>
      <w:szCs w:val="20"/>
    </w:rPr>
  </w:style>
  <w:style w:type="character" w:customStyle="1" w:styleId="CommentTextChar">
    <w:name w:val="Comment Text Char"/>
    <w:basedOn w:val="DefaultParagraphFont"/>
    <w:link w:val="CommentText"/>
    <w:rsid w:val="00D24E49"/>
  </w:style>
  <w:style w:type="paragraph" w:styleId="CommentSubject">
    <w:name w:val="annotation subject"/>
    <w:basedOn w:val="CommentText"/>
    <w:next w:val="CommentText"/>
    <w:link w:val="CommentSubjectChar"/>
    <w:rsid w:val="00D24E49"/>
    <w:rPr>
      <w:b/>
      <w:bCs/>
    </w:rPr>
  </w:style>
  <w:style w:type="character" w:customStyle="1" w:styleId="CommentSubjectChar">
    <w:name w:val="Comment Subject Char"/>
    <w:basedOn w:val="CommentTextChar"/>
    <w:link w:val="CommentSubject"/>
    <w:rsid w:val="00D24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0F23"/>
    <w:rPr>
      <w:color w:val="0000FF"/>
      <w:u w:val="single"/>
    </w:rPr>
  </w:style>
  <w:style w:type="paragraph" w:styleId="BalloonText">
    <w:name w:val="Balloon Text"/>
    <w:basedOn w:val="Normal"/>
    <w:semiHidden/>
    <w:rsid w:val="009628F8"/>
    <w:rPr>
      <w:rFonts w:ascii="Tahoma" w:hAnsi="Tahoma" w:cs="Tahoma"/>
      <w:sz w:val="16"/>
      <w:szCs w:val="16"/>
    </w:rPr>
  </w:style>
  <w:style w:type="paragraph" w:styleId="Header">
    <w:name w:val="header"/>
    <w:basedOn w:val="Normal"/>
    <w:link w:val="HeaderChar"/>
    <w:uiPriority w:val="99"/>
    <w:rsid w:val="001D760B"/>
    <w:pPr>
      <w:tabs>
        <w:tab w:val="center" w:pos="4320"/>
        <w:tab w:val="right" w:pos="8640"/>
      </w:tabs>
    </w:pPr>
    <w:rPr>
      <w:caps/>
      <w:sz w:val="28"/>
    </w:rPr>
  </w:style>
  <w:style w:type="character" w:customStyle="1" w:styleId="HeaderChar">
    <w:name w:val="Header Char"/>
    <w:basedOn w:val="DefaultParagraphFont"/>
    <w:link w:val="Header"/>
    <w:uiPriority w:val="99"/>
    <w:rsid w:val="001D760B"/>
    <w:rPr>
      <w:caps/>
      <w:sz w:val="28"/>
      <w:szCs w:val="24"/>
    </w:rPr>
  </w:style>
  <w:style w:type="paragraph" w:styleId="BlockText">
    <w:name w:val="Block Text"/>
    <w:basedOn w:val="Normal"/>
    <w:uiPriority w:val="99"/>
    <w:rsid w:val="00A242BE"/>
    <w:pPr>
      <w:ind w:left="1440" w:right="1440"/>
      <w:jc w:val="center"/>
    </w:pPr>
    <w:rPr>
      <w:rFonts w:eastAsia="ヒラギノ角ゴ Pro W3" w:cstheme="minorBidi"/>
      <w:color w:val="000000"/>
      <w:lang w:eastAsia="en-US"/>
    </w:rPr>
  </w:style>
  <w:style w:type="paragraph" w:styleId="BodyText">
    <w:name w:val="Body Text"/>
    <w:basedOn w:val="Normal"/>
    <w:link w:val="BodyTextChar"/>
    <w:uiPriority w:val="99"/>
    <w:unhideWhenUsed/>
    <w:rsid w:val="000F0B38"/>
    <w:pPr>
      <w:spacing w:after="120"/>
    </w:pPr>
    <w:rPr>
      <w:rFonts w:eastAsiaTheme="minorEastAsia" w:cstheme="minorBidi"/>
      <w:lang w:val="en-US" w:eastAsia="ja-JP"/>
    </w:rPr>
  </w:style>
  <w:style w:type="character" w:customStyle="1" w:styleId="BodyTextChar">
    <w:name w:val="Body Text Char"/>
    <w:basedOn w:val="DefaultParagraphFont"/>
    <w:link w:val="BodyText"/>
    <w:uiPriority w:val="99"/>
    <w:rsid w:val="000F0B38"/>
    <w:rPr>
      <w:rFonts w:eastAsiaTheme="minorEastAsia" w:cstheme="minorBidi"/>
      <w:sz w:val="24"/>
      <w:szCs w:val="24"/>
      <w:lang w:val="en-US" w:eastAsia="ja-JP"/>
    </w:rPr>
  </w:style>
  <w:style w:type="paragraph" w:styleId="ListParagraph">
    <w:name w:val="List Paragraph"/>
    <w:basedOn w:val="Normal"/>
    <w:uiPriority w:val="34"/>
    <w:qFormat/>
    <w:rsid w:val="00AF619A"/>
    <w:pPr>
      <w:ind w:left="720"/>
      <w:contextualSpacing/>
    </w:pPr>
  </w:style>
  <w:style w:type="paragraph" w:customStyle="1" w:styleId="Thesisbody">
    <w:name w:val="Thesis body"/>
    <w:basedOn w:val="BodyText"/>
    <w:next w:val="BodyText"/>
    <w:autoRedefine/>
    <w:qFormat/>
    <w:rsid w:val="007C41B4"/>
    <w:pPr>
      <w:jc w:val="both"/>
    </w:pPr>
    <w:rPr>
      <w:caps/>
      <w:sz w:val="22"/>
      <w:szCs w:val="22"/>
      <w:lang w:val="en-GB"/>
    </w:rPr>
  </w:style>
  <w:style w:type="character" w:styleId="CommentReference">
    <w:name w:val="annotation reference"/>
    <w:basedOn w:val="DefaultParagraphFont"/>
    <w:rsid w:val="00D24E49"/>
    <w:rPr>
      <w:sz w:val="16"/>
      <w:szCs w:val="16"/>
    </w:rPr>
  </w:style>
  <w:style w:type="paragraph" w:styleId="CommentText">
    <w:name w:val="annotation text"/>
    <w:basedOn w:val="Normal"/>
    <w:link w:val="CommentTextChar"/>
    <w:rsid w:val="00D24E49"/>
    <w:rPr>
      <w:sz w:val="20"/>
      <w:szCs w:val="20"/>
    </w:rPr>
  </w:style>
  <w:style w:type="character" w:customStyle="1" w:styleId="CommentTextChar">
    <w:name w:val="Comment Text Char"/>
    <w:basedOn w:val="DefaultParagraphFont"/>
    <w:link w:val="CommentText"/>
    <w:rsid w:val="00D24E49"/>
  </w:style>
  <w:style w:type="paragraph" w:styleId="CommentSubject">
    <w:name w:val="annotation subject"/>
    <w:basedOn w:val="CommentText"/>
    <w:next w:val="CommentText"/>
    <w:link w:val="CommentSubjectChar"/>
    <w:rsid w:val="00D24E49"/>
    <w:rPr>
      <w:b/>
      <w:bCs/>
    </w:rPr>
  </w:style>
  <w:style w:type="character" w:customStyle="1" w:styleId="CommentSubjectChar">
    <w:name w:val="Comment Subject Char"/>
    <w:basedOn w:val="CommentTextChar"/>
    <w:link w:val="CommentSubject"/>
    <w:rsid w:val="00D24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6819">
      <w:bodyDiv w:val="1"/>
      <w:marLeft w:val="0"/>
      <w:marRight w:val="0"/>
      <w:marTop w:val="0"/>
      <w:marBottom w:val="0"/>
      <w:divBdr>
        <w:top w:val="none" w:sz="0" w:space="0" w:color="auto"/>
        <w:left w:val="none" w:sz="0" w:space="0" w:color="auto"/>
        <w:bottom w:val="none" w:sz="0" w:space="0" w:color="auto"/>
        <w:right w:val="none" w:sz="0" w:space="0" w:color="auto"/>
      </w:divBdr>
      <w:divsChild>
        <w:div w:id="691882016">
          <w:marLeft w:val="0"/>
          <w:marRight w:val="0"/>
          <w:marTop w:val="0"/>
          <w:marBottom w:val="0"/>
          <w:divBdr>
            <w:top w:val="none" w:sz="0" w:space="0" w:color="auto"/>
            <w:left w:val="none" w:sz="0" w:space="0" w:color="auto"/>
            <w:bottom w:val="none" w:sz="0" w:space="0" w:color="auto"/>
            <w:right w:val="none" w:sz="0" w:space="0" w:color="auto"/>
          </w:divBdr>
          <w:divsChild>
            <w:div w:id="8388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tewart@griffith.edu.au" TargetMode="External"/><Relationship Id="rId3" Type="http://schemas.microsoft.com/office/2007/relationships/stylesWithEffects" Target="stylesWithEffects.xml"/><Relationship Id="rId7" Type="http://schemas.openxmlformats.org/officeDocument/2006/relationships/hyperlink" Target="mailto:iah@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ewart@griffith.edu.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illip.woods@griffith.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23rd ANZAM 2009 Conference</vt:lpstr>
    </vt:vector>
  </TitlesOfParts>
  <Company>Curtin University</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23rd ANZAM 2009 Conference</dc:title>
  <dc:creator>ryoung</dc:creator>
  <cp:lastModifiedBy>Harwood I.A.</cp:lastModifiedBy>
  <cp:revision>2</cp:revision>
  <cp:lastPrinted>2013-07-11T01:19:00Z</cp:lastPrinted>
  <dcterms:created xsi:type="dcterms:W3CDTF">2013-07-22T10:14:00Z</dcterms:created>
  <dcterms:modified xsi:type="dcterms:W3CDTF">2013-07-22T10:14:00Z</dcterms:modified>
</cp:coreProperties>
</file>