
<file path=[Content_Types].xml><?xml version="1.0" encoding="utf-8"?>
<Types xmlns="http://schemas.openxmlformats.org/package/2006/content-types">
  <Override PartName="/word/drawings/drawing15.xml" ContentType="application/vnd.openxmlformats-officedocument.drawingml.chartshapes+xml"/>
  <Override PartName="/word/charts/chart1.xml" ContentType="application/vnd.openxmlformats-officedocument.drawingml.chart+xml"/>
  <Default Extension="rels" ContentType="application/vnd.openxmlformats-package.relationships+xml"/>
  <Override PartName="/word/charts/chart11.xml" ContentType="application/vnd.openxmlformats-officedocument.drawingml.chart+xml"/>
  <Override PartName="/word/document.xml" ContentType="application/vnd.openxmlformats-officedocument.wordprocessingml.document.main+xml"/>
  <Override PartName="/word/footnotes.xml" ContentType="application/vnd.openxmlformats-officedocument.wordprocessingml.footnotes+xml"/>
  <Default Extension="xml" ContentType="application/xml"/>
  <Default Extension="jpeg" ContentType="image/jpeg"/>
  <Override PartName="/word/drawings/drawing9.xml" ContentType="application/vnd.openxmlformats-officedocument.drawingml.chartshapes+xml"/>
  <Override PartName="/word/drawings/drawing13.xml" ContentType="application/vnd.openxmlformats-officedocument.drawingml.chartshapes+xml"/>
  <Override PartName="/word/drawings/drawing11.xml" ContentType="application/vnd.openxmlformats-officedocument.drawingml.chartshapes+xml"/>
  <Override PartName="/word/charts/chart8.xml" ContentType="application/vnd.openxmlformats-officedocument.drawingml.chart+xml"/>
  <Override PartName="/word/charts/chart21.xml" ContentType="application/vnd.openxmlformats-officedocument.drawingml.chart+xml"/>
  <Override PartName="/word/charts/chart18.xml" ContentType="application/vnd.openxmlformats-officedocument.drawingml.chart+xml"/>
  <Override PartName="/word/drawings/drawing7.xml" ContentType="application/vnd.openxmlformats-officedocument.drawingml.chartshapes+xml"/>
  <Override PartName="/word/charts/chart6.xml" ContentType="application/vnd.openxmlformats-officedocument.drawingml.chart+xml"/>
  <Override PartName="/word/charts/chart16.xml" ContentType="application/vnd.openxmlformats-officedocument.drawingml.chart+xml"/>
  <Override PartName="/word/drawings/drawing5.xml" ContentType="application/vnd.openxmlformats-officedocument.drawingml.chartshapes+xml"/>
  <Override PartName="/word/webSettings.xml" ContentType="application/vnd.openxmlformats-officedocument.wordprocessingml.webSettings+xml"/>
  <Override PartName="/word/charts/chart4.xml" ContentType="application/vnd.openxmlformats-officedocument.drawingml.chart+xml"/>
  <Override PartName="/word/settings.xml" ContentType="application/vnd.openxmlformats-officedocument.wordprocessingml.settings+xml"/>
  <Override PartName="/word/charts/chart14.xml" ContentType="application/vnd.openxmlformats-officedocument.drawingml.chart+xml"/>
  <Override PartName="/word/drawings/drawing3.xml" ContentType="application/vnd.openxmlformats-officedocument.drawingml.chartshapes+xml"/>
  <Override PartName="/word/drawings/drawing16.xml" ContentType="application/vnd.openxmlformats-officedocument.drawingml.chartshapes+xml"/>
  <Override PartName="/docProps/core.xml" ContentType="application/vnd.openxmlformats-package.core-properties+xml"/>
  <Override PartName="/docProps/app.xml" ContentType="application/vnd.openxmlformats-officedocument.extended-properties+xml"/>
  <Override PartName="/word/charts/chart2.xml" ContentType="application/vnd.openxmlformats-officedocument.drawingml.chart+xml"/>
  <Override PartName="/word/endnotes.xml" ContentType="application/vnd.openxmlformats-officedocument.wordprocessingml.endnotes+xml"/>
  <Override PartName="/word/drawings/drawing1.xml" ContentType="application/vnd.openxmlformats-officedocument.drawingml.chartshapes+xml"/>
  <Override PartName="/word/charts/chart12.xml" ContentType="application/vnd.openxmlformats-officedocument.drawingml.chart+xml"/>
  <Override PartName="/word/drawings/drawing14.xml" ContentType="application/vnd.openxmlformats-officedocument.drawingml.chartshapes+xml"/>
  <Override PartName="/word/fontTable.xml" ContentType="application/vnd.openxmlformats-officedocument.wordprocessingml.fontTable+xml"/>
  <Override PartName="/word/charts/chart10.xml" ContentType="application/vnd.openxmlformats-officedocument.drawingml.chart+xml"/>
  <Override PartName="/word/drawings/drawing12.xml" ContentType="application/vnd.openxmlformats-officedocument.drawingml.chartshapes+xml"/>
  <Override PartName="/word/charts/chart9.xml" ContentType="application/vnd.openxmlformats-officedocument.drawingml.chart+xml"/>
  <Override PartName="/word/charts/chart22.xml" ContentType="application/vnd.openxmlformats-officedocument.drawingml.chart+xml"/>
  <Override PartName="/word/charts/chart19.xml" ContentType="application/vnd.openxmlformats-officedocument.drawingml.chart+xml"/>
  <Override PartName="/word/drawings/drawing8.xml" ContentType="application/vnd.openxmlformats-officedocument.drawingml.chartshapes+xml"/>
  <Override PartName="/word/drawings/drawing10.xml" ContentType="application/vnd.openxmlformats-officedocument.drawingml.chartshapes+xml"/>
  <Override PartName="/word/charts/chart7.xml" ContentType="application/vnd.openxmlformats-officedocument.drawingml.chart+xml"/>
  <Override PartName="/word/charts/chart20.xml" ContentType="application/vnd.openxmlformats-officedocument.drawingml.chart+xml"/>
  <Override PartName="/word/charts/chart17.xml" ContentType="application/vnd.openxmlformats-officedocument.drawingml.chart+xml"/>
  <Override PartName="/word/drawings/drawing6.xml" ContentType="application/vnd.openxmlformats-officedocument.drawingml.chartshapes+xml"/>
  <Override PartName="/word/charts/chart5.xml" ContentType="application/vnd.openxmlformats-officedocument.drawingml.chart+xml"/>
  <Override PartName="/word/charts/chart15.xml" ContentType="application/vnd.openxmlformats-officedocument.drawingml.chart+xml"/>
  <Override PartName="/word/drawings/drawing4.xml" ContentType="application/vnd.openxmlformats-officedocument.drawingml.chartshapes+xml"/>
  <Override PartName="/word/theme/theme1.xml" ContentType="application/vnd.openxmlformats-officedocument.theme+xml"/>
  <Override PartName="/word/charts/chart3.xml" ContentType="application/vnd.openxmlformats-officedocument.drawingml.chart+xml"/>
  <Override PartName="/word/charts/chart13.xml" ContentType="application/vnd.openxmlformats-officedocument.drawingml.chart+xml"/>
  <Override PartName="/word/drawings/drawing2.xml" ContentType="application/vnd.openxmlformats-officedocument.drawingml.chartshape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E66F7" w:rsidRDefault="00B0055E" w:rsidP="00BE66F7">
      <w:pPr>
        <w:spacing w:after="0" w:line="240" w:lineRule="auto"/>
        <w:jc w:val="center"/>
        <w:rPr>
          <w:rFonts w:ascii="Arial" w:eastAsia="Times New Roman" w:hAnsi="Arial" w:cs="Times New Roman"/>
          <w:b/>
          <w:sz w:val="32"/>
          <w:szCs w:val="32"/>
          <w:lang w:val="en-GB" w:eastAsia="sv-SE"/>
        </w:rPr>
      </w:pPr>
      <w:r w:rsidRPr="005623CE">
        <w:rPr>
          <w:rFonts w:ascii="Arial" w:eastAsia="Times New Roman" w:hAnsi="Arial" w:cs="Times New Roman"/>
          <w:b/>
          <w:sz w:val="32"/>
          <w:szCs w:val="32"/>
          <w:lang w:val="en-GB" w:eastAsia="sv-SE"/>
        </w:rPr>
        <w:t xml:space="preserve">Ten-year </w:t>
      </w:r>
      <w:r w:rsidR="001C6807">
        <w:rPr>
          <w:rFonts w:ascii="Arial" w:eastAsia="Times New Roman" w:hAnsi="Arial" w:cs="Times New Roman"/>
          <w:b/>
          <w:sz w:val="32"/>
          <w:szCs w:val="32"/>
          <w:lang w:val="en-GB" w:eastAsia="sv-SE"/>
        </w:rPr>
        <w:t>Analysis</w:t>
      </w:r>
      <w:r w:rsidRPr="005623CE">
        <w:rPr>
          <w:rFonts w:ascii="Arial" w:eastAsia="Times New Roman" w:hAnsi="Arial" w:cs="Times New Roman"/>
          <w:b/>
          <w:sz w:val="32"/>
          <w:szCs w:val="32"/>
          <w:lang w:val="en-GB" w:eastAsia="sv-SE"/>
        </w:rPr>
        <w:t xml:space="preserve"> of University of Minho Green OA </w:t>
      </w:r>
    </w:p>
    <w:p w:rsidR="00B0055E" w:rsidRPr="005623CE" w:rsidRDefault="00B0055E" w:rsidP="00BE66F7">
      <w:pPr>
        <w:spacing w:after="0" w:line="240" w:lineRule="auto"/>
        <w:jc w:val="center"/>
        <w:rPr>
          <w:rFonts w:ascii="Arial" w:eastAsia="Times New Roman" w:hAnsi="Arial" w:cs="Times New Roman"/>
          <w:b/>
          <w:sz w:val="32"/>
          <w:szCs w:val="32"/>
          <w:lang w:val="en-GB" w:eastAsia="sv-SE"/>
        </w:rPr>
      </w:pPr>
      <w:r w:rsidRPr="005623CE">
        <w:rPr>
          <w:rFonts w:ascii="Arial" w:eastAsia="Times New Roman" w:hAnsi="Arial" w:cs="Times New Roman"/>
          <w:b/>
          <w:sz w:val="32"/>
          <w:szCs w:val="32"/>
          <w:lang w:val="en-GB" w:eastAsia="sv-SE"/>
        </w:rPr>
        <w:t>Self-Archiving Mandate</w:t>
      </w:r>
    </w:p>
    <w:p w:rsidR="00B0055E" w:rsidRDefault="00B0055E" w:rsidP="00B0055E">
      <w:pPr>
        <w:spacing w:before="100" w:beforeAutospacing="1" w:after="100" w:afterAutospacing="1" w:line="240" w:lineRule="auto"/>
        <w:jc w:val="center"/>
        <w:rPr>
          <w:rFonts w:ascii="Arial" w:eastAsia="Times New Roman" w:hAnsi="Arial"/>
          <w:sz w:val="24"/>
          <w:szCs w:val="24"/>
          <w:lang w:eastAsia="sv-SE"/>
        </w:rPr>
      </w:pPr>
      <w:r w:rsidRPr="005623CE">
        <w:rPr>
          <w:rFonts w:ascii="Arial" w:eastAsia="Times New Roman" w:hAnsi="Arial"/>
          <w:sz w:val="24"/>
          <w:szCs w:val="24"/>
          <w:lang w:eastAsia="sv-SE"/>
        </w:rPr>
        <w:t xml:space="preserve">Yassine Gargouri, </w:t>
      </w:r>
      <w:r w:rsidR="009B08BC">
        <w:rPr>
          <w:rFonts w:ascii="Arial" w:eastAsia="Times New Roman" w:hAnsi="Arial"/>
          <w:sz w:val="24"/>
          <w:szCs w:val="24"/>
          <w:lang w:eastAsia="sv-SE"/>
        </w:rPr>
        <w:t xml:space="preserve">Vincent Larivière, </w:t>
      </w:r>
      <w:r w:rsidR="00A34CC3">
        <w:rPr>
          <w:rFonts w:ascii="Arial" w:eastAsia="Times New Roman" w:hAnsi="Arial"/>
          <w:sz w:val="24"/>
          <w:szCs w:val="24"/>
          <w:lang w:eastAsia="sv-SE"/>
        </w:rPr>
        <w:t>Stevan Harnad</w:t>
      </w:r>
    </w:p>
    <w:p w:rsidR="009A1294" w:rsidRPr="006626A2" w:rsidRDefault="009A1294" w:rsidP="009A1294">
      <w:pPr>
        <w:spacing w:before="100" w:beforeAutospacing="1" w:after="100" w:afterAutospacing="1" w:line="240" w:lineRule="auto"/>
        <w:ind w:left="720"/>
        <w:rPr>
          <w:rFonts w:ascii="Arial" w:eastAsia="Times New Roman" w:hAnsi="Arial"/>
          <w:i/>
          <w:sz w:val="24"/>
          <w:szCs w:val="24"/>
          <w:lang w:eastAsia="fr-CA"/>
        </w:rPr>
      </w:pPr>
      <w:r w:rsidRPr="006626A2">
        <w:rPr>
          <w:rFonts w:ascii="Arial" w:eastAsia="Times New Roman" w:hAnsi="Arial"/>
          <w:b/>
          <w:sz w:val="24"/>
          <w:szCs w:val="24"/>
          <w:lang w:eastAsia="fr-CA"/>
        </w:rPr>
        <w:t>Abstract:</w:t>
      </w:r>
      <w:r>
        <w:rPr>
          <w:rFonts w:ascii="Arial" w:eastAsia="Times New Roman" w:hAnsi="Arial"/>
          <w:sz w:val="24"/>
          <w:szCs w:val="24"/>
          <w:lang w:eastAsia="fr-CA"/>
        </w:rPr>
        <w:t xml:space="preserve"> </w:t>
      </w:r>
      <w:r w:rsidRPr="006626A2">
        <w:rPr>
          <w:rFonts w:ascii="Arial" w:eastAsia="Times New Roman" w:hAnsi="Arial"/>
          <w:i/>
          <w:sz w:val="24"/>
          <w:szCs w:val="24"/>
          <w:lang w:eastAsia="fr-CA"/>
        </w:rPr>
        <w:t>University of Minho adopted the first university-wide Green Open Access  Mandate</w:t>
      </w:r>
      <w:r w:rsidR="00A34CC3">
        <w:rPr>
          <w:rFonts w:ascii="Arial" w:eastAsia="Times New Roman" w:hAnsi="Arial"/>
          <w:i/>
          <w:sz w:val="24"/>
          <w:szCs w:val="24"/>
          <w:lang w:eastAsia="fr-CA"/>
        </w:rPr>
        <w:t xml:space="preserve"> in Europe</w:t>
      </w:r>
      <w:r w:rsidRPr="006626A2">
        <w:rPr>
          <w:rFonts w:ascii="Arial" w:eastAsia="Times New Roman" w:hAnsi="Arial"/>
          <w:i/>
          <w:sz w:val="24"/>
          <w:szCs w:val="24"/>
          <w:lang w:eastAsia="fr-CA"/>
        </w:rPr>
        <w:t xml:space="preserve"> in 2004, requiring all research output to be self-archived in the institution's repository. The mandate was upgraded in 2011 to designate the repository as the sole mechanism for submitting publications for individual and institutional research performance assessment. A 10-year analysis shows that deposit rates are increasing and deposit delays are decreasing. Once the rest of the world follows Minho's example, universal Green OA will not be far behind.</w:t>
      </w:r>
    </w:p>
    <w:p w:rsidR="009A1294" w:rsidRPr="005623CE" w:rsidRDefault="009A1294" w:rsidP="009A1294">
      <w:pPr>
        <w:spacing w:before="100" w:beforeAutospacing="1" w:after="100" w:afterAutospacing="1" w:line="240" w:lineRule="auto"/>
        <w:rPr>
          <w:rFonts w:ascii="Arial" w:eastAsia="Times New Roman" w:hAnsi="Arial"/>
          <w:sz w:val="24"/>
          <w:szCs w:val="24"/>
          <w:lang w:eastAsia="fr-CA"/>
        </w:rPr>
      </w:pPr>
    </w:p>
    <w:p w:rsidR="00E22B76" w:rsidRDefault="00BE66F7" w:rsidP="00BE66F7">
      <w:pPr>
        <w:jc w:val="both"/>
        <w:rPr>
          <w:rFonts w:ascii="Arial" w:eastAsia="Times New Roman" w:hAnsi="Arial" w:cs="Times New Roman"/>
          <w:sz w:val="24"/>
          <w:szCs w:val="24"/>
          <w:lang w:eastAsia="en-CA"/>
        </w:rPr>
      </w:pPr>
      <w:r w:rsidRPr="00BE66F7">
        <w:rPr>
          <w:rFonts w:ascii="Arial" w:eastAsia="Times New Roman" w:hAnsi="Arial" w:cs="Times New Roman"/>
          <w:b/>
          <w:sz w:val="24"/>
          <w:szCs w:val="24"/>
          <w:lang w:eastAsia="en-CA"/>
        </w:rPr>
        <w:t>1. The 2004 Minho Mandate.</w:t>
      </w:r>
      <w:r>
        <w:rPr>
          <w:rFonts w:ascii="Arial" w:eastAsia="Times New Roman" w:hAnsi="Arial" w:cs="Times New Roman"/>
          <w:sz w:val="24"/>
          <w:szCs w:val="24"/>
          <w:lang w:eastAsia="en-CA"/>
        </w:rPr>
        <w:t xml:space="preserve"> </w:t>
      </w:r>
      <w:r w:rsidR="00B0055E" w:rsidRPr="005623CE">
        <w:rPr>
          <w:rFonts w:ascii="Arial" w:eastAsia="Times New Roman" w:hAnsi="Arial" w:cs="Times New Roman"/>
          <w:sz w:val="24"/>
          <w:szCs w:val="24"/>
          <w:lang w:eastAsia="en-CA"/>
        </w:rPr>
        <w:t xml:space="preserve">In 2004, University of </w:t>
      </w:r>
      <w:hyperlink r:id="rId6" w:history="1">
        <w:r w:rsidR="00B0055E" w:rsidRPr="005623CE">
          <w:rPr>
            <w:rStyle w:val="Hyperlink"/>
            <w:rFonts w:ascii="Arial" w:eastAsia="Times New Roman" w:hAnsi="Arial" w:cs="Times New Roman"/>
            <w:sz w:val="24"/>
            <w:szCs w:val="24"/>
            <w:lang w:eastAsia="en-CA"/>
          </w:rPr>
          <w:t>Minho</w:t>
        </w:r>
      </w:hyperlink>
      <w:r w:rsidR="00B0055E" w:rsidRPr="005623CE">
        <w:rPr>
          <w:rFonts w:ascii="Arial" w:eastAsia="Times New Roman" w:hAnsi="Arial" w:cs="Times New Roman"/>
          <w:sz w:val="24"/>
          <w:szCs w:val="24"/>
          <w:lang w:eastAsia="en-CA"/>
        </w:rPr>
        <w:t xml:space="preserve"> in Portugal became the second university in the world, and the first in Europe, to adopt a university-wide </w:t>
      </w:r>
      <w:hyperlink r:id="rId7" w:history="1">
        <w:r w:rsidR="00B0055E" w:rsidRPr="005623CE">
          <w:rPr>
            <w:rStyle w:val="Hyperlink"/>
            <w:rFonts w:ascii="Arial" w:eastAsia="Times New Roman" w:hAnsi="Arial" w:cs="Times New Roman"/>
            <w:sz w:val="24"/>
            <w:szCs w:val="24"/>
            <w:lang w:eastAsia="en-CA"/>
          </w:rPr>
          <w:t>Green Open Access (OA) self-archiving mandate</w:t>
        </w:r>
      </w:hyperlink>
      <w:r w:rsidR="00B0055E" w:rsidRPr="005623CE">
        <w:rPr>
          <w:rFonts w:ascii="Arial" w:eastAsia="Times New Roman" w:hAnsi="Arial" w:cs="Times New Roman"/>
          <w:sz w:val="24"/>
          <w:szCs w:val="24"/>
          <w:lang w:eastAsia="en-CA"/>
        </w:rPr>
        <w:t xml:space="preserve">, requiring all researchers to deposit their publications in Minho’s institutional repository, </w:t>
      </w:r>
      <w:hyperlink r:id="rId8" w:history="1">
        <w:r w:rsidR="00B0055E" w:rsidRPr="005623CE">
          <w:rPr>
            <w:rStyle w:val="Hyperlink"/>
            <w:rFonts w:ascii="Arial" w:eastAsia="Times New Roman" w:hAnsi="Arial" w:cs="Times New Roman"/>
            <w:sz w:val="24"/>
            <w:szCs w:val="24"/>
            <w:lang w:eastAsia="en-CA"/>
          </w:rPr>
          <w:t>RepositòriUM</w:t>
        </w:r>
      </w:hyperlink>
      <w:r w:rsidR="00B0055E" w:rsidRPr="005623CE">
        <w:rPr>
          <w:rStyle w:val="FootnoteReference"/>
          <w:rFonts w:ascii="Arial" w:eastAsia="Times New Roman" w:hAnsi="Arial" w:cs="Times New Roman"/>
          <w:sz w:val="24"/>
          <w:szCs w:val="24"/>
          <w:lang w:eastAsia="en-CA"/>
        </w:rPr>
        <w:footnoteReference w:id="2"/>
      </w:r>
      <w:r w:rsidR="00B0055E" w:rsidRPr="005623CE">
        <w:rPr>
          <w:rFonts w:ascii="Arial" w:eastAsia="Times New Roman" w:hAnsi="Arial" w:cs="Times New Roman"/>
          <w:sz w:val="24"/>
          <w:szCs w:val="24"/>
          <w:lang w:eastAsia="en-CA"/>
        </w:rPr>
        <w:t>. Minho’s mandate was very successful</w:t>
      </w:r>
      <w:r w:rsidR="00182C9D" w:rsidRPr="005623CE">
        <w:rPr>
          <w:rFonts w:ascii="Arial" w:eastAsia="Times New Roman" w:hAnsi="Arial" w:cs="Times New Roman"/>
          <w:sz w:val="24"/>
          <w:szCs w:val="24"/>
          <w:lang w:eastAsia="en-CA"/>
        </w:rPr>
        <w:t>: W</w:t>
      </w:r>
      <w:r w:rsidR="00B0055E" w:rsidRPr="005623CE">
        <w:rPr>
          <w:rFonts w:ascii="Arial" w:eastAsia="Times New Roman" w:hAnsi="Arial" w:cs="Times New Roman"/>
          <w:sz w:val="24"/>
          <w:szCs w:val="24"/>
          <w:lang w:eastAsia="en-CA"/>
        </w:rPr>
        <w:t xml:space="preserve">ithin two years </w:t>
      </w:r>
      <w:r w:rsidR="00182C9D" w:rsidRPr="005623CE">
        <w:rPr>
          <w:rFonts w:ascii="Arial" w:eastAsia="Times New Roman" w:hAnsi="Arial" w:cs="Times New Roman"/>
          <w:sz w:val="24"/>
          <w:szCs w:val="24"/>
          <w:lang w:eastAsia="en-CA"/>
        </w:rPr>
        <w:t xml:space="preserve">it </w:t>
      </w:r>
      <w:r w:rsidR="00B0055E" w:rsidRPr="005623CE">
        <w:rPr>
          <w:rFonts w:ascii="Arial" w:eastAsia="Times New Roman" w:hAnsi="Arial" w:cs="Times New Roman"/>
          <w:sz w:val="24"/>
          <w:szCs w:val="24"/>
          <w:lang w:eastAsia="en-CA"/>
        </w:rPr>
        <w:t>generat</w:t>
      </w:r>
      <w:r w:rsidR="00182C9D" w:rsidRPr="005623CE">
        <w:rPr>
          <w:rFonts w:ascii="Arial" w:eastAsia="Times New Roman" w:hAnsi="Arial" w:cs="Times New Roman"/>
          <w:sz w:val="24"/>
          <w:szCs w:val="24"/>
          <w:lang w:eastAsia="en-CA"/>
        </w:rPr>
        <w:t>ed</w:t>
      </w:r>
      <w:r w:rsidR="00B0055E" w:rsidRPr="005623CE">
        <w:rPr>
          <w:rFonts w:ascii="Arial" w:eastAsia="Times New Roman" w:hAnsi="Arial" w:cs="Times New Roman"/>
          <w:sz w:val="24"/>
          <w:szCs w:val="24"/>
          <w:lang w:eastAsia="en-CA"/>
        </w:rPr>
        <w:t xml:space="preserve"> deposit rates three times as high as those of non-mandating ins</w:t>
      </w:r>
      <w:r w:rsidR="00182C9D" w:rsidRPr="005623CE">
        <w:rPr>
          <w:rFonts w:ascii="Arial" w:eastAsia="Times New Roman" w:hAnsi="Arial" w:cs="Times New Roman"/>
          <w:sz w:val="24"/>
          <w:szCs w:val="24"/>
          <w:lang w:eastAsia="en-CA"/>
        </w:rPr>
        <w:t>titutions (Gargouri et al 2010</w:t>
      </w:r>
      <w:r w:rsidR="00911B8D" w:rsidRPr="005623CE">
        <w:rPr>
          <w:rFonts w:ascii="Arial" w:eastAsia="Times New Roman" w:hAnsi="Arial" w:cs="Times New Roman"/>
          <w:sz w:val="24"/>
          <w:szCs w:val="24"/>
          <w:lang w:eastAsia="en-CA"/>
        </w:rPr>
        <w:t xml:space="preserve">, </w:t>
      </w:r>
      <w:r w:rsidR="00911B8D" w:rsidRPr="005623CE">
        <w:rPr>
          <w:rFonts w:ascii="Arial" w:eastAsia="Times New Roman" w:hAnsi="Arial" w:cs="Times New Roman"/>
          <w:b/>
          <w:sz w:val="24"/>
          <w:szCs w:val="24"/>
          <w:lang w:eastAsia="en-CA"/>
        </w:rPr>
        <w:t>Figure 1</w:t>
      </w:r>
      <w:r w:rsidR="00182C9D" w:rsidRPr="005623CE">
        <w:rPr>
          <w:rFonts w:ascii="Arial" w:eastAsia="Times New Roman" w:hAnsi="Arial" w:cs="Times New Roman"/>
          <w:sz w:val="24"/>
          <w:szCs w:val="24"/>
          <w:lang w:eastAsia="en-CA"/>
        </w:rPr>
        <w:t>);</w:t>
      </w:r>
      <w:r w:rsidR="00B0055E" w:rsidRPr="005623CE">
        <w:rPr>
          <w:rFonts w:ascii="Arial" w:eastAsia="Times New Roman" w:hAnsi="Arial" w:cs="Times New Roman"/>
          <w:sz w:val="24"/>
          <w:szCs w:val="24"/>
          <w:lang w:eastAsia="en-CA"/>
        </w:rPr>
        <w:t xml:space="preserve"> </w:t>
      </w:r>
      <w:r w:rsidR="00182C9D" w:rsidRPr="005623CE">
        <w:rPr>
          <w:rFonts w:ascii="Arial" w:eastAsia="Times New Roman" w:hAnsi="Arial" w:cs="Times New Roman"/>
          <w:sz w:val="24"/>
          <w:szCs w:val="24"/>
          <w:lang w:eastAsia="en-CA"/>
        </w:rPr>
        <w:t xml:space="preserve">it </w:t>
      </w:r>
      <w:r w:rsidR="00B0055E" w:rsidRPr="005623CE">
        <w:rPr>
          <w:rFonts w:ascii="Arial" w:eastAsia="Times New Roman" w:hAnsi="Arial" w:cs="Times New Roman"/>
          <w:sz w:val="24"/>
          <w:szCs w:val="24"/>
          <w:lang w:eastAsia="en-CA"/>
        </w:rPr>
        <w:t xml:space="preserve">was also very influential, helping to spread and accelerate the adoption of OA mandates across Europe and worldwide. </w:t>
      </w:r>
    </w:p>
    <w:p w:rsidR="00911B8D" w:rsidRDefault="00911B8D" w:rsidP="00BE66F7">
      <w:pPr>
        <w:jc w:val="both"/>
        <w:rPr>
          <w:rFonts w:ascii="Arial" w:eastAsia="Times New Roman" w:hAnsi="Arial" w:cs="Times New Roman"/>
          <w:sz w:val="24"/>
          <w:szCs w:val="24"/>
          <w:lang w:eastAsia="en-CA"/>
        </w:rPr>
      </w:pPr>
    </w:p>
    <w:p w:rsidR="00E22B76" w:rsidRPr="005623CE" w:rsidRDefault="00E22B76" w:rsidP="00E22B76">
      <w:pPr>
        <w:jc w:val="both"/>
        <w:rPr>
          <w:rFonts w:ascii="Arial" w:eastAsia="Times New Roman" w:hAnsi="Arial" w:cs="Times New Roman"/>
          <w:sz w:val="24"/>
          <w:szCs w:val="24"/>
          <w:lang w:eastAsia="en-CA"/>
        </w:rPr>
      </w:pPr>
      <w:r w:rsidRPr="00BE66F7">
        <w:rPr>
          <w:rFonts w:ascii="Arial" w:eastAsia="Times New Roman" w:hAnsi="Arial" w:cs="Times New Roman"/>
          <w:b/>
          <w:sz w:val="24"/>
          <w:szCs w:val="24"/>
          <w:lang w:eastAsia="en-CA"/>
        </w:rPr>
        <w:t>2. The 2011 Liège Upgrade.</w:t>
      </w:r>
      <w:r>
        <w:rPr>
          <w:rFonts w:ascii="Arial" w:eastAsia="Times New Roman" w:hAnsi="Arial" w:cs="Times New Roman"/>
          <w:b/>
          <w:sz w:val="24"/>
          <w:szCs w:val="24"/>
          <w:lang w:eastAsia="en-CA"/>
        </w:rPr>
        <w:t xml:space="preserve"> </w:t>
      </w:r>
      <w:r w:rsidRPr="005623CE">
        <w:rPr>
          <w:rFonts w:ascii="Arial" w:eastAsia="Times New Roman" w:hAnsi="Arial" w:cs="Times New Roman"/>
          <w:sz w:val="24"/>
          <w:szCs w:val="24"/>
          <w:lang w:eastAsia="en-CA"/>
        </w:rPr>
        <w:t xml:space="preserve">Initially, a small financial reward was offered by Minho’s Rector as an incentive for depositing, but after a few years this was no longer thought to be necessary. Nevertheless, it was noted that although Minho’s deposit rates remained higher than non-mandatory rates, they had </w:t>
      </w:r>
      <w:r>
        <w:rPr>
          <w:rFonts w:ascii="Arial" w:eastAsia="Times New Roman" w:hAnsi="Arial" w:cs="Times New Roman"/>
          <w:sz w:val="24"/>
          <w:szCs w:val="24"/>
          <w:lang w:eastAsia="en-CA"/>
        </w:rPr>
        <w:t>declined</w:t>
      </w:r>
      <w:r w:rsidRPr="005623CE">
        <w:rPr>
          <w:rFonts w:ascii="Arial" w:eastAsia="Times New Roman" w:hAnsi="Arial" w:cs="Times New Roman"/>
          <w:sz w:val="24"/>
          <w:szCs w:val="24"/>
          <w:lang w:eastAsia="en-CA"/>
        </w:rPr>
        <w:t xml:space="preserve"> somewhat across the years, and were still far from 100%. So in 2011, the Minho mandate was upgraded to what has been found to be the strongest and most effective Green OA mandate (Gargouri et al 2012</w:t>
      </w:r>
      <w:r>
        <w:rPr>
          <w:rFonts w:ascii="Arial" w:eastAsia="Times New Roman" w:hAnsi="Arial" w:cs="Times New Roman"/>
          <w:sz w:val="24"/>
          <w:szCs w:val="24"/>
          <w:lang w:eastAsia="en-CA"/>
        </w:rPr>
        <w:t>a</w:t>
      </w:r>
      <w:r w:rsidRPr="005623CE">
        <w:rPr>
          <w:rFonts w:ascii="Arial" w:eastAsia="Times New Roman" w:hAnsi="Arial" w:cs="Times New Roman"/>
          <w:sz w:val="24"/>
          <w:szCs w:val="24"/>
          <w:lang w:eastAsia="en-CA"/>
        </w:rPr>
        <w:t xml:space="preserve">) -- the Liège model mandate (Rentier &amp; Thirion 2011): </w:t>
      </w:r>
    </w:p>
    <w:p w:rsidR="00E22B76" w:rsidRPr="005623CE" w:rsidRDefault="00E22B76" w:rsidP="00E22B76">
      <w:pPr>
        <w:ind w:left="720"/>
        <w:jc w:val="both"/>
        <w:rPr>
          <w:rFonts w:ascii="Arial" w:eastAsia="Times New Roman" w:hAnsi="Arial" w:cs="Times New Roman"/>
          <w:sz w:val="24"/>
          <w:szCs w:val="24"/>
          <w:lang w:eastAsia="en-CA"/>
        </w:rPr>
      </w:pPr>
      <w:r w:rsidRPr="005623CE">
        <w:rPr>
          <w:rFonts w:ascii="Arial" w:eastAsia="Times New Roman" w:hAnsi="Arial" w:cs="Times New Roman"/>
          <w:sz w:val="24"/>
          <w:szCs w:val="24"/>
          <w:lang w:eastAsia="en-CA"/>
        </w:rPr>
        <w:t xml:space="preserve">(1) The deposit must be made </w:t>
      </w:r>
      <w:r w:rsidRPr="005623CE">
        <w:rPr>
          <w:rFonts w:ascii="Arial" w:eastAsia="Times New Roman" w:hAnsi="Arial" w:cs="Times New Roman"/>
          <w:i/>
          <w:sz w:val="24"/>
          <w:szCs w:val="24"/>
          <w:lang w:eastAsia="en-CA"/>
        </w:rPr>
        <w:t>immediately</w:t>
      </w:r>
      <w:r w:rsidRPr="005623CE">
        <w:rPr>
          <w:rFonts w:ascii="Arial" w:eastAsia="Times New Roman" w:hAnsi="Arial" w:cs="Times New Roman"/>
          <w:sz w:val="24"/>
          <w:szCs w:val="24"/>
          <w:lang w:eastAsia="en-CA"/>
        </w:rPr>
        <w:t xml:space="preserve"> upon acceptance for publication, not after a delay, although access to the deposit can be set to </w:t>
      </w:r>
      <w:r w:rsidRPr="005623CE">
        <w:rPr>
          <w:rFonts w:ascii="Arial" w:eastAsia="Times New Roman" w:hAnsi="Arial" w:cs="Times New Roman"/>
          <w:i/>
          <w:sz w:val="24"/>
          <w:szCs w:val="24"/>
          <w:lang w:eastAsia="en-CA"/>
        </w:rPr>
        <w:t>restricted access</w:t>
      </w:r>
      <w:r w:rsidRPr="005623CE">
        <w:rPr>
          <w:rFonts w:ascii="Arial" w:eastAsia="Times New Roman" w:hAnsi="Arial" w:cs="Times New Roman"/>
          <w:sz w:val="24"/>
          <w:szCs w:val="24"/>
          <w:lang w:eastAsia="en-CA"/>
        </w:rPr>
        <w:t xml:space="preserve"> instead of </w:t>
      </w:r>
      <w:r w:rsidRPr="005623CE">
        <w:rPr>
          <w:rFonts w:ascii="Arial" w:eastAsia="Times New Roman" w:hAnsi="Arial" w:cs="Times New Roman"/>
          <w:i/>
          <w:sz w:val="24"/>
          <w:szCs w:val="24"/>
          <w:lang w:eastAsia="en-CA"/>
        </w:rPr>
        <w:t>public access</w:t>
      </w:r>
      <w:r w:rsidRPr="005623CE">
        <w:rPr>
          <w:rFonts w:ascii="Arial" w:eastAsia="Times New Roman" w:hAnsi="Arial" w:cs="Times New Roman"/>
          <w:sz w:val="24"/>
          <w:szCs w:val="24"/>
          <w:lang w:eastAsia="en-CA"/>
        </w:rPr>
        <w:t xml:space="preserve"> if the author elects to comply with a publisher OA embargo; for restricted access deposits, during the embargo the repository has a </w:t>
      </w:r>
      <w:hyperlink r:id="rId9" w:history="1">
        <w:r w:rsidRPr="005623CE">
          <w:rPr>
            <w:rStyle w:val="Hyperlink"/>
            <w:rFonts w:ascii="Arial" w:eastAsia="Times New Roman" w:hAnsi="Arial" w:cs="Times New Roman"/>
            <w:sz w:val="24"/>
            <w:szCs w:val="24"/>
            <w:lang w:eastAsia="en-CA"/>
          </w:rPr>
          <w:t>Button</w:t>
        </w:r>
      </w:hyperlink>
      <w:r w:rsidRPr="005623CE">
        <w:rPr>
          <w:rFonts w:ascii="Arial" w:eastAsia="Times New Roman" w:hAnsi="Arial" w:cs="Times New Roman"/>
          <w:sz w:val="24"/>
          <w:szCs w:val="24"/>
          <w:lang w:eastAsia="en-CA"/>
        </w:rPr>
        <w:t xml:space="preserve"> that allows users to request and authors to provide an individual copy with one click each (Sale et al. 2012). </w:t>
      </w:r>
    </w:p>
    <w:p w:rsidR="00E22B76" w:rsidRPr="005623CE" w:rsidRDefault="00E22B76" w:rsidP="00E22B76">
      <w:pPr>
        <w:ind w:left="720"/>
        <w:jc w:val="both"/>
        <w:rPr>
          <w:rFonts w:ascii="Arial" w:eastAsia="Times New Roman" w:hAnsi="Arial" w:cs="Times New Roman"/>
          <w:sz w:val="24"/>
          <w:szCs w:val="24"/>
          <w:lang w:eastAsia="en-CA"/>
        </w:rPr>
      </w:pPr>
      <w:r w:rsidRPr="005623CE">
        <w:rPr>
          <w:rFonts w:ascii="Arial" w:eastAsia="Times New Roman" w:hAnsi="Arial" w:cs="Times New Roman"/>
          <w:sz w:val="24"/>
          <w:szCs w:val="24"/>
          <w:lang w:eastAsia="en-CA"/>
        </w:rPr>
        <w:t>(2) Deposit in the institutional reposit</w:t>
      </w:r>
      <w:r w:rsidRPr="005623CE">
        <w:rPr>
          <w:rFonts w:ascii="Arial" w:eastAsia="Times New Roman" w:hAnsi="Arial" w:cs="Times New Roman"/>
          <w:sz w:val="24"/>
          <w:szCs w:val="24"/>
          <w:lang w:val="en-US" w:eastAsia="en-CA"/>
        </w:rPr>
        <w:t>ory</w:t>
      </w:r>
      <w:r w:rsidRPr="005623CE">
        <w:rPr>
          <w:rFonts w:ascii="Arial" w:eastAsia="Times New Roman" w:hAnsi="Arial" w:cs="Times New Roman"/>
          <w:sz w:val="24"/>
          <w:szCs w:val="24"/>
          <w:lang w:eastAsia="en-CA"/>
        </w:rPr>
        <w:t xml:space="preserve"> is officially designated as the </w:t>
      </w:r>
      <w:hyperlink r:id="rId10" w:history="1">
        <w:r w:rsidRPr="005623CE">
          <w:rPr>
            <w:rStyle w:val="Hyperlink"/>
            <w:rFonts w:ascii="Arial" w:eastAsia="Times New Roman" w:hAnsi="Arial" w:cs="Times New Roman"/>
            <w:sz w:val="24"/>
            <w:szCs w:val="24"/>
            <w:lang w:eastAsia="en-CA"/>
          </w:rPr>
          <w:t>sole mechanism</w:t>
        </w:r>
      </w:hyperlink>
      <w:r w:rsidRPr="005623CE">
        <w:rPr>
          <w:rFonts w:ascii="Arial" w:eastAsia="Times New Roman" w:hAnsi="Arial" w:cs="Times New Roman"/>
          <w:sz w:val="24"/>
          <w:szCs w:val="24"/>
          <w:lang w:eastAsia="en-CA"/>
        </w:rPr>
        <w:t xml:space="preserve"> for submitting publications for </w:t>
      </w:r>
      <w:hyperlink r:id="rId11" w:history="1">
        <w:r w:rsidRPr="005623CE">
          <w:rPr>
            <w:rStyle w:val="Hyperlink"/>
            <w:rFonts w:ascii="Arial" w:eastAsia="Times New Roman" w:hAnsi="Arial" w:cs="Times New Roman"/>
            <w:sz w:val="24"/>
            <w:szCs w:val="24"/>
            <w:lang w:eastAsia="en-CA"/>
          </w:rPr>
          <w:t>research performance review</w:t>
        </w:r>
      </w:hyperlink>
      <w:r w:rsidRPr="005623CE">
        <w:rPr>
          <w:rFonts w:ascii="Arial" w:eastAsia="Times New Roman" w:hAnsi="Arial" w:cs="Times New Roman"/>
          <w:sz w:val="24"/>
          <w:szCs w:val="24"/>
          <w:lang w:eastAsia="en-CA"/>
        </w:rPr>
        <w:t xml:space="preserve"> or </w:t>
      </w:r>
      <w:hyperlink r:id="rId12" w:history="1">
        <w:r w:rsidRPr="005623CE">
          <w:rPr>
            <w:rStyle w:val="Hyperlink"/>
            <w:rFonts w:ascii="Arial" w:eastAsia="Times New Roman" w:hAnsi="Arial" w:cs="Times New Roman"/>
            <w:sz w:val="24"/>
            <w:szCs w:val="24"/>
            <w:lang w:eastAsia="en-CA"/>
          </w:rPr>
          <w:t>funding</w:t>
        </w:r>
      </w:hyperlink>
      <w:r w:rsidRPr="005623CE">
        <w:rPr>
          <w:rFonts w:ascii="Arial" w:eastAsia="Times New Roman" w:hAnsi="Arial" w:cs="Times New Roman"/>
          <w:sz w:val="24"/>
          <w:szCs w:val="24"/>
          <w:lang w:eastAsia="en-CA"/>
        </w:rPr>
        <w:t>.</w:t>
      </w:r>
    </w:p>
    <w:p w:rsidR="00E22B76" w:rsidRPr="005623CE" w:rsidRDefault="000F6037" w:rsidP="000F6037">
      <w:pPr>
        <w:jc w:val="center"/>
        <w:rPr>
          <w:rFonts w:ascii="Arial" w:eastAsia="Times New Roman" w:hAnsi="Arial" w:cs="Times New Roman"/>
          <w:sz w:val="24"/>
          <w:szCs w:val="24"/>
          <w:lang w:eastAsia="en-CA"/>
        </w:rPr>
      </w:pPr>
      <w:r w:rsidRPr="000F6037">
        <w:rPr>
          <w:rFonts w:ascii="Arial" w:eastAsia="Times New Roman" w:hAnsi="Arial" w:cs="Times New Roman"/>
          <w:noProof/>
          <w:sz w:val="24"/>
          <w:szCs w:val="24"/>
          <w:lang w:val="en-US"/>
        </w:rPr>
        <w:drawing>
          <wp:inline distT="0" distB="0" distL="0" distR="0">
            <wp:extent cx="4229100" cy="2632710"/>
            <wp:effectExtent l="25400" t="25400" r="12700" b="8890"/>
            <wp:docPr id="3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0055E" w:rsidRPr="005623CE" w:rsidRDefault="00B0055E" w:rsidP="001A5553">
      <w:pPr>
        <w:jc w:val="center"/>
        <w:rPr>
          <w:rFonts w:ascii="Arial" w:eastAsia="Times New Roman" w:hAnsi="Arial" w:cs="Times New Roman"/>
          <w:sz w:val="24"/>
          <w:szCs w:val="24"/>
          <w:lang w:eastAsia="en-CA"/>
        </w:rPr>
      </w:pPr>
    </w:p>
    <w:p w:rsidR="00E22B76" w:rsidRDefault="008F3BF4" w:rsidP="00BE66F7">
      <w:pPr>
        <w:ind w:left="720"/>
        <w:jc w:val="both"/>
        <w:rPr>
          <w:rFonts w:ascii="Arial" w:eastAsia="Times New Roman" w:hAnsi="Arial" w:cs="Times New Roman"/>
          <w:sz w:val="24"/>
          <w:szCs w:val="24"/>
          <w:lang w:eastAsia="en-CA"/>
        </w:rPr>
      </w:pPr>
      <w:r w:rsidRPr="005623CE">
        <w:rPr>
          <w:rFonts w:ascii="Arial" w:eastAsia="Times New Roman" w:hAnsi="Arial" w:cs="Times New Roman"/>
          <w:b/>
          <w:sz w:val="24"/>
          <w:szCs w:val="24"/>
          <w:lang w:eastAsia="en-CA"/>
        </w:rPr>
        <w:t xml:space="preserve">Figure 1. OA rates for 2002-2006 </w:t>
      </w:r>
      <w:r w:rsidR="006D5A97" w:rsidRPr="005623CE">
        <w:rPr>
          <w:rFonts w:ascii="Arial" w:eastAsia="Times New Roman" w:hAnsi="Arial" w:cs="Times New Roman"/>
          <w:b/>
          <w:sz w:val="24"/>
          <w:szCs w:val="24"/>
          <w:lang w:eastAsia="en-CA"/>
        </w:rPr>
        <w:t xml:space="preserve">articles from </w:t>
      </w:r>
      <w:r w:rsidRPr="005623CE">
        <w:rPr>
          <w:rFonts w:ascii="Arial" w:eastAsia="Times New Roman" w:hAnsi="Arial" w:cs="Times New Roman"/>
          <w:b/>
          <w:sz w:val="24"/>
          <w:szCs w:val="24"/>
          <w:lang w:eastAsia="en-CA"/>
        </w:rPr>
        <w:t>Minho and 3 other institutions with Green OA self-archiving mandates, compared with non-mandated institutions. (</w:t>
      </w:r>
      <w:r w:rsidRPr="005623CE">
        <w:rPr>
          <w:rFonts w:ascii="Arial" w:eastAsia="Times New Roman" w:hAnsi="Arial" w:cs="Times New Roman"/>
          <w:sz w:val="24"/>
          <w:szCs w:val="24"/>
          <w:lang w:eastAsia="en-CA"/>
        </w:rPr>
        <w:t>Note that the Minho mandate was adopted in 2004, but the resulting deposits often include retroactive deposit of older papers as well</w:t>
      </w:r>
      <w:r w:rsidR="006D5A97" w:rsidRPr="005623CE">
        <w:rPr>
          <w:rFonts w:ascii="Arial" w:eastAsia="Times New Roman" w:hAnsi="Arial" w:cs="Times New Roman"/>
          <w:sz w:val="24"/>
          <w:szCs w:val="24"/>
          <w:lang w:eastAsia="en-CA"/>
        </w:rPr>
        <w:t>. These robot-based OA rates, however, also include Minho articles made OA elsewhere on the Web, not just in Minho’s repository</w:t>
      </w:r>
      <w:r w:rsidR="001C6807">
        <w:rPr>
          <w:rFonts w:ascii="Arial" w:eastAsia="Times New Roman" w:hAnsi="Arial" w:cs="Times New Roman"/>
          <w:sz w:val="24"/>
          <w:szCs w:val="24"/>
          <w:lang w:eastAsia="en-CA"/>
        </w:rPr>
        <w:t>, hence they are higher than repository rates.)</w:t>
      </w:r>
      <w:r w:rsidRPr="005623CE">
        <w:rPr>
          <w:rFonts w:ascii="Arial" w:eastAsia="Times New Roman" w:hAnsi="Arial" w:cs="Times New Roman"/>
          <w:sz w:val="24"/>
          <w:szCs w:val="24"/>
          <w:lang w:eastAsia="en-CA"/>
        </w:rPr>
        <w:t xml:space="preserve"> (Data are from </w:t>
      </w:r>
      <w:hyperlink r:id="rId14" w:anchor="pone-0013636-g001" w:history="1">
        <w:r w:rsidRPr="005623CE">
          <w:rPr>
            <w:rStyle w:val="Hyperlink"/>
            <w:rFonts w:ascii="Arial" w:eastAsia="Times New Roman" w:hAnsi="Arial" w:cs="Times New Roman"/>
            <w:sz w:val="24"/>
            <w:szCs w:val="24"/>
            <w:lang w:eastAsia="en-CA"/>
          </w:rPr>
          <w:t>Gargouri et al 2010</w:t>
        </w:r>
      </w:hyperlink>
      <w:r w:rsidRPr="005623CE">
        <w:rPr>
          <w:rFonts w:ascii="Arial" w:eastAsia="Times New Roman" w:hAnsi="Arial" w:cs="Times New Roman"/>
          <w:sz w:val="24"/>
          <w:szCs w:val="24"/>
          <w:lang w:eastAsia="en-CA"/>
        </w:rPr>
        <w:t>.)</w:t>
      </w:r>
    </w:p>
    <w:p w:rsidR="008F3BF4" w:rsidRPr="005623CE" w:rsidRDefault="008F3BF4" w:rsidP="00BE66F7">
      <w:pPr>
        <w:ind w:left="720"/>
        <w:jc w:val="both"/>
        <w:rPr>
          <w:rFonts w:ascii="Arial" w:eastAsia="Times New Roman" w:hAnsi="Arial" w:cs="Times New Roman"/>
          <w:sz w:val="24"/>
          <w:szCs w:val="24"/>
          <w:lang w:eastAsia="en-CA"/>
        </w:rPr>
      </w:pPr>
    </w:p>
    <w:p w:rsidR="00FA1969" w:rsidRPr="005623CE" w:rsidRDefault="00B0055E" w:rsidP="00BE66F7">
      <w:pPr>
        <w:jc w:val="both"/>
        <w:rPr>
          <w:rFonts w:ascii="Arial" w:eastAsia="Times New Roman" w:hAnsi="Arial" w:cs="Times New Roman"/>
          <w:sz w:val="24"/>
          <w:szCs w:val="24"/>
          <w:lang w:eastAsia="en-CA"/>
        </w:rPr>
      </w:pPr>
      <w:r w:rsidRPr="005623CE">
        <w:rPr>
          <w:rFonts w:ascii="Arial" w:eastAsia="Times New Roman" w:hAnsi="Arial" w:cs="Times New Roman"/>
          <w:sz w:val="24"/>
          <w:szCs w:val="24"/>
          <w:lang w:eastAsia="en-CA"/>
        </w:rPr>
        <w:t xml:space="preserve">We </w:t>
      </w:r>
      <w:r w:rsidR="001C6807">
        <w:rPr>
          <w:rFonts w:ascii="Arial" w:eastAsia="Times New Roman" w:hAnsi="Arial" w:cs="Times New Roman"/>
          <w:sz w:val="24"/>
          <w:szCs w:val="24"/>
          <w:lang w:eastAsia="en-CA"/>
        </w:rPr>
        <w:t>analyze</w:t>
      </w:r>
      <w:r w:rsidRPr="005623CE">
        <w:rPr>
          <w:rFonts w:ascii="Arial" w:eastAsia="Times New Roman" w:hAnsi="Arial" w:cs="Times New Roman"/>
          <w:sz w:val="24"/>
          <w:szCs w:val="24"/>
          <w:lang w:eastAsia="en-CA"/>
        </w:rPr>
        <w:t xml:space="preserve"> here Minho’s deposit rate for OA’s principal target content -- peer-reviewed journal articles -- comparing Minho’s repository with three other repositories: Liege’s </w:t>
      </w:r>
      <w:hyperlink r:id="rId15" w:history="1">
        <w:r w:rsidRPr="005623CE">
          <w:rPr>
            <w:rStyle w:val="Hyperlink"/>
            <w:rFonts w:ascii="Arial" w:eastAsia="Times New Roman" w:hAnsi="Arial" w:cs="Times New Roman"/>
            <w:sz w:val="24"/>
            <w:szCs w:val="24"/>
            <w:lang w:eastAsia="en-CA"/>
          </w:rPr>
          <w:t>ORBi</w:t>
        </w:r>
      </w:hyperlink>
      <w:r w:rsidR="00425DC5" w:rsidRPr="005623CE">
        <w:rPr>
          <w:rFonts w:ascii="Arial" w:eastAsia="Times New Roman" w:hAnsi="Arial" w:cs="Times New Roman"/>
          <w:sz w:val="24"/>
          <w:szCs w:val="24"/>
          <w:lang w:eastAsia="en-CA"/>
        </w:rPr>
        <w:t xml:space="preserve">, Surrey’s </w:t>
      </w:r>
      <w:hyperlink r:id="rId16" w:history="1">
        <w:r w:rsidR="00425DC5" w:rsidRPr="005623CE">
          <w:rPr>
            <w:rStyle w:val="Hyperlink"/>
            <w:rFonts w:ascii="Arial" w:eastAsia="Times New Roman" w:hAnsi="Arial" w:cs="Times New Roman"/>
            <w:sz w:val="24"/>
            <w:szCs w:val="24"/>
            <w:lang w:eastAsia="en-CA"/>
          </w:rPr>
          <w:t>SRI</w:t>
        </w:r>
      </w:hyperlink>
      <w:r w:rsidR="00425DC5" w:rsidRPr="005623CE">
        <w:rPr>
          <w:rFonts w:ascii="Arial" w:eastAsia="Times New Roman" w:hAnsi="Arial" w:cs="Times New Roman"/>
          <w:sz w:val="24"/>
          <w:szCs w:val="24"/>
          <w:lang w:eastAsia="en-CA"/>
        </w:rPr>
        <w:t xml:space="preserve"> (mandated), Lancaster’s </w:t>
      </w:r>
      <w:hyperlink r:id="rId17" w:history="1">
        <w:r w:rsidR="00425DC5" w:rsidRPr="005623CE">
          <w:rPr>
            <w:rStyle w:val="Hyperlink"/>
            <w:rFonts w:ascii="Arial" w:eastAsia="Times New Roman" w:hAnsi="Arial" w:cs="Times New Roman"/>
            <w:sz w:val="24"/>
            <w:szCs w:val="24"/>
            <w:lang w:eastAsia="en-CA"/>
          </w:rPr>
          <w:t>EPrints</w:t>
        </w:r>
      </w:hyperlink>
      <w:r w:rsidR="00425DC5" w:rsidRPr="005623CE">
        <w:rPr>
          <w:rFonts w:ascii="Arial" w:eastAsia="Times New Roman" w:hAnsi="Arial" w:cs="Times New Roman"/>
          <w:sz w:val="24"/>
          <w:szCs w:val="24"/>
          <w:lang w:eastAsia="en-CA"/>
        </w:rPr>
        <w:t xml:space="preserve"> (non-mandat</w:t>
      </w:r>
      <w:r w:rsidR="001C6807">
        <w:rPr>
          <w:rFonts w:ascii="Arial" w:eastAsia="Times New Roman" w:hAnsi="Arial" w:cs="Times New Roman"/>
          <w:sz w:val="24"/>
          <w:szCs w:val="24"/>
          <w:lang w:eastAsia="en-CA"/>
        </w:rPr>
        <w:t>ed), as well as the average for</w:t>
      </w:r>
      <w:r w:rsidR="00425DC5" w:rsidRPr="005623CE">
        <w:rPr>
          <w:rFonts w:ascii="Arial" w:eastAsia="Times New Roman" w:hAnsi="Arial" w:cs="Times New Roman"/>
          <w:sz w:val="24"/>
          <w:szCs w:val="24"/>
          <w:lang w:eastAsia="en-CA"/>
        </w:rPr>
        <w:t xml:space="preserve"> </w:t>
      </w:r>
      <w:r w:rsidR="00402FD5" w:rsidRPr="005623CE">
        <w:rPr>
          <w:rFonts w:ascii="Arial" w:eastAsia="Times New Roman" w:hAnsi="Arial" w:cs="Times New Roman"/>
          <w:sz w:val="24"/>
          <w:szCs w:val="24"/>
          <w:lang w:eastAsia="en-CA"/>
        </w:rPr>
        <w:t>26</w:t>
      </w:r>
      <w:r w:rsidR="00425DC5" w:rsidRPr="005623CE">
        <w:rPr>
          <w:rFonts w:ascii="Arial" w:eastAsia="Times New Roman" w:hAnsi="Arial" w:cs="Times New Roman"/>
          <w:sz w:val="24"/>
          <w:szCs w:val="24"/>
          <w:lang w:eastAsia="en-CA"/>
        </w:rPr>
        <w:t xml:space="preserve"> mandated </w:t>
      </w:r>
      <w:r w:rsidR="001C6807">
        <w:rPr>
          <w:rFonts w:ascii="Arial" w:eastAsia="Times New Roman" w:hAnsi="Arial" w:cs="Times New Roman"/>
          <w:sz w:val="24"/>
          <w:szCs w:val="24"/>
          <w:lang w:eastAsia="en-CA"/>
        </w:rPr>
        <w:t xml:space="preserve">UK repositories </w:t>
      </w:r>
      <w:r w:rsidR="00425DC5" w:rsidRPr="005623CE">
        <w:rPr>
          <w:rFonts w:ascii="Arial" w:eastAsia="Times New Roman" w:hAnsi="Arial" w:cs="Times New Roman"/>
          <w:sz w:val="24"/>
          <w:szCs w:val="24"/>
          <w:lang w:eastAsia="en-CA"/>
        </w:rPr>
        <w:t xml:space="preserve">and </w:t>
      </w:r>
      <w:r w:rsidR="00402FD5" w:rsidRPr="001C6807">
        <w:rPr>
          <w:rFonts w:ascii="Arial" w:eastAsia="Times New Roman" w:hAnsi="Arial" w:cs="Times New Roman"/>
          <w:sz w:val="24"/>
          <w:szCs w:val="24"/>
          <w:lang w:eastAsia="en-CA"/>
        </w:rPr>
        <w:t>73</w:t>
      </w:r>
      <w:r w:rsidR="00402FD5" w:rsidRPr="005623CE">
        <w:rPr>
          <w:rFonts w:ascii="Arial" w:eastAsia="Times New Roman" w:hAnsi="Arial" w:cs="Times New Roman"/>
          <w:color w:val="3366FF"/>
          <w:sz w:val="24"/>
          <w:szCs w:val="24"/>
          <w:lang w:eastAsia="en-CA"/>
        </w:rPr>
        <w:t xml:space="preserve"> </w:t>
      </w:r>
      <w:r w:rsidR="00255953" w:rsidRPr="005623CE">
        <w:rPr>
          <w:rFonts w:ascii="Arial" w:eastAsia="Times New Roman" w:hAnsi="Arial" w:cs="Times New Roman"/>
          <w:sz w:val="24"/>
          <w:szCs w:val="24"/>
          <w:lang w:eastAsia="en-CA"/>
        </w:rPr>
        <w:t>non-</w:t>
      </w:r>
      <w:r w:rsidR="00425DC5" w:rsidRPr="005623CE">
        <w:rPr>
          <w:rFonts w:ascii="Arial" w:eastAsia="Times New Roman" w:hAnsi="Arial" w:cs="Times New Roman"/>
          <w:sz w:val="24"/>
          <w:szCs w:val="24"/>
          <w:lang w:eastAsia="en-CA"/>
        </w:rPr>
        <w:t xml:space="preserve">mandated </w:t>
      </w:r>
      <w:r w:rsidR="001C6807">
        <w:rPr>
          <w:rFonts w:ascii="Arial" w:eastAsia="Times New Roman" w:hAnsi="Arial" w:cs="Times New Roman"/>
          <w:sz w:val="24"/>
          <w:szCs w:val="24"/>
          <w:lang w:eastAsia="en-CA"/>
        </w:rPr>
        <w:t>UK</w:t>
      </w:r>
      <w:r w:rsidR="00255953" w:rsidRPr="005623CE">
        <w:rPr>
          <w:rFonts w:ascii="Arial" w:eastAsia="Times New Roman" w:hAnsi="Arial" w:cs="Times New Roman"/>
          <w:sz w:val="24"/>
          <w:szCs w:val="24"/>
          <w:lang w:eastAsia="en-CA"/>
        </w:rPr>
        <w:t xml:space="preserve"> repositories.</w:t>
      </w:r>
    </w:p>
    <w:p w:rsidR="000F2AAD" w:rsidRPr="005623CE" w:rsidRDefault="00137CCA" w:rsidP="00137CCA">
      <w:pPr>
        <w:spacing w:after="0" w:line="240" w:lineRule="auto"/>
        <w:rPr>
          <w:rFonts w:ascii="Arial" w:eastAsia="Times New Roman" w:hAnsi="Arial" w:cs="Times New Roman"/>
          <w:b/>
          <w:bCs/>
          <w:color w:val="000000"/>
          <w:lang w:eastAsia="en-CA"/>
        </w:rPr>
      </w:pPr>
      <w:r w:rsidRPr="005623CE">
        <w:rPr>
          <w:rFonts w:ascii="Arial" w:eastAsia="Times New Roman" w:hAnsi="Arial" w:cs="Times New Roman"/>
          <w:b/>
          <w:bCs/>
          <w:noProof/>
          <w:color w:val="000000"/>
          <w:lang w:val="en-US"/>
        </w:rPr>
        <w:drawing>
          <wp:inline distT="0" distB="0" distL="0" distR="0">
            <wp:extent cx="5497830" cy="2257425"/>
            <wp:effectExtent l="19050" t="0" r="26670" b="0"/>
            <wp:docPr id="2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F2AAD" w:rsidRPr="005623CE">
        <w:rPr>
          <w:rFonts w:ascii="Arial" w:eastAsia="Times New Roman" w:hAnsi="Arial" w:cs="Times New Roman"/>
          <w:bCs/>
          <w:noProof/>
          <w:color w:val="000000"/>
          <w:lang w:val="en-US"/>
        </w:rPr>
        <w:drawing>
          <wp:inline distT="0" distB="0" distL="0" distR="0">
            <wp:extent cx="5494468" cy="2266790"/>
            <wp:effectExtent l="19050" t="0" r="10982" b="160"/>
            <wp:docPr id="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37CCA" w:rsidRPr="005623CE" w:rsidRDefault="00E75B9E" w:rsidP="00137CCA">
      <w:pPr>
        <w:spacing w:after="0" w:line="240" w:lineRule="auto"/>
        <w:rPr>
          <w:rFonts w:ascii="Arial" w:eastAsia="Times New Roman" w:hAnsi="Arial" w:cs="Times New Roman"/>
          <w:b/>
          <w:bCs/>
          <w:color w:val="000000"/>
          <w:lang w:eastAsia="en-CA"/>
        </w:rPr>
      </w:pPr>
      <w:r w:rsidRPr="00E75B9E">
        <w:rPr>
          <w:rFonts w:ascii="Arial" w:eastAsia="Times New Roman" w:hAnsi="Arial" w:cs="Times New Roman"/>
          <w:b/>
          <w:bCs/>
          <w:noProof/>
          <w:color w:val="000000"/>
          <w:lang w:val="en-US"/>
        </w:rPr>
        <w:drawing>
          <wp:inline distT="0" distB="0" distL="0" distR="0">
            <wp:extent cx="5494975" cy="2159214"/>
            <wp:effectExtent l="19050" t="0" r="10475" b="0"/>
            <wp:docPr id="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75B9E" w:rsidRDefault="00E75B9E" w:rsidP="005623CE">
      <w:pPr>
        <w:spacing w:after="0" w:line="240" w:lineRule="auto"/>
        <w:ind w:left="720"/>
        <w:jc w:val="both"/>
        <w:rPr>
          <w:rFonts w:ascii="Arial" w:eastAsia="Times New Roman" w:hAnsi="Arial" w:cs="Times New Roman"/>
          <w:b/>
          <w:bCs/>
          <w:color w:val="000000"/>
          <w:lang w:eastAsia="en-CA"/>
        </w:rPr>
      </w:pPr>
    </w:p>
    <w:p w:rsidR="005623CE" w:rsidRDefault="00B5441E" w:rsidP="00BE66F7">
      <w:pPr>
        <w:spacing w:after="0" w:line="240" w:lineRule="auto"/>
        <w:ind w:left="720"/>
        <w:jc w:val="both"/>
        <w:rPr>
          <w:rFonts w:ascii="Arial" w:eastAsia="Times New Roman" w:hAnsi="Arial" w:cs="Times New Roman"/>
          <w:b/>
          <w:bCs/>
          <w:color w:val="000000"/>
          <w:lang w:eastAsia="en-CA"/>
        </w:rPr>
      </w:pPr>
      <w:r w:rsidRPr="005623CE">
        <w:rPr>
          <w:rFonts w:ascii="Arial" w:eastAsia="Times New Roman" w:hAnsi="Arial" w:cs="Times New Roman"/>
          <w:b/>
          <w:bCs/>
          <w:color w:val="000000"/>
          <w:lang w:eastAsia="en-CA"/>
        </w:rPr>
        <w:t xml:space="preserve">Figure </w:t>
      </w:r>
      <w:r w:rsidR="00137CCA" w:rsidRPr="005623CE">
        <w:rPr>
          <w:rFonts w:ascii="Arial" w:eastAsia="Times New Roman" w:hAnsi="Arial" w:cs="Times New Roman"/>
          <w:b/>
          <w:bCs/>
          <w:color w:val="000000"/>
          <w:lang w:eastAsia="en-CA"/>
        </w:rPr>
        <w:t>2</w:t>
      </w:r>
      <w:r w:rsidR="0012131B" w:rsidRPr="005623CE">
        <w:rPr>
          <w:rFonts w:ascii="Arial" w:eastAsia="Times New Roman" w:hAnsi="Arial" w:cs="Times New Roman"/>
          <w:b/>
          <w:bCs/>
          <w:color w:val="000000"/>
          <w:lang w:eastAsia="en-CA"/>
        </w:rPr>
        <w:t>.</w:t>
      </w:r>
      <w:r w:rsidR="00632191" w:rsidRPr="005623CE">
        <w:rPr>
          <w:rFonts w:ascii="Arial" w:eastAsia="Times New Roman" w:hAnsi="Arial" w:cs="Times New Roman"/>
          <w:b/>
          <w:bCs/>
          <w:color w:val="000000"/>
          <w:lang w:eastAsia="en-CA"/>
        </w:rPr>
        <w:t xml:space="preserve"> </w:t>
      </w:r>
      <w:r w:rsidR="008B5A7B" w:rsidRPr="005623CE">
        <w:rPr>
          <w:rFonts w:ascii="Arial" w:eastAsia="Times New Roman" w:hAnsi="Arial" w:cs="Times New Roman"/>
          <w:b/>
          <w:bCs/>
          <w:color w:val="000000"/>
          <w:lang w:eastAsia="en-CA"/>
        </w:rPr>
        <w:t xml:space="preserve">Minho </w:t>
      </w:r>
      <w:r w:rsidR="0024506A" w:rsidRPr="005623CE">
        <w:rPr>
          <w:rFonts w:ascii="Arial" w:eastAsia="Times New Roman" w:hAnsi="Arial" w:cs="Times New Roman"/>
          <w:b/>
          <w:bCs/>
          <w:color w:val="000000"/>
          <w:lang w:eastAsia="en-CA"/>
        </w:rPr>
        <w:t xml:space="preserve">Percentage </w:t>
      </w:r>
      <w:r w:rsidR="006D5A97" w:rsidRPr="005623CE">
        <w:rPr>
          <w:rFonts w:ascii="Arial" w:eastAsia="Times New Roman" w:hAnsi="Arial" w:cs="Times New Roman"/>
          <w:b/>
          <w:bCs/>
          <w:color w:val="000000"/>
          <w:lang w:eastAsia="en-CA"/>
        </w:rPr>
        <w:t>Deposit</w:t>
      </w:r>
      <w:r w:rsidR="000F2AAD" w:rsidRPr="005623CE">
        <w:rPr>
          <w:rFonts w:ascii="Arial" w:eastAsia="Times New Roman" w:hAnsi="Arial" w:cs="Times New Roman"/>
          <w:b/>
          <w:bCs/>
          <w:color w:val="000000"/>
          <w:lang w:eastAsia="en-CA"/>
        </w:rPr>
        <w:t xml:space="preserve">, Deposit Delay, and Average Citations, </w:t>
      </w:r>
      <w:r w:rsidR="006D5A97" w:rsidRPr="005623CE">
        <w:rPr>
          <w:rFonts w:ascii="Arial" w:eastAsia="Times New Roman" w:hAnsi="Arial" w:cs="Times New Roman"/>
          <w:b/>
          <w:bCs/>
          <w:color w:val="000000"/>
          <w:lang w:eastAsia="en-CA"/>
        </w:rPr>
        <w:t xml:space="preserve">by </w:t>
      </w:r>
      <w:r w:rsidR="00C96277" w:rsidRPr="005623CE">
        <w:rPr>
          <w:rFonts w:ascii="Arial" w:eastAsia="Times New Roman" w:hAnsi="Arial" w:cs="Times New Roman"/>
          <w:b/>
          <w:bCs/>
          <w:color w:val="000000"/>
          <w:lang w:eastAsia="en-CA"/>
        </w:rPr>
        <w:t>Discipline</w:t>
      </w:r>
      <w:r w:rsidR="006D5A97" w:rsidRPr="005623CE">
        <w:rPr>
          <w:rFonts w:ascii="Arial" w:eastAsia="Times New Roman" w:hAnsi="Arial" w:cs="Times New Roman"/>
          <w:b/>
          <w:bCs/>
          <w:color w:val="000000"/>
          <w:lang w:eastAsia="en-CA"/>
        </w:rPr>
        <w:t xml:space="preserve">. </w:t>
      </w:r>
    </w:p>
    <w:p w:rsidR="00483BA4" w:rsidRPr="005623CE" w:rsidRDefault="008B5A7B" w:rsidP="00BE66F7">
      <w:pPr>
        <w:spacing w:after="0" w:line="240" w:lineRule="auto"/>
        <w:ind w:left="720"/>
        <w:jc w:val="both"/>
        <w:rPr>
          <w:rFonts w:ascii="Arial" w:eastAsia="Times New Roman" w:hAnsi="Arial" w:cs="Times New Roman"/>
          <w:bCs/>
          <w:color w:val="000000"/>
          <w:lang w:eastAsia="en-CA"/>
        </w:rPr>
      </w:pPr>
      <w:r w:rsidRPr="005623CE">
        <w:rPr>
          <w:rFonts w:ascii="Arial" w:eastAsia="Times New Roman" w:hAnsi="Arial" w:cs="Times New Roman"/>
          <w:bCs/>
          <w:color w:val="000000"/>
          <w:lang w:eastAsia="en-CA"/>
        </w:rPr>
        <w:t xml:space="preserve">2a (top): </w:t>
      </w:r>
      <w:r w:rsidR="00123C95" w:rsidRPr="005623CE">
        <w:rPr>
          <w:rFonts w:ascii="Arial" w:eastAsia="Times New Roman" w:hAnsi="Arial" w:cs="Times New Roman"/>
          <w:bCs/>
          <w:color w:val="000000"/>
          <w:lang w:eastAsia="en-CA"/>
        </w:rPr>
        <w:t>X</w:t>
      </w:r>
      <w:r w:rsidR="00123C95" w:rsidRPr="005623CE">
        <w:rPr>
          <w:rFonts w:ascii="Arial" w:eastAsia="Times New Roman" w:hAnsi="Arial" w:cs="Times New Roman"/>
          <w:bCs/>
          <w:color w:val="000000"/>
          <w:lang w:val="en-US" w:eastAsia="en-CA"/>
        </w:rPr>
        <w:t xml:space="preserve">’s indicate number of </w:t>
      </w:r>
      <w:r w:rsidR="00123C95" w:rsidRPr="005623CE">
        <w:rPr>
          <w:rFonts w:ascii="Arial" w:eastAsia="Times New Roman" w:hAnsi="Arial" w:cs="Times New Roman"/>
          <w:bCs/>
          <w:color w:val="000000"/>
          <w:lang w:eastAsia="en-CA"/>
        </w:rPr>
        <w:t>U Minho ISI-indexed articles published in 2004-2012</w:t>
      </w:r>
      <w:r w:rsidR="001E069C" w:rsidRPr="005623CE">
        <w:rPr>
          <w:rFonts w:ascii="Arial" w:eastAsia="Times New Roman" w:hAnsi="Arial" w:cs="Times New Roman"/>
          <w:bCs/>
          <w:color w:val="000000"/>
          <w:lang w:eastAsia="en-CA"/>
        </w:rPr>
        <w:t xml:space="preserve"> (scale on right). Bars </w:t>
      </w:r>
      <w:r w:rsidR="00123C95" w:rsidRPr="005623CE">
        <w:rPr>
          <w:rFonts w:ascii="Arial" w:eastAsia="Times New Roman" w:hAnsi="Arial" w:cs="Times New Roman"/>
          <w:bCs/>
          <w:color w:val="000000"/>
          <w:lang w:eastAsia="en-CA"/>
        </w:rPr>
        <w:t>are p</w:t>
      </w:r>
      <w:r w:rsidR="006D7C6A" w:rsidRPr="005623CE">
        <w:rPr>
          <w:rFonts w:ascii="Arial" w:eastAsia="Times New Roman" w:hAnsi="Arial" w:cs="Times New Roman"/>
          <w:bCs/>
          <w:color w:val="000000"/>
          <w:lang w:eastAsia="en-CA"/>
        </w:rPr>
        <w:t xml:space="preserve">ercentage </w:t>
      </w:r>
      <w:r w:rsidR="001E069C" w:rsidRPr="005623CE">
        <w:rPr>
          <w:rFonts w:ascii="Arial" w:eastAsia="Times New Roman" w:hAnsi="Arial" w:cs="Times New Roman"/>
          <w:bCs/>
          <w:color w:val="000000"/>
          <w:lang w:eastAsia="en-CA"/>
        </w:rPr>
        <w:t xml:space="preserve">by discipline </w:t>
      </w:r>
      <w:r w:rsidR="00483BA4" w:rsidRPr="005623CE">
        <w:rPr>
          <w:rFonts w:ascii="Arial" w:eastAsia="Times New Roman" w:hAnsi="Arial" w:cs="Times New Roman"/>
          <w:bCs/>
          <w:color w:val="000000"/>
          <w:lang w:eastAsia="en-CA"/>
        </w:rPr>
        <w:t xml:space="preserve">of </w:t>
      </w:r>
      <w:r w:rsidR="00123C95" w:rsidRPr="005623CE">
        <w:rPr>
          <w:rFonts w:ascii="Arial" w:eastAsia="Times New Roman" w:hAnsi="Arial" w:cs="Times New Roman"/>
          <w:bCs/>
          <w:color w:val="000000"/>
          <w:lang w:eastAsia="en-CA"/>
        </w:rPr>
        <w:t>articles made</w:t>
      </w:r>
      <w:r w:rsidR="006D7C6A" w:rsidRPr="005623CE">
        <w:rPr>
          <w:rFonts w:ascii="Arial" w:eastAsia="Times New Roman" w:hAnsi="Arial" w:cs="Times New Roman"/>
          <w:bCs/>
          <w:color w:val="000000"/>
          <w:lang w:eastAsia="en-CA"/>
        </w:rPr>
        <w:t xml:space="preserve"> Public Access </w:t>
      </w:r>
      <w:r w:rsidR="00C96277" w:rsidRPr="005623CE">
        <w:rPr>
          <w:rFonts w:ascii="Arial" w:eastAsia="Times New Roman" w:hAnsi="Arial" w:cs="Times New Roman"/>
          <w:bCs/>
          <w:color w:val="000000"/>
          <w:lang w:eastAsia="en-CA"/>
        </w:rPr>
        <w:t>(</w:t>
      </w:r>
      <w:r w:rsidR="006D7C6A" w:rsidRPr="005623CE">
        <w:rPr>
          <w:rFonts w:ascii="Arial" w:eastAsia="Times New Roman" w:hAnsi="Arial" w:cs="Times New Roman"/>
          <w:bCs/>
          <w:color w:val="000000"/>
          <w:lang w:eastAsia="en-CA"/>
        </w:rPr>
        <w:t>P</w:t>
      </w:r>
      <w:r w:rsidR="004022F9" w:rsidRPr="005623CE">
        <w:rPr>
          <w:rFonts w:ascii="Arial" w:eastAsia="Times New Roman" w:hAnsi="Arial" w:cs="Times New Roman"/>
          <w:bCs/>
          <w:color w:val="000000"/>
          <w:lang w:eastAsia="en-CA"/>
        </w:rPr>
        <w:t>A</w:t>
      </w:r>
      <w:r w:rsidR="00123C95" w:rsidRPr="005623CE">
        <w:rPr>
          <w:rFonts w:ascii="Arial" w:eastAsia="Times New Roman" w:hAnsi="Arial" w:cs="Times New Roman"/>
          <w:bCs/>
          <w:color w:val="000000"/>
          <w:lang w:eastAsia="en-CA"/>
        </w:rPr>
        <w:t>, dark green</w:t>
      </w:r>
      <w:r w:rsidR="00C96277" w:rsidRPr="005623CE">
        <w:rPr>
          <w:rFonts w:ascii="Arial" w:eastAsia="Times New Roman" w:hAnsi="Arial" w:cs="Times New Roman"/>
          <w:bCs/>
          <w:color w:val="000000"/>
          <w:lang w:eastAsia="en-CA"/>
        </w:rPr>
        <w:t>)</w:t>
      </w:r>
      <w:r w:rsidR="004022F9" w:rsidRPr="005623CE">
        <w:rPr>
          <w:rFonts w:ascii="Arial" w:eastAsia="Times New Roman" w:hAnsi="Arial" w:cs="Times New Roman"/>
          <w:bCs/>
          <w:color w:val="000000"/>
          <w:lang w:eastAsia="en-CA"/>
        </w:rPr>
        <w:t xml:space="preserve">, Restricted Access </w:t>
      </w:r>
      <w:r w:rsidR="00C96277" w:rsidRPr="005623CE">
        <w:rPr>
          <w:rFonts w:ascii="Arial" w:eastAsia="Times New Roman" w:hAnsi="Arial" w:cs="Times New Roman"/>
          <w:bCs/>
          <w:color w:val="000000"/>
          <w:lang w:eastAsia="en-CA"/>
        </w:rPr>
        <w:t>(</w:t>
      </w:r>
      <w:r w:rsidR="004022F9" w:rsidRPr="005623CE">
        <w:rPr>
          <w:rFonts w:ascii="Arial" w:eastAsia="Times New Roman" w:hAnsi="Arial" w:cs="Times New Roman"/>
          <w:bCs/>
          <w:color w:val="000000"/>
          <w:lang w:eastAsia="en-CA"/>
        </w:rPr>
        <w:t>RA</w:t>
      </w:r>
      <w:r w:rsidR="00123C95" w:rsidRPr="005623CE">
        <w:rPr>
          <w:rFonts w:ascii="Arial" w:eastAsia="Times New Roman" w:hAnsi="Arial" w:cs="Times New Roman"/>
          <w:bCs/>
          <w:color w:val="000000"/>
          <w:lang w:eastAsia="en-CA"/>
        </w:rPr>
        <w:t>, light green</w:t>
      </w:r>
      <w:r w:rsidR="00C96277" w:rsidRPr="005623CE">
        <w:rPr>
          <w:rFonts w:ascii="Arial" w:eastAsia="Times New Roman" w:hAnsi="Arial" w:cs="Times New Roman"/>
          <w:bCs/>
          <w:color w:val="000000"/>
          <w:lang w:eastAsia="en-CA"/>
        </w:rPr>
        <w:t>)</w:t>
      </w:r>
      <w:r w:rsidR="004022F9" w:rsidRPr="005623CE">
        <w:rPr>
          <w:rFonts w:ascii="Arial" w:eastAsia="Times New Roman" w:hAnsi="Arial" w:cs="Times New Roman"/>
          <w:bCs/>
          <w:color w:val="000000"/>
          <w:lang w:eastAsia="en-CA"/>
        </w:rPr>
        <w:t xml:space="preserve"> or not </w:t>
      </w:r>
      <w:r w:rsidR="006D7C6A" w:rsidRPr="005623CE">
        <w:rPr>
          <w:rFonts w:ascii="Arial" w:eastAsia="Times New Roman" w:hAnsi="Arial" w:cs="Times New Roman"/>
          <w:bCs/>
          <w:color w:val="000000"/>
          <w:lang w:eastAsia="en-CA"/>
        </w:rPr>
        <w:t>deposited</w:t>
      </w:r>
      <w:r w:rsidR="00123C95" w:rsidRPr="005623CE">
        <w:rPr>
          <w:rFonts w:ascii="Arial" w:eastAsia="Times New Roman" w:hAnsi="Arial" w:cs="Times New Roman"/>
          <w:bCs/>
          <w:color w:val="000000"/>
          <w:lang w:eastAsia="en-CA"/>
        </w:rPr>
        <w:t xml:space="preserve"> (gray)</w:t>
      </w:r>
      <w:r w:rsidR="001E069C" w:rsidRPr="005623CE">
        <w:rPr>
          <w:rFonts w:ascii="Arial" w:eastAsia="Times New Roman" w:hAnsi="Arial" w:cs="Times New Roman"/>
          <w:bCs/>
          <w:color w:val="000000"/>
          <w:lang w:eastAsia="en-CA"/>
        </w:rPr>
        <w:t xml:space="preserve"> by September 2013</w:t>
      </w:r>
      <w:r w:rsidR="00123C95" w:rsidRPr="005623CE">
        <w:rPr>
          <w:rFonts w:ascii="Arial" w:eastAsia="Times New Roman" w:hAnsi="Arial" w:cs="Times New Roman"/>
          <w:bCs/>
          <w:color w:val="000000"/>
          <w:lang w:eastAsia="en-CA"/>
        </w:rPr>
        <w:t>.</w:t>
      </w:r>
    </w:p>
    <w:p w:rsidR="008B5A7B" w:rsidRPr="005623CE" w:rsidRDefault="008B5A7B" w:rsidP="00BE66F7">
      <w:pPr>
        <w:spacing w:after="0" w:line="240" w:lineRule="auto"/>
        <w:ind w:left="720"/>
        <w:jc w:val="both"/>
        <w:rPr>
          <w:rFonts w:ascii="Arial" w:eastAsia="Times New Roman" w:hAnsi="Arial" w:cs="Times New Roman"/>
          <w:bCs/>
          <w:color w:val="000000"/>
          <w:lang w:eastAsia="en-CA"/>
        </w:rPr>
      </w:pPr>
      <w:r w:rsidRPr="005623CE">
        <w:rPr>
          <w:rFonts w:ascii="Arial" w:eastAsia="Times New Roman" w:hAnsi="Arial" w:cs="Times New Roman"/>
          <w:bCs/>
          <w:color w:val="000000"/>
          <w:lang w:eastAsia="en-CA"/>
        </w:rPr>
        <w:t>2b (middle):</w:t>
      </w:r>
      <w:r w:rsidR="00137CCA" w:rsidRPr="005623CE">
        <w:rPr>
          <w:rFonts w:ascii="Arial" w:eastAsia="Times New Roman" w:hAnsi="Arial" w:cs="Times New Roman"/>
          <w:bCs/>
          <w:color w:val="000000"/>
          <w:lang w:eastAsia="en-CA"/>
        </w:rPr>
        <w:t xml:space="preserve"> </w:t>
      </w:r>
      <w:r w:rsidRPr="005623CE">
        <w:rPr>
          <w:rFonts w:ascii="Arial" w:eastAsia="Times New Roman" w:hAnsi="Arial" w:cs="Times New Roman"/>
          <w:bCs/>
          <w:color w:val="000000"/>
          <w:lang w:eastAsia="en-CA"/>
        </w:rPr>
        <w:t>A</w:t>
      </w:r>
      <w:r w:rsidR="00137CCA" w:rsidRPr="005623CE">
        <w:rPr>
          <w:rFonts w:ascii="Arial" w:eastAsia="Times New Roman" w:hAnsi="Arial" w:cs="Times New Roman"/>
          <w:bCs/>
          <w:color w:val="000000"/>
          <w:lang w:eastAsia="en-CA"/>
        </w:rPr>
        <w:t xml:space="preserve">verage delay (in months) </w:t>
      </w:r>
      <w:r w:rsidRPr="005623CE">
        <w:rPr>
          <w:rFonts w:ascii="Arial" w:eastAsia="Times New Roman" w:hAnsi="Arial" w:cs="Times New Roman"/>
          <w:bCs/>
          <w:color w:val="000000"/>
          <w:lang w:eastAsia="en-CA"/>
        </w:rPr>
        <w:t>for PA and RA deposits.</w:t>
      </w:r>
    </w:p>
    <w:p w:rsidR="008B5A7B" w:rsidRPr="005623CE" w:rsidRDefault="008B5A7B" w:rsidP="00BE66F7">
      <w:pPr>
        <w:spacing w:after="0" w:line="240" w:lineRule="auto"/>
        <w:ind w:left="720"/>
        <w:jc w:val="both"/>
        <w:rPr>
          <w:rFonts w:ascii="Arial" w:eastAsia="Times New Roman" w:hAnsi="Arial" w:cs="Times New Roman"/>
          <w:bCs/>
          <w:color w:val="000000"/>
          <w:lang w:eastAsia="en-CA"/>
        </w:rPr>
      </w:pPr>
      <w:r w:rsidRPr="005623CE">
        <w:rPr>
          <w:rFonts w:ascii="Arial" w:eastAsia="Times New Roman" w:hAnsi="Arial" w:cs="Times New Roman"/>
          <w:bCs/>
          <w:color w:val="000000"/>
          <w:lang w:eastAsia="en-CA"/>
        </w:rPr>
        <w:t>2c (bottom): Average citation counts for PA, RA and not-deposited</w:t>
      </w:r>
    </w:p>
    <w:p w:rsidR="00137CCA" w:rsidRPr="005623CE" w:rsidRDefault="00137CCA" w:rsidP="00137CCA">
      <w:pPr>
        <w:spacing w:after="0" w:line="240" w:lineRule="auto"/>
        <w:rPr>
          <w:rFonts w:ascii="Arial" w:eastAsia="Times New Roman" w:hAnsi="Arial" w:cs="Times New Roman"/>
          <w:bCs/>
          <w:color w:val="000000"/>
          <w:lang w:eastAsia="en-CA"/>
        </w:rPr>
      </w:pPr>
    </w:p>
    <w:p w:rsidR="00137CCA" w:rsidRPr="005623CE" w:rsidRDefault="00137CCA" w:rsidP="00137CCA">
      <w:pPr>
        <w:rPr>
          <w:rFonts w:ascii="Arial" w:eastAsia="Times New Roman" w:hAnsi="Arial" w:cs="Times New Roman"/>
          <w:b/>
          <w:bCs/>
          <w:color w:val="000000"/>
          <w:lang w:eastAsia="en-CA"/>
        </w:rPr>
      </w:pPr>
      <w:r w:rsidRPr="005623CE">
        <w:rPr>
          <w:rFonts w:ascii="Arial" w:eastAsia="Times New Roman" w:hAnsi="Arial" w:cs="Times New Roman"/>
          <w:b/>
          <w:bCs/>
          <w:noProof/>
          <w:color w:val="000000"/>
          <w:lang w:val="en-US"/>
        </w:rPr>
        <w:drawing>
          <wp:inline distT="0" distB="0" distL="0" distR="0">
            <wp:extent cx="5696785" cy="1962364"/>
            <wp:effectExtent l="19050" t="0" r="18215"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5623CE">
        <w:rPr>
          <w:rFonts w:ascii="Arial" w:eastAsia="Times New Roman" w:hAnsi="Arial" w:cs="Times New Roman"/>
          <w:b/>
          <w:bCs/>
          <w:noProof/>
          <w:color w:val="000000"/>
          <w:lang w:val="en-US"/>
        </w:rPr>
        <w:drawing>
          <wp:inline distT="0" distB="0" distL="0" distR="0">
            <wp:extent cx="5702803" cy="1849820"/>
            <wp:effectExtent l="19050" t="0" r="12197" b="0"/>
            <wp:docPr id="3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5F1828" w:rsidRPr="005F1828">
        <w:rPr>
          <w:rFonts w:ascii="Arial" w:eastAsia="Times New Roman" w:hAnsi="Arial" w:cs="Times New Roman"/>
          <w:b/>
          <w:bCs/>
          <w:noProof/>
          <w:color w:val="000000"/>
          <w:lang w:val="en-US"/>
        </w:rPr>
        <w:drawing>
          <wp:inline distT="0" distB="0" distL="0" distR="0">
            <wp:extent cx="5698316" cy="1795549"/>
            <wp:effectExtent l="19050" t="0" r="16684" b="0"/>
            <wp:docPr id="1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B5A7B" w:rsidRPr="005623CE" w:rsidRDefault="00632191" w:rsidP="00BE66F7">
      <w:pPr>
        <w:spacing w:after="0" w:line="240" w:lineRule="auto"/>
        <w:ind w:left="720"/>
        <w:jc w:val="both"/>
        <w:rPr>
          <w:rFonts w:ascii="Arial" w:eastAsia="Times New Roman" w:hAnsi="Arial" w:cs="Times New Roman"/>
          <w:b/>
          <w:bCs/>
          <w:color w:val="000000"/>
          <w:lang w:eastAsia="en-CA"/>
        </w:rPr>
      </w:pPr>
      <w:r w:rsidRPr="005623CE">
        <w:rPr>
          <w:rFonts w:ascii="Arial" w:eastAsia="Times New Roman" w:hAnsi="Arial" w:cs="Times New Roman"/>
          <w:b/>
          <w:bCs/>
          <w:color w:val="000000"/>
          <w:lang w:eastAsia="en-CA"/>
        </w:rPr>
        <w:t xml:space="preserve">Figure </w:t>
      </w:r>
      <w:r w:rsidR="008B5A7B" w:rsidRPr="005623CE">
        <w:rPr>
          <w:rFonts w:ascii="Arial" w:eastAsia="Times New Roman" w:hAnsi="Arial" w:cs="Times New Roman"/>
          <w:b/>
          <w:bCs/>
          <w:color w:val="000000"/>
          <w:lang w:eastAsia="en-CA"/>
        </w:rPr>
        <w:t>3</w:t>
      </w:r>
      <w:r w:rsidRPr="005623CE">
        <w:rPr>
          <w:rFonts w:ascii="Arial" w:eastAsia="Times New Roman" w:hAnsi="Arial" w:cs="Times New Roman"/>
          <w:b/>
          <w:bCs/>
          <w:color w:val="000000"/>
          <w:lang w:eastAsia="en-CA"/>
        </w:rPr>
        <w:t xml:space="preserve">. </w:t>
      </w:r>
      <w:r w:rsidR="008B5A7B" w:rsidRPr="005623CE">
        <w:rPr>
          <w:rFonts w:ascii="Arial" w:eastAsia="Times New Roman" w:hAnsi="Arial" w:cs="Times New Roman"/>
          <w:b/>
          <w:bCs/>
          <w:color w:val="000000"/>
          <w:lang w:eastAsia="en-CA"/>
        </w:rPr>
        <w:t xml:space="preserve">Minho Percentage Deposit, Deposit Delay, and Average Citations, </w:t>
      </w:r>
      <w:r w:rsidR="006D5A97" w:rsidRPr="005623CE">
        <w:rPr>
          <w:rFonts w:ascii="Arial" w:eastAsia="Times New Roman" w:hAnsi="Arial" w:cs="Times New Roman"/>
          <w:b/>
          <w:bCs/>
          <w:color w:val="000000"/>
          <w:lang w:eastAsia="en-CA"/>
        </w:rPr>
        <w:t xml:space="preserve">by </w:t>
      </w:r>
      <w:r w:rsidR="00C96277" w:rsidRPr="005623CE">
        <w:rPr>
          <w:rFonts w:ascii="Arial" w:eastAsia="Times New Roman" w:hAnsi="Arial" w:cs="Times New Roman"/>
          <w:b/>
          <w:bCs/>
          <w:color w:val="000000"/>
          <w:lang w:eastAsia="en-CA"/>
        </w:rPr>
        <w:t>Y</w:t>
      </w:r>
      <w:r w:rsidR="006D5A97" w:rsidRPr="005623CE">
        <w:rPr>
          <w:rFonts w:ascii="Arial" w:eastAsia="Times New Roman" w:hAnsi="Arial" w:cs="Times New Roman"/>
          <w:b/>
          <w:bCs/>
          <w:color w:val="000000"/>
          <w:lang w:eastAsia="en-CA"/>
        </w:rPr>
        <w:t>ear</w:t>
      </w:r>
      <w:r w:rsidR="001B5DA1" w:rsidRPr="005623CE">
        <w:rPr>
          <w:rFonts w:ascii="Arial" w:eastAsia="Times New Roman" w:hAnsi="Arial" w:cs="Times New Roman"/>
          <w:b/>
          <w:bCs/>
          <w:color w:val="000000"/>
          <w:lang w:eastAsia="en-CA"/>
        </w:rPr>
        <w:t>.</w:t>
      </w:r>
    </w:p>
    <w:p w:rsidR="008B5A7B" w:rsidRPr="005623CE" w:rsidRDefault="00B906AA" w:rsidP="00BE66F7">
      <w:pPr>
        <w:spacing w:after="0" w:line="240" w:lineRule="auto"/>
        <w:ind w:left="720"/>
        <w:jc w:val="both"/>
        <w:rPr>
          <w:rFonts w:ascii="Arial" w:eastAsia="Times New Roman" w:hAnsi="Arial" w:cs="Times New Roman"/>
          <w:bCs/>
          <w:color w:val="000000"/>
          <w:lang w:eastAsia="en-CA"/>
        </w:rPr>
      </w:pPr>
      <w:r w:rsidRPr="005623CE">
        <w:rPr>
          <w:rFonts w:ascii="Arial" w:eastAsia="Times New Roman" w:hAnsi="Arial" w:cs="Times New Roman"/>
          <w:bCs/>
          <w:color w:val="000000"/>
          <w:lang w:eastAsia="en-CA"/>
        </w:rPr>
        <w:t>3</w:t>
      </w:r>
      <w:r w:rsidR="008B5A7B" w:rsidRPr="005623CE">
        <w:rPr>
          <w:rFonts w:ascii="Arial" w:eastAsia="Times New Roman" w:hAnsi="Arial" w:cs="Times New Roman"/>
          <w:bCs/>
          <w:color w:val="000000"/>
          <w:lang w:eastAsia="en-CA"/>
        </w:rPr>
        <w:t>a (top): X</w:t>
      </w:r>
      <w:r w:rsidR="008B5A7B" w:rsidRPr="005623CE">
        <w:rPr>
          <w:rFonts w:ascii="Arial" w:eastAsia="Times New Roman" w:hAnsi="Arial" w:cs="Times New Roman"/>
          <w:bCs/>
          <w:color w:val="000000"/>
          <w:lang w:val="en-US" w:eastAsia="en-CA"/>
        </w:rPr>
        <w:t xml:space="preserve">’s indicate number of </w:t>
      </w:r>
      <w:r w:rsidR="008B5A7B" w:rsidRPr="005623CE">
        <w:rPr>
          <w:rFonts w:ascii="Arial" w:eastAsia="Times New Roman" w:hAnsi="Arial" w:cs="Times New Roman"/>
          <w:bCs/>
          <w:color w:val="000000"/>
          <w:lang w:eastAsia="en-CA"/>
        </w:rPr>
        <w:t xml:space="preserve">U Minho ISI-indexed articles published in 2004-2012 (scale on right). Bars are percentage by </w:t>
      </w:r>
      <w:r w:rsidR="001B5DA1" w:rsidRPr="005623CE">
        <w:rPr>
          <w:rFonts w:ascii="Arial" w:eastAsia="Times New Roman" w:hAnsi="Arial" w:cs="Times New Roman"/>
          <w:bCs/>
          <w:color w:val="000000"/>
          <w:lang w:eastAsia="en-CA"/>
        </w:rPr>
        <w:t>publication year</w:t>
      </w:r>
      <w:r w:rsidR="008B5A7B" w:rsidRPr="005623CE">
        <w:rPr>
          <w:rFonts w:ascii="Arial" w:eastAsia="Times New Roman" w:hAnsi="Arial" w:cs="Times New Roman"/>
          <w:bCs/>
          <w:color w:val="000000"/>
          <w:lang w:eastAsia="en-CA"/>
        </w:rPr>
        <w:t xml:space="preserve"> of articles made Public Access (PA, dark green), Restricted Access (RA, light green) or not deposited (gray) by September 2013.</w:t>
      </w:r>
    </w:p>
    <w:p w:rsidR="008B5A7B" w:rsidRPr="005623CE" w:rsidRDefault="00B906AA" w:rsidP="00BE66F7">
      <w:pPr>
        <w:spacing w:after="0" w:line="240" w:lineRule="auto"/>
        <w:ind w:left="720"/>
        <w:jc w:val="both"/>
        <w:rPr>
          <w:rFonts w:ascii="Arial" w:eastAsia="Times New Roman" w:hAnsi="Arial" w:cs="Times New Roman"/>
          <w:bCs/>
          <w:color w:val="000000"/>
          <w:lang w:eastAsia="en-CA"/>
        </w:rPr>
      </w:pPr>
      <w:r w:rsidRPr="005623CE">
        <w:rPr>
          <w:rFonts w:ascii="Arial" w:eastAsia="Times New Roman" w:hAnsi="Arial" w:cs="Times New Roman"/>
          <w:bCs/>
          <w:color w:val="000000"/>
          <w:lang w:eastAsia="en-CA"/>
        </w:rPr>
        <w:t>3</w:t>
      </w:r>
      <w:r w:rsidR="008B5A7B" w:rsidRPr="005623CE">
        <w:rPr>
          <w:rFonts w:ascii="Arial" w:eastAsia="Times New Roman" w:hAnsi="Arial" w:cs="Times New Roman"/>
          <w:bCs/>
          <w:color w:val="000000"/>
          <w:lang w:eastAsia="en-CA"/>
        </w:rPr>
        <w:t>b (middle): Average delay (in months) for PA and RA deposits.</w:t>
      </w:r>
    </w:p>
    <w:p w:rsidR="008B5A7B" w:rsidRPr="005623CE" w:rsidRDefault="00B906AA" w:rsidP="00BE66F7">
      <w:pPr>
        <w:spacing w:after="0" w:line="240" w:lineRule="auto"/>
        <w:ind w:left="720"/>
        <w:jc w:val="both"/>
        <w:rPr>
          <w:rFonts w:ascii="Arial" w:eastAsia="Times New Roman" w:hAnsi="Arial" w:cs="Times New Roman"/>
          <w:bCs/>
          <w:color w:val="000000"/>
          <w:lang w:eastAsia="en-CA"/>
        </w:rPr>
      </w:pPr>
      <w:r w:rsidRPr="005623CE">
        <w:rPr>
          <w:rFonts w:ascii="Arial" w:eastAsia="Times New Roman" w:hAnsi="Arial" w:cs="Times New Roman"/>
          <w:bCs/>
          <w:color w:val="000000"/>
          <w:lang w:eastAsia="en-CA"/>
        </w:rPr>
        <w:t>3</w:t>
      </w:r>
      <w:r w:rsidR="008B5A7B" w:rsidRPr="005623CE">
        <w:rPr>
          <w:rFonts w:ascii="Arial" w:eastAsia="Times New Roman" w:hAnsi="Arial" w:cs="Times New Roman"/>
          <w:bCs/>
          <w:color w:val="000000"/>
          <w:lang w:eastAsia="en-CA"/>
        </w:rPr>
        <w:t>c (bottom): Average citation counts for PA, RA and not-deposited</w:t>
      </w:r>
    </w:p>
    <w:p w:rsidR="00955879" w:rsidRPr="005623CE" w:rsidRDefault="00955879" w:rsidP="00BE66F7">
      <w:pPr>
        <w:spacing w:after="0" w:line="240" w:lineRule="auto"/>
        <w:ind w:left="720"/>
        <w:jc w:val="both"/>
        <w:rPr>
          <w:rFonts w:ascii="Arial" w:eastAsia="Times New Roman" w:hAnsi="Arial" w:cs="Times New Roman"/>
          <w:b/>
          <w:bCs/>
          <w:color w:val="000000"/>
          <w:lang w:eastAsia="en-CA"/>
        </w:rPr>
      </w:pPr>
    </w:p>
    <w:p w:rsidR="00E22B76" w:rsidRDefault="00E22B76" w:rsidP="00E22B76">
      <w:pPr>
        <w:jc w:val="both"/>
        <w:rPr>
          <w:rFonts w:ascii="Arial" w:eastAsia="Times New Roman" w:hAnsi="Arial" w:cs="Times New Roman"/>
          <w:b/>
          <w:sz w:val="24"/>
          <w:szCs w:val="24"/>
          <w:lang w:eastAsia="en-CA"/>
        </w:rPr>
      </w:pPr>
    </w:p>
    <w:p w:rsidR="009A1294" w:rsidRPr="005623CE" w:rsidRDefault="00E22B76" w:rsidP="00E22B76">
      <w:pPr>
        <w:jc w:val="both"/>
        <w:rPr>
          <w:rFonts w:ascii="Arial" w:eastAsia="Times New Roman" w:hAnsi="Arial" w:cs="Times New Roman"/>
          <w:sz w:val="24"/>
          <w:szCs w:val="24"/>
          <w:lang w:eastAsia="en-CA"/>
        </w:rPr>
      </w:pPr>
      <w:r w:rsidRPr="00BE66F7">
        <w:rPr>
          <w:rFonts w:ascii="Arial" w:eastAsia="Times New Roman" w:hAnsi="Arial" w:cs="Times New Roman"/>
          <w:b/>
          <w:sz w:val="24"/>
          <w:szCs w:val="24"/>
          <w:lang w:eastAsia="en-CA"/>
        </w:rPr>
        <w:t>3. Deposit Percentage for ISI-indexed Articles.</w:t>
      </w:r>
      <w:r>
        <w:rPr>
          <w:rFonts w:ascii="Arial" w:eastAsia="Times New Roman" w:hAnsi="Arial" w:cs="Times New Roman"/>
          <w:sz w:val="24"/>
          <w:szCs w:val="24"/>
          <w:lang w:eastAsia="en-CA"/>
        </w:rPr>
        <w:t xml:space="preserve"> </w:t>
      </w:r>
      <w:r w:rsidRPr="005623CE">
        <w:rPr>
          <w:rFonts w:ascii="Arial" w:eastAsia="Times New Roman" w:hAnsi="Arial" w:cs="Times New Roman"/>
          <w:sz w:val="24"/>
          <w:szCs w:val="24"/>
          <w:lang w:eastAsia="en-CA"/>
        </w:rPr>
        <w:t xml:space="preserve">The </w:t>
      </w:r>
      <w:r>
        <w:rPr>
          <w:rFonts w:ascii="Arial" w:eastAsia="Times New Roman" w:hAnsi="Arial" w:cs="Times New Roman"/>
          <w:sz w:val="24"/>
          <w:szCs w:val="24"/>
          <w:lang w:eastAsia="en-CA"/>
        </w:rPr>
        <w:t xml:space="preserve">total </w:t>
      </w:r>
      <w:r w:rsidRPr="005623CE">
        <w:rPr>
          <w:rFonts w:ascii="Arial" w:eastAsia="Times New Roman" w:hAnsi="Arial" w:cs="Times New Roman"/>
          <w:sz w:val="24"/>
          <w:szCs w:val="24"/>
          <w:lang w:eastAsia="en-CA"/>
        </w:rPr>
        <w:t xml:space="preserve">number of Minho articles published between 2004 and 2012 and indexed by Thomson-Reuters ISI database was about 5700. The metadata for those articles were extracted from the Minho Institutional Repository (IR) in September 2013. </w:t>
      </w:r>
      <w:r w:rsidRPr="005623CE">
        <w:rPr>
          <w:rFonts w:ascii="Arial" w:eastAsia="Times New Roman" w:hAnsi="Arial" w:cs="Times New Roman"/>
          <w:b/>
          <w:sz w:val="24"/>
          <w:szCs w:val="24"/>
          <w:lang w:eastAsia="en-CA"/>
        </w:rPr>
        <w:t>Figure 2</w:t>
      </w:r>
      <w:r w:rsidRPr="005623CE">
        <w:rPr>
          <w:rFonts w:ascii="Arial" w:eastAsia="Times New Roman" w:hAnsi="Arial" w:cs="Times New Roman"/>
          <w:sz w:val="24"/>
          <w:szCs w:val="24"/>
          <w:lang w:eastAsia="en-CA"/>
        </w:rPr>
        <w:t xml:space="preserve"> </w:t>
      </w:r>
      <w:r>
        <w:rPr>
          <w:rFonts w:ascii="Arial" w:eastAsia="Times New Roman" w:hAnsi="Arial" w:cs="Times New Roman"/>
          <w:sz w:val="24"/>
          <w:szCs w:val="24"/>
          <w:lang w:eastAsia="en-CA"/>
        </w:rPr>
        <w:t>(</w:t>
      </w:r>
      <w:r w:rsidRPr="005623CE">
        <w:rPr>
          <w:rFonts w:ascii="Arial" w:eastAsia="Times New Roman" w:hAnsi="Arial" w:cs="Times New Roman"/>
          <w:sz w:val="24"/>
          <w:szCs w:val="24"/>
          <w:lang w:eastAsia="en-CA"/>
        </w:rPr>
        <w:t xml:space="preserve">&amp; </w:t>
      </w:r>
      <w:r w:rsidRPr="005623CE">
        <w:rPr>
          <w:rFonts w:ascii="Arial" w:eastAsia="Times New Roman" w:hAnsi="Arial" w:cs="Times New Roman"/>
          <w:b/>
          <w:sz w:val="24"/>
          <w:szCs w:val="24"/>
          <w:lang w:eastAsia="en-CA"/>
        </w:rPr>
        <w:t>Table 1</w:t>
      </w:r>
      <w:r>
        <w:rPr>
          <w:rFonts w:ascii="Arial" w:eastAsia="Times New Roman" w:hAnsi="Arial" w:cs="Times New Roman"/>
          <w:b/>
          <w:sz w:val="24"/>
          <w:szCs w:val="24"/>
          <w:lang w:eastAsia="en-CA"/>
        </w:rPr>
        <w:t>,</w:t>
      </w:r>
      <w:r w:rsidRPr="005623CE">
        <w:rPr>
          <w:rFonts w:ascii="Arial" w:eastAsia="Times New Roman" w:hAnsi="Arial" w:cs="Times New Roman"/>
          <w:b/>
          <w:sz w:val="24"/>
          <w:szCs w:val="24"/>
          <w:lang w:eastAsia="en-CA"/>
        </w:rPr>
        <w:t xml:space="preserve"> Appendix</w:t>
      </w:r>
      <w:r>
        <w:rPr>
          <w:rFonts w:ascii="Arial" w:eastAsia="Times New Roman" w:hAnsi="Arial" w:cs="Times New Roman"/>
          <w:b/>
          <w:sz w:val="24"/>
          <w:szCs w:val="24"/>
          <w:lang w:eastAsia="en-CA"/>
        </w:rPr>
        <w:t xml:space="preserve"> 1</w:t>
      </w:r>
      <w:r w:rsidRPr="005623CE">
        <w:rPr>
          <w:rFonts w:ascii="Arial" w:eastAsia="Times New Roman" w:hAnsi="Arial" w:cs="Times New Roman"/>
          <w:b/>
          <w:sz w:val="24"/>
          <w:szCs w:val="24"/>
          <w:lang w:eastAsia="en-CA"/>
        </w:rPr>
        <w:t>)</w:t>
      </w:r>
      <w:r w:rsidRPr="005623CE">
        <w:rPr>
          <w:rFonts w:ascii="Arial" w:eastAsia="Times New Roman" w:hAnsi="Arial" w:cs="Times New Roman"/>
          <w:sz w:val="24"/>
          <w:szCs w:val="24"/>
          <w:lang w:eastAsia="en-CA"/>
        </w:rPr>
        <w:t xml:space="preserve"> show that of the total ISI sample of 2004-2012 articles, 39% had been deposited as of September 2013, when this analysis was done: 28% as Public Access Full-Texts (PA) and 11% as Restricted Access Full-Texts (RA).  </w:t>
      </w:r>
      <w:r w:rsidR="009A1294" w:rsidRPr="005623CE">
        <w:rPr>
          <w:rFonts w:ascii="Arial" w:eastAsia="Times New Roman" w:hAnsi="Arial" w:cs="Times New Roman"/>
          <w:sz w:val="24"/>
          <w:szCs w:val="24"/>
          <w:lang w:eastAsia="en-CA"/>
        </w:rPr>
        <w:t>(There are no metadata-only records, because the Minho IR only accepts deposits with full-text.) The pattern is similar across disciplines (although Minho’s</w:t>
      </w:r>
      <w:r w:rsidR="009A1294" w:rsidRPr="005623CE">
        <w:rPr>
          <w:rFonts w:ascii="Arial" w:eastAsia="Times New Roman" w:hAnsi="Arial" w:cs="Times New Roman"/>
          <w:sz w:val="24"/>
          <w:szCs w:val="24"/>
          <w:lang w:val="en-US" w:eastAsia="en-CA"/>
        </w:rPr>
        <w:t xml:space="preserve"> ISI articles in Arts and Humanities are probably too few to conclude that their percentage Green is lowest). The low deposit level in physics is almost certainly due to the fact that physicists (everywhere) </w:t>
      </w:r>
      <w:r w:rsidR="009A1294">
        <w:rPr>
          <w:rFonts w:ascii="Arial" w:eastAsia="Times New Roman" w:hAnsi="Arial" w:cs="Times New Roman"/>
          <w:sz w:val="24"/>
          <w:szCs w:val="24"/>
          <w:lang w:val="en-US" w:eastAsia="en-CA"/>
        </w:rPr>
        <w:t xml:space="preserve">have </w:t>
      </w:r>
      <w:r w:rsidR="009A1294" w:rsidRPr="005623CE">
        <w:rPr>
          <w:rFonts w:ascii="Arial" w:eastAsia="Times New Roman" w:hAnsi="Arial" w:cs="Times New Roman"/>
          <w:sz w:val="24"/>
          <w:szCs w:val="24"/>
          <w:lang w:val="en-US" w:eastAsia="en-CA"/>
        </w:rPr>
        <w:t xml:space="preserve">already </w:t>
      </w:r>
      <w:r w:rsidR="009A1294">
        <w:rPr>
          <w:rFonts w:ascii="Arial" w:eastAsia="Times New Roman" w:hAnsi="Arial" w:cs="Times New Roman"/>
          <w:sz w:val="24"/>
          <w:szCs w:val="24"/>
          <w:lang w:val="en-US" w:eastAsia="en-CA"/>
        </w:rPr>
        <w:t xml:space="preserve">been </w:t>
      </w:r>
      <w:r w:rsidR="009A1294" w:rsidRPr="005623CE">
        <w:rPr>
          <w:rFonts w:ascii="Arial" w:eastAsia="Times New Roman" w:hAnsi="Arial" w:cs="Times New Roman"/>
          <w:sz w:val="24"/>
          <w:szCs w:val="24"/>
          <w:lang w:val="en-US" w:eastAsia="en-CA"/>
        </w:rPr>
        <w:t>deposit</w:t>
      </w:r>
      <w:r w:rsidR="009A1294">
        <w:rPr>
          <w:rFonts w:ascii="Arial" w:eastAsia="Times New Roman" w:hAnsi="Arial" w:cs="Times New Roman"/>
          <w:sz w:val="24"/>
          <w:szCs w:val="24"/>
          <w:lang w:val="en-US" w:eastAsia="en-CA"/>
        </w:rPr>
        <w:t>ing, unmandated,</w:t>
      </w:r>
      <w:r w:rsidR="009A1294" w:rsidRPr="005623CE">
        <w:rPr>
          <w:rFonts w:ascii="Arial" w:eastAsia="Times New Roman" w:hAnsi="Arial" w:cs="Times New Roman"/>
          <w:sz w:val="24"/>
          <w:szCs w:val="24"/>
          <w:lang w:val="en-US" w:eastAsia="en-CA"/>
        </w:rPr>
        <w:t xml:space="preserve"> in </w:t>
      </w:r>
      <w:hyperlink r:id="rId24" w:history="1">
        <w:r w:rsidR="009A1294" w:rsidRPr="005623CE">
          <w:rPr>
            <w:rStyle w:val="Hyperlink"/>
            <w:rFonts w:ascii="Arial" w:eastAsia="Times New Roman" w:hAnsi="Arial" w:cs="Times New Roman"/>
            <w:sz w:val="24"/>
            <w:szCs w:val="24"/>
            <w:lang w:val="en-US" w:eastAsia="en-CA"/>
          </w:rPr>
          <w:t>Arxiv</w:t>
        </w:r>
      </w:hyperlink>
      <w:r w:rsidR="009A1294">
        <w:rPr>
          <w:rFonts w:ascii="Arial" w:eastAsia="Times New Roman" w:hAnsi="Arial" w:cs="Times New Roman"/>
          <w:sz w:val="24"/>
          <w:szCs w:val="24"/>
          <w:lang w:val="en-US" w:eastAsia="en-CA"/>
        </w:rPr>
        <w:t xml:space="preserve"> since 1991</w:t>
      </w:r>
      <w:r w:rsidR="009A1294" w:rsidRPr="005623CE">
        <w:rPr>
          <w:rFonts w:ascii="Arial" w:eastAsia="Times New Roman" w:hAnsi="Arial" w:cs="Times New Roman"/>
          <w:sz w:val="24"/>
          <w:szCs w:val="24"/>
          <w:lang w:val="en-US" w:eastAsia="en-CA"/>
        </w:rPr>
        <w:t xml:space="preserve"> and are hence not too keen on </w:t>
      </w:r>
      <w:r w:rsidR="009A1294">
        <w:rPr>
          <w:rFonts w:ascii="Arial" w:eastAsia="Times New Roman" w:hAnsi="Arial" w:cs="Times New Roman"/>
          <w:sz w:val="24"/>
          <w:szCs w:val="24"/>
          <w:lang w:val="en-US" w:eastAsia="en-CA"/>
        </w:rPr>
        <w:t>having to deposit</w:t>
      </w:r>
      <w:r w:rsidR="009A1294" w:rsidRPr="005623CE">
        <w:rPr>
          <w:rFonts w:ascii="Arial" w:eastAsia="Times New Roman" w:hAnsi="Arial" w:cs="Times New Roman"/>
          <w:sz w:val="24"/>
          <w:szCs w:val="24"/>
          <w:lang w:val="en-US" w:eastAsia="en-CA"/>
        </w:rPr>
        <w:t xml:space="preserve"> also in their institutional repositories. (The simple solution is to </w:t>
      </w:r>
      <w:hyperlink r:id="rId25" w:history="1">
        <w:r w:rsidR="009A1294" w:rsidRPr="005623CE">
          <w:rPr>
            <w:rStyle w:val="Hyperlink"/>
            <w:rFonts w:ascii="Arial" w:eastAsia="Times New Roman" w:hAnsi="Arial" w:cs="Times New Roman"/>
            <w:sz w:val="24"/>
            <w:szCs w:val="24"/>
            <w:lang w:val="en-US" w:eastAsia="en-CA"/>
          </w:rPr>
          <w:t>import</w:t>
        </w:r>
      </w:hyperlink>
      <w:r w:rsidR="009A1294" w:rsidRPr="005623CE">
        <w:rPr>
          <w:rFonts w:ascii="Arial" w:eastAsia="Times New Roman" w:hAnsi="Arial" w:cs="Times New Roman"/>
          <w:sz w:val="24"/>
          <w:szCs w:val="24"/>
          <w:lang w:val="en-US" w:eastAsia="en-CA"/>
        </w:rPr>
        <w:t xml:space="preserve"> Minho deposits from Arxiv, and there is already </w:t>
      </w:r>
      <w:r w:rsidR="009A1294">
        <w:rPr>
          <w:rFonts w:ascii="Arial" w:eastAsia="Times New Roman" w:hAnsi="Arial" w:cs="Times New Roman"/>
          <w:sz w:val="24"/>
          <w:szCs w:val="24"/>
          <w:lang w:val="en-US" w:eastAsia="en-CA"/>
        </w:rPr>
        <w:t xml:space="preserve">repository </w:t>
      </w:r>
      <w:r w:rsidR="009A1294" w:rsidRPr="005623CE">
        <w:rPr>
          <w:rFonts w:ascii="Arial" w:eastAsia="Times New Roman" w:hAnsi="Arial" w:cs="Times New Roman"/>
          <w:sz w:val="24"/>
          <w:szCs w:val="24"/>
          <w:lang w:val="en-US" w:eastAsia="en-CA"/>
        </w:rPr>
        <w:t xml:space="preserve">software </w:t>
      </w:r>
      <w:r w:rsidR="009A1294">
        <w:rPr>
          <w:rFonts w:ascii="Arial" w:eastAsia="Times New Roman" w:hAnsi="Arial" w:cs="Times New Roman"/>
          <w:sz w:val="24"/>
          <w:szCs w:val="24"/>
          <w:lang w:val="en-US" w:eastAsia="en-CA"/>
        </w:rPr>
        <w:t>to do</w:t>
      </w:r>
      <w:r w:rsidR="009A1294" w:rsidRPr="005623CE">
        <w:rPr>
          <w:rFonts w:ascii="Arial" w:eastAsia="Times New Roman" w:hAnsi="Arial" w:cs="Times New Roman"/>
          <w:sz w:val="24"/>
          <w:szCs w:val="24"/>
          <w:lang w:val="en-US" w:eastAsia="en-CA"/>
        </w:rPr>
        <w:t xml:space="preserve"> that.)</w:t>
      </w:r>
      <w:r w:rsidR="009A1294" w:rsidRPr="005623CE">
        <w:rPr>
          <w:rFonts w:ascii="Arial" w:eastAsia="Times New Roman" w:hAnsi="Arial" w:cs="Times New Roman"/>
          <w:sz w:val="24"/>
          <w:szCs w:val="24"/>
          <w:lang w:eastAsia="en-CA"/>
        </w:rPr>
        <w:t xml:space="preserve"> </w:t>
      </w:r>
    </w:p>
    <w:p w:rsidR="00E22B76" w:rsidRDefault="005623CE" w:rsidP="00BE66F7">
      <w:pPr>
        <w:jc w:val="both"/>
        <w:rPr>
          <w:rFonts w:ascii="Arial" w:eastAsia="Times New Roman" w:hAnsi="Arial" w:cs="Times New Roman"/>
          <w:sz w:val="24"/>
          <w:szCs w:val="24"/>
          <w:lang w:eastAsia="en-CA"/>
        </w:rPr>
      </w:pPr>
      <w:r w:rsidRPr="005623CE">
        <w:rPr>
          <w:rFonts w:ascii="Arial" w:eastAsia="Times New Roman" w:hAnsi="Arial" w:cs="Times New Roman"/>
          <w:b/>
          <w:sz w:val="24"/>
          <w:szCs w:val="24"/>
          <w:lang w:eastAsia="en-CA"/>
        </w:rPr>
        <w:t>Figure 3</w:t>
      </w:r>
      <w:r w:rsidRPr="005623CE">
        <w:rPr>
          <w:rFonts w:ascii="Arial" w:eastAsia="Times New Roman" w:hAnsi="Arial" w:cs="Times New Roman"/>
          <w:sz w:val="24"/>
          <w:szCs w:val="24"/>
          <w:lang w:eastAsia="en-CA"/>
        </w:rPr>
        <w:t xml:space="preserve"> </w:t>
      </w:r>
      <w:r w:rsidR="001C6807">
        <w:rPr>
          <w:rFonts w:ascii="Arial" w:eastAsia="Times New Roman" w:hAnsi="Arial" w:cs="Times New Roman"/>
          <w:sz w:val="24"/>
          <w:szCs w:val="24"/>
          <w:lang w:eastAsia="en-CA"/>
        </w:rPr>
        <w:t>(</w:t>
      </w:r>
      <w:r w:rsidRPr="005623CE">
        <w:rPr>
          <w:rFonts w:ascii="Arial" w:eastAsia="Times New Roman" w:hAnsi="Arial" w:cs="Times New Roman"/>
          <w:sz w:val="24"/>
          <w:szCs w:val="24"/>
          <w:lang w:eastAsia="en-CA"/>
        </w:rPr>
        <w:t xml:space="preserve">&amp; </w:t>
      </w:r>
      <w:r w:rsidR="002E3655">
        <w:rPr>
          <w:rFonts w:ascii="Arial" w:eastAsia="Times New Roman" w:hAnsi="Arial" w:cs="Times New Roman"/>
          <w:b/>
          <w:sz w:val="24"/>
          <w:szCs w:val="24"/>
          <w:lang w:eastAsia="en-CA"/>
        </w:rPr>
        <w:t>Table 4</w:t>
      </w:r>
      <w:r w:rsidR="001C6807">
        <w:rPr>
          <w:rFonts w:ascii="Arial" w:eastAsia="Times New Roman" w:hAnsi="Arial" w:cs="Times New Roman"/>
          <w:b/>
          <w:sz w:val="24"/>
          <w:szCs w:val="24"/>
          <w:lang w:eastAsia="en-CA"/>
        </w:rPr>
        <w:t>, Appendix</w:t>
      </w:r>
      <w:r w:rsidR="002E3655">
        <w:rPr>
          <w:rFonts w:ascii="Arial" w:eastAsia="Times New Roman" w:hAnsi="Arial" w:cs="Times New Roman"/>
          <w:b/>
          <w:sz w:val="24"/>
          <w:szCs w:val="24"/>
          <w:lang w:eastAsia="en-CA"/>
        </w:rPr>
        <w:t xml:space="preserve"> 2</w:t>
      </w:r>
      <w:r w:rsidR="001C6807">
        <w:rPr>
          <w:rFonts w:ascii="Arial" w:eastAsia="Times New Roman" w:hAnsi="Arial" w:cs="Times New Roman"/>
          <w:b/>
          <w:sz w:val="24"/>
          <w:szCs w:val="24"/>
          <w:lang w:eastAsia="en-CA"/>
        </w:rPr>
        <w:t>)</w:t>
      </w:r>
      <w:r w:rsidRPr="005623CE">
        <w:rPr>
          <w:rFonts w:ascii="Arial" w:eastAsia="Times New Roman" w:hAnsi="Arial" w:cs="Times New Roman"/>
          <w:sz w:val="24"/>
          <w:szCs w:val="24"/>
          <w:lang w:eastAsia="en-CA"/>
        </w:rPr>
        <w:t xml:space="preserve"> show percent PA and RA for 2004-2012, by year. The individual years’ percentages are similar to the cumulative total for 2004-2012. Percent PA was relatively high in the first 2 years following the mandate (c. 29%), fell (to c. 24% 2007-2010, and then rose again (to c. 30%) for 2011-2012. The rise was probably the beginning of the effect of adopting the </w:t>
      </w:r>
      <w:r w:rsidR="001C6807">
        <w:rPr>
          <w:rFonts w:ascii="Arial" w:eastAsia="Times New Roman" w:hAnsi="Arial" w:cs="Times New Roman"/>
          <w:sz w:val="24"/>
          <w:szCs w:val="24"/>
          <w:lang w:eastAsia="en-CA"/>
        </w:rPr>
        <w:t xml:space="preserve">stronger </w:t>
      </w:r>
      <w:r w:rsidRPr="005623CE">
        <w:rPr>
          <w:rFonts w:ascii="Arial" w:eastAsia="Times New Roman" w:hAnsi="Arial" w:cs="Times New Roman"/>
          <w:sz w:val="24"/>
          <w:szCs w:val="24"/>
          <w:lang w:eastAsia="en-CA"/>
        </w:rPr>
        <w:t>Liège model mandate in 2011 (Rentier &amp; Thirion 2011).</w:t>
      </w:r>
    </w:p>
    <w:p w:rsidR="005623CE" w:rsidRPr="005623CE" w:rsidRDefault="005623CE" w:rsidP="00BE66F7">
      <w:pPr>
        <w:jc w:val="both"/>
        <w:rPr>
          <w:rFonts w:ascii="Arial" w:eastAsia="Times New Roman" w:hAnsi="Arial" w:cs="Times New Roman"/>
          <w:sz w:val="24"/>
          <w:szCs w:val="24"/>
          <w:lang w:eastAsia="en-CA"/>
        </w:rPr>
      </w:pPr>
    </w:p>
    <w:p w:rsidR="006F1B14" w:rsidRDefault="00BE66F7" w:rsidP="00BE66F7">
      <w:pPr>
        <w:jc w:val="both"/>
        <w:rPr>
          <w:rFonts w:ascii="Arial" w:eastAsia="Times New Roman" w:hAnsi="Arial" w:cs="Times New Roman"/>
          <w:sz w:val="24"/>
          <w:szCs w:val="24"/>
          <w:lang w:eastAsia="en-CA"/>
        </w:rPr>
      </w:pPr>
      <w:r w:rsidRPr="00BE66F7">
        <w:rPr>
          <w:rFonts w:ascii="Arial" w:eastAsia="Times New Roman" w:hAnsi="Arial" w:cs="Times New Roman"/>
          <w:b/>
          <w:sz w:val="24"/>
          <w:szCs w:val="24"/>
          <w:lang w:eastAsia="en-CA"/>
        </w:rPr>
        <w:t>4. Comparison with UK.</w:t>
      </w:r>
      <w:r>
        <w:rPr>
          <w:rFonts w:ascii="Arial" w:eastAsia="Times New Roman" w:hAnsi="Arial" w:cs="Times New Roman"/>
          <w:sz w:val="24"/>
          <w:szCs w:val="24"/>
          <w:lang w:eastAsia="en-CA"/>
        </w:rPr>
        <w:t xml:space="preserve"> </w:t>
      </w:r>
      <w:r w:rsidR="006F1B14" w:rsidRPr="005623CE">
        <w:rPr>
          <w:rFonts w:ascii="Arial" w:eastAsia="Times New Roman" w:hAnsi="Arial" w:cs="Times New Roman"/>
          <w:sz w:val="24"/>
          <w:szCs w:val="24"/>
          <w:lang w:eastAsia="en-CA"/>
        </w:rPr>
        <w:t>Minho</w:t>
      </w:r>
      <w:r w:rsidR="00934EFF" w:rsidRPr="005623CE">
        <w:rPr>
          <w:rFonts w:ascii="Arial" w:eastAsia="Times New Roman" w:hAnsi="Arial" w:cs="Times New Roman"/>
          <w:sz w:val="24"/>
          <w:szCs w:val="24"/>
          <w:lang w:eastAsia="en-CA"/>
        </w:rPr>
        <w:t>’s</w:t>
      </w:r>
      <w:r w:rsidR="006F1B14" w:rsidRPr="005623CE">
        <w:rPr>
          <w:rFonts w:ascii="Arial" w:eastAsia="Times New Roman" w:hAnsi="Arial" w:cs="Times New Roman"/>
          <w:sz w:val="24"/>
          <w:szCs w:val="24"/>
          <w:lang w:eastAsia="en-CA"/>
        </w:rPr>
        <w:t xml:space="preserve"> </w:t>
      </w:r>
      <w:r w:rsidR="00934EFF" w:rsidRPr="005623CE">
        <w:rPr>
          <w:rFonts w:ascii="Arial" w:eastAsia="Times New Roman" w:hAnsi="Arial" w:cs="Times New Roman"/>
          <w:sz w:val="24"/>
          <w:szCs w:val="24"/>
          <w:lang w:eastAsia="en-CA"/>
        </w:rPr>
        <w:t>percentage PA and RA are both much higher than</w:t>
      </w:r>
      <w:r w:rsidR="006F1B14" w:rsidRPr="005623CE">
        <w:rPr>
          <w:rFonts w:ascii="Arial" w:eastAsia="Times New Roman" w:hAnsi="Arial" w:cs="Times New Roman"/>
          <w:sz w:val="24"/>
          <w:szCs w:val="24"/>
          <w:lang w:eastAsia="en-CA"/>
        </w:rPr>
        <w:t xml:space="preserve"> </w:t>
      </w:r>
      <w:r w:rsidR="00934EFF" w:rsidRPr="005623CE">
        <w:rPr>
          <w:rFonts w:ascii="Arial" w:eastAsia="Times New Roman" w:hAnsi="Arial" w:cs="Times New Roman"/>
          <w:sz w:val="24"/>
          <w:szCs w:val="24"/>
          <w:lang w:eastAsia="en-CA"/>
        </w:rPr>
        <w:t xml:space="preserve">the average for </w:t>
      </w:r>
      <w:r w:rsidR="00021CA1" w:rsidRPr="005623CE">
        <w:rPr>
          <w:rFonts w:ascii="Arial" w:eastAsia="Times New Roman" w:hAnsi="Arial" w:cs="Times New Roman"/>
          <w:sz w:val="24"/>
          <w:szCs w:val="24"/>
          <w:lang w:eastAsia="en-CA"/>
        </w:rPr>
        <w:t>UK</w:t>
      </w:r>
      <w:r w:rsidR="006F1B14" w:rsidRPr="005623CE">
        <w:rPr>
          <w:rFonts w:ascii="Arial" w:eastAsia="Times New Roman" w:hAnsi="Arial" w:cs="Times New Roman"/>
          <w:sz w:val="24"/>
          <w:szCs w:val="24"/>
          <w:lang w:eastAsia="en-CA"/>
        </w:rPr>
        <w:t xml:space="preserve"> </w:t>
      </w:r>
      <w:r w:rsidR="00934EFF" w:rsidRPr="005623CE">
        <w:rPr>
          <w:rFonts w:ascii="Arial" w:eastAsia="Times New Roman" w:hAnsi="Arial" w:cs="Times New Roman"/>
          <w:sz w:val="24"/>
          <w:szCs w:val="24"/>
          <w:lang w:eastAsia="en-CA"/>
        </w:rPr>
        <w:t>IRs</w:t>
      </w:r>
      <w:r w:rsidR="00021CA1" w:rsidRPr="005623CE">
        <w:rPr>
          <w:rFonts w:ascii="Arial" w:eastAsia="Times New Roman" w:hAnsi="Arial" w:cs="Times New Roman"/>
          <w:sz w:val="24"/>
          <w:szCs w:val="24"/>
          <w:lang w:eastAsia="en-CA"/>
        </w:rPr>
        <w:t xml:space="preserve"> (</w:t>
      </w:r>
      <w:r w:rsidR="001C6807">
        <w:rPr>
          <w:rFonts w:ascii="Arial" w:eastAsia="Times New Roman" w:hAnsi="Arial" w:cs="Times New Roman"/>
          <w:sz w:val="24"/>
          <w:szCs w:val="24"/>
          <w:lang w:eastAsia="en-CA"/>
        </w:rPr>
        <w:t>for both</w:t>
      </w:r>
      <w:r w:rsidR="00934EFF" w:rsidRPr="005623CE">
        <w:rPr>
          <w:rFonts w:ascii="Arial" w:eastAsia="Times New Roman" w:hAnsi="Arial" w:cs="Times New Roman"/>
          <w:sz w:val="24"/>
          <w:szCs w:val="24"/>
          <w:lang w:eastAsia="en-CA"/>
        </w:rPr>
        <w:t xml:space="preserve"> </w:t>
      </w:r>
      <w:r w:rsidR="00C96277" w:rsidRPr="005623CE">
        <w:rPr>
          <w:rFonts w:ascii="Arial" w:eastAsia="Times New Roman" w:hAnsi="Arial" w:cs="Times New Roman"/>
          <w:sz w:val="24"/>
          <w:szCs w:val="24"/>
          <w:lang w:eastAsia="en-CA"/>
        </w:rPr>
        <w:t xml:space="preserve">the </w:t>
      </w:r>
      <w:r w:rsidR="00402FD5" w:rsidRPr="005623CE">
        <w:rPr>
          <w:rFonts w:ascii="Arial" w:eastAsia="Times New Roman" w:hAnsi="Arial" w:cs="Times New Roman"/>
          <w:sz w:val="24"/>
          <w:szCs w:val="24"/>
          <w:lang w:eastAsia="en-CA"/>
        </w:rPr>
        <w:t>26</w:t>
      </w:r>
      <w:r w:rsidR="00C96277" w:rsidRPr="005623CE">
        <w:rPr>
          <w:rFonts w:ascii="Arial" w:eastAsia="Times New Roman" w:hAnsi="Arial" w:cs="Times New Roman"/>
          <w:sz w:val="24"/>
          <w:szCs w:val="24"/>
          <w:lang w:eastAsia="en-CA"/>
        </w:rPr>
        <w:t xml:space="preserve"> </w:t>
      </w:r>
      <w:r w:rsidR="00021CA1" w:rsidRPr="005623CE">
        <w:rPr>
          <w:rFonts w:ascii="Arial" w:eastAsia="Times New Roman" w:hAnsi="Arial" w:cs="Times New Roman"/>
          <w:sz w:val="24"/>
          <w:szCs w:val="24"/>
          <w:lang w:eastAsia="en-CA"/>
        </w:rPr>
        <w:t xml:space="preserve">mandated </w:t>
      </w:r>
      <w:r w:rsidR="001C6807">
        <w:rPr>
          <w:rFonts w:ascii="Arial" w:eastAsia="Times New Roman" w:hAnsi="Arial" w:cs="Times New Roman"/>
          <w:sz w:val="24"/>
          <w:szCs w:val="24"/>
          <w:lang w:eastAsia="en-CA"/>
        </w:rPr>
        <w:t>and the</w:t>
      </w:r>
      <w:r w:rsidR="00705B76" w:rsidRPr="005623CE">
        <w:rPr>
          <w:rFonts w:ascii="Arial" w:eastAsia="Times New Roman" w:hAnsi="Arial" w:cs="Times New Roman"/>
          <w:sz w:val="24"/>
          <w:szCs w:val="24"/>
          <w:lang w:eastAsia="en-CA"/>
        </w:rPr>
        <w:t xml:space="preserve"> </w:t>
      </w:r>
      <w:r w:rsidR="00402FD5" w:rsidRPr="005623CE">
        <w:rPr>
          <w:rFonts w:ascii="Arial" w:eastAsia="Times New Roman" w:hAnsi="Arial" w:cs="Times New Roman"/>
          <w:sz w:val="24"/>
          <w:szCs w:val="24"/>
          <w:lang w:eastAsia="en-CA"/>
        </w:rPr>
        <w:t xml:space="preserve">73 </w:t>
      </w:r>
      <w:r w:rsidR="00021CA1" w:rsidRPr="005623CE">
        <w:rPr>
          <w:rFonts w:ascii="Arial" w:eastAsia="Times New Roman" w:hAnsi="Arial" w:cs="Times New Roman"/>
          <w:sz w:val="24"/>
          <w:szCs w:val="24"/>
          <w:lang w:eastAsia="en-CA"/>
        </w:rPr>
        <w:t>non-mandated</w:t>
      </w:r>
      <w:r w:rsidR="00C96277" w:rsidRPr="005623CE">
        <w:rPr>
          <w:rFonts w:ascii="Arial" w:eastAsia="Times New Roman" w:hAnsi="Arial" w:cs="Times New Roman"/>
          <w:sz w:val="24"/>
          <w:szCs w:val="24"/>
          <w:lang w:eastAsia="en-CA"/>
        </w:rPr>
        <w:t xml:space="preserve"> repositories </w:t>
      </w:r>
      <w:r w:rsidR="001C6807">
        <w:rPr>
          <w:rFonts w:ascii="Arial" w:eastAsia="Times New Roman" w:hAnsi="Arial" w:cs="Times New Roman"/>
          <w:sz w:val="24"/>
          <w:szCs w:val="24"/>
          <w:lang w:eastAsia="en-CA"/>
        </w:rPr>
        <w:t xml:space="preserve">that were </w:t>
      </w:r>
      <w:r w:rsidR="00C96277" w:rsidRPr="005623CE">
        <w:rPr>
          <w:rFonts w:ascii="Arial" w:eastAsia="Times New Roman" w:hAnsi="Arial" w:cs="Times New Roman"/>
          <w:sz w:val="24"/>
          <w:szCs w:val="24"/>
          <w:lang w:eastAsia="en-CA"/>
        </w:rPr>
        <w:t>analyzed</w:t>
      </w:r>
      <w:r w:rsidR="001C6807">
        <w:rPr>
          <w:rFonts w:ascii="Arial" w:eastAsia="Times New Roman" w:hAnsi="Arial" w:cs="Times New Roman"/>
          <w:sz w:val="24"/>
          <w:szCs w:val="24"/>
          <w:lang w:eastAsia="en-CA"/>
        </w:rPr>
        <w:t xml:space="preserve"> for comparison</w:t>
      </w:r>
      <w:r w:rsidR="00021CA1" w:rsidRPr="005623CE">
        <w:rPr>
          <w:rFonts w:ascii="Arial" w:eastAsia="Times New Roman" w:hAnsi="Arial" w:cs="Times New Roman"/>
          <w:sz w:val="24"/>
          <w:szCs w:val="24"/>
          <w:lang w:eastAsia="en-CA"/>
        </w:rPr>
        <w:t>)</w:t>
      </w:r>
      <w:r w:rsidR="00E64AE7" w:rsidRPr="005623CE">
        <w:rPr>
          <w:rFonts w:ascii="Arial" w:eastAsia="Times New Roman" w:hAnsi="Arial" w:cs="Times New Roman"/>
          <w:sz w:val="24"/>
          <w:szCs w:val="24"/>
          <w:lang w:eastAsia="en-CA"/>
        </w:rPr>
        <w:t xml:space="preserve"> (</w:t>
      </w:r>
      <w:r w:rsidR="00E64AE7" w:rsidRPr="005623CE">
        <w:rPr>
          <w:rFonts w:ascii="Arial" w:eastAsia="Times New Roman" w:hAnsi="Arial" w:cs="Times New Roman"/>
          <w:b/>
          <w:sz w:val="24"/>
          <w:szCs w:val="24"/>
          <w:lang w:eastAsia="en-CA"/>
        </w:rPr>
        <w:t xml:space="preserve">Figure </w:t>
      </w:r>
      <w:r w:rsidR="004D1884" w:rsidRPr="005623CE">
        <w:rPr>
          <w:rFonts w:ascii="Arial" w:eastAsia="Times New Roman" w:hAnsi="Arial" w:cs="Times New Roman"/>
          <w:b/>
          <w:sz w:val="24"/>
          <w:szCs w:val="24"/>
          <w:lang w:eastAsia="en-CA"/>
        </w:rPr>
        <w:t>4</w:t>
      </w:r>
      <w:r w:rsidR="00973EA7" w:rsidRPr="005623CE">
        <w:rPr>
          <w:rFonts w:ascii="Arial" w:eastAsia="Times New Roman" w:hAnsi="Arial" w:cs="Times New Roman"/>
          <w:b/>
          <w:sz w:val="24"/>
          <w:szCs w:val="24"/>
          <w:lang w:eastAsia="en-CA"/>
        </w:rPr>
        <w:t xml:space="preserve"> </w:t>
      </w:r>
      <w:r w:rsidR="00934EFF" w:rsidRPr="005623CE">
        <w:rPr>
          <w:rFonts w:ascii="Arial" w:eastAsia="Times New Roman" w:hAnsi="Arial" w:cs="Times New Roman"/>
          <w:b/>
          <w:sz w:val="24"/>
          <w:szCs w:val="24"/>
          <w:lang w:eastAsia="en-CA"/>
        </w:rPr>
        <w:t>&amp;</w:t>
      </w:r>
      <w:r w:rsidR="00973EA7" w:rsidRPr="005623CE">
        <w:rPr>
          <w:rFonts w:ascii="Arial" w:eastAsia="Times New Roman" w:hAnsi="Arial" w:cs="Times New Roman"/>
          <w:b/>
          <w:sz w:val="24"/>
          <w:szCs w:val="24"/>
          <w:lang w:eastAsia="en-CA"/>
        </w:rPr>
        <w:t xml:space="preserve"> Table </w:t>
      </w:r>
      <w:r w:rsidR="002E3655">
        <w:rPr>
          <w:rFonts w:ascii="Arial" w:eastAsia="Times New Roman" w:hAnsi="Arial" w:cs="Times New Roman"/>
          <w:b/>
          <w:sz w:val="24"/>
          <w:szCs w:val="24"/>
          <w:lang w:eastAsia="en-CA"/>
        </w:rPr>
        <w:t>7, Appendix 3</w:t>
      </w:r>
      <w:r w:rsidR="00E64AE7" w:rsidRPr="005623CE">
        <w:rPr>
          <w:rFonts w:ascii="Arial" w:eastAsia="Times New Roman" w:hAnsi="Arial" w:cs="Times New Roman"/>
          <w:sz w:val="24"/>
          <w:szCs w:val="24"/>
          <w:lang w:eastAsia="en-CA"/>
        </w:rPr>
        <w:t>)</w:t>
      </w:r>
      <w:r w:rsidR="00C96277" w:rsidRPr="005623CE">
        <w:rPr>
          <w:rFonts w:ascii="Arial" w:eastAsia="Times New Roman" w:hAnsi="Arial" w:cs="Times New Roman"/>
          <w:sz w:val="24"/>
          <w:szCs w:val="24"/>
          <w:lang w:eastAsia="en-CA"/>
        </w:rPr>
        <w:t xml:space="preserve">. </w:t>
      </w:r>
      <w:r w:rsidR="00934EFF" w:rsidRPr="005623CE">
        <w:rPr>
          <w:rFonts w:ascii="Arial" w:eastAsia="Times New Roman" w:hAnsi="Arial" w:cs="Times New Roman"/>
          <w:sz w:val="24"/>
          <w:szCs w:val="24"/>
          <w:lang w:eastAsia="en-CA"/>
        </w:rPr>
        <w:t xml:space="preserve">Minho has </w:t>
      </w:r>
      <w:r w:rsidR="003F259C" w:rsidRPr="005623CE">
        <w:rPr>
          <w:rFonts w:ascii="Arial" w:eastAsia="Times New Roman" w:hAnsi="Arial" w:cs="Times New Roman"/>
          <w:sz w:val="24"/>
          <w:szCs w:val="24"/>
          <w:lang w:eastAsia="en-CA"/>
        </w:rPr>
        <w:t>almost</w:t>
      </w:r>
      <w:r w:rsidR="00934EFF" w:rsidRPr="005623CE">
        <w:rPr>
          <w:rFonts w:ascii="Arial" w:eastAsia="Times New Roman" w:hAnsi="Arial" w:cs="Times New Roman"/>
          <w:sz w:val="24"/>
          <w:szCs w:val="24"/>
          <w:lang w:eastAsia="en-CA"/>
        </w:rPr>
        <w:t xml:space="preserve"> the same percent PA as U Liège for publication year 2012 (measured in September 2013)</w:t>
      </w:r>
      <w:r w:rsidR="001C6807">
        <w:rPr>
          <w:rFonts w:ascii="Arial" w:eastAsia="Times New Roman" w:hAnsi="Arial" w:cs="Times New Roman"/>
          <w:sz w:val="24"/>
          <w:szCs w:val="24"/>
          <w:lang w:eastAsia="en-CA"/>
        </w:rPr>
        <w:t>.</w:t>
      </w:r>
      <w:r w:rsidR="00934EFF" w:rsidRPr="005623CE">
        <w:rPr>
          <w:rFonts w:ascii="Arial" w:eastAsia="Times New Roman" w:hAnsi="Arial" w:cs="Times New Roman"/>
          <w:sz w:val="24"/>
          <w:szCs w:val="24"/>
          <w:lang w:eastAsia="en-CA"/>
        </w:rPr>
        <w:t xml:space="preserve"> </w:t>
      </w:r>
      <w:r w:rsidR="001C6807">
        <w:rPr>
          <w:rFonts w:ascii="Arial" w:eastAsia="Times New Roman" w:hAnsi="Arial" w:cs="Times New Roman"/>
          <w:sz w:val="24"/>
          <w:szCs w:val="24"/>
          <w:lang w:eastAsia="en-CA"/>
        </w:rPr>
        <w:t>H</w:t>
      </w:r>
      <w:r w:rsidR="00934EFF" w:rsidRPr="005623CE">
        <w:rPr>
          <w:rFonts w:ascii="Arial" w:eastAsia="Times New Roman" w:hAnsi="Arial" w:cs="Times New Roman"/>
          <w:sz w:val="24"/>
          <w:szCs w:val="24"/>
          <w:lang w:eastAsia="en-CA"/>
        </w:rPr>
        <w:t>owever</w:t>
      </w:r>
      <w:r w:rsidR="00705B76" w:rsidRPr="005623CE">
        <w:rPr>
          <w:rFonts w:ascii="Arial" w:eastAsia="Times New Roman" w:hAnsi="Arial" w:cs="Times New Roman"/>
          <w:sz w:val="24"/>
          <w:szCs w:val="24"/>
          <w:lang w:eastAsia="en-CA"/>
        </w:rPr>
        <w:t>,</w:t>
      </w:r>
      <w:r w:rsidR="00934EFF" w:rsidRPr="005623CE">
        <w:rPr>
          <w:rFonts w:ascii="Arial" w:eastAsia="Times New Roman" w:hAnsi="Arial" w:cs="Times New Roman"/>
          <w:sz w:val="24"/>
          <w:szCs w:val="24"/>
          <w:lang w:eastAsia="en-CA"/>
        </w:rPr>
        <w:t xml:space="preserve"> percent RA is much lower for Minho than for Li</w:t>
      </w:r>
      <w:r w:rsidR="00746146" w:rsidRPr="005623CE">
        <w:rPr>
          <w:rFonts w:ascii="Arial" w:eastAsia="Times New Roman" w:hAnsi="Arial" w:cs="Times New Roman"/>
          <w:sz w:val="24"/>
          <w:szCs w:val="24"/>
          <w:lang w:eastAsia="en-CA"/>
        </w:rPr>
        <w:t>ège</w:t>
      </w:r>
      <w:r w:rsidR="00934EFF" w:rsidRPr="005623CE">
        <w:rPr>
          <w:rFonts w:ascii="Arial" w:eastAsia="Times New Roman" w:hAnsi="Arial" w:cs="Times New Roman"/>
          <w:sz w:val="24"/>
          <w:szCs w:val="24"/>
          <w:lang w:eastAsia="en-CA"/>
        </w:rPr>
        <w:t xml:space="preserve"> (23% vs 51%)</w:t>
      </w:r>
      <w:r w:rsidR="001C6807">
        <w:rPr>
          <w:rFonts w:ascii="Arial" w:eastAsia="Times New Roman" w:hAnsi="Arial" w:cs="Times New Roman"/>
          <w:sz w:val="24"/>
          <w:szCs w:val="24"/>
          <w:lang w:eastAsia="en-CA"/>
        </w:rPr>
        <w:t>.</w:t>
      </w:r>
      <w:r w:rsidR="003F259C" w:rsidRPr="005623CE">
        <w:rPr>
          <w:rFonts w:ascii="Arial" w:eastAsia="Times New Roman" w:hAnsi="Arial" w:cs="Times New Roman"/>
          <w:sz w:val="24"/>
          <w:szCs w:val="24"/>
          <w:lang w:eastAsia="en-CA"/>
        </w:rPr>
        <w:t xml:space="preserve"> </w:t>
      </w:r>
      <w:r w:rsidR="001C6807">
        <w:rPr>
          <w:rFonts w:ascii="Arial" w:eastAsia="Times New Roman" w:hAnsi="Arial" w:cs="Times New Roman"/>
          <w:sz w:val="24"/>
          <w:szCs w:val="24"/>
          <w:lang w:eastAsia="en-CA"/>
        </w:rPr>
        <w:t>T</w:t>
      </w:r>
      <w:r w:rsidR="003F259C" w:rsidRPr="005623CE">
        <w:rPr>
          <w:rFonts w:ascii="Arial" w:eastAsia="Times New Roman" w:hAnsi="Arial" w:cs="Times New Roman"/>
          <w:sz w:val="24"/>
          <w:szCs w:val="24"/>
          <w:lang w:eastAsia="en-CA"/>
        </w:rPr>
        <w:t xml:space="preserve">his is something that the upgrade to the </w:t>
      </w:r>
      <w:r w:rsidR="001C6807">
        <w:rPr>
          <w:rFonts w:ascii="Arial" w:eastAsia="Times New Roman" w:hAnsi="Arial" w:cs="Times New Roman"/>
          <w:sz w:val="24"/>
          <w:szCs w:val="24"/>
          <w:lang w:eastAsia="en-CA"/>
        </w:rPr>
        <w:t>stronger Liège mandate in 2011 i</w:t>
      </w:r>
      <w:r w:rsidR="003F259C" w:rsidRPr="005623CE">
        <w:rPr>
          <w:rFonts w:ascii="Arial" w:eastAsia="Times New Roman" w:hAnsi="Arial" w:cs="Times New Roman"/>
          <w:sz w:val="24"/>
          <w:szCs w:val="24"/>
          <w:lang w:eastAsia="en-CA"/>
        </w:rPr>
        <w:t xml:space="preserve">s </w:t>
      </w:r>
      <w:r w:rsidR="001C6807">
        <w:rPr>
          <w:rFonts w:ascii="Arial" w:eastAsia="Times New Roman" w:hAnsi="Arial" w:cs="Times New Roman"/>
          <w:sz w:val="24"/>
          <w:szCs w:val="24"/>
          <w:lang w:eastAsia="en-CA"/>
        </w:rPr>
        <w:t>probably now in the process of remedying</w:t>
      </w:r>
      <w:r w:rsidR="003F259C" w:rsidRPr="005623CE">
        <w:rPr>
          <w:rFonts w:ascii="Arial" w:eastAsia="Times New Roman" w:hAnsi="Arial" w:cs="Times New Roman"/>
          <w:sz w:val="24"/>
          <w:szCs w:val="24"/>
          <w:lang w:eastAsia="en-CA"/>
        </w:rPr>
        <w:t xml:space="preserve">, with </w:t>
      </w:r>
      <w:r w:rsidR="00C6249B">
        <w:rPr>
          <w:rFonts w:ascii="Arial" w:eastAsia="Times New Roman" w:hAnsi="Arial" w:cs="Times New Roman"/>
          <w:sz w:val="24"/>
          <w:szCs w:val="24"/>
          <w:lang w:eastAsia="en-CA"/>
        </w:rPr>
        <w:t xml:space="preserve">publications deposited in RepositóriUM </w:t>
      </w:r>
      <w:r w:rsidR="003F259C" w:rsidRPr="005623CE">
        <w:rPr>
          <w:rFonts w:ascii="Arial" w:eastAsia="Times New Roman" w:hAnsi="Arial" w:cs="Times New Roman"/>
          <w:sz w:val="24"/>
          <w:szCs w:val="24"/>
          <w:lang w:eastAsia="en-CA"/>
        </w:rPr>
        <w:t xml:space="preserve">(whether PA or RA) </w:t>
      </w:r>
      <w:r w:rsidR="00C6249B">
        <w:rPr>
          <w:rFonts w:ascii="Arial" w:eastAsia="Times New Roman" w:hAnsi="Arial" w:cs="Times New Roman"/>
          <w:sz w:val="24"/>
          <w:szCs w:val="24"/>
          <w:lang w:eastAsia="en-CA"/>
        </w:rPr>
        <w:t xml:space="preserve">being </w:t>
      </w:r>
      <w:r w:rsidR="001C6807">
        <w:rPr>
          <w:rFonts w:ascii="Arial" w:eastAsia="Times New Roman" w:hAnsi="Arial" w:cs="Times New Roman"/>
          <w:sz w:val="24"/>
          <w:szCs w:val="24"/>
          <w:lang w:eastAsia="en-CA"/>
        </w:rPr>
        <w:t xml:space="preserve">now </w:t>
      </w:r>
      <w:r w:rsidR="00C6249B">
        <w:rPr>
          <w:rFonts w:ascii="Arial" w:eastAsia="Times New Roman" w:hAnsi="Arial" w:cs="Times New Roman"/>
          <w:sz w:val="24"/>
          <w:szCs w:val="24"/>
          <w:lang w:eastAsia="en-CA"/>
        </w:rPr>
        <w:t xml:space="preserve">the only source of information </w:t>
      </w:r>
      <w:r w:rsidR="003F259C" w:rsidRPr="005623CE">
        <w:rPr>
          <w:rFonts w:ascii="Arial" w:eastAsia="Times New Roman" w:hAnsi="Arial" w:cs="Times New Roman"/>
          <w:sz w:val="24"/>
          <w:szCs w:val="24"/>
          <w:lang w:eastAsia="en-CA"/>
        </w:rPr>
        <w:t xml:space="preserve"> for </w:t>
      </w:r>
      <w:r w:rsidR="00C6249B">
        <w:rPr>
          <w:rFonts w:ascii="Arial" w:eastAsia="Times New Roman" w:hAnsi="Arial" w:cs="Times New Roman"/>
          <w:sz w:val="24"/>
          <w:szCs w:val="24"/>
          <w:lang w:eastAsia="en-CA"/>
        </w:rPr>
        <w:t xml:space="preserve">institutional and individual </w:t>
      </w:r>
      <w:r w:rsidR="003F259C" w:rsidRPr="005623CE">
        <w:rPr>
          <w:rFonts w:ascii="Arial" w:eastAsia="Times New Roman" w:hAnsi="Arial" w:cs="Times New Roman"/>
          <w:sz w:val="24"/>
          <w:szCs w:val="24"/>
          <w:lang w:eastAsia="en-CA"/>
        </w:rPr>
        <w:t>research performance assessment</w:t>
      </w:r>
      <w:r w:rsidR="00934EFF" w:rsidRPr="005623CE">
        <w:rPr>
          <w:rFonts w:ascii="Arial" w:eastAsia="Times New Roman" w:hAnsi="Arial" w:cs="Times New Roman"/>
          <w:sz w:val="24"/>
          <w:szCs w:val="24"/>
          <w:lang w:eastAsia="en-CA"/>
        </w:rPr>
        <w:t>.</w:t>
      </w:r>
      <w:r w:rsidR="003F259C" w:rsidRPr="005623CE">
        <w:rPr>
          <w:rFonts w:ascii="Arial" w:eastAsia="Times New Roman" w:hAnsi="Arial" w:cs="Times New Roman"/>
          <w:sz w:val="24"/>
          <w:szCs w:val="24"/>
          <w:lang w:eastAsia="en-CA"/>
        </w:rPr>
        <w:t xml:space="preserve"> </w:t>
      </w:r>
      <w:r w:rsidR="001C6807">
        <w:rPr>
          <w:rFonts w:ascii="Arial" w:eastAsia="Times New Roman" w:hAnsi="Arial" w:cs="Times New Roman"/>
          <w:sz w:val="24"/>
          <w:szCs w:val="24"/>
          <w:lang w:eastAsia="en-CA"/>
        </w:rPr>
        <w:t xml:space="preserve">University of </w:t>
      </w:r>
      <w:r w:rsidR="003F259C" w:rsidRPr="005623CE">
        <w:rPr>
          <w:rFonts w:ascii="Arial" w:eastAsia="Times New Roman" w:hAnsi="Arial" w:cs="Times New Roman"/>
          <w:sz w:val="24"/>
          <w:szCs w:val="24"/>
          <w:lang w:eastAsia="en-CA"/>
        </w:rPr>
        <w:t xml:space="preserve">Surrey, </w:t>
      </w:r>
      <w:r w:rsidR="00C96277" w:rsidRPr="005623CE">
        <w:rPr>
          <w:rFonts w:ascii="Arial" w:eastAsia="Times New Roman" w:hAnsi="Arial" w:cs="Times New Roman"/>
          <w:sz w:val="24"/>
          <w:szCs w:val="24"/>
          <w:lang w:eastAsia="en-CA"/>
        </w:rPr>
        <w:t>which has a</w:t>
      </w:r>
      <w:r w:rsidR="003F259C" w:rsidRPr="005623CE">
        <w:rPr>
          <w:rFonts w:ascii="Arial" w:eastAsia="Times New Roman" w:hAnsi="Arial" w:cs="Times New Roman"/>
          <w:sz w:val="24"/>
          <w:szCs w:val="24"/>
          <w:lang w:eastAsia="en-CA"/>
        </w:rPr>
        <w:t xml:space="preserve"> much weaker mandate than the Liège model generates even fewer deposits, even though it is one of the UK mandate</w:t>
      </w:r>
      <w:r w:rsidR="00C96277" w:rsidRPr="005623CE">
        <w:rPr>
          <w:rFonts w:ascii="Arial" w:eastAsia="Times New Roman" w:hAnsi="Arial" w:cs="Times New Roman"/>
          <w:sz w:val="24"/>
          <w:szCs w:val="24"/>
          <w:lang w:eastAsia="en-CA"/>
        </w:rPr>
        <w:t>d repositories</w:t>
      </w:r>
      <w:r w:rsidR="003F259C" w:rsidRPr="005623CE">
        <w:rPr>
          <w:rFonts w:ascii="Arial" w:eastAsia="Times New Roman" w:hAnsi="Arial" w:cs="Times New Roman"/>
          <w:sz w:val="24"/>
          <w:szCs w:val="24"/>
          <w:lang w:eastAsia="en-CA"/>
        </w:rPr>
        <w:t xml:space="preserve"> with the highest deposit rate.</w:t>
      </w:r>
      <w:r w:rsidR="001C6807">
        <w:rPr>
          <w:rFonts w:ascii="Arial" w:eastAsia="Times New Roman" w:hAnsi="Arial" w:cs="Times New Roman"/>
          <w:sz w:val="24"/>
          <w:szCs w:val="24"/>
          <w:lang w:eastAsia="en-CA"/>
        </w:rPr>
        <w:t xml:space="preserve"> University of</w:t>
      </w:r>
      <w:r w:rsidR="003F259C" w:rsidRPr="005623CE">
        <w:rPr>
          <w:rFonts w:ascii="Arial" w:eastAsia="Times New Roman" w:hAnsi="Arial" w:cs="Times New Roman"/>
          <w:sz w:val="24"/>
          <w:szCs w:val="24"/>
          <w:lang w:eastAsia="en-CA"/>
        </w:rPr>
        <w:t xml:space="preserve"> Lancaster, with one of the UK’s highest non-mandated deposit rates</w:t>
      </w:r>
      <w:r w:rsidR="001C6807">
        <w:rPr>
          <w:rFonts w:ascii="Arial" w:eastAsia="Times New Roman" w:hAnsi="Arial" w:cs="Times New Roman"/>
          <w:sz w:val="24"/>
          <w:szCs w:val="24"/>
          <w:lang w:eastAsia="en-CA"/>
        </w:rPr>
        <w:t>, is still lower</w:t>
      </w:r>
      <w:r>
        <w:rPr>
          <w:rFonts w:ascii="Arial" w:eastAsia="Times New Roman" w:hAnsi="Arial" w:cs="Times New Roman"/>
          <w:sz w:val="24"/>
          <w:szCs w:val="24"/>
          <w:lang w:eastAsia="en-CA"/>
        </w:rPr>
        <w:t>.</w:t>
      </w:r>
    </w:p>
    <w:p w:rsidR="001170A3" w:rsidRPr="005623CE" w:rsidRDefault="001170A3" w:rsidP="00BE66F7">
      <w:pPr>
        <w:jc w:val="both"/>
        <w:rPr>
          <w:rFonts w:ascii="Arial" w:eastAsia="Times New Roman" w:hAnsi="Arial" w:cs="Times New Roman"/>
          <w:sz w:val="24"/>
          <w:szCs w:val="24"/>
          <w:lang w:eastAsia="en-CA"/>
        </w:rPr>
      </w:pPr>
    </w:p>
    <w:p w:rsidR="00D34572" w:rsidRPr="005623CE" w:rsidRDefault="004D1884" w:rsidP="00BE19E2">
      <w:pPr>
        <w:rPr>
          <w:rFonts w:ascii="Arial" w:eastAsia="Times New Roman" w:hAnsi="Arial" w:cs="Times New Roman"/>
          <w:sz w:val="24"/>
          <w:szCs w:val="24"/>
          <w:lang w:eastAsia="en-CA"/>
        </w:rPr>
      </w:pPr>
      <w:r w:rsidRPr="005623CE">
        <w:rPr>
          <w:rFonts w:ascii="Arial" w:eastAsia="Times New Roman" w:hAnsi="Arial" w:cs="Times New Roman"/>
          <w:noProof/>
          <w:sz w:val="24"/>
          <w:szCs w:val="24"/>
          <w:lang w:val="en-US"/>
        </w:rPr>
        <w:drawing>
          <wp:inline distT="0" distB="0" distL="0" distR="0">
            <wp:extent cx="5486400" cy="2558510"/>
            <wp:effectExtent l="19050" t="0" r="19050" b="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E19E2" w:rsidRPr="005623CE" w:rsidRDefault="004D1884" w:rsidP="00BE66F7">
      <w:pPr>
        <w:spacing w:after="0" w:line="240" w:lineRule="auto"/>
        <w:ind w:left="720"/>
        <w:jc w:val="both"/>
        <w:rPr>
          <w:rFonts w:ascii="Arial" w:eastAsia="Times New Roman" w:hAnsi="Arial" w:cs="Times New Roman"/>
          <w:bCs/>
          <w:color w:val="000000"/>
          <w:lang w:eastAsia="en-CA"/>
        </w:rPr>
      </w:pPr>
      <w:r w:rsidRPr="005623CE">
        <w:rPr>
          <w:rFonts w:ascii="Arial" w:eastAsia="Times New Roman" w:hAnsi="Arial" w:cs="Times New Roman"/>
          <w:b/>
          <w:bCs/>
          <w:color w:val="000000"/>
          <w:lang w:eastAsia="en-CA"/>
        </w:rPr>
        <w:t>Figure 4</w:t>
      </w:r>
      <w:r w:rsidR="0012564A" w:rsidRPr="005623CE">
        <w:rPr>
          <w:rFonts w:ascii="Arial" w:eastAsia="Times New Roman" w:hAnsi="Arial" w:cs="Times New Roman"/>
          <w:b/>
          <w:bCs/>
          <w:color w:val="000000"/>
          <w:lang w:eastAsia="en-CA"/>
        </w:rPr>
        <w:t xml:space="preserve">. </w:t>
      </w:r>
      <w:r w:rsidR="00C96277" w:rsidRPr="005623CE">
        <w:rPr>
          <w:rFonts w:ascii="Arial" w:eastAsia="Times New Roman" w:hAnsi="Arial" w:cs="Times New Roman"/>
          <w:b/>
          <w:bCs/>
          <w:color w:val="000000"/>
          <w:lang w:eastAsia="en-CA"/>
        </w:rPr>
        <w:t xml:space="preserve">Comparing Deposit Rates. </w:t>
      </w:r>
      <w:r w:rsidR="00746146" w:rsidRPr="005623CE">
        <w:rPr>
          <w:rFonts w:ascii="Arial" w:eastAsia="Times New Roman" w:hAnsi="Arial" w:cs="Times New Roman"/>
          <w:bCs/>
          <w:color w:val="000000"/>
          <w:lang w:eastAsia="en-CA"/>
        </w:rPr>
        <w:t xml:space="preserve">Percent Public Access deposits </w:t>
      </w:r>
      <w:r w:rsidR="00C96277" w:rsidRPr="005623CE">
        <w:rPr>
          <w:rFonts w:ascii="Arial" w:eastAsia="Times New Roman" w:hAnsi="Arial" w:cs="Times New Roman"/>
          <w:bCs/>
          <w:color w:val="000000"/>
          <w:lang w:eastAsia="en-CA"/>
        </w:rPr>
        <w:t>(</w:t>
      </w:r>
      <w:r w:rsidR="00746146" w:rsidRPr="005623CE">
        <w:rPr>
          <w:rFonts w:ascii="Arial" w:eastAsia="Times New Roman" w:hAnsi="Arial" w:cs="Times New Roman"/>
          <w:bCs/>
          <w:color w:val="000000"/>
          <w:lang w:eastAsia="en-CA"/>
        </w:rPr>
        <w:t>PA</w:t>
      </w:r>
      <w:r w:rsidR="00C96277" w:rsidRPr="005623CE">
        <w:rPr>
          <w:rFonts w:ascii="Arial" w:eastAsia="Times New Roman" w:hAnsi="Arial" w:cs="Times New Roman"/>
          <w:bCs/>
          <w:color w:val="000000"/>
          <w:lang w:eastAsia="en-CA"/>
        </w:rPr>
        <w:t>)</w:t>
      </w:r>
      <w:r w:rsidR="00746146" w:rsidRPr="005623CE">
        <w:rPr>
          <w:rFonts w:ascii="Arial" w:eastAsia="Times New Roman" w:hAnsi="Arial" w:cs="Times New Roman"/>
          <w:bCs/>
          <w:color w:val="000000"/>
          <w:lang w:eastAsia="en-CA"/>
        </w:rPr>
        <w:t xml:space="preserve">, Restricted Access deposits </w:t>
      </w:r>
      <w:r w:rsidR="00C96277" w:rsidRPr="005623CE">
        <w:rPr>
          <w:rFonts w:ascii="Arial" w:eastAsia="Times New Roman" w:hAnsi="Arial" w:cs="Times New Roman"/>
          <w:bCs/>
          <w:color w:val="000000"/>
          <w:lang w:eastAsia="en-CA"/>
        </w:rPr>
        <w:t>(</w:t>
      </w:r>
      <w:r w:rsidR="00746146" w:rsidRPr="005623CE">
        <w:rPr>
          <w:rFonts w:ascii="Arial" w:eastAsia="Times New Roman" w:hAnsi="Arial" w:cs="Times New Roman"/>
          <w:bCs/>
          <w:color w:val="000000"/>
          <w:lang w:eastAsia="en-CA"/>
        </w:rPr>
        <w:t>RA</w:t>
      </w:r>
      <w:r w:rsidR="00C96277" w:rsidRPr="005623CE">
        <w:rPr>
          <w:rFonts w:ascii="Arial" w:eastAsia="Times New Roman" w:hAnsi="Arial" w:cs="Times New Roman"/>
          <w:bCs/>
          <w:color w:val="000000"/>
          <w:lang w:eastAsia="en-CA"/>
        </w:rPr>
        <w:t>)</w:t>
      </w:r>
      <w:r w:rsidR="00A30AD7" w:rsidRPr="005623CE">
        <w:rPr>
          <w:rFonts w:ascii="Arial" w:eastAsia="Times New Roman" w:hAnsi="Arial" w:cs="Times New Roman"/>
          <w:bCs/>
          <w:color w:val="000000"/>
          <w:lang w:eastAsia="en-CA"/>
        </w:rPr>
        <w:t>, Metadata Only</w:t>
      </w:r>
      <w:r w:rsidR="00746146" w:rsidRPr="005623CE">
        <w:rPr>
          <w:rFonts w:ascii="Arial" w:eastAsia="Times New Roman" w:hAnsi="Arial" w:cs="Times New Roman"/>
          <w:bCs/>
          <w:color w:val="000000"/>
          <w:lang w:eastAsia="en-CA"/>
        </w:rPr>
        <w:t xml:space="preserve"> and </w:t>
      </w:r>
      <w:r w:rsidR="00A30AD7" w:rsidRPr="005623CE">
        <w:rPr>
          <w:rFonts w:ascii="Arial" w:eastAsia="Times New Roman" w:hAnsi="Arial" w:cs="Times New Roman"/>
          <w:bCs/>
          <w:color w:val="000000"/>
          <w:lang w:eastAsia="en-CA"/>
        </w:rPr>
        <w:t>Not Deposited</w:t>
      </w:r>
      <w:r w:rsidR="00746146" w:rsidRPr="005623CE">
        <w:rPr>
          <w:rFonts w:ascii="Arial" w:eastAsia="Times New Roman" w:hAnsi="Arial" w:cs="Times New Roman"/>
          <w:bCs/>
          <w:color w:val="000000"/>
          <w:lang w:eastAsia="en-CA"/>
        </w:rPr>
        <w:t xml:space="preserve"> for </w:t>
      </w:r>
      <w:r w:rsidR="003228A8" w:rsidRPr="005623CE">
        <w:rPr>
          <w:rFonts w:ascii="Arial" w:eastAsia="Times New Roman" w:hAnsi="Arial" w:cs="Times New Roman"/>
          <w:bCs/>
          <w:color w:val="000000"/>
          <w:lang w:eastAsia="en-CA"/>
        </w:rPr>
        <w:t xml:space="preserve">the universities of </w:t>
      </w:r>
      <w:r w:rsidR="0012564A" w:rsidRPr="005623CE">
        <w:rPr>
          <w:rFonts w:ascii="Arial" w:eastAsia="Times New Roman" w:hAnsi="Arial" w:cs="Times New Roman"/>
          <w:bCs/>
          <w:color w:val="000000"/>
          <w:lang w:eastAsia="en-CA"/>
        </w:rPr>
        <w:t>Liège, Minho</w:t>
      </w:r>
      <w:r w:rsidR="003228A8" w:rsidRPr="005623CE">
        <w:rPr>
          <w:rFonts w:ascii="Arial" w:eastAsia="Times New Roman" w:hAnsi="Arial" w:cs="Times New Roman"/>
          <w:bCs/>
          <w:color w:val="000000"/>
          <w:lang w:eastAsia="en-CA"/>
        </w:rPr>
        <w:t>, Surrey (</w:t>
      </w:r>
      <w:r w:rsidR="00916F51" w:rsidRPr="005623CE">
        <w:rPr>
          <w:rFonts w:ascii="Arial" w:eastAsia="Times New Roman" w:hAnsi="Arial" w:cs="Times New Roman"/>
          <w:bCs/>
          <w:color w:val="000000"/>
          <w:lang w:eastAsia="en-CA"/>
        </w:rPr>
        <w:t>M</w:t>
      </w:r>
      <w:r w:rsidR="003228A8" w:rsidRPr="005623CE">
        <w:rPr>
          <w:rFonts w:ascii="Arial" w:eastAsia="Times New Roman" w:hAnsi="Arial" w:cs="Times New Roman"/>
          <w:bCs/>
          <w:color w:val="000000"/>
          <w:lang w:eastAsia="en-CA"/>
        </w:rPr>
        <w:t xml:space="preserve">andated) and </w:t>
      </w:r>
      <w:r w:rsidR="009C524B" w:rsidRPr="005623CE">
        <w:rPr>
          <w:rFonts w:ascii="Arial" w:eastAsia="Times New Roman" w:hAnsi="Arial" w:cs="Times New Roman"/>
          <w:bCs/>
          <w:color w:val="000000"/>
          <w:lang w:eastAsia="en-CA"/>
        </w:rPr>
        <w:t>Lancaster</w:t>
      </w:r>
      <w:r w:rsidR="00746146" w:rsidRPr="005623CE">
        <w:rPr>
          <w:rFonts w:ascii="Arial" w:eastAsia="Times New Roman" w:hAnsi="Arial" w:cs="Times New Roman"/>
          <w:bCs/>
          <w:color w:val="000000"/>
          <w:lang w:eastAsia="en-CA"/>
        </w:rPr>
        <w:t xml:space="preserve"> </w:t>
      </w:r>
      <w:r w:rsidR="00916F51" w:rsidRPr="005623CE">
        <w:rPr>
          <w:rFonts w:ascii="Arial" w:eastAsia="Times New Roman" w:hAnsi="Arial" w:cs="Times New Roman"/>
          <w:bCs/>
          <w:color w:val="000000"/>
          <w:lang w:eastAsia="en-CA"/>
        </w:rPr>
        <w:t>(Non-M</w:t>
      </w:r>
      <w:r w:rsidR="003228A8" w:rsidRPr="005623CE">
        <w:rPr>
          <w:rFonts w:ascii="Arial" w:eastAsia="Times New Roman" w:hAnsi="Arial" w:cs="Times New Roman"/>
          <w:bCs/>
          <w:color w:val="000000"/>
          <w:lang w:eastAsia="en-CA"/>
        </w:rPr>
        <w:t xml:space="preserve">andated) </w:t>
      </w:r>
      <w:r w:rsidR="001C6807">
        <w:rPr>
          <w:rFonts w:ascii="Arial" w:eastAsia="Times New Roman" w:hAnsi="Arial" w:cs="Times New Roman"/>
          <w:bCs/>
          <w:color w:val="000000"/>
          <w:lang w:eastAsia="en-CA"/>
        </w:rPr>
        <w:t>as well as the</w:t>
      </w:r>
      <w:r w:rsidR="00746146" w:rsidRPr="005623CE">
        <w:rPr>
          <w:rFonts w:ascii="Arial" w:eastAsia="Times New Roman" w:hAnsi="Arial" w:cs="Times New Roman"/>
          <w:bCs/>
          <w:color w:val="000000"/>
          <w:lang w:eastAsia="en-CA"/>
        </w:rPr>
        <w:t xml:space="preserve"> averages for</w:t>
      </w:r>
      <w:r w:rsidR="0012564A" w:rsidRPr="005623CE">
        <w:rPr>
          <w:rFonts w:ascii="Arial" w:eastAsia="Times New Roman" w:hAnsi="Arial" w:cs="Times New Roman"/>
          <w:bCs/>
          <w:color w:val="000000"/>
          <w:lang w:eastAsia="en-CA"/>
        </w:rPr>
        <w:t xml:space="preserve"> </w:t>
      </w:r>
      <w:r w:rsidR="00402FD5" w:rsidRPr="005623CE">
        <w:rPr>
          <w:rFonts w:ascii="Arial" w:eastAsia="Times New Roman" w:hAnsi="Arial" w:cs="Times New Roman"/>
          <w:bCs/>
          <w:color w:val="000000"/>
          <w:lang w:eastAsia="en-CA"/>
        </w:rPr>
        <w:t>26</w:t>
      </w:r>
      <w:r w:rsidR="00C96277" w:rsidRPr="005623CE">
        <w:rPr>
          <w:rFonts w:ascii="Arial" w:eastAsia="Times New Roman" w:hAnsi="Arial" w:cs="Times New Roman"/>
          <w:bCs/>
          <w:color w:val="000000"/>
          <w:lang w:eastAsia="en-CA"/>
        </w:rPr>
        <w:t xml:space="preserve"> </w:t>
      </w:r>
      <w:r w:rsidR="00402FD5" w:rsidRPr="005623CE">
        <w:rPr>
          <w:rFonts w:ascii="Arial" w:eastAsia="Times New Roman" w:hAnsi="Arial" w:cs="Times New Roman"/>
          <w:bCs/>
          <w:color w:val="000000"/>
          <w:lang w:eastAsia="en-CA"/>
        </w:rPr>
        <w:t>Mandated and 73</w:t>
      </w:r>
      <w:r w:rsidR="00C96277" w:rsidRPr="005623CE">
        <w:rPr>
          <w:rFonts w:ascii="Arial" w:eastAsia="Times New Roman" w:hAnsi="Arial" w:cs="Times New Roman"/>
          <w:bCs/>
          <w:color w:val="000000"/>
          <w:lang w:eastAsia="en-CA"/>
        </w:rPr>
        <w:t xml:space="preserve"> </w:t>
      </w:r>
      <w:r w:rsidR="0012564A" w:rsidRPr="005623CE">
        <w:rPr>
          <w:rFonts w:ascii="Arial" w:eastAsia="Times New Roman" w:hAnsi="Arial" w:cs="Times New Roman"/>
          <w:bCs/>
          <w:color w:val="000000"/>
          <w:lang w:eastAsia="en-CA"/>
        </w:rPr>
        <w:t>Non-Mandated</w:t>
      </w:r>
      <w:r w:rsidR="00746146" w:rsidRPr="005623CE">
        <w:rPr>
          <w:rFonts w:ascii="Arial" w:eastAsia="Times New Roman" w:hAnsi="Arial" w:cs="Times New Roman"/>
          <w:bCs/>
          <w:color w:val="000000"/>
          <w:lang w:eastAsia="en-CA"/>
        </w:rPr>
        <w:t xml:space="preserve"> </w:t>
      </w:r>
      <w:r w:rsidR="001C6807">
        <w:rPr>
          <w:rFonts w:ascii="Arial" w:eastAsia="Times New Roman" w:hAnsi="Arial" w:cs="Times New Roman"/>
          <w:bCs/>
          <w:color w:val="000000"/>
          <w:lang w:eastAsia="en-CA"/>
        </w:rPr>
        <w:t xml:space="preserve">UK </w:t>
      </w:r>
      <w:r w:rsidR="00746146" w:rsidRPr="005623CE">
        <w:rPr>
          <w:rFonts w:ascii="Arial" w:eastAsia="Times New Roman" w:hAnsi="Arial" w:cs="Times New Roman"/>
          <w:bCs/>
          <w:color w:val="000000"/>
          <w:lang w:eastAsia="en-CA"/>
        </w:rPr>
        <w:t>repositories</w:t>
      </w:r>
      <w:r w:rsidR="002F7BA0" w:rsidRPr="005623CE">
        <w:rPr>
          <w:rFonts w:ascii="Arial" w:eastAsia="Times New Roman" w:hAnsi="Arial" w:cs="Times New Roman"/>
          <w:bCs/>
          <w:color w:val="000000"/>
          <w:lang w:eastAsia="en-CA"/>
        </w:rPr>
        <w:t xml:space="preserve"> </w:t>
      </w:r>
      <w:r w:rsidR="001C6807">
        <w:rPr>
          <w:rFonts w:ascii="Arial" w:eastAsia="Times New Roman" w:hAnsi="Arial" w:cs="Times New Roman"/>
          <w:bCs/>
          <w:color w:val="000000"/>
          <w:lang w:eastAsia="en-CA"/>
        </w:rPr>
        <w:t xml:space="preserve">that were </w:t>
      </w:r>
      <w:r w:rsidR="00C96277" w:rsidRPr="005623CE">
        <w:rPr>
          <w:rFonts w:ascii="Arial" w:eastAsia="Times New Roman" w:hAnsi="Arial" w:cs="Times New Roman"/>
          <w:bCs/>
          <w:color w:val="000000"/>
          <w:lang w:eastAsia="en-CA"/>
        </w:rPr>
        <w:t xml:space="preserve">analyzed </w:t>
      </w:r>
      <w:r w:rsidR="002F7BA0" w:rsidRPr="005623CE">
        <w:rPr>
          <w:rFonts w:ascii="Arial" w:eastAsia="Times New Roman" w:hAnsi="Arial" w:cs="Times New Roman"/>
          <w:bCs/>
          <w:color w:val="000000"/>
          <w:lang w:eastAsia="en-CA"/>
        </w:rPr>
        <w:t>for publication year 2012</w:t>
      </w:r>
    </w:p>
    <w:p w:rsidR="002F7BA0" w:rsidRDefault="002F7BA0" w:rsidP="00BE66F7">
      <w:pPr>
        <w:autoSpaceDE w:val="0"/>
        <w:autoSpaceDN w:val="0"/>
        <w:adjustRightInd w:val="0"/>
        <w:spacing w:after="0" w:line="240" w:lineRule="auto"/>
        <w:ind w:right="-149"/>
        <w:jc w:val="both"/>
        <w:outlineLvl w:val="0"/>
        <w:rPr>
          <w:rFonts w:ascii="Arial" w:eastAsia="Times New Roman" w:hAnsi="Arial" w:cs="Times New Roman"/>
          <w:b/>
          <w:sz w:val="24"/>
          <w:szCs w:val="24"/>
          <w:lang w:eastAsia="en-CA"/>
        </w:rPr>
      </w:pPr>
    </w:p>
    <w:p w:rsidR="00E22B76" w:rsidRPr="005623CE" w:rsidRDefault="00E22B76" w:rsidP="00BE66F7">
      <w:pPr>
        <w:autoSpaceDE w:val="0"/>
        <w:autoSpaceDN w:val="0"/>
        <w:adjustRightInd w:val="0"/>
        <w:spacing w:after="0" w:line="240" w:lineRule="auto"/>
        <w:ind w:right="-149"/>
        <w:jc w:val="both"/>
        <w:outlineLvl w:val="0"/>
        <w:rPr>
          <w:rFonts w:ascii="Arial" w:eastAsia="Times New Roman" w:hAnsi="Arial" w:cs="Times New Roman"/>
          <w:b/>
          <w:sz w:val="24"/>
          <w:szCs w:val="24"/>
          <w:lang w:eastAsia="en-CA"/>
        </w:rPr>
      </w:pPr>
    </w:p>
    <w:p w:rsidR="00715B7B" w:rsidRPr="005623CE" w:rsidRDefault="00BE66F7" w:rsidP="00BE66F7">
      <w:pPr>
        <w:jc w:val="both"/>
        <w:rPr>
          <w:rFonts w:ascii="Arial" w:eastAsia="Times New Roman" w:hAnsi="Arial" w:cs="Times New Roman"/>
          <w:sz w:val="24"/>
          <w:szCs w:val="24"/>
          <w:lang w:val="en-US" w:eastAsia="en-CA"/>
        </w:rPr>
      </w:pPr>
      <w:r w:rsidRPr="00BE66F7">
        <w:rPr>
          <w:rFonts w:ascii="Arial" w:eastAsia="Times New Roman" w:hAnsi="Arial" w:cs="Times New Roman"/>
          <w:b/>
          <w:sz w:val="24"/>
          <w:szCs w:val="24"/>
          <w:lang w:eastAsia="en-CA"/>
        </w:rPr>
        <w:t>5. Importance of Immediate Access.</w:t>
      </w:r>
      <w:r>
        <w:t xml:space="preserve"> </w:t>
      </w:r>
      <w:hyperlink r:id="rId27" w:history="1">
        <w:r w:rsidR="00367935" w:rsidRPr="001C6807">
          <w:rPr>
            <w:rStyle w:val="Hyperlink"/>
            <w:rFonts w:ascii="Arial" w:eastAsia="Times New Roman" w:hAnsi="Arial" w:cs="Times New Roman"/>
            <w:sz w:val="24"/>
            <w:szCs w:val="24"/>
            <w:lang w:eastAsia="en-CA"/>
          </w:rPr>
          <w:t>Over 60%</w:t>
        </w:r>
      </w:hyperlink>
      <w:r w:rsidR="00367935" w:rsidRPr="005623CE">
        <w:rPr>
          <w:rFonts w:ascii="Arial" w:eastAsia="Times New Roman" w:hAnsi="Arial" w:cs="Times New Roman"/>
          <w:sz w:val="24"/>
          <w:szCs w:val="24"/>
          <w:lang w:eastAsia="en-CA"/>
        </w:rPr>
        <w:t xml:space="preserve"> of journals endorse immediate, unembargoed Green OA self-archiving</w:t>
      </w:r>
      <w:r w:rsidR="001C6807">
        <w:rPr>
          <w:rFonts w:ascii="Arial" w:eastAsia="Times New Roman" w:hAnsi="Arial" w:cs="Times New Roman"/>
          <w:sz w:val="24"/>
          <w:szCs w:val="24"/>
          <w:lang w:eastAsia="en-CA"/>
        </w:rPr>
        <w:t xml:space="preserve"> today</w:t>
      </w:r>
      <w:r w:rsidR="00367935" w:rsidRPr="005623CE">
        <w:rPr>
          <w:rFonts w:ascii="Arial" w:eastAsia="Times New Roman" w:hAnsi="Arial" w:cs="Times New Roman"/>
          <w:sz w:val="24"/>
          <w:szCs w:val="24"/>
          <w:lang w:eastAsia="en-CA"/>
        </w:rPr>
        <w:t xml:space="preserve">. So there is really no reason </w:t>
      </w:r>
      <w:r w:rsidR="00C96277" w:rsidRPr="005623CE">
        <w:rPr>
          <w:rFonts w:ascii="Arial" w:eastAsia="Times New Roman" w:hAnsi="Arial" w:cs="Times New Roman"/>
          <w:sz w:val="24"/>
          <w:szCs w:val="24"/>
          <w:lang w:eastAsia="en-CA"/>
        </w:rPr>
        <w:t xml:space="preserve">why </w:t>
      </w:r>
      <w:r w:rsidR="00367935" w:rsidRPr="005623CE">
        <w:rPr>
          <w:rFonts w:ascii="Arial" w:eastAsia="Times New Roman" w:hAnsi="Arial" w:cs="Times New Roman"/>
          <w:sz w:val="24"/>
          <w:szCs w:val="24"/>
          <w:lang w:eastAsia="en-CA"/>
        </w:rPr>
        <w:t>PA deposits should not all be at least 60%</w:t>
      </w:r>
      <w:r w:rsidR="002A5D5B" w:rsidRPr="005623CE">
        <w:rPr>
          <w:rFonts w:ascii="Arial" w:eastAsia="Times New Roman" w:hAnsi="Arial" w:cs="Times New Roman"/>
          <w:sz w:val="24"/>
          <w:szCs w:val="24"/>
          <w:lang w:eastAsia="en-CA"/>
        </w:rPr>
        <w:t xml:space="preserve">. In addition, most </w:t>
      </w:r>
      <w:r w:rsidR="001C6807">
        <w:rPr>
          <w:rFonts w:ascii="Arial" w:eastAsia="Times New Roman" w:hAnsi="Arial" w:cs="Times New Roman"/>
          <w:sz w:val="24"/>
          <w:szCs w:val="24"/>
          <w:lang w:eastAsia="en-CA"/>
        </w:rPr>
        <w:t xml:space="preserve">of the 40% of </w:t>
      </w:r>
      <w:r w:rsidR="002A5D5B" w:rsidRPr="005623CE">
        <w:rPr>
          <w:rFonts w:ascii="Arial" w:eastAsia="Times New Roman" w:hAnsi="Arial" w:cs="Times New Roman"/>
          <w:sz w:val="24"/>
          <w:szCs w:val="24"/>
          <w:lang w:eastAsia="en-CA"/>
        </w:rPr>
        <w:t>publishers who embarg</w:t>
      </w:r>
      <w:r w:rsidR="00D80739" w:rsidRPr="005623CE">
        <w:rPr>
          <w:rFonts w:ascii="Arial" w:eastAsia="Times New Roman" w:hAnsi="Arial" w:cs="Times New Roman"/>
          <w:sz w:val="24"/>
          <w:szCs w:val="24"/>
          <w:lang w:eastAsia="en-CA"/>
        </w:rPr>
        <w:t xml:space="preserve">o Green OA have now been forced, because of the demand for OA from the author community, </w:t>
      </w:r>
      <w:r w:rsidR="002A5D5B" w:rsidRPr="005623CE">
        <w:rPr>
          <w:rFonts w:ascii="Arial" w:eastAsia="Times New Roman" w:hAnsi="Arial" w:cs="Times New Roman"/>
          <w:sz w:val="24"/>
          <w:szCs w:val="24"/>
          <w:lang w:eastAsia="en-CA"/>
        </w:rPr>
        <w:t xml:space="preserve">to reduce their embargoes to a year or even six months. </w:t>
      </w:r>
      <w:r w:rsidR="001C6807">
        <w:rPr>
          <w:rFonts w:ascii="Arial" w:eastAsia="Times New Roman" w:hAnsi="Arial" w:cs="Times New Roman"/>
          <w:sz w:val="24"/>
          <w:szCs w:val="24"/>
          <w:lang w:eastAsia="en-CA"/>
        </w:rPr>
        <w:t xml:space="preserve">Yet </w:t>
      </w:r>
      <w:r w:rsidR="002A5D5B" w:rsidRPr="005623CE">
        <w:rPr>
          <w:rFonts w:ascii="Arial" w:eastAsia="Times New Roman" w:hAnsi="Arial" w:cs="Times New Roman"/>
          <w:sz w:val="24"/>
          <w:szCs w:val="24"/>
          <w:lang w:eastAsia="en-CA"/>
        </w:rPr>
        <w:t xml:space="preserve">PA after 6-12 months or more is </w:t>
      </w:r>
      <w:r w:rsidR="00D80739" w:rsidRPr="005623CE">
        <w:rPr>
          <w:rFonts w:ascii="Arial" w:eastAsia="Times New Roman" w:hAnsi="Arial" w:cs="Times New Roman"/>
          <w:sz w:val="24"/>
          <w:szCs w:val="24"/>
          <w:lang w:eastAsia="en-CA"/>
        </w:rPr>
        <w:t xml:space="preserve">still </w:t>
      </w:r>
      <w:r w:rsidR="002A5D5B" w:rsidRPr="005623CE">
        <w:rPr>
          <w:rFonts w:ascii="Arial" w:eastAsia="Times New Roman" w:hAnsi="Arial" w:cs="Times New Roman"/>
          <w:sz w:val="24"/>
          <w:szCs w:val="24"/>
          <w:lang w:eastAsia="en-CA"/>
        </w:rPr>
        <w:t xml:space="preserve">not </w:t>
      </w:r>
      <w:r w:rsidR="001C6807">
        <w:rPr>
          <w:rFonts w:ascii="Arial" w:eastAsia="Times New Roman" w:hAnsi="Arial" w:cs="Times New Roman"/>
          <w:sz w:val="24"/>
          <w:szCs w:val="24"/>
          <w:lang w:eastAsia="en-CA"/>
        </w:rPr>
        <w:t>Open Access (</w:t>
      </w:r>
      <w:r w:rsidR="002A5D5B" w:rsidRPr="005623CE">
        <w:rPr>
          <w:rFonts w:ascii="Arial" w:eastAsia="Times New Roman" w:hAnsi="Arial" w:cs="Times New Roman"/>
          <w:sz w:val="24"/>
          <w:szCs w:val="24"/>
          <w:lang w:eastAsia="en-CA"/>
        </w:rPr>
        <w:t>OA</w:t>
      </w:r>
      <w:r w:rsidR="001C6807">
        <w:rPr>
          <w:rFonts w:ascii="Arial" w:eastAsia="Times New Roman" w:hAnsi="Arial" w:cs="Times New Roman"/>
          <w:sz w:val="24"/>
          <w:szCs w:val="24"/>
          <w:lang w:eastAsia="en-CA"/>
        </w:rPr>
        <w:t>)</w:t>
      </w:r>
      <w:r w:rsidR="002A5D5B" w:rsidRPr="005623CE">
        <w:rPr>
          <w:rFonts w:ascii="Arial" w:eastAsia="Times New Roman" w:hAnsi="Arial" w:cs="Times New Roman"/>
          <w:sz w:val="24"/>
          <w:szCs w:val="24"/>
          <w:lang w:eastAsia="en-CA"/>
        </w:rPr>
        <w:t xml:space="preserve">, which means </w:t>
      </w:r>
      <w:r w:rsidR="002A5D5B" w:rsidRPr="005623CE">
        <w:rPr>
          <w:rFonts w:ascii="Arial" w:eastAsia="Times New Roman" w:hAnsi="Arial" w:cs="Times New Roman"/>
          <w:i/>
          <w:sz w:val="24"/>
          <w:szCs w:val="24"/>
          <w:lang w:eastAsia="en-CA"/>
        </w:rPr>
        <w:t>immediate access</w:t>
      </w:r>
      <w:r w:rsidR="002A5D5B" w:rsidRPr="005623CE">
        <w:rPr>
          <w:rFonts w:ascii="Arial" w:eastAsia="Times New Roman" w:hAnsi="Arial" w:cs="Times New Roman"/>
          <w:sz w:val="24"/>
          <w:szCs w:val="24"/>
          <w:lang w:eastAsia="en-CA"/>
        </w:rPr>
        <w:t>: It is delayed access (DA). And delay</w:t>
      </w:r>
      <w:r w:rsidR="00D80739" w:rsidRPr="005623CE">
        <w:rPr>
          <w:rFonts w:ascii="Arial" w:eastAsia="Times New Roman" w:hAnsi="Arial" w:cs="Times New Roman"/>
          <w:sz w:val="24"/>
          <w:szCs w:val="24"/>
          <w:lang w:eastAsia="en-CA"/>
        </w:rPr>
        <w:t>ing</w:t>
      </w:r>
      <w:r w:rsidR="002A5D5B" w:rsidRPr="005623CE">
        <w:rPr>
          <w:rFonts w:ascii="Arial" w:eastAsia="Times New Roman" w:hAnsi="Arial" w:cs="Times New Roman"/>
          <w:sz w:val="24"/>
          <w:szCs w:val="24"/>
          <w:lang w:eastAsia="en-CA"/>
        </w:rPr>
        <w:t xml:space="preserve"> access matters, because lost research access means lost research </w:t>
      </w:r>
      <w:hyperlink r:id="rId28" w:history="1">
        <w:r w:rsidR="002A5D5B" w:rsidRPr="00463843">
          <w:rPr>
            <w:rStyle w:val="Hyperlink"/>
            <w:rFonts w:ascii="Arial" w:eastAsia="Times New Roman" w:hAnsi="Arial" w:cs="Times New Roman"/>
            <w:sz w:val="24"/>
            <w:szCs w:val="24"/>
            <w:lang w:eastAsia="en-CA"/>
          </w:rPr>
          <w:t>uptake, usage, and impact</w:t>
        </w:r>
      </w:hyperlink>
      <w:r w:rsidR="00463843">
        <w:rPr>
          <w:rFonts w:ascii="Arial" w:eastAsia="Times New Roman" w:hAnsi="Arial" w:cs="Times New Roman"/>
          <w:sz w:val="24"/>
          <w:szCs w:val="24"/>
          <w:lang w:eastAsia="en-CA"/>
        </w:rPr>
        <w:t xml:space="preserve"> </w:t>
      </w:r>
      <w:r w:rsidR="00463843" w:rsidRPr="005623CE">
        <w:rPr>
          <w:rFonts w:ascii="Arial" w:eastAsia="Times New Roman" w:hAnsi="Arial" w:cs="Times New Roman"/>
          <w:sz w:val="24"/>
          <w:szCs w:val="24"/>
          <w:lang w:eastAsia="en-CA"/>
        </w:rPr>
        <w:t xml:space="preserve">as </w:t>
      </w:r>
      <w:r w:rsidR="00463843" w:rsidRPr="005623CE">
        <w:rPr>
          <w:rFonts w:ascii="Arial" w:eastAsia="Times New Roman" w:hAnsi="Arial" w:cs="Times New Roman"/>
          <w:b/>
          <w:sz w:val="24"/>
          <w:szCs w:val="24"/>
          <w:lang w:eastAsia="en-CA"/>
        </w:rPr>
        <w:t>Figure 5</w:t>
      </w:r>
      <w:r w:rsidR="00463843" w:rsidRPr="005623CE">
        <w:rPr>
          <w:rFonts w:ascii="Arial" w:eastAsia="Times New Roman" w:hAnsi="Arial" w:cs="Times New Roman"/>
          <w:sz w:val="24"/>
          <w:szCs w:val="24"/>
          <w:lang w:eastAsia="en-CA"/>
        </w:rPr>
        <w:t xml:space="preserve"> shows</w:t>
      </w:r>
      <w:r w:rsidR="00463843">
        <w:rPr>
          <w:rFonts w:ascii="Arial" w:eastAsia="Times New Roman" w:hAnsi="Arial" w:cs="Times New Roman"/>
          <w:sz w:val="24"/>
          <w:szCs w:val="24"/>
          <w:lang w:eastAsia="en-CA"/>
        </w:rPr>
        <w:t xml:space="preserve"> --</w:t>
      </w:r>
      <w:r w:rsidR="002A5D5B" w:rsidRPr="005623CE">
        <w:rPr>
          <w:rFonts w:ascii="Arial" w:eastAsia="Times New Roman" w:hAnsi="Arial" w:cs="Times New Roman"/>
          <w:sz w:val="24"/>
          <w:szCs w:val="24"/>
          <w:lang w:eastAsia="en-CA"/>
        </w:rPr>
        <w:t xml:space="preserve"> hence lost (not just delayed) research </w:t>
      </w:r>
      <w:r w:rsidR="00463843">
        <w:rPr>
          <w:rFonts w:ascii="Arial" w:eastAsia="Times New Roman" w:hAnsi="Arial" w:cs="Times New Roman"/>
          <w:sz w:val="24"/>
          <w:szCs w:val="24"/>
          <w:lang w:eastAsia="en-CA"/>
        </w:rPr>
        <w:t xml:space="preserve">applications, productivity and </w:t>
      </w:r>
      <w:r w:rsidR="002A5D5B" w:rsidRPr="005623CE">
        <w:rPr>
          <w:rFonts w:ascii="Arial" w:eastAsia="Times New Roman" w:hAnsi="Arial" w:cs="Times New Roman"/>
          <w:sz w:val="24"/>
          <w:szCs w:val="24"/>
          <w:lang w:eastAsia="en-CA"/>
        </w:rPr>
        <w:t>progress</w:t>
      </w:r>
      <w:r w:rsidR="00EB43F4">
        <w:rPr>
          <w:rFonts w:ascii="Arial" w:eastAsia="Times New Roman" w:hAnsi="Arial" w:cs="Times New Roman"/>
          <w:sz w:val="24"/>
          <w:szCs w:val="24"/>
          <w:lang w:eastAsia="en-CA"/>
        </w:rPr>
        <w:t>.</w:t>
      </w:r>
      <w:r w:rsidR="00D80739" w:rsidRPr="005623CE">
        <w:rPr>
          <w:rFonts w:ascii="Arial" w:eastAsia="Times New Roman" w:hAnsi="Arial" w:cs="Times New Roman"/>
          <w:sz w:val="24"/>
          <w:szCs w:val="24"/>
          <w:lang w:eastAsia="en-CA"/>
        </w:rPr>
        <w:t>Physics papers that are not made OA before or at publication never reach the citation level of OA papers; this is not just an OA effect, it is also an early access effect</w:t>
      </w:r>
      <w:r w:rsidR="00463843">
        <w:rPr>
          <w:rFonts w:ascii="Arial" w:eastAsia="Times New Roman" w:hAnsi="Arial" w:cs="Times New Roman"/>
          <w:sz w:val="24"/>
          <w:szCs w:val="24"/>
          <w:lang w:eastAsia="en-CA"/>
        </w:rPr>
        <w:t xml:space="preserve"> (Gentil-Beccot et al 2010)</w:t>
      </w:r>
      <w:r w:rsidR="00D80739" w:rsidRPr="005623CE">
        <w:rPr>
          <w:rFonts w:ascii="Arial" w:eastAsia="Times New Roman" w:hAnsi="Arial" w:cs="Times New Roman"/>
          <w:sz w:val="24"/>
          <w:szCs w:val="24"/>
          <w:lang w:eastAsia="en-CA"/>
        </w:rPr>
        <w:t xml:space="preserve">. In a fast-moving field, one must strike </w:t>
      </w:r>
      <w:r w:rsidR="00C96277" w:rsidRPr="005623CE">
        <w:rPr>
          <w:rFonts w:ascii="Arial" w:eastAsia="Times New Roman" w:hAnsi="Arial" w:cs="Times New Roman"/>
          <w:sz w:val="24"/>
          <w:szCs w:val="24"/>
          <w:lang w:eastAsia="en-CA"/>
        </w:rPr>
        <w:t xml:space="preserve">while </w:t>
      </w:r>
      <w:r w:rsidR="00D80739" w:rsidRPr="005623CE">
        <w:rPr>
          <w:rFonts w:ascii="Arial" w:eastAsia="Times New Roman" w:hAnsi="Arial" w:cs="Times New Roman"/>
          <w:sz w:val="24"/>
          <w:szCs w:val="24"/>
          <w:lang w:eastAsia="en-CA"/>
        </w:rPr>
        <w:t xml:space="preserve">the iron </w:t>
      </w:r>
      <w:r w:rsidR="00C96277" w:rsidRPr="005623CE">
        <w:rPr>
          <w:rFonts w:ascii="Arial" w:eastAsia="Times New Roman" w:hAnsi="Arial" w:cs="Times New Roman"/>
          <w:sz w:val="24"/>
          <w:szCs w:val="24"/>
          <w:lang w:eastAsia="en-CA"/>
        </w:rPr>
        <w:t>is</w:t>
      </w:r>
      <w:r w:rsidR="00D80739" w:rsidRPr="005623CE">
        <w:rPr>
          <w:rFonts w:ascii="Arial" w:eastAsia="Times New Roman" w:hAnsi="Arial" w:cs="Times New Roman"/>
          <w:sz w:val="24"/>
          <w:szCs w:val="24"/>
          <w:lang w:val="en-US" w:eastAsia="en-CA"/>
        </w:rPr>
        <w:t xml:space="preserve"> hot. (</w:t>
      </w:r>
      <w:r w:rsidR="00463843">
        <w:rPr>
          <w:rFonts w:ascii="Arial" w:eastAsia="Times New Roman" w:hAnsi="Arial" w:cs="Times New Roman"/>
          <w:sz w:val="24"/>
          <w:szCs w:val="24"/>
          <w:lang w:val="en-US" w:eastAsia="en-CA"/>
        </w:rPr>
        <w:t>Note that</w:t>
      </w:r>
      <w:r w:rsidR="00D80739" w:rsidRPr="005623CE">
        <w:rPr>
          <w:rFonts w:ascii="Arial" w:eastAsia="Times New Roman" w:hAnsi="Arial" w:cs="Times New Roman"/>
          <w:sz w:val="24"/>
          <w:szCs w:val="24"/>
          <w:lang w:val="en-US" w:eastAsia="en-CA"/>
        </w:rPr>
        <w:t xml:space="preserve"> even </w:t>
      </w:r>
      <w:r w:rsidR="00F2235E" w:rsidRPr="005623CE">
        <w:rPr>
          <w:rFonts w:ascii="Arial" w:eastAsia="Times New Roman" w:hAnsi="Arial" w:cs="Times New Roman"/>
          <w:sz w:val="24"/>
          <w:szCs w:val="24"/>
          <w:lang w:val="en-US" w:eastAsia="en-CA"/>
        </w:rPr>
        <w:t xml:space="preserve">though </w:t>
      </w:r>
      <w:r w:rsidR="00D80739" w:rsidRPr="005623CE">
        <w:rPr>
          <w:rFonts w:ascii="Arial" w:eastAsia="Times New Roman" w:hAnsi="Arial" w:cs="Times New Roman"/>
          <w:sz w:val="24"/>
          <w:szCs w:val="24"/>
          <w:lang w:val="en-US" w:eastAsia="en-CA"/>
        </w:rPr>
        <w:t xml:space="preserve">there is </w:t>
      </w:r>
      <w:r w:rsidR="00F2235E" w:rsidRPr="005623CE">
        <w:rPr>
          <w:rFonts w:ascii="Arial" w:eastAsia="Times New Roman" w:hAnsi="Arial" w:cs="Times New Roman"/>
          <w:sz w:val="24"/>
          <w:szCs w:val="24"/>
          <w:lang w:val="en-US" w:eastAsia="en-CA"/>
        </w:rPr>
        <w:t xml:space="preserve">no doubt </w:t>
      </w:r>
      <w:r w:rsidR="00D80739" w:rsidRPr="005623CE">
        <w:rPr>
          <w:rFonts w:ascii="Arial" w:eastAsia="Times New Roman" w:hAnsi="Arial" w:cs="Times New Roman"/>
          <w:sz w:val="24"/>
          <w:szCs w:val="24"/>
          <w:lang w:val="en-US" w:eastAsia="en-CA"/>
        </w:rPr>
        <w:t xml:space="preserve">an element of author </w:t>
      </w:r>
      <w:r w:rsidR="00F2235E" w:rsidRPr="005623CE">
        <w:rPr>
          <w:rFonts w:ascii="Arial" w:eastAsia="Times New Roman" w:hAnsi="Arial" w:cs="Times New Roman"/>
          <w:sz w:val="24"/>
          <w:szCs w:val="24"/>
          <w:lang w:val="en-US" w:eastAsia="en-CA"/>
        </w:rPr>
        <w:t>self-</w:t>
      </w:r>
      <w:r w:rsidR="00D80739" w:rsidRPr="005623CE">
        <w:rPr>
          <w:rFonts w:ascii="Arial" w:eastAsia="Times New Roman" w:hAnsi="Arial" w:cs="Times New Roman"/>
          <w:sz w:val="24"/>
          <w:szCs w:val="24"/>
          <w:lang w:val="en-US" w:eastAsia="en-CA"/>
        </w:rPr>
        <w:t xml:space="preserve">selection in </w:t>
      </w:r>
      <w:r w:rsidR="00463843">
        <w:rPr>
          <w:rFonts w:ascii="Arial" w:eastAsia="Times New Roman" w:hAnsi="Arial" w:cs="Times New Roman"/>
          <w:sz w:val="24"/>
          <w:szCs w:val="24"/>
          <w:lang w:val="en-US" w:eastAsia="en-CA"/>
        </w:rPr>
        <w:t>the Gentil-Beccot et al</w:t>
      </w:r>
      <w:r w:rsidR="00D80739" w:rsidRPr="005623CE">
        <w:rPr>
          <w:rFonts w:ascii="Arial" w:eastAsia="Times New Roman" w:hAnsi="Arial" w:cs="Times New Roman"/>
          <w:sz w:val="24"/>
          <w:szCs w:val="24"/>
          <w:lang w:val="en-US" w:eastAsia="en-CA"/>
        </w:rPr>
        <w:t xml:space="preserve"> effect – with authors of better papers more </w:t>
      </w:r>
      <w:r w:rsidR="00F2235E" w:rsidRPr="005623CE">
        <w:rPr>
          <w:rFonts w:ascii="Arial" w:eastAsia="Times New Roman" w:hAnsi="Arial" w:cs="Times New Roman"/>
          <w:sz w:val="24"/>
          <w:szCs w:val="24"/>
          <w:lang w:val="en-US" w:eastAsia="en-CA"/>
        </w:rPr>
        <w:t>likely</w:t>
      </w:r>
      <w:r w:rsidR="00D80739" w:rsidRPr="005623CE">
        <w:rPr>
          <w:rFonts w:ascii="Arial" w:eastAsia="Times New Roman" w:hAnsi="Arial" w:cs="Times New Roman"/>
          <w:sz w:val="24"/>
          <w:szCs w:val="24"/>
          <w:lang w:val="en-US" w:eastAsia="en-CA"/>
        </w:rPr>
        <w:t xml:space="preserve"> to make </w:t>
      </w:r>
      <w:r w:rsidR="00C96277" w:rsidRPr="005623CE">
        <w:rPr>
          <w:rFonts w:ascii="Arial" w:eastAsia="Times New Roman" w:hAnsi="Arial" w:cs="Times New Roman"/>
          <w:sz w:val="24"/>
          <w:szCs w:val="24"/>
          <w:lang w:val="en-US" w:eastAsia="en-CA"/>
        </w:rPr>
        <w:t>them</w:t>
      </w:r>
      <w:r w:rsidR="00D80739" w:rsidRPr="005623CE">
        <w:rPr>
          <w:rFonts w:ascii="Arial" w:eastAsia="Times New Roman" w:hAnsi="Arial" w:cs="Times New Roman"/>
          <w:sz w:val="24"/>
          <w:szCs w:val="24"/>
          <w:lang w:val="en-US" w:eastAsia="en-CA"/>
        </w:rPr>
        <w:t xml:space="preserve"> OA – the effect is too big to be just an author </w:t>
      </w:r>
      <w:r w:rsidR="00F2235E" w:rsidRPr="005623CE">
        <w:rPr>
          <w:rFonts w:ascii="Arial" w:eastAsia="Times New Roman" w:hAnsi="Arial" w:cs="Times New Roman"/>
          <w:sz w:val="24"/>
          <w:szCs w:val="24"/>
          <w:lang w:val="en-US" w:eastAsia="en-CA"/>
        </w:rPr>
        <w:t>bias:</w:t>
      </w:r>
      <w:r w:rsidR="00715B7B" w:rsidRPr="005623CE">
        <w:rPr>
          <w:rFonts w:ascii="Arial" w:eastAsia="Times New Roman" w:hAnsi="Arial" w:cs="Times New Roman"/>
          <w:sz w:val="24"/>
          <w:szCs w:val="24"/>
          <w:lang w:val="en-US" w:eastAsia="en-CA"/>
        </w:rPr>
        <w:t xml:space="preserve"> the OA citation advantage is </w:t>
      </w:r>
      <w:r w:rsidR="00463843">
        <w:rPr>
          <w:rFonts w:ascii="Arial" w:eastAsia="Times New Roman" w:hAnsi="Arial" w:cs="Times New Roman"/>
          <w:sz w:val="24"/>
          <w:szCs w:val="24"/>
          <w:lang w:val="en-US" w:eastAsia="en-CA"/>
        </w:rPr>
        <w:t xml:space="preserve">still </w:t>
      </w:r>
      <w:r w:rsidR="00715B7B" w:rsidRPr="005623CE">
        <w:rPr>
          <w:rFonts w:ascii="Arial" w:eastAsia="Times New Roman" w:hAnsi="Arial" w:cs="Times New Roman"/>
          <w:sz w:val="24"/>
          <w:szCs w:val="24"/>
          <w:lang w:val="en-US" w:eastAsia="en-CA"/>
        </w:rPr>
        <w:t>present, though smaller in size, even for papers that are OA because OA self-archiving was mandatory, rather than just author self-selection; Gargouri et al 2012</w:t>
      </w:r>
      <w:r w:rsidR="007B494B">
        <w:rPr>
          <w:rFonts w:ascii="Arial" w:eastAsia="Times New Roman" w:hAnsi="Arial" w:cs="Times New Roman"/>
          <w:sz w:val="24"/>
          <w:szCs w:val="24"/>
          <w:lang w:val="en-US" w:eastAsia="en-CA"/>
        </w:rPr>
        <w:t>a</w:t>
      </w:r>
      <w:r w:rsidR="00715B7B" w:rsidRPr="005623CE">
        <w:rPr>
          <w:rFonts w:ascii="Arial" w:eastAsia="Times New Roman" w:hAnsi="Arial" w:cs="Times New Roman"/>
          <w:sz w:val="24"/>
          <w:szCs w:val="24"/>
          <w:lang w:val="en-US" w:eastAsia="en-CA"/>
        </w:rPr>
        <w:t>.)</w:t>
      </w:r>
    </w:p>
    <w:p w:rsidR="00D80739" w:rsidRPr="005623CE" w:rsidRDefault="002A5D5B" w:rsidP="00BE19E2">
      <w:pPr>
        <w:rPr>
          <w:rFonts w:ascii="Arial" w:eastAsia="Times New Roman" w:hAnsi="Arial" w:cs="Times New Roman"/>
          <w:sz w:val="24"/>
          <w:szCs w:val="24"/>
          <w:lang w:eastAsia="en-CA"/>
        </w:rPr>
      </w:pPr>
      <w:r w:rsidRPr="005623CE">
        <w:rPr>
          <w:rFonts w:ascii="Arial" w:eastAsia="Times New Roman" w:hAnsi="Arial" w:cs="Times New Roman"/>
          <w:noProof/>
          <w:sz w:val="24"/>
          <w:szCs w:val="24"/>
          <w:lang w:val="en-US"/>
        </w:rPr>
        <w:drawing>
          <wp:inline distT="0" distB="0" distL="0" distR="0">
            <wp:extent cx="5487447" cy="3526971"/>
            <wp:effectExtent l="19050" t="0" r="0" b="0"/>
            <wp:docPr id="4" name="Picture 3" descr="OAhep-ad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hep-adv.jpg"/>
                    <pic:cNvPicPr/>
                  </pic:nvPicPr>
                  <pic:blipFill>
                    <a:blip r:embed="rId29" cstate="print"/>
                    <a:srcRect b="8589"/>
                    <a:stretch>
                      <a:fillRect/>
                    </a:stretch>
                  </pic:blipFill>
                  <pic:spPr>
                    <a:xfrm>
                      <a:off x="0" y="0"/>
                      <a:ext cx="5487447" cy="3526971"/>
                    </a:xfrm>
                    <a:prstGeom prst="rect">
                      <a:avLst/>
                    </a:prstGeom>
                  </pic:spPr>
                </pic:pic>
              </a:graphicData>
            </a:graphic>
          </wp:inline>
        </w:drawing>
      </w:r>
    </w:p>
    <w:p w:rsidR="00E64AE7" w:rsidRDefault="004D1884" w:rsidP="00BE66F7">
      <w:pPr>
        <w:ind w:left="720"/>
        <w:jc w:val="both"/>
        <w:rPr>
          <w:rFonts w:ascii="Arial" w:eastAsia="Times New Roman" w:hAnsi="Arial" w:cs="Times New Roman"/>
          <w:sz w:val="24"/>
          <w:szCs w:val="24"/>
          <w:lang w:eastAsia="en-CA"/>
        </w:rPr>
      </w:pPr>
      <w:r w:rsidRPr="005623CE">
        <w:rPr>
          <w:rFonts w:ascii="Arial" w:eastAsia="Times New Roman" w:hAnsi="Arial" w:cs="Times New Roman"/>
          <w:b/>
          <w:sz w:val="24"/>
          <w:szCs w:val="24"/>
          <w:lang w:eastAsia="en-CA"/>
        </w:rPr>
        <w:t>Figure 5</w:t>
      </w:r>
      <w:r w:rsidR="00D80739" w:rsidRPr="005623CE">
        <w:rPr>
          <w:rFonts w:ascii="Arial" w:eastAsia="Times New Roman" w:hAnsi="Arial" w:cs="Times New Roman"/>
          <w:b/>
          <w:sz w:val="24"/>
          <w:szCs w:val="24"/>
          <w:lang w:eastAsia="en-CA"/>
        </w:rPr>
        <w:t xml:space="preserve">. Citation growth for papers made OA earlier (Green) vs. later (red). </w:t>
      </w:r>
      <w:r w:rsidR="00D80739" w:rsidRPr="005623CE">
        <w:rPr>
          <w:rFonts w:ascii="Arial" w:eastAsia="Times New Roman" w:hAnsi="Arial" w:cs="Times New Roman"/>
          <w:sz w:val="24"/>
          <w:szCs w:val="24"/>
          <w:lang w:eastAsia="en-CA"/>
        </w:rPr>
        <w:t xml:space="preserve">Note that the red curve never catches up with the green curve. </w:t>
      </w:r>
      <w:r w:rsidR="00F2235E" w:rsidRPr="005623CE">
        <w:rPr>
          <w:rFonts w:ascii="Arial" w:eastAsia="Times New Roman" w:hAnsi="Arial" w:cs="Times New Roman"/>
          <w:sz w:val="24"/>
          <w:szCs w:val="24"/>
          <w:lang w:eastAsia="en-CA"/>
        </w:rPr>
        <w:t>(Figure and data from Gentil-Beccot et al 2010.)</w:t>
      </w:r>
    </w:p>
    <w:p w:rsidR="00E22B76" w:rsidRPr="005623CE" w:rsidRDefault="00E22B76" w:rsidP="00BE66F7">
      <w:pPr>
        <w:ind w:left="720"/>
        <w:jc w:val="both"/>
        <w:rPr>
          <w:rFonts w:ascii="Arial" w:eastAsia="Times New Roman" w:hAnsi="Arial" w:cs="Times New Roman"/>
          <w:sz w:val="24"/>
          <w:szCs w:val="24"/>
          <w:lang w:eastAsia="en-CA"/>
        </w:rPr>
      </w:pPr>
    </w:p>
    <w:p w:rsidR="003662A3" w:rsidRPr="004201B0" w:rsidRDefault="00BE66F7" w:rsidP="00BE66F7">
      <w:pPr>
        <w:jc w:val="both"/>
        <w:rPr>
          <w:rFonts w:ascii="Arial" w:eastAsia="Times New Roman" w:hAnsi="Arial" w:cs="Times New Roman"/>
          <w:sz w:val="24"/>
          <w:szCs w:val="24"/>
          <w:lang w:eastAsia="en-CA"/>
        </w:rPr>
      </w:pPr>
      <w:r w:rsidRPr="00BE66F7">
        <w:rPr>
          <w:rFonts w:ascii="Arial" w:eastAsia="Times New Roman" w:hAnsi="Arial" w:cs="Times New Roman"/>
          <w:b/>
          <w:sz w:val="24"/>
          <w:szCs w:val="24"/>
          <w:lang w:val="en-US" w:eastAsia="en-CA"/>
        </w:rPr>
        <w:t>6. The OA Citation Advantage.</w:t>
      </w:r>
      <w:r>
        <w:rPr>
          <w:rFonts w:ascii="Arial" w:eastAsia="Times New Roman" w:hAnsi="Arial" w:cs="Times New Roman"/>
          <w:sz w:val="24"/>
          <w:szCs w:val="24"/>
          <w:lang w:val="en-US" w:eastAsia="en-CA"/>
        </w:rPr>
        <w:t xml:space="preserve"> </w:t>
      </w:r>
      <w:r w:rsidR="003662A3">
        <w:rPr>
          <w:rFonts w:ascii="Arial" w:eastAsia="Times New Roman" w:hAnsi="Arial" w:cs="Times New Roman"/>
          <w:sz w:val="24"/>
          <w:szCs w:val="24"/>
          <w:lang w:val="en-US" w:eastAsia="en-CA"/>
        </w:rPr>
        <w:t xml:space="preserve">Gargouri et al (2010) showed (as </w:t>
      </w:r>
      <w:hyperlink r:id="rId30" w:history="1">
        <w:r w:rsidR="003662A3" w:rsidRPr="003662A3">
          <w:rPr>
            <w:rStyle w:val="Hyperlink"/>
            <w:rFonts w:ascii="Arial" w:eastAsia="Times New Roman" w:hAnsi="Arial" w:cs="Times New Roman"/>
            <w:sz w:val="24"/>
            <w:szCs w:val="24"/>
            <w:lang w:val="en-US" w:eastAsia="en-CA"/>
          </w:rPr>
          <w:t>many other studies</w:t>
        </w:r>
      </w:hyperlink>
      <w:r w:rsidR="003662A3">
        <w:rPr>
          <w:rFonts w:ascii="Arial" w:eastAsia="Times New Roman" w:hAnsi="Arial" w:cs="Times New Roman"/>
          <w:sz w:val="24"/>
          <w:szCs w:val="24"/>
          <w:lang w:val="en-US" w:eastAsia="en-CA"/>
        </w:rPr>
        <w:t xml:space="preserve"> have shown) that OA articles are cited significantly more than non-OA articles. The comparison was done by a robot that trawled the web using Google and Google Scholar to search for OA versions of all ISI-indexed articles. The citation counts for those articles were then compared to matched control non-OA articles in the same journal and year. For the present study it was not possible to replicate that procedure for Minho (because Google now blocks such robot trawling) so </w:t>
      </w:r>
      <w:r w:rsidR="003662A3" w:rsidRPr="003662A3">
        <w:rPr>
          <w:rFonts w:ascii="Arial" w:eastAsia="Times New Roman" w:hAnsi="Arial" w:cs="Times New Roman"/>
          <w:b/>
          <w:sz w:val="24"/>
          <w:szCs w:val="24"/>
          <w:lang w:val="en-US" w:eastAsia="en-CA"/>
        </w:rPr>
        <w:t>Figure 2c</w:t>
      </w:r>
      <w:r w:rsidR="003662A3">
        <w:rPr>
          <w:rFonts w:ascii="Arial" w:eastAsia="Times New Roman" w:hAnsi="Arial" w:cs="Times New Roman"/>
          <w:sz w:val="24"/>
          <w:szCs w:val="24"/>
          <w:lang w:val="en-US" w:eastAsia="en-CA"/>
        </w:rPr>
        <w:t xml:space="preserve"> and </w:t>
      </w:r>
      <w:r w:rsidR="002E3655">
        <w:rPr>
          <w:rFonts w:ascii="Arial" w:eastAsia="Times New Roman" w:hAnsi="Arial" w:cs="Times New Roman"/>
          <w:b/>
          <w:sz w:val="24"/>
          <w:szCs w:val="24"/>
          <w:lang w:val="en-US" w:eastAsia="en-CA"/>
        </w:rPr>
        <w:t>3c</w:t>
      </w:r>
      <w:r w:rsidR="003662A3">
        <w:rPr>
          <w:rFonts w:ascii="Arial" w:eastAsia="Times New Roman" w:hAnsi="Arial" w:cs="Times New Roman"/>
          <w:sz w:val="24"/>
          <w:szCs w:val="24"/>
          <w:lang w:val="en-US" w:eastAsia="en-CA"/>
        </w:rPr>
        <w:t xml:space="preserve"> only compares the citation counts for PA, RA and non-deposited articles. The meaningfulness of this comparison is very limited, because there is no matching between OA and non-OA citation counts, but </w:t>
      </w:r>
      <w:r w:rsidR="007B494B">
        <w:rPr>
          <w:rFonts w:ascii="Arial" w:eastAsia="Times New Roman" w:hAnsi="Arial" w:cs="Times New Roman"/>
          <w:sz w:val="24"/>
          <w:szCs w:val="24"/>
          <w:lang w:val="en-US" w:eastAsia="en-CA"/>
        </w:rPr>
        <w:t xml:space="preserve">two interesting trends are worth noting: Despite all the uncontrolled confounding factors, Minho’s PA articles tend to have higher citation counts than non-OA articles, with the prominent exception of biomedical articles and physics articles. For the physics articles this is almost certainly because most of the non-deposited ones are in fact deposited in Arxiv, hence OA. And a significant portion of the biomedical articles are probably in “Gold” OA journals </w:t>
      </w:r>
      <w:r w:rsidR="004201B0">
        <w:rPr>
          <w:rFonts w:ascii="Arial" w:eastAsia="Times New Roman" w:hAnsi="Arial" w:cs="Times New Roman"/>
          <w:sz w:val="24"/>
          <w:szCs w:val="24"/>
          <w:lang w:val="en-US" w:eastAsia="en-CA"/>
        </w:rPr>
        <w:t>(Gargouri et al 2012b)</w:t>
      </w:r>
      <w:r w:rsidR="007B494B">
        <w:rPr>
          <w:rFonts w:ascii="Arial" w:eastAsia="Times New Roman" w:hAnsi="Arial" w:cs="Times New Roman"/>
          <w:sz w:val="24"/>
          <w:szCs w:val="24"/>
          <w:lang w:val="en-US" w:eastAsia="en-CA"/>
        </w:rPr>
        <w:t>, which are likewise not deposited, but OA. Other non-deposited Minho articles may also be OA, elsewhere on the Web.</w:t>
      </w:r>
      <w:r w:rsidR="004201B0">
        <w:rPr>
          <w:rFonts w:ascii="Arial" w:eastAsia="Times New Roman" w:hAnsi="Arial" w:cs="Times New Roman"/>
          <w:sz w:val="24"/>
          <w:szCs w:val="24"/>
          <w:lang w:val="en-US" w:eastAsia="en-CA"/>
        </w:rPr>
        <w:t xml:space="preserve"> Minho’s 2011 upgrade to the Li</w:t>
      </w:r>
      <w:r w:rsidR="004201B0">
        <w:rPr>
          <w:rFonts w:ascii="Arial" w:eastAsia="Times New Roman" w:hAnsi="Arial" w:cs="Times New Roman"/>
          <w:sz w:val="24"/>
          <w:szCs w:val="24"/>
          <w:lang w:eastAsia="en-CA"/>
        </w:rPr>
        <w:t>ège model mandate should now be ensuring a much higher percentage deposit, which should in turn be increasingly reflected in a citation advantage even for the raw comparison between PA deposits and non-deposited articles. This citation advantage should also be increased by the earlier depositing induced by Minho’s 2011 upgrade to the Liège model.</w:t>
      </w:r>
    </w:p>
    <w:p w:rsidR="00715B7B" w:rsidRDefault="00346514" w:rsidP="00BE66F7">
      <w:pPr>
        <w:jc w:val="both"/>
        <w:rPr>
          <w:rFonts w:ascii="Arial" w:eastAsia="Times New Roman" w:hAnsi="Arial" w:cs="Times New Roman"/>
          <w:sz w:val="24"/>
          <w:szCs w:val="24"/>
          <w:lang w:val="en-US" w:eastAsia="en-CA"/>
        </w:rPr>
      </w:pPr>
      <w:r>
        <w:rPr>
          <w:rFonts w:ascii="Arial" w:eastAsia="Times New Roman" w:hAnsi="Arial" w:cs="Times New Roman"/>
          <w:sz w:val="24"/>
          <w:szCs w:val="24"/>
          <w:lang w:val="en-US" w:eastAsia="en-CA"/>
        </w:rPr>
        <w:t>Because of the importance of</w:t>
      </w:r>
      <w:r w:rsidR="004201B0">
        <w:rPr>
          <w:rFonts w:ascii="Arial" w:eastAsia="Times New Roman" w:hAnsi="Arial" w:cs="Times New Roman"/>
          <w:sz w:val="24"/>
          <w:szCs w:val="24"/>
          <w:lang w:val="en-US" w:eastAsia="en-CA"/>
        </w:rPr>
        <w:t xml:space="preserve"> </w:t>
      </w:r>
      <w:r w:rsidR="00F2235E" w:rsidRPr="005623CE">
        <w:rPr>
          <w:rFonts w:ascii="Arial" w:eastAsia="Times New Roman" w:hAnsi="Arial" w:cs="Times New Roman"/>
          <w:sz w:val="24"/>
          <w:szCs w:val="24"/>
          <w:lang w:val="en-US" w:eastAsia="en-CA"/>
        </w:rPr>
        <w:t>early access</w:t>
      </w:r>
      <w:r w:rsidR="007B494B">
        <w:rPr>
          <w:rFonts w:ascii="Arial" w:eastAsia="Times New Roman" w:hAnsi="Arial" w:cs="Times New Roman"/>
          <w:sz w:val="24"/>
          <w:szCs w:val="24"/>
          <w:lang w:val="en-US" w:eastAsia="en-CA"/>
        </w:rPr>
        <w:t xml:space="preserve"> </w:t>
      </w:r>
      <w:r>
        <w:rPr>
          <w:rFonts w:ascii="Arial" w:eastAsia="Times New Roman" w:hAnsi="Arial" w:cs="Times New Roman"/>
          <w:sz w:val="24"/>
          <w:szCs w:val="24"/>
          <w:lang w:val="en-US" w:eastAsia="en-CA"/>
        </w:rPr>
        <w:t>for</w:t>
      </w:r>
      <w:r w:rsidR="007B494B">
        <w:rPr>
          <w:rFonts w:ascii="Arial" w:eastAsia="Times New Roman" w:hAnsi="Arial" w:cs="Times New Roman"/>
          <w:sz w:val="24"/>
          <w:szCs w:val="24"/>
          <w:lang w:val="en-US" w:eastAsia="en-CA"/>
        </w:rPr>
        <w:t xml:space="preserve"> research </w:t>
      </w:r>
      <w:r>
        <w:rPr>
          <w:rFonts w:ascii="Arial" w:eastAsia="Times New Roman" w:hAnsi="Arial" w:cs="Times New Roman"/>
          <w:sz w:val="24"/>
          <w:szCs w:val="24"/>
          <w:lang w:val="en-US" w:eastAsia="en-CA"/>
        </w:rPr>
        <w:t xml:space="preserve">uptake and </w:t>
      </w:r>
      <w:r w:rsidR="004201B0">
        <w:rPr>
          <w:rFonts w:ascii="Arial" w:eastAsia="Times New Roman" w:hAnsi="Arial" w:cs="Times New Roman"/>
          <w:sz w:val="24"/>
          <w:szCs w:val="24"/>
          <w:lang w:val="en-US" w:eastAsia="en-CA"/>
        </w:rPr>
        <w:t xml:space="preserve">citation </w:t>
      </w:r>
      <w:r w:rsidR="007B494B">
        <w:rPr>
          <w:rFonts w:ascii="Arial" w:eastAsia="Times New Roman" w:hAnsi="Arial" w:cs="Times New Roman"/>
          <w:sz w:val="24"/>
          <w:szCs w:val="24"/>
          <w:lang w:val="en-US" w:eastAsia="en-CA"/>
        </w:rPr>
        <w:t>impact</w:t>
      </w:r>
      <w:r w:rsidR="00715B7B" w:rsidRPr="005623CE">
        <w:rPr>
          <w:rFonts w:ascii="Arial" w:eastAsia="Times New Roman" w:hAnsi="Arial" w:cs="Times New Roman"/>
          <w:sz w:val="24"/>
          <w:szCs w:val="24"/>
          <w:lang w:val="en-US" w:eastAsia="en-CA"/>
        </w:rPr>
        <w:t xml:space="preserve">, </w:t>
      </w:r>
      <w:r w:rsidR="004201B0">
        <w:rPr>
          <w:rFonts w:ascii="Arial" w:eastAsia="Times New Roman" w:hAnsi="Arial" w:cs="Times New Roman"/>
          <w:sz w:val="24"/>
          <w:szCs w:val="24"/>
          <w:lang w:val="en-US" w:eastAsia="en-CA"/>
        </w:rPr>
        <w:t xml:space="preserve">it is is important to analyze </w:t>
      </w:r>
      <w:r w:rsidR="00715B7B" w:rsidRPr="005623CE">
        <w:rPr>
          <w:rFonts w:ascii="Arial" w:eastAsia="Times New Roman" w:hAnsi="Arial" w:cs="Times New Roman"/>
          <w:sz w:val="24"/>
          <w:szCs w:val="24"/>
          <w:lang w:val="en-US" w:eastAsia="en-CA"/>
        </w:rPr>
        <w:t xml:space="preserve">the </w:t>
      </w:r>
      <w:r w:rsidR="00715B7B" w:rsidRPr="00463843">
        <w:rPr>
          <w:rFonts w:ascii="Arial" w:eastAsia="Times New Roman" w:hAnsi="Arial" w:cs="Times New Roman"/>
          <w:i/>
          <w:sz w:val="24"/>
          <w:szCs w:val="24"/>
          <w:lang w:val="en-US" w:eastAsia="en-CA"/>
        </w:rPr>
        <w:t>timing</w:t>
      </w:r>
      <w:r w:rsidR="00715B7B" w:rsidRPr="005623CE">
        <w:rPr>
          <w:rFonts w:ascii="Arial" w:eastAsia="Times New Roman" w:hAnsi="Arial" w:cs="Times New Roman"/>
          <w:sz w:val="24"/>
          <w:szCs w:val="24"/>
          <w:lang w:val="en-US" w:eastAsia="en-CA"/>
        </w:rPr>
        <w:t xml:space="preserve"> of deposit: PA a year or more after publication is not OA but </w:t>
      </w:r>
      <w:r w:rsidR="00D56B31" w:rsidRPr="00463843">
        <w:rPr>
          <w:rFonts w:ascii="Arial" w:eastAsia="Times New Roman" w:hAnsi="Arial" w:cs="Times New Roman"/>
          <w:i/>
          <w:sz w:val="24"/>
          <w:szCs w:val="24"/>
          <w:lang w:val="en-US" w:eastAsia="en-CA"/>
        </w:rPr>
        <w:t>delayed acces</w:t>
      </w:r>
      <w:r w:rsidR="00F2235E" w:rsidRPr="00463843">
        <w:rPr>
          <w:rFonts w:ascii="Arial" w:eastAsia="Times New Roman" w:hAnsi="Arial" w:cs="Times New Roman"/>
          <w:i/>
          <w:sz w:val="24"/>
          <w:szCs w:val="24"/>
          <w:lang w:val="en-US" w:eastAsia="en-CA"/>
        </w:rPr>
        <w:t>s</w:t>
      </w:r>
      <w:r w:rsidR="00D56B31" w:rsidRPr="005623CE">
        <w:rPr>
          <w:rFonts w:ascii="Arial" w:eastAsia="Times New Roman" w:hAnsi="Arial" w:cs="Times New Roman"/>
          <w:sz w:val="24"/>
          <w:szCs w:val="24"/>
          <w:lang w:val="en-US" w:eastAsia="en-CA"/>
        </w:rPr>
        <w:t xml:space="preserve">, </w:t>
      </w:r>
      <w:r w:rsidR="00715B7B" w:rsidRPr="005623CE">
        <w:rPr>
          <w:rFonts w:ascii="Arial" w:eastAsia="Times New Roman" w:hAnsi="Arial" w:cs="Times New Roman"/>
          <w:sz w:val="24"/>
          <w:szCs w:val="24"/>
          <w:lang w:val="en-US" w:eastAsia="en-CA"/>
        </w:rPr>
        <w:t>DA, and less likely to contribute to research progress and impact, especially in fast-moving fields</w:t>
      </w:r>
      <w:r w:rsidR="00D56B31" w:rsidRPr="005623CE">
        <w:rPr>
          <w:rFonts w:ascii="Arial" w:eastAsia="Times New Roman" w:hAnsi="Arial" w:cs="Times New Roman"/>
          <w:sz w:val="24"/>
          <w:szCs w:val="24"/>
          <w:lang w:val="en-US" w:eastAsia="en-CA"/>
        </w:rPr>
        <w:t>.</w:t>
      </w:r>
    </w:p>
    <w:p w:rsidR="00E22B76" w:rsidRPr="007B494B" w:rsidRDefault="00E22B76" w:rsidP="00BE66F7">
      <w:pPr>
        <w:jc w:val="both"/>
        <w:rPr>
          <w:rFonts w:ascii="Arial" w:eastAsia="Times New Roman" w:hAnsi="Arial" w:cs="Times New Roman"/>
          <w:sz w:val="24"/>
          <w:szCs w:val="24"/>
          <w:lang w:val="en-US" w:eastAsia="en-CA"/>
        </w:rPr>
      </w:pPr>
    </w:p>
    <w:p w:rsidR="00905D69" w:rsidRDefault="00BE66F7" w:rsidP="00E22B76">
      <w:pPr>
        <w:jc w:val="both"/>
        <w:rPr>
          <w:rFonts w:ascii="Arial" w:eastAsia="Times New Roman" w:hAnsi="Arial" w:cs="Times New Roman"/>
          <w:sz w:val="24"/>
          <w:szCs w:val="24"/>
          <w:lang w:eastAsia="en-CA"/>
        </w:rPr>
      </w:pPr>
      <w:r w:rsidRPr="001170A3">
        <w:rPr>
          <w:rFonts w:ascii="Arial" w:eastAsia="Times New Roman" w:hAnsi="Arial" w:cs="Times New Roman"/>
          <w:b/>
          <w:sz w:val="24"/>
          <w:szCs w:val="24"/>
          <w:lang w:val="en-US" w:eastAsia="en-CA"/>
        </w:rPr>
        <w:t>7. Deposit Delay</w:t>
      </w:r>
      <w:r w:rsidRPr="001170A3">
        <w:rPr>
          <w:rFonts w:ascii="Arial" w:eastAsia="Times New Roman" w:hAnsi="Arial" w:cs="Times New Roman"/>
          <w:sz w:val="24"/>
          <w:szCs w:val="24"/>
          <w:lang w:val="en-US" w:eastAsia="en-CA"/>
        </w:rPr>
        <w:t xml:space="preserve">. </w:t>
      </w:r>
      <w:r w:rsidR="00782619" w:rsidRPr="001170A3">
        <w:rPr>
          <w:rFonts w:ascii="Arial" w:eastAsia="Times New Roman" w:hAnsi="Arial" w:cs="Times New Roman"/>
          <w:sz w:val="24"/>
          <w:szCs w:val="24"/>
          <w:lang w:val="en-US" w:eastAsia="en-CA"/>
        </w:rPr>
        <w:t xml:space="preserve">By subtracting </w:t>
      </w:r>
      <w:r w:rsidR="00463843" w:rsidRPr="001170A3">
        <w:rPr>
          <w:rFonts w:ascii="Arial" w:eastAsia="Times New Roman" w:hAnsi="Arial" w:cs="Times New Roman"/>
          <w:sz w:val="24"/>
          <w:szCs w:val="24"/>
          <w:lang w:val="en-US" w:eastAsia="en-CA"/>
        </w:rPr>
        <w:t>the date articles were published (</w:t>
      </w:r>
      <w:r w:rsidR="00782619" w:rsidRPr="001170A3">
        <w:rPr>
          <w:rFonts w:ascii="Arial" w:eastAsia="Times New Roman" w:hAnsi="Arial" w:cs="Times New Roman"/>
          <w:sz w:val="24"/>
          <w:szCs w:val="24"/>
          <w:lang w:val="en-US" w:eastAsia="en-CA"/>
        </w:rPr>
        <w:t>as indicated by ISI</w:t>
      </w:r>
      <w:r w:rsidR="00463843" w:rsidRPr="001170A3">
        <w:rPr>
          <w:rFonts w:ascii="Arial" w:eastAsia="Times New Roman" w:hAnsi="Arial" w:cs="Times New Roman"/>
          <w:sz w:val="24"/>
          <w:szCs w:val="24"/>
          <w:lang w:val="en-US" w:eastAsia="en-CA"/>
        </w:rPr>
        <w:t>)</w:t>
      </w:r>
      <w:r w:rsidR="00782619" w:rsidRPr="001170A3">
        <w:rPr>
          <w:rFonts w:ascii="Arial" w:eastAsia="Times New Roman" w:hAnsi="Arial" w:cs="Times New Roman"/>
          <w:sz w:val="24"/>
          <w:szCs w:val="24"/>
          <w:lang w:val="en-US" w:eastAsia="en-CA"/>
        </w:rPr>
        <w:t xml:space="preserve"> from </w:t>
      </w:r>
      <w:r w:rsidR="00463843" w:rsidRPr="001170A3">
        <w:rPr>
          <w:rFonts w:ascii="Arial" w:eastAsia="Times New Roman" w:hAnsi="Arial" w:cs="Times New Roman"/>
          <w:sz w:val="24"/>
          <w:szCs w:val="24"/>
          <w:lang w:val="en-US" w:eastAsia="en-CA"/>
        </w:rPr>
        <w:t>the date they were published (</w:t>
      </w:r>
      <w:r w:rsidR="00782619" w:rsidRPr="001170A3">
        <w:rPr>
          <w:rFonts w:ascii="Arial" w:eastAsia="Times New Roman" w:hAnsi="Arial" w:cs="Times New Roman"/>
          <w:sz w:val="24"/>
          <w:szCs w:val="24"/>
          <w:lang w:val="en-US" w:eastAsia="en-CA"/>
        </w:rPr>
        <w:t>as indicated by Minho</w:t>
      </w:r>
      <w:r w:rsidR="00782619" w:rsidRPr="005623CE">
        <w:rPr>
          <w:rFonts w:ascii="Arial" w:eastAsia="Times New Roman" w:hAnsi="Arial" w:cs="Times New Roman"/>
          <w:sz w:val="24"/>
          <w:szCs w:val="24"/>
          <w:lang w:val="en-US" w:eastAsia="en-CA"/>
        </w:rPr>
        <w:t>’s IR</w:t>
      </w:r>
      <w:r w:rsidR="00463843">
        <w:rPr>
          <w:rFonts w:ascii="Arial" w:eastAsia="Times New Roman" w:hAnsi="Arial" w:cs="Times New Roman"/>
          <w:sz w:val="24"/>
          <w:szCs w:val="24"/>
          <w:lang w:val="en-US" w:eastAsia="en-CA"/>
        </w:rPr>
        <w:t>)</w:t>
      </w:r>
      <w:r w:rsidR="00782619" w:rsidRPr="001170A3">
        <w:rPr>
          <w:rFonts w:ascii="Arial" w:eastAsia="Times New Roman" w:hAnsi="Arial" w:cs="Times New Roman"/>
          <w:sz w:val="24"/>
          <w:szCs w:val="24"/>
          <w:lang w:val="en-US" w:eastAsia="en-CA"/>
        </w:rPr>
        <w:t xml:space="preserve">, we calculated the average deposit delay in months. </w:t>
      </w:r>
      <w:r w:rsidR="00782619" w:rsidRPr="001170A3">
        <w:rPr>
          <w:rFonts w:ascii="Arial" w:eastAsia="Times New Roman" w:hAnsi="Arial" w:cs="Times New Roman"/>
          <w:b/>
          <w:sz w:val="24"/>
          <w:szCs w:val="24"/>
          <w:lang w:val="en-US" w:eastAsia="en-CA"/>
        </w:rPr>
        <w:t xml:space="preserve">Figure </w:t>
      </w:r>
      <w:r w:rsidR="004D1884" w:rsidRPr="001170A3">
        <w:rPr>
          <w:rFonts w:ascii="Arial" w:eastAsia="Times New Roman" w:hAnsi="Arial" w:cs="Times New Roman"/>
          <w:b/>
          <w:sz w:val="24"/>
          <w:szCs w:val="24"/>
          <w:lang w:val="en-US" w:eastAsia="en-CA"/>
        </w:rPr>
        <w:t>2</w:t>
      </w:r>
      <w:r w:rsidR="002E3655" w:rsidRPr="001170A3">
        <w:rPr>
          <w:rFonts w:ascii="Arial" w:eastAsia="Times New Roman" w:hAnsi="Arial" w:cs="Times New Roman"/>
          <w:b/>
          <w:sz w:val="24"/>
          <w:szCs w:val="24"/>
          <w:lang w:val="en-US" w:eastAsia="en-CA"/>
        </w:rPr>
        <w:t>b</w:t>
      </w:r>
      <w:r w:rsidR="00782619" w:rsidRPr="001170A3">
        <w:rPr>
          <w:rFonts w:ascii="Arial" w:eastAsia="Times New Roman" w:hAnsi="Arial" w:cs="Times New Roman"/>
          <w:b/>
          <w:sz w:val="24"/>
          <w:szCs w:val="24"/>
          <w:lang w:val="en-US" w:eastAsia="en-CA"/>
        </w:rPr>
        <w:t xml:space="preserve"> </w:t>
      </w:r>
      <w:r w:rsidR="00463843" w:rsidRPr="001170A3">
        <w:rPr>
          <w:rFonts w:ascii="Arial" w:eastAsia="Times New Roman" w:hAnsi="Arial" w:cs="Times New Roman"/>
          <w:b/>
          <w:sz w:val="24"/>
          <w:szCs w:val="24"/>
          <w:lang w:val="en-US" w:eastAsia="en-CA"/>
        </w:rPr>
        <w:t>(</w:t>
      </w:r>
      <w:r w:rsidR="00782619" w:rsidRPr="001170A3">
        <w:rPr>
          <w:rFonts w:ascii="Arial" w:eastAsia="Times New Roman" w:hAnsi="Arial" w:cs="Times New Roman"/>
          <w:b/>
          <w:sz w:val="24"/>
          <w:szCs w:val="24"/>
          <w:lang w:val="en-US" w:eastAsia="en-CA"/>
        </w:rPr>
        <w:t>&amp; Table</w:t>
      </w:r>
      <w:r w:rsidR="002E3655" w:rsidRPr="001170A3">
        <w:rPr>
          <w:rFonts w:ascii="Arial" w:eastAsia="Times New Roman" w:hAnsi="Arial" w:cs="Times New Roman"/>
          <w:b/>
          <w:sz w:val="24"/>
          <w:szCs w:val="24"/>
          <w:lang w:val="en-US" w:eastAsia="en-CA"/>
        </w:rPr>
        <w:t xml:space="preserve"> 2, Appendix 1)</w:t>
      </w:r>
      <w:r w:rsidR="004D1884" w:rsidRPr="001170A3">
        <w:rPr>
          <w:rFonts w:ascii="Arial" w:eastAsia="Times New Roman" w:hAnsi="Arial" w:cs="Times New Roman"/>
          <w:sz w:val="24"/>
          <w:szCs w:val="24"/>
          <w:lang w:val="en-US" w:eastAsia="en-CA"/>
        </w:rPr>
        <w:t xml:space="preserve"> </w:t>
      </w:r>
      <w:r w:rsidR="00782619" w:rsidRPr="001170A3">
        <w:rPr>
          <w:rFonts w:ascii="Arial" w:eastAsia="Times New Roman" w:hAnsi="Arial" w:cs="Times New Roman"/>
          <w:sz w:val="24"/>
          <w:szCs w:val="24"/>
          <w:lang w:val="en-US" w:eastAsia="en-CA"/>
        </w:rPr>
        <w:t>show that across the entire span of 2004-2012</w:t>
      </w:r>
      <w:r w:rsidR="00463843" w:rsidRPr="001170A3">
        <w:rPr>
          <w:rFonts w:ascii="Arial" w:eastAsia="Times New Roman" w:hAnsi="Arial" w:cs="Times New Roman"/>
          <w:sz w:val="24"/>
          <w:szCs w:val="24"/>
          <w:lang w:val="en-US" w:eastAsia="en-CA"/>
        </w:rPr>
        <w:t>,</w:t>
      </w:r>
      <w:r w:rsidR="00782619" w:rsidRPr="001170A3">
        <w:rPr>
          <w:rFonts w:ascii="Arial" w:eastAsia="Times New Roman" w:hAnsi="Arial" w:cs="Times New Roman"/>
          <w:sz w:val="24"/>
          <w:szCs w:val="24"/>
          <w:lang w:val="en-US" w:eastAsia="en-CA"/>
        </w:rPr>
        <w:t xml:space="preserve"> </w:t>
      </w:r>
      <w:r w:rsidR="00463843" w:rsidRPr="001170A3">
        <w:rPr>
          <w:rFonts w:ascii="Arial" w:eastAsia="Times New Roman" w:hAnsi="Arial" w:cs="Times New Roman"/>
          <w:sz w:val="24"/>
          <w:szCs w:val="24"/>
          <w:lang w:val="en-US" w:eastAsia="en-CA"/>
        </w:rPr>
        <w:t xml:space="preserve">the </w:t>
      </w:r>
      <w:r w:rsidR="00782619" w:rsidRPr="001170A3">
        <w:rPr>
          <w:rFonts w:ascii="Arial" w:eastAsia="Times New Roman" w:hAnsi="Arial" w:cs="Times New Roman"/>
          <w:sz w:val="24"/>
          <w:szCs w:val="24"/>
          <w:lang w:val="en-US" w:eastAsia="en-CA"/>
        </w:rPr>
        <w:t xml:space="preserve">average delay </w:t>
      </w:r>
      <w:r w:rsidR="00463843" w:rsidRPr="001170A3">
        <w:rPr>
          <w:rFonts w:ascii="Arial" w:eastAsia="Times New Roman" w:hAnsi="Arial" w:cs="Times New Roman"/>
          <w:sz w:val="24"/>
          <w:szCs w:val="24"/>
          <w:lang w:val="en-US" w:eastAsia="en-CA"/>
        </w:rPr>
        <w:t>for PA deposits was</w:t>
      </w:r>
      <w:r w:rsidR="00782619" w:rsidRPr="001170A3">
        <w:rPr>
          <w:rFonts w:ascii="Arial" w:eastAsia="Times New Roman" w:hAnsi="Arial" w:cs="Times New Roman"/>
          <w:sz w:val="24"/>
          <w:szCs w:val="24"/>
          <w:lang w:val="en-US" w:eastAsia="en-CA"/>
        </w:rPr>
        <w:t xml:space="preserve"> about 12 months (varying from 1 week before publication for Health to 16 months after publication for Engineering &amp; Technology)</w:t>
      </w:r>
      <w:r w:rsidR="00905D69" w:rsidRPr="001170A3">
        <w:rPr>
          <w:rFonts w:ascii="Arial" w:eastAsia="Times New Roman" w:hAnsi="Arial" w:cs="Times New Roman"/>
          <w:sz w:val="24"/>
          <w:szCs w:val="24"/>
          <w:lang w:val="en-US" w:eastAsia="en-CA"/>
        </w:rPr>
        <w:t>.</w:t>
      </w:r>
      <w:r w:rsidR="00782619" w:rsidRPr="001170A3">
        <w:rPr>
          <w:rFonts w:ascii="Arial" w:eastAsia="Times New Roman" w:hAnsi="Arial" w:cs="Times New Roman"/>
          <w:sz w:val="24"/>
          <w:szCs w:val="24"/>
          <w:lang w:val="en-US" w:eastAsia="en-CA"/>
        </w:rPr>
        <w:t xml:space="preserve"> </w:t>
      </w:r>
      <w:r w:rsidR="00905D69" w:rsidRPr="001170A3">
        <w:rPr>
          <w:rFonts w:ascii="Arial" w:eastAsia="Times New Roman" w:hAnsi="Arial" w:cs="Times New Roman"/>
          <w:sz w:val="24"/>
          <w:szCs w:val="24"/>
          <w:lang w:val="en-US" w:eastAsia="en-CA"/>
        </w:rPr>
        <w:t>F</w:t>
      </w:r>
      <w:r w:rsidR="00782619" w:rsidRPr="001170A3">
        <w:rPr>
          <w:rFonts w:ascii="Arial" w:eastAsia="Times New Roman" w:hAnsi="Arial" w:cs="Times New Roman"/>
          <w:sz w:val="24"/>
          <w:szCs w:val="24"/>
          <w:lang w:val="en-US" w:eastAsia="en-CA"/>
        </w:rPr>
        <w:t>or RA deposits</w:t>
      </w:r>
      <w:r w:rsidR="00905D69" w:rsidRPr="001170A3">
        <w:rPr>
          <w:rFonts w:ascii="Arial" w:eastAsia="Times New Roman" w:hAnsi="Arial" w:cs="Times New Roman"/>
          <w:sz w:val="24"/>
          <w:szCs w:val="24"/>
          <w:lang w:val="en-US" w:eastAsia="en-CA"/>
        </w:rPr>
        <w:t xml:space="preserve"> the average delay was15 months</w:t>
      </w:r>
      <w:r w:rsidR="00782619" w:rsidRPr="001170A3">
        <w:rPr>
          <w:rFonts w:ascii="Arial" w:eastAsia="Times New Roman" w:hAnsi="Arial" w:cs="Times New Roman"/>
          <w:sz w:val="24"/>
          <w:szCs w:val="24"/>
          <w:lang w:val="en-US" w:eastAsia="en-CA"/>
        </w:rPr>
        <w:t xml:space="preserve"> (from 5 months for Mathematics to 25 months for Chemistry). </w:t>
      </w:r>
    </w:p>
    <w:p w:rsidR="00905D69" w:rsidRPr="001170A3" w:rsidRDefault="006354A2" w:rsidP="001170A3">
      <w:pPr>
        <w:jc w:val="both"/>
        <w:rPr>
          <w:rFonts w:ascii="Arial" w:eastAsia="Times New Roman" w:hAnsi="Arial" w:cs="Times New Roman"/>
          <w:sz w:val="24"/>
          <w:szCs w:val="24"/>
          <w:lang w:val="en-US" w:eastAsia="en-CA"/>
        </w:rPr>
      </w:pPr>
      <w:r w:rsidRPr="001170A3">
        <w:rPr>
          <w:rFonts w:ascii="Arial" w:eastAsia="Times New Roman" w:hAnsi="Arial" w:cs="Times New Roman"/>
          <w:sz w:val="24"/>
          <w:szCs w:val="24"/>
          <w:lang w:val="en-US" w:eastAsia="en-CA"/>
        </w:rPr>
        <w:t xml:space="preserve">Several </w:t>
      </w:r>
      <w:r w:rsidR="00A84CB1" w:rsidRPr="001170A3">
        <w:rPr>
          <w:rFonts w:ascii="Arial" w:eastAsia="Times New Roman" w:hAnsi="Arial" w:cs="Times New Roman"/>
          <w:sz w:val="24"/>
          <w:szCs w:val="24"/>
          <w:lang w:val="en-US" w:eastAsia="en-CA"/>
        </w:rPr>
        <w:t>independent</w:t>
      </w:r>
      <w:r w:rsidRPr="001170A3">
        <w:rPr>
          <w:rFonts w:ascii="Arial" w:eastAsia="Times New Roman" w:hAnsi="Arial" w:cs="Times New Roman"/>
          <w:sz w:val="24"/>
          <w:szCs w:val="24"/>
          <w:lang w:val="en-US" w:eastAsia="en-CA"/>
        </w:rPr>
        <w:t xml:space="preserve"> factors contribute to this time course: (1) When a mandate is f</w:t>
      </w:r>
      <w:r w:rsidR="00905D69" w:rsidRPr="001170A3">
        <w:rPr>
          <w:rFonts w:ascii="Arial" w:eastAsia="Times New Roman" w:hAnsi="Arial" w:cs="Times New Roman"/>
          <w:sz w:val="24"/>
          <w:szCs w:val="24"/>
          <w:lang w:val="en-US" w:eastAsia="en-CA"/>
        </w:rPr>
        <w:t xml:space="preserve">irst adopted, many authors </w:t>
      </w:r>
      <w:r w:rsidRPr="001170A3">
        <w:rPr>
          <w:rFonts w:ascii="Arial" w:eastAsia="Times New Roman" w:hAnsi="Arial" w:cs="Times New Roman"/>
          <w:sz w:val="24"/>
          <w:szCs w:val="24"/>
          <w:lang w:val="en-US" w:eastAsia="en-CA"/>
        </w:rPr>
        <w:t xml:space="preserve">deposit </w:t>
      </w:r>
      <w:r w:rsidR="00905D69" w:rsidRPr="001170A3">
        <w:rPr>
          <w:rFonts w:ascii="Arial" w:eastAsia="Times New Roman" w:hAnsi="Arial" w:cs="Times New Roman"/>
          <w:sz w:val="24"/>
          <w:szCs w:val="24"/>
          <w:lang w:val="en-US" w:eastAsia="en-CA"/>
        </w:rPr>
        <w:t xml:space="preserve">not only </w:t>
      </w:r>
      <w:r w:rsidRPr="001170A3">
        <w:rPr>
          <w:rFonts w:ascii="Arial" w:eastAsia="Times New Roman" w:hAnsi="Arial" w:cs="Times New Roman"/>
          <w:sz w:val="24"/>
          <w:szCs w:val="24"/>
          <w:lang w:val="en-US" w:eastAsia="en-CA"/>
        </w:rPr>
        <w:t>their current articles</w:t>
      </w:r>
      <w:r w:rsidR="00A84CB1" w:rsidRPr="001170A3">
        <w:rPr>
          <w:rFonts w:ascii="Arial" w:eastAsia="Times New Roman" w:hAnsi="Arial" w:cs="Times New Roman"/>
          <w:sz w:val="24"/>
          <w:szCs w:val="24"/>
          <w:lang w:val="en-US" w:eastAsia="en-CA"/>
        </w:rPr>
        <w:t xml:space="preserve"> but also their older ones. (2) Similarly, </w:t>
      </w:r>
      <w:r w:rsidR="00905D69" w:rsidRPr="001170A3">
        <w:rPr>
          <w:rFonts w:ascii="Arial" w:eastAsia="Times New Roman" w:hAnsi="Arial" w:cs="Times New Roman"/>
          <w:sz w:val="24"/>
          <w:szCs w:val="24"/>
          <w:lang w:val="en-US" w:eastAsia="en-CA"/>
        </w:rPr>
        <w:t xml:space="preserve">in 2011, </w:t>
      </w:r>
      <w:r w:rsidR="00A84CB1" w:rsidRPr="001170A3">
        <w:rPr>
          <w:rFonts w:ascii="Arial" w:eastAsia="Times New Roman" w:hAnsi="Arial" w:cs="Times New Roman"/>
          <w:sz w:val="24"/>
          <w:szCs w:val="24"/>
          <w:lang w:val="en-US" w:eastAsia="en-CA"/>
        </w:rPr>
        <w:t>when the Minho mandate was upgraded to the Liège model, there was again a spike in both current and older deposits. (3) There is also a spike in current deposits as annual review time approaches (because of the mandate’s requirement to deposit in order to be considered for performance review</w:t>
      </w:r>
      <w:r w:rsidR="001C1F37">
        <w:rPr>
          <w:rFonts w:ascii="Arial" w:eastAsia="Times New Roman" w:hAnsi="Arial" w:cs="Times New Roman"/>
          <w:sz w:val="24"/>
          <w:szCs w:val="24"/>
          <w:lang w:val="en-US" w:eastAsia="en-CA"/>
        </w:rPr>
        <w:t>)</w:t>
      </w:r>
      <w:r w:rsidR="00A84CB1" w:rsidRPr="001170A3">
        <w:rPr>
          <w:rFonts w:ascii="Arial" w:eastAsia="Times New Roman" w:hAnsi="Arial" w:cs="Times New Roman"/>
          <w:sz w:val="24"/>
          <w:szCs w:val="24"/>
          <w:lang w:val="en-US" w:eastAsia="en-CA"/>
        </w:rPr>
        <w:t>; for tardy authors, the delay between acceptance date and deposit can hence be almost a year for papers published early in the review cycle.</w:t>
      </w:r>
    </w:p>
    <w:p w:rsidR="00B866E7" w:rsidRDefault="00B866E7" w:rsidP="00BE66F7">
      <w:pPr>
        <w:autoSpaceDE w:val="0"/>
        <w:autoSpaceDN w:val="0"/>
        <w:adjustRightInd w:val="0"/>
        <w:spacing w:after="0" w:line="240" w:lineRule="auto"/>
        <w:ind w:right="-149"/>
        <w:jc w:val="both"/>
        <w:outlineLvl w:val="0"/>
        <w:rPr>
          <w:rFonts w:ascii="Arial" w:eastAsia="Times New Roman" w:hAnsi="Arial" w:cs="Times New Roman"/>
          <w:sz w:val="24"/>
          <w:szCs w:val="24"/>
          <w:lang w:eastAsia="en-CA"/>
        </w:rPr>
      </w:pPr>
    </w:p>
    <w:p w:rsidR="00B866E7" w:rsidRPr="001170A3" w:rsidRDefault="00BE66F7" w:rsidP="001170A3">
      <w:pPr>
        <w:jc w:val="both"/>
        <w:rPr>
          <w:rFonts w:ascii="Arial" w:eastAsia="Times New Roman" w:hAnsi="Arial" w:cs="Times New Roman"/>
          <w:sz w:val="24"/>
          <w:szCs w:val="24"/>
          <w:lang w:val="en-US" w:eastAsia="en-CA"/>
        </w:rPr>
      </w:pPr>
      <w:r w:rsidRPr="001170A3">
        <w:rPr>
          <w:rFonts w:ascii="Arial" w:eastAsia="Times New Roman" w:hAnsi="Arial" w:cs="Times New Roman"/>
          <w:b/>
          <w:sz w:val="24"/>
          <w:szCs w:val="24"/>
          <w:lang w:val="en-US" w:eastAsia="en-CA"/>
        </w:rPr>
        <w:t>8. Monitoring Timely Compliance</w:t>
      </w:r>
      <w:r w:rsidRPr="001170A3">
        <w:rPr>
          <w:rFonts w:ascii="Arial" w:eastAsia="Times New Roman" w:hAnsi="Arial" w:cs="Times New Roman"/>
          <w:sz w:val="24"/>
          <w:szCs w:val="24"/>
          <w:lang w:val="en-US" w:eastAsia="en-CA"/>
        </w:rPr>
        <w:t xml:space="preserve">. </w:t>
      </w:r>
      <w:r w:rsidR="00905D69" w:rsidRPr="001170A3">
        <w:rPr>
          <w:rFonts w:ascii="Arial" w:eastAsia="Times New Roman" w:hAnsi="Arial" w:cs="Times New Roman"/>
          <w:sz w:val="24"/>
          <w:szCs w:val="24"/>
          <w:lang w:val="en-US" w:eastAsia="en-CA"/>
        </w:rPr>
        <w:t>This problem can be remedied</w:t>
      </w:r>
      <w:r w:rsidR="00A84CB1" w:rsidRPr="001170A3">
        <w:rPr>
          <w:rFonts w:ascii="Arial" w:eastAsia="Times New Roman" w:hAnsi="Arial" w:cs="Times New Roman"/>
          <w:sz w:val="24"/>
          <w:szCs w:val="24"/>
          <w:lang w:val="en-US" w:eastAsia="en-CA"/>
        </w:rPr>
        <w:t xml:space="preserve"> </w:t>
      </w:r>
      <w:r w:rsidR="00905D69" w:rsidRPr="001170A3">
        <w:rPr>
          <w:rFonts w:ascii="Arial" w:eastAsia="Times New Roman" w:hAnsi="Arial" w:cs="Times New Roman"/>
          <w:sz w:val="24"/>
          <w:szCs w:val="24"/>
          <w:lang w:val="en-US" w:eastAsia="en-CA"/>
        </w:rPr>
        <w:t xml:space="preserve">in both institutional and funder mandates by </w:t>
      </w:r>
      <w:r w:rsidR="00A4718E" w:rsidRPr="001170A3">
        <w:rPr>
          <w:rFonts w:ascii="Arial" w:eastAsia="Times New Roman" w:hAnsi="Arial" w:cs="Times New Roman"/>
          <w:sz w:val="24"/>
          <w:szCs w:val="24"/>
          <w:lang w:val="en-US" w:eastAsia="en-CA"/>
        </w:rPr>
        <w:t>a procedure that systematically monitors</w:t>
      </w:r>
      <w:r w:rsidR="00905D69" w:rsidRPr="001170A3">
        <w:rPr>
          <w:rFonts w:ascii="Arial" w:eastAsia="Times New Roman" w:hAnsi="Arial" w:cs="Times New Roman"/>
          <w:sz w:val="24"/>
          <w:szCs w:val="24"/>
          <w:lang w:val="en-US" w:eastAsia="en-CA"/>
        </w:rPr>
        <w:t xml:space="preserve"> timely compliance </w:t>
      </w:r>
      <w:r w:rsidR="00A4718E" w:rsidRPr="001170A3">
        <w:rPr>
          <w:rFonts w:ascii="Arial" w:eastAsia="Times New Roman" w:hAnsi="Arial" w:cs="Times New Roman"/>
          <w:sz w:val="24"/>
          <w:szCs w:val="24"/>
          <w:lang w:val="en-US" w:eastAsia="en-CA"/>
        </w:rPr>
        <w:t>by compar</w:t>
      </w:r>
      <w:r w:rsidR="00B866E7" w:rsidRPr="001170A3">
        <w:rPr>
          <w:rFonts w:ascii="Arial" w:eastAsia="Times New Roman" w:hAnsi="Arial" w:cs="Times New Roman"/>
          <w:sz w:val="24"/>
          <w:szCs w:val="24"/>
          <w:lang w:val="en-US" w:eastAsia="en-CA"/>
        </w:rPr>
        <w:t>ing</w:t>
      </w:r>
      <w:r w:rsidR="00A4718E" w:rsidRPr="001170A3">
        <w:rPr>
          <w:rFonts w:ascii="Arial" w:eastAsia="Times New Roman" w:hAnsi="Arial" w:cs="Times New Roman"/>
          <w:sz w:val="24"/>
          <w:szCs w:val="24"/>
          <w:lang w:val="en-US" w:eastAsia="en-CA"/>
        </w:rPr>
        <w:t xml:space="preserve"> each </w:t>
      </w:r>
      <w:r w:rsidR="00905D69" w:rsidRPr="001170A3">
        <w:rPr>
          <w:rFonts w:ascii="Arial" w:eastAsia="Times New Roman" w:hAnsi="Arial" w:cs="Times New Roman"/>
          <w:sz w:val="24"/>
          <w:szCs w:val="24"/>
          <w:lang w:val="en-US" w:eastAsia="en-CA"/>
        </w:rPr>
        <w:t>date</w:t>
      </w:r>
      <w:r w:rsidR="00A4718E" w:rsidRPr="001170A3">
        <w:rPr>
          <w:rFonts w:ascii="Arial" w:eastAsia="Times New Roman" w:hAnsi="Arial" w:cs="Times New Roman"/>
          <w:sz w:val="24"/>
          <w:szCs w:val="24"/>
          <w:lang w:val="en-US" w:eastAsia="en-CA"/>
        </w:rPr>
        <w:t xml:space="preserve"> of deposit</w:t>
      </w:r>
      <w:r w:rsidR="00B866E7" w:rsidRPr="001170A3">
        <w:rPr>
          <w:rFonts w:ascii="Arial" w:eastAsia="Times New Roman" w:hAnsi="Arial" w:cs="Times New Roman"/>
          <w:sz w:val="24"/>
          <w:szCs w:val="24"/>
          <w:lang w:val="en-US" w:eastAsia="en-CA"/>
        </w:rPr>
        <w:t xml:space="preserve"> with the date of the author’s acceptance letter. The mandate itself may already be sufficient to </w:t>
      </w:r>
      <w:r w:rsidR="00346514" w:rsidRPr="001170A3">
        <w:rPr>
          <w:rFonts w:ascii="Arial" w:eastAsia="Times New Roman" w:hAnsi="Arial" w:cs="Times New Roman"/>
          <w:sz w:val="24"/>
          <w:szCs w:val="24"/>
          <w:lang w:val="en-US" w:eastAsia="en-CA"/>
        </w:rPr>
        <w:t>en</w:t>
      </w:r>
      <w:r w:rsidR="00B866E7" w:rsidRPr="001170A3">
        <w:rPr>
          <w:rFonts w:ascii="Arial" w:eastAsia="Times New Roman" w:hAnsi="Arial" w:cs="Times New Roman"/>
          <w:sz w:val="24"/>
          <w:szCs w:val="24"/>
          <w:lang w:val="en-US" w:eastAsia="en-CA"/>
        </w:rPr>
        <w:t xml:space="preserve">sure timely deposit: </w:t>
      </w:r>
      <w:r w:rsidR="00F34EEA" w:rsidRPr="001170A3">
        <w:rPr>
          <w:rFonts w:ascii="Arial" w:eastAsia="Times New Roman" w:hAnsi="Arial" w:cs="Times New Roman"/>
          <w:sz w:val="24"/>
          <w:szCs w:val="24"/>
          <w:lang w:val="en-US" w:eastAsia="en-CA"/>
        </w:rPr>
        <w:t xml:space="preserve">Since 2004, </w:t>
      </w:r>
      <w:r w:rsidR="00B866E7" w:rsidRPr="001170A3">
        <w:rPr>
          <w:rFonts w:ascii="Arial" w:eastAsia="Times New Roman" w:hAnsi="Arial" w:cs="Times New Roman"/>
          <w:sz w:val="24"/>
          <w:szCs w:val="24"/>
          <w:lang w:val="en-US" w:eastAsia="en-CA"/>
        </w:rPr>
        <w:t xml:space="preserve">Minho </w:t>
      </w:r>
      <w:r w:rsidR="00F34EEA" w:rsidRPr="001170A3">
        <w:rPr>
          <w:rFonts w:ascii="Arial" w:eastAsia="Times New Roman" w:hAnsi="Arial" w:cs="Times New Roman"/>
          <w:sz w:val="24"/>
          <w:szCs w:val="24"/>
          <w:lang w:val="en-US" w:eastAsia="en-CA"/>
        </w:rPr>
        <w:t xml:space="preserve">deposit delays have been decreasing for both PA deposits (from 21 months for publication year 2004 to 3 months for 2012)  and RA deposits (from 64 months for 2004 to 3 months for 2012) </w:t>
      </w:r>
      <w:r w:rsidR="00F34EEA" w:rsidRPr="001170A3">
        <w:rPr>
          <w:rFonts w:ascii="Arial" w:eastAsia="Times New Roman" w:hAnsi="Arial" w:cs="Times New Roman"/>
          <w:b/>
          <w:sz w:val="24"/>
          <w:szCs w:val="24"/>
          <w:lang w:val="en-US" w:eastAsia="en-CA"/>
        </w:rPr>
        <w:t xml:space="preserve">(Figure </w:t>
      </w:r>
      <w:r w:rsidR="00A4718E" w:rsidRPr="001170A3">
        <w:rPr>
          <w:rFonts w:ascii="Arial" w:eastAsia="Times New Roman" w:hAnsi="Arial" w:cs="Times New Roman"/>
          <w:b/>
          <w:sz w:val="24"/>
          <w:szCs w:val="24"/>
          <w:lang w:val="en-US" w:eastAsia="en-CA"/>
        </w:rPr>
        <w:t>2b, 3b, 6 and 7</w:t>
      </w:r>
      <w:r w:rsidR="002E3655" w:rsidRPr="001170A3">
        <w:rPr>
          <w:rFonts w:ascii="Arial" w:eastAsia="Times New Roman" w:hAnsi="Arial" w:cs="Times New Roman"/>
          <w:b/>
          <w:sz w:val="24"/>
          <w:szCs w:val="24"/>
          <w:lang w:val="en-US" w:eastAsia="en-CA"/>
        </w:rPr>
        <w:t>)</w:t>
      </w:r>
      <w:r w:rsidR="002E3655" w:rsidRPr="001170A3">
        <w:rPr>
          <w:rFonts w:ascii="Arial" w:eastAsia="Times New Roman" w:hAnsi="Arial" w:cs="Times New Roman"/>
          <w:sz w:val="24"/>
          <w:szCs w:val="24"/>
          <w:lang w:val="en-US" w:eastAsia="en-CA"/>
        </w:rPr>
        <w:t>.</w:t>
      </w:r>
      <w:r w:rsidR="00905D69" w:rsidRPr="001170A3">
        <w:rPr>
          <w:rFonts w:ascii="Arial" w:eastAsia="Times New Roman" w:hAnsi="Arial" w:cs="Times New Roman"/>
          <w:sz w:val="24"/>
          <w:szCs w:val="24"/>
          <w:lang w:val="en-US" w:eastAsia="en-CA"/>
        </w:rPr>
        <w:t xml:space="preserve"> For Liège</w:t>
      </w:r>
      <w:r w:rsidR="00A4718E" w:rsidRPr="001170A3">
        <w:rPr>
          <w:rFonts w:ascii="Arial" w:eastAsia="Times New Roman" w:hAnsi="Arial" w:cs="Times New Roman"/>
          <w:sz w:val="24"/>
          <w:szCs w:val="24"/>
          <w:lang w:val="en-US" w:eastAsia="en-CA"/>
        </w:rPr>
        <w:t>,</w:t>
      </w:r>
      <w:r w:rsidR="00905D69" w:rsidRPr="001170A3">
        <w:rPr>
          <w:rFonts w:ascii="Arial" w:eastAsia="Times New Roman" w:hAnsi="Arial" w:cs="Times New Roman"/>
          <w:sz w:val="24"/>
          <w:szCs w:val="24"/>
          <w:lang w:val="en-US" w:eastAsia="en-CA"/>
        </w:rPr>
        <w:t xml:space="preserve"> </w:t>
      </w:r>
      <w:r w:rsidR="00A4718E" w:rsidRPr="001170A3">
        <w:rPr>
          <w:rFonts w:ascii="Arial" w:eastAsia="Times New Roman" w:hAnsi="Arial" w:cs="Times New Roman"/>
          <w:sz w:val="24"/>
          <w:szCs w:val="24"/>
          <w:lang w:val="en-US" w:eastAsia="en-CA"/>
        </w:rPr>
        <w:t xml:space="preserve">the average deposit date is </w:t>
      </w:r>
      <w:r w:rsidR="00B866E7" w:rsidRPr="001170A3">
        <w:rPr>
          <w:rFonts w:ascii="Arial" w:eastAsia="Times New Roman" w:hAnsi="Arial" w:cs="Times New Roman"/>
          <w:sz w:val="24"/>
          <w:szCs w:val="24"/>
          <w:lang w:val="en-US" w:eastAsia="en-CA"/>
        </w:rPr>
        <w:t xml:space="preserve">already </w:t>
      </w:r>
      <w:r w:rsidR="00A4718E" w:rsidRPr="001170A3">
        <w:rPr>
          <w:rFonts w:ascii="Arial" w:eastAsia="Times New Roman" w:hAnsi="Arial" w:cs="Times New Roman"/>
          <w:sz w:val="24"/>
          <w:szCs w:val="24"/>
          <w:lang w:val="en-US" w:eastAsia="en-CA"/>
        </w:rPr>
        <w:t>earlier than the date of publication for both PA and RA deposits</w:t>
      </w:r>
      <w:r w:rsidR="00B866E7" w:rsidRPr="001170A3">
        <w:rPr>
          <w:rFonts w:ascii="Arial" w:eastAsia="Times New Roman" w:hAnsi="Arial" w:cs="Times New Roman"/>
          <w:sz w:val="24"/>
          <w:szCs w:val="24"/>
          <w:lang w:val="en-US" w:eastAsia="en-CA"/>
        </w:rPr>
        <w:t xml:space="preserve"> </w:t>
      </w:r>
      <w:r w:rsidR="00B866E7" w:rsidRPr="001170A3">
        <w:rPr>
          <w:rFonts w:ascii="Arial" w:eastAsia="Times New Roman" w:hAnsi="Arial" w:cs="Times New Roman"/>
          <w:b/>
          <w:sz w:val="24"/>
          <w:szCs w:val="24"/>
          <w:lang w:val="en-US" w:eastAsia="en-CA"/>
        </w:rPr>
        <w:t>(Figure 7)</w:t>
      </w:r>
      <w:r w:rsidR="00A4718E" w:rsidRPr="001170A3">
        <w:rPr>
          <w:rFonts w:ascii="Arial" w:eastAsia="Times New Roman" w:hAnsi="Arial" w:cs="Times New Roman"/>
          <w:sz w:val="24"/>
          <w:szCs w:val="24"/>
          <w:lang w:val="en-US" w:eastAsia="en-CA"/>
        </w:rPr>
        <w:t>.</w:t>
      </w:r>
    </w:p>
    <w:p w:rsidR="008276D4" w:rsidRPr="005623CE" w:rsidRDefault="008276D4" w:rsidP="00BE66F7">
      <w:pPr>
        <w:autoSpaceDE w:val="0"/>
        <w:autoSpaceDN w:val="0"/>
        <w:adjustRightInd w:val="0"/>
        <w:spacing w:after="0" w:line="240" w:lineRule="auto"/>
        <w:ind w:right="-149"/>
        <w:jc w:val="both"/>
        <w:outlineLvl w:val="0"/>
        <w:rPr>
          <w:rFonts w:ascii="Arial" w:eastAsia="Times New Roman" w:hAnsi="Arial" w:cs="Times New Roman"/>
          <w:b/>
          <w:sz w:val="24"/>
          <w:szCs w:val="24"/>
          <w:lang w:eastAsia="en-CA"/>
        </w:rPr>
      </w:pPr>
    </w:p>
    <w:p w:rsidR="00C73792" w:rsidRDefault="00021CA1" w:rsidP="00BE66F7">
      <w:pPr>
        <w:autoSpaceDE w:val="0"/>
        <w:autoSpaceDN w:val="0"/>
        <w:adjustRightInd w:val="0"/>
        <w:spacing w:after="0" w:line="240" w:lineRule="auto"/>
        <w:ind w:right="-149"/>
        <w:jc w:val="both"/>
        <w:outlineLvl w:val="0"/>
        <w:rPr>
          <w:rFonts w:ascii="Arial" w:eastAsia="Times New Roman" w:hAnsi="Arial" w:cs="Times New Roman"/>
          <w:sz w:val="24"/>
          <w:szCs w:val="24"/>
          <w:lang w:val="en-US" w:eastAsia="en-CA"/>
        </w:rPr>
      </w:pPr>
      <w:r w:rsidRPr="001170A3">
        <w:rPr>
          <w:rFonts w:ascii="Arial" w:eastAsia="Times New Roman" w:hAnsi="Arial" w:cs="Times New Roman"/>
          <w:sz w:val="24"/>
          <w:szCs w:val="24"/>
          <w:lang w:val="en-US" w:eastAsia="en-CA"/>
        </w:rPr>
        <w:t xml:space="preserve">The </w:t>
      </w:r>
      <w:r w:rsidR="00B866E7" w:rsidRPr="001170A3">
        <w:rPr>
          <w:rFonts w:ascii="Arial" w:eastAsia="Times New Roman" w:hAnsi="Arial" w:cs="Times New Roman"/>
          <w:sz w:val="24"/>
          <w:szCs w:val="24"/>
          <w:lang w:val="en-US" w:eastAsia="en-CA"/>
        </w:rPr>
        <w:t xml:space="preserve">Minho </w:t>
      </w:r>
      <w:r w:rsidRPr="001170A3">
        <w:rPr>
          <w:rFonts w:ascii="Arial" w:eastAsia="Times New Roman" w:hAnsi="Arial" w:cs="Times New Roman"/>
          <w:sz w:val="24"/>
          <w:szCs w:val="24"/>
          <w:lang w:val="en-US" w:eastAsia="en-CA"/>
        </w:rPr>
        <w:t xml:space="preserve">distribution of </w:t>
      </w:r>
      <w:r w:rsidR="009E51C9" w:rsidRPr="001170A3">
        <w:rPr>
          <w:rFonts w:ascii="Arial" w:eastAsia="Times New Roman" w:hAnsi="Arial" w:cs="Times New Roman"/>
          <w:sz w:val="24"/>
          <w:szCs w:val="24"/>
          <w:lang w:val="en-US" w:eastAsia="en-CA"/>
        </w:rPr>
        <w:t xml:space="preserve">2004-2012 </w:t>
      </w:r>
      <w:r w:rsidRPr="001170A3">
        <w:rPr>
          <w:rFonts w:ascii="Arial" w:eastAsia="Times New Roman" w:hAnsi="Arial" w:cs="Times New Roman"/>
          <w:sz w:val="24"/>
          <w:szCs w:val="24"/>
          <w:lang w:val="en-US" w:eastAsia="en-CA"/>
        </w:rPr>
        <w:t xml:space="preserve">articles </w:t>
      </w:r>
      <w:r w:rsidR="00CE073C" w:rsidRPr="001170A3">
        <w:rPr>
          <w:rFonts w:ascii="Arial" w:eastAsia="Times New Roman" w:hAnsi="Arial" w:cs="Times New Roman"/>
          <w:sz w:val="24"/>
          <w:szCs w:val="24"/>
          <w:lang w:val="en-US" w:eastAsia="en-CA"/>
        </w:rPr>
        <w:t>by</w:t>
      </w:r>
      <w:r w:rsidRPr="001170A3">
        <w:rPr>
          <w:rFonts w:ascii="Arial" w:eastAsia="Times New Roman" w:hAnsi="Arial" w:cs="Times New Roman"/>
          <w:sz w:val="24"/>
          <w:szCs w:val="24"/>
          <w:lang w:val="en-US" w:eastAsia="en-CA"/>
        </w:rPr>
        <w:t xml:space="preserve"> deposit delay </w:t>
      </w:r>
      <w:r w:rsidRPr="001170A3">
        <w:rPr>
          <w:rFonts w:ascii="Arial" w:eastAsia="Times New Roman" w:hAnsi="Arial" w:cs="Times New Roman"/>
          <w:b/>
          <w:sz w:val="24"/>
          <w:szCs w:val="24"/>
          <w:lang w:val="en-US" w:eastAsia="en-CA"/>
        </w:rPr>
        <w:t xml:space="preserve">(Figure </w:t>
      </w:r>
      <w:r w:rsidR="00F12579" w:rsidRPr="001170A3">
        <w:rPr>
          <w:rFonts w:ascii="Arial" w:eastAsia="Times New Roman" w:hAnsi="Arial" w:cs="Times New Roman"/>
          <w:b/>
          <w:sz w:val="24"/>
          <w:szCs w:val="24"/>
          <w:lang w:val="en-US" w:eastAsia="en-CA"/>
        </w:rPr>
        <w:t>6</w:t>
      </w:r>
      <w:r w:rsidRPr="001170A3">
        <w:rPr>
          <w:rFonts w:ascii="Arial" w:eastAsia="Times New Roman" w:hAnsi="Arial" w:cs="Times New Roman"/>
          <w:b/>
          <w:sz w:val="24"/>
          <w:szCs w:val="24"/>
          <w:lang w:val="en-US" w:eastAsia="en-CA"/>
        </w:rPr>
        <w:t>)</w:t>
      </w:r>
      <w:r w:rsidRPr="001170A3">
        <w:rPr>
          <w:rFonts w:ascii="Arial" w:eastAsia="Times New Roman" w:hAnsi="Arial" w:cs="Times New Roman"/>
          <w:sz w:val="24"/>
          <w:szCs w:val="24"/>
          <w:lang w:val="en-US" w:eastAsia="en-CA"/>
        </w:rPr>
        <w:t xml:space="preserve"> shows that, there </w:t>
      </w:r>
      <w:r w:rsidR="007F2154" w:rsidRPr="001170A3">
        <w:rPr>
          <w:rFonts w:ascii="Arial" w:eastAsia="Times New Roman" w:hAnsi="Arial" w:cs="Times New Roman"/>
          <w:sz w:val="24"/>
          <w:szCs w:val="24"/>
          <w:lang w:val="en-US" w:eastAsia="en-CA"/>
        </w:rPr>
        <w:t xml:space="preserve">are </w:t>
      </w:r>
      <w:r w:rsidRPr="001170A3">
        <w:rPr>
          <w:rFonts w:ascii="Arial" w:eastAsia="Times New Roman" w:hAnsi="Arial" w:cs="Times New Roman"/>
          <w:sz w:val="24"/>
          <w:szCs w:val="24"/>
          <w:lang w:val="en-US" w:eastAsia="en-CA"/>
        </w:rPr>
        <w:t xml:space="preserve">more </w:t>
      </w:r>
      <w:r w:rsidR="00CE073C" w:rsidRPr="001170A3">
        <w:rPr>
          <w:rFonts w:ascii="Arial" w:eastAsia="Times New Roman" w:hAnsi="Arial" w:cs="Times New Roman"/>
          <w:sz w:val="24"/>
          <w:szCs w:val="24"/>
          <w:lang w:val="en-US" w:eastAsia="en-CA"/>
        </w:rPr>
        <w:t>PA</w:t>
      </w:r>
      <w:r w:rsidRPr="001170A3">
        <w:rPr>
          <w:rFonts w:ascii="Arial" w:eastAsia="Times New Roman" w:hAnsi="Arial" w:cs="Times New Roman"/>
          <w:sz w:val="24"/>
          <w:szCs w:val="24"/>
          <w:lang w:val="en-US" w:eastAsia="en-CA"/>
        </w:rPr>
        <w:t xml:space="preserve"> </w:t>
      </w:r>
      <w:r w:rsidR="00CE073C" w:rsidRPr="001170A3">
        <w:rPr>
          <w:rFonts w:ascii="Arial" w:eastAsia="Times New Roman" w:hAnsi="Arial" w:cs="Times New Roman"/>
          <w:sz w:val="24"/>
          <w:szCs w:val="24"/>
          <w:lang w:val="en-US" w:eastAsia="en-CA"/>
        </w:rPr>
        <w:t>than</w:t>
      </w:r>
      <w:r w:rsidRPr="001170A3">
        <w:rPr>
          <w:rFonts w:ascii="Arial" w:eastAsia="Times New Roman" w:hAnsi="Arial" w:cs="Times New Roman"/>
          <w:sz w:val="24"/>
          <w:szCs w:val="24"/>
          <w:lang w:val="en-US" w:eastAsia="en-CA"/>
        </w:rPr>
        <w:t xml:space="preserve"> RA</w:t>
      </w:r>
      <w:r w:rsidR="00CE073C" w:rsidRPr="001170A3">
        <w:rPr>
          <w:rFonts w:ascii="Arial" w:eastAsia="Times New Roman" w:hAnsi="Arial" w:cs="Times New Roman"/>
          <w:sz w:val="24"/>
          <w:szCs w:val="24"/>
          <w:lang w:val="en-US" w:eastAsia="en-CA"/>
        </w:rPr>
        <w:t xml:space="preserve"> deposits</w:t>
      </w:r>
      <w:r w:rsidR="00BE52B8" w:rsidRPr="001170A3">
        <w:rPr>
          <w:rFonts w:ascii="Arial" w:eastAsia="Times New Roman" w:hAnsi="Arial" w:cs="Times New Roman"/>
          <w:sz w:val="24"/>
          <w:szCs w:val="24"/>
          <w:lang w:val="en-US" w:eastAsia="en-CA"/>
        </w:rPr>
        <w:t xml:space="preserve"> at each delay level</w:t>
      </w:r>
      <w:r w:rsidRPr="001170A3">
        <w:rPr>
          <w:rFonts w:ascii="Arial" w:eastAsia="Times New Roman" w:hAnsi="Arial" w:cs="Times New Roman"/>
          <w:sz w:val="24"/>
          <w:szCs w:val="24"/>
          <w:lang w:val="en-US" w:eastAsia="en-CA"/>
        </w:rPr>
        <w:t xml:space="preserve">. About 80% of </w:t>
      </w:r>
      <w:r w:rsidR="00BE52B8" w:rsidRPr="001170A3">
        <w:rPr>
          <w:rFonts w:ascii="Arial" w:eastAsia="Times New Roman" w:hAnsi="Arial" w:cs="Times New Roman"/>
          <w:sz w:val="24"/>
          <w:szCs w:val="24"/>
          <w:lang w:val="en-US" w:eastAsia="en-CA"/>
        </w:rPr>
        <w:t>all deposits are made</w:t>
      </w:r>
      <w:r w:rsidRPr="001170A3">
        <w:rPr>
          <w:rFonts w:ascii="Arial" w:eastAsia="Times New Roman" w:hAnsi="Arial" w:cs="Times New Roman"/>
          <w:sz w:val="24"/>
          <w:szCs w:val="24"/>
          <w:lang w:val="en-US" w:eastAsia="en-CA"/>
        </w:rPr>
        <w:t xml:space="preserve"> between </w:t>
      </w:r>
      <w:r w:rsidR="00BE52B8" w:rsidRPr="001170A3">
        <w:rPr>
          <w:rFonts w:ascii="Arial" w:eastAsia="Times New Roman" w:hAnsi="Arial" w:cs="Times New Roman"/>
          <w:sz w:val="24"/>
          <w:szCs w:val="24"/>
          <w:lang w:val="en-US" w:eastAsia="en-CA"/>
        </w:rPr>
        <w:t>-5 and +22 months from the date of publication</w:t>
      </w:r>
      <w:r w:rsidRPr="001170A3">
        <w:rPr>
          <w:rFonts w:ascii="Arial" w:eastAsia="Times New Roman" w:hAnsi="Arial" w:cs="Times New Roman"/>
          <w:sz w:val="24"/>
          <w:szCs w:val="24"/>
          <w:lang w:val="en-US" w:eastAsia="en-CA"/>
        </w:rPr>
        <w:t>.</w:t>
      </w:r>
    </w:p>
    <w:p w:rsidR="00E22B76" w:rsidRPr="001170A3" w:rsidRDefault="00E22B76" w:rsidP="00BE66F7">
      <w:pPr>
        <w:autoSpaceDE w:val="0"/>
        <w:autoSpaceDN w:val="0"/>
        <w:adjustRightInd w:val="0"/>
        <w:spacing w:after="0" w:line="240" w:lineRule="auto"/>
        <w:ind w:right="-149"/>
        <w:jc w:val="both"/>
        <w:outlineLvl w:val="0"/>
        <w:rPr>
          <w:rFonts w:ascii="Arial" w:eastAsia="Times New Roman" w:hAnsi="Arial" w:cs="Times New Roman"/>
          <w:sz w:val="24"/>
          <w:szCs w:val="24"/>
          <w:lang w:val="en-US" w:eastAsia="en-CA"/>
        </w:rPr>
      </w:pPr>
    </w:p>
    <w:p w:rsidR="00C73792" w:rsidRPr="001170A3" w:rsidRDefault="00C73792" w:rsidP="00BE66F7">
      <w:pPr>
        <w:autoSpaceDE w:val="0"/>
        <w:autoSpaceDN w:val="0"/>
        <w:adjustRightInd w:val="0"/>
        <w:spacing w:after="0" w:line="240" w:lineRule="auto"/>
        <w:ind w:right="-149"/>
        <w:jc w:val="both"/>
        <w:outlineLvl w:val="0"/>
        <w:rPr>
          <w:rFonts w:ascii="Arial" w:eastAsia="Times New Roman" w:hAnsi="Arial" w:cs="Times New Roman"/>
          <w:sz w:val="24"/>
          <w:szCs w:val="24"/>
          <w:lang w:val="en-US" w:eastAsia="en-CA"/>
        </w:rPr>
      </w:pPr>
    </w:p>
    <w:p w:rsidR="00C73792" w:rsidRPr="001170A3" w:rsidRDefault="00BE66F7" w:rsidP="00BE66F7">
      <w:pPr>
        <w:autoSpaceDE w:val="0"/>
        <w:autoSpaceDN w:val="0"/>
        <w:adjustRightInd w:val="0"/>
        <w:spacing w:after="0" w:line="240" w:lineRule="auto"/>
        <w:ind w:right="-149"/>
        <w:jc w:val="both"/>
        <w:outlineLvl w:val="0"/>
        <w:rPr>
          <w:rFonts w:ascii="Arial" w:eastAsia="Times New Roman" w:hAnsi="Arial" w:cs="Times New Roman"/>
          <w:sz w:val="24"/>
          <w:szCs w:val="24"/>
          <w:lang w:val="en-US" w:eastAsia="en-CA"/>
        </w:rPr>
      </w:pPr>
      <w:r w:rsidRPr="003904BB">
        <w:rPr>
          <w:rFonts w:ascii="Arial" w:eastAsia="Times New Roman" w:hAnsi="Arial" w:cs="Times New Roman"/>
          <w:b/>
          <w:sz w:val="24"/>
          <w:szCs w:val="24"/>
          <w:lang w:val="en-US" w:eastAsia="en-CA"/>
        </w:rPr>
        <w:t>9. Comparing Deposit Timing</w:t>
      </w:r>
      <w:r w:rsidRPr="001170A3">
        <w:rPr>
          <w:rFonts w:ascii="Arial" w:eastAsia="Times New Roman" w:hAnsi="Arial" w:cs="Times New Roman"/>
          <w:sz w:val="24"/>
          <w:szCs w:val="24"/>
          <w:lang w:val="en-US" w:eastAsia="en-CA"/>
        </w:rPr>
        <w:t xml:space="preserve">. </w:t>
      </w:r>
      <w:r w:rsidR="00C73792" w:rsidRPr="001170A3">
        <w:rPr>
          <w:rFonts w:ascii="Arial" w:eastAsia="Times New Roman" w:hAnsi="Arial" w:cs="Times New Roman"/>
          <w:sz w:val="24"/>
          <w:szCs w:val="24"/>
          <w:lang w:val="en-US" w:eastAsia="en-CA"/>
        </w:rPr>
        <w:t xml:space="preserve">The distribution of 2012 articles by deposit delay </w:t>
      </w:r>
      <w:r w:rsidR="00C73792" w:rsidRPr="001170A3">
        <w:rPr>
          <w:rFonts w:ascii="Arial" w:eastAsia="Times New Roman" w:hAnsi="Arial" w:cs="Times New Roman"/>
          <w:b/>
          <w:sz w:val="24"/>
          <w:szCs w:val="24"/>
          <w:lang w:val="en-US" w:eastAsia="en-CA"/>
        </w:rPr>
        <w:t>(Figure 7)</w:t>
      </w:r>
      <w:r w:rsidR="00C73792" w:rsidRPr="001170A3">
        <w:rPr>
          <w:rFonts w:ascii="Arial" w:eastAsia="Times New Roman" w:hAnsi="Arial" w:cs="Times New Roman"/>
          <w:sz w:val="24"/>
          <w:szCs w:val="24"/>
          <w:lang w:val="en-US" w:eastAsia="en-CA"/>
        </w:rPr>
        <w:t xml:space="preserve"> shows that PA and RA deposits are about the same at each delay level. About 90% of all Minho PA deposits </w:t>
      </w:r>
      <w:r w:rsidR="00C73792" w:rsidRPr="001170A3">
        <w:rPr>
          <w:rFonts w:ascii="Arial" w:eastAsia="Times New Roman" w:hAnsi="Arial" w:cs="Times New Roman"/>
          <w:b/>
          <w:sz w:val="24"/>
          <w:szCs w:val="24"/>
          <w:lang w:val="en-US" w:eastAsia="en-CA"/>
        </w:rPr>
        <w:t>(7a)</w:t>
      </w:r>
      <w:r w:rsidR="00C73792" w:rsidRPr="001170A3">
        <w:rPr>
          <w:rFonts w:ascii="Arial" w:eastAsia="Times New Roman" w:hAnsi="Arial" w:cs="Times New Roman"/>
          <w:sz w:val="24"/>
          <w:szCs w:val="24"/>
          <w:lang w:val="en-US" w:eastAsia="en-CA"/>
        </w:rPr>
        <w:t xml:space="preserve"> are made between -4 and +12 months from the date of publication. In contrast, deposits are made earlier in Liège </w:t>
      </w:r>
      <w:r w:rsidR="00C73792" w:rsidRPr="001170A3">
        <w:rPr>
          <w:rFonts w:ascii="Arial" w:eastAsia="Times New Roman" w:hAnsi="Arial" w:cs="Times New Roman"/>
          <w:b/>
          <w:sz w:val="24"/>
          <w:szCs w:val="24"/>
          <w:lang w:val="en-US" w:eastAsia="en-CA"/>
        </w:rPr>
        <w:t>(7b)</w:t>
      </w:r>
      <w:r w:rsidR="00C73792" w:rsidRPr="001170A3">
        <w:rPr>
          <w:rFonts w:ascii="Arial" w:eastAsia="Times New Roman" w:hAnsi="Arial" w:cs="Times New Roman"/>
          <w:sz w:val="24"/>
          <w:szCs w:val="24"/>
          <w:lang w:val="en-US" w:eastAsia="en-CA"/>
        </w:rPr>
        <w:t>, where about 90% of all PA deposits are made between -8 and +12 months from the date of publication. Minho deposit</w:t>
      </w:r>
      <w:r w:rsidR="000D4EC8">
        <w:rPr>
          <w:rFonts w:ascii="Arial" w:eastAsia="Times New Roman" w:hAnsi="Arial" w:cs="Times New Roman"/>
          <w:sz w:val="24"/>
          <w:szCs w:val="24"/>
          <w:lang w:val="en-US" w:eastAsia="en-CA"/>
        </w:rPr>
        <w:t xml:space="preserve"> delay</w:t>
      </w:r>
      <w:r w:rsidR="00C73792" w:rsidRPr="001170A3">
        <w:rPr>
          <w:rFonts w:ascii="Arial" w:eastAsia="Times New Roman" w:hAnsi="Arial" w:cs="Times New Roman"/>
          <w:sz w:val="24"/>
          <w:szCs w:val="24"/>
          <w:lang w:val="en-US" w:eastAsia="en-CA"/>
        </w:rPr>
        <w:t xml:space="preserve">s are currently on average longer than those of Surrey </w:t>
      </w:r>
      <w:r w:rsidR="00C73792" w:rsidRPr="001170A3">
        <w:rPr>
          <w:rFonts w:ascii="Arial" w:eastAsia="Times New Roman" w:hAnsi="Arial" w:cs="Times New Roman"/>
          <w:b/>
          <w:sz w:val="24"/>
          <w:szCs w:val="24"/>
          <w:lang w:val="en-US" w:eastAsia="en-CA"/>
        </w:rPr>
        <w:t>(7c)</w:t>
      </w:r>
      <w:r w:rsidR="00C73792" w:rsidRPr="001170A3">
        <w:rPr>
          <w:rFonts w:ascii="Arial" w:eastAsia="Times New Roman" w:hAnsi="Arial" w:cs="Times New Roman"/>
          <w:sz w:val="24"/>
          <w:szCs w:val="24"/>
          <w:lang w:val="en-US" w:eastAsia="en-CA"/>
        </w:rPr>
        <w:t xml:space="preserve"> (one of the mandated UK institutions with the highest number of PA deposits) where 90% of PA deposits are made between -1 and +12 months from the date of publication. Minho average delays are about the same as those for Lancaster </w:t>
      </w:r>
      <w:r w:rsidR="00C73792" w:rsidRPr="001170A3">
        <w:rPr>
          <w:rFonts w:ascii="Arial" w:eastAsia="Times New Roman" w:hAnsi="Arial" w:cs="Times New Roman"/>
          <w:b/>
          <w:sz w:val="24"/>
          <w:szCs w:val="24"/>
          <w:lang w:val="en-US" w:eastAsia="en-CA"/>
        </w:rPr>
        <w:t>(7d)</w:t>
      </w:r>
      <w:r w:rsidR="00C73792" w:rsidRPr="001170A3">
        <w:rPr>
          <w:rFonts w:ascii="Arial" w:eastAsia="Times New Roman" w:hAnsi="Arial" w:cs="Times New Roman"/>
          <w:sz w:val="24"/>
          <w:szCs w:val="24"/>
          <w:lang w:val="en-US" w:eastAsia="en-CA"/>
        </w:rPr>
        <w:t xml:space="preserve"> (one of the UK Non-Mandated institutions with the highest number of PA deposits) where 90% of PA deposits are made between -8 and +9 months from the date of publication. For Liège, where deposit is mandatory immediately upon publication -- and for Minho since 2011 -- deposit is the only means of submitting publications for research performance review and research funding. Hence there is every reason to expect that Minho delays are now shrinking to those of Liege.</w:t>
      </w:r>
    </w:p>
    <w:p w:rsidR="00021CA1" w:rsidRPr="005623CE" w:rsidRDefault="00021CA1" w:rsidP="00BE19E2">
      <w:pPr>
        <w:autoSpaceDE w:val="0"/>
        <w:autoSpaceDN w:val="0"/>
        <w:adjustRightInd w:val="0"/>
        <w:spacing w:after="0" w:line="240" w:lineRule="auto"/>
        <w:ind w:right="-149"/>
        <w:outlineLvl w:val="0"/>
        <w:rPr>
          <w:rFonts w:ascii="Arial" w:eastAsia="Times New Roman" w:hAnsi="Arial" w:cs="Times New Roman"/>
          <w:sz w:val="24"/>
          <w:szCs w:val="24"/>
          <w:lang w:eastAsia="en-CA"/>
        </w:rPr>
      </w:pPr>
    </w:p>
    <w:p w:rsidR="00F12579" w:rsidRPr="005623CE" w:rsidRDefault="00F12579" w:rsidP="00BE19E2">
      <w:pPr>
        <w:autoSpaceDE w:val="0"/>
        <w:autoSpaceDN w:val="0"/>
        <w:adjustRightInd w:val="0"/>
        <w:spacing w:after="0" w:line="240" w:lineRule="auto"/>
        <w:ind w:right="-149"/>
        <w:outlineLvl w:val="0"/>
        <w:rPr>
          <w:rFonts w:ascii="Arial" w:eastAsia="Times New Roman" w:hAnsi="Arial" w:cs="Times New Roman"/>
          <w:sz w:val="24"/>
          <w:szCs w:val="24"/>
          <w:lang w:eastAsia="en-CA"/>
        </w:rPr>
      </w:pPr>
    </w:p>
    <w:p w:rsidR="00542084" w:rsidRPr="005623CE" w:rsidRDefault="00F12579" w:rsidP="00BE19E2">
      <w:pPr>
        <w:rPr>
          <w:rFonts w:ascii="Arial" w:hAnsi="Arial"/>
        </w:rPr>
      </w:pPr>
      <w:r w:rsidRPr="005623CE">
        <w:rPr>
          <w:rFonts w:ascii="Arial" w:hAnsi="Arial"/>
          <w:noProof/>
          <w:lang w:val="en-US"/>
        </w:rPr>
        <w:drawing>
          <wp:inline distT="0" distB="0" distL="0" distR="0">
            <wp:extent cx="5486400" cy="2231390"/>
            <wp:effectExtent l="19050" t="0" r="19050" b="0"/>
            <wp:docPr id="3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BE19E2" w:rsidRPr="005623CE" w:rsidRDefault="00542084" w:rsidP="00BE66F7">
      <w:pPr>
        <w:spacing w:after="0" w:line="240" w:lineRule="auto"/>
        <w:ind w:left="720"/>
        <w:jc w:val="both"/>
        <w:rPr>
          <w:rFonts w:ascii="Arial" w:eastAsia="Times New Roman" w:hAnsi="Arial" w:cs="Times New Roman"/>
          <w:bCs/>
          <w:color w:val="000000"/>
          <w:lang w:eastAsia="en-CA"/>
        </w:rPr>
      </w:pPr>
      <w:r w:rsidRPr="005623CE">
        <w:rPr>
          <w:rFonts w:ascii="Arial" w:eastAsia="Times New Roman" w:hAnsi="Arial" w:cs="Times New Roman"/>
          <w:b/>
          <w:bCs/>
          <w:color w:val="000000"/>
          <w:lang w:eastAsia="en-CA"/>
        </w:rPr>
        <w:t xml:space="preserve">Figure </w:t>
      </w:r>
      <w:r w:rsidR="00F12579" w:rsidRPr="005623CE">
        <w:rPr>
          <w:rFonts w:ascii="Arial" w:eastAsia="Times New Roman" w:hAnsi="Arial" w:cs="Times New Roman"/>
          <w:b/>
          <w:bCs/>
          <w:color w:val="000000"/>
          <w:lang w:eastAsia="en-CA"/>
        </w:rPr>
        <w:t>6</w:t>
      </w:r>
      <w:r w:rsidRPr="005623CE">
        <w:rPr>
          <w:rFonts w:ascii="Arial" w:eastAsia="Times New Roman" w:hAnsi="Arial" w:cs="Times New Roman"/>
          <w:b/>
          <w:bCs/>
          <w:color w:val="000000"/>
          <w:lang w:eastAsia="en-CA"/>
        </w:rPr>
        <w:t xml:space="preserve">. </w:t>
      </w:r>
      <w:r w:rsidR="00905D69">
        <w:rPr>
          <w:rFonts w:ascii="Arial" w:eastAsia="Times New Roman" w:hAnsi="Arial" w:cs="Times New Roman"/>
          <w:b/>
          <w:bCs/>
          <w:color w:val="000000"/>
          <w:lang w:eastAsia="en-CA"/>
        </w:rPr>
        <w:t xml:space="preserve">Minho </w:t>
      </w:r>
      <w:r w:rsidRPr="005623CE">
        <w:rPr>
          <w:rFonts w:ascii="Arial" w:eastAsia="Times New Roman" w:hAnsi="Arial" w:cs="Times New Roman"/>
          <w:b/>
          <w:bCs/>
          <w:color w:val="000000"/>
          <w:lang w:eastAsia="en-CA"/>
        </w:rPr>
        <w:t xml:space="preserve">Distribution of </w:t>
      </w:r>
      <w:r w:rsidR="007F2154" w:rsidRPr="005623CE">
        <w:rPr>
          <w:rFonts w:ascii="Arial" w:eastAsia="Times New Roman" w:hAnsi="Arial" w:cs="Times New Roman"/>
          <w:b/>
          <w:bCs/>
          <w:color w:val="000000"/>
          <w:lang w:eastAsia="en-CA"/>
        </w:rPr>
        <w:t xml:space="preserve">2004-2012 </w:t>
      </w:r>
      <w:r w:rsidR="00BE52B8" w:rsidRPr="005623CE">
        <w:rPr>
          <w:rFonts w:ascii="Arial" w:eastAsia="Times New Roman" w:hAnsi="Arial" w:cs="Times New Roman"/>
          <w:b/>
          <w:bCs/>
          <w:color w:val="000000"/>
          <w:lang w:eastAsia="en-CA"/>
        </w:rPr>
        <w:t>delay</w:t>
      </w:r>
      <w:r w:rsidRPr="005623CE">
        <w:rPr>
          <w:rFonts w:ascii="Arial" w:eastAsia="Times New Roman" w:hAnsi="Arial" w:cs="Times New Roman"/>
          <w:b/>
          <w:bCs/>
          <w:color w:val="000000"/>
          <w:lang w:eastAsia="en-CA"/>
        </w:rPr>
        <w:t xml:space="preserve"> (months</w:t>
      </w:r>
      <w:r w:rsidR="00BE52B8" w:rsidRPr="005623CE">
        <w:rPr>
          <w:rFonts w:ascii="Arial" w:eastAsia="Times New Roman" w:hAnsi="Arial" w:cs="Times New Roman"/>
          <w:b/>
          <w:bCs/>
          <w:color w:val="000000"/>
          <w:lang w:eastAsia="en-CA"/>
        </w:rPr>
        <w:t>) for PA and RA deposits</w:t>
      </w:r>
      <w:r w:rsidR="00BE52B8" w:rsidRPr="005623CE">
        <w:rPr>
          <w:rFonts w:ascii="Arial" w:eastAsia="Times New Roman" w:hAnsi="Arial" w:cs="Times New Roman"/>
          <w:bCs/>
          <w:color w:val="000000"/>
          <w:lang w:eastAsia="en-CA"/>
        </w:rPr>
        <w:t>.</w:t>
      </w:r>
      <w:r w:rsidR="009B20B9" w:rsidRPr="005623CE">
        <w:rPr>
          <w:rFonts w:ascii="Arial" w:eastAsia="Times New Roman" w:hAnsi="Arial" w:cs="Times New Roman"/>
          <w:bCs/>
          <w:color w:val="000000"/>
          <w:lang w:eastAsia="en-CA"/>
        </w:rPr>
        <w:t xml:space="preserve"> (Some of these occurred </w:t>
      </w:r>
      <w:r w:rsidR="00905D69">
        <w:rPr>
          <w:rFonts w:ascii="Arial" w:eastAsia="Times New Roman" w:hAnsi="Arial" w:cs="Times New Roman"/>
          <w:bCs/>
          <w:color w:val="000000"/>
          <w:lang w:eastAsia="en-CA"/>
        </w:rPr>
        <w:t>as a result of the</w:t>
      </w:r>
      <w:r w:rsidR="009B20B9" w:rsidRPr="005623CE">
        <w:rPr>
          <w:rFonts w:ascii="Arial" w:eastAsia="Times New Roman" w:hAnsi="Arial" w:cs="Times New Roman"/>
          <w:bCs/>
          <w:color w:val="000000"/>
          <w:lang w:eastAsia="en-CA"/>
        </w:rPr>
        <w:t xml:space="preserve"> 2011 increase in deposits</w:t>
      </w:r>
      <w:r w:rsidR="00905D69">
        <w:rPr>
          <w:rFonts w:ascii="Arial" w:eastAsia="Times New Roman" w:hAnsi="Arial" w:cs="Times New Roman"/>
          <w:bCs/>
          <w:color w:val="000000"/>
          <w:lang w:eastAsia="en-CA"/>
        </w:rPr>
        <w:t xml:space="preserve"> with the upgrade to the Liège model mandate</w:t>
      </w:r>
      <w:r w:rsidR="009B20B9" w:rsidRPr="005623CE">
        <w:rPr>
          <w:rFonts w:ascii="Arial" w:eastAsia="Times New Roman" w:hAnsi="Arial" w:cs="Times New Roman"/>
          <w:bCs/>
          <w:color w:val="000000"/>
          <w:lang w:eastAsia="en-CA"/>
        </w:rPr>
        <w:t xml:space="preserve">, </w:t>
      </w:r>
      <w:r w:rsidR="00905D69">
        <w:rPr>
          <w:rFonts w:ascii="Arial" w:eastAsia="Times New Roman" w:hAnsi="Arial" w:cs="Times New Roman"/>
          <w:bCs/>
          <w:color w:val="000000"/>
          <w:lang w:eastAsia="en-CA"/>
        </w:rPr>
        <w:t xml:space="preserve">and were </w:t>
      </w:r>
      <w:r w:rsidR="009B20B9" w:rsidRPr="005623CE">
        <w:rPr>
          <w:rFonts w:ascii="Arial" w:eastAsia="Times New Roman" w:hAnsi="Arial" w:cs="Times New Roman"/>
          <w:bCs/>
          <w:color w:val="000000"/>
          <w:lang w:eastAsia="en-CA"/>
        </w:rPr>
        <w:t>accompanied by retroactive deposits of earlier year publications.)</w:t>
      </w:r>
    </w:p>
    <w:p w:rsidR="00D7362B" w:rsidRPr="005623CE" w:rsidRDefault="00D7362B" w:rsidP="00BE66F7">
      <w:pPr>
        <w:jc w:val="both"/>
        <w:rPr>
          <w:rFonts w:ascii="Arial" w:hAnsi="Arial"/>
          <w:highlight w:val="yellow"/>
        </w:rPr>
      </w:pPr>
    </w:p>
    <w:p w:rsidR="00F12579" w:rsidRPr="005623CE" w:rsidRDefault="00F12579" w:rsidP="00BE19E2">
      <w:pPr>
        <w:autoSpaceDE w:val="0"/>
        <w:autoSpaceDN w:val="0"/>
        <w:adjustRightInd w:val="0"/>
        <w:spacing w:after="0" w:line="240" w:lineRule="auto"/>
        <w:ind w:right="-149"/>
        <w:outlineLvl w:val="0"/>
        <w:rPr>
          <w:rFonts w:ascii="Arial" w:eastAsia="Times New Roman" w:hAnsi="Arial" w:cs="Times New Roman"/>
          <w:sz w:val="24"/>
          <w:szCs w:val="24"/>
          <w:lang w:eastAsia="en-CA"/>
        </w:rPr>
      </w:pPr>
    </w:p>
    <w:p w:rsidR="00C77872" w:rsidRPr="005623CE" w:rsidRDefault="002B34CF" w:rsidP="00BE19E2">
      <w:pPr>
        <w:rPr>
          <w:rFonts w:ascii="Arial" w:hAnsi="Arial"/>
        </w:rPr>
      </w:pPr>
      <w:r>
        <w:rPr>
          <w:rFonts w:ascii="Arial" w:hAnsi="Arial"/>
          <w:noProof/>
          <w:lang w:val="en-US"/>
        </w:rPr>
        <w:pict>
          <v:shapetype id="_x0000_t202" coordsize="21600,21600" o:spt="202" path="m0,0l0,21600,21600,21600,21600,0xe">
            <v:stroke joinstyle="miter"/>
            <v:path gradientshapeok="t" o:connecttype="rect"/>
          </v:shapetype>
          <v:shape id="_x0000_s1027" type="#_x0000_t202" style="position:absolute;margin-left:9pt;margin-top:-203.9pt;width:9pt;height:18pt;z-index:251659264;mso-wrap-edited:f" wrapcoords="0 0 21600 0 21600 21600 0 21600 0 0" filled="f" stroked="f">
            <v:fill o:detectmouseclick="t"/>
            <v:textbox inset=",7.2pt,,7.2pt">
              <w:txbxContent>
                <w:p w:rsidR="00A34CC3" w:rsidRDefault="00A34CC3">
                  <w:r>
                    <w:t>7</w:t>
                  </w:r>
                </w:p>
              </w:txbxContent>
            </v:textbox>
            <w10:wrap type="tight"/>
          </v:shape>
        </w:pict>
      </w:r>
      <w:r>
        <w:rPr>
          <w:rFonts w:ascii="Arial" w:hAnsi="Arial"/>
          <w:noProof/>
          <w:lang w:val="en-US"/>
        </w:rPr>
        <w:pict>
          <v:shape id="_x0000_s1026" type="#_x0000_t202" style="position:absolute;margin-left:9pt;margin-top:-329.9pt;width:9pt;height:9pt;z-index:251658240;mso-wrap-edited:f" wrapcoords="0 0 21600 0 21600 21600 0 21600 0 0" filled="f" stroked="f">
            <v:fill o:detectmouseclick="t"/>
            <v:textbox inset=",7.2pt,,7.2pt">
              <w:txbxContent>
                <w:p w:rsidR="00A34CC3" w:rsidRDefault="00A34CC3">
                  <w:r>
                    <w:t>a</w:t>
                  </w:r>
                </w:p>
              </w:txbxContent>
            </v:textbox>
            <w10:wrap type="tight"/>
          </v:shape>
        </w:pict>
      </w:r>
      <w:r w:rsidR="00F12579" w:rsidRPr="005623CE">
        <w:rPr>
          <w:rFonts w:ascii="Arial" w:hAnsi="Arial"/>
          <w:noProof/>
          <w:lang w:val="en-US"/>
        </w:rPr>
        <w:drawing>
          <wp:inline distT="0" distB="0" distL="0" distR="0">
            <wp:extent cx="5486400" cy="1809750"/>
            <wp:effectExtent l="19050" t="0" r="19050" b="0"/>
            <wp:docPr id="39"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F12579" w:rsidRPr="005623CE">
        <w:rPr>
          <w:rFonts w:ascii="Arial" w:hAnsi="Arial"/>
          <w:noProof/>
          <w:lang w:val="en-US"/>
        </w:rPr>
        <w:drawing>
          <wp:inline distT="0" distB="0" distL="0" distR="0">
            <wp:extent cx="5487670" cy="1666875"/>
            <wp:effectExtent l="19050" t="0" r="17780" b="0"/>
            <wp:docPr id="40"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B866E7" w:rsidRPr="00B866E7">
        <w:rPr>
          <w:rFonts w:ascii="Arial" w:hAnsi="Arial"/>
          <w:noProof/>
          <w:lang w:val="en-US"/>
        </w:rPr>
        <w:drawing>
          <wp:inline distT="0" distB="0" distL="0" distR="0">
            <wp:extent cx="5486400" cy="1504602"/>
            <wp:effectExtent l="19050" t="0" r="19050" b="348"/>
            <wp:docPr id="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F12579" w:rsidRPr="005623CE">
        <w:rPr>
          <w:rFonts w:ascii="Arial" w:hAnsi="Arial"/>
          <w:noProof/>
          <w:lang w:val="en-US"/>
        </w:rPr>
        <w:drawing>
          <wp:inline distT="0" distB="0" distL="0" distR="0">
            <wp:extent cx="5486400" cy="1676400"/>
            <wp:effectExtent l="19050" t="0" r="19050" b="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BE19E2" w:rsidRPr="00905D69" w:rsidRDefault="005C42AD" w:rsidP="00BE66F7">
      <w:pPr>
        <w:spacing w:after="0" w:line="240" w:lineRule="auto"/>
        <w:ind w:left="720"/>
        <w:jc w:val="both"/>
        <w:rPr>
          <w:rFonts w:ascii="Arial" w:eastAsia="Times New Roman" w:hAnsi="Arial" w:cs="Times New Roman"/>
          <w:bCs/>
          <w:color w:val="000000"/>
          <w:lang w:eastAsia="en-CA"/>
        </w:rPr>
      </w:pPr>
      <w:r w:rsidRPr="005623CE">
        <w:rPr>
          <w:rFonts w:ascii="Arial" w:eastAsia="Times New Roman" w:hAnsi="Arial" w:cs="Times New Roman"/>
          <w:b/>
          <w:bCs/>
          <w:color w:val="000000"/>
          <w:lang w:eastAsia="en-CA"/>
        </w:rPr>
        <w:t xml:space="preserve">Figure </w:t>
      </w:r>
      <w:r w:rsidR="00F12579" w:rsidRPr="005623CE">
        <w:rPr>
          <w:rFonts w:ascii="Arial" w:eastAsia="Times New Roman" w:hAnsi="Arial" w:cs="Times New Roman"/>
          <w:b/>
          <w:bCs/>
          <w:color w:val="000000"/>
          <w:lang w:eastAsia="en-CA"/>
        </w:rPr>
        <w:t>7</w:t>
      </w:r>
      <w:r w:rsidR="00D7362B" w:rsidRPr="005623CE">
        <w:rPr>
          <w:rFonts w:ascii="Arial" w:eastAsia="Times New Roman" w:hAnsi="Arial" w:cs="Times New Roman"/>
          <w:b/>
          <w:bCs/>
          <w:color w:val="000000"/>
          <w:lang w:eastAsia="en-CA"/>
        </w:rPr>
        <w:t xml:space="preserve">. Distribution of </w:t>
      </w:r>
      <w:r w:rsidR="00C03D45" w:rsidRPr="005623CE">
        <w:rPr>
          <w:rFonts w:ascii="Arial" w:eastAsia="Times New Roman" w:hAnsi="Arial" w:cs="Times New Roman"/>
          <w:b/>
          <w:bCs/>
          <w:color w:val="000000"/>
          <w:lang w:eastAsia="en-CA"/>
        </w:rPr>
        <w:t>2012</w:t>
      </w:r>
      <w:r w:rsidR="00D7362B" w:rsidRPr="005623CE">
        <w:rPr>
          <w:rFonts w:ascii="Arial" w:eastAsia="Times New Roman" w:hAnsi="Arial" w:cs="Times New Roman"/>
          <w:b/>
          <w:bCs/>
          <w:color w:val="000000"/>
          <w:lang w:eastAsia="en-CA"/>
        </w:rPr>
        <w:t xml:space="preserve"> delay (months) for PA and RA deposits</w:t>
      </w:r>
      <w:r w:rsidRPr="005623CE">
        <w:rPr>
          <w:rFonts w:ascii="Arial" w:eastAsia="Times New Roman" w:hAnsi="Arial" w:cs="Times New Roman"/>
          <w:b/>
          <w:bCs/>
          <w:color w:val="000000"/>
          <w:lang w:eastAsia="en-CA"/>
        </w:rPr>
        <w:t xml:space="preserve"> for U. Minho, U. Liège, U. Surrey (Mandated) &amp; U. </w:t>
      </w:r>
      <w:r w:rsidR="009C524B" w:rsidRPr="005623CE">
        <w:rPr>
          <w:rFonts w:ascii="Arial" w:eastAsia="Times New Roman" w:hAnsi="Arial" w:cs="Times New Roman"/>
          <w:b/>
          <w:bCs/>
          <w:color w:val="000000"/>
          <w:lang w:eastAsia="en-CA"/>
        </w:rPr>
        <w:t>Lancaster</w:t>
      </w:r>
      <w:r w:rsidRPr="005623CE">
        <w:rPr>
          <w:rFonts w:ascii="Arial" w:eastAsia="Times New Roman" w:hAnsi="Arial" w:cs="Times New Roman"/>
          <w:b/>
          <w:bCs/>
          <w:color w:val="000000"/>
          <w:lang w:eastAsia="en-CA"/>
        </w:rPr>
        <w:t xml:space="preserve"> (Non-Mandated)</w:t>
      </w:r>
      <w:r w:rsidR="00905D69">
        <w:rPr>
          <w:rFonts w:ascii="Arial" w:eastAsia="Times New Roman" w:hAnsi="Arial" w:cs="Times New Roman"/>
          <w:b/>
          <w:bCs/>
          <w:color w:val="000000"/>
          <w:lang w:eastAsia="en-CA"/>
        </w:rPr>
        <w:t xml:space="preserve">. </w:t>
      </w:r>
      <w:r w:rsidR="00905D69">
        <w:rPr>
          <w:rFonts w:ascii="Arial" w:eastAsia="Times New Roman" w:hAnsi="Arial" w:cs="Times New Roman"/>
          <w:bCs/>
          <w:color w:val="000000"/>
          <w:lang w:eastAsia="en-CA"/>
        </w:rPr>
        <w:t xml:space="preserve">Note that Liège’s averages </w:t>
      </w:r>
      <w:r w:rsidR="00B866E7">
        <w:rPr>
          <w:rFonts w:ascii="Arial" w:eastAsia="Times New Roman" w:hAnsi="Arial" w:cs="Times New Roman"/>
          <w:bCs/>
          <w:color w:val="000000"/>
          <w:lang w:eastAsia="en-CA"/>
        </w:rPr>
        <w:t xml:space="preserve">(7b) </w:t>
      </w:r>
      <w:r w:rsidR="00905D69">
        <w:rPr>
          <w:rFonts w:ascii="Arial" w:eastAsia="Times New Roman" w:hAnsi="Arial" w:cs="Times New Roman"/>
          <w:bCs/>
          <w:color w:val="000000"/>
          <w:lang w:eastAsia="en-CA"/>
        </w:rPr>
        <w:t>precede the publication date for both PA and RA deposits.</w:t>
      </w:r>
    </w:p>
    <w:p w:rsidR="007F2154" w:rsidRDefault="007F2154" w:rsidP="00BE66F7">
      <w:pPr>
        <w:autoSpaceDE w:val="0"/>
        <w:autoSpaceDN w:val="0"/>
        <w:adjustRightInd w:val="0"/>
        <w:spacing w:after="0" w:line="240" w:lineRule="auto"/>
        <w:ind w:right="-149"/>
        <w:jc w:val="both"/>
        <w:outlineLvl w:val="0"/>
        <w:rPr>
          <w:rFonts w:ascii="Arial" w:eastAsia="Times New Roman" w:hAnsi="Arial" w:cs="Times New Roman"/>
          <w:b/>
          <w:sz w:val="24"/>
          <w:szCs w:val="24"/>
          <w:lang w:eastAsia="en-CA"/>
        </w:rPr>
      </w:pPr>
    </w:p>
    <w:p w:rsidR="00E22B76" w:rsidRPr="005623CE" w:rsidRDefault="00E22B76" w:rsidP="00BE66F7">
      <w:pPr>
        <w:autoSpaceDE w:val="0"/>
        <w:autoSpaceDN w:val="0"/>
        <w:adjustRightInd w:val="0"/>
        <w:spacing w:after="0" w:line="240" w:lineRule="auto"/>
        <w:ind w:right="-149"/>
        <w:jc w:val="both"/>
        <w:outlineLvl w:val="0"/>
        <w:rPr>
          <w:rFonts w:ascii="Arial" w:eastAsia="Times New Roman" w:hAnsi="Arial" w:cs="Times New Roman"/>
          <w:b/>
          <w:sz w:val="24"/>
          <w:szCs w:val="24"/>
          <w:lang w:eastAsia="en-CA"/>
        </w:rPr>
      </w:pPr>
    </w:p>
    <w:p w:rsidR="00D84BF6" w:rsidRDefault="00BE66F7" w:rsidP="00BE66F7">
      <w:pPr>
        <w:autoSpaceDE w:val="0"/>
        <w:autoSpaceDN w:val="0"/>
        <w:adjustRightInd w:val="0"/>
        <w:spacing w:after="0" w:line="240" w:lineRule="auto"/>
        <w:ind w:right="-149"/>
        <w:jc w:val="both"/>
        <w:outlineLvl w:val="0"/>
        <w:rPr>
          <w:rFonts w:ascii="Arial" w:eastAsia="Times New Roman" w:hAnsi="Arial" w:cs="Times New Roman"/>
          <w:sz w:val="24"/>
          <w:szCs w:val="24"/>
          <w:lang w:eastAsia="en-CA"/>
        </w:rPr>
      </w:pPr>
      <w:r w:rsidRPr="00BE66F7">
        <w:rPr>
          <w:rFonts w:ascii="Arial" w:eastAsia="Times New Roman" w:hAnsi="Arial" w:cs="Times New Roman"/>
          <w:b/>
          <w:sz w:val="24"/>
          <w:szCs w:val="24"/>
          <w:lang w:eastAsia="en-CA"/>
        </w:rPr>
        <w:t>10. Other Kinds of Content.</w:t>
      </w:r>
      <w:r>
        <w:rPr>
          <w:rFonts w:ascii="Arial" w:eastAsia="Times New Roman" w:hAnsi="Arial" w:cs="Times New Roman"/>
          <w:sz w:val="24"/>
          <w:szCs w:val="24"/>
          <w:lang w:eastAsia="en-CA"/>
        </w:rPr>
        <w:t xml:space="preserve"> </w:t>
      </w:r>
      <w:r w:rsidR="00E70524">
        <w:rPr>
          <w:rFonts w:ascii="Arial" w:eastAsia="Times New Roman" w:hAnsi="Arial" w:cs="Times New Roman"/>
          <w:sz w:val="24"/>
          <w:szCs w:val="24"/>
          <w:lang w:eastAsia="en-CA"/>
        </w:rPr>
        <w:t>This analysis has been on the OA movement</w:t>
      </w:r>
      <w:r w:rsidR="006E7E1E">
        <w:rPr>
          <w:rFonts w:ascii="Arial" w:eastAsia="Times New Roman" w:hAnsi="Arial" w:cs="Times New Roman"/>
          <w:sz w:val="24"/>
          <w:szCs w:val="24"/>
          <w:lang w:eastAsia="en-CA"/>
        </w:rPr>
        <w:t>’</w:t>
      </w:r>
      <w:r w:rsidR="00E70524">
        <w:rPr>
          <w:rFonts w:ascii="Arial" w:eastAsia="Times New Roman" w:hAnsi="Arial" w:cs="Times New Roman"/>
          <w:sz w:val="24"/>
          <w:szCs w:val="24"/>
          <w:lang w:eastAsia="en-CA"/>
        </w:rPr>
        <w:t xml:space="preserve">s primary target: refereed journal articles. </w:t>
      </w:r>
      <w:r w:rsidR="00346514">
        <w:rPr>
          <w:rFonts w:ascii="Arial" w:eastAsia="Times New Roman" w:hAnsi="Arial" w:cs="Times New Roman"/>
          <w:sz w:val="24"/>
          <w:szCs w:val="24"/>
          <w:lang w:eastAsia="en-CA"/>
        </w:rPr>
        <w:t>We close with an</w:t>
      </w:r>
      <w:r w:rsidR="00BE52B8" w:rsidRPr="005623CE">
        <w:rPr>
          <w:rFonts w:ascii="Arial" w:eastAsia="Times New Roman" w:hAnsi="Arial" w:cs="Times New Roman"/>
          <w:sz w:val="24"/>
          <w:szCs w:val="24"/>
          <w:lang w:eastAsia="en-CA"/>
        </w:rPr>
        <w:t xml:space="preserve"> analysis of</w:t>
      </w:r>
      <w:r w:rsidR="007F2154" w:rsidRPr="005623CE">
        <w:rPr>
          <w:rFonts w:ascii="Arial" w:eastAsia="Times New Roman" w:hAnsi="Arial" w:cs="Times New Roman"/>
          <w:sz w:val="24"/>
          <w:szCs w:val="24"/>
          <w:lang w:eastAsia="en-CA"/>
        </w:rPr>
        <w:t xml:space="preserve"> all types of documents deposited in Minho</w:t>
      </w:r>
      <w:r w:rsidR="00BE52B8" w:rsidRPr="005623CE">
        <w:rPr>
          <w:rFonts w:ascii="Arial" w:eastAsia="Times New Roman" w:hAnsi="Arial" w:cs="Times New Roman"/>
          <w:sz w:val="24"/>
          <w:szCs w:val="24"/>
          <w:lang w:eastAsia="en-CA"/>
        </w:rPr>
        <w:t>’s</w:t>
      </w:r>
      <w:r w:rsidR="007F2154" w:rsidRPr="005623CE">
        <w:rPr>
          <w:rFonts w:ascii="Arial" w:eastAsia="Times New Roman" w:hAnsi="Arial" w:cs="Times New Roman"/>
          <w:sz w:val="24"/>
          <w:szCs w:val="24"/>
          <w:lang w:eastAsia="en-CA"/>
        </w:rPr>
        <w:t xml:space="preserve"> repository (N= 23738, </w:t>
      </w:r>
      <w:r w:rsidR="00BE52B8" w:rsidRPr="005623CE">
        <w:rPr>
          <w:rFonts w:ascii="Arial" w:eastAsia="Times New Roman" w:hAnsi="Arial" w:cs="Times New Roman"/>
          <w:sz w:val="24"/>
          <w:szCs w:val="24"/>
          <w:lang w:eastAsia="en-CA"/>
        </w:rPr>
        <w:t xml:space="preserve">for </w:t>
      </w:r>
      <w:r w:rsidR="007F2154" w:rsidRPr="005623CE">
        <w:rPr>
          <w:rFonts w:ascii="Arial" w:eastAsia="Times New Roman" w:hAnsi="Arial" w:cs="Times New Roman"/>
          <w:sz w:val="24"/>
          <w:szCs w:val="24"/>
          <w:lang w:eastAsia="en-CA"/>
        </w:rPr>
        <w:t>publication years 1976-2013)</w:t>
      </w:r>
      <w:r w:rsidR="00346514">
        <w:rPr>
          <w:rFonts w:ascii="Arial" w:eastAsia="Times New Roman" w:hAnsi="Arial" w:cs="Times New Roman"/>
          <w:sz w:val="24"/>
          <w:szCs w:val="24"/>
          <w:lang w:eastAsia="en-CA"/>
        </w:rPr>
        <w:t xml:space="preserve">. </w:t>
      </w:r>
      <w:r w:rsidR="00346514" w:rsidRPr="00346514">
        <w:rPr>
          <w:rFonts w:ascii="Arial" w:eastAsia="Times New Roman" w:hAnsi="Arial" w:cs="Times New Roman"/>
          <w:b/>
          <w:sz w:val="24"/>
          <w:szCs w:val="24"/>
          <w:lang w:eastAsia="en-CA"/>
        </w:rPr>
        <w:t>Figure 8</w:t>
      </w:r>
      <w:r w:rsidR="007F2154" w:rsidRPr="005623CE">
        <w:rPr>
          <w:rFonts w:ascii="Arial" w:eastAsia="Times New Roman" w:hAnsi="Arial" w:cs="Times New Roman"/>
          <w:sz w:val="24"/>
          <w:szCs w:val="24"/>
          <w:lang w:eastAsia="en-CA"/>
        </w:rPr>
        <w:t xml:space="preserve"> shows that articles and conference papers are the most </w:t>
      </w:r>
      <w:r w:rsidR="00BE52B8" w:rsidRPr="005623CE">
        <w:rPr>
          <w:rFonts w:ascii="Arial" w:eastAsia="Times New Roman" w:hAnsi="Arial" w:cs="Times New Roman"/>
          <w:sz w:val="24"/>
          <w:szCs w:val="24"/>
          <w:lang w:eastAsia="en-CA"/>
        </w:rPr>
        <w:t>frequent document type</w:t>
      </w:r>
      <w:r w:rsidR="007F2154" w:rsidRPr="005623CE">
        <w:rPr>
          <w:rFonts w:ascii="Arial" w:eastAsia="Times New Roman" w:hAnsi="Arial" w:cs="Times New Roman"/>
          <w:sz w:val="24"/>
          <w:szCs w:val="24"/>
          <w:lang w:eastAsia="en-CA"/>
        </w:rPr>
        <w:t xml:space="preserve"> (35% each), followed by Master thes</w:t>
      </w:r>
      <w:r w:rsidR="00BE52B8" w:rsidRPr="005623CE">
        <w:rPr>
          <w:rFonts w:ascii="Arial" w:eastAsia="Times New Roman" w:hAnsi="Arial" w:cs="Times New Roman"/>
          <w:sz w:val="24"/>
          <w:szCs w:val="24"/>
          <w:lang w:eastAsia="en-CA"/>
        </w:rPr>
        <w:t>e</w:t>
      </w:r>
      <w:r w:rsidR="007F2154" w:rsidRPr="005623CE">
        <w:rPr>
          <w:rFonts w:ascii="Arial" w:eastAsia="Times New Roman" w:hAnsi="Arial" w:cs="Times New Roman"/>
          <w:sz w:val="24"/>
          <w:szCs w:val="24"/>
          <w:lang w:eastAsia="en-CA"/>
        </w:rPr>
        <w:t>s (11%)</w:t>
      </w:r>
      <w:r w:rsidR="00D84BF6" w:rsidRPr="005623CE">
        <w:rPr>
          <w:rFonts w:ascii="Arial" w:eastAsia="Times New Roman" w:hAnsi="Arial" w:cs="Times New Roman"/>
          <w:sz w:val="24"/>
          <w:szCs w:val="24"/>
          <w:lang w:eastAsia="en-CA"/>
        </w:rPr>
        <w:t>, Doctoral thes</w:t>
      </w:r>
      <w:r w:rsidR="00BE52B8" w:rsidRPr="005623CE">
        <w:rPr>
          <w:rFonts w:ascii="Arial" w:eastAsia="Times New Roman" w:hAnsi="Arial" w:cs="Times New Roman"/>
          <w:sz w:val="24"/>
          <w:szCs w:val="24"/>
          <w:lang w:eastAsia="en-CA"/>
        </w:rPr>
        <w:t>e</w:t>
      </w:r>
      <w:r w:rsidR="00D84BF6" w:rsidRPr="005623CE">
        <w:rPr>
          <w:rFonts w:ascii="Arial" w:eastAsia="Times New Roman" w:hAnsi="Arial" w:cs="Times New Roman"/>
          <w:sz w:val="24"/>
          <w:szCs w:val="24"/>
          <w:lang w:eastAsia="en-CA"/>
        </w:rPr>
        <w:t xml:space="preserve">s (5%) and Book </w:t>
      </w:r>
      <w:r w:rsidR="00BE52B8" w:rsidRPr="005623CE">
        <w:rPr>
          <w:rFonts w:ascii="Arial" w:eastAsia="Times New Roman" w:hAnsi="Arial" w:cs="Times New Roman"/>
          <w:sz w:val="24"/>
          <w:szCs w:val="24"/>
          <w:lang w:eastAsia="en-CA"/>
        </w:rPr>
        <w:t>Chapters</w:t>
      </w:r>
      <w:r w:rsidR="00D84BF6" w:rsidRPr="005623CE">
        <w:rPr>
          <w:rFonts w:ascii="Arial" w:eastAsia="Times New Roman" w:hAnsi="Arial" w:cs="Times New Roman"/>
          <w:sz w:val="24"/>
          <w:szCs w:val="24"/>
          <w:lang w:eastAsia="en-CA"/>
        </w:rPr>
        <w:t xml:space="preserve"> (5%)</w:t>
      </w:r>
      <w:r w:rsidR="00346514">
        <w:rPr>
          <w:rFonts w:ascii="Arial" w:eastAsia="Times New Roman" w:hAnsi="Arial" w:cs="Times New Roman"/>
          <w:sz w:val="24"/>
          <w:szCs w:val="24"/>
          <w:lang w:eastAsia="en-CA"/>
        </w:rPr>
        <w:t>.</w:t>
      </w:r>
    </w:p>
    <w:p w:rsidR="00E22B76" w:rsidRPr="005623CE" w:rsidRDefault="00E22B76" w:rsidP="00BE66F7">
      <w:pPr>
        <w:autoSpaceDE w:val="0"/>
        <w:autoSpaceDN w:val="0"/>
        <w:adjustRightInd w:val="0"/>
        <w:spacing w:after="0" w:line="240" w:lineRule="auto"/>
        <w:ind w:right="-149"/>
        <w:jc w:val="both"/>
        <w:outlineLvl w:val="0"/>
        <w:rPr>
          <w:rFonts w:ascii="Arial" w:eastAsia="Times New Roman" w:hAnsi="Arial" w:cs="Times New Roman"/>
          <w:sz w:val="24"/>
          <w:szCs w:val="24"/>
          <w:lang w:eastAsia="en-CA"/>
        </w:rPr>
      </w:pPr>
    </w:p>
    <w:p w:rsidR="007F2154" w:rsidRPr="005623CE" w:rsidRDefault="007F2154" w:rsidP="00BE19E2">
      <w:pPr>
        <w:autoSpaceDE w:val="0"/>
        <w:autoSpaceDN w:val="0"/>
        <w:adjustRightInd w:val="0"/>
        <w:spacing w:after="0" w:line="240" w:lineRule="auto"/>
        <w:ind w:right="-149"/>
        <w:outlineLvl w:val="0"/>
        <w:rPr>
          <w:rFonts w:ascii="Arial" w:eastAsia="Times New Roman" w:hAnsi="Arial" w:cs="Times New Roman"/>
          <w:b/>
          <w:sz w:val="24"/>
          <w:szCs w:val="24"/>
          <w:lang w:eastAsia="en-CA"/>
        </w:rPr>
      </w:pPr>
      <w:r w:rsidRPr="005623CE">
        <w:rPr>
          <w:rFonts w:ascii="Arial" w:eastAsia="Times New Roman" w:hAnsi="Arial" w:cs="Times New Roman"/>
          <w:sz w:val="24"/>
          <w:szCs w:val="24"/>
          <w:lang w:eastAsia="en-CA"/>
        </w:rPr>
        <w:t xml:space="preserve"> </w:t>
      </w:r>
    </w:p>
    <w:p w:rsidR="00483BA4" w:rsidRPr="005623CE" w:rsidRDefault="00F12579" w:rsidP="00F12579">
      <w:pPr>
        <w:jc w:val="center"/>
        <w:rPr>
          <w:rFonts w:ascii="Arial" w:hAnsi="Arial"/>
        </w:rPr>
      </w:pPr>
      <w:r w:rsidRPr="005623CE">
        <w:rPr>
          <w:rFonts w:ascii="Arial" w:hAnsi="Arial"/>
          <w:noProof/>
          <w:lang w:val="en-US"/>
        </w:rPr>
        <w:drawing>
          <wp:inline distT="0" distB="0" distL="0" distR="0">
            <wp:extent cx="4243070" cy="2181225"/>
            <wp:effectExtent l="19050" t="0" r="24130" b="0"/>
            <wp:docPr id="3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483BA4" w:rsidRDefault="00971F56" w:rsidP="00BE66F7">
      <w:pPr>
        <w:spacing w:after="0" w:line="240" w:lineRule="auto"/>
        <w:ind w:left="720"/>
        <w:jc w:val="both"/>
        <w:rPr>
          <w:rFonts w:ascii="Arial" w:eastAsia="Times New Roman" w:hAnsi="Arial" w:cs="Times New Roman"/>
          <w:b/>
          <w:bCs/>
          <w:color w:val="000000"/>
          <w:lang w:eastAsia="en-CA"/>
        </w:rPr>
      </w:pPr>
      <w:r w:rsidRPr="005623CE">
        <w:rPr>
          <w:rFonts w:ascii="Arial" w:eastAsia="Times New Roman" w:hAnsi="Arial" w:cs="Times New Roman"/>
          <w:b/>
          <w:bCs/>
          <w:color w:val="000000"/>
          <w:lang w:eastAsia="en-CA"/>
        </w:rPr>
        <w:t xml:space="preserve">Figure </w:t>
      </w:r>
      <w:r w:rsidR="00F12579" w:rsidRPr="005623CE">
        <w:rPr>
          <w:rFonts w:ascii="Arial" w:eastAsia="Times New Roman" w:hAnsi="Arial" w:cs="Times New Roman"/>
          <w:b/>
          <w:bCs/>
          <w:color w:val="000000"/>
          <w:lang w:eastAsia="en-CA"/>
        </w:rPr>
        <w:t>8</w:t>
      </w:r>
      <w:r w:rsidRPr="005623CE">
        <w:rPr>
          <w:rFonts w:ascii="Arial" w:eastAsia="Times New Roman" w:hAnsi="Arial" w:cs="Times New Roman"/>
          <w:b/>
          <w:bCs/>
          <w:color w:val="000000"/>
          <w:lang w:eastAsia="en-CA"/>
        </w:rPr>
        <w:t xml:space="preserve">. </w:t>
      </w:r>
      <w:r w:rsidR="00BE52B8" w:rsidRPr="005623CE">
        <w:rPr>
          <w:rFonts w:ascii="Arial" w:eastAsia="Times New Roman" w:hAnsi="Arial" w:cs="Times New Roman"/>
          <w:b/>
          <w:bCs/>
          <w:color w:val="000000"/>
          <w:lang w:eastAsia="en-CA"/>
        </w:rPr>
        <w:t>Types of</w:t>
      </w:r>
      <w:r w:rsidRPr="005623CE">
        <w:rPr>
          <w:rFonts w:ascii="Arial" w:eastAsia="Times New Roman" w:hAnsi="Arial" w:cs="Times New Roman"/>
          <w:b/>
          <w:bCs/>
          <w:color w:val="000000"/>
          <w:lang w:eastAsia="en-CA"/>
        </w:rPr>
        <w:t xml:space="preserve"> Documents </w:t>
      </w:r>
      <w:r w:rsidR="001C54F3">
        <w:rPr>
          <w:rFonts w:ascii="Arial" w:eastAsia="Times New Roman" w:hAnsi="Arial" w:cs="Times New Roman"/>
          <w:b/>
          <w:bCs/>
          <w:color w:val="000000"/>
          <w:lang w:eastAsia="en-CA"/>
        </w:rPr>
        <w:t>Deposited</w:t>
      </w:r>
      <w:r w:rsidR="00BE52B8" w:rsidRPr="005623CE">
        <w:rPr>
          <w:rFonts w:ascii="Arial" w:eastAsia="Times New Roman" w:hAnsi="Arial" w:cs="Times New Roman"/>
          <w:b/>
          <w:bCs/>
          <w:color w:val="000000"/>
          <w:lang w:eastAsia="en-CA"/>
        </w:rPr>
        <w:t xml:space="preserve">, </w:t>
      </w:r>
      <w:r w:rsidRPr="005623CE">
        <w:rPr>
          <w:rFonts w:ascii="Arial" w:eastAsia="Times New Roman" w:hAnsi="Arial" w:cs="Times New Roman"/>
          <w:b/>
          <w:bCs/>
          <w:color w:val="000000"/>
          <w:lang w:eastAsia="en-CA"/>
        </w:rPr>
        <w:t>1976-2013</w:t>
      </w:r>
    </w:p>
    <w:p w:rsidR="00E22B76" w:rsidRPr="005623CE" w:rsidRDefault="00E22B76" w:rsidP="00BE66F7">
      <w:pPr>
        <w:spacing w:after="0" w:line="240" w:lineRule="auto"/>
        <w:ind w:left="720"/>
        <w:jc w:val="both"/>
        <w:rPr>
          <w:rFonts w:ascii="Arial" w:eastAsia="Times New Roman" w:hAnsi="Arial" w:cs="Times New Roman"/>
          <w:b/>
          <w:bCs/>
          <w:color w:val="000000"/>
          <w:lang w:eastAsia="en-CA"/>
        </w:rPr>
      </w:pPr>
    </w:p>
    <w:p w:rsidR="007D737D" w:rsidRPr="005623CE" w:rsidRDefault="007D737D" w:rsidP="00BE66F7">
      <w:pPr>
        <w:spacing w:after="0" w:line="240" w:lineRule="auto"/>
        <w:jc w:val="both"/>
        <w:rPr>
          <w:rFonts w:ascii="Arial" w:eastAsia="Times New Roman" w:hAnsi="Arial" w:cs="Times New Roman"/>
          <w:b/>
          <w:bCs/>
          <w:color w:val="000000"/>
          <w:lang w:eastAsia="en-CA"/>
        </w:rPr>
      </w:pPr>
    </w:p>
    <w:p w:rsidR="00E22B76" w:rsidRDefault="00D84BF6" w:rsidP="00BE66F7">
      <w:pPr>
        <w:jc w:val="both"/>
        <w:rPr>
          <w:rFonts w:ascii="Arial" w:eastAsia="Times New Roman" w:hAnsi="Arial" w:cs="Times New Roman"/>
          <w:sz w:val="24"/>
          <w:szCs w:val="24"/>
          <w:lang w:eastAsia="en-CA"/>
        </w:rPr>
      </w:pPr>
      <w:r w:rsidRPr="005623CE">
        <w:rPr>
          <w:rFonts w:ascii="Arial" w:eastAsia="Times New Roman" w:hAnsi="Arial" w:cs="Times New Roman"/>
          <w:b/>
          <w:sz w:val="24"/>
          <w:szCs w:val="24"/>
          <w:lang w:eastAsia="en-CA"/>
        </w:rPr>
        <w:t xml:space="preserve">Figure </w:t>
      </w:r>
      <w:r w:rsidR="00671E8C" w:rsidRPr="005623CE">
        <w:rPr>
          <w:rFonts w:ascii="Arial" w:eastAsia="Times New Roman" w:hAnsi="Arial" w:cs="Times New Roman"/>
          <w:b/>
          <w:sz w:val="24"/>
          <w:szCs w:val="24"/>
          <w:lang w:eastAsia="en-CA"/>
        </w:rPr>
        <w:t>9</w:t>
      </w:r>
      <w:r w:rsidR="00326900" w:rsidRPr="005623CE">
        <w:rPr>
          <w:rFonts w:ascii="Arial" w:eastAsia="Times New Roman" w:hAnsi="Arial" w:cs="Times New Roman"/>
          <w:b/>
          <w:sz w:val="24"/>
          <w:szCs w:val="24"/>
          <w:lang w:eastAsia="en-CA"/>
        </w:rPr>
        <w:t xml:space="preserve"> </w:t>
      </w:r>
      <w:r w:rsidR="00326900" w:rsidRPr="005623CE">
        <w:rPr>
          <w:rFonts w:ascii="Arial" w:eastAsia="Times New Roman" w:hAnsi="Arial" w:cs="Times New Roman"/>
          <w:sz w:val="24"/>
          <w:szCs w:val="24"/>
          <w:lang w:eastAsia="en-CA"/>
        </w:rPr>
        <w:t>and</w:t>
      </w:r>
      <w:r w:rsidR="00326900" w:rsidRPr="005623CE">
        <w:rPr>
          <w:rFonts w:ascii="Arial" w:eastAsia="Times New Roman" w:hAnsi="Arial" w:cs="Times New Roman"/>
          <w:b/>
          <w:sz w:val="24"/>
          <w:szCs w:val="24"/>
          <w:lang w:eastAsia="en-CA"/>
        </w:rPr>
        <w:t xml:space="preserve"> Figure </w:t>
      </w:r>
      <w:r w:rsidR="00671E8C" w:rsidRPr="005623CE">
        <w:rPr>
          <w:rFonts w:ascii="Arial" w:eastAsia="Times New Roman" w:hAnsi="Arial" w:cs="Times New Roman"/>
          <w:b/>
          <w:sz w:val="24"/>
          <w:szCs w:val="24"/>
          <w:lang w:eastAsia="en-CA"/>
        </w:rPr>
        <w:t>10</w:t>
      </w:r>
      <w:r w:rsidRPr="005623CE">
        <w:rPr>
          <w:rFonts w:ascii="Arial" w:eastAsia="Times New Roman" w:hAnsi="Arial" w:cs="Times New Roman"/>
          <w:sz w:val="24"/>
          <w:szCs w:val="24"/>
          <w:lang w:eastAsia="en-CA"/>
        </w:rPr>
        <w:t xml:space="preserve"> show th</w:t>
      </w:r>
      <w:r w:rsidR="00BE52B8" w:rsidRPr="005623CE">
        <w:rPr>
          <w:rFonts w:ascii="Arial" w:eastAsia="Times New Roman" w:hAnsi="Arial" w:cs="Times New Roman"/>
          <w:sz w:val="24"/>
          <w:szCs w:val="24"/>
          <w:lang w:eastAsia="en-CA"/>
        </w:rPr>
        <w:t>at for each of type of document</w:t>
      </w:r>
      <w:r w:rsidRPr="005623CE">
        <w:rPr>
          <w:rFonts w:ascii="Arial" w:eastAsia="Times New Roman" w:hAnsi="Arial" w:cs="Times New Roman"/>
          <w:sz w:val="24"/>
          <w:szCs w:val="24"/>
          <w:lang w:eastAsia="en-CA"/>
        </w:rPr>
        <w:t xml:space="preserve">, </w:t>
      </w:r>
      <w:r w:rsidR="00E70524">
        <w:rPr>
          <w:rFonts w:ascii="Arial" w:eastAsia="Times New Roman" w:hAnsi="Arial" w:cs="Times New Roman"/>
          <w:sz w:val="24"/>
          <w:szCs w:val="24"/>
          <w:lang w:eastAsia="en-CA"/>
        </w:rPr>
        <w:t xml:space="preserve">Minho </w:t>
      </w:r>
      <w:r w:rsidRPr="005623CE">
        <w:rPr>
          <w:rFonts w:ascii="Arial" w:eastAsia="Times New Roman" w:hAnsi="Arial" w:cs="Times New Roman"/>
          <w:sz w:val="24"/>
          <w:szCs w:val="24"/>
          <w:lang w:eastAsia="en-CA"/>
        </w:rPr>
        <w:t>deposit</w:t>
      </w:r>
      <w:r w:rsidR="00BE52B8" w:rsidRPr="005623CE">
        <w:rPr>
          <w:rFonts w:ascii="Arial" w:eastAsia="Times New Roman" w:hAnsi="Arial" w:cs="Times New Roman"/>
          <w:sz w:val="24"/>
          <w:szCs w:val="24"/>
          <w:lang w:eastAsia="en-CA"/>
        </w:rPr>
        <w:t xml:space="preserve"> rates are</w:t>
      </w:r>
      <w:r w:rsidRPr="005623CE">
        <w:rPr>
          <w:rFonts w:ascii="Arial" w:eastAsia="Times New Roman" w:hAnsi="Arial" w:cs="Times New Roman"/>
          <w:sz w:val="24"/>
          <w:szCs w:val="24"/>
          <w:lang w:eastAsia="en-CA"/>
        </w:rPr>
        <w:t xml:space="preserve"> </w:t>
      </w:r>
      <w:r w:rsidR="00BE52B8" w:rsidRPr="005623CE">
        <w:rPr>
          <w:rFonts w:ascii="Arial" w:eastAsia="Times New Roman" w:hAnsi="Arial" w:cs="Times New Roman"/>
          <w:sz w:val="24"/>
          <w:szCs w:val="24"/>
          <w:lang w:eastAsia="en-CA"/>
        </w:rPr>
        <w:t>rising</w:t>
      </w:r>
      <w:r w:rsidRPr="005623CE">
        <w:rPr>
          <w:rFonts w:ascii="Arial" w:eastAsia="Times New Roman" w:hAnsi="Arial" w:cs="Times New Roman"/>
          <w:sz w:val="24"/>
          <w:szCs w:val="24"/>
          <w:lang w:eastAsia="en-CA"/>
        </w:rPr>
        <w:t xml:space="preserve"> year </w:t>
      </w:r>
      <w:r w:rsidR="00BE52B8" w:rsidRPr="005623CE">
        <w:rPr>
          <w:rFonts w:ascii="Arial" w:eastAsia="Times New Roman" w:hAnsi="Arial" w:cs="Times New Roman"/>
          <w:sz w:val="24"/>
          <w:szCs w:val="24"/>
          <w:lang w:eastAsia="en-CA"/>
        </w:rPr>
        <w:t>by</w:t>
      </w:r>
      <w:r w:rsidRPr="005623CE">
        <w:rPr>
          <w:rFonts w:ascii="Arial" w:eastAsia="Times New Roman" w:hAnsi="Arial" w:cs="Times New Roman"/>
          <w:sz w:val="24"/>
          <w:szCs w:val="24"/>
          <w:lang w:eastAsia="en-CA"/>
        </w:rPr>
        <w:t xml:space="preserve"> year, since the mandate </w:t>
      </w:r>
      <w:r w:rsidR="00BE52B8" w:rsidRPr="005623CE">
        <w:rPr>
          <w:rFonts w:ascii="Arial" w:eastAsia="Times New Roman" w:hAnsi="Arial" w:cs="Times New Roman"/>
          <w:sz w:val="24"/>
          <w:szCs w:val="24"/>
          <w:lang w:eastAsia="en-CA"/>
        </w:rPr>
        <w:t xml:space="preserve">was adopted </w:t>
      </w:r>
      <w:r w:rsidRPr="005623CE">
        <w:rPr>
          <w:rFonts w:ascii="Arial" w:eastAsia="Times New Roman" w:hAnsi="Arial" w:cs="Times New Roman"/>
          <w:sz w:val="24"/>
          <w:szCs w:val="24"/>
          <w:lang w:eastAsia="en-CA"/>
        </w:rPr>
        <w:t xml:space="preserve">in 2004. </w:t>
      </w:r>
      <w:r w:rsidR="00014525" w:rsidRPr="005623CE">
        <w:rPr>
          <w:rFonts w:ascii="Arial" w:eastAsia="Times New Roman" w:hAnsi="Arial" w:cs="Times New Roman"/>
          <w:sz w:val="24"/>
          <w:szCs w:val="24"/>
          <w:lang w:eastAsia="en-CA"/>
        </w:rPr>
        <w:t>PA and RA deposits have</w:t>
      </w:r>
      <w:r w:rsidRPr="005623CE">
        <w:rPr>
          <w:rFonts w:ascii="Arial" w:eastAsia="Times New Roman" w:hAnsi="Arial" w:cs="Times New Roman"/>
          <w:sz w:val="24"/>
          <w:szCs w:val="24"/>
          <w:lang w:eastAsia="en-CA"/>
        </w:rPr>
        <w:t xml:space="preserve"> increased</w:t>
      </w:r>
      <w:r w:rsidR="00014525" w:rsidRPr="005623CE">
        <w:rPr>
          <w:rFonts w:ascii="Arial" w:eastAsia="Times New Roman" w:hAnsi="Arial" w:cs="Times New Roman"/>
          <w:sz w:val="24"/>
          <w:szCs w:val="24"/>
          <w:lang w:eastAsia="en-CA"/>
        </w:rPr>
        <w:t xml:space="preserve">, </w:t>
      </w:r>
      <w:r w:rsidR="00326900" w:rsidRPr="005623CE">
        <w:rPr>
          <w:rFonts w:ascii="Arial" w:eastAsia="Times New Roman" w:hAnsi="Arial" w:cs="Times New Roman"/>
          <w:sz w:val="24"/>
          <w:szCs w:val="24"/>
          <w:lang w:eastAsia="en-CA"/>
        </w:rPr>
        <w:t xml:space="preserve">respectively, </w:t>
      </w:r>
      <w:r w:rsidR="00014525" w:rsidRPr="005623CE">
        <w:rPr>
          <w:rFonts w:ascii="Arial" w:eastAsia="Times New Roman" w:hAnsi="Arial" w:cs="Times New Roman"/>
          <w:sz w:val="24"/>
          <w:szCs w:val="24"/>
          <w:lang w:eastAsia="en-CA"/>
        </w:rPr>
        <w:t xml:space="preserve">from </w:t>
      </w:r>
      <w:r w:rsidR="00326900" w:rsidRPr="005623CE">
        <w:rPr>
          <w:rFonts w:ascii="Arial" w:eastAsia="Times New Roman" w:hAnsi="Arial" w:cs="Times New Roman"/>
          <w:sz w:val="24"/>
          <w:szCs w:val="24"/>
          <w:lang w:eastAsia="en-CA"/>
        </w:rPr>
        <w:t>354 and 22 for publication year 2004 to 809 and 519 for 2012.</w:t>
      </w:r>
      <w:r w:rsidR="00E70524">
        <w:rPr>
          <w:rFonts w:ascii="Arial" w:eastAsia="Times New Roman" w:hAnsi="Arial" w:cs="Times New Roman"/>
          <w:sz w:val="24"/>
          <w:szCs w:val="24"/>
          <w:lang w:eastAsia="en-CA"/>
        </w:rPr>
        <w:t xml:space="preserve"> (Note that the 2013 dip is due to the deposit delay effect.)</w:t>
      </w:r>
    </w:p>
    <w:p w:rsidR="00E22B76" w:rsidRPr="00E22B76" w:rsidRDefault="00E22B76" w:rsidP="00E22B76">
      <w:pPr>
        <w:jc w:val="both"/>
        <w:rPr>
          <w:rFonts w:ascii="Arial" w:eastAsia="Times New Roman" w:hAnsi="Arial" w:cs="Times New Roman"/>
          <w:sz w:val="24"/>
          <w:szCs w:val="24"/>
          <w:lang w:eastAsia="en-CA"/>
        </w:rPr>
      </w:pPr>
      <w:r w:rsidRPr="005623CE">
        <w:rPr>
          <w:rFonts w:ascii="Arial" w:eastAsia="Times New Roman" w:hAnsi="Arial" w:cs="Times New Roman"/>
          <w:b/>
          <w:sz w:val="24"/>
          <w:szCs w:val="24"/>
          <w:lang w:eastAsia="en-CA"/>
        </w:rPr>
        <w:t>Figure 11</w:t>
      </w:r>
      <w:r w:rsidRPr="005623CE">
        <w:rPr>
          <w:rFonts w:ascii="Arial" w:eastAsia="Times New Roman" w:hAnsi="Arial" w:cs="Times New Roman"/>
          <w:sz w:val="24"/>
          <w:szCs w:val="24"/>
          <w:lang w:eastAsia="en-CA"/>
        </w:rPr>
        <w:t xml:space="preserve"> shows that the rate of deposit for all kinds of document is increasing each year.</w:t>
      </w:r>
    </w:p>
    <w:p w:rsidR="007F2154" w:rsidRDefault="007F2154" w:rsidP="00BE66F7">
      <w:pPr>
        <w:jc w:val="both"/>
        <w:rPr>
          <w:rFonts w:ascii="Arial" w:eastAsia="Times New Roman" w:hAnsi="Arial" w:cs="Times New Roman"/>
          <w:sz w:val="24"/>
          <w:szCs w:val="24"/>
          <w:lang w:eastAsia="en-CA"/>
        </w:rPr>
      </w:pPr>
    </w:p>
    <w:p w:rsidR="00E22B76" w:rsidRPr="005623CE" w:rsidRDefault="00E22B76" w:rsidP="00BE66F7">
      <w:pPr>
        <w:jc w:val="both"/>
        <w:rPr>
          <w:rFonts w:ascii="Arial" w:eastAsia="Times New Roman" w:hAnsi="Arial" w:cs="Times New Roman"/>
          <w:sz w:val="24"/>
          <w:szCs w:val="24"/>
          <w:lang w:eastAsia="en-CA"/>
        </w:rPr>
      </w:pPr>
    </w:p>
    <w:tbl>
      <w:tblPr>
        <w:tblStyle w:val="TableGrid"/>
        <w:tblW w:w="10070" w:type="dxa"/>
        <w:tblLayout w:type="fixed"/>
        <w:tblLook w:val="04A0"/>
      </w:tblPr>
      <w:tblGrid>
        <w:gridCol w:w="2058"/>
        <w:gridCol w:w="1491"/>
        <w:gridCol w:w="1701"/>
        <w:gridCol w:w="1528"/>
        <w:gridCol w:w="1591"/>
        <w:gridCol w:w="1701"/>
      </w:tblGrid>
      <w:tr w:rsidR="0009193D" w:rsidRPr="005623CE">
        <w:trPr>
          <w:trHeight w:val="4591"/>
        </w:trPr>
        <w:tc>
          <w:tcPr>
            <w:tcW w:w="2058" w:type="dxa"/>
            <w:tcMar>
              <w:left w:w="0" w:type="dxa"/>
              <w:right w:w="0" w:type="dxa"/>
            </w:tcMar>
          </w:tcPr>
          <w:p w:rsidR="0009193D" w:rsidRPr="005623CE" w:rsidRDefault="0009193D" w:rsidP="000F2AAD">
            <w:pPr>
              <w:rPr>
                <w:rFonts w:ascii="Arial" w:eastAsia="Times New Roman" w:hAnsi="Arial" w:cs="Times New Roman"/>
                <w:sz w:val="24"/>
                <w:szCs w:val="24"/>
                <w:lang w:eastAsia="en-CA"/>
              </w:rPr>
            </w:pPr>
            <w:r w:rsidRPr="005623CE">
              <w:rPr>
                <w:rFonts w:ascii="Arial" w:eastAsia="Times New Roman" w:hAnsi="Arial" w:cs="Times New Roman"/>
                <w:noProof/>
                <w:sz w:val="24"/>
                <w:szCs w:val="24"/>
                <w:lang w:val="en-US"/>
              </w:rPr>
              <w:drawing>
                <wp:inline distT="0" distB="0" distL="0" distR="0">
                  <wp:extent cx="1313663" cy="2927444"/>
                  <wp:effectExtent l="19050" t="0" r="19837" b="6256"/>
                  <wp:docPr id="45"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1491" w:type="dxa"/>
            <w:tcMar>
              <w:left w:w="0" w:type="dxa"/>
              <w:right w:w="0" w:type="dxa"/>
            </w:tcMar>
          </w:tcPr>
          <w:p w:rsidR="0009193D" w:rsidRPr="005623CE" w:rsidRDefault="0009193D" w:rsidP="000F2AAD">
            <w:pPr>
              <w:rPr>
                <w:rFonts w:ascii="Arial" w:eastAsia="Times New Roman" w:hAnsi="Arial" w:cs="Times New Roman"/>
                <w:sz w:val="24"/>
                <w:szCs w:val="24"/>
                <w:lang w:eastAsia="en-CA"/>
              </w:rPr>
            </w:pPr>
            <w:r w:rsidRPr="005623CE">
              <w:rPr>
                <w:rFonts w:ascii="Arial" w:eastAsia="Times New Roman" w:hAnsi="Arial" w:cs="Times New Roman"/>
                <w:noProof/>
                <w:sz w:val="24"/>
                <w:szCs w:val="24"/>
                <w:lang w:val="en-US"/>
              </w:rPr>
              <w:drawing>
                <wp:inline distT="0" distB="0" distL="0" distR="0">
                  <wp:extent cx="951738" cy="2932176"/>
                  <wp:effectExtent l="19050" t="0" r="19812" b="1524"/>
                  <wp:docPr id="46"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1701" w:type="dxa"/>
            <w:tcMar>
              <w:left w:w="0" w:type="dxa"/>
              <w:right w:w="0" w:type="dxa"/>
            </w:tcMar>
          </w:tcPr>
          <w:p w:rsidR="0009193D" w:rsidRPr="005623CE" w:rsidRDefault="0009193D" w:rsidP="000F2AAD">
            <w:pPr>
              <w:rPr>
                <w:rFonts w:ascii="Arial" w:eastAsia="Times New Roman" w:hAnsi="Arial" w:cs="Times New Roman"/>
                <w:sz w:val="24"/>
                <w:szCs w:val="24"/>
                <w:lang w:eastAsia="en-CA"/>
              </w:rPr>
            </w:pPr>
            <w:r w:rsidRPr="005623CE">
              <w:rPr>
                <w:rFonts w:ascii="Arial" w:eastAsia="Times New Roman" w:hAnsi="Arial" w:cs="Times New Roman"/>
                <w:noProof/>
                <w:sz w:val="24"/>
                <w:szCs w:val="24"/>
                <w:lang w:val="en-US"/>
              </w:rPr>
              <w:drawing>
                <wp:inline distT="0" distB="0" distL="0" distR="0">
                  <wp:extent cx="1089279" cy="2926461"/>
                  <wp:effectExtent l="19050" t="0" r="15621" b="7239"/>
                  <wp:docPr id="47"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1528" w:type="dxa"/>
            <w:tcMar>
              <w:left w:w="0" w:type="dxa"/>
              <w:right w:w="0" w:type="dxa"/>
            </w:tcMar>
          </w:tcPr>
          <w:p w:rsidR="0009193D" w:rsidRPr="005623CE" w:rsidRDefault="0009193D" w:rsidP="000F2AAD">
            <w:pPr>
              <w:rPr>
                <w:rFonts w:ascii="Arial" w:eastAsia="Times New Roman" w:hAnsi="Arial" w:cs="Times New Roman"/>
                <w:sz w:val="24"/>
                <w:szCs w:val="24"/>
                <w:lang w:eastAsia="en-CA"/>
              </w:rPr>
            </w:pPr>
            <w:r w:rsidRPr="005623CE">
              <w:rPr>
                <w:rFonts w:ascii="Arial" w:eastAsia="Times New Roman" w:hAnsi="Arial" w:cs="Times New Roman"/>
                <w:noProof/>
                <w:sz w:val="24"/>
                <w:szCs w:val="24"/>
                <w:lang w:val="en-US"/>
              </w:rPr>
              <w:drawing>
                <wp:inline distT="0" distB="0" distL="0" distR="0">
                  <wp:extent cx="978819" cy="2928553"/>
                  <wp:effectExtent l="19050" t="0" r="11781" b="5147"/>
                  <wp:docPr id="4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1591" w:type="dxa"/>
            <w:tcMar>
              <w:left w:w="0" w:type="dxa"/>
              <w:right w:w="0" w:type="dxa"/>
            </w:tcMar>
          </w:tcPr>
          <w:p w:rsidR="0009193D" w:rsidRPr="005623CE" w:rsidRDefault="0009193D" w:rsidP="000F2AAD">
            <w:pPr>
              <w:rPr>
                <w:rFonts w:ascii="Arial" w:eastAsia="Times New Roman" w:hAnsi="Arial" w:cs="Times New Roman"/>
                <w:sz w:val="24"/>
                <w:szCs w:val="24"/>
                <w:lang w:eastAsia="en-CA"/>
              </w:rPr>
            </w:pPr>
            <w:r w:rsidRPr="005623CE">
              <w:rPr>
                <w:rFonts w:ascii="Arial" w:eastAsia="Times New Roman" w:hAnsi="Arial" w:cs="Times New Roman"/>
                <w:noProof/>
                <w:sz w:val="24"/>
                <w:szCs w:val="24"/>
                <w:lang w:val="en-US"/>
              </w:rPr>
              <w:drawing>
                <wp:inline distT="0" distB="0" distL="0" distR="0">
                  <wp:extent cx="1017535" cy="2898880"/>
                  <wp:effectExtent l="19050" t="0" r="11165" b="0"/>
                  <wp:docPr id="49"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1701" w:type="dxa"/>
            <w:tcMar>
              <w:left w:w="0" w:type="dxa"/>
              <w:right w:w="0" w:type="dxa"/>
            </w:tcMar>
          </w:tcPr>
          <w:p w:rsidR="0009193D" w:rsidRPr="005623CE" w:rsidRDefault="0009193D" w:rsidP="000F2AAD">
            <w:pPr>
              <w:rPr>
                <w:rFonts w:ascii="Arial" w:eastAsia="Times New Roman" w:hAnsi="Arial" w:cs="Times New Roman"/>
                <w:sz w:val="24"/>
                <w:szCs w:val="24"/>
                <w:lang w:eastAsia="en-CA"/>
              </w:rPr>
            </w:pPr>
            <w:r w:rsidRPr="005623CE">
              <w:rPr>
                <w:rFonts w:ascii="Arial" w:eastAsia="Times New Roman" w:hAnsi="Arial" w:cs="Times New Roman"/>
                <w:noProof/>
                <w:sz w:val="24"/>
                <w:szCs w:val="24"/>
                <w:lang w:val="en-US"/>
              </w:rPr>
              <w:drawing>
                <wp:inline distT="0" distB="0" distL="0" distR="0">
                  <wp:extent cx="1026425" cy="2934269"/>
                  <wp:effectExtent l="19050" t="0" r="21325" b="0"/>
                  <wp:docPr id="50"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rsidR="00BE19E2" w:rsidRPr="005623CE" w:rsidRDefault="00671E8C" w:rsidP="00BE66F7">
      <w:pPr>
        <w:ind w:left="720"/>
        <w:jc w:val="both"/>
        <w:rPr>
          <w:rFonts w:ascii="Arial" w:eastAsia="Times New Roman" w:hAnsi="Arial" w:cs="Times New Roman"/>
          <w:b/>
          <w:bCs/>
          <w:color w:val="000000"/>
          <w:lang w:eastAsia="en-CA"/>
        </w:rPr>
      </w:pPr>
      <w:r w:rsidRPr="005623CE">
        <w:rPr>
          <w:rFonts w:ascii="Arial" w:eastAsia="Times New Roman" w:hAnsi="Arial" w:cs="Times New Roman"/>
          <w:b/>
          <w:bCs/>
          <w:color w:val="000000"/>
          <w:lang w:eastAsia="en-CA"/>
        </w:rPr>
        <w:t>Figure 9</w:t>
      </w:r>
      <w:r w:rsidR="00D13644" w:rsidRPr="005623CE">
        <w:rPr>
          <w:rFonts w:ascii="Arial" w:eastAsia="Times New Roman" w:hAnsi="Arial" w:cs="Times New Roman"/>
          <w:b/>
          <w:bCs/>
          <w:color w:val="000000"/>
          <w:lang w:eastAsia="en-CA"/>
        </w:rPr>
        <w:t xml:space="preserve">. Number of Documents </w:t>
      </w:r>
      <w:r w:rsidR="00014525" w:rsidRPr="005623CE">
        <w:rPr>
          <w:rFonts w:ascii="Arial" w:eastAsia="Times New Roman" w:hAnsi="Arial" w:cs="Times New Roman"/>
          <w:b/>
          <w:bCs/>
          <w:color w:val="000000"/>
          <w:lang w:eastAsia="en-CA"/>
        </w:rPr>
        <w:t xml:space="preserve">Deposited </w:t>
      </w:r>
      <w:r w:rsidR="00D13644" w:rsidRPr="005623CE">
        <w:rPr>
          <w:rFonts w:ascii="Arial" w:eastAsia="Times New Roman" w:hAnsi="Arial" w:cs="Times New Roman"/>
          <w:b/>
          <w:bCs/>
          <w:color w:val="000000"/>
          <w:lang w:eastAsia="en-CA"/>
        </w:rPr>
        <w:t>by Publication Year</w:t>
      </w:r>
      <w:r w:rsidR="00326900" w:rsidRPr="005623CE">
        <w:rPr>
          <w:rFonts w:ascii="Arial" w:eastAsia="Times New Roman" w:hAnsi="Arial" w:cs="Times New Roman"/>
          <w:b/>
          <w:bCs/>
          <w:color w:val="000000"/>
          <w:lang w:eastAsia="en-CA"/>
        </w:rPr>
        <w:t xml:space="preserve"> (2000-2013)</w:t>
      </w:r>
      <w:r w:rsidR="00D13644" w:rsidRPr="005623CE">
        <w:rPr>
          <w:rFonts w:ascii="Arial" w:eastAsia="Times New Roman" w:hAnsi="Arial" w:cs="Times New Roman"/>
          <w:b/>
          <w:bCs/>
          <w:color w:val="000000"/>
          <w:lang w:eastAsia="en-CA"/>
        </w:rPr>
        <w:t xml:space="preserve"> and Document Type (only most frequent types of documents are included)</w:t>
      </w:r>
    </w:p>
    <w:p w:rsidR="00D13644" w:rsidRPr="005623CE" w:rsidRDefault="00D13644" w:rsidP="00BE19E2">
      <w:pPr>
        <w:rPr>
          <w:rFonts w:ascii="Arial" w:hAnsi="Arial"/>
        </w:rPr>
      </w:pPr>
    </w:p>
    <w:p w:rsidR="00D13644" w:rsidRPr="005623CE" w:rsidRDefault="00F12579" w:rsidP="00BE19E2">
      <w:pPr>
        <w:rPr>
          <w:rFonts w:ascii="Arial" w:hAnsi="Arial"/>
        </w:rPr>
      </w:pPr>
      <w:r w:rsidRPr="005623CE">
        <w:rPr>
          <w:rFonts w:ascii="Arial" w:hAnsi="Arial"/>
          <w:noProof/>
          <w:lang w:val="en-US"/>
        </w:rPr>
        <w:drawing>
          <wp:inline distT="0" distB="0" distL="0" distR="0">
            <wp:extent cx="5486400" cy="2933700"/>
            <wp:effectExtent l="19050" t="0" r="19050" b="0"/>
            <wp:docPr id="3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014525" w:rsidRPr="005623CE" w:rsidRDefault="00671E8C" w:rsidP="001170A3">
      <w:pPr>
        <w:spacing w:after="0" w:line="240" w:lineRule="auto"/>
        <w:ind w:left="720"/>
        <w:jc w:val="both"/>
        <w:rPr>
          <w:rFonts w:ascii="Arial" w:eastAsia="Times New Roman" w:hAnsi="Arial" w:cs="Times New Roman"/>
          <w:b/>
          <w:bCs/>
          <w:color w:val="000000"/>
          <w:lang w:eastAsia="en-CA"/>
        </w:rPr>
      </w:pPr>
      <w:r w:rsidRPr="005623CE">
        <w:rPr>
          <w:rFonts w:ascii="Arial" w:eastAsia="Times New Roman" w:hAnsi="Arial" w:cs="Times New Roman"/>
          <w:b/>
          <w:bCs/>
          <w:color w:val="000000"/>
          <w:lang w:eastAsia="en-CA"/>
        </w:rPr>
        <w:t>Figure 10</w:t>
      </w:r>
      <w:r w:rsidR="00971F56" w:rsidRPr="005623CE">
        <w:rPr>
          <w:rFonts w:ascii="Arial" w:eastAsia="Times New Roman" w:hAnsi="Arial" w:cs="Times New Roman"/>
          <w:b/>
          <w:bCs/>
          <w:color w:val="000000"/>
          <w:lang w:eastAsia="en-CA"/>
        </w:rPr>
        <w:t xml:space="preserve">. </w:t>
      </w:r>
      <w:r w:rsidR="00C67A7A" w:rsidRPr="005623CE">
        <w:rPr>
          <w:rFonts w:ascii="Arial" w:eastAsia="Times New Roman" w:hAnsi="Arial" w:cs="Times New Roman"/>
          <w:b/>
          <w:bCs/>
          <w:color w:val="000000"/>
          <w:lang w:eastAsia="en-CA"/>
        </w:rPr>
        <w:t xml:space="preserve">Total </w:t>
      </w:r>
      <w:r w:rsidR="00971F56" w:rsidRPr="005623CE">
        <w:rPr>
          <w:rFonts w:ascii="Arial" w:eastAsia="Times New Roman" w:hAnsi="Arial" w:cs="Times New Roman"/>
          <w:b/>
          <w:bCs/>
          <w:color w:val="000000"/>
          <w:lang w:eastAsia="en-CA"/>
        </w:rPr>
        <w:t xml:space="preserve">Number of Documents </w:t>
      </w:r>
      <w:r w:rsidR="00014525" w:rsidRPr="005623CE">
        <w:rPr>
          <w:rFonts w:ascii="Arial" w:eastAsia="Times New Roman" w:hAnsi="Arial" w:cs="Times New Roman"/>
          <w:b/>
          <w:bCs/>
          <w:color w:val="000000"/>
          <w:lang w:eastAsia="en-CA"/>
        </w:rPr>
        <w:t>Deposited</w:t>
      </w:r>
      <w:r w:rsidR="00C67A7A" w:rsidRPr="005623CE">
        <w:rPr>
          <w:rFonts w:ascii="Arial" w:eastAsia="Times New Roman" w:hAnsi="Arial" w:cs="Times New Roman"/>
          <w:b/>
          <w:bCs/>
          <w:color w:val="000000"/>
          <w:lang w:eastAsia="en-CA"/>
        </w:rPr>
        <w:t xml:space="preserve"> as of September 2013</w:t>
      </w:r>
      <w:r w:rsidR="00014525" w:rsidRPr="005623CE">
        <w:rPr>
          <w:rFonts w:ascii="Arial" w:eastAsia="Times New Roman" w:hAnsi="Arial" w:cs="Times New Roman"/>
          <w:b/>
          <w:bCs/>
          <w:color w:val="000000"/>
          <w:lang w:eastAsia="en-CA"/>
        </w:rPr>
        <w:t xml:space="preserve">, </w:t>
      </w:r>
      <w:r w:rsidR="00971F56" w:rsidRPr="005623CE">
        <w:rPr>
          <w:rFonts w:ascii="Arial" w:eastAsia="Times New Roman" w:hAnsi="Arial" w:cs="Times New Roman"/>
          <w:b/>
          <w:bCs/>
          <w:color w:val="000000"/>
          <w:lang w:eastAsia="en-CA"/>
        </w:rPr>
        <w:t>by Publication Year</w:t>
      </w:r>
      <w:r w:rsidR="00326900" w:rsidRPr="005623CE">
        <w:rPr>
          <w:rFonts w:ascii="Arial" w:eastAsia="Times New Roman" w:hAnsi="Arial" w:cs="Times New Roman"/>
          <w:b/>
          <w:bCs/>
          <w:color w:val="000000"/>
          <w:lang w:eastAsia="en-CA"/>
        </w:rPr>
        <w:t xml:space="preserve"> 1976-2013</w:t>
      </w:r>
    </w:p>
    <w:p w:rsidR="00D13644" w:rsidRDefault="00D13644" w:rsidP="001170A3">
      <w:pPr>
        <w:spacing w:after="0" w:line="240" w:lineRule="auto"/>
        <w:jc w:val="both"/>
        <w:rPr>
          <w:rFonts w:ascii="Arial" w:eastAsia="Times New Roman" w:hAnsi="Arial" w:cs="Times New Roman"/>
          <w:b/>
          <w:bCs/>
          <w:color w:val="000000"/>
          <w:lang w:eastAsia="en-CA"/>
        </w:rPr>
      </w:pPr>
    </w:p>
    <w:p w:rsidR="00E22B76" w:rsidRPr="005623CE" w:rsidRDefault="00E22B76" w:rsidP="001170A3">
      <w:pPr>
        <w:spacing w:after="0" w:line="240" w:lineRule="auto"/>
        <w:jc w:val="both"/>
        <w:rPr>
          <w:rFonts w:ascii="Arial" w:eastAsia="Times New Roman" w:hAnsi="Arial" w:cs="Times New Roman"/>
          <w:b/>
          <w:bCs/>
          <w:color w:val="000000"/>
          <w:lang w:eastAsia="en-CA"/>
        </w:rPr>
      </w:pPr>
    </w:p>
    <w:p w:rsidR="00971F56" w:rsidRPr="005623CE" w:rsidRDefault="00F12579" w:rsidP="00BE19E2">
      <w:pPr>
        <w:rPr>
          <w:rFonts w:ascii="Arial" w:hAnsi="Arial"/>
        </w:rPr>
      </w:pPr>
      <w:r w:rsidRPr="005623CE">
        <w:rPr>
          <w:rFonts w:ascii="Arial" w:hAnsi="Arial"/>
          <w:noProof/>
          <w:lang w:val="en-US"/>
        </w:rPr>
        <w:drawing>
          <wp:inline distT="0" distB="0" distL="0" distR="0">
            <wp:extent cx="5486400" cy="2438400"/>
            <wp:effectExtent l="19050" t="0" r="19050" b="0"/>
            <wp:docPr id="10"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BE19E2" w:rsidRPr="005623CE" w:rsidRDefault="00971F56" w:rsidP="001170A3">
      <w:pPr>
        <w:spacing w:after="0" w:line="240" w:lineRule="auto"/>
        <w:ind w:left="720"/>
        <w:jc w:val="both"/>
        <w:rPr>
          <w:rFonts w:ascii="Arial" w:eastAsia="Times New Roman" w:hAnsi="Arial" w:cs="Times New Roman"/>
          <w:b/>
          <w:bCs/>
          <w:color w:val="000000"/>
          <w:lang w:eastAsia="en-CA"/>
        </w:rPr>
      </w:pPr>
      <w:r w:rsidRPr="005623CE">
        <w:rPr>
          <w:rFonts w:ascii="Arial" w:eastAsia="Times New Roman" w:hAnsi="Arial" w:cs="Times New Roman"/>
          <w:b/>
          <w:bCs/>
          <w:color w:val="000000"/>
          <w:lang w:eastAsia="en-CA"/>
        </w:rPr>
        <w:t>Figure 1</w:t>
      </w:r>
      <w:r w:rsidR="00671E8C" w:rsidRPr="005623CE">
        <w:rPr>
          <w:rFonts w:ascii="Arial" w:eastAsia="Times New Roman" w:hAnsi="Arial" w:cs="Times New Roman"/>
          <w:b/>
          <w:bCs/>
          <w:color w:val="000000"/>
          <w:lang w:eastAsia="en-CA"/>
        </w:rPr>
        <w:t>1</w:t>
      </w:r>
      <w:r w:rsidRPr="005623CE">
        <w:rPr>
          <w:rFonts w:ascii="Arial" w:eastAsia="Times New Roman" w:hAnsi="Arial" w:cs="Times New Roman"/>
          <w:b/>
          <w:bCs/>
          <w:color w:val="000000"/>
          <w:lang w:eastAsia="en-CA"/>
        </w:rPr>
        <w:t>. Cumulati</w:t>
      </w:r>
      <w:r w:rsidR="00014525" w:rsidRPr="005623CE">
        <w:rPr>
          <w:rFonts w:ascii="Arial" w:eastAsia="Times New Roman" w:hAnsi="Arial" w:cs="Times New Roman"/>
          <w:b/>
          <w:bCs/>
          <w:color w:val="000000"/>
          <w:lang w:eastAsia="en-CA"/>
        </w:rPr>
        <w:t>ve</w:t>
      </w:r>
      <w:r w:rsidRPr="005623CE">
        <w:rPr>
          <w:rFonts w:ascii="Arial" w:eastAsia="Times New Roman" w:hAnsi="Arial" w:cs="Times New Roman"/>
          <w:b/>
          <w:bCs/>
          <w:color w:val="000000"/>
          <w:lang w:eastAsia="en-CA"/>
        </w:rPr>
        <w:t xml:space="preserve"> Deposit</w:t>
      </w:r>
      <w:r w:rsidR="00014525" w:rsidRPr="005623CE">
        <w:rPr>
          <w:rFonts w:ascii="Arial" w:eastAsia="Times New Roman" w:hAnsi="Arial" w:cs="Times New Roman"/>
          <w:b/>
          <w:bCs/>
          <w:color w:val="000000"/>
          <w:lang w:eastAsia="en-CA"/>
        </w:rPr>
        <w:t>s</w:t>
      </w:r>
      <w:r w:rsidRPr="005623CE">
        <w:rPr>
          <w:rFonts w:ascii="Arial" w:eastAsia="Times New Roman" w:hAnsi="Arial" w:cs="Times New Roman"/>
          <w:b/>
          <w:bCs/>
          <w:color w:val="000000"/>
          <w:lang w:eastAsia="en-CA"/>
        </w:rPr>
        <w:t xml:space="preserve"> Documents in Minho Repository</w:t>
      </w:r>
      <w:r w:rsidR="00014525" w:rsidRPr="005623CE">
        <w:rPr>
          <w:rFonts w:ascii="Arial" w:eastAsia="Times New Roman" w:hAnsi="Arial" w:cs="Times New Roman"/>
          <w:b/>
          <w:bCs/>
          <w:color w:val="000000"/>
          <w:lang w:eastAsia="en-CA"/>
        </w:rPr>
        <w:t xml:space="preserve"> for </w:t>
      </w:r>
      <w:r w:rsidR="00C67A7A" w:rsidRPr="005623CE">
        <w:rPr>
          <w:rFonts w:ascii="Arial" w:eastAsia="Times New Roman" w:hAnsi="Arial" w:cs="Times New Roman"/>
          <w:b/>
          <w:bCs/>
          <w:color w:val="000000"/>
          <w:lang w:eastAsia="en-CA"/>
        </w:rPr>
        <w:t>articles (blue) and all other kinds of document.</w:t>
      </w:r>
    </w:p>
    <w:p w:rsidR="00E22B76" w:rsidRDefault="00E22B76" w:rsidP="001170A3">
      <w:pPr>
        <w:jc w:val="both"/>
        <w:rPr>
          <w:rFonts w:ascii="Arial" w:hAnsi="Arial" w:cs="Times New Roman"/>
          <w:b/>
          <w:highlight w:val="magenta"/>
        </w:rPr>
      </w:pPr>
    </w:p>
    <w:p w:rsidR="00971F56" w:rsidRDefault="00BE66F7" w:rsidP="001170A3">
      <w:pPr>
        <w:jc w:val="both"/>
        <w:rPr>
          <w:rFonts w:ascii="Arial" w:hAnsi="Arial" w:cs="Times New Roman"/>
        </w:rPr>
      </w:pPr>
      <w:r w:rsidRPr="00BE66F7">
        <w:rPr>
          <w:rFonts w:ascii="Arial" w:hAnsi="Arial" w:cs="Times New Roman"/>
          <w:b/>
        </w:rPr>
        <w:t>11. Summary.</w:t>
      </w:r>
      <w:r w:rsidRPr="00BE66F7">
        <w:rPr>
          <w:rFonts w:ascii="Arial" w:hAnsi="Arial" w:cs="Times New Roman"/>
        </w:rPr>
        <w:t xml:space="preserve"> University of Minho's 2004 Green OA mandate has been very successful and with its 2011 updgrade to the Liège model, it has joined the ranks of the small number of mandates </w:t>
      </w:r>
      <w:r w:rsidR="005737FE">
        <w:rPr>
          <w:rFonts w:ascii="Arial" w:hAnsi="Arial" w:cs="Times New Roman"/>
        </w:rPr>
        <w:t xml:space="preserve">worldwide </w:t>
      </w:r>
      <w:r w:rsidRPr="00BE66F7">
        <w:rPr>
          <w:rFonts w:ascii="Arial" w:hAnsi="Arial" w:cs="Times New Roman"/>
        </w:rPr>
        <w:t xml:space="preserve">that are optimal (Gargouri et 2012a). It is to be hoped that with the help of complementary, convergent funder mandates (such as </w:t>
      </w:r>
      <w:hyperlink r:id="rId45" w:history="1">
        <w:r w:rsidRPr="00BE66F7">
          <w:rPr>
            <w:rStyle w:val="Hyperlink"/>
            <w:rFonts w:ascii="Arial" w:hAnsi="Arial" w:cs="Times New Roman"/>
          </w:rPr>
          <w:t>HEFCE</w:t>
        </w:r>
      </w:hyperlink>
      <w:r w:rsidRPr="00BE66F7">
        <w:rPr>
          <w:rFonts w:ascii="Arial" w:hAnsi="Arial" w:cs="Times New Roman"/>
        </w:rPr>
        <w:t xml:space="preserve"> in the UK and </w:t>
      </w:r>
      <w:hyperlink r:id="rId46" w:history="1">
        <w:r w:rsidRPr="00BE66F7">
          <w:rPr>
            <w:rStyle w:val="Hyperlink"/>
            <w:rFonts w:ascii="Arial" w:hAnsi="Arial" w:cs="Times New Roman"/>
          </w:rPr>
          <w:t>FRNS</w:t>
        </w:r>
      </w:hyperlink>
      <w:r w:rsidRPr="00BE66F7">
        <w:rPr>
          <w:rFonts w:ascii="Arial" w:hAnsi="Arial" w:cs="Times New Roman"/>
        </w:rPr>
        <w:t xml:space="preserve"> in Belgium), more and more instutitions will now adopt the Liège/Minho mandate. Once that is done</w:t>
      </w:r>
      <w:r w:rsidR="00D33331">
        <w:rPr>
          <w:rFonts w:ascii="Arial" w:hAnsi="Arial" w:cs="Times New Roman"/>
        </w:rPr>
        <w:t xml:space="preserve"> globally</w:t>
      </w:r>
      <w:r w:rsidRPr="00BE66F7">
        <w:rPr>
          <w:rFonts w:ascii="Arial" w:hAnsi="Arial" w:cs="Times New Roman"/>
        </w:rPr>
        <w:t>, 100% (Green) OA will not be far behind.</w:t>
      </w:r>
    </w:p>
    <w:p w:rsidR="001170A3" w:rsidRPr="001170A3" w:rsidRDefault="001170A3" w:rsidP="001170A3">
      <w:pPr>
        <w:jc w:val="both"/>
        <w:rPr>
          <w:rFonts w:ascii="Arial" w:hAnsi="Arial" w:cs="Times New Roman"/>
        </w:rPr>
      </w:pPr>
    </w:p>
    <w:p w:rsidR="00973EA7" w:rsidRPr="005623CE" w:rsidRDefault="00A45E8F" w:rsidP="00BE19E2">
      <w:pPr>
        <w:rPr>
          <w:rFonts w:ascii="Arial" w:hAnsi="Arial" w:cs="Times New Roman"/>
          <w:b/>
          <w:sz w:val="24"/>
        </w:rPr>
      </w:pPr>
      <w:r w:rsidRPr="005623CE">
        <w:rPr>
          <w:rFonts w:ascii="Arial" w:hAnsi="Arial" w:cs="Times New Roman"/>
          <w:b/>
          <w:sz w:val="24"/>
        </w:rPr>
        <w:t>References</w:t>
      </w:r>
    </w:p>
    <w:p w:rsidR="007B494B" w:rsidRDefault="00A45E8F" w:rsidP="001170A3">
      <w:pPr>
        <w:jc w:val="both"/>
      </w:pPr>
      <w:r w:rsidRPr="005623CE">
        <w:rPr>
          <w:rFonts w:ascii="Arial" w:eastAsia="Calibri" w:hAnsi="Arial" w:cs="Calibri"/>
          <w:sz w:val="24"/>
          <w:szCs w:val="24"/>
        </w:rPr>
        <w:t>Gargouri, Y., Lariviere, V., Gingras, Y., Brody, T., Carr, L., &amp; Harnad, S. (2012</w:t>
      </w:r>
      <w:r w:rsidR="007B494B">
        <w:rPr>
          <w:rFonts w:ascii="Arial" w:eastAsia="Calibri" w:hAnsi="Arial" w:cs="Calibri"/>
          <w:sz w:val="24"/>
          <w:szCs w:val="24"/>
        </w:rPr>
        <w:t>a</w:t>
      </w:r>
      <w:r w:rsidRPr="005623CE">
        <w:rPr>
          <w:rFonts w:ascii="Arial" w:eastAsia="Calibri" w:hAnsi="Arial" w:cs="Calibri"/>
          <w:sz w:val="24"/>
          <w:szCs w:val="24"/>
        </w:rPr>
        <w:t xml:space="preserve">). Testing the Finch Hypothesis on Green OA Mandate Ineffectiveness. </w:t>
      </w:r>
      <w:r w:rsidRPr="005623CE">
        <w:rPr>
          <w:rFonts w:ascii="Arial" w:eastAsia="Calibri" w:hAnsi="Arial" w:cs="Calibri"/>
          <w:i/>
          <w:sz w:val="24"/>
          <w:szCs w:val="24"/>
        </w:rPr>
        <w:t>arXiv preprint</w:t>
      </w:r>
      <w:r w:rsidRPr="005623CE">
        <w:rPr>
          <w:rFonts w:ascii="Arial" w:eastAsia="Calibri" w:hAnsi="Arial" w:cs="Calibri"/>
          <w:sz w:val="24"/>
          <w:szCs w:val="24"/>
        </w:rPr>
        <w:t xml:space="preserve"> arXiv:1210.8174. </w:t>
      </w:r>
      <w:hyperlink r:id="rId47" w:history="1">
        <w:r w:rsidRPr="005623CE">
          <w:rPr>
            <w:rStyle w:val="Hyperlink"/>
            <w:rFonts w:ascii="Arial" w:eastAsia="Calibri" w:hAnsi="Arial" w:cs="Calibri"/>
            <w:sz w:val="24"/>
            <w:szCs w:val="24"/>
          </w:rPr>
          <w:t>http://arxiv.org/pdf/1210.8174</w:t>
        </w:r>
      </w:hyperlink>
    </w:p>
    <w:p w:rsidR="00A45E8F" w:rsidRPr="005623CE" w:rsidRDefault="007B494B" w:rsidP="001170A3">
      <w:pPr>
        <w:jc w:val="both"/>
        <w:rPr>
          <w:rFonts w:ascii="Arial" w:eastAsia="Calibri" w:hAnsi="Arial" w:cs="Calibri"/>
          <w:sz w:val="24"/>
          <w:szCs w:val="24"/>
        </w:rPr>
      </w:pPr>
      <w:r w:rsidRPr="007B494B">
        <w:rPr>
          <w:rFonts w:ascii="Arial" w:eastAsia="Calibri" w:hAnsi="Arial" w:cs="Calibri"/>
          <w:sz w:val="24"/>
          <w:szCs w:val="24"/>
        </w:rPr>
        <w:t>Gargouri, Yassine, Lariviere, Vincent, Gingras, Yves, Carr, Les and Harnad, Stevan (2012</w:t>
      </w:r>
      <w:r>
        <w:rPr>
          <w:rFonts w:ascii="Arial" w:eastAsia="Calibri" w:hAnsi="Arial" w:cs="Calibri"/>
          <w:sz w:val="24"/>
          <w:szCs w:val="24"/>
        </w:rPr>
        <w:t>b</w:t>
      </w:r>
      <w:r w:rsidRPr="007B494B">
        <w:rPr>
          <w:rFonts w:ascii="Arial" w:eastAsia="Calibri" w:hAnsi="Arial" w:cs="Calibri"/>
          <w:sz w:val="24"/>
          <w:szCs w:val="24"/>
        </w:rPr>
        <w:t xml:space="preserve">) Green and Gold Open Access Percentages and Growth, by Discipline. In: </w:t>
      </w:r>
      <w:r w:rsidRPr="007B494B">
        <w:rPr>
          <w:rFonts w:ascii="Arial" w:eastAsia="Calibri" w:hAnsi="Arial" w:cs="Calibri"/>
          <w:i/>
          <w:sz w:val="24"/>
          <w:szCs w:val="24"/>
        </w:rPr>
        <w:t>17th International Conference on Science and Technology Indicators</w:t>
      </w:r>
      <w:r w:rsidRPr="007B494B">
        <w:rPr>
          <w:rFonts w:ascii="Arial" w:eastAsia="Calibri" w:hAnsi="Arial" w:cs="Calibri"/>
          <w:sz w:val="24"/>
          <w:szCs w:val="24"/>
        </w:rPr>
        <w:t xml:space="preserve"> (STI), 5-8 September, 2012, Montreal, Quebec, Canada, Montréal. </w:t>
      </w:r>
      <w:hyperlink r:id="rId48" w:history="1">
        <w:r w:rsidRPr="00275711">
          <w:rPr>
            <w:rStyle w:val="Hyperlink"/>
            <w:rFonts w:ascii="Arial" w:eastAsia="Calibri" w:hAnsi="Arial" w:cs="Calibri"/>
            <w:sz w:val="24"/>
            <w:szCs w:val="24"/>
          </w:rPr>
          <w:t>http://eprints.soton.ac.uk/340294/</w:t>
        </w:r>
      </w:hyperlink>
      <w:r>
        <w:rPr>
          <w:rFonts w:ascii="Arial" w:eastAsia="Calibri" w:hAnsi="Arial" w:cs="Calibri"/>
          <w:sz w:val="24"/>
          <w:szCs w:val="24"/>
        </w:rPr>
        <w:t xml:space="preserve"> </w:t>
      </w:r>
    </w:p>
    <w:p w:rsidR="00973EA7" w:rsidRPr="00463843" w:rsidRDefault="00A45E8F" w:rsidP="001170A3">
      <w:pPr>
        <w:jc w:val="both"/>
        <w:rPr>
          <w:rFonts w:ascii="Arial" w:hAnsi="Arial" w:cs="Times New Roman"/>
          <w:sz w:val="24"/>
        </w:rPr>
      </w:pPr>
      <w:r w:rsidRPr="005623CE">
        <w:rPr>
          <w:rFonts w:ascii="Arial" w:hAnsi="Arial" w:cs="Times New Roman"/>
          <w:sz w:val="24"/>
        </w:rPr>
        <w:t xml:space="preserve">Gargouri, Y., Hajjem, C., Lariviere, V., Gingras, Y., Brody, T., Carr, L. and Harnad, S. (2010) Self-Selected or Mandated, Open Access Increases Citation Impact for Higher Quality Research. </w:t>
      </w:r>
      <w:r w:rsidRPr="005623CE">
        <w:rPr>
          <w:rFonts w:ascii="Arial" w:hAnsi="Arial" w:cs="Times New Roman"/>
          <w:i/>
          <w:sz w:val="24"/>
        </w:rPr>
        <w:t>PLOS ONE</w:t>
      </w:r>
      <w:r w:rsidRPr="005623CE">
        <w:rPr>
          <w:rFonts w:ascii="Arial" w:hAnsi="Arial" w:cs="Times New Roman"/>
          <w:sz w:val="24"/>
        </w:rPr>
        <w:t xml:space="preserve"> 5 (10) e13636 </w:t>
      </w:r>
      <w:hyperlink r:id="rId49" w:history="1">
        <w:r w:rsidRPr="005623CE">
          <w:rPr>
            <w:rStyle w:val="Hyperlink"/>
            <w:rFonts w:ascii="Arial" w:hAnsi="Arial" w:cs="Times New Roman"/>
            <w:sz w:val="24"/>
          </w:rPr>
          <w:t>http://eprints.ecs.soton.ac.uk/18493/</w:t>
        </w:r>
      </w:hyperlink>
      <w:r w:rsidRPr="005623CE">
        <w:rPr>
          <w:rFonts w:ascii="Arial" w:hAnsi="Arial" w:cs="Times New Roman"/>
          <w:sz w:val="24"/>
        </w:rPr>
        <w:t xml:space="preserve">  </w:t>
      </w:r>
    </w:p>
    <w:p w:rsidR="00973EA7" w:rsidRPr="005623CE" w:rsidRDefault="002A5D5B" w:rsidP="001170A3">
      <w:pPr>
        <w:jc w:val="both"/>
        <w:rPr>
          <w:rFonts w:ascii="Arial" w:hAnsi="Arial" w:cs="Times New Roman"/>
          <w:b/>
          <w:sz w:val="24"/>
          <w:u w:val="single"/>
        </w:rPr>
      </w:pPr>
      <w:r w:rsidRPr="005623CE">
        <w:rPr>
          <w:rFonts w:ascii="Arial" w:hAnsi="Arial" w:cs="Arial"/>
          <w:color w:val="1A1A1A"/>
          <w:sz w:val="24"/>
          <w:szCs w:val="26"/>
          <w:lang w:val="en-US"/>
        </w:rPr>
        <w:t xml:space="preserve">Gentil-Beccot, A., Mele, S., &amp; Brooks, T. C. (2010). Citing and reading behaviours in high-energy physics. </w:t>
      </w:r>
      <w:r w:rsidRPr="005623CE">
        <w:rPr>
          <w:rFonts w:ascii="Arial" w:hAnsi="Arial" w:cs="Arial"/>
          <w:i/>
          <w:iCs/>
          <w:color w:val="1A1A1A"/>
          <w:sz w:val="24"/>
          <w:szCs w:val="26"/>
          <w:lang w:val="en-US"/>
        </w:rPr>
        <w:t>Scientometrics</w:t>
      </w:r>
      <w:r w:rsidRPr="005623CE">
        <w:rPr>
          <w:rFonts w:ascii="Arial" w:hAnsi="Arial" w:cs="Arial"/>
          <w:color w:val="1A1A1A"/>
          <w:sz w:val="24"/>
          <w:szCs w:val="26"/>
          <w:lang w:val="en-US"/>
        </w:rPr>
        <w:t xml:space="preserve">, </w:t>
      </w:r>
      <w:r w:rsidRPr="005623CE">
        <w:rPr>
          <w:rFonts w:ascii="Arial" w:hAnsi="Arial" w:cs="Arial"/>
          <w:i/>
          <w:iCs/>
          <w:color w:val="1A1A1A"/>
          <w:sz w:val="24"/>
          <w:szCs w:val="26"/>
          <w:lang w:val="en-US"/>
        </w:rPr>
        <w:t>84</w:t>
      </w:r>
      <w:r w:rsidRPr="005623CE">
        <w:rPr>
          <w:rFonts w:ascii="Arial" w:hAnsi="Arial" w:cs="Arial"/>
          <w:color w:val="1A1A1A"/>
          <w:sz w:val="24"/>
          <w:szCs w:val="26"/>
          <w:lang w:val="en-US"/>
        </w:rPr>
        <w:t>(2), 345-355.</w:t>
      </w:r>
      <w:r w:rsidR="00D80739" w:rsidRPr="005623CE">
        <w:rPr>
          <w:rFonts w:ascii="Arial" w:hAnsi="Arial" w:cs="Arial"/>
          <w:color w:val="1A1A1A"/>
          <w:sz w:val="24"/>
          <w:szCs w:val="26"/>
          <w:lang w:val="en-US"/>
        </w:rPr>
        <w:t xml:space="preserve"> </w:t>
      </w:r>
      <w:hyperlink r:id="rId50" w:history="1">
        <w:r w:rsidR="00D80739" w:rsidRPr="005623CE">
          <w:rPr>
            <w:rStyle w:val="Hyperlink"/>
            <w:rFonts w:ascii="Arial" w:hAnsi="Arial" w:cs="Arial"/>
            <w:sz w:val="24"/>
            <w:szCs w:val="26"/>
            <w:lang w:val="en-US"/>
          </w:rPr>
          <w:t>http://www.slac.stanford.edu/pubs/slacpubs/13500/slac-pub-13693.pdf</w:t>
        </w:r>
      </w:hyperlink>
      <w:r w:rsidR="00D80739" w:rsidRPr="005623CE">
        <w:rPr>
          <w:rFonts w:ascii="Arial" w:hAnsi="Arial" w:cs="Arial"/>
          <w:color w:val="1A1A1A"/>
          <w:sz w:val="24"/>
          <w:szCs w:val="26"/>
          <w:lang w:val="en-US"/>
        </w:rPr>
        <w:t xml:space="preserve"> </w:t>
      </w:r>
    </w:p>
    <w:p w:rsidR="00A45E8F" w:rsidRPr="005623CE" w:rsidRDefault="00A45E8F" w:rsidP="001170A3">
      <w:pPr>
        <w:jc w:val="both"/>
        <w:rPr>
          <w:rFonts w:ascii="Arial" w:eastAsia="Calibri" w:hAnsi="Arial" w:cs="Calibri"/>
          <w:sz w:val="24"/>
          <w:szCs w:val="24"/>
        </w:rPr>
      </w:pPr>
      <w:r w:rsidRPr="005623CE">
        <w:rPr>
          <w:rFonts w:ascii="Arial" w:eastAsia="Calibri" w:hAnsi="Arial" w:cs="Calibri"/>
          <w:sz w:val="24"/>
          <w:szCs w:val="24"/>
        </w:rPr>
        <w:t xml:space="preserve">Rentier, B., &amp; Thirion, P. (2011). </w:t>
      </w:r>
      <w:r w:rsidRPr="005623CE">
        <w:rPr>
          <w:rFonts w:ascii="Arial" w:eastAsia="Calibri" w:hAnsi="Arial" w:cs="Calibri"/>
          <w:i/>
          <w:sz w:val="24"/>
          <w:szCs w:val="24"/>
        </w:rPr>
        <w:t>The Liège ORBi model: Mandatory policy without rights retention but linked to assessment processes</w:t>
      </w:r>
      <w:r w:rsidRPr="005623CE">
        <w:rPr>
          <w:rFonts w:ascii="Arial" w:eastAsia="Calibri" w:hAnsi="Arial" w:cs="Calibri"/>
          <w:sz w:val="24"/>
          <w:szCs w:val="24"/>
        </w:rPr>
        <w:t xml:space="preserve">. </w:t>
      </w:r>
      <w:hyperlink r:id="rId51" w:history="1">
        <w:r w:rsidRPr="005623CE">
          <w:rPr>
            <w:rStyle w:val="Hyperlink"/>
            <w:rFonts w:ascii="Arial" w:eastAsia="Calibri" w:hAnsi="Arial" w:cs="Calibri"/>
            <w:sz w:val="24"/>
            <w:szCs w:val="24"/>
          </w:rPr>
          <w:t>http://orbi.ulg.ac.be/handle/2268/102031</w:t>
        </w:r>
      </w:hyperlink>
    </w:p>
    <w:p w:rsidR="00A45E8F" w:rsidRPr="005623CE" w:rsidRDefault="00A45E8F" w:rsidP="001170A3">
      <w:pPr>
        <w:jc w:val="both"/>
        <w:rPr>
          <w:rFonts w:ascii="Arial" w:eastAsia="Calibri" w:hAnsi="Arial" w:cs="Calibri"/>
          <w:sz w:val="24"/>
          <w:szCs w:val="24"/>
        </w:rPr>
      </w:pPr>
      <w:r w:rsidRPr="005623CE">
        <w:rPr>
          <w:rFonts w:ascii="Arial" w:eastAsia="Calibri" w:hAnsi="Arial" w:cs="Calibri"/>
          <w:sz w:val="24"/>
          <w:szCs w:val="24"/>
        </w:rPr>
        <w:t xml:space="preserve">Sale, A., Couture, M., Rodrigues, E., Carr, L. and Harnad, S. (2012) Open Access Mandates and the "Fair Dealing" Button. In: </w:t>
      </w:r>
      <w:r w:rsidRPr="005623CE">
        <w:rPr>
          <w:rFonts w:ascii="Arial" w:eastAsia="Calibri" w:hAnsi="Arial" w:cs="Calibri"/>
          <w:i/>
          <w:sz w:val="24"/>
          <w:szCs w:val="24"/>
        </w:rPr>
        <w:t>Dynamic Fair Dealing: Creating Canadian Culture Online</w:t>
      </w:r>
      <w:r w:rsidRPr="005623CE">
        <w:rPr>
          <w:rFonts w:ascii="Arial" w:eastAsia="Calibri" w:hAnsi="Arial" w:cs="Calibri"/>
          <w:sz w:val="24"/>
          <w:szCs w:val="24"/>
        </w:rPr>
        <w:t xml:space="preserve"> (Rosemary J. Coombe &amp; Darren Wershler, Eds.) </w:t>
      </w:r>
      <w:hyperlink r:id="rId52" w:history="1">
        <w:r w:rsidRPr="005623CE">
          <w:rPr>
            <w:rStyle w:val="Hyperlink"/>
            <w:rFonts w:ascii="Arial" w:eastAsia="Calibri" w:hAnsi="Arial" w:cs="Calibri"/>
            <w:sz w:val="24"/>
            <w:szCs w:val="24"/>
          </w:rPr>
          <w:t>http://eprints.ecs.soton.ac.uk/18511/</w:t>
        </w:r>
      </w:hyperlink>
      <w:r w:rsidRPr="005623CE">
        <w:rPr>
          <w:rFonts w:ascii="Arial" w:eastAsia="Calibri" w:hAnsi="Arial" w:cs="Calibri"/>
          <w:sz w:val="24"/>
          <w:szCs w:val="24"/>
        </w:rPr>
        <w:t xml:space="preserve"> </w:t>
      </w:r>
    </w:p>
    <w:p w:rsidR="00A45E8F" w:rsidRPr="005623CE" w:rsidRDefault="00A45E8F" w:rsidP="00A45E8F">
      <w:pPr>
        <w:rPr>
          <w:rFonts w:ascii="Arial" w:hAnsi="Arial"/>
        </w:rPr>
      </w:pPr>
    </w:p>
    <w:p w:rsidR="00973EA7" w:rsidRPr="005623CE" w:rsidRDefault="00973EA7" w:rsidP="00BE19E2">
      <w:pPr>
        <w:rPr>
          <w:rFonts w:ascii="Arial" w:hAnsi="Arial" w:cs="Times New Roman"/>
          <w:b/>
          <w:u w:val="single"/>
        </w:rPr>
      </w:pPr>
    </w:p>
    <w:p w:rsidR="00973EA7" w:rsidRPr="005623CE" w:rsidRDefault="00973EA7" w:rsidP="00BE19E2">
      <w:pPr>
        <w:rPr>
          <w:rFonts w:ascii="Arial" w:hAnsi="Arial" w:cs="Times New Roman"/>
          <w:b/>
          <w:u w:val="single"/>
        </w:rPr>
      </w:pPr>
    </w:p>
    <w:p w:rsidR="00FE66E1" w:rsidRPr="005623CE" w:rsidRDefault="00FE66E1" w:rsidP="00BE19E2">
      <w:pPr>
        <w:rPr>
          <w:rFonts w:ascii="Arial" w:hAnsi="Arial" w:cs="Times New Roman"/>
          <w:b/>
          <w:u w:val="single"/>
        </w:rPr>
      </w:pPr>
    </w:p>
    <w:p w:rsidR="00FE66E1" w:rsidRPr="005623CE" w:rsidRDefault="00FE66E1" w:rsidP="00BE19E2">
      <w:pPr>
        <w:rPr>
          <w:rFonts w:ascii="Arial" w:hAnsi="Arial" w:cs="Times New Roman"/>
          <w:b/>
          <w:u w:val="single"/>
        </w:rPr>
      </w:pPr>
    </w:p>
    <w:p w:rsidR="00FE66E1" w:rsidRPr="005623CE" w:rsidRDefault="00FE66E1" w:rsidP="00BE19E2">
      <w:pPr>
        <w:rPr>
          <w:rFonts w:ascii="Arial" w:hAnsi="Arial" w:cs="Times New Roman"/>
          <w:b/>
          <w:u w:val="single"/>
        </w:rPr>
      </w:pPr>
    </w:p>
    <w:p w:rsidR="00483BA4" w:rsidRPr="005623CE" w:rsidRDefault="00483BA4" w:rsidP="00BE19E2">
      <w:pPr>
        <w:rPr>
          <w:rFonts w:ascii="Arial" w:hAnsi="Arial" w:cs="Times New Roman"/>
          <w:b/>
          <w:u w:val="single"/>
        </w:rPr>
      </w:pPr>
      <w:r w:rsidRPr="005623CE">
        <w:rPr>
          <w:rFonts w:ascii="Arial" w:hAnsi="Arial" w:cs="Times New Roman"/>
          <w:b/>
          <w:u w:val="single"/>
        </w:rPr>
        <w:t>Appendix 1</w:t>
      </w:r>
    </w:p>
    <w:p w:rsidR="001A5553" w:rsidRPr="001A5553" w:rsidRDefault="00FE66E1" w:rsidP="001170A3">
      <w:pPr>
        <w:jc w:val="both"/>
        <w:rPr>
          <w:rFonts w:ascii="Arial" w:eastAsia="Times New Roman" w:hAnsi="Arial" w:cs="Times New Roman"/>
          <w:b/>
          <w:bCs/>
          <w:color w:val="000000"/>
          <w:lang w:eastAsia="en-CA"/>
        </w:rPr>
      </w:pPr>
      <w:r w:rsidRPr="005623CE">
        <w:rPr>
          <w:rFonts w:ascii="Arial" w:eastAsia="Times New Roman" w:hAnsi="Arial" w:cs="Times New Roman"/>
          <w:b/>
          <w:bCs/>
          <w:color w:val="000000"/>
          <w:lang w:eastAsia="en-CA"/>
        </w:rPr>
        <w:t>Percentage of U Minho ISI-indexed articles published in 2004-2012 deposited in Public Access [P</w:t>
      </w:r>
      <w:r w:rsidR="000E7CCC">
        <w:rPr>
          <w:rFonts w:ascii="Arial" w:eastAsia="Times New Roman" w:hAnsi="Arial" w:cs="Times New Roman"/>
          <w:b/>
          <w:bCs/>
          <w:color w:val="000000"/>
          <w:lang w:eastAsia="en-CA"/>
        </w:rPr>
        <w:t xml:space="preserve">A], Restricted Access [RA] or not </w:t>
      </w:r>
      <w:r w:rsidRPr="005623CE">
        <w:rPr>
          <w:rFonts w:ascii="Arial" w:eastAsia="Times New Roman" w:hAnsi="Arial" w:cs="Times New Roman"/>
          <w:b/>
          <w:bCs/>
          <w:color w:val="000000"/>
          <w:lang w:eastAsia="en-CA"/>
        </w:rPr>
        <w:t>deposited: Totals and by Discipline (measured September 2013)</w:t>
      </w:r>
    </w:p>
    <w:tbl>
      <w:tblPr>
        <w:tblW w:w="8227" w:type="dxa"/>
        <w:tblInd w:w="103" w:type="dxa"/>
        <w:tblLook w:val="04A0"/>
      </w:tblPr>
      <w:tblGrid>
        <w:gridCol w:w="2132"/>
        <w:gridCol w:w="708"/>
        <w:gridCol w:w="851"/>
        <w:gridCol w:w="850"/>
        <w:gridCol w:w="851"/>
        <w:gridCol w:w="850"/>
        <w:gridCol w:w="851"/>
        <w:gridCol w:w="1134"/>
      </w:tblGrid>
      <w:tr w:rsidR="00483BA4" w:rsidRPr="001A5553">
        <w:trPr>
          <w:trHeight w:val="251"/>
        </w:trPr>
        <w:tc>
          <w:tcPr>
            <w:tcW w:w="21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83BA4" w:rsidRPr="001A5553" w:rsidRDefault="00483BA4" w:rsidP="00BE19E2">
            <w:pPr>
              <w:spacing w:after="0" w:line="240" w:lineRule="auto"/>
              <w:rPr>
                <w:rFonts w:ascii="Arial" w:eastAsia="Times New Roman" w:hAnsi="Arial" w:cs="Times New Roman"/>
                <w:b/>
                <w:bCs/>
                <w:color w:val="000000"/>
                <w:sz w:val="20"/>
                <w:szCs w:val="20"/>
                <w:lang w:eastAsia="en-CA"/>
              </w:rPr>
            </w:pPr>
            <w:r w:rsidRPr="001A5553">
              <w:rPr>
                <w:rFonts w:ascii="Arial" w:eastAsia="Times New Roman" w:hAnsi="Arial" w:cs="Times New Roman"/>
                <w:b/>
                <w:bCs/>
                <w:color w:val="000000"/>
                <w:sz w:val="20"/>
                <w:szCs w:val="20"/>
                <w:lang w:eastAsia="en-CA"/>
              </w:rPr>
              <w:t>Discipline</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83BA4" w:rsidRPr="001A5553" w:rsidRDefault="00483BA4" w:rsidP="001A5553">
            <w:pPr>
              <w:spacing w:after="0" w:line="240" w:lineRule="auto"/>
              <w:jc w:val="center"/>
              <w:rPr>
                <w:rFonts w:ascii="Arial" w:eastAsia="Times New Roman" w:hAnsi="Arial" w:cs="Times New Roman"/>
                <w:b/>
                <w:bCs/>
                <w:color w:val="000000"/>
                <w:sz w:val="20"/>
                <w:szCs w:val="20"/>
                <w:lang w:eastAsia="en-CA"/>
              </w:rPr>
            </w:pPr>
            <w:r w:rsidRPr="001A5553">
              <w:rPr>
                <w:rFonts w:ascii="Arial" w:eastAsia="Times New Roman" w:hAnsi="Arial" w:cs="Times New Roman"/>
                <w:b/>
                <w:bCs/>
                <w:color w:val="000000"/>
                <w:sz w:val="20"/>
                <w:szCs w:val="20"/>
                <w:lang w:eastAsia="en-CA"/>
              </w:rPr>
              <w:t>Total</w:t>
            </w:r>
          </w:p>
        </w:tc>
        <w:tc>
          <w:tcPr>
            <w:tcW w:w="1701" w:type="dxa"/>
            <w:gridSpan w:val="2"/>
            <w:tcBorders>
              <w:top w:val="single" w:sz="4" w:space="0" w:color="auto"/>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b/>
                <w:bCs/>
                <w:color w:val="000000"/>
                <w:sz w:val="20"/>
                <w:szCs w:val="20"/>
                <w:lang w:eastAsia="en-CA"/>
              </w:rPr>
            </w:pPr>
            <w:r w:rsidRPr="001A5553">
              <w:rPr>
                <w:rFonts w:ascii="Arial" w:eastAsia="Times New Roman" w:hAnsi="Arial" w:cs="Times New Roman"/>
                <w:b/>
                <w:bCs/>
                <w:color w:val="000000"/>
                <w:sz w:val="20"/>
                <w:szCs w:val="20"/>
                <w:lang w:eastAsia="en-CA"/>
              </w:rPr>
              <w:t xml:space="preserve">Not </w:t>
            </w:r>
            <w:r w:rsidR="00607C2E" w:rsidRPr="001A5553">
              <w:rPr>
                <w:rFonts w:ascii="Arial" w:eastAsia="Times New Roman" w:hAnsi="Arial" w:cs="Times New Roman"/>
                <w:b/>
                <w:bCs/>
                <w:color w:val="000000"/>
                <w:sz w:val="20"/>
                <w:szCs w:val="20"/>
                <w:lang w:eastAsia="en-CA"/>
              </w:rPr>
              <w:t>Deposited</w:t>
            </w:r>
          </w:p>
        </w:tc>
        <w:tc>
          <w:tcPr>
            <w:tcW w:w="1701" w:type="dxa"/>
            <w:gridSpan w:val="2"/>
            <w:tcBorders>
              <w:top w:val="single" w:sz="4" w:space="0" w:color="auto"/>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b/>
                <w:bCs/>
                <w:color w:val="000000"/>
                <w:sz w:val="20"/>
                <w:szCs w:val="20"/>
                <w:lang w:eastAsia="en-CA"/>
              </w:rPr>
            </w:pPr>
            <w:r w:rsidRPr="001A5553">
              <w:rPr>
                <w:rFonts w:ascii="Arial" w:eastAsia="Times New Roman" w:hAnsi="Arial" w:cs="Times New Roman"/>
                <w:b/>
                <w:bCs/>
                <w:color w:val="000000"/>
                <w:sz w:val="20"/>
                <w:szCs w:val="20"/>
                <w:lang w:eastAsia="en-CA"/>
              </w:rPr>
              <w:t xml:space="preserve">Public </w:t>
            </w:r>
            <w:r w:rsidR="00607C2E" w:rsidRPr="001A5553">
              <w:rPr>
                <w:rFonts w:ascii="Arial" w:eastAsia="Times New Roman" w:hAnsi="Arial" w:cs="Times New Roman"/>
                <w:b/>
                <w:bCs/>
                <w:color w:val="000000"/>
                <w:sz w:val="20"/>
                <w:szCs w:val="20"/>
                <w:lang w:eastAsia="en-CA"/>
              </w:rPr>
              <w:t>Access</w:t>
            </w:r>
          </w:p>
        </w:tc>
        <w:tc>
          <w:tcPr>
            <w:tcW w:w="1985" w:type="dxa"/>
            <w:gridSpan w:val="2"/>
            <w:tcBorders>
              <w:top w:val="single" w:sz="4" w:space="0" w:color="auto"/>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b/>
                <w:bCs/>
                <w:color w:val="000000"/>
                <w:sz w:val="20"/>
                <w:szCs w:val="20"/>
                <w:lang w:eastAsia="en-CA"/>
              </w:rPr>
            </w:pPr>
            <w:r w:rsidRPr="001A5553">
              <w:rPr>
                <w:rFonts w:ascii="Arial" w:eastAsia="Times New Roman" w:hAnsi="Arial" w:cs="Times New Roman"/>
                <w:b/>
                <w:bCs/>
                <w:color w:val="000000"/>
                <w:sz w:val="20"/>
                <w:szCs w:val="20"/>
                <w:lang w:eastAsia="en-CA"/>
              </w:rPr>
              <w:t>Restricted Access</w:t>
            </w:r>
          </w:p>
        </w:tc>
      </w:tr>
      <w:tr w:rsidR="00632191" w:rsidRPr="001A5553">
        <w:trPr>
          <w:trHeight w:val="251"/>
        </w:trPr>
        <w:tc>
          <w:tcPr>
            <w:tcW w:w="2132" w:type="dxa"/>
            <w:vMerge/>
            <w:tcBorders>
              <w:top w:val="single" w:sz="4" w:space="0" w:color="auto"/>
              <w:left w:val="single" w:sz="4" w:space="0" w:color="auto"/>
              <w:bottom w:val="single" w:sz="4" w:space="0" w:color="auto"/>
              <w:right w:val="single" w:sz="4" w:space="0" w:color="auto"/>
            </w:tcBorders>
            <w:vAlign w:val="center"/>
          </w:tcPr>
          <w:p w:rsidR="00483BA4" w:rsidRPr="001A5553" w:rsidRDefault="00483BA4" w:rsidP="00BE19E2">
            <w:pPr>
              <w:spacing w:after="0" w:line="240" w:lineRule="auto"/>
              <w:rPr>
                <w:rFonts w:ascii="Arial" w:eastAsia="Times New Roman" w:hAnsi="Arial" w:cs="Times New Roman"/>
                <w:b/>
                <w:bCs/>
                <w:color w:val="000000"/>
                <w:sz w:val="20"/>
                <w:szCs w:val="20"/>
                <w:lang w:eastAsia="en-CA"/>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483BA4" w:rsidRPr="001A5553" w:rsidRDefault="00483BA4" w:rsidP="001A5553">
            <w:pPr>
              <w:spacing w:after="0" w:line="240" w:lineRule="auto"/>
              <w:jc w:val="center"/>
              <w:rPr>
                <w:rFonts w:ascii="Arial" w:eastAsia="Times New Roman" w:hAnsi="Arial" w:cs="Times New Roman"/>
                <w:b/>
                <w:bCs/>
                <w:color w:val="000000"/>
                <w:sz w:val="20"/>
                <w:szCs w:val="20"/>
                <w:lang w:eastAsia="en-CA"/>
              </w:rPr>
            </w:pP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b/>
                <w:bCs/>
                <w:color w:val="000000"/>
                <w:sz w:val="20"/>
                <w:szCs w:val="20"/>
                <w:lang w:eastAsia="en-CA"/>
              </w:rPr>
            </w:pPr>
            <w:r w:rsidRPr="001A5553">
              <w:rPr>
                <w:rFonts w:ascii="Arial" w:eastAsia="Times New Roman" w:hAnsi="Arial" w:cs="Times New Roman"/>
                <w:b/>
                <w:bCs/>
                <w:color w:val="000000"/>
                <w:sz w:val="20"/>
                <w:szCs w:val="20"/>
                <w:lang w:eastAsia="en-CA"/>
              </w:rPr>
              <w:t>N</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b/>
                <w:bCs/>
                <w:color w:val="000000"/>
                <w:sz w:val="20"/>
                <w:szCs w:val="20"/>
                <w:lang w:eastAsia="en-CA"/>
              </w:rPr>
            </w:pPr>
            <w:r w:rsidRPr="001A5553">
              <w:rPr>
                <w:rFonts w:ascii="Arial" w:eastAsia="Times New Roman" w:hAnsi="Arial" w:cs="Times New Roman"/>
                <w:b/>
                <w:bCs/>
                <w:color w:val="000000"/>
                <w:sz w:val="20"/>
                <w:szCs w:val="20"/>
                <w:lang w:eastAsia="en-CA"/>
              </w:rPr>
              <w:t>%</w:t>
            </w:r>
          </w:p>
        </w:tc>
        <w:tc>
          <w:tcPr>
            <w:tcW w:w="851"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b/>
                <w:bCs/>
                <w:color w:val="000000"/>
                <w:sz w:val="20"/>
                <w:szCs w:val="20"/>
                <w:lang w:eastAsia="en-CA"/>
              </w:rPr>
            </w:pPr>
            <w:r w:rsidRPr="001A5553">
              <w:rPr>
                <w:rFonts w:ascii="Arial" w:eastAsia="Times New Roman" w:hAnsi="Arial" w:cs="Times New Roman"/>
                <w:b/>
                <w:bCs/>
                <w:color w:val="000000"/>
                <w:sz w:val="20"/>
                <w:szCs w:val="20"/>
                <w:lang w:eastAsia="en-CA"/>
              </w:rPr>
              <w:t>N</w:t>
            </w:r>
          </w:p>
        </w:tc>
        <w:tc>
          <w:tcPr>
            <w:tcW w:w="850"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b/>
                <w:bCs/>
                <w:color w:val="000000"/>
                <w:sz w:val="20"/>
                <w:szCs w:val="20"/>
                <w:lang w:eastAsia="en-CA"/>
              </w:rPr>
            </w:pPr>
            <w:r w:rsidRPr="001A5553">
              <w:rPr>
                <w:rFonts w:ascii="Arial" w:eastAsia="Times New Roman" w:hAnsi="Arial" w:cs="Times New Roman"/>
                <w:b/>
                <w:bCs/>
                <w:color w:val="000000"/>
                <w:sz w:val="20"/>
                <w:szCs w:val="20"/>
                <w:lang w:eastAsia="en-CA"/>
              </w:rPr>
              <w:t>%</w:t>
            </w:r>
          </w:p>
        </w:tc>
        <w:tc>
          <w:tcPr>
            <w:tcW w:w="851"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b/>
                <w:bCs/>
                <w:color w:val="000000"/>
                <w:sz w:val="20"/>
                <w:szCs w:val="20"/>
                <w:lang w:eastAsia="en-CA"/>
              </w:rPr>
            </w:pPr>
            <w:r w:rsidRPr="001A5553">
              <w:rPr>
                <w:rFonts w:ascii="Arial" w:eastAsia="Times New Roman" w:hAnsi="Arial" w:cs="Times New Roman"/>
                <w:b/>
                <w:bCs/>
                <w:color w:val="000000"/>
                <w:sz w:val="20"/>
                <w:szCs w:val="20"/>
                <w:lang w:eastAsia="en-CA"/>
              </w:rPr>
              <w:t>N</w:t>
            </w:r>
          </w:p>
        </w:tc>
        <w:tc>
          <w:tcPr>
            <w:tcW w:w="1134"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b/>
                <w:bCs/>
                <w:color w:val="000000"/>
                <w:sz w:val="20"/>
                <w:szCs w:val="20"/>
                <w:lang w:eastAsia="en-CA"/>
              </w:rPr>
            </w:pPr>
            <w:r w:rsidRPr="001A5553">
              <w:rPr>
                <w:rFonts w:ascii="Arial" w:eastAsia="Times New Roman" w:hAnsi="Arial" w:cs="Times New Roman"/>
                <w:b/>
                <w:bCs/>
                <w:color w:val="000000"/>
                <w:sz w:val="20"/>
                <w:szCs w:val="20"/>
                <w:lang w:eastAsia="en-CA"/>
              </w:rPr>
              <w:t>%</w:t>
            </w:r>
          </w:p>
        </w:tc>
      </w:tr>
      <w:tr w:rsidR="00632191" w:rsidRPr="001A5553">
        <w:trPr>
          <w:trHeight w:val="251"/>
        </w:trPr>
        <w:tc>
          <w:tcPr>
            <w:tcW w:w="2132" w:type="dxa"/>
            <w:tcBorders>
              <w:top w:val="nil"/>
              <w:left w:val="single" w:sz="4" w:space="0" w:color="auto"/>
              <w:bottom w:val="single" w:sz="4" w:space="0" w:color="auto"/>
              <w:right w:val="single" w:sz="4" w:space="0" w:color="auto"/>
            </w:tcBorders>
            <w:shd w:val="clear" w:color="auto" w:fill="auto"/>
            <w:noWrap/>
            <w:vAlign w:val="center"/>
          </w:tcPr>
          <w:p w:rsidR="00483BA4" w:rsidRPr="001A5553" w:rsidRDefault="00483BA4" w:rsidP="00BE19E2">
            <w:pPr>
              <w:spacing w:after="0" w:line="240" w:lineRule="auto"/>
              <w:rPr>
                <w:rFonts w:ascii="Arial" w:eastAsia="Times New Roman" w:hAnsi="Arial" w:cs="Times New Roman"/>
                <w:b/>
                <w:color w:val="000000"/>
                <w:sz w:val="20"/>
                <w:szCs w:val="20"/>
                <w:lang w:eastAsia="en-CA"/>
              </w:rPr>
            </w:pPr>
            <w:r w:rsidRPr="001A5553">
              <w:rPr>
                <w:rFonts w:ascii="Arial" w:eastAsia="Times New Roman" w:hAnsi="Arial" w:cs="Times New Roman"/>
                <w:b/>
                <w:color w:val="000000"/>
                <w:sz w:val="20"/>
                <w:szCs w:val="20"/>
                <w:lang w:eastAsia="en-CA"/>
              </w:rPr>
              <w:t>ALL DISCIPLINES</w:t>
            </w:r>
          </w:p>
        </w:tc>
        <w:tc>
          <w:tcPr>
            <w:tcW w:w="708" w:type="dxa"/>
            <w:tcBorders>
              <w:top w:val="nil"/>
              <w:left w:val="nil"/>
              <w:bottom w:val="single" w:sz="4" w:space="0" w:color="auto"/>
              <w:right w:val="single" w:sz="4" w:space="0" w:color="auto"/>
            </w:tcBorders>
            <w:shd w:val="clear" w:color="auto" w:fill="auto"/>
            <w:noWrap/>
            <w:vAlign w:val="bottom"/>
          </w:tcPr>
          <w:p w:rsidR="00483BA4" w:rsidRPr="001A5553" w:rsidRDefault="00483BA4" w:rsidP="001A5553">
            <w:pPr>
              <w:spacing w:after="0" w:line="240" w:lineRule="auto"/>
              <w:jc w:val="center"/>
              <w:rPr>
                <w:rFonts w:ascii="Arial" w:eastAsia="Times New Roman" w:hAnsi="Arial" w:cs="Times New Roman"/>
                <w:b/>
                <w:bCs/>
                <w:color w:val="000000"/>
                <w:sz w:val="20"/>
                <w:szCs w:val="20"/>
                <w:lang w:eastAsia="en-CA"/>
              </w:rPr>
            </w:pPr>
            <w:r w:rsidRPr="001A5553">
              <w:rPr>
                <w:rFonts w:ascii="Arial" w:eastAsia="Times New Roman" w:hAnsi="Arial" w:cs="Times New Roman"/>
                <w:b/>
                <w:bCs/>
                <w:color w:val="000000"/>
                <w:sz w:val="20"/>
                <w:szCs w:val="20"/>
                <w:lang w:eastAsia="en-CA"/>
              </w:rPr>
              <w:t>5700</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b/>
                <w:bCs/>
                <w:color w:val="000000"/>
                <w:sz w:val="20"/>
                <w:szCs w:val="20"/>
                <w:lang w:eastAsia="en-CA"/>
              </w:rPr>
            </w:pPr>
            <w:r w:rsidRPr="001A5553">
              <w:rPr>
                <w:rFonts w:ascii="Arial" w:eastAsia="Times New Roman" w:hAnsi="Arial" w:cs="Times New Roman"/>
                <w:b/>
                <w:bCs/>
                <w:color w:val="000000"/>
                <w:sz w:val="20"/>
                <w:szCs w:val="20"/>
                <w:lang w:eastAsia="en-CA"/>
              </w:rPr>
              <w:t>3518</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b/>
                <w:bCs/>
                <w:color w:val="000000"/>
                <w:sz w:val="20"/>
                <w:szCs w:val="20"/>
                <w:lang w:eastAsia="en-CA"/>
              </w:rPr>
            </w:pPr>
            <w:r w:rsidRPr="001A5553">
              <w:rPr>
                <w:rFonts w:ascii="Arial" w:eastAsia="Times New Roman" w:hAnsi="Arial" w:cs="Times New Roman"/>
                <w:b/>
                <w:bCs/>
                <w:color w:val="000000"/>
                <w:sz w:val="20"/>
                <w:szCs w:val="20"/>
                <w:lang w:eastAsia="en-CA"/>
              </w:rPr>
              <w:t>62%</w:t>
            </w:r>
          </w:p>
        </w:tc>
        <w:tc>
          <w:tcPr>
            <w:tcW w:w="851"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b/>
                <w:bCs/>
                <w:color w:val="000000"/>
                <w:sz w:val="20"/>
                <w:szCs w:val="20"/>
                <w:lang w:eastAsia="en-CA"/>
              </w:rPr>
            </w:pPr>
            <w:r w:rsidRPr="001A5553">
              <w:rPr>
                <w:rFonts w:ascii="Arial" w:eastAsia="Times New Roman" w:hAnsi="Arial" w:cs="Times New Roman"/>
                <w:b/>
                <w:bCs/>
                <w:color w:val="000000"/>
                <w:sz w:val="20"/>
                <w:szCs w:val="20"/>
                <w:lang w:eastAsia="en-CA"/>
              </w:rPr>
              <w:t>1569</w:t>
            </w:r>
          </w:p>
        </w:tc>
        <w:tc>
          <w:tcPr>
            <w:tcW w:w="850"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b/>
                <w:bCs/>
                <w:color w:val="000000"/>
                <w:sz w:val="20"/>
                <w:szCs w:val="20"/>
                <w:lang w:eastAsia="en-CA"/>
              </w:rPr>
            </w:pPr>
            <w:r w:rsidRPr="001A5553">
              <w:rPr>
                <w:rFonts w:ascii="Arial" w:eastAsia="Times New Roman" w:hAnsi="Arial" w:cs="Times New Roman"/>
                <w:b/>
                <w:bCs/>
                <w:color w:val="000000"/>
                <w:sz w:val="20"/>
                <w:szCs w:val="20"/>
                <w:lang w:eastAsia="en-CA"/>
              </w:rPr>
              <w:t>28%</w:t>
            </w:r>
          </w:p>
        </w:tc>
        <w:tc>
          <w:tcPr>
            <w:tcW w:w="851"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b/>
                <w:bCs/>
                <w:color w:val="000000"/>
                <w:sz w:val="20"/>
                <w:szCs w:val="20"/>
                <w:lang w:eastAsia="en-CA"/>
              </w:rPr>
            </w:pPr>
            <w:r w:rsidRPr="001A5553">
              <w:rPr>
                <w:rFonts w:ascii="Arial" w:eastAsia="Times New Roman" w:hAnsi="Arial" w:cs="Times New Roman"/>
                <w:b/>
                <w:bCs/>
                <w:color w:val="000000"/>
                <w:sz w:val="20"/>
                <w:szCs w:val="20"/>
                <w:lang w:eastAsia="en-CA"/>
              </w:rPr>
              <w:t>613</w:t>
            </w:r>
          </w:p>
        </w:tc>
        <w:tc>
          <w:tcPr>
            <w:tcW w:w="1134"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b/>
                <w:bCs/>
                <w:color w:val="000000"/>
                <w:sz w:val="20"/>
                <w:szCs w:val="20"/>
                <w:lang w:eastAsia="en-CA"/>
              </w:rPr>
            </w:pPr>
            <w:r w:rsidRPr="001A5553">
              <w:rPr>
                <w:rFonts w:ascii="Arial" w:eastAsia="Times New Roman" w:hAnsi="Arial" w:cs="Times New Roman"/>
                <w:b/>
                <w:bCs/>
                <w:color w:val="000000"/>
                <w:sz w:val="20"/>
                <w:szCs w:val="20"/>
                <w:lang w:eastAsia="en-CA"/>
              </w:rPr>
              <w:t>11%</w:t>
            </w:r>
          </w:p>
        </w:tc>
      </w:tr>
      <w:tr w:rsidR="00632191" w:rsidRPr="001A5553">
        <w:trPr>
          <w:trHeight w:val="251"/>
        </w:trPr>
        <w:tc>
          <w:tcPr>
            <w:tcW w:w="2132" w:type="dxa"/>
            <w:tcBorders>
              <w:top w:val="nil"/>
              <w:left w:val="single" w:sz="4" w:space="0" w:color="auto"/>
              <w:bottom w:val="single" w:sz="4" w:space="0" w:color="auto"/>
              <w:right w:val="single" w:sz="4" w:space="0" w:color="auto"/>
            </w:tcBorders>
            <w:shd w:val="clear" w:color="auto" w:fill="auto"/>
            <w:noWrap/>
            <w:vAlign w:val="bottom"/>
          </w:tcPr>
          <w:p w:rsidR="00483BA4" w:rsidRPr="001A5553" w:rsidRDefault="00483BA4" w:rsidP="00BE19E2">
            <w:pPr>
              <w:spacing w:after="0" w:line="240" w:lineRule="auto"/>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Arts</w:t>
            </w:r>
          </w:p>
        </w:tc>
        <w:tc>
          <w:tcPr>
            <w:tcW w:w="708" w:type="dxa"/>
            <w:tcBorders>
              <w:top w:val="nil"/>
              <w:left w:val="nil"/>
              <w:bottom w:val="single" w:sz="4" w:space="0" w:color="auto"/>
              <w:right w:val="single" w:sz="4" w:space="0" w:color="auto"/>
            </w:tcBorders>
            <w:shd w:val="clear" w:color="auto" w:fill="auto"/>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10</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8</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80%</w:t>
            </w:r>
          </w:p>
        </w:tc>
        <w:tc>
          <w:tcPr>
            <w:tcW w:w="851"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2</w:t>
            </w:r>
          </w:p>
        </w:tc>
        <w:tc>
          <w:tcPr>
            <w:tcW w:w="850"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20%</w:t>
            </w:r>
          </w:p>
        </w:tc>
        <w:tc>
          <w:tcPr>
            <w:tcW w:w="851"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p>
        </w:tc>
        <w:tc>
          <w:tcPr>
            <w:tcW w:w="1134"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0%</w:t>
            </w:r>
          </w:p>
        </w:tc>
      </w:tr>
      <w:tr w:rsidR="00632191" w:rsidRPr="001A5553">
        <w:trPr>
          <w:trHeight w:val="251"/>
        </w:trPr>
        <w:tc>
          <w:tcPr>
            <w:tcW w:w="2132" w:type="dxa"/>
            <w:tcBorders>
              <w:top w:val="nil"/>
              <w:left w:val="single" w:sz="4" w:space="0" w:color="auto"/>
              <w:bottom w:val="single" w:sz="4" w:space="0" w:color="auto"/>
              <w:right w:val="single" w:sz="4" w:space="0" w:color="auto"/>
            </w:tcBorders>
            <w:shd w:val="clear" w:color="auto" w:fill="auto"/>
            <w:noWrap/>
            <w:vAlign w:val="bottom"/>
          </w:tcPr>
          <w:p w:rsidR="00483BA4" w:rsidRPr="001A5553" w:rsidRDefault="00483BA4" w:rsidP="00BE19E2">
            <w:pPr>
              <w:spacing w:after="0" w:line="240" w:lineRule="auto"/>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Biology</w:t>
            </w:r>
          </w:p>
        </w:tc>
        <w:tc>
          <w:tcPr>
            <w:tcW w:w="708" w:type="dxa"/>
            <w:tcBorders>
              <w:top w:val="nil"/>
              <w:left w:val="nil"/>
              <w:bottom w:val="single" w:sz="4" w:space="0" w:color="auto"/>
              <w:right w:val="single" w:sz="4" w:space="0" w:color="auto"/>
            </w:tcBorders>
            <w:shd w:val="clear" w:color="auto" w:fill="auto"/>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308</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174</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56%</w:t>
            </w:r>
          </w:p>
        </w:tc>
        <w:tc>
          <w:tcPr>
            <w:tcW w:w="851"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105</w:t>
            </w:r>
          </w:p>
        </w:tc>
        <w:tc>
          <w:tcPr>
            <w:tcW w:w="850"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34%</w:t>
            </w:r>
          </w:p>
        </w:tc>
        <w:tc>
          <w:tcPr>
            <w:tcW w:w="851"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29</w:t>
            </w:r>
          </w:p>
        </w:tc>
        <w:tc>
          <w:tcPr>
            <w:tcW w:w="1134"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9%</w:t>
            </w:r>
          </w:p>
        </w:tc>
      </w:tr>
      <w:tr w:rsidR="00632191" w:rsidRPr="001A5553">
        <w:trPr>
          <w:trHeight w:val="251"/>
        </w:trPr>
        <w:tc>
          <w:tcPr>
            <w:tcW w:w="2132" w:type="dxa"/>
            <w:tcBorders>
              <w:top w:val="nil"/>
              <w:left w:val="single" w:sz="4" w:space="0" w:color="auto"/>
              <w:bottom w:val="single" w:sz="4" w:space="0" w:color="auto"/>
              <w:right w:val="single" w:sz="4" w:space="0" w:color="auto"/>
            </w:tcBorders>
            <w:shd w:val="clear" w:color="auto" w:fill="auto"/>
            <w:noWrap/>
            <w:vAlign w:val="bottom"/>
          </w:tcPr>
          <w:p w:rsidR="00483BA4" w:rsidRPr="001A5553" w:rsidRDefault="00483BA4" w:rsidP="00BE19E2">
            <w:pPr>
              <w:spacing w:after="0" w:line="240" w:lineRule="auto"/>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Biomedical Research</w:t>
            </w:r>
          </w:p>
        </w:tc>
        <w:tc>
          <w:tcPr>
            <w:tcW w:w="708" w:type="dxa"/>
            <w:tcBorders>
              <w:top w:val="nil"/>
              <w:left w:val="nil"/>
              <w:bottom w:val="single" w:sz="4" w:space="0" w:color="auto"/>
              <w:right w:val="single" w:sz="4" w:space="0" w:color="auto"/>
            </w:tcBorders>
            <w:shd w:val="clear" w:color="auto" w:fill="auto"/>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838</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397</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47%</w:t>
            </w:r>
          </w:p>
        </w:tc>
        <w:tc>
          <w:tcPr>
            <w:tcW w:w="851"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Arial"/>
                <w:color w:val="000000"/>
                <w:sz w:val="20"/>
                <w:szCs w:val="20"/>
                <w:lang w:eastAsia="en-CA"/>
              </w:rPr>
            </w:pPr>
            <w:r w:rsidRPr="001A5553">
              <w:rPr>
                <w:rFonts w:ascii="Arial" w:eastAsia="Times New Roman" w:hAnsi="Arial" w:cs="Arial"/>
                <w:color w:val="000000"/>
                <w:sz w:val="20"/>
                <w:szCs w:val="20"/>
                <w:lang w:eastAsia="en-CA"/>
              </w:rPr>
              <w:t>390</w:t>
            </w:r>
          </w:p>
        </w:tc>
        <w:tc>
          <w:tcPr>
            <w:tcW w:w="850"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47%</w:t>
            </w:r>
          </w:p>
        </w:tc>
        <w:tc>
          <w:tcPr>
            <w:tcW w:w="851"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51</w:t>
            </w:r>
          </w:p>
        </w:tc>
        <w:tc>
          <w:tcPr>
            <w:tcW w:w="1134"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6%</w:t>
            </w:r>
          </w:p>
        </w:tc>
      </w:tr>
      <w:tr w:rsidR="00632191" w:rsidRPr="001A5553">
        <w:trPr>
          <w:trHeight w:val="251"/>
        </w:trPr>
        <w:tc>
          <w:tcPr>
            <w:tcW w:w="2132" w:type="dxa"/>
            <w:tcBorders>
              <w:top w:val="nil"/>
              <w:left w:val="single" w:sz="4" w:space="0" w:color="auto"/>
              <w:bottom w:val="single" w:sz="4" w:space="0" w:color="auto"/>
              <w:right w:val="single" w:sz="4" w:space="0" w:color="auto"/>
            </w:tcBorders>
            <w:shd w:val="clear" w:color="auto" w:fill="auto"/>
            <w:noWrap/>
            <w:vAlign w:val="bottom"/>
          </w:tcPr>
          <w:p w:rsidR="00483BA4" w:rsidRPr="001A5553" w:rsidRDefault="00483BA4" w:rsidP="00BE19E2">
            <w:pPr>
              <w:spacing w:after="0" w:line="240" w:lineRule="auto"/>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Chemistry</w:t>
            </w:r>
          </w:p>
        </w:tc>
        <w:tc>
          <w:tcPr>
            <w:tcW w:w="708" w:type="dxa"/>
            <w:tcBorders>
              <w:top w:val="nil"/>
              <w:left w:val="nil"/>
              <w:bottom w:val="single" w:sz="4" w:space="0" w:color="auto"/>
              <w:right w:val="single" w:sz="4" w:space="0" w:color="auto"/>
            </w:tcBorders>
            <w:shd w:val="clear" w:color="auto" w:fill="auto"/>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883</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509</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58%</w:t>
            </w:r>
          </w:p>
        </w:tc>
        <w:tc>
          <w:tcPr>
            <w:tcW w:w="851"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Arial"/>
                <w:color w:val="000000"/>
                <w:sz w:val="20"/>
                <w:szCs w:val="20"/>
                <w:lang w:eastAsia="en-CA"/>
              </w:rPr>
            </w:pPr>
            <w:r w:rsidRPr="001A5553">
              <w:rPr>
                <w:rFonts w:ascii="Arial" w:eastAsia="Times New Roman" w:hAnsi="Arial" w:cs="Arial"/>
                <w:color w:val="000000"/>
                <w:sz w:val="20"/>
                <w:szCs w:val="20"/>
                <w:lang w:eastAsia="en-CA"/>
              </w:rPr>
              <w:t>249</w:t>
            </w:r>
          </w:p>
        </w:tc>
        <w:tc>
          <w:tcPr>
            <w:tcW w:w="850"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28%</w:t>
            </w:r>
          </w:p>
        </w:tc>
        <w:tc>
          <w:tcPr>
            <w:tcW w:w="851"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125</w:t>
            </w:r>
          </w:p>
        </w:tc>
        <w:tc>
          <w:tcPr>
            <w:tcW w:w="1134"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14%</w:t>
            </w:r>
          </w:p>
        </w:tc>
      </w:tr>
      <w:tr w:rsidR="00632191" w:rsidRPr="001A5553">
        <w:trPr>
          <w:trHeight w:val="251"/>
        </w:trPr>
        <w:tc>
          <w:tcPr>
            <w:tcW w:w="2132" w:type="dxa"/>
            <w:tcBorders>
              <w:top w:val="nil"/>
              <w:left w:val="single" w:sz="4" w:space="0" w:color="auto"/>
              <w:bottom w:val="single" w:sz="4" w:space="0" w:color="auto"/>
              <w:right w:val="single" w:sz="4" w:space="0" w:color="auto"/>
            </w:tcBorders>
            <w:shd w:val="clear" w:color="auto" w:fill="auto"/>
            <w:noWrap/>
            <w:vAlign w:val="bottom"/>
          </w:tcPr>
          <w:p w:rsidR="00483BA4" w:rsidRPr="001A5553" w:rsidRDefault="00483BA4" w:rsidP="00BE19E2">
            <w:pPr>
              <w:spacing w:after="0" w:line="240" w:lineRule="auto"/>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Clinical Medicine</w:t>
            </w:r>
          </w:p>
        </w:tc>
        <w:tc>
          <w:tcPr>
            <w:tcW w:w="708" w:type="dxa"/>
            <w:tcBorders>
              <w:top w:val="nil"/>
              <w:left w:val="nil"/>
              <w:bottom w:val="single" w:sz="4" w:space="0" w:color="auto"/>
              <w:right w:val="single" w:sz="4" w:space="0" w:color="auto"/>
            </w:tcBorders>
            <w:shd w:val="clear" w:color="auto" w:fill="auto"/>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624</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401</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64%</w:t>
            </w:r>
          </w:p>
        </w:tc>
        <w:tc>
          <w:tcPr>
            <w:tcW w:w="851"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Arial"/>
                <w:color w:val="000000"/>
                <w:sz w:val="20"/>
                <w:szCs w:val="20"/>
                <w:lang w:eastAsia="en-CA"/>
              </w:rPr>
            </w:pPr>
            <w:r w:rsidRPr="001A5553">
              <w:rPr>
                <w:rFonts w:ascii="Arial" w:eastAsia="Times New Roman" w:hAnsi="Arial" w:cs="Arial"/>
                <w:color w:val="000000"/>
                <w:sz w:val="20"/>
                <w:szCs w:val="20"/>
                <w:lang w:eastAsia="en-CA"/>
              </w:rPr>
              <w:t>165</w:t>
            </w:r>
          </w:p>
        </w:tc>
        <w:tc>
          <w:tcPr>
            <w:tcW w:w="850"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26%</w:t>
            </w:r>
          </w:p>
        </w:tc>
        <w:tc>
          <w:tcPr>
            <w:tcW w:w="851"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58</w:t>
            </w:r>
          </w:p>
        </w:tc>
        <w:tc>
          <w:tcPr>
            <w:tcW w:w="1134"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9%</w:t>
            </w:r>
          </w:p>
        </w:tc>
      </w:tr>
      <w:tr w:rsidR="00632191" w:rsidRPr="001A5553">
        <w:trPr>
          <w:trHeight w:val="251"/>
        </w:trPr>
        <w:tc>
          <w:tcPr>
            <w:tcW w:w="2132" w:type="dxa"/>
            <w:tcBorders>
              <w:top w:val="nil"/>
              <w:left w:val="single" w:sz="4" w:space="0" w:color="auto"/>
              <w:bottom w:val="single" w:sz="4" w:space="0" w:color="auto"/>
              <w:right w:val="single" w:sz="4" w:space="0" w:color="auto"/>
            </w:tcBorders>
            <w:shd w:val="clear" w:color="auto" w:fill="auto"/>
            <w:noWrap/>
            <w:vAlign w:val="bottom"/>
          </w:tcPr>
          <w:p w:rsidR="00483BA4" w:rsidRPr="001A5553" w:rsidRDefault="00483BA4" w:rsidP="00BE19E2">
            <w:pPr>
              <w:spacing w:after="0" w:line="240" w:lineRule="auto"/>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Earth and Space</w:t>
            </w:r>
          </w:p>
        </w:tc>
        <w:tc>
          <w:tcPr>
            <w:tcW w:w="708" w:type="dxa"/>
            <w:tcBorders>
              <w:top w:val="nil"/>
              <w:left w:val="nil"/>
              <w:bottom w:val="single" w:sz="4" w:space="0" w:color="auto"/>
              <w:right w:val="single" w:sz="4" w:space="0" w:color="auto"/>
            </w:tcBorders>
            <w:shd w:val="clear" w:color="auto" w:fill="auto"/>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175</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104</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59%</w:t>
            </w:r>
          </w:p>
        </w:tc>
        <w:tc>
          <w:tcPr>
            <w:tcW w:w="851"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46</w:t>
            </w:r>
          </w:p>
        </w:tc>
        <w:tc>
          <w:tcPr>
            <w:tcW w:w="850"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26%</w:t>
            </w:r>
          </w:p>
        </w:tc>
        <w:tc>
          <w:tcPr>
            <w:tcW w:w="851"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25</w:t>
            </w:r>
          </w:p>
        </w:tc>
        <w:tc>
          <w:tcPr>
            <w:tcW w:w="1134"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14%</w:t>
            </w:r>
          </w:p>
        </w:tc>
      </w:tr>
      <w:tr w:rsidR="00632191" w:rsidRPr="001A5553">
        <w:trPr>
          <w:trHeight w:val="251"/>
        </w:trPr>
        <w:tc>
          <w:tcPr>
            <w:tcW w:w="2132" w:type="dxa"/>
            <w:tcBorders>
              <w:top w:val="nil"/>
              <w:left w:val="single" w:sz="4" w:space="0" w:color="auto"/>
              <w:bottom w:val="single" w:sz="4" w:space="0" w:color="auto"/>
              <w:right w:val="single" w:sz="4" w:space="0" w:color="auto"/>
            </w:tcBorders>
            <w:shd w:val="clear" w:color="auto" w:fill="auto"/>
            <w:noWrap/>
            <w:vAlign w:val="bottom"/>
          </w:tcPr>
          <w:p w:rsidR="00483BA4" w:rsidRPr="001A5553" w:rsidRDefault="00483BA4" w:rsidP="00BE19E2">
            <w:pPr>
              <w:spacing w:after="0" w:line="240" w:lineRule="auto"/>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Engineering &amp; Tech</w:t>
            </w:r>
          </w:p>
        </w:tc>
        <w:tc>
          <w:tcPr>
            <w:tcW w:w="708" w:type="dxa"/>
            <w:tcBorders>
              <w:top w:val="nil"/>
              <w:left w:val="nil"/>
              <w:bottom w:val="single" w:sz="4" w:space="0" w:color="auto"/>
              <w:right w:val="single" w:sz="4" w:space="0" w:color="auto"/>
            </w:tcBorders>
            <w:shd w:val="clear" w:color="auto" w:fill="auto"/>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1264</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782</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62%</w:t>
            </w:r>
          </w:p>
        </w:tc>
        <w:tc>
          <w:tcPr>
            <w:tcW w:w="851"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Arial"/>
                <w:color w:val="000000"/>
                <w:sz w:val="20"/>
                <w:szCs w:val="20"/>
                <w:lang w:eastAsia="en-CA"/>
              </w:rPr>
            </w:pPr>
            <w:r w:rsidRPr="001A5553">
              <w:rPr>
                <w:rFonts w:ascii="Arial" w:eastAsia="Times New Roman" w:hAnsi="Arial" w:cs="Arial"/>
                <w:color w:val="000000"/>
                <w:sz w:val="20"/>
                <w:szCs w:val="20"/>
                <w:lang w:eastAsia="en-CA"/>
              </w:rPr>
              <w:t>341</w:t>
            </w:r>
          </w:p>
        </w:tc>
        <w:tc>
          <w:tcPr>
            <w:tcW w:w="850"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27%</w:t>
            </w:r>
          </w:p>
        </w:tc>
        <w:tc>
          <w:tcPr>
            <w:tcW w:w="851"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141</w:t>
            </w:r>
          </w:p>
        </w:tc>
        <w:tc>
          <w:tcPr>
            <w:tcW w:w="1134"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11%</w:t>
            </w:r>
          </w:p>
        </w:tc>
      </w:tr>
      <w:tr w:rsidR="00632191" w:rsidRPr="001A5553">
        <w:trPr>
          <w:trHeight w:val="251"/>
        </w:trPr>
        <w:tc>
          <w:tcPr>
            <w:tcW w:w="2132" w:type="dxa"/>
            <w:tcBorders>
              <w:top w:val="nil"/>
              <w:left w:val="single" w:sz="4" w:space="0" w:color="auto"/>
              <w:bottom w:val="single" w:sz="4" w:space="0" w:color="auto"/>
              <w:right w:val="single" w:sz="4" w:space="0" w:color="auto"/>
            </w:tcBorders>
            <w:shd w:val="clear" w:color="auto" w:fill="auto"/>
            <w:noWrap/>
            <w:vAlign w:val="bottom"/>
          </w:tcPr>
          <w:p w:rsidR="00483BA4" w:rsidRPr="001A5553" w:rsidRDefault="00483BA4" w:rsidP="00BE19E2">
            <w:pPr>
              <w:spacing w:after="0" w:line="240" w:lineRule="auto"/>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Health</w:t>
            </w:r>
          </w:p>
        </w:tc>
        <w:tc>
          <w:tcPr>
            <w:tcW w:w="708" w:type="dxa"/>
            <w:tcBorders>
              <w:top w:val="nil"/>
              <w:left w:val="nil"/>
              <w:bottom w:val="single" w:sz="4" w:space="0" w:color="auto"/>
              <w:right w:val="single" w:sz="4" w:space="0" w:color="auto"/>
            </w:tcBorders>
            <w:shd w:val="clear" w:color="auto" w:fill="auto"/>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70</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43</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61%</w:t>
            </w:r>
          </w:p>
        </w:tc>
        <w:tc>
          <w:tcPr>
            <w:tcW w:w="851"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14</w:t>
            </w:r>
          </w:p>
        </w:tc>
        <w:tc>
          <w:tcPr>
            <w:tcW w:w="850"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20%</w:t>
            </w:r>
          </w:p>
        </w:tc>
        <w:tc>
          <w:tcPr>
            <w:tcW w:w="851"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13</w:t>
            </w:r>
          </w:p>
        </w:tc>
        <w:tc>
          <w:tcPr>
            <w:tcW w:w="1134"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19%</w:t>
            </w:r>
          </w:p>
        </w:tc>
      </w:tr>
      <w:tr w:rsidR="00632191" w:rsidRPr="001A5553">
        <w:trPr>
          <w:trHeight w:val="251"/>
        </w:trPr>
        <w:tc>
          <w:tcPr>
            <w:tcW w:w="2132" w:type="dxa"/>
            <w:tcBorders>
              <w:top w:val="nil"/>
              <w:left w:val="single" w:sz="4" w:space="0" w:color="auto"/>
              <w:bottom w:val="single" w:sz="4" w:space="0" w:color="auto"/>
              <w:right w:val="single" w:sz="4" w:space="0" w:color="auto"/>
            </w:tcBorders>
            <w:shd w:val="clear" w:color="auto" w:fill="auto"/>
            <w:noWrap/>
            <w:vAlign w:val="bottom"/>
          </w:tcPr>
          <w:p w:rsidR="00483BA4" w:rsidRPr="001A5553" w:rsidRDefault="00483BA4" w:rsidP="00BE19E2">
            <w:pPr>
              <w:spacing w:after="0" w:line="240" w:lineRule="auto"/>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Humanities</w:t>
            </w:r>
          </w:p>
        </w:tc>
        <w:tc>
          <w:tcPr>
            <w:tcW w:w="708" w:type="dxa"/>
            <w:tcBorders>
              <w:top w:val="nil"/>
              <w:left w:val="nil"/>
              <w:bottom w:val="single" w:sz="4" w:space="0" w:color="auto"/>
              <w:right w:val="single" w:sz="4" w:space="0" w:color="auto"/>
            </w:tcBorders>
            <w:shd w:val="clear" w:color="auto" w:fill="auto"/>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21</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20</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95%</w:t>
            </w:r>
          </w:p>
        </w:tc>
        <w:tc>
          <w:tcPr>
            <w:tcW w:w="851"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w:t>
            </w:r>
          </w:p>
        </w:tc>
        <w:tc>
          <w:tcPr>
            <w:tcW w:w="850"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5%</w:t>
            </w:r>
          </w:p>
        </w:tc>
        <w:tc>
          <w:tcPr>
            <w:tcW w:w="851"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p>
        </w:tc>
        <w:tc>
          <w:tcPr>
            <w:tcW w:w="1134"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0%</w:t>
            </w:r>
          </w:p>
        </w:tc>
      </w:tr>
      <w:tr w:rsidR="00632191" w:rsidRPr="001A5553">
        <w:trPr>
          <w:trHeight w:val="251"/>
        </w:trPr>
        <w:tc>
          <w:tcPr>
            <w:tcW w:w="2132" w:type="dxa"/>
            <w:tcBorders>
              <w:top w:val="nil"/>
              <w:left w:val="single" w:sz="4" w:space="0" w:color="auto"/>
              <w:bottom w:val="single" w:sz="4" w:space="0" w:color="auto"/>
              <w:right w:val="single" w:sz="4" w:space="0" w:color="auto"/>
            </w:tcBorders>
            <w:shd w:val="clear" w:color="auto" w:fill="auto"/>
            <w:noWrap/>
            <w:vAlign w:val="bottom"/>
          </w:tcPr>
          <w:p w:rsidR="00483BA4" w:rsidRPr="001A5553" w:rsidRDefault="00483BA4" w:rsidP="00BE19E2">
            <w:pPr>
              <w:spacing w:after="0" w:line="240" w:lineRule="auto"/>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Mathematics</w:t>
            </w:r>
          </w:p>
        </w:tc>
        <w:tc>
          <w:tcPr>
            <w:tcW w:w="708" w:type="dxa"/>
            <w:tcBorders>
              <w:top w:val="nil"/>
              <w:left w:val="nil"/>
              <w:bottom w:val="single" w:sz="4" w:space="0" w:color="auto"/>
              <w:right w:val="single" w:sz="4" w:space="0" w:color="auto"/>
            </w:tcBorders>
            <w:shd w:val="clear" w:color="auto" w:fill="auto"/>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209</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125</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60%</w:t>
            </w:r>
          </w:p>
        </w:tc>
        <w:tc>
          <w:tcPr>
            <w:tcW w:w="851"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Arial"/>
                <w:color w:val="000000"/>
                <w:sz w:val="20"/>
                <w:szCs w:val="20"/>
                <w:lang w:eastAsia="en-CA"/>
              </w:rPr>
            </w:pPr>
            <w:r w:rsidRPr="001A5553">
              <w:rPr>
                <w:rFonts w:ascii="Arial" w:eastAsia="Times New Roman" w:hAnsi="Arial" w:cs="Arial"/>
                <w:color w:val="000000"/>
                <w:sz w:val="20"/>
                <w:szCs w:val="20"/>
                <w:lang w:eastAsia="en-CA"/>
              </w:rPr>
              <w:t>62</w:t>
            </w:r>
          </w:p>
        </w:tc>
        <w:tc>
          <w:tcPr>
            <w:tcW w:w="850"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30%</w:t>
            </w:r>
          </w:p>
        </w:tc>
        <w:tc>
          <w:tcPr>
            <w:tcW w:w="851"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22</w:t>
            </w:r>
          </w:p>
        </w:tc>
        <w:tc>
          <w:tcPr>
            <w:tcW w:w="1134"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11%</w:t>
            </w:r>
          </w:p>
        </w:tc>
      </w:tr>
      <w:tr w:rsidR="00632191" w:rsidRPr="001A5553">
        <w:trPr>
          <w:trHeight w:val="251"/>
        </w:trPr>
        <w:tc>
          <w:tcPr>
            <w:tcW w:w="2132" w:type="dxa"/>
            <w:tcBorders>
              <w:top w:val="nil"/>
              <w:left w:val="single" w:sz="4" w:space="0" w:color="auto"/>
              <w:bottom w:val="single" w:sz="4" w:space="0" w:color="auto"/>
              <w:right w:val="single" w:sz="4" w:space="0" w:color="auto"/>
            </w:tcBorders>
            <w:shd w:val="clear" w:color="auto" w:fill="auto"/>
            <w:noWrap/>
            <w:vAlign w:val="bottom"/>
          </w:tcPr>
          <w:p w:rsidR="00483BA4" w:rsidRPr="001A5553" w:rsidRDefault="00483BA4" w:rsidP="00BE19E2">
            <w:pPr>
              <w:spacing w:after="0" w:line="240" w:lineRule="auto"/>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Physics</w:t>
            </w:r>
          </w:p>
        </w:tc>
        <w:tc>
          <w:tcPr>
            <w:tcW w:w="708" w:type="dxa"/>
            <w:tcBorders>
              <w:top w:val="nil"/>
              <w:left w:val="nil"/>
              <w:bottom w:val="single" w:sz="4" w:space="0" w:color="auto"/>
              <w:right w:val="single" w:sz="4" w:space="0" w:color="auto"/>
            </w:tcBorders>
            <w:shd w:val="clear" w:color="auto" w:fill="auto"/>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722</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564</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78%</w:t>
            </w:r>
          </w:p>
        </w:tc>
        <w:tc>
          <w:tcPr>
            <w:tcW w:w="851"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Arial"/>
                <w:color w:val="000000"/>
                <w:sz w:val="20"/>
                <w:szCs w:val="20"/>
                <w:lang w:eastAsia="en-CA"/>
              </w:rPr>
            </w:pPr>
            <w:r w:rsidRPr="001A5553">
              <w:rPr>
                <w:rFonts w:ascii="Arial" w:eastAsia="Times New Roman" w:hAnsi="Arial" w:cs="Arial"/>
                <w:color w:val="000000"/>
                <w:sz w:val="20"/>
                <w:szCs w:val="20"/>
                <w:lang w:eastAsia="en-CA"/>
              </w:rPr>
              <w:t>101</w:t>
            </w:r>
          </w:p>
        </w:tc>
        <w:tc>
          <w:tcPr>
            <w:tcW w:w="850"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14%</w:t>
            </w:r>
          </w:p>
        </w:tc>
        <w:tc>
          <w:tcPr>
            <w:tcW w:w="851"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57</w:t>
            </w:r>
          </w:p>
        </w:tc>
        <w:tc>
          <w:tcPr>
            <w:tcW w:w="1134"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8%</w:t>
            </w:r>
          </w:p>
        </w:tc>
      </w:tr>
      <w:tr w:rsidR="00632191" w:rsidRPr="001A5553">
        <w:trPr>
          <w:trHeight w:val="251"/>
        </w:trPr>
        <w:tc>
          <w:tcPr>
            <w:tcW w:w="2132" w:type="dxa"/>
            <w:tcBorders>
              <w:top w:val="nil"/>
              <w:left w:val="single" w:sz="4" w:space="0" w:color="auto"/>
              <w:bottom w:val="single" w:sz="4" w:space="0" w:color="auto"/>
              <w:right w:val="single" w:sz="4" w:space="0" w:color="auto"/>
            </w:tcBorders>
            <w:shd w:val="clear" w:color="auto" w:fill="auto"/>
            <w:noWrap/>
            <w:vAlign w:val="bottom"/>
          </w:tcPr>
          <w:p w:rsidR="00483BA4" w:rsidRPr="001A5553" w:rsidRDefault="00483BA4" w:rsidP="00BE19E2">
            <w:pPr>
              <w:spacing w:after="0" w:line="240" w:lineRule="auto"/>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Professional Fields</w:t>
            </w:r>
          </w:p>
        </w:tc>
        <w:tc>
          <w:tcPr>
            <w:tcW w:w="708" w:type="dxa"/>
            <w:tcBorders>
              <w:top w:val="nil"/>
              <w:left w:val="nil"/>
              <w:bottom w:val="single" w:sz="4" w:space="0" w:color="auto"/>
              <w:right w:val="single" w:sz="4" w:space="0" w:color="auto"/>
            </w:tcBorders>
            <w:shd w:val="clear" w:color="auto" w:fill="auto"/>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167</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117</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70%</w:t>
            </w:r>
          </w:p>
        </w:tc>
        <w:tc>
          <w:tcPr>
            <w:tcW w:w="851"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21</w:t>
            </w:r>
          </w:p>
        </w:tc>
        <w:tc>
          <w:tcPr>
            <w:tcW w:w="850"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13%</w:t>
            </w:r>
          </w:p>
        </w:tc>
        <w:tc>
          <w:tcPr>
            <w:tcW w:w="851"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29</w:t>
            </w:r>
          </w:p>
        </w:tc>
        <w:tc>
          <w:tcPr>
            <w:tcW w:w="1134"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17%</w:t>
            </w:r>
          </w:p>
        </w:tc>
      </w:tr>
      <w:tr w:rsidR="00632191" w:rsidRPr="001A5553">
        <w:trPr>
          <w:trHeight w:val="251"/>
        </w:trPr>
        <w:tc>
          <w:tcPr>
            <w:tcW w:w="2132" w:type="dxa"/>
            <w:tcBorders>
              <w:top w:val="nil"/>
              <w:left w:val="single" w:sz="4" w:space="0" w:color="auto"/>
              <w:bottom w:val="single" w:sz="4" w:space="0" w:color="auto"/>
              <w:right w:val="single" w:sz="4" w:space="0" w:color="auto"/>
            </w:tcBorders>
            <w:shd w:val="clear" w:color="auto" w:fill="auto"/>
            <w:noWrap/>
            <w:vAlign w:val="bottom"/>
          </w:tcPr>
          <w:p w:rsidR="00483BA4" w:rsidRPr="001A5553" w:rsidRDefault="00483BA4" w:rsidP="00BE19E2">
            <w:pPr>
              <w:spacing w:after="0" w:line="240" w:lineRule="auto"/>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Psychology</w:t>
            </w:r>
          </w:p>
        </w:tc>
        <w:tc>
          <w:tcPr>
            <w:tcW w:w="708" w:type="dxa"/>
            <w:tcBorders>
              <w:top w:val="nil"/>
              <w:left w:val="nil"/>
              <w:bottom w:val="single" w:sz="4" w:space="0" w:color="auto"/>
              <w:right w:val="single" w:sz="4" w:space="0" w:color="auto"/>
            </w:tcBorders>
            <w:shd w:val="clear" w:color="auto" w:fill="auto"/>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211</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149</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71%</w:t>
            </w:r>
          </w:p>
        </w:tc>
        <w:tc>
          <w:tcPr>
            <w:tcW w:w="851"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Arial"/>
                <w:color w:val="000000"/>
                <w:sz w:val="20"/>
                <w:szCs w:val="20"/>
                <w:lang w:eastAsia="en-CA"/>
              </w:rPr>
            </w:pPr>
            <w:r w:rsidRPr="001A5553">
              <w:rPr>
                <w:rFonts w:ascii="Arial" w:eastAsia="Times New Roman" w:hAnsi="Arial" w:cs="Arial"/>
                <w:color w:val="000000"/>
                <w:sz w:val="20"/>
                <w:szCs w:val="20"/>
                <w:lang w:eastAsia="en-CA"/>
              </w:rPr>
              <w:t>39</w:t>
            </w:r>
          </w:p>
        </w:tc>
        <w:tc>
          <w:tcPr>
            <w:tcW w:w="850"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18%</w:t>
            </w:r>
          </w:p>
        </w:tc>
        <w:tc>
          <w:tcPr>
            <w:tcW w:w="851"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23</w:t>
            </w:r>
          </w:p>
        </w:tc>
        <w:tc>
          <w:tcPr>
            <w:tcW w:w="1134"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11%</w:t>
            </w:r>
          </w:p>
        </w:tc>
      </w:tr>
      <w:tr w:rsidR="00632191" w:rsidRPr="001A5553">
        <w:trPr>
          <w:trHeight w:val="251"/>
        </w:trPr>
        <w:tc>
          <w:tcPr>
            <w:tcW w:w="2132" w:type="dxa"/>
            <w:tcBorders>
              <w:top w:val="nil"/>
              <w:left w:val="single" w:sz="4" w:space="0" w:color="auto"/>
              <w:bottom w:val="single" w:sz="4" w:space="0" w:color="auto"/>
              <w:right w:val="single" w:sz="4" w:space="0" w:color="auto"/>
            </w:tcBorders>
            <w:shd w:val="clear" w:color="auto" w:fill="auto"/>
            <w:noWrap/>
            <w:vAlign w:val="bottom"/>
          </w:tcPr>
          <w:p w:rsidR="00483BA4" w:rsidRPr="001A5553" w:rsidRDefault="00483BA4" w:rsidP="00BE19E2">
            <w:pPr>
              <w:spacing w:after="0" w:line="240" w:lineRule="auto"/>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Social Sciences</w:t>
            </w:r>
          </w:p>
        </w:tc>
        <w:tc>
          <w:tcPr>
            <w:tcW w:w="708" w:type="dxa"/>
            <w:tcBorders>
              <w:top w:val="nil"/>
              <w:left w:val="nil"/>
              <w:bottom w:val="single" w:sz="4" w:space="0" w:color="auto"/>
              <w:right w:val="single" w:sz="4" w:space="0" w:color="auto"/>
            </w:tcBorders>
            <w:shd w:val="clear" w:color="auto" w:fill="auto"/>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198</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125</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63%</w:t>
            </w:r>
          </w:p>
        </w:tc>
        <w:tc>
          <w:tcPr>
            <w:tcW w:w="851"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33</w:t>
            </w:r>
          </w:p>
        </w:tc>
        <w:tc>
          <w:tcPr>
            <w:tcW w:w="850" w:type="dxa"/>
            <w:tcBorders>
              <w:top w:val="nil"/>
              <w:left w:val="nil"/>
              <w:bottom w:val="single" w:sz="4" w:space="0" w:color="auto"/>
              <w:right w:val="single" w:sz="4" w:space="0" w:color="auto"/>
            </w:tcBorders>
            <w:shd w:val="clear" w:color="000000" w:fill="00B050"/>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17%</w:t>
            </w:r>
          </w:p>
        </w:tc>
        <w:tc>
          <w:tcPr>
            <w:tcW w:w="851"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40</w:t>
            </w:r>
          </w:p>
        </w:tc>
        <w:tc>
          <w:tcPr>
            <w:tcW w:w="1134" w:type="dxa"/>
            <w:tcBorders>
              <w:top w:val="nil"/>
              <w:left w:val="nil"/>
              <w:bottom w:val="single" w:sz="4" w:space="0" w:color="auto"/>
              <w:right w:val="single" w:sz="4" w:space="0" w:color="auto"/>
            </w:tcBorders>
            <w:shd w:val="clear" w:color="000000" w:fill="99FF66"/>
            <w:noWrap/>
            <w:vAlign w:val="bottom"/>
          </w:tcPr>
          <w:p w:rsidR="00483BA4" w:rsidRPr="001A5553" w:rsidRDefault="00483BA4" w:rsidP="001A5553">
            <w:pPr>
              <w:spacing w:after="0" w:line="240" w:lineRule="auto"/>
              <w:jc w:val="center"/>
              <w:rPr>
                <w:rFonts w:ascii="Arial" w:eastAsia="Times New Roman" w:hAnsi="Arial" w:cs="Times New Roman"/>
                <w:color w:val="000000"/>
                <w:sz w:val="20"/>
                <w:szCs w:val="20"/>
                <w:lang w:eastAsia="en-CA"/>
              </w:rPr>
            </w:pPr>
            <w:r w:rsidRPr="001A5553">
              <w:rPr>
                <w:rFonts w:ascii="Arial" w:eastAsia="Times New Roman" w:hAnsi="Arial" w:cs="Times New Roman"/>
                <w:color w:val="000000"/>
                <w:sz w:val="20"/>
                <w:szCs w:val="20"/>
                <w:lang w:eastAsia="en-CA"/>
              </w:rPr>
              <w:t>20%</w:t>
            </w:r>
          </w:p>
        </w:tc>
      </w:tr>
    </w:tbl>
    <w:p w:rsidR="00E22B76" w:rsidRDefault="00E22B76" w:rsidP="00BE19E2">
      <w:pPr>
        <w:rPr>
          <w:rFonts w:ascii="Arial" w:hAnsi="Arial"/>
        </w:rPr>
      </w:pPr>
    </w:p>
    <w:p w:rsidR="00E22B76" w:rsidRDefault="00E22B76">
      <w:pPr>
        <w:rPr>
          <w:rFonts w:ascii="Arial" w:hAnsi="Arial"/>
        </w:rPr>
      </w:pPr>
      <w:r>
        <w:rPr>
          <w:rFonts w:ascii="Arial" w:hAnsi="Arial"/>
        </w:rPr>
        <w:br w:type="page"/>
      </w:r>
    </w:p>
    <w:p w:rsidR="00483BA4" w:rsidRDefault="00483BA4" w:rsidP="00BE19E2">
      <w:pPr>
        <w:rPr>
          <w:rFonts w:ascii="Arial" w:hAnsi="Arial"/>
        </w:rPr>
      </w:pPr>
    </w:p>
    <w:p w:rsidR="001A5553" w:rsidRPr="005623CE" w:rsidRDefault="001A5553" w:rsidP="001170A3">
      <w:pPr>
        <w:spacing w:after="0" w:line="240" w:lineRule="auto"/>
        <w:jc w:val="both"/>
        <w:rPr>
          <w:rFonts w:ascii="Arial" w:eastAsia="Times New Roman" w:hAnsi="Arial" w:cs="Times New Roman"/>
          <w:b/>
          <w:bCs/>
          <w:color w:val="000000"/>
          <w:lang w:eastAsia="en-CA"/>
        </w:rPr>
      </w:pPr>
      <w:r w:rsidRPr="005623CE">
        <w:rPr>
          <w:rFonts w:ascii="Arial" w:eastAsia="Times New Roman" w:hAnsi="Arial" w:cs="Times New Roman"/>
          <w:b/>
          <w:bCs/>
          <w:color w:val="000000"/>
          <w:lang w:eastAsia="en-CA"/>
        </w:rPr>
        <w:t xml:space="preserve">Table </w:t>
      </w:r>
      <w:r w:rsidR="000E7CCC">
        <w:rPr>
          <w:rFonts w:ascii="Arial" w:eastAsia="Times New Roman" w:hAnsi="Arial" w:cs="Times New Roman"/>
          <w:b/>
          <w:bCs/>
          <w:color w:val="000000"/>
          <w:lang w:eastAsia="en-CA"/>
        </w:rPr>
        <w:t>2</w:t>
      </w:r>
      <w:r w:rsidRPr="005623CE">
        <w:rPr>
          <w:rFonts w:ascii="Arial" w:eastAsia="Times New Roman" w:hAnsi="Arial" w:cs="Times New Roman"/>
          <w:b/>
          <w:bCs/>
          <w:color w:val="000000"/>
          <w:lang w:eastAsia="en-CA"/>
        </w:rPr>
        <w:t xml:space="preserve">. Average Delay (in months) for Public Access and Restricted Access deposits </w:t>
      </w:r>
      <w:r w:rsidR="000E7CCC">
        <w:rPr>
          <w:rFonts w:ascii="Arial" w:eastAsia="Times New Roman" w:hAnsi="Arial" w:cs="Times New Roman"/>
          <w:b/>
          <w:bCs/>
          <w:color w:val="000000"/>
          <w:lang w:eastAsia="en-CA"/>
        </w:rPr>
        <w:t>for publication span 2004-2012 a</w:t>
      </w:r>
      <w:r w:rsidRPr="005623CE">
        <w:rPr>
          <w:rFonts w:ascii="Arial" w:eastAsia="Times New Roman" w:hAnsi="Arial" w:cs="Times New Roman"/>
          <w:b/>
          <w:bCs/>
          <w:color w:val="000000"/>
          <w:lang w:eastAsia="en-CA"/>
        </w:rPr>
        <w:t>rticles by Discipline</w:t>
      </w:r>
    </w:p>
    <w:p w:rsidR="001A5553" w:rsidRPr="005623CE" w:rsidRDefault="001A5553" w:rsidP="001A5553">
      <w:pPr>
        <w:spacing w:after="0" w:line="240" w:lineRule="auto"/>
        <w:rPr>
          <w:rFonts w:ascii="Arial" w:eastAsia="Times New Roman" w:hAnsi="Arial" w:cs="Times New Roman"/>
          <w:b/>
          <w:bCs/>
          <w:color w:val="000000"/>
          <w:lang w:eastAsia="en-CA"/>
        </w:rPr>
      </w:pPr>
    </w:p>
    <w:tbl>
      <w:tblPr>
        <w:tblW w:w="8510" w:type="dxa"/>
        <w:tblInd w:w="103" w:type="dxa"/>
        <w:tblLook w:val="04A0"/>
      </w:tblPr>
      <w:tblGrid>
        <w:gridCol w:w="2132"/>
        <w:gridCol w:w="661"/>
        <w:gridCol w:w="756"/>
        <w:gridCol w:w="709"/>
        <w:gridCol w:w="709"/>
        <w:gridCol w:w="750"/>
        <w:gridCol w:w="809"/>
        <w:gridCol w:w="567"/>
        <w:gridCol w:w="750"/>
        <w:gridCol w:w="667"/>
      </w:tblGrid>
      <w:tr w:rsidR="001A5553" w:rsidRPr="000E7CCC">
        <w:trPr>
          <w:trHeight w:val="299"/>
        </w:trPr>
        <w:tc>
          <w:tcPr>
            <w:tcW w:w="21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A5553" w:rsidRPr="000E7CCC" w:rsidRDefault="001A5553" w:rsidP="007B7761">
            <w:pPr>
              <w:spacing w:after="0" w:line="240" w:lineRule="auto"/>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Discipline</w:t>
            </w:r>
          </w:p>
        </w:tc>
        <w:tc>
          <w:tcPr>
            <w:tcW w:w="2126" w:type="dxa"/>
            <w:gridSpan w:val="3"/>
            <w:tcBorders>
              <w:top w:val="single" w:sz="4" w:space="0" w:color="auto"/>
              <w:left w:val="nil"/>
              <w:bottom w:val="single" w:sz="4" w:space="0" w:color="auto"/>
              <w:right w:val="single" w:sz="4" w:space="0" w:color="auto"/>
            </w:tcBorders>
            <w:shd w:val="clear" w:color="auto" w:fill="auto"/>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TOTAL</w:t>
            </w:r>
          </w:p>
        </w:tc>
        <w:tc>
          <w:tcPr>
            <w:tcW w:w="2268" w:type="dxa"/>
            <w:gridSpan w:val="3"/>
            <w:tcBorders>
              <w:top w:val="single" w:sz="4" w:space="0" w:color="auto"/>
              <w:left w:val="nil"/>
              <w:bottom w:val="single" w:sz="4" w:space="0" w:color="auto"/>
              <w:right w:val="single" w:sz="4" w:space="0" w:color="auto"/>
            </w:tcBorders>
            <w:shd w:val="clear" w:color="000000" w:fill="009900"/>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Public Access</w:t>
            </w:r>
          </w:p>
        </w:tc>
        <w:tc>
          <w:tcPr>
            <w:tcW w:w="1984" w:type="dxa"/>
            <w:gridSpan w:val="3"/>
            <w:tcBorders>
              <w:top w:val="single" w:sz="4" w:space="0" w:color="auto"/>
              <w:left w:val="nil"/>
              <w:bottom w:val="single" w:sz="4" w:space="0" w:color="auto"/>
              <w:right w:val="single" w:sz="4" w:space="0" w:color="auto"/>
            </w:tcBorders>
            <w:shd w:val="clear" w:color="000000" w:fill="99FF66"/>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Restricted Access</w:t>
            </w:r>
          </w:p>
        </w:tc>
      </w:tr>
      <w:tr w:rsidR="000E7CCC" w:rsidRPr="000E7CCC">
        <w:trPr>
          <w:trHeight w:val="299"/>
        </w:trPr>
        <w:tc>
          <w:tcPr>
            <w:tcW w:w="2132" w:type="dxa"/>
            <w:vMerge/>
            <w:tcBorders>
              <w:top w:val="single" w:sz="4" w:space="0" w:color="auto"/>
              <w:left w:val="single" w:sz="4" w:space="0" w:color="auto"/>
              <w:bottom w:val="single" w:sz="4" w:space="0" w:color="auto"/>
              <w:right w:val="single" w:sz="4" w:space="0" w:color="auto"/>
            </w:tcBorders>
            <w:vAlign w:val="center"/>
          </w:tcPr>
          <w:p w:rsidR="001A5553" w:rsidRPr="000E7CCC" w:rsidRDefault="001A5553" w:rsidP="007B7761">
            <w:pPr>
              <w:spacing w:after="0" w:line="240" w:lineRule="auto"/>
              <w:rPr>
                <w:rFonts w:ascii="Arial" w:eastAsia="Times New Roman" w:hAnsi="Arial" w:cs="Times New Roman"/>
                <w:b/>
                <w:bCs/>
                <w:color w:val="000000"/>
                <w:sz w:val="20"/>
                <w:szCs w:val="20"/>
                <w:lang w:eastAsia="en-CA"/>
              </w:rPr>
            </w:pPr>
          </w:p>
        </w:tc>
        <w:tc>
          <w:tcPr>
            <w:tcW w:w="661" w:type="dxa"/>
            <w:tcBorders>
              <w:top w:val="nil"/>
              <w:left w:val="nil"/>
              <w:bottom w:val="single" w:sz="4" w:space="0" w:color="auto"/>
              <w:right w:val="single" w:sz="4" w:space="0" w:color="auto"/>
            </w:tcBorders>
            <w:shd w:val="clear" w:color="auto" w:fill="auto"/>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N</w:t>
            </w:r>
          </w:p>
        </w:tc>
        <w:tc>
          <w:tcPr>
            <w:tcW w:w="756" w:type="dxa"/>
            <w:tcBorders>
              <w:top w:val="nil"/>
              <w:left w:val="nil"/>
              <w:bottom w:val="single" w:sz="4" w:space="0" w:color="auto"/>
              <w:right w:val="single" w:sz="4" w:space="0" w:color="auto"/>
            </w:tcBorders>
            <w:shd w:val="clear" w:color="auto" w:fill="auto"/>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Avg Delay</w:t>
            </w:r>
          </w:p>
        </w:tc>
        <w:tc>
          <w:tcPr>
            <w:tcW w:w="709" w:type="dxa"/>
            <w:tcBorders>
              <w:top w:val="nil"/>
              <w:left w:val="nil"/>
              <w:bottom w:val="single" w:sz="4" w:space="0" w:color="auto"/>
              <w:right w:val="single" w:sz="4" w:space="0" w:color="auto"/>
            </w:tcBorders>
            <w:shd w:val="clear" w:color="auto" w:fill="auto"/>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St. Dev.</w:t>
            </w:r>
          </w:p>
        </w:tc>
        <w:tc>
          <w:tcPr>
            <w:tcW w:w="709" w:type="dxa"/>
            <w:tcBorders>
              <w:top w:val="nil"/>
              <w:left w:val="nil"/>
              <w:bottom w:val="single" w:sz="4" w:space="0" w:color="auto"/>
              <w:right w:val="single" w:sz="4" w:space="0" w:color="auto"/>
            </w:tcBorders>
            <w:shd w:val="clear" w:color="000000" w:fill="009900"/>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N</w:t>
            </w:r>
          </w:p>
        </w:tc>
        <w:tc>
          <w:tcPr>
            <w:tcW w:w="750" w:type="dxa"/>
            <w:tcBorders>
              <w:top w:val="nil"/>
              <w:left w:val="nil"/>
              <w:bottom w:val="single" w:sz="4" w:space="0" w:color="auto"/>
              <w:right w:val="single" w:sz="4" w:space="0" w:color="auto"/>
            </w:tcBorders>
            <w:shd w:val="clear" w:color="000000" w:fill="009900"/>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Avg Delay</w:t>
            </w:r>
          </w:p>
        </w:tc>
        <w:tc>
          <w:tcPr>
            <w:tcW w:w="809" w:type="dxa"/>
            <w:tcBorders>
              <w:top w:val="nil"/>
              <w:left w:val="nil"/>
              <w:bottom w:val="single" w:sz="4" w:space="0" w:color="auto"/>
              <w:right w:val="single" w:sz="4" w:space="0" w:color="auto"/>
            </w:tcBorders>
            <w:shd w:val="clear" w:color="000000" w:fill="009900"/>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St. Dev.</w:t>
            </w:r>
          </w:p>
        </w:tc>
        <w:tc>
          <w:tcPr>
            <w:tcW w:w="567" w:type="dxa"/>
            <w:tcBorders>
              <w:top w:val="nil"/>
              <w:left w:val="nil"/>
              <w:bottom w:val="single" w:sz="4" w:space="0" w:color="auto"/>
              <w:right w:val="single" w:sz="4" w:space="0" w:color="auto"/>
            </w:tcBorders>
            <w:shd w:val="clear" w:color="000000" w:fill="99FF66"/>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N</w:t>
            </w:r>
          </w:p>
        </w:tc>
        <w:tc>
          <w:tcPr>
            <w:tcW w:w="750" w:type="dxa"/>
            <w:tcBorders>
              <w:top w:val="nil"/>
              <w:left w:val="nil"/>
              <w:bottom w:val="single" w:sz="4" w:space="0" w:color="auto"/>
              <w:right w:val="single" w:sz="4" w:space="0" w:color="auto"/>
            </w:tcBorders>
            <w:shd w:val="clear" w:color="000000" w:fill="99FF66"/>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Avg Delay</w:t>
            </w:r>
          </w:p>
        </w:tc>
        <w:tc>
          <w:tcPr>
            <w:tcW w:w="667" w:type="dxa"/>
            <w:tcBorders>
              <w:top w:val="nil"/>
              <w:left w:val="nil"/>
              <w:bottom w:val="single" w:sz="4" w:space="0" w:color="auto"/>
              <w:right w:val="single" w:sz="4" w:space="0" w:color="auto"/>
            </w:tcBorders>
            <w:shd w:val="clear" w:color="000000" w:fill="99FF66"/>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St. Dev.</w:t>
            </w:r>
          </w:p>
        </w:tc>
      </w:tr>
      <w:tr w:rsidR="000E7CCC" w:rsidRPr="000E7CCC">
        <w:trPr>
          <w:trHeight w:val="299"/>
        </w:trPr>
        <w:tc>
          <w:tcPr>
            <w:tcW w:w="2132" w:type="dxa"/>
            <w:tcBorders>
              <w:top w:val="nil"/>
              <w:left w:val="single" w:sz="4" w:space="0" w:color="auto"/>
              <w:bottom w:val="single" w:sz="4" w:space="0" w:color="auto"/>
              <w:right w:val="single" w:sz="4" w:space="0" w:color="auto"/>
            </w:tcBorders>
            <w:shd w:val="clear" w:color="auto" w:fill="auto"/>
            <w:noWrap/>
            <w:vAlign w:val="bottom"/>
          </w:tcPr>
          <w:p w:rsidR="001A5553" w:rsidRPr="000E7CCC" w:rsidRDefault="001A5553" w:rsidP="007B7761">
            <w:pPr>
              <w:spacing w:after="0" w:line="240" w:lineRule="auto"/>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ALL DISCIPLINES</w:t>
            </w:r>
          </w:p>
        </w:tc>
        <w:tc>
          <w:tcPr>
            <w:tcW w:w="661" w:type="dxa"/>
            <w:tcBorders>
              <w:top w:val="nil"/>
              <w:left w:val="nil"/>
              <w:bottom w:val="single" w:sz="4" w:space="0" w:color="auto"/>
              <w:right w:val="single" w:sz="4" w:space="0" w:color="auto"/>
            </w:tcBorders>
            <w:shd w:val="clear" w:color="auto" w:fill="auto"/>
            <w:noWrap/>
            <w:vAlign w:val="center"/>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2182</w:t>
            </w:r>
          </w:p>
        </w:tc>
        <w:tc>
          <w:tcPr>
            <w:tcW w:w="756" w:type="dxa"/>
            <w:tcBorders>
              <w:top w:val="nil"/>
              <w:left w:val="nil"/>
              <w:bottom w:val="single" w:sz="4" w:space="0" w:color="auto"/>
              <w:right w:val="single" w:sz="4" w:space="0" w:color="auto"/>
            </w:tcBorders>
            <w:shd w:val="clear" w:color="auto" w:fill="auto"/>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13.0</w:t>
            </w:r>
          </w:p>
        </w:tc>
        <w:tc>
          <w:tcPr>
            <w:tcW w:w="709" w:type="dxa"/>
            <w:tcBorders>
              <w:top w:val="nil"/>
              <w:left w:val="nil"/>
              <w:bottom w:val="single" w:sz="4" w:space="0" w:color="auto"/>
              <w:right w:val="single" w:sz="4" w:space="0" w:color="auto"/>
            </w:tcBorders>
            <w:shd w:val="clear" w:color="auto" w:fill="auto"/>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19.4</w:t>
            </w:r>
          </w:p>
        </w:tc>
        <w:tc>
          <w:tcPr>
            <w:tcW w:w="709" w:type="dxa"/>
            <w:tcBorders>
              <w:top w:val="nil"/>
              <w:left w:val="nil"/>
              <w:bottom w:val="single" w:sz="4" w:space="0" w:color="auto"/>
              <w:right w:val="single" w:sz="4" w:space="0" w:color="auto"/>
            </w:tcBorders>
            <w:shd w:val="clear" w:color="000000" w:fill="009900"/>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1569</w:t>
            </w:r>
          </w:p>
        </w:tc>
        <w:tc>
          <w:tcPr>
            <w:tcW w:w="750"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12.2</w:t>
            </w:r>
          </w:p>
        </w:tc>
        <w:tc>
          <w:tcPr>
            <w:tcW w:w="809"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18.2</w:t>
            </w:r>
          </w:p>
        </w:tc>
        <w:tc>
          <w:tcPr>
            <w:tcW w:w="567" w:type="dxa"/>
            <w:tcBorders>
              <w:top w:val="nil"/>
              <w:left w:val="nil"/>
              <w:bottom w:val="single" w:sz="4" w:space="0" w:color="auto"/>
              <w:right w:val="single" w:sz="4" w:space="0" w:color="auto"/>
            </w:tcBorders>
            <w:shd w:val="clear" w:color="000000" w:fill="99FF66"/>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613</w:t>
            </w:r>
          </w:p>
        </w:tc>
        <w:tc>
          <w:tcPr>
            <w:tcW w:w="750"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15.0</w:t>
            </w:r>
          </w:p>
        </w:tc>
        <w:tc>
          <w:tcPr>
            <w:tcW w:w="667"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22.0</w:t>
            </w:r>
          </w:p>
        </w:tc>
      </w:tr>
      <w:tr w:rsidR="000E7CCC" w:rsidRPr="000E7CCC">
        <w:trPr>
          <w:trHeight w:val="299"/>
        </w:trPr>
        <w:tc>
          <w:tcPr>
            <w:tcW w:w="2132" w:type="dxa"/>
            <w:tcBorders>
              <w:top w:val="nil"/>
              <w:left w:val="single" w:sz="4" w:space="0" w:color="auto"/>
              <w:bottom w:val="single" w:sz="4" w:space="0" w:color="auto"/>
              <w:right w:val="single" w:sz="4" w:space="0" w:color="auto"/>
            </w:tcBorders>
            <w:shd w:val="clear" w:color="auto" w:fill="auto"/>
            <w:noWrap/>
            <w:vAlign w:val="bottom"/>
          </w:tcPr>
          <w:p w:rsidR="001A5553" w:rsidRPr="000E7CCC" w:rsidRDefault="001A5553" w:rsidP="007B7761">
            <w:pPr>
              <w:spacing w:after="0" w:line="240" w:lineRule="auto"/>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Arts</w:t>
            </w:r>
          </w:p>
        </w:tc>
        <w:tc>
          <w:tcPr>
            <w:tcW w:w="661" w:type="dxa"/>
            <w:tcBorders>
              <w:top w:val="nil"/>
              <w:left w:val="nil"/>
              <w:bottom w:val="single" w:sz="4" w:space="0" w:color="auto"/>
              <w:right w:val="single" w:sz="4" w:space="0" w:color="auto"/>
            </w:tcBorders>
            <w:shd w:val="clear" w:color="auto" w:fill="auto"/>
            <w:noWrap/>
            <w:vAlign w:val="center"/>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2</w:t>
            </w:r>
          </w:p>
        </w:tc>
        <w:tc>
          <w:tcPr>
            <w:tcW w:w="756" w:type="dxa"/>
            <w:tcBorders>
              <w:top w:val="nil"/>
              <w:left w:val="nil"/>
              <w:bottom w:val="single" w:sz="4" w:space="0" w:color="auto"/>
              <w:right w:val="single" w:sz="4" w:space="0" w:color="auto"/>
            </w:tcBorders>
            <w:shd w:val="clear" w:color="auto" w:fill="auto"/>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9.6</w:t>
            </w:r>
          </w:p>
        </w:tc>
        <w:tc>
          <w:tcPr>
            <w:tcW w:w="709" w:type="dxa"/>
            <w:tcBorders>
              <w:top w:val="nil"/>
              <w:left w:val="nil"/>
              <w:bottom w:val="single" w:sz="4" w:space="0" w:color="auto"/>
              <w:right w:val="single" w:sz="4" w:space="0" w:color="auto"/>
            </w:tcBorders>
            <w:shd w:val="clear" w:color="auto" w:fill="auto"/>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19.5</w:t>
            </w:r>
          </w:p>
        </w:tc>
        <w:tc>
          <w:tcPr>
            <w:tcW w:w="709" w:type="dxa"/>
            <w:tcBorders>
              <w:top w:val="nil"/>
              <w:left w:val="nil"/>
              <w:bottom w:val="single" w:sz="4" w:space="0" w:color="auto"/>
              <w:right w:val="single" w:sz="4" w:space="0" w:color="auto"/>
            </w:tcBorders>
            <w:shd w:val="clear" w:color="000000" w:fill="009900"/>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2</w:t>
            </w:r>
          </w:p>
        </w:tc>
        <w:tc>
          <w:tcPr>
            <w:tcW w:w="750"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9.6</w:t>
            </w:r>
          </w:p>
        </w:tc>
        <w:tc>
          <w:tcPr>
            <w:tcW w:w="809"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19.5</w:t>
            </w:r>
          </w:p>
        </w:tc>
        <w:tc>
          <w:tcPr>
            <w:tcW w:w="567" w:type="dxa"/>
            <w:tcBorders>
              <w:top w:val="nil"/>
              <w:left w:val="nil"/>
              <w:bottom w:val="single" w:sz="4" w:space="0" w:color="auto"/>
              <w:right w:val="single" w:sz="4" w:space="0" w:color="auto"/>
            </w:tcBorders>
            <w:shd w:val="clear" w:color="000000" w:fill="99FF66"/>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p>
        </w:tc>
        <w:tc>
          <w:tcPr>
            <w:tcW w:w="750"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p>
        </w:tc>
        <w:tc>
          <w:tcPr>
            <w:tcW w:w="667"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p>
        </w:tc>
      </w:tr>
      <w:tr w:rsidR="000E7CCC" w:rsidRPr="000E7CCC">
        <w:trPr>
          <w:trHeight w:val="299"/>
        </w:trPr>
        <w:tc>
          <w:tcPr>
            <w:tcW w:w="2132" w:type="dxa"/>
            <w:tcBorders>
              <w:top w:val="nil"/>
              <w:left w:val="single" w:sz="4" w:space="0" w:color="auto"/>
              <w:bottom w:val="single" w:sz="4" w:space="0" w:color="auto"/>
              <w:right w:val="single" w:sz="4" w:space="0" w:color="auto"/>
            </w:tcBorders>
            <w:shd w:val="clear" w:color="auto" w:fill="auto"/>
            <w:noWrap/>
            <w:vAlign w:val="bottom"/>
          </w:tcPr>
          <w:p w:rsidR="001A5553" w:rsidRPr="000E7CCC" w:rsidRDefault="001A5553" w:rsidP="007B7761">
            <w:pPr>
              <w:spacing w:after="0" w:line="240" w:lineRule="auto"/>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Biology</w:t>
            </w:r>
          </w:p>
        </w:tc>
        <w:tc>
          <w:tcPr>
            <w:tcW w:w="661" w:type="dxa"/>
            <w:tcBorders>
              <w:top w:val="nil"/>
              <w:left w:val="nil"/>
              <w:bottom w:val="single" w:sz="4" w:space="0" w:color="auto"/>
              <w:right w:val="single" w:sz="4" w:space="0" w:color="auto"/>
            </w:tcBorders>
            <w:shd w:val="clear" w:color="auto" w:fill="auto"/>
            <w:noWrap/>
            <w:vAlign w:val="center"/>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134</w:t>
            </w:r>
          </w:p>
        </w:tc>
        <w:tc>
          <w:tcPr>
            <w:tcW w:w="756" w:type="dxa"/>
            <w:tcBorders>
              <w:top w:val="nil"/>
              <w:left w:val="nil"/>
              <w:bottom w:val="single" w:sz="4" w:space="0" w:color="auto"/>
              <w:right w:val="single" w:sz="4" w:space="0" w:color="auto"/>
            </w:tcBorders>
            <w:shd w:val="clear" w:color="auto" w:fill="auto"/>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7.4</w:t>
            </w:r>
          </w:p>
        </w:tc>
        <w:tc>
          <w:tcPr>
            <w:tcW w:w="709" w:type="dxa"/>
            <w:tcBorders>
              <w:top w:val="nil"/>
              <w:left w:val="nil"/>
              <w:bottom w:val="single" w:sz="4" w:space="0" w:color="auto"/>
              <w:right w:val="single" w:sz="4" w:space="0" w:color="auto"/>
            </w:tcBorders>
            <w:shd w:val="clear" w:color="auto" w:fill="auto"/>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10.0</w:t>
            </w:r>
          </w:p>
        </w:tc>
        <w:tc>
          <w:tcPr>
            <w:tcW w:w="709" w:type="dxa"/>
            <w:tcBorders>
              <w:top w:val="nil"/>
              <w:left w:val="nil"/>
              <w:bottom w:val="single" w:sz="4" w:space="0" w:color="auto"/>
              <w:right w:val="single" w:sz="4" w:space="0" w:color="auto"/>
            </w:tcBorders>
            <w:shd w:val="clear" w:color="000000" w:fill="009900"/>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105</w:t>
            </w:r>
          </w:p>
        </w:tc>
        <w:tc>
          <w:tcPr>
            <w:tcW w:w="750"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6.3</w:t>
            </w:r>
          </w:p>
        </w:tc>
        <w:tc>
          <w:tcPr>
            <w:tcW w:w="809"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8.3</w:t>
            </w:r>
          </w:p>
        </w:tc>
        <w:tc>
          <w:tcPr>
            <w:tcW w:w="567" w:type="dxa"/>
            <w:tcBorders>
              <w:top w:val="nil"/>
              <w:left w:val="nil"/>
              <w:bottom w:val="single" w:sz="4" w:space="0" w:color="auto"/>
              <w:right w:val="single" w:sz="4" w:space="0" w:color="auto"/>
            </w:tcBorders>
            <w:shd w:val="clear" w:color="000000" w:fill="99FF66"/>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29</w:t>
            </w:r>
          </w:p>
        </w:tc>
        <w:tc>
          <w:tcPr>
            <w:tcW w:w="750"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11.5</w:t>
            </w:r>
          </w:p>
        </w:tc>
        <w:tc>
          <w:tcPr>
            <w:tcW w:w="667"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14.2</w:t>
            </w:r>
          </w:p>
        </w:tc>
      </w:tr>
      <w:tr w:rsidR="000E7CCC" w:rsidRPr="000E7CCC">
        <w:trPr>
          <w:trHeight w:val="299"/>
        </w:trPr>
        <w:tc>
          <w:tcPr>
            <w:tcW w:w="2132" w:type="dxa"/>
            <w:tcBorders>
              <w:top w:val="nil"/>
              <w:left w:val="single" w:sz="4" w:space="0" w:color="auto"/>
              <w:bottom w:val="single" w:sz="4" w:space="0" w:color="auto"/>
              <w:right w:val="single" w:sz="4" w:space="0" w:color="auto"/>
            </w:tcBorders>
            <w:shd w:val="clear" w:color="auto" w:fill="auto"/>
            <w:noWrap/>
            <w:vAlign w:val="bottom"/>
          </w:tcPr>
          <w:p w:rsidR="001A5553" w:rsidRPr="000E7CCC" w:rsidRDefault="001A5553" w:rsidP="007B7761">
            <w:pPr>
              <w:spacing w:after="0" w:line="240" w:lineRule="auto"/>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Biomedical Research</w:t>
            </w:r>
          </w:p>
        </w:tc>
        <w:tc>
          <w:tcPr>
            <w:tcW w:w="661" w:type="dxa"/>
            <w:tcBorders>
              <w:top w:val="nil"/>
              <w:left w:val="nil"/>
              <w:bottom w:val="single" w:sz="4" w:space="0" w:color="auto"/>
              <w:right w:val="single" w:sz="4" w:space="0" w:color="auto"/>
            </w:tcBorders>
            <w:shd w:val="clear" w:color="auto" w:fill="auto"/>
            <w:noWrap/>
            <w:vAlign w:val="center"/>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441</w:t>
            </w:r>
          </w:p>
        </w:tc>
        <w:tc>
          <w:tcPr>
            <w:tcW w:w="756" w:type="dxa"/>
            <w:tcBorders>
              <w:top w:val="nil"/>
              <w:left w:val="nil"/>
              <w:bottom w:val="single" w:sz="4" w:space="0" w:color="auto"/>
              <w:right w:val="single" w:sz="4" w:space="0" w:color="auto"/>
            </w:tcBorders>
            <w:shd w:val="clear" w:color="auto" w:fill="auto"/>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12.9</w:t>
            </w:r>
          </w:p>
        </w:tc>
        <w:tc>
          <w:tcPr>
            <w:tcW w:w="709" w:type="dxa"/>
            <w:tcBorders>
              <w:top w:val="nil"/>
              <w:left w:val="nil"/>
              <w:bottom w:val="single" w:sz="4" w:space="0" w:color="auto"/>
              <w:right w:val="single" w:sz="4" w:space="0" w:color="auto"/>
            </w:tcBorders>
            <w:shd w:val="clear" w:color="auto" w:fill="auto"/>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17.6</w:t>
            </w:r>
          </w:p>
        </w:tc>
        <w:tc>
          <w:tcPr>
            <w:tcW w:w="709" w:type="dxa"/>
            <w:tcBorders>
              <w:top w:val="nil"/>
              <w:left w:val="nil"/>
              <w:bottom w:val="single" w:sz="4" w:space="0" w:color="auto"/>
              <w:right w:val="single" w:sz="4" w:space="0" w:color="auto"/>
            </w:tcBorders>
            <w:shd w:val="clear" w:color="000000" w:fill="009900"/>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390</w:t>
            </w:r>
          </w:p>
        </w:tc>
        <w:tc>
          <w:tcPr>
            <w:tcW w:w="750"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13.6</w:t>
            </w:r>
          </w:p>
        </w:tc>
        <w:tc>
          <w:tcPr>
            <w:tcW w:w="809"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18.3</w:t>
            </w:r>
          </w:p>
        </w:tc>
        <w:tc>
          <w:tcPr>
            <w:tcW w:w="567" w:type="dxa"/>
            <w:tcBorders>
              <w:top w:val="nil"/>
              <w:left w:val="nil"/>
              <w:bottom w:val="single" w:sz="4" w:space="0" w:color="auto"/>
              <w:right w:val="single" w:sz="4" w:space="0" w:color="auto"/>
            </w:tcBorders>
            <w:shd w:val="clear" w:color="000000" w:fill="99FF66"/>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51</w:t>
            </w:r>
          </w:p>
        </w:tc>
        <w:tc>
          <w:tcPr>
            <w:tcW w:w="750"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7.1</w:t>
            </w:r>
          </w:p>
        </w:tc>
        <w:tc>
          <w:tcPr>
            <w:tcW w:w="667"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8.2</w:t>
            </w:r>
          </w:p>
        </w:tc>
      </w:tr>
      <w:tr w:rsidR="000E7CCC" w:rsidRPr="000E7CCC">
        <w:trPr>
          <w:trHeight w:val="299"/>
        </w:trPr>
        <w:tc>
          <w:tcPr>
            <w:tcW w:w="2132" w:type="dxa"/>
            <w:tcBorders>
              <w:top w:val="nil"/>
              <w:left w:val="single" w:sz="4" w:space="0" w:color="auto"/>
              <w:bottom w:val="single" w:sz="4" w:space="0" w:color="auto"/>
              <w:right w:val="single" w:sz="4" w:space="0" w:color="auto"/>
            </w:tcBorders>
            <w:shd w:val="clear" w:color="auto" w:fill="auto"/>
            <w:noWrap/>
            <w:vAlign w:val="bottom"/>
          </w:tcPr>
          <w:p w:rsidR="001A5553" w:rsidRPr="000E7CCC" w:rsidRDefault="001A5553" w:rsidP="007B7761">
            <w:pPr>
              <w:spacing w:after="0" w:line="240" w:lineRule="auto"/>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Chemistry</w:t>
            </w:r>
          </w:p>
        </w:tc>
        <w:tc>
          <w:tcPr>
            <w:tcW w:w="661" w:type="dxa"/>
            <w:tcBorders>
              <w:top w:val="nil"/>
              <w:left w:val="nil"/>
              <w:bottom w:val="single" w:sz="4" w:space="0" w:color="auto"/>
              <w:right w:val="single" w:sz="4" w:space="0" w:color="auto"/>
            </w:tcBorders>
            <w:shd w:val="clear" w:color="auto" w:fill="auto"/>
            <w:noWrap/>
            <w:vAlign w:val="center"/>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374</w:t>
            </w:r>
          </w:p>
        </w:tc>
        <w:tc>
          <w:tcPr>
            <w:tcW w:w="756" w:type="dxa"/>
            <w:tcBorders>
              <w:top w:val="nil"/>
              <w:left w:val="nil"/>
              <w:bottom w:val="single" w:sz="4" w:space="0" w:color="auto"/>
              <w:right w:val="single" w:sz="4" w:space="0" w:color="auto"/>
            </w:tcBorders>
            <w:shd w:val="clear" w:color="auto" w:fill="auto"/>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18.4</w:t>
            </w:r>
          </w:p>
        </w:tc>
        <w:tc>
          <w:tcPr>
            <w:tcW w:w="709" w:type="dxa"/>
            <w:tcBorders>
              <w:top w:val="nil"/>
              <w:left w:val="nil"/>
              <w:bottom w:val="single" w:sz="4" w:space="0" w:color="auto"/>
              <w:right w:val="single" w:sz="4" w:space="0" w:color="auto"/>
            </w:tcBorders>
            <w:shd w:val="clear" w:color="auto" w:fill="auto"/>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23.9</w:t>
            </w:r>
          </w:p>
        </w:tc>
        <w:tc>
          <w:tcPr>
            <w:tcW w:w="709" w:type="dxa"/>
            <w:tcBorders>
              <w:top w:val="nil"/>
              <w:left w:val="nil"/>
              <w:bottom w:val="single" w:sz="4" w:space="0" w:color="auto"/>
              <w:right w:val="single" w:sz="4" w:space="0" w:color="auto"/>
            </w:tcBorders>
            <w:shd w:val="clear" w:color="000000" w:fill="009900"/>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249</w:t>
            </w:r>
          </w:p>
        </w:tc>
        <w:tc>
          <w:tcPr>
            <w:tcW w:w="750"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15.0</w:t>
            </w:r>
          </w:p>
        </w:tc>
        <w:tc>
          <w:tcPr>
            <w:tcW w:w="809"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20.7</w:t>
            </w:r>
          </w:p>
        </w:tc>
        <w:tc>
          <w:tcPr>
            <w:tcW w:w="567" w:type="dxa"/>
            <w:tcBorders>
              <w:top w:val="nil"/>
              <w:left w:val="nil"/>
              <w:bottom w:val="single" w:sz="4" w:space="0" w:color="auto"/>
              <w:right w:val="single" w:sz="4" w:space="0" w:color="auto"/>
            </w:tcBorders>
            <w:shd w:val="clear" w:color="000000" w:fill="99FF66"/>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125</w:t>
            </w:r>
          </w:p>
        </w:tc>
        <w:tc>
          <w:tcPr>
            <w:tcW w:w="750"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25.1</w:t>
            </w:r>
          </w:p>
        </w:tc>
        <w:tc>
          <w:tcPr>
            <w:tcW w:w="667"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28.1</w:t>
            </w:r>
          </w:p>
        </w:tc>
      </w:tr>
      <w:tr w:rsidR="000E7CCC" w:rsidRPr="000E7CCC">
        <w:trPr>
          <w:trHeight w:val="299"/>
        </w:trPr>
        <w:tc>
          <w:tcPr>
            <w:tcW w:w="2132" w:type="dxa"/>
            <w:tcBorders>
              <w:top w:val="nil"/>
              <w:left w:val="single" w:sz="4" w:space="0" w:color="auto"/>
              <w:bottom w:val="single" w:sz="4" w:space="0" w:color="auto"/>
              <w:right w:val="single" w:sz="4" w:space="0" w:color="auto"/>
            </w:tcBorders>
            <w:shd w:val="clear" w:color="auto" w:fill="auto"/>
            <w:noWrap/>
            <w:vAlign w:val="bottom"/>
          </w:tcPr>
          <w:p w:rsidR="001A5553" w:rsidRPr="000E7CCC" w:rsidRDefault="001A5553" w:rsidP="007B7761">
            <w:pPr>
              <w:spacing w:after="0" w:line="240" w:lineRule="auto"/>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Clinical Medicine</w:t>
            </w:r>
          </w:p>
        </w:tc>
        <w:tc>
          <w:tcPr>
            <w:tcW w:w="661" w:type="dxa"/>
            <w:tcBorders>
              <w:top w:val="nil"/>
              <w:left w:val="nil"/>
              <w:bottom w:val="single" w:sz="4" w:space="0" w:color="auto"/>
              <w:right w:val="single" w:sz="4" w:space="0" w:color="auto"/>
            </w:tcBorders>
            <w:shd w:val="clear" w:color="auto" w:fill="auto"/>
            <w:noWrap/>
            <w:vAlign w:val="center"/>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223</w:t>
            </w:r>
          </w:p>
        </w:tc>
        <w:tc>
          <w:tcPr>
            <w:tcW w:w="756" w:type="dxa"/>
            <w:tcBorders>
              <w:top w:val="nil"/>
              <w:left w:val="nil"/>
              <w:bottom w:val="single" w:sz="4" w:space="0" w:color="auto"/>
              <w:right w:val="single" w:sz="4" w:space="0" w:color="auto"/>
            </w:tcBorders>
            <w:shd w:val="clear" w:color="auto" w:fill="auto"/>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9.1</w:t>
            </w:r>
          </w:p>
        </w:tc>
        <w:tc>
          <w:tcPr>
            <w:tcW w:w="709" w:type="dxa"/>
            <w:tcBorders>
              <w:top w:val="nil"/>
              <w:left w:val="nil"/>
              <w:bottom w:val="single" w:sz="4" w:space="0" w:color="auto"/>
              <w:right w:val="single" w:sz="4" w:space="0" w:color="auto"/>
            </w:tcBorders>
            <w:shd w:val="clear" w:color="auto" w:fill="auto"/>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12.8</w:t>
            </w:r>
          </w:p>
        </w:tc>
        <w:tc>
          <w:tcPr>
            <w:tcW w:w="709" w:type="dxa"/>
            <w:tcBorders>
              <w:top w:val="nil"/>
              <w:left w:val="nil"/>
              <w:bottom w:val="single" w:sz="4" w:space="0" w:color="auto"/>
              <w:right w:val="single" w:sz="4" w:space="0" w:color="auto"/>
            </w:tcBorders>
            <w:shd w:val="clear" w:color="000000" w:fill="009900"/>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165</w:t>
            </w:r>
          </w:p>
        </w:tc>
        <w:tc>
          <w:tcPr>
            <w:tcW w:w="750"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8.7</w:t>
            </w:r>
          </w:p>
        </w:tc>
        <w:tc>
          <w:tcPr>
            <w:tcW w:w="809"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12.1</w:t>
            </w:r>
          </w:p>
        </w:tc>
        <w:tc>
          <w:tcPr>
            <w:tcW w:w="567" w:type="dxa"/>
            <w:tcBorders>
              <w:top w:val="nil"/>
              <w:left w:val="nil"/>
              <w:bottom w:val="single" w:sz="4" w:space="0" w:color="auto"/>
              <w:right w:val="single" w:sz="4" w:space="0" w:color="auto"/>
            </w:tcBorders>
            <w:shd w:val="clear" w:color="000000" w:fill="99FF66"/>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58</w:t>
            </w:r>
          </w:p>
        </w:tc>
        <w:tc>
          <w:tcPr>
            <w:tcW w:w="750"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10.3</w:t>
            </w:r>
          </w:p>
        </w:tc>
        <w:tc>
          <w:tcPr>
            <w:tcW w:w="667"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14.9</w:t>
            </w:r>
          </w:p>
        </w:tc>
      </w:tr>
      <w:tr w:rsidR="000E7CCC" w:rsidRPr="000E7CCC">
        <w:trPr>
          <w:trHeight w:val="299"/>
        </w:trPr>
        <w:tc>
          <w:tcPr>
            <w:tcW w:w="2132" w:type="dxa"/>
            <w:tcBorders>
              <w:top w:val="nil"/>
              <w:left w:val="single" w:sz="4" w:space="0" w:color="auto"/>
              <w:bottom w:val="single" w:sz="4" w:space="0" w:color="auto"/>
              <w:right w:val="single" w:sz="4" w:space="0" w:color="auto"/>
            </w:tcBorders>
            <w:shd w:val="clear" w:color="auto" w:fill="auto"/>
            <w:noWrap/>
            <w:vAlign w:val="bottom"/>
          </w:tcPr>
          <w:p w:rsidR="001A5553" w:rsidRPr="000E7CCC" w:rsidRDefault="001A5553" w:rsidP="007B7761">
            <w:pPr>
              <w:spacing w:after="0" w:line="240" w:lineRule="auto"/>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Earth &amp; Space</w:t>
            </w:r>
          </w:p>
        </w:tc>
        <w:tc>
          <w:tcPr>
            <w:tcW w:w="661" w:type="dxa"/>
            <w:tcBorders>
              <w:top w:val="nil"/>
              <w:left w:val="nil"/>
              <w:bottom w:val="single" w:sz="4" w:space="0" w:color="auto"/>
              <w:right w:val="single" w:sz="4" w:space="0" w:color="auto"/>
            </w:tcBorders>
            <w:shd w:val="clear" w:color="auto" w:fill="auto"/>
            <w:noWrap/>
            <w:vAlign w:val="center"/>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71</w:t>
            </w:r>
          </w:p>
        </w:tc>
        <w:tc>
          <w:tcPr>
            <w:tcW w:w="756" w:type="dxa"/>
            <w:tcBorders>
              <w:top w:val="nil"/>
              <w:left w:val="nil"/>
              <w:bottom w:val="single" w:sz="4" w:space="0" w:color="auto"/>
              <w:right w:val="single" w:sz="4" w:space="0" w:color="auto"/>
            </w:tcBorders>
            <w:shd w:val="clear" w:color="auto" w:fill="auto"/>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7.3</w:t>
            </w:r>
          </w:p>
        </w:tc>
        <w:tc>
          <w:tcPr>
            <w:tcW w:w="709" w:type="dxa"/>
            <w:tcBorders>
              <w:top w:val="nil"/>
              <w:left w:val="nil"/>
              <w:bottom w:val="single" w:sz="4" w:space="0" w:color="auto"/>
              <w:right w:val="single" w:sz="4" w:space="0" w:color="auto"/>
            </w:tcBorders>
            <w:shd w:val="clear" w:color="auto" w:fill="auto"/>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12.8</w:t>
            </w:r>
          </w:p>
        </w:tc>
        <w:tc>
          <w:tcPr>
            <w:tcW w:w="709" w:type="dxa"/>
            <w:tcBorders>
              <w:top w:val="nil"/>
              <w:left w:val="nil"/>
              <w:bottom w:val="single" w:sz="4" w:space="0" w:color="auto"/>
              <w:right w:val="single" w:sz="4" w:space="0" w:color="auto"/>
            </w:tcBorders>
            <w:shd w:val="clear" w:color="000000" w:fill="009900"/>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46</w:t>
            </w:r>
          </w:p>
        </w:tc>
        <w:tc>
          <w:tcPr>
            <w:tcW w:w="750"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6.7</w:t>
            </w:r>
          </w:p>
        </w:tc>
        <w:tc>
          <w:tcPr>
            <w:tcW w:w="809"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9.2</w:t>
            </w:r>
          </w:p>
        </w:tc>
        <w:tc>
          <w:tcPr>
            <w:tcW w:w="567" w:type="dxa"/>
            <w:tcBorders>
              <w:top w:val="nil"/>
              <w:left w:val="nil"/>
              <w:bottom w:val="single" w:sz="4" w:space="0" w:color="auto"/>
              <w:right w:val="single" w:sz="4" w:space="0" w:color="auto"/>
            </w:tcBorders>
            <w:shd w:val="clear" w:color="000000" w:fill="99FF66"/>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25</w:t>
            </w:r>
          </w:p>
        </w:tc>
        <w:tc>
          <w:tcPr>
            <w:tcW w:w="750"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8.5</w:t>
            </w:r>
          </w:p>
        </w:tc>
        <w:tc>
          <w:tcPr>
            <w:tcW w:w="667"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17.7</w:t>
            </w:r>
          </w:p>
        </w:tc>
      </w:tr>
      <w:tr w:rsidR="000E7CCC" w:rsidRPr="000E7CCC">
        <w:trPr>
          <w:trHeight w:val="299"/>
        </w:trPr>
        <w:tc>
          <w:tcPr>
            <w:tcW w:w="2132" w:type="dxa"/>
            <w:tcBorders>
              <w:top w:val="nil"/>
              <w:left w:val="single" w:sz="4" w:space="0" w:color="auto"/>
              <w:bottom w:val="single" w:sz="4" w:space="0" w:color="auto"/>
              <w:right w:val="single" w:sz="4" w:space="0" w:color="auto"/>
            </w:tcBorders>
            <w:shd w:val="clear" w:color="auto" w:fill="auto"/>
            <w:noWrap/>
            <w:vAlign w:val="bottom"/>
          </w:tcPr>
          <w:p w:rsidR="001A5553" w:rsidRPr="000E7CCC" w:rsidRDefault="001A5553" w:rsidP="007B7761">
            <w:pPr>
              <w:spacing w:after="0" w:line="240" w:lineRule="auto"/>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Engineering &amp; Tech</w:t>
            </w:r>
          </w:p>
        </w:tc>
        <w:tc>
          <w:tcPr>
            <w:tcW w:w="661" w:type="dxa"/>
            <w:tcBorders>
              <w:top w:val="nil"/>
              <w:left w:val="nil"/>
              <w:bottom w:val="single" w:sz="4" w:space="0" w:color="auto"/>
              <w:right w:val="single" w:sz="4" w:space="0" w:color="auto"/>
            </w:tcBorders>
            <w:shd w:val="clear" w:color="auto" w:fill="auto"/>
            <w:noWrap/>
            <w:vAlign w:val="center"/>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482</w:t>
            </w:r>
          </w:p>
        </w:tc>
        <w:tc>
          <w:tcPr>
            <w:tcW w:w="756" w:type="dxa"/>
            <w:tcBorders>
              <w:top w:val="nil"/>
              <w:left w:val="nil"/>
              <w:bottom w:val="single" w:sz="4" w:space="0" w:color="auto"/>
              <w:right w:val="single" w:sz="4" w:space="0" w:color="auto"/>
            </w:tcBorders>
            <w:shd w:val="clear" w:color="auto" w:fill="auto"/>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16.0</w:t>
            </w:r>
          </w:p>
        </w:tc>
        <w:tc>
          <w:tcPr>
            <w:tcW w:w="709" w:type="dxa"/>
            <w:tcBorders>
              <w:top w:val="nil"/>
              <w:left w:val="nil"/>
              <w:bottom w:val="single" w:sz="4" w:space="0" w:color="auto"/>
              <w:right w:val="single" w:sz="4" w:space="0" w:color="auto"/>
            </w:tcBorders>
            <w:shd w:val="clear" w:color="auto" w:fill="auto"/>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22.0</w:t>
            </w:r>
          </w:p>
        </w:tc>
        <w:tc>
          <w:tcPr>
            <w:tcW w:w="709" w:type="dxa"/>
            <w:tcBorders>
              <w:top w:val="nil"/>
              <w:left w:val="nil"/>
              <w:bottom w:val="single" w:sz="4" w:space="0" w:color="auto"/>
              <w:right w:val="single" w:sz="4" w:space="0" w:color="auto"/>
            </w:tcBorders>
            <w:shd w:val="clear" w:color="000000" w:fill="009900"/>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341</w:t>
            </w:r>
          </w:p>
        </w:tc>
        <w:tc>
          <w:tcPr>
            <w:tcW w:w="750"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15.5</w:t>
            </w:r>
          </w:p>
        </w:tc>
        <w:tc>
          <w:tcPr>
            <w:tcW w:w="809"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21.6</w:t>
            </w:r>
          </w:p>
        </w:tc>
        <w:tc>
          <w:tcPr>
            <w:tcW w:w="567" w:type="dxa"/>
            <w:tcBorders>
              <w:top w:val="nil"/>
              <w:left w:val="nil"/>
              <w:bottom w:val="single" w:sz="4" w:space="0" w:color="auto"/>
              <w:right w:val="single" w:sz="4" w:space="0" w:color="auto"/>
            </w:tcBorders>
            <w:shd w:val="clear" w:color="000000" w:fill="99FF66"/>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141</w:t>
            </w:r>
          </w:p>
        </w:tc>
        <w:tc>
          <w:tcPr>
            <w:tcW w:w="750"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17.5</w:t>
            </w:r>
          </w:p>
        </w:tc>
        <w:tc>
          <w:tcPr>
            <w:tcW w:w="667"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22.9</w:t>
            </w:r>
          </w:p>
        </w:tc>
      </w:tr>
      <w:tr w:rsidR="000E7CCC" w:rsidRPr="000E7CCC">
        <w:trPr>
          <w:trHeight w:val="299"/>
        </w:trPr>
        <w:tc>
          <w:tcPr>
            <w:tcW w:w="2132" w:type="dxa"/>
            <w:tcBorders>
              <w:top w:val="nil"/>
              <w:left w:val="single" w:sz="4" w:space="0" w:color="auto"/>
              <w:bottom w:val="single" w:sz="4" w:space="0" w:color="auto"/>
              <w:right w:val="single" w:sz="4" w:space="0" w:color="auto"/>
            </w:tcBorders>
            <w:shd w:val="clear" w:color="auto" w:fill="auto"/>
            <w:noWrap/>
            <w:vAlign w:val="bottom"/>
          </w:tcPr>
          <w:p w:rsidR="001A5553" w:rsidRPr="000E7CCC" w:rsidRDefault="001A5553" w:rsidP="007B7761">
            <w:pPr>
              <w:spacing w:after="0" w:line="240" w:lineRule="auto"/>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Health</w:t>
            </w:r>
          </w:p>
        </w:tc>
        <w:tc>
          <w:tcPr>
            <w:tcW w:w="661" w:type="dxa"/>
            <w:tcBorders>
              <w:top w:val="nil"/>
              <w:left w:val="nil"/>
              <w:bottom w:val="single" w:sz="4" w:space="0" w:color="auto"/>
              <w:right w:val="single" w:sz="4" w:space="0" w:color="auto"/>
            </w:tcBorders>
            <w:shd w:val="clear" w:color="auto" w:fill="auto"/>
            <w:noWrap/>
            <w:vAlign w:val="center"/>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27</w:t>
            </w:r>
          </w:p>
        </w:tc>
        <w:tc>
          <w:tcPr>
            <w:tcW w:w="756" w:type="dxa"/>
            <w:tcBorders>
              <w:top w:val="nil"/>
              <w:left w:val="nil"/>
              <w:bottom w:val="single" w:sz="4" w:space="0" w:color="auto"/>
              <w:right w:val="single" w:sz="4" w:space="0" w:color="auto"/>
            </w:tcBorders>
            <w:shd w:val="clear" w:color="auto" w:fill="auto"/>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3.4</w:t>
            </w:r>
          </w:p>
        </w:tc>
        <w:tc>
          <w:tcPr>
            <w:tcW w:w="709" w:type="dxa"/>
            <w:tcBorders>
              <w:top w:val="nil"/>
              <w:left w:val="nil"/>
              <w:bottom w:val="single" w:sz="4" w:space="0" w:color="auto"/>
              <w:right w:val="single" w:sz="4" w:space="0" w:color="auto"/>
            </w:tcBorders>
            <w:shd w:val="clear" w:color="auto" w:fill="auto"/>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12.4</w:t>
            </w:r>
          </w:p>
        </w:tc>
        <w:tc>
          <w:tcPr>
            <w:tcW w:w="709" w:type="dxa"/>
            <w:tcBorders>
              <w:top w:val="nil"/>
              <w:left w:val="nil"/>
              <w:bottom w:val="single" w:sz="4" w:space="0" w:color="auto"/>
              <w:right w:val="single" w:sz="4" w:space="0" w:color="auto"/>
            </w:tcBorders>
            <w:shd w:val="clear" w:color="000000" w:fill="009900"/>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14</w:t>
            </w:r>
          </w:p>
        </w:tc>
        <w:tc>
          <w:tcPr>
            <w:tcW w:w="750"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-0.2</w:t>
            </w:r>
          </w:p>
        </w:tc>
        <w:tc>
          <w:tcPr>
            <w:tcW w:w="809"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4.1</w:t>
            </w:r>
          </w:p>
        </w:tc>
        <w:tc>
          <w:tcPr>
            <w:tcW w:w="567" w:type="dxa"/>
            <w:tcBorders>
              <w:top w:val="nil"/>
              <w:left w:val="nil"/>
              <w:bottom w:val="single" w:sz="4" w:space="0" w:color="auto"/>
              <w:right w:val="single" w:sz="4" w:space="0" w:color="auto"/>
            </w:tcBorders>
            <w:shd w:val="clear" w:color="000000" w:fill="99FF66"/>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13</w:t>
            </w:r>
          </w:p>
        </w:tc>
        <w:tc>
          <w:tcPr>
            <w:tcW w:w="750"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7.2</w:t>
            </w:r>
          </w:p>
        </w:tc>
        <w:tc>
          <w:tcPr>
            <w:tcW w:w="667"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16.8</w:t>
            </w:r>
          </w:p>
        </w:tc>
      </w:tr>
      <w:tr w:rsidR="000E7CCC" w:rsidRPr="000E7CCC">
        <w:trPr>
          <w:trHeight w:val="299"/>
        </w:trPr>
        <w:tc>
          <w:tcPr>
            <w:tcW w:w="2132" w:type="dxa"/>
            <w:tcBorders>
              <w:top w:val="nil"/>
              <w:left w:val="single" w:sz="4" w:space="0" w:color="auto"/>
              <w:bottom w:val="single" w:sz="4" w:space="0" w:color="auto"/>
              <w:right w:val="single" w:sz="4" w:space="0" w:color="auto"/>
            </w:tcBorders>
            <w:shd w:val="clear" w:color="auto" w:fill="auto"/>
            <w:noWrap/>
            <w:vAlign w:val="bottom"/>
          </w:tcPr>
          <w:p w:rsidR="001A5553" w:rsidRPr="000E7CCC" w:rsidRDefault="001A5553" w:rsidP="007B7761">
            <w:pPr>
              <w:spacing w:after="0" w:line="240" w:lineRule="auto"/>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Humanities</w:t>
            </w:r>
          </w:p>
        </w:tc>
        <w:tc>
          <w:tcPr>
            <w:tcW w:w="661" w:type="dxa"/>
            <w:tcBorders>
              <w:top w:val="nil"/>
              <w:left w:val="nil"/>
              <w:bottom w:val="single" w:sz="4" w:space="0" w:color="auto"/>
              <w:right w:val="single" w:sz="4" w:space="0" w:color="auto"/>
            </w:tcBorders>
            <w:shd w:val="clear" w:color="auto" w:fill="auto"/>
            <w:noWrap/>
            <w:vAlign w:val="center"/>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w:t>
            </w:r>
          </w:p>
        </w:tc>
        <w:tc>
          <w:tcPr>
            <w:tcW w:w="756" w:type="dxa"/>
            <w:tcBorders>
              <w:top w:val="nil"/>
              <w:left w:val="nil"/>
              <w:bottom w:val="single" w:sz="4" w:space="0" w:color="auto"/>
              <w:right w:val="single" w:sz="4" w:space="0" w:color="auto"/>
            </w:tcBorders>
            <w:shd w:val="clear" w:color="auto" w:fill="auto"/>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2.0</w:t>
            </w:r>
          </w:p>
        </w:tc>
        <w:tc>
          <w:tcPr>
            <w:tcW w:w="709" w:type="dxa"/>
            <w:tcBorders>
              <w:top w:val="nil"/>
              <w:left w:val="nil"/>
              <w:bottom w:val="single" w:sz="4" w:space="0" w:color="auto"/>
              <w:right w:val="single" w:sz="4" w:space="0" w:color="auto"/>
            </w:tcBorders>
            <w:shd w:val="clear" w:color="auto" w:fill="auto"/>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p>
        </w:tc>
        <w:tc>
          <w:tcPr>
            <w:tcW w:w="709" w:type="dxa"/>
            <w:tcBorders>
              <w:top w:val="nil"/>
              <w:left w:val="nil"/>
              <w:bottom w:val="single" w:sz="4" w:space="0" w:color="auto"/>
              <w:right w:val="single" w:sz="4" w:space="0" w:color="auto"/>
            </w:tcBorders>
            <w:shd w:val="clear" w:color="000000" w:fill="009900"/>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w:t>
            </w:r>
          </w:p>
        </w:tc>
        <w:tc>
          <w:tcPr>
            <w:tcW w:w="750"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2.0</w:t>
            </w:r>
          </w:p>
        </w:tc>
        <w:tc>
          <w:tcPr>
            <w:tcW w:w="809"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p>
        </w:tc>
        <w:tc>
          <w:tcPr>
            <w:tcW w:w="567" w:type="dxa"/>
            <w:tcBorders>
              <w:top w:val="nil"/>
              <w:left w:val="nil"/>
              <w:bottom w:val="single" w:sz="4" w:space="0" w:color="auto"/>
              <w:right w:val="single" w:sz="4" w:space="0" w:color="auto"/>
            </w:tcBorders>
            <w:shd w:val="clear" w:color="000000" w:fill="99FF66"/>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p>
        </w:tc>
        <w:tc>
          <w:tcPr>
            <w:tcW w:w="750"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p>
        </w:tc>
        <w:tc>
          <w:tcPr>
            <w:tcW w:w="667"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p>
        </w:tc>
      </w:tr>
      <w:tr w:rsidR="000E7CCC" w:rsidRPr="000E7CCC">
        <w:trPr>
          <w:trHeight w:val="299"/>
        </w:trPr>
        <w:tc>
          <w:tcPr>
            <w:tcW w:w="2132" w:type="dxa"/>
            <w:tcBorders>
              <w:top w:val="nil"/>
              <w:left w:val="single" w:sz="4" w:space="0" w:color="auto"/>
              <w:bottom w:val="single" w:sz="4" w:space="0" w:color="auto"/>
              <w:right w:val="single" w:sz="4" w:space="0" w:color="auto"/>
            </w:tcBorders>
            <w:shd w:val="clear" w:color="auto" w:fill="auto"/>
            <w:noWrap/>
            <w:vAlign w:val="bottom"/>
          </w:tcPr>
          <w:p w:rsidR="001A5553" w:rsidRPr="000E7CCC" w:rsidRDefault="001A5553" w:rsidP="007B7761">
            <w:pPr>
              <w:spacing w:after="0" w:line="240" w:lineRule="auto"/>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Mathematics</w:t>
            </w:r>
          </w:p>
        </w:tc>
        <w:tc>
          <w:tcPr>
            <w:tcW w:w="661" w:type="dxa"/>
            <w:tcBorders>
              <w:top w:val="nil"/>
              <w:left w:val="nil"/>
              <w:bottom w:val="single" w:sz="4" w:space="0" w:color="auto"/>
              <w:right w:val="single" w:sz="4" w:space="0" w:color="auto"/>
            </w:tcBorders>
            <w:shd w:val="clear" w:color="auto" w:fill="auto"/>
            <w:noWrap/>
            <w:vAlign w:val="center"/>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84</w:t>
            </w:r>
          </w:p>
        </w:tc>
        <w:tc>
          <w:tcPr>
            <w:tcW w:w="756" w:type="dxa"/>
            <w:tcBorders>
              <w:top w:val="nil"/>
              <w:left w:val="nil"/>
              <w:bottom w:val="single" w:sz="4" w:space="0" w:color="auto"/>
              <w:right w:val="single" w:sz="4" w:space="0" w:color="auto"/>
            </w:tcBorders>
            <w:shd w:val="clear" w:color="auto" w:fill="auto"/>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9.4</w:t>
            </w:r>
          </w:p>
        </w:tc>
        <w:tc>
          <w:tcPr>
            <w:tcW w:w="709" w:type="dxa"/>
            <w:tcBorders>
              <w:top w:val="nil"/>
              <w:left w:val="nil"/>
              <w:bottom w:val="single" w:sz="4" w:space="0" w:color="auto"/>
              <w:right w:val="single" w:sz="4" w:space="0" w:color="auto"/>
            </w:tcBorders>
            <w:shd w:val="clear" w:color="auto" w:fill="auto"/>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16.1</w:t>
            </w:r>
          </w:p>
        </w:tc>
        <w:tc>
          <w:tcPr>
            <w:tcW w:w="709" w:type="dxa"/>
            <w:tcBorders>
              <w:top w:val="nil"/>
              <w:left w:val="nil"/>
              <w:bottom w:val="single" w:sz="4" w:space="0" w:color="auto"/>
              <w:right w:val="single" w:sz="4" w:space="0" w:color="auto"/>
            </w:tcBorders>
            <w:shd w:val="clear" w:color="000000" w:fill="009900"/>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62</w:t>
            </w:r>
          </w:p>
        </w:tc>
        <w:tc>
          <w:tcPr>
            <w:tcW w:w="750"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11.0</w:t>
            </w:r>
          </w:p>
        </w:tc>
        <w:tc>
          <w:tcPr>
            <w:tcW w:w="809"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17.8</w:t>
            </w:r>
          </w:p>
        </w:tc>
        <w:tc>
          <w:tcPr>
            <w:tcW w:w="567" w:type="dxa"/>
            <w:tcBorders>
              <w:top w:val="nil"/>
              <w:left w:val="nil"/>
              <w:bottom w:val="single" w:sz="4" w:space="0" w:color="auto"/>
              <w:right w:val="single" w:sz="4" w:space="0" w:color="auto"/>
            </w:tcBorders>
            <w:shd w:val="clear" w:color="000000" w:fill="99FF66"/>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22</w:t>
            </w:r>
          </w:p>
        </w:tc>
        <w:tc>
          <w:tcPr>
            <w:tcW w:w="750"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5.1</w:t>
            </w:r>
          </w:p>
        </w:tc>
        <w:tc>
          <w:tcPr>
            <w:tcW w:w="667"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8.8</w:t>
            </w:r>
          </w:p>
        </w:tc>
      </w:tr>
      <w:tr w:rsidR="000E7CCC" w:rsidRPr="000E7CCC">
        <w:trPr>
          <w:trHeight w:val="299"/>
        </w:trPr>
        <w:tc>
          <w:tcPr>
            <w:tcW w:w="2132" w:type="dxa"/>
            <w:tcBorders>
              <w:top w:val="nil"/>
              <w:left w:val="single" w:sz="4" w:space="0" w:color="auto"/>
              <w:bottom w:val="single" w:sz="4" w:space="0" w:color="auto"/>
              <w:right w:val="single" w:sz="4" w:space="0" w:color="auto"/>
            </w:tcBorders>
            <w:shd w:val="clear" w:color="auto" w:fill="auto"/>
            <w:noWrap/>
            <w:vAlign w:val="bottom"/>
          </w:tcPr>
          <w:p w:rsidR="001A5553" w:rsidRPr="000E7CCC" w:rsidRDefault="001A5553" w:rsidP="007B7761">
            <w:pPr>
              <w:spacing w:after="0" w:line="240" w:lineRule="auto"/>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Physics</w:t>
            </w:r>
          </w:p>
        </w:tc>
        <w:tc>
          <w:tcPr>
            <w:tcW w:w="661" w:type="dxa"/>
            <w:tcBorders>
              <w:top w:val="nil"/>
              <w:left w:val="nil"/>
              <w:bottom w:val="single" w:sz="4" w:space="0" w:color="auto"/>
              <w:right w:val="single" w:sz="4" w:space="0" w:color="auto"/>
            </w:tcBorders>
            <w:shd w:val="clear" w:color="auto" w:fill="auto"/>
            <w:noWrap/>
            <w:vAlign w:val="center"/>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158</w:t>
            </w:r>
          </w:p>
        </w:tc>
        <w:tc>
          <w:tcPr>
            <w:tcW w:w="756" w:type="dxa"/>
            <w:tcBorders>
              <w:top w:val="nil"/>
              <w:left w:val="nil"/>
              <w:bottom w:val="single" w:sz="4" w:space="0" w:color="auto"/>
              <w:right w:val="single" w:sz="4" w:space="0" w:color="auto"/>
            </w:tcBorders>
            <w:shd w:val="clear" w:color="auto" w:fill="auto"/>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12.8</w:t>
            </w:r>
          </w:p>
        </w:tc>
        <w:tc>
          <w:tcPr>
            <w:tcW w:w="709" w:type="dxa"/>
            <w:tcBorders>
              <w:top w:val="nil"/>
              <w:left w:val="nil"/>
              <w:bottom w:val="single" w:sz="4" w:space="0" w:color="auto"/>
              <w:right w:val="single" w:sz="4" w:space="0" w:color="auto"/>
            </w:tcBorders>
            <w:shd w:val="clear" w:color="auto" w:fill="auto"/>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18.4</w:t>
            </w:r>
          </w:p>
        </w:tc>
        <w:tc>
          <w:tcPr>
            <w:tcW w:w="709" w:type="dxa"/>
            <w:tcBorders>
              <w:top w:val="nil"/>
              <w:left w:val="nil"/>
              <w:bottom w:val="single" w:sz="4" w:space="0" w:color="auto"/>
              <w:right w:val="single" w:sz="4" w:space="0" w:color="auto"/>
            </w:tcBorders>
            <w:shd w:val="clear" w:color="000000" w:fill="009900"/>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101</w:t>
            </w:r>
          </w:p>
        </w:tc>
        <w:tc>
          <w:tcPr>
            <w:tcW w:w="750"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11.2</w:t>
            </w:r>
          </w:p>
        </w:tc>
        <w:tc>
          <w:tcPr>
            <w:tcW w:w="809"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15.8</w:t>
            </w:r>
          </w:p>
        </w:tc>
        <w:tc>
          <w:tcPr>
            <w:tcW w:w="567" w:type="dxa"/>
            <w:tcBorders>
              <w:top w:val="nil"/>
              <w:left w:val="nil"/>
              <w:bottom w:val="single" w:sz="4" w:space="0" w:color="auto"/>
              <w:right w:val="single" w:sz="4" w:space="0" w:color="auto"/>
            </w:tcBorders>
            <w:shd w:val="clear" w:color="000000" w:fill="99FF66"/>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57</w:t>
            </w:r>
          </w:p>
        </w:tc>
        <w:tc>
          <w:tcPr>
            <w:tcW w:w="750"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15.7</w:t>
            </w:r>
          </w:p>
        </w:tc>
        <w:tc>
          <w:tcPr>
            <w:tcW w:w="667"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22.2</w:t>
            </w:r>
          </w:p>
        </w:tc>
      </w:tr>
      <w:tr w:rsidR="000E7CCC" w:rsidRPr="000E7CCC">
        <w:trPr>
          <w:trHeight w:val="299"/>
        </w:trPr>
        <w:tc>
          <w:tcPr>
            <w:tcW w:w="2132" w:type="dxa"/>
            <w:tcBorders>
              <w:top w:val="nil"/>
              <w:left w:val="single" w:sz="4" w:space="0" w:color="auto"/>
              <w:bottom w:val="single" w:sz="4" w:space="0" w:color="auto"/>
              <w:right w:val="single" w:sz="4" w:space="0" w:color="auto"/>
            </w:tcBorders>
            <w:shd w:val="clear" w:color="auto" w:fill="auto"/>
            <w:noWrap/>
            <w:vAlign w:val="bottom"/>
          </w:tcPr>
          <w:p w:rsidR="001A5553" w:rsidRPr="000E7CCC" w:rsidRDefault="001A5553" w:rsidP="007B7761">
            <w:pPr>
              <w:spacing w:after="0" w:line="240" w:lineRule="auto"/>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Professional Fields</w:t>
            </w:r>
          </w:p>
        </w:tc>
        <w:tc>
          <w:tcPr>
            <w:tcW w:w="661" w:type="dxa"/>
            <w:tcBorders>
              <w:top w:val="nil"/>
              <w:left w:val="nil"/>
              <w:bottom w:val="single" w:sz="4" w:space="0" w:color="auto"/>
              <w:right w:val="single" w:sz="4" w:space="0" w:color="auto"/>
            </w:tcBorders>
            <w:shd w:val="clear" w:color="auto" w:fill="auto"/>
            <w:noWrap/>
            <w:vAlign w:val="center"/>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50</w:t>
            </w:r>
          </w:p>
        </w:tc>
        <w:tc>
          <w:tcPr>
            <w:tcW w:w="756" w:type="dxa"/>
            <w:tcBorders>
              <w:top w:val="nil"/>
              <w:left w:val="nil"/>
              <w:bottom w:val="single" w:sz="4" w:space="0" w:color="auto"/>
              <w:right w:val="single" w:sz="4" w:space="0" w:color="auto"/>
            </w:tcBorders>
            <w:shd w:val="clear" w:color="auto" w:fill="auto"/>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8.9</w:t>
            </w:r>
          </w:p>
        </w:tc>
        <w:tc>
          <w:tcPr>
            <w:tcW w:w="709" w:type="dxa"/>
            <w:tcBorders>
              <w:top w:val="nil"/>
              <w:left w:val="nil"/>
              <w:bottom w:val="single" w:sz="4" w:space="0" w:color="auto"/>
              <w:right w:val="single" w:sz="4" w:space="0" w:color="auto"/>
            </w:tcBorders>
            <w:shd w:val="clear" w:color="auto" w:fill="auto"/>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17.5</w:t>
            </w:r>
          </w:p>
        </w:tc>
        <w:tc>
          <w:tcPr>
            <w:tcW w:w="709" w:type="dxa"/>
            <w:tcBorders>
              <w:top w:val="nil"/>
              <w:left w:val="nil"/>
              <w:bottom w:val="single" w:sz="4" w:space="0" w:color="auto"/>
              <w:right w:val="single" w:sz="4" w:space="0" w:color="auto"/>
            </w:tcBorders>
            <w:shd w:val="clear" w:color="000000" w:fill="009900"/>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21</w:t>
            </w:r>
          </w:p>
        </w:tc>
        <w:tc>
          <w:tcPr>
            <w:tcW w:w="750"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6.9</w:t>
            </w:r>
          </w:p>
        </w:tc>
        <w:tc>
          <w:tcPr>
            <w:tcW w:w="809"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13.1</w:t>
            </w:r>
          </w:p>
        </w:tc>
        <w:tc>
          <w:tcPr>
            <w:tcW w:w="567" w:type="dxa"/>
            <w:tcBorders>
              <w:top w:val="nil"/>
              <w:left w:val="nil"/>
              <w:bottom w:val="single" w:sz="4" w:space="0" w:color="auto"/>
              <w:right w:val="single" w:sz="4" w:space="0" w:color="auto"/>
            </w:tcBorders>
            <w:shd w:val="clear" w:color="000000" w:fill="99FF66"/>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29</w:t>
            </w:r>
          </w:p>
        </w:tc>
        <w:tc>
          <w:tcPr>
            <w:tcW w:w="750"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10.4</w:t>
            </w:r>
          </w:p>
        </w:tc>
        <w:tc>
          <w:tcPr>
            <w:tcW w:w="667"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20.1</w:t>
            </w:r>
          </w:p>
        </w:tc>
      </w:tr>
      <w:tr w:rsidR="000E7CCC" w:rsidRPr="000E7CCC">
        <w:trPr>
          <w:trHeight w:val="299"/>
        </w:trPr>
        <w:tc>
          <w:tcPr>
            <w:tcW w:w="2132" w:type="dxa"/>
            <w:tcBorders>
              <w:top w:val="nil"/>
              <w:left w:val="single" w:sz="4" w:space="0" w:color="auto"/>
              <w:bottom w:val="single" w:sz="4" w:space="0" w:color="auto"/>
              <w:right w:val="single" w:sz="4" w:space="0" w:color="auto"/>
            </w:tcBorders>
            <w:shd w:val="clear" w:color="auto" w:fill="auto"/>
            <w:noWrap/>
            <w:vAlign w:val="bottom"/>
          </w:tcPr>
          <w:p w:rsidR="001A5553" w:rsidRPr="000E7CCC" w:rsidRDefault="001A5553" w:rsidP="007B7761">
            <w:pPr>
              <w:spacing w:after="0" w:line="240" w:lineRule="auto"/>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Psychology</w:t>
            </w:r>
          </w:p>
        </w:tc>
        <w:tc>
          <w:tcPr>
            <w:tcW w:w="661" w:type="dxa"/>
            <w:tcBorders>
              <w:top w:val="nil"/>
              <w:left w:val="nil"/>
              <w:bottom w:val="single" w:sz="4" w:space="0" w:color="auto"/>
              <w:right w:val="single" w:sz="4" w:space="0" w:color="auto"/>
            </w:tcBorders>
            <w:shd w:val="clear" w:color="auto" w:fill="auto"/>
            <w:noWrap/>
            <w:vAlign w:val="center"/>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62</w:t>
            </w:r>
          </w:p>
        </w:tc>
        <w:tc>
          <w:tcPr>
            <w:tcW w:w="756" w:type="dxa"/>
            <w:tcBorders>
              <w:top w:val="nil"/>
              <w:left w:val="nil"/>
              <w:bottom w:val="single" w:sz="4" w:space="0" w:color="auto"/>
              <w:right w:val="single" w:sz="4" w:space="0" w:color="auto"/>
            </w:tcBorders>
            <w:shd w:val="clear" w:color="auto" w:fill="auto"/>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11.8</w:t>
            </w:r>
          </w:p>
        </w:tc>
        <w:tc>
          <w:tcPr>
            <w:tcW w:w="709" w:type="dxa"/>
            <w:tcBorders>
              <w:top w:val="nil"/>
              <w:left w:val="nil"/>
              <w:bottom w:val="single" w:sz="4" w:space="0" w:color="auto"/>
              <w:right w:val="single" w:sz="4" w:space="0" w:color="auto"/>
            </w:tcBorders>
            <w:shd w:val="clear" w:color="auto" w:fill="auto"/>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24.1</w:t>
            </w:r>
          </w:p>
        </w:tc>
        <w:tc>
          <w:tcPr>
            <w:tcW w:w="709" w:type="dxa"/>
            <w:tcBorders>
              <w:top w:val="nil"/>
              <w:left w:val="nil"/>
              <w:bottom w:val="single" w:sz="4" w:space="0" w:color="auto"/>
              <w:right w:val="single" w:sz="4" w:space="0" w:color="auto"/>
            </w:tcBorders>
            <w:shd w:val="clear" w:color="000000" w:fill="009900"/>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39</w:t>
            </w:r>
          </w:p>
        </w:tc>
        <w:tc>
          <w:tcPr>
            <w:tcW w:w="750"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7.4</w:t>
            </w:r>
          </w:p>
        </w:tc>
        <w:tc>
          <w:tcPr>
            <w:tcW w:w="809"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19.1</w:t>
            </w:r>
          </w:p>
        </w:tc>
        <w:tc>
          <w:tcPr>
            <w:tcW w:w="567" w:type="dxa"/>
            <w:tcBorders>
              <w:top w:val="nil"/>
              <w:left w:val="nil"/>
              <w:bottom w:val="single" w:sz="4" w:space="0" w:color="auto"/>
              <w:right w:val="single" w:sz="4" w:space="0" w:color="auto"/>
            </w:tcBorders>
            <w:shd w:val="clear" w:color="000000" w:fill="99FF66"/>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23</w:t>
            </w:r>
          </w:p>
        </w:tc>
        <w:tc>
          <w:tcPr>
            <w:tcW w:w="750"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19.1</w:t>
            </w:r>
          </w:p>
        </w:tc>
        <w:tc>
          <w:tcPr>
            <w:tcW w:w="667"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29.7</w:t>
            </w:r>
          </w:p>
        </w:tc>
      </w:tr>
      <w:tr w:rsidR="000E7CCC" w:rsidRPr="000E7CCC">
        <w:trPr>
          <w:trHeight w:val="299"/>
        </w:trPr>
        <w:tc>
          <w:tcPr>
            <w:tcW w:w="2132" w:type="dxa"/>
            <w:tcBorders>
              <w:top w:val="nil"/>
              <w:left w:val="single" w:sz="4" w:space="0" w:color="auto"/>
              <w:bottom w:val="single" w:sz="4" w:space="0" w:color="auto"/>
              <w:right w:val="single" w:sz="4" w:space="0" w:color="auto"/>
            </w:tcBorders>
            <w:shd w:val="clear" w:color="auto" w:fill="auto"/>
            <w:noWrap/>
            <w:vAlign w:val="bottom"/>
          </w:tcPr>
          <w:p w:rsidR="001A5553" w:rsidRPr="000E7CCC" w:rsidRDefault="001A5553" w:rsidP="007B7761">
            <w:pPr>
              <w:spacing w:after="0" w:line="240" w:lineRule="auto"/>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Social Sciences</w:t>
            </w:r>
          </w:p>
        </w:tc>
        <w:tc>
          <w:tcPr>
            <w:tcW w:w="661" w:type="dxa"/>
            <w:tcBorders>
              <w:top w:val="nil"/>
              <w:left w:val="nil"/>
              <w:bottom w:val="single" w:sz="4" w:space="0" w:color="auto"/>
              <w:right w:val="single" w:sz="4" w:space="0" w:color="auto"/>
            </w:tcBorders>
            <w:shd w:val="clear" w:color="auto" w:fill="auto"/>
            <w:noWrap/>
            <w:vAlign w:val="center"/>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73</w:t>
            </w:r>
          </w:p>
        </w:tc>
        <w:tc>
          <w:tcPr>
            <w:tcW w:w="756" w:type="dxa"/>
            <w:tcBorders>
              <w:top w:val="nil"/>
              <w:left w:val="nil"/>
              <w:bottom w:val="single" w:sz="4" w:space="0" w:color="auto"/>
              <w:right w:val="single" w:sz="4" w:space="0" w:color="auto"/>
            </w:tcBorders>
            <w:shd w:val="clear" w:color="auto" w:fill="auto"/>
            <w:noWrap/>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5.3</w:t>
            </w:r>
          </w:p>
        </w:tc>
        <w:tc>
          <w:tcPr>
            <w:tcW w:w="709" w:type="dxa"/>
            <w:tcBorders>
              <w:top w:val="nil"/>
              <w:left w:val="nil"/>
              <w:bottom w:val="single" w:sz="4" w:space="0" w:color="auto"/>
              <w:right w:val="single" w:sz="4" w:space="0" w:color="auto"/>
            </w:tcBorders>
            <w:shd w:val="clear" w:color="auto" w:fill="auto"/>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12.5</w:t>
            </w:r>
          </w:p>
        </w:tc>
        <w:tc>
          <w:tcPr>
            <w:tcW w:w="709" w:type="dxa"/>
            <w:tcBorders>
              <w:top w:val="nil"/>
              <w:left w:val="nil"/>
              <w:bottom w:val="single" w:sz="4" w:space="0" w:color="auto"/>
              <w:right w:val="single" w:sz="4" w:space="0" w:color="auto"/>
            </w:tcBorders>
            <w:shd w:val="clear" w:color="000000" w:fill="009900"/>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33</w:t>
            </w:r>
          </w:p>
        </w:tc>
        <w:tc>
          <w:tcPr>
            <w:tcW w:w="750"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4.9</w:t>
            </w:r>
          </w:p>
        </w:tc>
        <w:tc>
          <w:tcPr>
            <w:tcW w:w="809" w:type="dxa"/>
            <w:tcBorders>
              <w:top w:val="nil"/>
              <w:left w:val="nil"/>
              <w:bottom w:val="single" w:sz="4" w:space="0" w:color="auto"/>
              <w:right w:val="single" w:sz="4" w:space="0" w:color="auto"/>
            </w:tcBorders>
            <w:shd w:val="clear" w:color="000000" w:fill="009900"/>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13.7</w:t>
            </w:r>
          </w:p>
        </w:tc>
        <w:tc>
          <w:tcPr>
            <w:tcW w:w="567" w:type="dxa"/>
            <w:tcBorders>
              <w:top w:val="nil"/>
              <w:left w:val="nil"/>
              <w:bottom w:val="single" w:sz="4" w:space="0" w:color="auto"/>
              <w:right w:val="single" w:sz="4" w:space="0" w:color="auto"/>
            </w:tcBorders>
            <w:shd w:val="clear" w:color="000000" w:fill="99FF66"/>
            <w:noWrap/>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40</w:t>
            </w:r>
          </w:p>
        </w:tc>
        <w:tc>
          <w:tcPr>
            <w:tcW w:w="750"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b/>
                <w:bCs/>
                <w:color w:val="000000"/>
                <w:sz w:val="20"/>
                <w:szCs w:val="20"/>
                <w:lang w:eastAsia="en-CA"/>
              </w:rPr>
            </w:pPr>
            <w:r w:rsidRPr="000E7CCC">
              <w:rPr>
                <w:rFonts w:ascii="Arial" w:eastAsia="Times New Roman" w:hAnsi="Arial" w:cs="Times New Roman"/>
                <w:b/>
                <w:bCs/>
                <w:color w:val="000000"/>
                <w:sz w:val="20"/>
                <w:szCs w:val="20"/>
                <w:lang w:eastAsia="en-CA"/>
              </w:rPr>
              <w:t>5.7</w:t>
            </w:r>
          </w:p>
        </w:tc>
        <w:tc>
          <w:tcPr>
            <w:tcW w:w="667" w:type="dxa"/>
            <w:tcBorders>
              <w:top w:val="nil"/>
              <w:left w:val="nil"/>
              <w:bottom w:val="single" w:sz="4" w:space="0" w:color="auto"/>
              <w:right w:val="single" w:sz="4" w:space="0" w:color="auto"/>
            </w:tcBorders>
            <w:shd w:val="clear" w:color="000000" w:fill="99FF66"/>
            <w:vAlign w:val="bottom"/>
          </w:tcPr>
          <w:p w:rsidR="001A5553" w:rsidRPr="000E7CCC" w:rsidRDefault="001A5553" w:rsidP="000E7CCC">
            <w:pPr>
              <w:spacing w:after="0" w:line="240" w:lineRule="auto"/>
              <w:jc w:val="center"/>
              <w:rPr>
                <w:rFonts w:ascii="Arial" w:eastAsia="Times New Roman" w:hAnsi="Arial" w:cs="Times New Roman"/>
                <w:color w:val="000000"/>
                <w:sz w:val="20"/>
                <w:szCs w:val="20"/>
                <w:lang w:eastAsia="en-CA"/>
              </w:rPr>
            </w:pPr>
            <w:r w:rsidRPr="000E7CCC">
              <w:rPr>
                <w:rFonts w:ascii="Arial" w:eastAsia="Times New Roman" w:hAnsi="Arial" w:cs="Times New Roman"/>
                <w:color w:val="000000"/>
                <w:sz w:val="20"/>
                <w:szCs w:val="20"/>
                <w:lang w:eastAsia="en-CA"/>
              </w:rPr>
              <w:t>11.5</w:t>
            </w:r>
          </w:p>
        </w:tc>
      </w:tr>
    </w:tbl>
    <w:p w:rsidR="00E22B76" w:rsidRDefault="00E22B76" w:rsidP="001A5553">
      <w:pPr>
        <w:rPr>
          <w:rFonts w:ascii="Arial" w:hAnsi="Arial"/>
        </w:rPr>
      </w:pPr>
    </w:p>
    <w:p w:rsidR="00E22B76" w:rsidRDefault="00E22B76">
      <w:pPr>
        <w:rPr>
          <w:rFonts w:ascii="Arial" w:hAnsi="Arial"/>
        </w:rPr>
      </w:pPr>
      <w:r>
        <w:rPr>
          <w:rFonts w:ascii="Arial" w:hAnsi="Arial"/>
        </w:rPr>
        <w:br w:type="page"/>
      </w:r>
    </w:p>
    <w:p w:rsidR="001A5553" w:rsidRPr="005623CE" w:rsidRDefault="001A5553" w:rsidP="001A5553">
      <w:pPr>
        <w:rPr>
          <w:rFonts w:ascii="Arial" w:hAnsi="Arial"/>
        </w:rPr>
      </w:pPr>
    </w:p>
    <w:p w:rsidR="000E7CCC" w:rsidRDefault="000E7CCC" w:rsidP="001170A3">
      <w:pPr>
        <w:spacing w:after="0" w:line="240" w:lineRule="auto"/>
        <w:jc w:val="both"/>
        <w:rPr>
          <w:rFonts w:ascii="Arial" w:eastAsia="Times New Roman" w:hAnsi="Arial" w:cs="Times New Roman"/>
          <w:b/>
          <w:bCs/>
          <w:color w:val="000000"/>
          <w:lang w:eastAsia="en-CA"/>
        </w:rPr>
      </w:pPr>
      <w:r w:rsidRPr="005623CE">
        <w:rPr>
          <w:rFonts w:ascii="Arial" w:eastAsia="Times New Roman" w:hAnsi="Arial" w:cs="Times New Roman"/>
          <w:b/>
          <w:bCs/>
          <w:color w:val="000000"/>
          <w:lang w:eastAsia="en-CA"/>
        </w:rPr>
        <w:t xml:space="preserve">Table </w:t>
      </w:r>
      <w:r>
        <w:rPr>
          <w:rFonts w:ascii="Arial" w:eastAsia="Times New Roman" w:hAnsi="Arial" w:cs="Times New Roman"/>
          <w:b/>
          <w:bCs/>
          <w:color w:val="000000"/>
          <w:lang w:eastAsia="en-CA"/>
        </w:rPr>
        <w:t>3</w:t>
      </w:r>
      <w:r w:rsidRPr="005623CE">
        <w:rPr>
          <w:rFonts w:ascii="Arial" w:eastAsia="Times New Roman" w:hAnsi="Arial" w:cs="Times New Roman"/>
          <w:b/>
          <w:bCs/>
          <w:color w:val="000000"/>
          <w:lang w:eastAsia="en-CA"/>
        </w:rPr>
        <w:t xml:space="preserve">. Average </w:t>
      </w:r>
      <w:r>
        <w:rPr>
          <w:rFonts w:ascii="Arial" w:eastAsia="Times New Roman" w:hAnsi="Arial" w:cs="Times New Roman"/>
          <w:b/>
          <w:bCs/>
          <w:color w:val="000000"/>
          <w:lang w:eastAsia="en-CA"/>
        </w:rPr>
        <w:t xml:space="preserve">Citations </w:t>
      </w:r>
      <w:r w:rsidRPr="005623CE">
        <w:rPr>
          <w:rFonts w:ascii="Arial" w:eastAsia="Times New Roman" w:hAnsi="Arial" w:cs="Times New Roman"/>
          <w:b/>
          <w:bCs/>
          <w:color w:val="000000"/>
          <w:lang w:eastAsia="en-CA"/>
        </w:rPr>
        <w:t>for Public Access</w:t>
      </w:r>
      <w:r>
        <w:rPr>
          <w:rFonts w:ascii="Arial" w:eastAsia="Times New Roman" w:hAnsi="Arial" w:cs="Times New Roman"/>
          <w:b/>
          <w:bCs/>
          <w:color w:val="000000"/>
          <w:lang w:eastAsia="en-CA"/>
        </w:rPr>
        <w:t xml:space="preserve">, </w:t>
      </w:r>
      <w:r w:rsidRPr="005623CE">
        <w:rPr>
          <w:rFonts w:ascii="Arial" w:eastAsia="Times New Roman" w:hAnsi="Arial" w:cs="Times New Roman"/>
          <w:b/>
          <w:bCs/>
          <w:color w:val="000000"/>
          <w:lang w:eastAsia="en-CA"/>
        </w:rPr>
        <w:t>Restricted Access deposits</w:t>
      </w:r>
      <w:r w:rsidR="007B7761">
        <w:rPr>
          <w:rFonts w:ascii="Arial" w:eastAsia="Times New Roman" w:hAnsi="Arial" w:cs="Times New Roman"/>
          <w:b/>
          <w:bCs/>
          <w:color w:val="000000"/>
          <w:lang w:eastAsia="en-CA"/>
        </w:rPr>
        <w:t xml:space="preserve"> and Not D</w:t>
      </w:r>
      <w:r>
        <w:rPr>
          <w:rFonts w:ascii="Arial" w:eastAsia="Times New Roman" w:hAnsi="Arial" w:cs="Times New Roman"/>
          <w:b/>
          <w:bCs/>
          <w:color w:val="000000"/>
          <w:lang w:eastAsia="en-CA"/>
        </w:rPr>
        <w:t>eposited</w:t>
      </w:r>
      <w:r w:rsidRPr="005623CE">
        <w:rPr>
          <w:rFonts w:ascii="Arial" w:eastAsia="Times New Roman" w:hAnsi="Arial" w:cs="Times New Roman"/>
          <w:b/>
          <w:bCs/>
          <w:color w:val="000000"/>
          <w:lang w:eastAsia="en-CA"/>
        </w:rPr>
        <w:t xml:space="preserve"> </w:t>
      </w:r>
      <w:r>
        <w:rPr>
          <w:rFonts w:ascii="Arial" w:eastAsia="Times New Roman" w:hAnsi="Arial" w:cs="Times New Roman"/>
          <w:b/>
          <w:bCs/>
          <w:color w:val="000000"/>
          <w:lang w:eastAsia="en-CA"/>
        </w:rPr>
        <w:t>for publication span 2004-2012 a</w:t>
      </w:r>
      <w:r w:rsidRPr="005623CE">
        <w:rPr>
          <w:rFonts w:ascii="Arial" w:eastAsia="Times New Roman" w:hAnsi="Arial" w:cs="Times New Roman"/>
          <w:b/>
          <w:bCs/>
          <w:color w:val="000000"/>
          <w:lang w:eastAsia="en-CA"/>
        </w:rPr>
        <w:t>rticles by Discipline</w:t>
      </w:r>
    </w:p>
    <w:p w:rsidR="000E7CCC" w:rsidRPr="005623CE" w:rsidRDefault="000E7CCC" w:rsidP="000E7CCC">
      <w:pPr>
        <w:spacing w:after="0" w:line="240" w:lineRule="auto"/>
        <w:rPr>
          <w:rFonts w:ascii="Arial" w:eastAsia="Times New Roman" w:hAnsi="Arial" w:cs="Times New Roman"/>
          <w:b/>
          <w:bCs/>
          <w:color w:val="000000"/>
          <w:lang w:eastAsia="en-CA"/>
        </w:rPr>
      </w:pPr>
    </w:p>
    <w:tbl>
      <w:tblPr>
        <w:tblW w:w="9383" w:type="dxa"/>
        <w:tblInd w:w="103" w:type="dxa"/>
        <w:tblLook w:val="04A0"/>
      </w:tblPr>
      <w:tblGrid>
        <w:gridCol w:w="1449"/>
        <w:gridCol w:w="756"/>
        <w:gridCol w:w="635"/>
        <w:gridCol w:w="888"/>
        <w:gridCol w:w="786"/>
        <w:gridCol w:w="719"/>
        <w:gridCol w:w="521"/>
        <w:gridCol w:w="744"/>
        <w:gridCol w:w="795"/>
        <w:gridCol w:w="622"/>
        <w:gridCol w:w="752"/>
        <w:gridCol w:w="716"/>
      </w:tblGrid>
      <w:tr w:rsidR="008C429F" w:rsidRPr="001F5C54">
        <w:trPr>
          <w:trHeight w:val="267"/>
        </w:trPr>
        <w:tc>
          <w:tcPr>
            <w:tcW w:w="14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Discipline</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TOTAL N</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Avg Cit</w:t>
            </w:r>
          </w:p>
        </w:tc>
        <w:tc>
          <w:tcPr>
            <w:tcW w:w="2393" w:type="dxa"/>
            <w:gridSpan w:val="3"/>
            <w:tcBorders>
              <w:top w:val="single" w:sz="4" w:space="0" w:color="auto"/>
              <w:left w:val="nil"/>
              <w:bottom w:val="single" w:sz="4" w:space="0" w:color="auto"/>
              <w:right w:val="single" w:sz="4" w:space="0" w:color="000000"/>
            </w:tcBorders>
            <w:shd w:val="clear" w:color="000000" w:fill="009900"/>
            <w:noWrap/>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Public Access</w:t>
            </w:r>
          </w:p>
        </w:tc>
        <w:tc>
          <w:tcPr>
            <w:tcW w:w="2060" w:type="dxa"/>
            <w:gridSpan w:val="3"/>
            <w:tcBorders>
              <w:top w:val="single" w:sz="4" w:space="0" w:color="auto"/>
              <w:left w:val="nil"/>
              <w:bottom w:val="single" w:sz="4" w:space="0" w:color="auto"/>
              <w:right w:val="single" w:sz="4" w:space="0" w:color="000000"/>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Restricted Access</w:t>
            </w:r>
          </w:p>
        </w:tc>
        <w:tc>
          <w:tcPr>
            <w:tcW w:w="2090" w:type="dxa"/>
            <w:gridSpan w:val="3"/>
            <w:tcBorders>
              <w:top w:val="single" w:sz="4" w:space="0" w:color="auto"/>
              <w:left w:val="nil"/>
              <w:bottom w:val="single" w:sz="4" w:space="0" w:color="auto"/>
              <w:right w:val="single" w:sz="4" w:space="0" w:color="000000"/>
            </w:tcBorders>
            <w:shd w:val="clear" w:color="000000" w:fill="7F7F7F" w:themeFill="text1" w:themeFillTint="80"/>
            <w:noWrap/>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Not Deposited</w:t>
            </w:r>
          </w:p>
        </w:tc>
      </w:tr>
      <w:tr w:rsidR="008C429F" w:rsidRPr="001F5C54">
        <w:trPr>
          <w:trHeight w:val="267"/>
        </w:trPr>
        <w:tc>
          <w:tcPr>
            <w:tcW w:w="1449" w:type="dxa"/>
            <w:vMerge/>
            <w:tcBorders>
              <w:top w:val="single" w:sz="4" w:space="0" w:color="auto"/>
              <w:left w:val="single" w:sz="4" w:space="0" w:color="auto"/>
              <w:bottom w:val="single" w:sz="4" w:space="0" w:color="auto"/>
              <w:right w:val="single" w:sz="4" w:space="0" w:color="auto"/>
            </w:tcBorders>
            <w:vAlign w:val="center"/>
          </w:tcPr>
          <w:p w:rsidR="008C429F" w:rsidRPr="008C429F" w:rsidRDefault="008C429F" w:rsidP="008C429F">
            <w:pPr>
              <w:spacing w:after="0" w:line="240" w:lineRule="auto"/>
              <w:rPr>
                <w:rFonts w:ascii="Calibri" w:eastAsia="Times New Roman" w:hAnsi="Calibri" w:cs="Times New Roman"/>
                <w:b/>
                <w:bCs/>
                <w:color w:val="000000"/>
                <w:sz w:val="20"/>
                <w:szCs w:val="20"/>
                <w:lang w:eastAsia="en-C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8C429F" w:rsidRPr="008C429F" w:rsidRDefault="008C429F" w:rsidP="008C429F">
            <w:pPr>
              <w:spacing w:after="0" w:line="240" w:lineRule="auto"/>
              <w:rPr>
                <w:rFonts w:ascii="Calibri" w:eastAsia="Times New Roman" w:hAnsi="Calibri" w:cs="Times New Roman"/>
                <w:b/>
                <w:bCs/>
                <w:color w:val="000000"/>
                <w:sz w:val="20"/>
                <w:szCs w:val="20"/>
                <w:lang w:eastAsia="en-CA"/>
              </w:rPr>
            </w:pPr>
          </w:p>
        </w:tc>
        <w:tc>
          <w:tcPr>
            <w:tcW w:w="635" w:type="dxa"/>
            <w:vMerge/>
            <w:tcBorders>
              <w:top w:val="single" w:sz="4" w:space="0" w:color="auto"/>
              <w:left w:val="single" w:sz="4" w:space="0" w:color="auto"/>
              <w:bottom w:val="single" w:sz="4" w:space="0" w:color="auto"/>
              <w:right w:val="single" w:sz="4" w:space="0" w:color="auto"/>
            </w:tcBorders>
            <w:vAlign w:val="center"/>
          </w:tcPr>
          <w:p w:rsidR="008C429F" w:rsidRPr="008C429F" w:rsidRDefault="008C429F" w:rsidP="008C429F">
            <w:pPr>
              <w:spacing w:after="0" w:line="240" w:lineRule="auto"/>
              <w:rPr>
                <w:rFonts w:ascii="Calibri" w:eastAsia="Times New Roman" w:hAnsi="Calibri" w:cs="Times New Roman"/>
                <w:b/>
                <w:bCs/>
                <w:color w:val="000000"/>
                <w:sz w:val="20"/>
                <w:szCs w:val="20"/>
                <w:lang w:eastAsia="en-CA"/>
              </w:rPr>
            </w:pPr>
          </w:p>
        </w:tc>
        <w:tc>
          <w:tcPr>
            <w:tcW w:w="888"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N</w:t>
            </w:r>
          </w:p>
        </w:tc>
        <w:tc>
          <w:tcPr>
            <w:tcW w:w="786"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Avg Cit</w:t>
            </w:r>
          </w:p>
        </w:tc>
        <w:tc>
          <w:tcPr>
            <w:tcW w:w="719"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St. Dev.</w:t>
            </w:r>
          </w:p>
        </w:tc>
        <w:tc>
          <w:tcPr>
            <w:tcW w:w="521"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N</w:t>
            </w:r>
          </w:p>
        </w:tc>
        <w:tc>
          <w:tcPr>
            <w:tcW w:w="744"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Avg Cit</w:t>
            </w:r>
          </w:p>
        </w:tc>
        <w:tc>
          <w:tcPr>
            <w:tcW w:w="795"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St. Dev.</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N</w:t>
            </w:r>
          </w:p>
        </w:tc>
        <w:tc>
          <w:tcPr>
            <w:tcW w:w="752" w:type="dxa"/>
            <w:tcBorders>
              <w:top w:val="nil"/>
              <w:left w:val="nil"/>
              <w:bottom w:val="single" w:sz="4" w:space="0" w:color="auto"/>
              <w:right w:val="single" w:sz="4" w:space="0" w:color="auto"/>
            </w:tcBorders>
            <w:shd w:val="clear" w:color="000000" w:fill="7F7F7F" w:themeFill="text1" w:themeFillTint="80"/>
            <w:noWrap/>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Avg Cit</w:t>
            </w:r>
          </w:p>
        </w:tc>
        <w:tc>
          <w:tcPr>
            <w:tcW w:w="716" w:type="dxa"/>
            <w:tcBorders>
              <w:top w:val="nil"/>
              <w:left w:val="nil"/>
              <w:bottom w:val="single" w:sz="4" w:space="0" w:color="auto"/>
              <w:right w:val="single" w:sz="4" w:space="0" w:color="auto"/>
            </w:tcBorders>
            <w:shd w:val="clear" w:color="000000" w:fill="7F7F7F" w:themeFill="text1" w:themeFillTint="80"/>
            <w:noWrap/>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St. Dev.</w:t>
            </w:r>
          </w:p>
        </w:tc>
      </w:tr>
      <w:tr w:rsidR="008C429F" w:rsidRPr="001F5C54">
        <w:trPr>
          <w:trHeight w:val="267"/>
        </w:trPr>
        <w:tc>
          <w:tcPr>
            <w:tcW w:w="1449" w:type="dxa"/>
            <w:tcBorders>
              <w:top w:val="nil"/>
              <w:left w:val="single" w:sz="4" w:space="0" w:color="auto"/>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ALL DISCIPLINES</w:t>
            </w:r>
          </w:p>
        </w:tc>
        <w:tc>
          <w:tcPr>
            <w:tcW w:w="756"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5700</w:t>
            </w:r>
          </w:p>
        </w:tc>
        <w:tc>
          <w:tcPr>
            <w:tcW w:w="635"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7.9</w:t>
            </w:r>
          </w:p>
        </w:tc>
        <w:tc>
          <w:tcPr>
            <w:tcW w:w="888"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1569</w:t>
            </w:r>
          </w:p>
        </w:tc>
        <w:tc>
          <w:tcPr>
            <w:tcW w:w="786" w:type="dxa"/>
            <w:tcBorders>
              <w:top w:val="nil"/>
              <w:left w:val="nil"/>
              <w:bottom w:val="single" w:sz="4" w:space="0" w:color="auto"/>
              <w:right w:val="single" w:sz="4" w:space="0" w:color="auto"/>
            </w:tcBorders>
            <w:shd w:val="clear" w:color="000000" w:fill="00990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7.7</w:t>
            </w:r>
          </w:p>
        </w:tc>
        <w:tc>
          <w:tcPr>
            <w:tcW w:w="719" w:type="dxa"/>
            <w:tcBorders>
              <w:top w:val="nil"/>
              <w:left w:val="nil"/>
              <w:bottom w:val="single" w:sz="4" w:space="0" w:color="auto"/>
              <w:right w:val="single" w:sz="4" w:space="0" w:color="auto"/>
            </w:tcBorders>
            <w:shd w:val="clear" w:color="000000" w:fill="00990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7.0</w:t>
            </w:r>
          </w:p>
        </w:tc>
        <w:tc>
          <w:tcPr>
            <w:tcW w:w="521"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613</w:t>
            </w:r>
          </w:p>
        </w:tc>
        <w:tc>
          <w:tcPr>
            <w:tcW w:w="744" w:type="dxa"/>
            <w:tcBorders>
              <w:top w:val="nil"/>
              <w:left w:val="nil"/>
              <w:bottom w:val="single" w:sz="4" w:space="0" w:color="auto"/>
              <w:right w:val="single" w:sz="4" w:space="0" w:color="auto"/>
            </w:tcBorders>
            <w:shd w:val="clear" w:color="000000" w:fill="99FF66"/>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2.8</w:t>
            </w:r>
          </w:p>
        </w:tc>
        <w:tc>
          <w:tcPr>
            <w:tcW w:w="795" w:type="dxa"/>
            <w:tcBorders>
              <w:top w:val="nil"/>
              <w:left w:val="nil"/>
              <w:bottom w:val="single" w:sz="4" w:space="0" w:color="auto"/>
              <w:right w:val="single" w:sz="4" w:space="0" w:color="auto"/>
            </w:tcBorders>
            <w:shd w:val="clear" w:color="000000" w:fill="99FF66"/>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13.1</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3518</w:t>
            </w:r>
          </w:p>
        </w:tc>
        <w:tc>
          <w:tcPr>
            <w:tcW w:w="752"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8.9</w:t>
            </w:r>
          </w:p>
        </w:tc>
        <w:tc>
          <w:tcPr>
            <w:tcW w:w="716"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26.6</w:t>
            </w:r>
          </w:p>
        </w:tc>
      </w:tr>
      <w:tr w:rsidR="008C429F" w:rsidRPr="001F5C54">
        <w:trPr>
          <w:trHeight w:val="267"/>
        </w:trPr>
        <w:tc>
          <w:tcPr>
            <w:tcW w:w="1449" w:type="dxa"/>
            <w:tcBorders>
              <w:top w:val="nil"/>
              <w:left w:val="single" w:sz="4" w:space="0" w:color="auto"/>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Arts</w:t>
            </w:r>
          </w:p>
        </w:tc>
        <w:tc>
          <w:tcPr>
            <w:tcW w:w="756"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10</w:t>
            </w:r>
          </w:p>
        </w:tc>
        <w:tc>
          <w:tcPr>
            <w:tcW w:w="635"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1.7</w:t>
            </w:r>
          </w:p>
        </w:tc>
        <w:tc>
          <w:tcPr>
            <w:tcW w:w="888"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2</w:t>
            </w:r>
          </w:p>
        </w:tc>
        <w:tc>
          <w:tcPr>
            <w:tcW w:w="786" w:type="dxa"/>
            <w:tcBorders>
              <w:top w:val="nil"/>
              <w:left w:val="nil"/>
              <w:bottom w:val="single" w:sz="4" w:space="0" w:color="auto"/>
              <w:right w:val="single" w:sz="4" w:space="0" w:color="auto"/>
            </w:tcBorders>
            <w:shd w:val="clear" w:color="000000" w:fill="00990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0.5</w:t>
            </w:r>
          </w:p>
        </w:tc>
        <w:tc>
          <w:tcPr>
            <w:tcW w:w="719"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 </w:t>
            </w:r>
          </w:p>
        </w:tc>
        <w:tc>
          <w:tcPr>
            <w:tcW w:w="521"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 </w:t>
            </w:r>
          </w:p>
        </w:tc>
        <w:tc>
          <w:tcPr>
            <w:tcW w:w="744" w:type="dxa"/>
            <w:tcBorders>
              <w:top w:val="nil"/>
              <w:left w:val="nil"/>
              <w:bottom w:val="single" w:sz="4" w:space="0" w:color="auto"/>
              <w:right w:val="single" w:sz="4" w:space="0" w:color="auto"/>
            </w:tcBorders>
            <w:shd w:val="clear" w:color="000000" w:fill="99FF66"/>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 </w:t>
            </w:r>
          </w:p>
        </w:tc>
        <w:tc>
          <w:tcPr>
            <w:tcW w:w="795"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0.7</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8</w:t>
            </w:r>
          </w:p>
        </w:tc>
        <w:tc>
          <w:tcPr>
            <w:tcW w:w="752"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2.0</w:t>
            </w:r>
          </w:p>
        </w:tc>
        <w:tc>
          <w:tcPr>
            <w:tcW w:w="716"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3.6</w:t>
            </w:r>
          </w:p>
        </w:tc>
      </w:tr>
      <w:tr w:rsidR="008C429F" w:rsidRPr="001F5C54">
        <w:trPr>
          <w:trHeight w:val="267"/>
        </w:trPr>
        <w:tc>
          <w:tcPr>
            <w:tcW w:w="1449" w:type="dxa"/>
            <w:tcBorders>
              <w:top w:val="nil"/>
              <w:left w:val="single" w:sz="4" w:space="0" w:color="auto"/>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Biology</w:t>
            </w:r>
          </w:p>
        </w:tc>
        <w:tc>
          <w:tcPr>
            <w:tcW w:w="756"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308</w:t>
            </w:r>
          </w:p>
        </w:tc>
        <w:tc>
          <w:tcPr>
            <w:tcW w:w="635"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8.4</w:t>
            </w:r>
          </w:p>
        </w:tc>
        <w:tc>
          <w:tcPr>
            <w:tcW w:w="888"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105</w:t>
            </w:r>
          </w:p>
        </w:tc>
        <w:tc>
          <w:tcPr>
            <w:tcW w:w="786" w:type="dxa"/>
            <w:tcBorders>
              <w:top w:val="nil"/>
              <w:left w:val="nil"/>
              <w:bottom w:val="single" w:sz="4" w:space="0" w:color="auto"/>
              <w:right w:val="single" w:sz="4" w:space="0" w:color="auto"/>
            </w:tcBorders>
            <w:shd w:val="clear" w:color="000000" w:fill="00990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6.8</w:t>
            </w:r>
          </w:p>
        </w:tc>
        <w:tc>
          <w:tcPr>
            <w:tcW w:w="719"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5.4</w:t>
            </w:r>
          </w:p>
        </w:tc>
        <w:tc>
          <w:tcPr>
            <w:tcW w:w="521"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29</w:t>
            </w:r>
          </w:p>
        </w:tc>
        <w:tc>
          <w:tcPr>
            <w:tcW w:w="744" w:type="dxa"/>
            <w:tcBorders>
              <w:top w:val="nil"/>
              <w:left w:val="nil"/>
              <w:bottom w:val="single" w:sz="4" w:space="0" w:color="auto"/>
              <w:right w:val="single" w:sz="4" w:space="0" w:color="auto"/>
            </w:tcBorders>
            <w:shd w:val="clear" w:color="000000" w:fill="99FF66"/>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4.4</w:t>
            </w:r>
          </w:p>
        </w:tc>
        <w:tc>
          <w:tcPr>
            <w:tcW w:w="795"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8.8</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174</w:t>
            </w:r>
          </w:p>
        </w:tc>
        <w:tc>
          <w:tcPr>
            <w:tcW w:w="752"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10.1</w:t>
            </w:r>
          </w:p>
        </w:tc>
        <w:tc>
          <w:tcPr>
            <w:tcW w:w="716"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17.1</w:t>
            </w:r>
          </w:p>
        </w:tc>
      </w:tr>
      <w:tr w:rsidR="008C429F" w:rsidRPr="001F5C54">
        <w:trPr>
          <w:trHeight w:val="267"/>
        </w:trPr>
        <w:tc>
          <w:tcPr>
            <w:tcW w:w="1449" w:type="dxa"/>
            <w:tcBorders>
              <w:top w:val="nil"/>
              <w:left w:val="single" w:sz="4" w:space="0" w:color="auto"/>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Biomedical Research</w:t>
            </w:r>
          </w:p>
        </w:tc>
        <w:tc>
          <w:tcPr>
            <w:tcW w:w="756"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838</w:t>
            </w:r>
          </w:p>
        </w:tc>
        <w:tc>
          <w:tcPr>
            <w:tcW w:w="635"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11.4</w:t>
            </w:r>
          </w:p>
        </w:tc>
        <w:tc>
          <w:tcPr>
            <w:tcW w:w="888"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Arial" w:eastAsia="Times New Roman" w:hAnsi="Arial" w:cs="Arial"/>
                <w:color w:val="000000"/>
                <w:sz w:val="20"/>
                <w:szCs w:val="20"/>
                <w:lang w:eastAsia="en-CA"/>
              </w:rPr>
            </w:pPr>
            <w:r w:rsidRPr="008C429F">
              <w:rPr>
                <w:rFonts w:ascii="Arial" w:eastAsia="Times New Roman" w:hAnsi="Arial" w:cs="Arial"/>
                <w:color w:val="000000"/>
                <w:sz w:val="20"/>
                <w:szCs w:val="20"/>
                <w:lang w:eastAsia="en-CA"/>
              </w:rPr>
              <w:t>390</w:t>
            </w:r>
          </w:p>
        </w:tc>
        <w:tc>
          <w:tcPr>
            <w:tcW w:w="786" w:type="dxa"/>
            <w:tcBorders>
              <w:top w:val="nil"/>
              <w:left w:val="nil"/>
              <w:bottom w:val="single" w:sz="4" w:space="0" w:color="auto"/>
              <w:right w:val="single" w:sz="4" w:space="0" w:color="auto"/>
            </w:tcBorders>
            <w:shd w:val="clear" w:color="000000" w:fill="00990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10.0</w:t>
            </w:r>
          </w:p>
        </w:tc>
        <w:tc>
          <w:tcPr>
            <w:tcW w:w="719"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6.6</w:t>
            </w:r>
          </w:p>
        </w:tc>
        <w:tc>
          <w:tcPr>
            <w:tcW w:w="521"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51</w:t>
            </w:r>
          </w:p>
        </w:tc>
        <w:tc>
          <w:tcPr>
            <w:tcW w:w="744" w:type="dxa"/>
            <w:tcBorders>
              <w:top w:val="nil"/>
              <w:left w:val="nil"/>
              <w:bottom w:val="single" w:sz="4" w:space="0" w:color="auto"/>
              <w:right w:val="single" w:sz="4" w:space="0" w:color="auto"/>
            </w:tcBorders>
            <w:shd w:val="clear" w:color="000000" w:fill="99FF66"/>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3.7</w:t>
            </w:r>
          </w:p>
        </w:tc>
        <w:tc>
          <w:tcPr>
            <w:tcW w:w="795"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15.9</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397</w:t>
            </w:r>
          </w:p>
        </w:tc>
        <w:tc>
          <w:tcPr>
            <w:tcW w:w="752"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13.8</w:t>
            </w:r>
          </w:p>
        </w:tc>
        <w:tc>
          <w:tcPr>
            <w:tcW w:w="716"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46.8</w:t>
            </w:r>
          </w:p>
        </w:tc>
      </w:tr>
      <w:tr w:rsidR="008C429F" w:rsidRPr="001F5C54">
        <w:trPr>
          <w:trHeight w:val="267"/>
        </w:trPr>
        <w:tc>
          <w:tcPr>
            <w:tcW w:w="1449" w:type="dxa"/>
            <w:tcBorders>
              <w:top w:val="nil"/>
              <w:left w:val="single" w:sz="4" w:space="0" w:color="auto"/>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Chemistry</w:t>
            </w:r>
          </w:p>
        </w:tc>
        <w:tc>
          <w:tcPr>
            <w:tcW w:w="756"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883</w:t>
            </w:r>
          </w:p>
        </w:tc>
        <w:tc>
          <w:tcPr>
            <w:tcW w:w="635"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8.0</w:t>
            </w:r>
          </w:p>
        </w:tc>
        <w:tc>
          <w:tcPr>
            <w:tcW w:w="888"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Arial" w:eastAsia="Times New Roman" w:hAnsi="Arial" w:cs="Arial"/>
                <w:color w:val="000000"/>
                <w:sz w:val="20"/>
                <w:szCs w:val="20"/>
                <w:lang w:eastAsia="en-CA"/>
              </w:rPr>
            </w:pPr>
            <w:r w:rsidRPr="008C429F">
              <w:rPr>
                <w:rFonts w:ascii="Arial" w:eastAsia="Times New Roman" w:hAnsi="Arial" w:cs="Arial"/>
                <w:color w:val="000000"/>
                <w:sz w:val="20"/>
                <w:szCs w:val="20"/>
                <w:lang w:eastAsia="en-CA"/>
              </w:rPr>
              <w:t>249</w:t>
            </w:r>
          </w:p>
        </w:tc>
        <w:tc>
          <w:tcPr>
            <w:tcW w:w="786" w:type="dxa"/>
            <w:tcBorders>
              <w:top w:val="nil"/>
              <w:left w:val="nil"/>
              <w:bottom w:val="single" w:sz="4" w:space="0" w:color="auto"/>
              <w:right w:val="single" w:sz="4" w:space="0" w:color="auto"/>
            </w:tcBorders>
            <w:shd w:val="clear" w:color="000000" w:fill="00990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9.0</w:t>
            </w:r>
          </w:p>
        </w:tc>
        <w:tc>
          <w:tcPr>
            <w:tcW w:w="719"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5.2</w:t>
            </w:r>
          </w:p>
        </w:tc>
        <w:tc>
          <w:tcPr>
            <w:tcW w:w="521"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125</w:t>
            </w:r>
          </w:p>
        </w:tc>
        <w:tc>
          <w:tcPr>
            <w:tcW w:w="744" w:type="dxa"/>
            <w:tcBorders>
              <w:top w:val="nil"/>
              <w:left w:val="nil"/>
              <w:bottom w:val="single" w:sz="4" w:space="0" w:color="auto"/>
              <w:right w:val="single" w:sz="4" w:space="0" w:color="auto"/>
            </w:tcBorders>
            <w:shd w:val="clear" w:color="000000" w:fill="99FF66"/>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3.4</w:t>
            </w:r>
          </w:p>
        </w:tc>
        <w:tc>
          <w:tcPr>
            <w:tcW w:w="795"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10.9</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509</w:t>
            </w:r>
          </w:p>
        </w:tc>
        <w:tc>
          <w:tcPr>
            <w:tcW w:w="752"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8.7</w:t>
            </w:r>
          </w:p>
        </w:tc>
        <w:tc>
          <w:tcPr>
            <w:tcW w:w="716"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11.2</w:t>
            </w:r>
          </w:p>
        </w:tc>
      </w:tr>
      <w:tr w:rsidR="008C429F" w:rsidRPr="001F5C54">
        <w:trPr>
          <w:trHeight w:val="267"/>
        </w:trPr>
        <w:tc>
          <w:tcPr>
            <w:tcW w:w="1449" w:type="dxa"/>
            <w:tcBorders>
              <w:top w:val="nil"/>
              <w:left w:val="single" w:sz="4" w:space="0" w:color="auto"/>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Clinical Medicine</w:t>
            </w:r>
          </w:p>
        </w:tc>
        <w:tc>
          <w:tcPr>
            <w:tcW w:w="756"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624</w:t>
            </w:r>
          </w:p>
        </w:tc>
        <w:tc>
          <w:tcPr>
            <w:tcW w:w="635"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11.4</w:t>
            </w:r>
          </w:p>
        </w:tc>
        <w:tc>
          <w:tcPr>
            <w:tcW w:w="888"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Arial" w:eastAsia="Times New Roman" w:hAnsi="Arial" w:cs="Arial"/>
                <w:color w:val="000000"/>
                <w:sz w:val="20"/>
                <w:szCs w:val="20"/>
                <w:lang w:eastAsia="en-CA"/>
              </w:rPr>
            </w:pPr>
            <w:r w:rsidRPr="008C429F">
              <w:rPr>
                <w:rFonts w:ascii="Arial" w:eastAsia="Times New Roman" w:hAnsi="Arial" w:cs="Arial"/>
                <w:color w:val="000000"/>
                <w:sz w:val="20"/>
                <w:szCs w:val="20"/>
                <w:lang w:eastAsia="en-CA"/>
              </w:rPr>
              <w:t>165</w:t>
            </w:r>
          </w:p>
        </w:tc>
        <w:tc>
          <w:tcPr>
            <w:tcW w:w="786" w:type="dxa"/>
            <w:tcBorders>
              <w:top w:val="nil"/>
              <w:left w:val="nil"/>
              <w:bottom w:val="single" w:sz="4" w:space="0" w:color="auto"/>
              <w:right w:val="single" w:sz="4" w:space="0" w:color="auto"/>
            </w:tcBorders>
            <w:shd w:val="clear" w:color="000000" w:fill="00990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12.2</w:t>
            </w:r>
          </w:p>
        </w:tc>
        <w:tc>
          <w:tcPr>
            <w:tcW w:w="719"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8.0</w:t>
            </w:r>
          </w:p>
        </w:tc>
        <w:tc>
          <w:tcPr>
            <w:tcW w:w="521"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58</w:t>
            </w:r>
          </w:p>
        </w:tc>
        <w:tc>
          <w:tcPr>
            <w:tcW w:w="744" w:type="dxa"/>
            <w:tcBorders>
              <w:top w:val="nil"/>
              <w:left w:val="nil"/>
              <w:bottom w:val="single" w:sz="4" w:space="0" w:color="auto"/>
              <w:right w:val="single" w:sz="4" w:space="0" w:color="auto"/>
            </w:tcBorders>
            <w:shd w:val="clear" w:color="000000" w:fill="99FF66"/>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3.9</w:t>
            </w:r>
          </w:p>
        </w:tc>
        <w:tc>
          <w:tcPr>
            <w:tcW w:w="795"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19.6</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401</w:t>
            </w:r>
          </w:p>
        </w:tc>
        <w:tc>
          <w:tcPr>
            <w:tcW w:w="752"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12.1</w:t>
            </w:r>
          </w:p>
        </w:tc>
        <w:tc>
          <w:tcPr>
            <w:tcW w:w="716"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19.4</w:t>
            </w:r>
          </w:p>
        </w:tc>
      </w:tr>
      <w:tr w:rsidR="008C429F" w:rsidRPr="001F5C54">
        <w:trPr>
          <w:trHeight w:val="267"/>
        </w:trPr>
        <w:tc>
          <w:tcPr>
            <w:tcW w:w="1449" w:type="dxa"/>
            <w:tcBorders>
              <w:top w:val="nil"/>
              <w:left w:val="single" w:sz="4" w:space="0" w:color="auto"/>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Earth and Space</w:t>
            </w:r>
          </w:p>
        </w:tc>
        <w:tc>
          <w:tcPr>
            <w:tcW w:w="756"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175</w:t>
            </w:r>
          </w:p>
        </w:tc>
        <w:tc>
          <w:tcPr>
            <w:tcW w:w="635"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5.9</w:t>
            </w:r>
          </w:p>
        </w:tc>
        <w:tc>
          <w:tcPr>
            <w:tcW w:w="888"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46</w:t>
            </w:r>
          </w:p>
        </w:tc>
        <w:tc>
          <w:tcPr>
            <w:tcW w:w="786" w:type="dxa"/>
            <w:tcBorders>
              <w:top w:val="nil"/>
              <w:left w:val="nil"/>
              <w:bottom w:val="single" w:sz="4" w:space="0" w:color="auto"/>
              <w:right w:val="single" w:sz="4" w:space="0" w:color="auto"/>
            </w:tcBorders>
            <w:shd w:val="clear" w:color="000000" w:fill="00990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9.2</w:t>
            </w:r>
          </w:p>
        </w:tc>
        <w:tc>
          <w:tcPr>
            <w:tcW w:w="719"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2.1</w:t>
            </w:r>
          </w:p>
        </w:tc>
        <w:tc>
          <w:tcPr>
            <w:tcW w:w="521"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25</w:t>
            </w:r>
          </w:p>
        </w:tc>
        <w:tc>
          <w:tcPr>
            <w:tcW w:w="744" w:type="dxa"/>
            <w:tcBorders>
              <w:top w:val="nil"/>
              <w:left w:val="nil"/>
              <w:bottom w:val="single" w:sz="4" w:space="0" w:color="auto"/>
              <w:right w:val="single" w:sz="4" w:space="0" w:color="auto"/>
            </w:tcBorders>
            <w:shd w:val="clear" w:color="000000" w:fill="99FF66"/>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1.3</w:t>
            </w:r>
          </w:p>
        </w:tc>
        <w:tc>
          <w:tcPr>
            <w:tcW w:w="795"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16.1</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104</w:t>
            </w:r>
          </w:p>
        </w:tc>
        <w:tc>
          <w:tcPr>
            <w:tcW w:w="752"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5.5</w:t>
            </w:r>
          </w:p>
        </w:tc>
        <w:tc>
          <w:tcPr>
            <w:tcW w:w="716"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7.4</w:t>
            </w:r>
          </w:p>
        </w:tc>
      </w:tr>
      <w:tr w:rsidR="008C429F" w:rsidRPr="001F5C54">
        <w:trPr>
          <w:trHeight w:val="267"/>
        </w:trPr>
        <w:tc>
          <w:tcPr>
            <w:tcW w:w="1449" w:type="dxa"/>
            <w:tcBorders>
              <w:top w:val="nil"/>
              <w:left w:val="single" w:sz="4" w:space="0" w:color="auto"/>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 xml:space="preserve">Engineering </w:t>
            </w:r>
            <w:r w:rsidRPr="001F5C54">
              <w:rPr>
                <w:rFonts w:ascii="Calibri" w:eastAsia="Times New Roman" w:hAnsi="Calibri" w:cs="Times New Roman"/>
                <w:color w:val="000000"/>
                <w:sz w:val="20"/>
                <w:szCs w:val="20"/>
                <w:lang w:eastAsia="en-CA"/>
              </w:rPr>
              <w:t>&amp;</w:t>
            </w:r>
            <w:r w:rsidRPr="008C429F">
              <w:rPr>
                <w:rFonts w:ascii="Calibri" w:eastAsia="Times New Roman" w:hAnsi="Calibri" w:cs="Times New Roman"/>
                <w:color w:val="000000"/>
                <w:sz w:val="20"/>
                <w:szCs w:val="20"/>
                <w:lang w:eastAsia="en-CA"/>
              </w:rPr>
              <w:t xml:space="preserve"> Technology</w:t>
            </w:r>
          </w:p>
        </w:tc>
        <w:tc>
          <w:tcPr>
            <w:tcW w:w="756"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1264</w:t>
            </w:r>
          </w:p>
        </w:tc>
        <w:tc>
          <w:tcPr>
            <w:tcW w:w="635"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5.2</w:t>
            </w:r>
          </w:p>
        </w:tc>
        <w:tc>
          <w:tcPr>
            <w:tcW w:w="888"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Arial" w:eastAsia="Times New Roman" w:hAnsi="Arial" w:cs="Arial"/>
                <w:color w:val="000000"/>
                <w:sz w:val="20"/>
                <w:szCs w:val="20"/>
                <w:lang w:eastAsia="en-CA"/>
              </w:rPr>
            </w:pPr>
            <w:r w:rsidRPr="008C429F">
              <w:rPr>
                <w:rFonts w:ascii="Arial" w:eastAsia="Times New Roman" w:hAnsi="Arial" w:cs="Arial"/>
                <w:color w:val="000000"/>
                <w:sz w:val="20"/>
                <w:szCs w:val="20"/>
                <w:lang w:eastAsia="en-CA"/>
              </w:rPr>
              <w:t>341</w:t>
            </w:r>
          </w:p>
        </w:tc>
        <w:tc>
          <w:tcPr>
            <w:tcW w:w="786" w:type="dxa"/>
            <w:tcBorders>
              <w:top w:val="nil"/>
              <w:left w:val="nil"/>
              <w:bottom w:val="single" w:sz="4" w:space="0" w:color="auto"/>
              <w:right w:val="single" w:sz="4" w:space="0" w:color="auto"/>
            </w:tcBorders>
            <w:shd w:val="clear" w:color="000000" w:fill="00990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4.5</w:t>
            </w:r>
          </w:p>
        </w:tc>
        <w:tc>
          <w:tcPr>
            <w:tcW w:w="719"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11.1</w:t>
            </w:r>
          </w:p>
        </w:tc>
        <w:tc>
          <w:tcPr>
            <w:tcW w:w="521"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141</w:t>
            </w:r>
          </w:p>
        </w:tc>
        <w:tc>
          <w:tcPr>
            <w:tcW w:w="744" w:type="dxa"/>
            <w:tcBorders>
              <w:top w:val="nil"/>
              <w:left w:val="nil"/>
              <w:bottom w:val="single" w:sz="4" w:space="0" w:color="auto"/>
              <w:right w:val="single" w:sz="4" w:space="0" w:color="auto"/>
            </w:tcBorders>
            <w:shd w:val="clear" w:color="000000" w:fill="99FF66"/>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3.3</w:t>
            </w:r>
          </w:p>
        </w:tc>
        <w:tc>
          <w:tcPr>
            <w:tcW w:w="795"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7.5</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782</w:t>
            </w:r>
          </w:p>
        </w:tc>
        <w:tc>
          <w:tcPr>
            <w:tcW w:w="752"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5.8</w:t>
            </w:r>
          </w:p>
        </w:tc>
        <w:tc>
          <w:tcPr>
            <w:tcW w:w="716"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9.6</w:t>
            </w:r>
          </w:p>
        </w:tc>
      </w:tr>
      <w:tr w:rsidR="008C429F" w:rsidRPr="001F5C54">
        <w:trPr>
          <w:trHeight w:val="267"/>
        </w:trPr>
        <w:tc>
          <w:tcPr>
            <w:tcW w:w="1449" w:type="dxa"/>
            <w:tcBorders>
              <w:top w:val="nil"/>
              <w:left w:val="single" w:sz="4" w:space="0" w:color="auto"/>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Health</w:t>
            </w:r>
          </w:p>
        </w:tc>
        <w:tc>
          <w:tcPr>
            <w:tcW w:w="756"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70</w:t>
            </w:r>
          </w:p>
        </w:tc>
        <w:tc>
          <w:tcPr>
            <w:tcW w:w="635"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3.3</w:t>
            </w:r>
          </w:p>
        </w:tc>
        <w:tc>
          <w:tcPr>
            <w:tcW w:w="888"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14</w:t>
            </w:r>
          </w:p>
        </w:tc>
        <w:tc>
          <w:tcPr>
            <w:tcW w:w="786" w:type="dxa"/>
            <w:tcBorders>
              <w:top w:val="nil"/>
              <w:left w:val="nil"/>
              <w:bottom w:val="single" w:sz="4" w:space="0" w:color="auto"/>
              <w:right w:val="single" w:sz="4" w:space="0" w:color="auto"/>
            </w:tcBorders>
            <w:shd w:val="clear" w:color="000000" w:fill="00990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7.6</w:t>
            </w:r>
          </w:p>
        </w:tc>
        <w:tc>
          <w:tcPr>
            <w:tcW w:w="719"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1.4</w:t>
            </w:r>
          </w:p>
        </w:tc>
        <w:tc>
          <w:tcPr>
            <w:tcW w:w="521"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13</w:t>
            </w:r>
          </w:p>
        </w:tc>
        <w:tc>
          <w:tcPr>
            <w:tcW w:w="744" w:type="dxa"/>
            <w:tcBorders>
              <w:top w:val="nil"/>
              <w:left w:val="nil"/>
              <w:bottom w:val="single" w:sz="4" w:space="0" w:color="auto"/>
              <w:right w:val="single" w:sz="4" w:space="0" w:color="auto"/>
            </w:tcBorders>
            <w:shd w:val="clear" w:color="000000" w:fill="99FF66"/>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0.5</w:t>
            </w:r>
          </w:p>
        </w:tc>
        <w:tc>
          <w:tcPr>
            <w:tcW w:w="795"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18.5</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43</w:t>
            </w:r>
          </w:p>
        </w:tc>
        <w:tc>
          <w:tcPr>
            <w:tcW w:w="752"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3.0</w:t>
            </w:r>
          </w:p>
        </w:tc>
        <w:tc>
          <w:tcPr>
            <w:tcW w:w="716"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5.0</w:t>
            </w:r>
          </w:p>
        </w:tc>
      </w:tr>
      <w:tr w:rsidR="008C429F" w:rsidRPr="001F5C54">
        <w:trPr>
          <w:trHeight w:val="267"/>
        </w:trPr>
        <w:tc>
          <w:tcPr>
            <w:tcW w:w="1449" w:type="dxa"/>
            <w:tcBorders>
              <w:top w:val="nil"/>
              <w:left w:val="single" w:sz="4" w:space="0" w:color="auto"/>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Humanities</w:t>
            </w:r>
          </w:p>
        </w:tc>
        <w:tc>
          <w:tcPr>
            <w:tcW w:w="756"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21</w:t>
            </w:r>
          </w:p>
        </w:tc>
        <w:tc>
          <w:tcPr>
            <w:tcW w:w="635"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0.5</w:t>
            </w:r>
          </w:p>
        </w:tc>
        <w:tc>
          <w:tcPr>
            <w:tcW w:w="888"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w:t>
            </w:r>
          </w:p>
        </w:tc>
        <w:tc>
          <w:tcPr>
            <w:tcW w:w="786" w:type="dxa"/>
            <w:tcBorders>
              <w:top w:val="nil"/>
              <w:left w:val="nil"/>
              <w:bottom w:val="single" w:sz="4" w:space="0" w:color="auto"/>
              <w:right w:val="single" w:sz="4" w:space="0" w:color="auto"/>
            </w:tcBorders>
            <w:shd w:val="clear" w:color="000000" w:fill="00990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0.0</w:t>
            </w:r>
          </w:p>
        </w:tc>
        <w:tc>
          <w:tcPr>
            <w:tcW w:w="719"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Arial" w:eastAsia="Times New Roman" w:hAnsi="Arial" w:cs="Arial"/>
                <w:color w:val="000000"/>
                <w:sz w:val="20"/>
                <w:szCs w:val="20"/>
                <w:lang w:eastAsia="en-CA"/>
              </w:rPr>
            </w:pPr>
            <w:r w:rsidRPr="008C429F">
              <w:rPr>
                <w:rFonts w:ascii="Arial" w:eastAsia="Times New Roman" w:hAnsi="Arial" w:cs="Arial"/>
                <w:color w:val="000000"/>
                <w:sz w:val="20"/>
                <w:szCs w:val="20"/>
                <w:lang w:eastAsia="en-CA"/>
              </w:rPr>
              <w:t> </w:t>
            </w:r>
          </w:p>
        </w:tc>
        <w:tc>
          <w:tcPr>
            <w:tcW w:w="521"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 </w:t>
            </w:r>
          </w:p>
        </w:tc>
        <w:tc>
          <w:tcPr>
            <w:tcW w:w="744" w:type="dxa"/>
            <w:tcBorders>
              <w:top w:val="nil"/>
              <w:left w:val="nil"/>
              <w:bottom w:val="single" w:sz="4" w:space="0" w:color="auto"/>
              <w:right w:val="single" w:sz="4" w:space="0" w:color="auto"/>
            </w:tcBorders>
            <w:shd w:val="clear" w:color="000000" w:fill="99FF66"/>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 </w:t>
            </w:r>
          </w:p>
        </w:tc>
        <w:tc>
          <w:tcPr>
            <w:tcW w:w="795"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Arial" w:eastAsia="Times New Roman" w:hAnsi="Arial" w:cs="Arial"/>
                <w:color w:val="000000"/>
                <w:sz w:val="20"/>
                <w:szCs w:val="20"/>
                <w:lang w:eastAsia="en-CA"/>
              </w:rPr>
            </w:pPr>
            <w:r w:rsidRPr="008C429F">
              <w:rPr>
                <w:rFonts w:ascii="Arial" w:eastAsia="Times New Roman" w:hAnsi="Arial" w:cs="Arial"/>
                <w:color w:val="000000"/>
                <w:sz w:val="20"/>
                <w:szCs w:val="20"/>
                <w:lang w:eastAsia="en-CA"/>
              </w:rPr>
              <w:t> </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20</w:t>
            </w:r>
          </w:p>
        </w:tc>
        <w:tc>
          <w:tcPr>
            <w:tcW w:w="752"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0.6</w:t>
            </w:r>
          </w:p>
        </w:tc>
        <w:tc>
          <w:tcPr>
            <w:tcW w:w="716"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2.0</w:t>
            </w:r>
          </w:p>
        </w:tc>
      </w:tr>
      <w:tr w:rsidR="008C429F" w:rsidRPr="001F5C54">
        <w:trPr>
          <w:trHeight w:val="267"/>
        </w:trPr>
        <w:tc>
          <w:tcPr>
            <w:tcW w:w="1449" w:type="dxa"/>
            <w:tcBorders>
              <w:top w:val="nil"/>
              <w:left w:val="single" w:sz="4" w:space="0" w:color="auto"/>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Mathematics</w:t>
            </w:r>
          </w:p>
        </w:tc>
        <w:tc>
          <w:tcPr>
            <w:tcW w:w="756"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209</w:t>
            </w:r>
          </w:p>
        </w:tc>
        <w:tc>
          <w:tcPr>
            <w:tcW w:w="635"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2.1</w:t>
            </w:r>
          </w:p>
        </w:tc>
        <w:tc>
          <w:tcPr>
            <w:tcW w:w="888"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Arial" w:eastAsia="Times New Roman" w:hAnsi="Arial" w:cs="Arial"/>
                <w:color w:val="000000"/>
                <w:sz w:val="20"/>
                <w:szCs w:val="20"/>
                <w:lang w:eastAsia="en-CA"/>
              </w:rPr>
            </w:pPr>
            <w:r w:rsidRPr="008C429F">
              <w:rPr>
                <w:rFonts w:ascii="Arial" w:eastAsia="Times New Roman" w:hAnsi="Arial" w:cs="Arial"/>
                <w:color w:val="000000"/>
                <w:sz w:val="20"/>
                <w:szCs w:val="20"/>
                <w:lang w:eastAsia="en-CA"/>
              </w:rPr>
              <w:t>62</w:t>
            </w:r>
          </w:p>
        </w:tc>
        <w:tc>
          <w:tcPr>
            <w:tcW w:w="786" w:type="dxa"/>
            <w:tcBorders>
              <w:top w:val="nil"/>
              <w:left w:val="nil"/>
              <w:bottom w:val="single" w:sz="4" w:space="0" w:color="auto"/>
              <w:right w:val="single" w:sz="4" w:space="0" w:color="auto"/>
            </w:tcBorders>
            <w:shd w:val="clear" w:color="000000" w:fill="00990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1.5</w:t>
            </w:r>
          </w:p>
        </w:tc>
        <w:tc>
          <w:tcPr>
            <w:tcW w:w="719"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2.3</w:t>
            </w:r>
          </w:p>
        </w:tc>
        <w:tc>
          <w:tcPr>
            <w:tcW w:w="521"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22</w:t>
            </w:r>
          </w:p>
        </w:tc>
        <w:tc>
          <w:tcPr>
            <w:tcW w:w="744" w:type="dxa"/>
            <w:tcBorders>
              <w:top w:val="nil"/>
              <w:left w:val="nil"/>
              <w:bottom w:val="single" w:sz="4" w:space="0" w:color="auto"/>
              <w:right w:val="single" w:sz="4" w:space="0" w:color="auto"/>
            </w:tcBorders>
            <w:shd w:val="clear" w:color="000000" w:fill="99FF66"/>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1.4</w:t>
            </w:r>
          </w:p>
        </w:tc>
        <w:tc>
          <w:tcPr>
            <w:tcW w:w="795"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2.8</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125</w:t>
            </w:r>
          </w:p>
        </w:tc>
        <w:tc>
          <w:tcPr>
            <w:tcW w:w="752"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2.6</w:t>
            </w:r>
          </w:p>
        </w:tc>
        <w:tc>
          <w:tcPr>
            <w:tcW w:w="716"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4.1</w:t>
            </w:r>
          </w:p>
        </w:tc>
      </w:tr>
      <w:tr w:rsidR="008C429F" w:rsidRPr="001F5C54">
        <w:trPr>
          <w:trHeight w:val="267"/>
        </w:trPr>
        <w:tc>
          <w:tcPr>
            <w:tcW w:w="1449" w:type="dxa"/>
            <w:tcBorders>
              <w:top w:val="nil"/>
              <w:left w:val="single" w:sz="4" w:space="0" w:color="auto"/>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Physics</w:t>
            </w:r>
          </w:p>
        </w:tc>
        <w:tc>
          <w:tcPr>
            <w:tcW w:w="756"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722</w:t>
            </w:r>
          </w:p>
        </w:tc>
        <w:tc>
          <w:tcPr>
            <w:tcW w:w="635"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11.8</w:t>
            </w:r>
          </w:p>
        </w:tc>
        <w:tc>
          <w:tcPr>
            <w:tcW w:w="888"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Arial" w:eastAsia="Times New Roman" w:hAnsi="Arial" w:cs="Arial"/>
                <w:color w:val="000000"/>
                <w:sz w:val="20"/>
                <w:szCs w:val="20"/>
                <w:lang w:eastAsia="en-CA"/>
              </w:rPr>
            </w:pPr>
            <w:r w:rsidRPr="008C429F">
              <w:rPr>
                <w:rFonts w:ascii="Arial" w:eastAsia="Times New Roman" w:hAnsi="Arial" w:cs="Arial"/>
                <w:color w:val="000000"/>
                <w:sz w:val="20"/>
                <w:szCs w:val="20"/>
                <w:lang w:eastAsia="en-CA"/>
              </w:rPr>
              <w:t>101</w:t>
            </w:r>
          </w:p>
        </w:tc>
        <w:tc>
          <w:tcPr>
            <w:tcW w:w="786" w:type="dxa"/>
            <w:tcBorders>
              <w:top w:val="nil"/>
              <w:left w:val="nil"/>
              <w:bottom w:val="single" w:sz="4" w:space="0" w:color="auto"/>
              <w:right w:val="single" w:sz="4" w:space="0" w:color="auto"/>
            </w:tcBorders>
            <w:shd w:val="clear" w:color="000000" w:fill="00990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5.5</w:t>
            </w:r>
          </w:p>
        </w:tc>
        <w:tc>
          <w:tcPr>
            <w:tcW w:w="719"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3.9</w:t>
            </w:r>
          </w:p>
        </w:tc>
        <w:tc>
          <w:tcPr>
            <w:tcW w:w="521"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57</w:t>
            </w:r>
          </w:p>
        </w:tc>
        <w:tc>
          <w:tcPr>
            <w:tcW w:w="744" w:type="dxa"/>
            <w:tcBorders>
              <w:top w:val="nil"/>
              <w:left w:val="nil"/>
              <w:bottom w:val="single" w:sz="4" w:space="0" w:color="auto"/>
              <w:right w:val="single" w:sz="4" w:space="0" w:color="auto"/>
            </w:tcBorders>
            <w:shd w:val="clear" w:color="000000" w:fill="99FF66"/>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2.1</w:t>
            </w:r>
          </w:p>
        </w:tc>
        <w:tc>
          <w:tcPr>
            <w:tcW w:w="795"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12.8</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564</w:t>
            </w:r>
          </w:p>
        </w:tc>
        <w:tc>
          <w:tcPr>
            <w:tcW w:w="752"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13.9</w:t>
            </w:r>
          </w:p>
        </w:tc>
        <w:tc>
          <w:tcPr>
            <w:tcW w:w="716"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46.6</w:t>
            </w:r>
          </w:p>
        </w:tc>
      </w:tr>
      <w:tr w:rsidR="008C429F" w:rsidRPr="001F5C54">
        <w:trPr>
          <w:trHeight w:val="267"/>
        </w:trPr>
        <w:tc>
          <w:tcPr>
            <w:tcW w:w="1449" w:type="dxa"/>
            <w:tcBorders>
              <w:top w:val="nil"/>
              <w:left w:val="single" w:sz="4" w:space="0" w:color="auto"/>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Professional Fields</w:t>
            </w:r>
          </w:p>
        </w:tc>
        <w:tc>
          <w:tcPr>
            <w:tcW w:w="756"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167</w:t>
            </w:r>
          </w:p>
        </w:tc>
        <w:tc>
          <w:tcPr>
            <w:tcW w:w="635"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3.3</w:t>
            </w:r>
          </w:p>
        </w:tc>
        <w:tc>
          <w:tcPr>
            <w:tcW w:w="888"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21</w:t>
            </w:r>
          </w:p>
        </w:tc>
        <w:tc>
          <w:tcPr>
            <w:tcW w:w="786" w:type="dxa"/>
            <w:tcBorders>
              <w:top w:val="nil"/>
              <w:left w:val="nil"/>
              <w:bottom w:val="single" w:sz="4" w:space="0" w:color="auto"/>
              <w:right w:val="single" w:sz="4" w:space="0" w:color="auto"/>
            </w:tcBorders>
            <w:shd w:val="clear" w:color="000000" w:fill="00990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1.9</w:t>
            </w:r>
          </w:p>
        </w:tc>
        <w:tc>
          <w:tcPr>
            <w:tcW w:w="719"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1.8</w:t>
            </w:r>
          </w:p>
        </w:tc>
        <w:tc>
          <w:tcPr>
            <w:tcW w:w="521"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29</w:t>
            </w:r>
          </w:p>
        </w:tc>
        <w:tc>
          <w:tcPr>
            <w:tcW w:w="744" w:type="dxa"/>
            <w:tcBorders>
              <w:top w:val="nil"/>
              <w:left w:val="nil"/>
              <w:bottom w:val="single" w:sz="4" w:space="0" w:color="auto"/>
              <w:right w:val="single" w:sz="4" w:space="0" w:color="auto"/>
            </w:tcBorders>
            <w:shd w:val="clear" w:color="000000" w:fill="99FF66"/>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1.0</w:t>
            </w:r>
          </w:p>
        </w:tc>
        <w:tc>
          <w:tcPr>
            <w:tcW w:w="795"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4.0</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117</w:t>
            </w:r>
          </w:p>
        </w:tc>
        <w:tc>
          <w:tcPr>
            <w:tcW w:w="752"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4.1</w:t>
            </w:r>
          </w:p>
        </w:tc>
        <w:tc>
          <w:tcPr>
            <w:tcW w:w="716"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8.2</w:t>
            </w:r>
          </w:p>
        </w:tc>
      </w:tr>
      <w:tr w:rsidR="008C429F" w:rsidRPr="001F5C54">
        <w:trPr>
          <w:trHeight w:val="267"/>
        </w:trPr>
        <w:tc>
          <w:tcPr>
            <w:tcW w:w="1449" w:type="dxa"/>
            <w:tcBorders>
              <w:top w:val="nil"/>
              <w:left w:val="single" w:sz="4" w:space="0" w:color="auto"/>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Psychology</w:t>
            </w:r>
          </w:p>
        </w:tc>
        <w:tc>
          <w:tcPr>
            <w:tcW w:w="756"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211</w:t>
            </w:r>
          </w:p>
        </w:tc>
        <w:tc>
          <w:tcPr>
            <w:tcW w:w="635"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3.7</w:t>
            </w:r>
          </w:p>
        </w:tc>
        <w:tc>
          <w:tcPr>
            <w:tcW w:w="888"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Arial" w:eastAsia="Times New Roman" w:hAnsi="Arial" w:cs="Arial"/>
                <w:color w:val="000000"/>
                <w:sz w:val="20"/>
                <w:szCs w:val="20"/>
                <w:lang w:eastAsia="en-CA"/>
              </w:rPr>
            </w:pPr>
            <w:r w:rsidRPr="008C429F">
              <w:rPr>
                <w:rFonts w:ascii="Arial" w:eastAsia="Times New Roman" w:hAnsi="Arial" w:cs="Arial"/>
                <w:color w:val="000000"/>
                <w:sz w:val="20"/>
                <w:szCs w:val="20"/>
                <w:lang w:eastAsia="en-CA"/>
              </w:rPr>
              <w:t>39</w:t>
            </w:r>
          </w:p>
        </w:tc>
        <w:tc>
          <w:tcPr>
            <w:tcW w:w="786" w:type="dxa"/>
            <w:tcBorders>
              <w:top w:val="nil"/>
              <w:left w:val="nil"/>
              <w:bottom w:val="single" w:sz="4" w:space="0" w:color="auto"/>
              <w:right w:val="single" w:sz="4" w:space="0" w:color="auto"/>
            </w:tcBorders>
            <w:shd w:val="clear" w:color="000000" w:fill="00990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4.9</w:t>
            </w:r>
          </w:p>
        </w:tc>
        <w:tc>
          <w:tcPr>
            <w:tcW w:w="719"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2.3</w:t>
            </w:r>
          </w:p>
        </w:tc>
        <w:tc>
          <w:tcPr>
            <w:tcW w:w="521"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23</w:t>
            </w:r>
          </w:p>
        </w:tc>
        <w:tc>
          <w:tcPr>
            <w:tcW w:w="744" w:type="dxa"/>
            <w:tcBorders>
              <w:top w:val="nil"/>
              <w:left w:val="nil"/>
              <w:bottom w:val="single" w:sz="4" w:space="0" w:color="auto"/>
              <w:right w:val="single" w:sz="4" w:space="0" w:color="auto"/>
            </w:tcBorders>
            <w:shd w:val="clear" w:color="000000" w:fill="99FF66"/>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2.0</w:t>
            </w:r>
          </w:p>
        </w:tc>
        <w:tc>
          <w:tcPr>
            <w:tcW w:w="795"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9.1</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149</w:t>
            </w:r>
          </w:p>
        </w:tc>
        <w:tc>
          <w:tcPr>
            <w:tcW w:w="752"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3.6</w:t>
            </w:r>
          </w:p>
        </w:tc>
        <w:tc>
          <w:tcPr>
            <w:tcW w:w="716"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5.3</w:t>
            </w:r>
          </w:p>
        </w:tc>
      </w:tr>
      <w:tr w:rsidR="008C429F" w:rsidRPr="001F5C54">
        <w:trPr>
          <w:trHeight w:val="267"/>
        </w:trPr>
        <w:tc>
          <w:tcPr>
            <w:tcW w:w="1449" w:type="dxa"/>
            <w:tcBorders>
              <w:top w:val="nil"/>
              <w:left w:val="single" w:sz="4" w:space="0" w:color="auto"/>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Social Sciences</w:t>
            </w:r>
          </w:p>
        </w:tc>
        <w:tc>
          <w:tcPr>
            <w:tcW w:w="756"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198</w:t>
            </w:r>
          </w:p>
        </w:tc>
        <w:tc>
          <w:tcPr>
            <w:tcW w:w="635" w:type="dxa"/>
            <w:tcBorders>
              <w:top w:val="nil"/>
              <w:left w:val="nil"/>
              <w:bottom w:val="single" w:sz="4" w:space="0" w:color="auto"/>
              <w:right w:val="single" w:sz="4" w:space="0" w:color="auto"/>
            </w:tcBorders>
            <w:shd w:val="clear" w:color="auto" w:fill="auto"/>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4.1</w:t>
            </w:r>
          </w:p>
        </w:tc>
        <w:tc>
          <w:tcPr>
            <w:tcW w:w="888"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33</w:t>
            </w:r>
          </w:p>
        </w:tc>
        <w:tc>
          <w:tcPr>
            <w:tcW w:w="786" w:type="dxa"/>
            <w:tcBorders>
              <w:top w:val="nil"/>
              <w:left w:val="nil"/>
              <w:bottom w:val="single" w:sz="4" w:space="0" w:color="auto"/>
              <w:right w:val="single" w:sz="4" w:space="0" w:color="auto"/>
            </w:tcBorders>
            <w:shd w:val="clear" w:color="000000" w:fill="00990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5.0</w:t>
            </w:r>
          </w:p>
        </w:tc>
        <w:tc>
          <w:tcPr>
            <w:tcW w:w="719" w:type="dxa"/>
            <w:tcBorders>
              <w:top w:val="nil"/>
              <w:left w:val="nil"/>
              <w:bottom w:val="single" w:sz="4" w:space="0" w:color="auto"/>
              <w:right w:val="single" w:sz="4" w:space="0" w:color="auto"/>
            </w:tcBorders>
            <w:shd w:val="clear" w:color="000000" w:fill="00990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1.1</w:t>
            </w:r>
          </w:p>
        </w:tc>
        <w:tc>
          <w:tcPr>
            <w:tcW w:w="521"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40</w:t>
            </w:r>
          </w:p>
        </w:tc>
        <w:tc>
          <w:tcPr>
            <w:tcW w:w="744" w:type="dxa"/>
            <w:tcBorders>
              <w:top w:val="nil"/>
              <w:left w:val="nil"/>
              <w:bottom w:val="single" w:sz="4" w:space="0" w:color="auto"/>
              <w:right w:val="single" w:sz="4" w:space="0" w:color="auto"/>
            </w:tcBorders>
            <w:shd w:val="clear" w:color="000000" w:fill="99FF66"/>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0.8</w:t>
            </w:r>
          </w:p>
        </w:tc>
        <w:tc>
          <w:tcPr>
            <w:tcW w:w="795" w:type="dxa"/>
            <w:tcBorders>
              <w:top w:val="nil"/>
              <w:left w:val="nil"/>
              <w:bottom w:val="single" w:sz="4" w:space="0" w:color="auto"/>
              <w:right w:val="single" w:sz="4" w:space="0" w:color="auto"/>
            </w:tcBorders>
            <w:shd w:val="clear" w:color="000000" w:fill="99FF66"/>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7.7</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125</w:t>
            </w:r>
          </w:p>
        </w:tc>
        <w:tc>
          <w:tcPr>
            <w:tcW w:w="752"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b/>
                <w:bCs/>
                <w:color w:val="000000"/>
                <w:sz w:val="20"/>
                <w:szCs w:val="20"/>
                <w:lang w:eastAsia="en-CA"/>
              </w:rPr>
            </w:pPr>
            <w:r w:rsidRPr="008C429F">
              <w:rPr>
                <w:rFonts w:ascii="Calibri" w:eastAsia="Times New Roman" w:hAnsi="Calibri" w:cs="Times New Roman"/>
                <w:b/>
                <w:bCs/>
                <w:color w:val="000000"/>
                <w:sz w:val="20"/>
                <w:szCs w:val="20"/>
                <w:lang w:eastAsia="en-CA"/>
              </w:rPr>
              <w:t>4.9</w:t>
            </w:r>
          </w:p>
        </w:tc>
        <w:tc>
          <w:tcPr>
            <w:tcW w:w="716" w:type="dxa"/>
            <w:tcBorders>
              <w:top w:val="nil"/>
              <w:left w:val="nil"/>
              <w:bottom w:val="single" w:sz="4" w:space="0" w:color="auto"/>
              <w:right w:val="single" w:sz="4" w:space="0" w:color="auto"/>
            </w:tcBorders>
            <w:shd w:val="clear" w:color="000000" w:fill="7F7F7F" w:themeFill="text1" w:themeFillTint="80"/>
            <w:vAlign w:val="bottom"/>
          </w:tcPr>
          <w:p w:rsidR="008C429F" w:rsidRPr="008C429F" w:rsidRDefault="008C429F" w:rsidP="008C429F">
            <w:pPr>
              <w:spacing w:after="0" w:line="240" w:lineRule="auto"/>
              <w:jc w:val="center"/>
              <w:rPr>
                <w:rFonts w:ascii="Calibri" w:eastAsia="Times New Roman" w:hAnsi="Calibri" w:cs="Times New Roman"/>
                <w:color w:val="000000"/>
                <w:sz w:val="20"/>
                <w:szCs w:val="20"/>
                <w:lang w:eastAsia="en-CA"/>
              </w:rPr>
            </w:pPr>
            <w:r w:rsidRPr="008C429F">
              <w:rPr>
                <w:rFonts w:ascii="Calibri" w:eastAsia="Times New Roman" w:hAnsi="Calibri" w:cs="Times New Roman"/>
                <w:color w:val="000000"/>
                <w:sz w:val="20"/>
                <w:szCs w:val="20"/>
                <w:lang w:eastAsia="en-CA"/>
              </w:rPr>
              <w:t>10.8</w:t>
            </w:r>
          </w:p>
        </w:tc>
      </w:tr>
    </w:tbl>
    <w:p w:rsidR="000E7CCC" w:rsidRDefault="000E7CCC" w:rsidP="00BE19E2">
      <w:pPr>
        <w:rPr>
          <w:rFonts w:ascii="Arial" w:hAnsi="Arial"/>
        </w:rPr>
      </w:pPr>
    </w:p>
    <w:p w:rsidR="000E7CCC" w:rsidRDefault="000E7CCC" w:rsidP="00BE19E2">
      <w:pPr>
        <w:rPr>
          <w:rFonts w:ascii="Arial" w:hAnsi="Arial"/>
        </w:rPr>
      </w:pPr>
    </w:p>
    <w:p w:rsidR="000E7CCC" w:rsidRPr="005623CE" w:rsidRDefault="000E7CCC" w:rsidP="00BE19E2">
      <w:pPr>
        <w:rPr>
          <w:rFonts w:ascii="Arial" w:hAnsi="Arial"/>
        </w:rPr>
      </w:pPr>
    </w:p>
    <w:p w:rsidR="00483BA4" w:rsidRPr="005623CE" w:rsidRDefault="00483BA4" w:rsidP="00BE19E2">
      <w:pPr>
        <w:rPr>
          <w:rFonts w:ascii="Arial" w:hAnsi="Arial"/>
        </w:rPr>
      </w:pPr>
    </w:p>
    <w:p w:rsidR="00973EA7" w:rsidRPr="005623CE" w:rsidRDefault="00973EA7" w:rsidP="00BE19E2">
      <w:pPr>
        <w:rPr>
          <w:rFonts w:ascii="Arial" w:hAnsi="Arial"/>
        </w:rPr>
      </w:pPr>
    </w:p>
    <w:p w:rsidR="00973EA7" w:rsidRPr="005623CE" w:rsidRDefault="00973EA7" w:rsidP="00BE19E2">
      <w:pPr>
        <w:rPr>
          <w:rFonts w:ascii="Arial" w:hAnsi="Arial"/>
        </w:rPr>
      </w:pPr>
    </w:p>
    <w:p w:rsidR="00973EA7" w:rsidRPr="005623CE" w:rsidRDefault="00973EA7" w:rsidP="00BE19E2">
      <w:pPr>
        <w:rPr>
          <w:rFonts w:ascii="Arial" w:hAnsi="Arial"/>
        </w:rPr>
      </w:pPr>
    </w:p>
    <w:p w:rsidR="00973EA7" w:rsidRPr="005623CE" w:rsidRDefault="00973EA7" w:rsidP="00BE19E2">
      <w:pPr>
        <w:rPr>
          <w:rFonts w:ascii="Arial" w:hAnsi="Arial"/>
        </w:rPr>
      </w:pPr>
    </w:p>
    <w:p w:rsidR="00973EA7" w:rsidRPr="005623CE" w:rsidRDefault="00973EA7" w:rsidP="00BE19E2">
      <w:pPr>
        <w:rPr>
          <w:rFonts w:ascii="Arial" w:hAnsi="Arial"/>
        </w:rPr>
      </w:pPr>
    </w:p>
    <w:p w:rsidR="00973EA7" w:rsidRPr="005623CE" w:rsidRDefault="00973EA7" w:rsidP="00BE19E2">
      <w:pPr>
        <w:rPr>
          <w:rFonts w:ascii="Arial" w:hAnsi="Arial"/>
        </w:rPr>
      </w:pPr>
    </w:p>
    <w:p w:rsidR="00973EA7" w:rsidRDefault="00973EA7" w:rsidP="00BE19E2">
      <w:pPr>
        <w:rPr>
          <w:rFonts w:ascii="Arial" w:hAnsi="Arial"/>
        </w:rPr>
      </w:pPr>
    </w:p>
    <w:p w:rsidR="000E7CCC" w:rsidRPr="005623CE" w:rsidRDefault="000E7CCC" w:rsidP="00BE19E2">
      <w:pPr>
        <w:rPr>
          <w:rFonts w:ascii="Arial" w:hAnsi="Arial"/>
        </w:rPr>
      </w:pPr>
    </w:p>
    <w:p w:rsidR="001A5553" w:rsidRPr="007B7761" w:rsidRDefault="00632191" w:rsidP="007B7761">
      <w:pPr>
        <w:rPr>
          <w:rFonts w:ascii="Arial" w:hAnsi="Arial" w:cs="Times New Roman"/>
          <w:b/>
          <w:u w:val="single"/>
        </w:rPr>
      </w:pPr>
      <w:r w:rsidRPr="005623CE">
        <w:rPr>
          <w:rFonts w:ascii="Arial" w:hAnsi="Arial" w:cs="Times New Roman"/>
          <w:b/>
          <w:u w:val="single"/>
        </w:rPr>
        <w:t>Appendix 2</w:t>
      </w:r>
    </w:p>
    <w:p w:rsidR="00FE66E1" w:rsidRPr="005623CE" w:rsidRDefault="00632191" w:rsidP="001170A3">
      <w:pPr>
        <w:jc w:val="both"/>
        <w:rPr>
          <w:rFonts w:ascii="Arial" w:eastAsia="Times New Roman" w:hAnsi="Arial" w:cs="Times New Roman"/>
          <w:b/>
          <w:bCs/>
          <w:color w:val="000000"/>
          <w:lang w:eastAsia="en-CA"/>
        </w:rPr>
      </w:pPr>
      <w:r w:rsidRPr="005623CE">
        <w:rPr>
          <w:rFonts w:ascii="Arial" w:eastAsia="Times New Roman" w:hAnsi="Arial" w:cs="Times New Roman"/>
          <w:b/>
          <w:bCs/>
          <w:color w:val="000000"/>
          <w:lang w:eastAsia="en-CA"/>
        </w:rPr>
        <w:t xml:space="preserve">Table </w:t>
      </w:r>
      <w:r w:rsidR="007B7761">
        <w:rPr>
          <w:rFonts w:ascii="Arial" w:eastAsia="Times New Roman" w:hAnsi="Arial" w:cs="Times New Roman"/>
          <w:b/>
          <w:bCs/>
          <w:color w:val="000000"/>
          <w:lang w:eastAsia="en-CA"/>
        </w:rPr>
        <w:t>4</w:t>
      </w:r>
      <w:r w:rsidRPr="005623CE">
        <w:rPr>
          <w:rFonts w:ascii="Arial" w:eastAsia="Times New Roman" w:hAnsi="Arial" w:cs="Times New Roman"/>
          <w:b/>
          <w:bCs/>
          <w:color w:val="000000"/>
          <w:lang w:eastAsia="en-CA"/>
        </w:rPr>
        <w:t xml:space="preserve">. </w:t>
      </w:r>
      <w:r w:rsidR="007B7761" w:rsidRPr="005623CE">
        <w:rPr>
          <w:rFonts w:ascii="Arial" w:eastAsia="Times New Roman" w:hAnsi="Arial" w:cs="Times New Roman"/>
          <w:b/>
          <w:bCs/>
          <w:color w:val="000000"/>
          <w:lang w:eastAsia="en-CA"/>
        </w:rPr>
        <w:t>Percentage of U Minho ISI-indexed articles published in 2004-2012 deposited in Public Access [P</w:t>
      </w:r>
      <w:r w:rsidR="007B7761">
        <w:rPr>
          <w:rFonts w:ascii="Arial" w:eastAsia="Times New Roman" w:hAnsi="Arial" w:cs="Times New Roman"/>
          <w:b/>
          <w:bCs/>
          <w:color w:val="000000"/>
          <w:lang w:eastAsia="en-CA"/>
        </w:rPr>
        <w:t xml:space="preserve">A], Restricted Access [RA] or not </w:t>
      </w:r>
      <w:r w:rsidR="007B7761" w:rsidRPr="005623CE">
        <w:rPr>
          <w:rFonts w:ascii="Arial" w:eastAsia="Times New Roman" w:hAnsi="Arial" w:cs="Times New Roman"/>
          <w:b/>
          <w:bCs/>
          <w:color w:val="000000"/>
          <w:lang w:eastAsia="en-CA"/>
        </w:rPr>
        <w:t xml:space="preserve">deposited: Totals and by </w:t>
      </w:r>
      <w:r w:rsidR="007B7761">
        <w:rPr>
          <w:rFonts w:ascii="Arial" w:eastAsia="Times New Roman" w:hAnsi="Arial" w:cs="Times New Roman"/>
          <w:b/>
          <w:bCs/>
          <w:color w:val="000000"/>
          <w:lang w:eastAsia="en-CA"/>
        </w:rPr>
        <w:t>publication year</w:t>
      </w:r>
      <w:r w:rsidR="007B7761" w:rsidRPr="005623CE">
        <w:rPr>
          <w:rFonts w:ascii="Arial" w:eastAsia="Times New Roman" w:hAnsi="Arial" w:cs="Times New Roman"/>
          <w:b/>
          <w:bCs/>
          <w:color w:val="000000"/>
          <w:lang w:eastAsia="en-CA"/>
        </w:rPr>
        <w:t xml:space="preserve"> (measured September 2013)</w:t>
      </w:r>
    </w:p>
    <w:tbl>
      <w:tblPr>
        <w:tblW w:w="8085" w:type="dxa"/>
        <w:tblInd w:w="103" w:type="dxa"/>
        <w:tblLook w:val="04A0"/>
      </w:tblPr>
      <w:tblGrid>
        <w:gridCol w:w="1848"/>
        <w:gridCol w:w="851"/>
        <w:gridCol w:w="850"/>
        <w:gridCol w:w="851"/>
        <w:gridCol w:w="850"/>
        <w:gridCol w:w="851"/>
        <w:gridCol w:w="992"/>
        <w:gridCol w:w="992"/>
      </w:tblGrid>
      <w:tr w:rsidR="00632191" w:rsidRPr="007B7761">
        <w:trPr>
          <w:trHeight w:val="276"/>
        </w:trPr>
        <w:tc>
          <w:tcPr>
            <w:tcW w:w="18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32191" w:rsidRPr="007B7761" w:rsidRDefault="00632191" w:rsidP="00BE19E2">
            <w:pPr>
              <w:spacing w:after="0" w:line="240" w:lineRule="auto"/>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Publication Year</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Total</w:t>
            </w:r>
          </w:p>
        </w:tc>
        <w:tc>
          <w:tcPr>
            <w:tcW w:w="1701" w:type="dxa"/>
            <w:gridSpan w:val="2"/>
            <w:tcBorders>
              <w:top w:val="single" w:sz="4" w:space="0" w:color="auto"/>
              <w:left w:val="nil"/>
              <w:bottom w:val="single" w:sz="4" w:space="0" w:color="auto"/>
              <w:right w:val="single" w:sz="4" w:space="0" w:color="auto"/>
            </w:tcBorders>
            <w:shd w:val="clear" w:color="000000" w:fill="7F7F7F" w:themeFill="text1" w:themeFillTint="80"/>
            <w:noWrap/>
            <w:vAlign w:val="bottom"/>
          </w:tcPr>
          <w:p w:rsidR="00632191" w:rsidRPr="007B7761" w:rsidRDefault="00607C2E"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Not Deposited</w:t>
            </w:r>
          </w:p>
        </w:tc>
        <w:tc>
          <w:tcPr>
            <w:tcW w:w="1701" w:type="dxa"/>
            <w:gridSpan w:val="2"/>
            <w:tcBorders>
              <w:top w:val="single" w:sz="4" w:space="0" w:color="auto"/>
              <w:left w:val="nil"/>
              <w:bottom w:val="single" w:sz="4" w:space="0" w:color="auto"/>
              <w:right w:val="single" w:sz="4" w:space="0" w:color="auto"/>
            </w:tcBorders>
            <w:shd w:val="clear" w:color="000000" w:fill="00B050"/>
            <w:noWrap/>
            <w:vAlign w:val="bottom"/>
          </w:tcPr>
          <w:p w:rsidR="00632191" w:rsidRPr="007B7761" w:rsidRDefault="00607C2E"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Public Access</w:t>
            </w:r>
          </w:p>
        </w:tc>
        <w:tc>
          <w:tcPr>
            <w:tcW w:w="1984" w:type="dxa"/>
            <w:gridSpan w:val="2"/>
            <w:tcBorders>
              <w:top w:val="single" w:sz="4" w:space="0" w:color="auto"/>
              <w:left w:val="nil"/>
              <w:bottom w:val="single" w:sz="4" w:space="0" w:color="auto"/>
              <w:right w:val="single" w:sz="4" w:space="0" w:color="auto"/>
            </w:tcBorders>
            <w:shd w:val="clear" w:color="000000" w:fill="99FF66"/>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Restricted Access</w:t>
            </w:r>
          </w:p>
        </w:tc>
      </w:tr>
      <w:tr w:rsidR="00632191" w:rsidRPr="007B7761">
        <w:trPr>
          <w:trHeight w:val="276"/>
        </w:trPr>
        <w:tc>
          <w:tcPr>
            <w:tcW w:w="1848" w:type="dxa"/>
            <w:vMerge/>
            <w:tcBorders>
              <w:top w:val="single" w:sz="4" w:space="0" w:color="auto"/>
              <w:left w:val="single" w:sz="4" w:space="0" w:color="auto"/>
              <w:bottom w:val="single" w:sz="4" w:space="0" w:color="auto"/>
              <w:right w:val="single" w:sz="4" w:space="0" w:color="auto"/>
            </w:tcBorders>
            <w:vAlign w:val="center"/>
          </w:tcPr>
          <w:p w:rsidR="00632191" w:rsidRPr="007B7761" w:rsidRDefault="00632191" w:rsidP="00BE19E2">
            <w:pPr>
              <w:spacing w:after="0" w:line="240" w:lineRule="auto"/>
              <w:rPr>
                <w:rFonts w:ascii="Arial" w:eastAsia="Times New Roman" w:hAnsi="Arial" w:cs="Times New Roman"/>
                <w:b/>
                <w:bCs/>
                <w:color w:val="000000"/>
                <w:sz w:val="20"/>
                <w:szCs w:val="20"/>
                <w:lang w:eastAsia="en-CA"/>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N</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w:t>
            </w:r>
          </w:p>
        </w:tc>
        <w:tc>
          <w:tcPr>
            <w:tcW w:w="850" w:type="dxa"/>
            <w:tcBorders>
              <w:top w:val="nil"/>
              <w:left w:val="nil"/>
              <w:bottom w:val="single" w:sz="4" w:space="0" w:color="auto"/>
              <w:right w:val="single" w:sz="4" w:space="0" w:color="auto"/>
            </w:tcBorders>
            <w:shd w:val="clear" w:color="000000" w:fill="00B05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N</w:t>
            </w:r>
          </w:p>
        </w:tc>
        <w:tc>
          <w:tcPr>
            <w:tcW w:w="851" w:type="dxa"/>
            <w:tcBorders>
              <w:top w:val="nil"/>
              <w:left w:val="nil"/>
              <w:bottom w:val="single" w:sz="4" w:space="0" w:color="auto"/>
              <w:right w:val="single" w:sz="4" w:space="0" w:color="auto"/>
            </w:tcBorders>
            <w:shd w:val="clear" w:color="000000" w:fill="00B05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w:t>
            </w:r>
          </w:p>
        </w:tc>
        <w:tc>
          <w:tcPr>
            <w:tcW w:w="992" w:type="dxa"/>
            <w:tcBorders>
              <w:top w:val="nil"/>
              <w:left w:val="nil"/>
              <w:bottom w:val="single" w:sz="4" w:space="0" w:color="auto"/>
              <w:right w:val="single" w:sz="4" w:space="0" w:color="auto"/>
            </w:tcBorders>
            <w:shd w:val="clear" w:color="000000" w:fill="99FF66"/>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N</w:t>
            </w:r>
          </w:p>
        </w:tc>
        <w:tc>
          <w:tcPr>
            <w:tcW w:w="992" w:type="dxa"/>
            <w:tcBorders>
              <w:top w:val="nil"/>
              <w:left w:val="nil"/>
              <w:bottom w:val="single" w:sz="4" w:space="0" w:color="auto"/>
              <w:right w:val="single" w:sz="4" w:space="0" w:color="auto"/>
            </w:tcBorders>
            <w:shd w:val="clear" w:color="000000" w:fill="99FF66"/>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w:t>
            </w:r>
          </w:p>
        </w:tc>
      </w:tr>
      <w:tr w:rsidR="00632191" w:rsidRPr="007B7761">
        <w:trPr>
          <w:trHeight w:val="276"/>
        </w:trPr>
        <w:tc>
          <w:tcPr>
            <w:tcW w:w="1848" w:type="dxa"/>
            <w:tcBorders>
              <w:top w:val="nil"/>
              <w:left w:val="single" w:sz="4" w:space="0" w:color="auto"/>
              <w:bottom w:val="single" w:sz="4" w:space="0" w:color="auto"/>
              <w:right w:val="single" w:sz="4" w:space="0" w:color="auto"/>
            </w:tcBorders>
            <w:shd w:val="clear" w:color="auto" w:fill="auto"/>
            <w:noWrap/>
            <w:vAlign w:val="center"/>
          </w:tcPr>
          <w:p w:rsidR="00632191" w:rsidRPr="007B7761" w:rsidRDefault="00632191" w:rsidP="00BE19E2">
            <w:pPr>
              <w:spacing w:after="0" w:line="240" w:lineRule="auto"/>
              <w:rPr>
                <w:rFonts w:ascii="Arial" w:eastAsia="Times New Roman" w:hAnsi="Arial" w:cs="Times New Roman"/>
                <w:b/>
                <w:color w:val="000000"/>
                <w:sz w:val="20"/>
                <w:szCs w:val="20"/>
                <w:lang w:eastAsia="en-CA"/>
              </w:rPr>
            </w:pPr>
            <w:r w:rsidRPr="007B7761">
              <w:rPr>
                <w:rFonts w:ascii="Arial" w:eastAsia="Times New Roman" w:hAnsi="Arial" w:cs="Times New Roman"/>
                <w:b/>
                <w:color w:val="000000"/>
                <w:sz w:val="20"/>
                <w:szCs w:val="20"/>
                <w:lang w:eastAsia="en-CA"/>
              </w:rPr>
              <w:t>2004-2012</w:t>
            </w:r>
          </w:p>
        </w:tc>
        <w:tc>
          <w:tcPr>
            <w:tcW w:w="851" w:type="dxa"/>
            <w:tcBorders>
              <w:top w:val="nil"/>
              <w:left w:val="nil"/>
              <w:bottom w:val="single" w:sz="4" w:space="0" w:color="auto"/>
              <w:right w:val="single" w:sz="4" w:space="0" w:color="auto"/>
            </w:tcBorders>
            <w:shd w:val="clear" w:color="auto" w:fill="auto"/>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5700</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3518</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62%</w:t>
            </w:r>
          </w:p>
        </w:tc>
        <w:tc>
          <w:tcPr>
            <w:tcW w:w="850" w:type="dxa"/>
            <w:tcBorders>
              <w:top w:val="nil"/>
              <w:left w:val="nil"/>
              <w:bottom w:val="single" w:sz="4" w:space="0" w:color="auto"/>
              <w:right w:val="single" w:sz="4" w:space="0" w:color="auto"/>
            </w:tcBorders>
            <w:shd w:val="clear" w:color="000000" w:fill="00B05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1569</w:t>
            </w:r>
          </w:p>
        </w:tc>
        <w:tc>
          <w:tcPr>
            <w:tcW w:w="851" w:type="dxa"/>
            <w:tcBorders>
              <w:top w:val="nil"/>
              <w:left w:val="nil"/>
              <w:bottom w:val="single" w:sz="4" w:space="0" w:color="auto"/>
              <w:right w:val="single" w:sz="4" w:space="0" w:color="auto"/>
            </w:tcBorders>
            <w:shd w:val="clear" w:color="000000" w:fill="00B05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28%</w:t>
            </w:r>
          </w:p>
        </w:tc>
        <w:tc>
          <w:tcPr>
            <w:tcW w:w="992" w:type="dxa"/>
            <w:tcBorders>
              <w:top w:val="nil"/>
              <w:left w:val="nil"/>
              <w:bottom w:val="single" w:sz="4" w:space="0" w:color="auto"/>
              <w:right w:val="single" w:sz="4" w:space="0" w:color="auto"/>
            </w:tcBorders>
            <w:shd w:val="clear" w:color="000000" w:fill="99FF66"/>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613</w:t>
            </w:r>
          </w:p>
        </w:tc>
        <w:tc>
          <w:tcPr>
            <w:tcW w:w="992" w:type="dxa"/>
            <w:tcBorders>
              <w:top w:val="nil"/>
              <w:left w:val="nil"/>
              <w:bottom w:val="single" w:sz="4" w:space="0" w:color="auto"/>
              <w:right w:val="single" w:sz="4" w:space="0" w:color="auto"/>
            </w:tcBorders>
            <w:shd w:val="clear" w:color="000000" w:fill="99FF66"/>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11%</w:t>
            </w:r>
          </w:p>
        </w:tc>
      </w:tr>
      <w:tr w:rsidR="00632191" w:rsidRPr="007B7761">
        <w:trPr>
          <w:trHeight w:val="276"/>
        </w:trPr>
        <w:tc>
          <w:tcPr>
            <w:tcW w:w="1848" w:type="dxa"/>
            <w:tcBorders>
              <w:top w:val="nil"/>
              <w:left w:val="single" w:sz="4" w:space="0" w:color="auto"/>
              <w:bottom w:val="single" w:sz="4" w:space="0" w:color="auto"/>
              <w:right w:val="single" w:sz="4" w:space="0" w:color="auto"/>
            </w:tcBorders>
            <w:shd w:val="clear" w:color="auto" w:fill="auto"/>
            <w:noWrap/>
            <w:vAlign w:val="bottom"/>
          </w:tcPr>
          <w:p w:rsidR="00632191" w:rsidRPr="007B7761" w:rsidRDefault="00632191" w:rsidP="00BE19E2">
            <w:pPr>
              <w:spacing w:after="0" w:line="240" w:lineRule="auto"/>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2004</w:t>
            </w:r>
          </w:p>
        </w:tc>
        <w:tc>
          <w:tcPr>
            <w:tcW w:w="851" w:type="dxa"/>
            <w:tcBorders>
              <w:top w:val="nil"/>
              <w:left w:val="nil"/>
              <w:bottom w:val="single" w:sz="4" w:space="0" w:color="auto"/>
              <w:right w:val="single" w:sz="4" w:space="0" w:color="auto"/>
            </w:tcBorders>
            <w:shd w:val="clear" w:color="auto" w:fill="auto"/>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398</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264</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66%</w:t>
            </w:r>
          </w:p>
        </w:tc>
        <w:tc>
          <w:tcPr>
            <w:tcW w:w="850" w:type="dxa"/>
            <w:tcBorders>
              <w:top w:val="nil"/>
              <w:left w:val="nil"/>
              <w:bottom w:val="single" w:sz="4" w:space="0" w:color="auto"/>
              <w:right w:val="single" w:sz="4" w:space="0" w:color="auto"/>
            </w:tcBorders>
            <w:shd w:val="clear" w:color="000000" w:fill="00B050"/>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123</w:t>
            </w:r>
          </w:p>
        </w:tc>
        <w:tc>
          <w:tcPr>
            <w:tcW w:w="851" w:type="dxa"/>
            <w:tcBorders>
              <w:top w:val="nil"/>
              <w:left w:val="nil"/>
              <w:bottom w:val="single" w:sz="4" w:space="0" w:color="auto"/>
              <w:right w:val="single" w:sz="4" w:space="0" w:color="auto"/>
            </w:tcBorders>
            <w:shd w:val="clear" w:color="000000" w:fill="00B05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31%</w:t>
            </w:r>
          </w:p>
        </w:tc>
        <w:tc>
          <w:tcPr>
            <w:tcW w:w="992" w:type="dxa"/>
            <w:tcBorders>
              <w:top w:val="nil"/>
              <w:left w:val="nil"/>
              <w:bottom w:val="single" w:sz="4" w:space="0" w:color="auto"/>
              <w:right w:val="single" w:sz="4" w:space="0" w:color="auto"/>
            </w:tcBorders>
            <w:shd w:val="clear" w:color="000000" w:fill="99FF66"/>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11</w:t>
            </w:r>
          </w:p>
        </w:tc>
        <w:tc>
          <w:tcPr>
            <w:tcW w:w="992" w:type="dxa"/>
            <w:tcBorders>
              <w:top w:val="nil"/>
              <w:left w:val="nil"/>
              <w:bottom w:val="single" w:sz="4" w:space="0" w:color="auto"/>
              <w:right w:val="single" w:sz="4" w:space="0" w:color="auto"/>
            </w:tcBorders>
            <w:shd w:val="clear" w:color="000000" w:fill="99FF66"/>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3%</w:t>
            </w:r>
          </w:p>
        </w:tc>
      </w:tr>
      <w:tr w:rsidR="00632191" w:rsidRPr="007B7761">
        <w:trPr>
          <w:trHeight w:val="276"/>
        </w:trPr>
        <w:tc>
          <w:tcPr>
            <w:tcW w:w="1848" w:type="dxa"/>
            <w:tcBorders>
              <w:top w:val="nil"/>
              <w:left w:val="single" w:sz="4" w:space="0" w:color="auto"/>
              <w:bottom w:val="single" w:sz="4" w:space="0" w:color="auto"/>
              <w:right w:val="single" w:sz="4" w:space="0" w:color="auto"/>
            </w:tcBorders>
            <w:shd w:val="clear" w:color="auto" w:fill="auto"/>
            <w:noWrap/>
            <w:vAlign w:val="bottom"/>
          </w:tcPr>
          <w:p w:rsidR="00632191" w:rsidRPr="007B7761" w:rsidRDefault="00632191" w:rsidP="00BE19E2">
            <w:pPr>
              <w:spacing w:after="0" w:line="240" w:lineRule="auto"/>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2005</w:t>
            </w:r>
          </w:p>
        </w:tc>
        <w:tc>
          <w:tcPr>
            <w:tcW w:w="851" w:type="dxa"/>
            <w:tcBorders>
              <w:top w:val="nil"/>
              <w:left w:val="nil"/>
              <w:bottom w:val="single" w:sz="4" w:space="0" w:color="auto"/>
              <w:right w:val="single" w:sz="4" w:space="0" w:color="auto"/>
            </w:tcBorders>
            <w:shd w:val="clear" w:color="auto" w:fill="auto"/>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380</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227</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60%</w:t>
            </w:r>
          </w:p>
        </w:tc>
        <w:tc>
          <w:tcPr>
            <w:tcW w:w="850" w:type="dxa"/>
            <w:tcBorders>
              <w:top w:val="nil"/>
              <w:left w:val="nil"/>
              <w:bottom w:val="single" w:sz="4" w:space="0" w:color="auto"/>
              <w:right w:val="single" w:sz="4" w:space="0" w:color="auto"/>
            </w:tcBorders>
            <w:shd w:val="clear" w:color="000000" w:fill="00B050"/>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131</w:t>
            </w:r>
          </w:p>
        </w:tc>
        <w:tc>
          <w:tcPr>
            <w:tcW w:w="851" w:type="dxa"/>
            <w:tcBorders>
              <w:top w:val="nil"/>
              <w:left w:val="nil"/>
              <w:bottom w:val="single" w:sz="4" w:space="0" w:color="auto"/>
              <w:right w:val="single" w:sz="4" w:space="0" w:color="auto"/>
            </w:tcBorders>
            <w:shd w:val="clear" w:color="000000" w:fill="00B05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34%</w:t>
            </w:r>
          </w:p>
        </w:tc>
        <w:tc>
          <w:tcPr>
            <w:tcW w:w="992" w:type="dxa"/>
            <w:tcBorders>
              <w:top w:val="nil"/>
              <w:left w:val="nil"/>
              <w:bottom w:val="single" w:sz="4" w:space="0" w:color="auto"/>
              <w:right w:val="single" w:sz="4" w:space="0" w:color="auto"/>
            </w:tcBorders>
            <w:shd w:val="clear" w:color="000000" w:fill="99FF66"/>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22</w:t>
            </w:r>
          </w:p>
        </w:tc>
        <w:tc>
          <w:tcPr>
            <w:tcW w:w="992" w:type="dxa"/>
            <w:tcBorders>
              <w:top w:val="nil"/>
              <w:left w:val="nil"/>
              <w:bottom w:val="single" w:sz="4" w:space="0" w:color="auto"/>
              <w:right w:val="single" w:sz="4" w:space="0" w:color="auto"/>
            </w:tcBorders>
            <w:shd w:val="clear" w:color="000000" w:fill="99FF66"/>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6%</w:t>
            </w:r>
          </w:p>
        </w:tc>
      </w:tr>
      <w:tr w:rsidR="00632191" w:rsidRPr="007B7761">
        <w:trPr>
          <w:trHeight w:val="276"/>
        </w:trPr>
        <w:tc>
          <w:tcPr>
            <w:tcW w:w="1848" w:type="dxa"/>
            <w:tcBorders>
              <w:top w:val="nil"/>
              <w:left w:val="single" w:sz="4" w:space="0" w:color="auto"/>
              <w:bottom w:val="single" w:sz="4" w:space="0" w:color="auto"/>
              <w:right w:val="single" w:sz="4" w:space="0" w:color="auto"/>
            </w:tcBorders>
            <w:shd w:val="clear" w:color="auto" w:fill="auto"/>
            <w:noWrap/>
            <w:vAlign w:val="bottom"/>
          </w:tcPr>
          <w:p w:rsidR="00632191" w:rsidRPr="007B7761" w:rsidRDefault="00632191" w:rsidP="00BE19E2">
            <w:pPr>
              <w:spacing w:after="0" w:line="240" w:lineRule="auto"/>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2006</w:t>
            </w:r>
          </w:p>
        </w:tc>
        <w:tc>
          <w:tcPr>
            <w:tcW w:w="851" w:type="dxa"/>
            <w:tcBorders>
              <w:top w:val="nil"/>
              <w:left w:val="nil"/>
              <w:bottom w:val="single" w:sz="4" w:space="0" w:color="auto"/>
              <w:right w:val="single" w:sz="4" w:space="0" w:color="auto"/>
            </w:tcBorders>
            <w:shd w:val="clear" w:color="auto" w:fill="auto"/>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508</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333</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66%</w:t>
            </w:r>
          </w:p>
        </w:tc>
        <w:tc>
          <w:tcPr>
            <w:tcW w:w="850" w:type="dxa"/>
            <w:tcBorders>
              <w:top w:val="nil"/>
              <w:left w:val="nil"/>
              <w:bottom w:val="single" w:sz="4" w:space="0" w:color="auto"/>
              <w:right w:val="single" w:sz="4" w:space="0" w:color="auto"/>
            </w:tcBorders>
            <w:shd w:val="clear" w:color="000000" w:fill="00B050"/>
            <w:noWrap/>
            <w:vAlign w:val="bottom"/>
          </w:tcPr>
          <w:p w:rsidR="00632191" w:rsidRPr="007B7761" w:rsidRDefault="00632191" w:rsidP="007B7761">
            <w:pPr>
              <w:spacing w:after="0" w:line="240" w:lineRule="auto"/>
              <w:jc w:val="center"/>
              <w:rPr>
                <w:rFonts w:ascii="Arial" w:eastAsia="Times New Roman" w:hAnsi="Arial" w:cs="Arial"/>
                <w:color w:val="000000"/>
                <w:sz w:val="20"/>
                <w:szCs w:val="20"/>
                <w:lang w:eastAsia="en-CA"/>
              </w:rPr>
            </w:pPr>
            <w:r w:rsidRPr="007B7761">
              <w:rPr>
                <w:rFonts w:ascii="Arial" w:eastAsia="Times New Roman" w:hAnsi="Arial" w:cs="Arial"/>
                <w:color w:val="000000"/>
                <w:sz w:val="20"/>
                <w:szCs w:val="20"/>
                <w:lang w:eastAsia="en-CA"/>
              </w:rPr>
              <w:t>137</w:t>
            </w:r>
          </w:p>
        </w:tc>
        <w:tc>
          <w:tcPr>
            <w:tcW w:w="851" w:type="dxa"/>
            <w:tcBorders>
              <w:top w:val="nil"/>
              <w:left w:val="nil"/>
              <w:bottom w:val="single" w:sz="4" w:space="0" w:color="auto"/>
              <w:right w:val="single" w:sz="4" w:space="0" w:color="auto"/>
            </w:tcBorders>
            <w:shd w:val="clear" w:color="000000" w:fill="00B05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27%</w:t>
            </w:r>
          </w:p>
        </w:tc>
        <w:tc>
          <w:tcPr>
            <w:tcW w:w="992" w:type="dxa"/>
            <w:tcBorders>
              <w:top w:val="nil"/>
              <w:left w:val="nil"/>
              <w:bottom w:val="single" w:sz="4" w:space="0" w:color="auto"/>
              <w:right w:val="single" w:sz="4" w:space="0" w:color="auto"/>
            </w:tcBorders>
            <w:shd w:val="clear" w:color="000000" w:fill="99FF66"/>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38</w:t>
            </w:r>
          </w:p>
        </w:tc>
        <w:tc>
          <w:tcPr>
            <w:tcW w:w="992" w:type="dxa"/>
            <w:tcBorders>
              <w:top w:val="nil"/>
              <w:left w:val="nil"/>
              <w:bottom w:val="single" w:sz="4" w:space="0" w:color="auto"/>
              <w:right w:val="single" w:sz="4" w:space="0" w:color="auto"/>
            </w:tcBorders>
            <w:shd w:val="clear" w:color="000000" w:fill="99FF66"/>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7%</w:t>
            </w:r>
          </w:p>
        </w:tc>
      </w:tr>
      <w:tr w:rsidR="00632191" w:rsidRPr="007B7761">
        <w:trPr>
          <w:trHeight w:val="276"/>
        </w:trPr>
        <w:tc>
          <w:tcPr>
            <w:tcW w:w="1848" w:type="dxa"/>
            <w:tcBorders>
              <w:top w:val="nil"/>
              <w:left w:val="single" w:sz="4" w:space="0" w:color="auto"/>
              <w:bottom w:val="single" w:sz="4" w:space="0" w:color="auto"/>
              <w:right w:val="single" w:sz="4" w:space="0" w:color="auto"/>
            </w:tcBorders>
            <w:shd w:val="clear" w:color="auto" w:fill="auto"/>
            <w:noWrap/>
            <w:vAlign w:val="bottom"/>
          </w:tcPr>
          <w:p w:rsidR="00632191" w:rsidRPr="007B7761" w:rsidRDefault="00632191" w:rsidP="00BE19E2">
            <w:pPr>
              <w:spacing w:after="0" w:line="240" w:lineRule="auto"/>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2007</w:t>
            </w:r>
          </w:p>
        </w:tc>
        <w:tc>
          <w:tcPr>
            <w:tcW w:w="851" w:type="dxa"/>
            <w:tcBorders>
              <w:top w:val="nil"/>
              <w:left w:val="nil"/>
              <w:bottom w:val="single" w:sz="4" w:space="0" w:color="auto"/>
              <w:right w:val="single" w:sz="4" w:space="0" w:color="auto"/>
            </w:tcBorders>
            <w:shd w:val="clear" w:color="auto" w:fill="auto"/>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494</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343</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69%</w:t>
            </w:r>
          </w:p>
        </w:tc>
        <w:tc>
          <w:tcPr>
            <w:tcW w:w="850" w:type="dxa"/>
            <w:tcBorders>
              <w:top w:val="nil"/>
              <w:left w:val="nil"/>
              <w:bottom w:val="single" w:sz="4" w:space="0" w:color="auto"/>
              <w:right w:val="single" w:sz="4" w:space="0" w:color="auto"/>
            </w:tcBorders>
            <w:shd w:val="clear" w:color="000000" w:fill="00B050"/>
            <w:noWrap/>
            <w:vAlign w:val="bottom"/>
          </w:tcPr>
          <w:p w:rsidR="00632191" w:rsidRPr="007B7761" w:rsidRDefault="00632191" w:rsidP="007B7761">
            <w:pPr>
              <w:spacing w:after="0" w:line="240" w:lineRule="auto"/>
              <w:jc w:val="center"/>
              <w:rPr>
                <w:rFonts w:ascii="Arial" w:eastAsia="Times New Roman" w:hAnsi="Arial" w:cs="Arial"/>
                <w:color w:val="000000"/>
                <w:sz w:val="20"/>
                <w:szCs w:val="20"/>
                <w:lang w:eastAsia="en-CA"/>
              </w:rPr>
            </w:pPr>
            <w:r w:rsidRPr="007B7761">
              <w:rPr>
                <w:rFonts w:ascii="Arial" w:eastAsia="Times New Roman" w:hAnsi="Arial" w:cs="Arial"/>
                <w:color w:val="000000"/>
                <w:sz w:val="20"/>
                <w:szCs w:val="20"/>
                <w:lang w:eastAsia="en-CA"/>
              </w:rPr>
              <w:t>126</w:t>
            </w:r>
          </w:p>
        </w:tc>
        <w:tc>
          <w:tcPr>
            <w:tcW w:w="851" w:type="dxa"/>
            <w:tcBorders>
              <w:top w:val="nil"/>
              <w:left w:val="nil"/>
              <w:bottom w:val="single" w:sz="4" w:space="0" w:color="auto"/>
              <w:right w:val="single" w:sz="4" w:space="0" w:color="auto"/>
            </w:tcBorders>
            <w:shd w:val="clear" w:color="000000" w:fill="00B05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26%</w:t>
            </w:r>
          </w:p>
        </w:tc>
        <w:tc>
          <w:tcPr>
            <w:tcW w:w="992" w:type="dxa"/>
            <w:tcBorders>
              <w:top w:val="nil"/>
              <w:left w:val="nil"/>
              <w:bottom w:val="single" w:sz="4" w:space="0" w:color="auto"/>
              <w:right w:val="single" w:sz="4" w:space="0" w:color="auto"/>
            </w:tcBorders>
            <w:shd w:val="clear" w:color="000000" w:fill="99FF66"/>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25</w:t>
            </w:r>
          </w:p>
        </w:tc>
        <w:tc>
          <w:tcPr>
            <w:tcW w:w="992" w:type="dxa"/>
            <w:tcBorders>
              <w:top w:val="nil"/>
              <w:left w:val="nil"/>
              <w:bottom w:val="single" w:sz="4" w:space="0" w:color="auto"/>
              <w:right w:val="single" w:sz="4" w:space="0" w:color="auto"/>
            </w:tcBorders>
            <w:shd w:val="clear" w:color="000000" w:fill="99FF66"/>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5%</w:t>
            </w:r>
          </w:p>
        </w:tc>
      </w:tr>
      <w:tr w:rsidR="00632191" w:rsidRPr="007B7761">
        <w:trPr>
          <w:trHeight w:val="276"/>
        </w:trPr>
        <w:tc>
          <w:tcPr>
            <w:tcW w:w="1848" w:type="dxa"/>
            <w:tcBorders>
              <w:top w:val="nil"/>
              <w:left w:val="single" w:sz="4" w:space="0" w:color="auto"/>
              <w:bottom w:val="single" w:sz="4" w:space="0" w:color="auto"/>
              <w:right w:val="single" w:sz="4" w:space="0" w:color="auto"/>
            </w:tcBorders>
            <w:shd w:val="clear" w:color="auto" w:fill="auto"/>
            <w:noWrap/>
            <w:vAlign w:val="bottom"/>
          </w:tcPr>
          <w:p w:rsidR="00632191" w:rsidRPr="007B7761" w:rsidRDefault="00632191" w:rsidP="00BE19E2">
            <w:pPr>
              <w:spacing w:after="0" w:line="240" w:lineRule="auto"/>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2008</w:t>
            </w:r>
          </w:p>
        </w:tc>
        <w:tc>
          <w:tcPr>
            <w:tcW w:w="851" w:type="dxa"/>
            <w:tcBorders>
              <w:top w:val="nil"/>
              <w:left w:val="nil"/>
              <w:bottom w:val="single" w:sz="4" w:space="0" w:color="auto"/>
              <w:right w:val="single" w:sz="4" w:space="0" w:color="auto"/>
            </w:tcBorders>
            <w:shd w:val="clear" w:color="auto" w:fill="auto"/>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580</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414</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71%</w:t>
            </w:r>
          </w:p>
        </w:tc>
        <w:tc>
          <w:tcPr>
            <w:tcW w:w="850" w:type="dxa"/>
            <w:tcBorders>
              <w:top w:val="nil"/>
              <w:left w:val="nil"/>
              <w:bottom w:val="single" w:sz="4" w:space="0" w:color="auto"/>
              <w:right w:val="single" w:sz="4" w:space="0" w:color="auto"/>
            </w:tcBorders>
            <w:shd w:val="clear" w:color="000000" w:fill="00B050"/>
            <w:noWrap/>
            <w:vAlign w:val="bottom"/>
          </w:tcPr>
          <w:p w:rsidR="00632191" w:rsidRPr="007B7761" w:rsidRDefault="00632191" w:rsidP="007B7761">
            <w:pPr>
              <w:spacing w:after="0" w:line="240" w:lineRule="auto"/>
              <w:jc w:val="center"/>
              <w:rPr>
                <w:rFonts w:ascii="Arial" w:eastAsia="Times New Roman" w:hAnsi="Arial" w:cs="Arial"/>
                <w:color w:val="000000"/>
                <w:sz w:val="20"/>
                <w:szCs w:val="20"/>
                <w:lang w:eastAsia="en-CA"/>
              </w:rPr>
            </w:pPr>
            <w:r w:rsidRPr="007B7761">
              <w:rPr>
                <w:rFonts w:ascii="Arial" w:eastAsia="Times New Roman" w:hAnsi="Arial" w:cs="Arial"/>
                <w:color w:val="000000"/>
                <w:sz w:val="20"/>
                <w:szCs w:val="20"/>
                <w:lang w:eastAsia="en-CA"/>
              </w:rPr>
              <w:t>138</w:t>
            </w:r>
          </w:p>
        </w:tc>
        <w:tc>
          <w:tcPr>
            <w:tcW w:w="851" w:type="dxa"/>
            <w:tcBorders>
              <w:top w:val="nil"/>
              <w:left w:val="nil"/>
              <w:bottom w:val="single" w:sz="4" w:space="0" w:color="auto"/>
              <w:right w:val="single" w:sz="4" w:space="0" w:color="auto"/>
            </w:tcBorders>
            <w:shd w:val="clear" w:color="000000" w:fill="00B05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24%</w:t>
            </w:r>
          </w:p>
        </w:tc>
        <w:tc>
          <w:tcPr>
            <w:tcW w:w="992" w:type="dxa"/>
            <w:tcBorders>
              <w:top w:val="nil"/>
              <w:left w:val="nil"/>
              <w:bottom w:val="single" w:sz="4" w:space="0" w:color="auto"/>
              <w:right w:val="single" w:sz="4" w:space="0" w:color="auto"/>
            </w:tcBorders>
            <w:shd w:val="clear" w:color="000000" w:fill="99FF66"/>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28</w:t>
            </w:r>
          </w:p>
        </w:tc>
        <w:tc>
          <w:tcPr>
            <w:tcW w:w="992" w:type="dxa"/>
            <w:tcBorders>
              <w:top w:val="nil"/>
              <w:left w:val="nil"/>
              <w:bottom w:val="single" w:sz="4" w:space="0" w:color="auto"/>
              <w:right w:val="single" w:sz="4" w:space="0" w:color="auto"/>
            </w:tcBorders>
            <w:shd w:val="clear" w:color="000000" w:fill="99FF66"/>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5%</w:t>
            </w:r>
          </w:p>
        </w:tc>
      </w:tr>
      <w:tr w:rsidR="00632191" w:rsidRPr="007B7761">
        <w:trPr>
          <w:trHeight w:val="276"/>
        </w:trPr>
        <w:tc>
          <w:tcPr>
            <w:tcW w:w="1848" w:type="dxa"/>
            <w:tcBorders>
              <w:top w:val="nil"/>
              <w:left w:val="single" w:sz="4" w:space="0" w:color="auto"/>
              <w:bottom w:val="single" w:sz="4" w:space="0" w:color="auto"/>
              <w:right w:val="single" w:sz="4" w:space="0" w:color="auto"/>
            </w:tcBorders>
            <w:shd w:val="clear" w:color="auto" w:fill="auto"/>
            <w:noWrap/>
            <w:vAlign w:val="bottom"/>
          </w:tcPr>
          <w:p w:rsidR="00632191" w:rsidRPr="007B7761" w:rsidRDefault="00632191" w:rsidP="00BE19E2">
            <w:pPr>
              <w:spacing w:after="0" w:line="240" w:lineRule="auto"/>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2009</w:t>
            </w:r>
          </w:p>
        </w:tc>
        <w:tc>
          <w:tcPr>
            <w:tcW w:w="851" w:type="dxa"/>
            <w:tcBorders>
              <w:top w:val="nil"/>
              <w:left w:val="nil"/>
              <w:bottom w:val="single" w:sz="4" w:space="0" w:color="auto"/>
              <w:right w:val="single" w:sz="4" w:space="0" w:color="auto"/>
            </w:tcBorders>
            <w:shd w:val="clear" w:color="auto" w:fill="auto"/>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642</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458</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71%</w:t>
            </w:r>
          </w:p>
        </w:tc>
        <w:tc>
          <w:tcPr>
            <w:tcW w:w="850" w:type="dxa"/>
            <w:tcBorders>
              <w:top w:val="nil"/>
              <w:left w:val="nil"/>
              <w:bottom w:val="single" w:sz="4" w:space="0" w:color="auto"/>
              <w:right w:val="single" w:sz="4" w:space="0" w:color="auto"/>
            </w:tcBorders>
            <w:shd w:val="clear" w:color="000000" w:fill="00B050"/>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155</w:t>
            </w:r>
          </w:p>
        </w:tc>
        <w:tc>
          <w:tcPr>
            <w:tcW w:w="851" w:type="dxa"/>
            <w:tcBorders>
              <w:top w:val="nil"/>
              <w:left w:val="nil"/>
              <w:bottom w:val="single" w:sz="4" w:space="0" w:color="auto"/>
              <w:right w:val="single" w:sz="4" w:space="0" w:color="auto"/>
            </w:tcBorders>
            <w:shd w:val="clear" w:color="000000" w:fill="00B05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24%</w:t>
            </w:r>
          </w:p>
        </w:tc>
        <w:tc>
          <w:tcPr>
            <w:tcW w:w="992" w:type="dxa"/>
            <w:tcBorders>
              <w:top w:val="nil"/>
              <w:left w:val="nil"/>
              <w:bottom w:val="single" w:sz="4" w:space="0" w:color="auto"/>
              <w:right w:val="single" w:sz="4" w:space="0" w:color="auto"/>
            </w:tcBorders>
            <w:shd w:val="clear" w:color="000000" w:fill="99FF66"/>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29</w:t>
            </w:r>
          </w:p>
        </w:tc>
        <w:tc>
          <w:tcPr>
            <w:tcW w:w="992" w:type="dxa"/>
            <w:tcBorders>
              <w:top w:val="nil"/>
              <w:left w:val="nil"/>
              <w:bottom w:val="single" w:sz="4" w:space="0" w:color="auto"/>
              <w:right w:val="single" w:sz="4" w:space="0" w:color="auto"/>
            </w:tcBorders>
            <w:shd w:val="clear" w:color="000000" w:fill="99FF66"/>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5%</w:t>
            </w:r>
          </w:p>
        </w:tc>
      </w:tr>
      <w:tr w:rsidR="00632191" w:rsidRPr="007B7761">
        <w:trPr>
          <w:trHeight w:val="276"/>
        </w:trPr>
        <w:tc>
          <w:tcPr>
            <w:tcW w:w="1848" w:type="dxa"/>
            <w:tcBorders>
              <w:top w:val="nil"/>
              <w:left w:val="single" w:sz="4" w:space="0" w:color="auto"/>
              <w:bottom w:val="single" w:sz="4" w:space="0" w:color="auto"/>
              <w:right w:val="single" w:sz="4" w:space="0" w:color="auto"/>
            </w:tcBorders>
            <w:shd w:val="clear" w:color="auto" w:fill="auto"/>
            <w:noWrap/>
            <w:vAlign w:val="bottom"/>
          </w:tcPr>
          <w:p w:rsidR="00632191" w:rsidRPr="007B7761" w:rsidRDefault="00632191" w:rsidP="00BE19E2">
            <w:pPr>
              <w:spacing w:after="0" w:line="240" w:lineRule="auto"/>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2010</w:t>
            </w:r>
          </w:p>
        </w:tc>
        <w:tc>
          <w:tcPr>
            <w:tcW w:w="851" w:type="dxa"/>
            <w:tcBorders>
              <w:top w:val="nil"/>
              <w:left w:val="nil"/>
              <w:bottom w:val="single" w:sz="4" w:space="0" w:color="auto"/>
              <w:right w:val="single" w:sz="4" w:space="0" w:color="auto"/>
            </w:tcBorders>
            <w:shd w:val="clear" w:color="auto" w:fill="auto"/>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747</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507</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68%</w:t>
            </w:r>
          </w:p>
        </w:tc>
        <w:tc>
          <w:tcPr>
            <w:tcW w:w="850" w:type="dxa"/>
            <w:tcBorders>
              <w:top w:val="nil"/>
              <w:left w:val="nil"/>
              <w:bottom w:val="single" w:sz="4" w:space="0" w:color="auto"/>
              <w:right w:val="single" w:sz="4" w:space="0" w:color="auto"/>
            </w:tcBorders>
            <w:shd w:val="clear" w:color="000000" w:fill="00B050"/>
            <w:noWrap/>
            <w:vAlign w:val="bottom"/>
          </w:tcPr>
          <w:p w:rsidR="00632191" w:rsidRPr="007B7761" w:rsidRDefault="00632191" w:rsidP="007B7761">
            <w:pPr>
              <w:spacing w:after="0" w:line="240" w:lineRule="auto"/>
              <w:jc w:val="center"/>
              <w:rPr>
                <w:rFonts w:ascii="Arial" w:eastAsia="Times New Roman" w:hAnsi="Arial" w:cs="Arial"/>
                <w:color w:val="000000"/>
                <w:sz w:val="20"/>
                <w:szCs w:val="20"/>
                <w:lang w:eastAsia="en-CA"/>
              </w:rPr>
            </w:pPr>
            <w:r w:rsidRPr="007B7761">
              <w:rPr>
                <w:rFonts w:ascii="Arial" w:eastAsia="Times New Roman" w:hAnsi="Arial" w:cs="Arial"/>
                <w:color w:val="000000"/>
                <w:sz w:val="20"/>
                <w:szCs w:val="20"/>
                <w:lang w:eastAsia="en-CA"/>
              </w:rPr>
              <w:t>170</w:t>
            </w:r>
          </w:p>
        </w:tc>
        <w:tc>
          <w:tcPr>
            <w:tcW w:w="851" w:type="dxa"/>
            <w:tcBorders>
              <w:top w:val="nil"/>
              <w:left w:val="nil"/>
              <w:bottom w:val="single" w:sz="4" w:space="0" w:color="auto"/>
              <w:right w:val="single" w:sz="4" w:space="0" w:color="auto"/>
            </w:tcBorders>
            <w:shd w:val="clear" w:color="000000" w:fill="00B05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23%</w:t>
            </w:r>
          </w:p>
        </w:tc>
        <w:tc>
          <w:tcPr>
            <w:tcW w:w="992" w:type="dxa"/>
            <w:tcBorders>
              <w:top w:val="nil"/>
              <w:left w:val="nil"/>
              <w:bottom w:val="single" w:sz="4" w:space="0" w:color="auto"/>
              <w:right w:val="single" w:sz="4" w:space="0" w:color="auto"/>
            </w:tcBorders>
            <w:shd w:val="clear" w:color="000000" w:fill="99FF66"/>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70</w:t>
            </w:r>
          </w:p>
        </w:tc>
        <w:tc>
          <w:tcPr>
            <w:tcW w:w="992" w:type="dxa"/>
            <w:tcBorders>
              <w:top w:val="nil"/>
              <w:left w:val="nil"/>
              <w:bottom w:val="single" w:sz="4" w:space="0" w:color="auto"/>
              <w:right w:val="single" w:sz="4" w:space="0" w:color="auto"/>
            </w:tcBorders>
            <w:shd w:val="clear" w:color="000000" w:fill="99FF66"/>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9%</w:t>
            </w:r>
          </w:p>
        </w:tc>
      </w:tr>
      <w:tr w:rsidR="00632191" w:rsidRPr="007B7761">
        <w:trPr>
          <w:trHeight w:val="276"/>
        </w:trPr>
        <w:tc>
          <w:tcPr>
            <w:tcW w:w="1848" w:type="dxa"/>
            <w:tcBorders>
              <w:top w:val="nil"/>
              <w:left w:val="single" w:sz="4" w:space="0" w:color="auto"/>
              <w:bottom w:val="single" w:sz="4" w:space="0" w:color="auto"/>
              <w:right w:val="single" w:sz="4" w:space="0" w:color="auto"/>
            </w:tcBorders>
            <w:shd w:val="clear" w:color="auto" w:fill="auto"/>
            <w:noWrap/>
            <w:vAlign w:val="bottom"/>
          </w:tcPr>
          <w:p w:rsidR="00632191" w:rsidRPr="007B7761" w:rsidRDefault="00632191" w:rsidP="00BE19E2">
            <w:pPr>
              <w:spacing w:after="0" w:line="240" w:lineRule="auto"/>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2011</w:t>
            </w:r>
          </w:p>
        </w:tc>
        <w:tc>
          <w:tcPr>
            <w:tcW w:w="851" w:type="dxa"/>
            <w:tcBorders>
              <w:top w:val="nil"/>
              <w:left w:val="nil"/>
              <w:bottom w:val="single" w:sz="4" w:space="0" w:color="auto"/>
              <w:right w:val="single" w:sz="4" w:space="0" w:color="auto"/>
            </w:tcBorders>
            <w:shd w:val="clear" w:color="auto" w:fill="auto"/>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876</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448</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51%</w:t>
            </w:r>
          </w:p>
        </w:tc>
        <w:tc>
          <w:tcPr>
            <w:tcW w:w="850" w:type="dxa"/>
            <w:tcBorders>
              <w:top w:val="nil"/>
              <w:left w:val="nil"/>
              <w:bottom w:val="single" w:sz="4" w:space="0" w:color="auto"/>
              <w:right w:val="single" w:sz="4" w:space="0" w:color="auto"/>
            </w:tcBorders>
            <w:shd w:val="clear" w:color="000000" w:fill="00B050"/>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280</w:t>
            </w:r>
          </w:p>
        </w:tc>
        <w:tc>
          <w:tcPr>
            <w:tcW w:w="851" w:type="dxa"/>
            <w:tcBorders>
              <w:top w:val="nil"/>
              <w:left w:val="nil"/>
              <w:bottom w:val="single" w:sz="4" w:space="0" w:color="auto"/>
              <w:right w:val="single" w:sz="4" w:space="0" w:color="auto"/>
            </w:tcBorders>
            <w:shd w:val="clear" w:color="000000" w:fill="00B05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32%</w:t>
            </w:r>
          </w:p>
        </w:tc>
        <w:tc>
          <w:tcPr>
            <w:tcW w:w="992" w:type="dxa"/>
            <w:tcBorders>
              <w:top w:val="nil"/>
              <w:left w:val="nil"/>
              <w:bottom w:val="single" w:sz="4" w:space="0" w:color="auto"/>
              <w:right w:val="single" w:sz="4" w:space="0" w:color="auto"/>
            </w:tcBorders>
            <w:shd w:val="clear" w:color="000000" w:fill="99FF66"/>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148</w:t>
            </w:r>
          </w:p>
        </w:tc>
        <w:tc>
          <w:tcPr>
            <w:tcW w:w="992" w:type="dxa"/>
            <w:tcBorders>
              <w:top w:val="nil"/>
              <w:left w:val="nil"/>
              <w:bottom w:val="single" w:sz="4" w:space="0" w:color="auto"/>
              <w:right w:val="single" w:sz="4" w:space="0" w:color="auto"/>
            </w:tcBorders>
            <w:shd w:val="clear" w:color="000000" w:fill="99FF66"/>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17%</w:t>
            </w:r>
          </w:p>
        </w:tc>
      </w:tr>
      <w:tr w:rsidR="00632191" w:rsidRPr="007B7761">
        <w:trPr>
          <w:trHeight w:val="276"/>
        </w:trPr>
        <w:tc>
          <w:tcPr>
            <w:tcW w:w="1848" w:type="dxa"/>
            <w:tcBorders>
              <w:top w:val="nil"/>
              <w:left w:val="single" w:sz="4" w:space="0" w:color="auto"/>
              <w:bottom w:val="single" w:sz="4" w:space="0" w:color="auto"/>
              <w:right w:val="single" w:sz="4" w:space="0" w:color="auto"/>
            </w:tcBorders>
            <w:shd w:val="clear" w:color="auto" w:fill="auto"/>
            <w:noWrap/>
            <w:vAlign w:val="bottom"/>
          </w:tcPr>
          <w:p w:rsidR="00632191" w:rsidRPr="007B7761" w:rsidRDefault="00632191" w:rsidP="00BE19E2">
            <w:pPr>
              <w:spacing w:after="0" w:line="240" w:lineRule="auto"/>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2012</w:t>
            </w:r>
          </w:p>
        </w:tc>
        <w:tc>
          <w:tcPr>
            <w:tcW w:w="851" w:type="dxa"/>
            <w:tcBorders>
              <w:top w:val="nil"/>
              <w:left w:val="nil"/>
              <w:bottom w:val="single" w:sz="4" w:space="0" w:color="auto"/>
              <w:right w:val="single" w:sz="4" w:space="0" w:color="auto"/>
            </w:tcBorders>
            <w:shd w:val="clear" w:color="auto" w:fill="auto"/>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1075</w:t>
            </w:r>
          </w:p>
        </w:tc>
        <w:tc>
          <w:tcPr>
            <w:tcW w:w="850" w:type="dxa"/>
            <w:tcBorders>
              <w:top w:val="nil"/>
              <w:left w:val="nil"/>
              <w:bottom w:val="single" w:sz="4" w:space="0" w:color="auto"/>
              <w:right w:val="single" w:sz="4" w:space="0" w:color="auto"/>
            </w:tcBorders>
            <w:shd w:val="clear" w:color="000000" w:fill="7F7F7F" w:themeFill="text1" w:themeFillTint="80"/>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524</w:t>
            </w:r>
          </w:p>
        </w:tc>
        <w:tc>
          <w:tcPr>
            <w:tcW w:w="851" w:type="dxa"/>
            <w:tcBorders>
              <w:top w:val="nil"/>
              <w:left w:val="nil"/>
              <w:bottom w:val="single" w:sz="4" w:space="0" w:color="auto"/>
              <w:right w:val="single" w:sz="4" w:space="0" w:color="auto"/>
            </w:tcBorders>
            <w:shd w:val="clear" w:color="000000" w:fill="7F7F7F" w:themeFill="text1" w:themeFillTint="8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49%</w:t>
            </w:r>
          </w:p>
        </w:tc>
        <w:tc>
          <w:tcPr>
            <w:tcW w:w="850" w:type="dxa"/>
            <w:tcBorders>
              <w:top w:val="nil"/>
              <w:left w:val="nil"/>
              <w:bottom w:val="single" w:sz="4" w:space="0" w:color="auto"/>
              <w:right w:val="single" w:sz="4" w:space="0" w:color="auto"/>
            </w:tcBorders>
            <w:shd w:val="clear" w:color="000000" w:fill="00B050"/>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309</w:t>
            </w:r>
          </w:p>
        </w:tc>
        <w:tc>
          <w:tcPr>
            <w:tcW w:w="851" w:type="dxa"/>
            <w:tcBorders>
              <w:top w:val="nil"/>
              <w:left w:val="nil"/>
              <w:bottom w:val="single" w:sz="4" w:space="0" w:color="auto"/>
              <w:right w:val="single" w:sz="4" w:space="0" w:color="auto"/>
            </w:tcBorders>
            <w:shd w:val="clear" w:color="000000" w:fill="00B050"/>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29%</w:t>
            </w:r>
          </w:p>
        </w:tc>
        <w:tc>
          <w:tcPr>
            <w:tcW w:w="992" w:type="dxa"/>
            <w:tcBorders>
              <w:top w:val="nil"/>
              <w:left w:val="nil"/>
              <w:bottom w:val="single" w:sz="4" w:space="0" w:color="auto"/>
              <w:right w:val="single" w:sz="4" w:space="0" w:color="auto"/>
            </w:tcBorders>
            <w:shd w:val="clear" w:color="000000" w:fill="99FF66"/>
            <w:noWrap/>
            <w:vAlign w:val="bottom"/>
          </w:tcPr>
          <w:p w:rsidR="00632191" w:rsidRPr="007B7761" w:rsidRDefault="0063219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242</w:t>
            </w:r>
          </w:p>
        </w:tc>
        <w:tc>
          <w:tcPr>
            <w:tcW w:w="992" w:type="dxa"/>
            <w:tcBorders>
              <w:top w:val="nil"/>
              <w:left w:val="nil"/>
              <w:bottom w:val="single" w:sz="4" w:space="0" w:color="auto"/>
              <w:right w:val="single" w:sz="4" w:space="0" w:color="auto"/>
            </w:tcBorders>
            <w:shd w:val="clear" w:color="000000" w:fill="99FF66"/>
            <w:noWrap/>
            <w:vAlign w:val="bottom"/>
          </w:tcPr>
          <w:p w:rsidR="00632191" w:rsidRPr="007B7761" w:rsidRDefault="0063219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23%</w:t>
            </w:r>
          </w:p>
        </w:tc>
      </w:tr>
    </w:tbl>
    <w:p w:rsidR="00E22B76" w:rsidRDefault="00E22B76" w:rsidP="00BE19E2">
      <w:pPr>
        <w:rPr>
          <w:rFonts w:ascii="Arial" w:hAnsi="Arial"/>
        </w:rPr>
      </w:pPr>
    </w:p>
    <w:p w:rsidR="00E22B76" w:rsidRDefault="00E22B76">
      <w:pPr>
        <w:rPr>
          <w:rFonts w:ascii="Arial" w:hAnsi="Arial"/>
        </w:rPr>
      </w:pPr>
      <w:r>
        <w:rPr>
          <w:rFonts w:ascii="Arial" w:hAnsi="Arial"/>
        </w:rPr>
        <w:br w:type="page"/>
      </w:r>
    </w:p>
    <w:p w:rsidR="00632191" w:rsidRDefault="00632191" w:rsidP="00BE19E2">
      <w:pPr>
        <w:rPr>
          <w:rFonts w:ascii="Arial" w:hAnsi="Arial"/>
        </w:rPr>
      </w:pPr>
    </w:p>
    <w:p w:rsidR="007B7761" w:rsidRPr="005623CE" w:rsidRDefault="007B7761" w:rsidP="001170A3">
      <w:pPr>
        <w:spacing w:after="0" w:line="240" w:lineRule="auto"/>
        <w:jc w:val="both"/>
        <w:rPr>
          <w:rFonts w:ascii="Arial" w:eastAsia="Times New Roman" w:hAnsi="Arial" w:cs="Times New Roman"/>
          <w:b/>
          <w:bCs/>
          <w:color w:val="000000"/>
          <w:lang w:eastAsia="en-CA"/>
        </w:rPr>
      </w:pPr>
      <w:r w:rsidRPr="005623CE">
        <w:rPr>
          <w:rFonts w:ascii="Arial" w:eastAsia="Times New Roman" w:hAnsi="Arial" w:cs="Times New Roman"/>
          <w:b/>
          <w:bCs/>
          <w:color w:val="000000"/>
          <w:lang w:eastAsia="en-CA"/>
        </w:rPr>
        <w:t xml:space="preserve">Table 5. Average Delay (in months) for Public Access and Restricted Access deposits </w:t>
      </w:r>
      <w:r>
        <w:rPr>
          <w:rFonts w:ascii="Arial" w:eastAsia="Times New Roman" w:hAnsi="Arial" w:cs="Times New Roman"/>
          <w:b/>
          <w:bCs/>
          <w:color w:val="000000"/>
          <w:lang w:eastAsia="en-CA"/>
        </w:rPr>
        <w:t>for publication span 2004-2012 a</w:t>
      </w:r>
      <w:r w:rsidRPr="005623CE">
        <w:rPr>
          <w:rFonts w:ascii="Arial" w:eastAsia="Times New Roman" w:hAnsi="Arial" w:cs="Times New Roman"/>
          <w:b/>
          <w:bCs/>
          <w:color w:val="000000"/>
          <w:lang w:eastAsia="en-CA"/>
        </w:rPr>
        <w:t xml:space="preserve">rticles by </w:t>
      </w:r>
      <w:r>
        <w:rPr>
          <w:rFonts w:ascii="Arial" w:eastAsia="Times New Roman" w:hAnsi="Arial" w:cs="Times New Roman"/>
          <w:b/>
          <w:bCs/>
          <w:color w:val="000000"/>
          <w:lang w:eastAsia="en-CA"/>
        </w:rPr>
        <w:t>publication year</w:t>
      </w:r>
    </w:p>
    <w:p w:rsidR="007B7761" w:rsidRPr="005623CE" w:rsidRDefault="007B7761" w:rsidP="007B7761">
      <w:pPr>
        <w:spacing w:after="0" w:line="240" w:lineRule="auto"/>
        <w:rPr>
          <w:rFonts w:ascii="Arial" w:eastAsia="Times New Roman" w:hAnsi="Arial" w:cs="Times New Roman"/>
          <w:b/>
          <w:bCs/>
          <w:color w:val="000000"/>
          <w:lang w:eastAsia="en-CA"/>
        </w:rPr>
      </w:pPr>
    </w:p>
    <w:tbl>
      <w:tblPr>
        <w:tblW w:w="7943" w:type="dxa"/>
        <w:tblInd w:w="103" w:type="dxa"/>
        <w:tblLook w:val="04A0"/>
      </w:tblPr>
      <w:tblGrid>
        <w:gridCol w:w="1294"/>
        <w:gridCol w:w="661"/>
        <w:gridCol w:w="876"/>
        <w:gridCol w:w="772"/>
        <w:gridCol w:w="661"/>
        <w:gridCol w:w="821"/>
        <w:gridCol w:w="639"/>
        <w:gridCol w:w="632"/>
        <w:gridCol w:w="750"/>
        <w:gridCol w:w="837"/>
      </w:tblGrid>
      <w:tr w:rsidR="007B7761" w:rsidRPr="007B7761">
        <w:trPr>
          <w:trHeight w:val="289"/>
        </w:trPr>
        <w:tc>
          <w:tcPr>
            <w:tcW w:w="12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761" w:rsidRPr="007B7761" w:rsidRDefault="007B7761" w:rsidP="007B7761">
            <w:pPr>
              <w:spacing w:after="0" w:line="240" w:lineRule="auto"/>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Publication Year</w:t>
            </w:r>
          </w:p>
        </w:tc>
        <w:tc>
          <w:tcPr>
            <w:tcW w:w="2327" w:type="dxa"/>
            <w:gridSpan w:val="3"/>
            <w:tcBorders>
              <w:top w:val="single" w:sz="4" w:space="0" w:color="auto"/>
              <w:left w:val="nil"/>
              <w:bottom w:val="single" w:sz="4" w:space="0" w:color="auto"/>
              <w:right w:val="single" w:sz="4" w:space="0" w:color="auto"/>
            </w:tcBorders>
            <w:shd w:val="clear" w:color="auto" w:fill="auto"/>
            <w:noWrap/>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TOTAL</w:t>
            </w:r>
          </w:p>
        </w:tc>
        <w:tc>
          <w:tcPr>
            <w:tcW w:w="2126" w:type="dxa"/>
            <w:gridSpan w:val="3"/>
            <w:tcBorders>
              <w:top w:val="single" w:sz="4" w:space="0" w:color="auto"/>
              <w:left w:val="nil"/>
              <w:bottom w:val="single" w:sz="4" w:space="0" w:color="auto"/>
              <w:right w:val="single" w:sz="4" w:space="0" w:color="auto"/>
            </w:tcBorders>
            <w:shd w:val="clear" w:color="000000" w:fill="009900"/>
            <w:noWrap/>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Public Access</w:t>
            </w:r>
          </w:p>
        </w:tc>
        <w:tc>
          <w:tcPr>
            <w:tcW w:w="2196" w:type="dxa"/>
            <w:gridSpan w:val="3"/>
            <w:tcBorders>
              <w:top w:val="single" w:sz="4" w:space="0" w:color="auto"/>
              <w:left w:val="nil"/>
              <w:bottom w:val="single" w:sz="4" w:space="0" w:color="auto"/>
              <w:right w:val="single" w:sz="4" w:space="0" w:color="auto"/>
            </w:tcBorders>
            <w:shd w:val="clear" w:color="000000" w:fill="99FF66"/>
            <w:noWrap/>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Restricted Access</w:t>
            </w:r>
          </w:p>
        </w:tc>
      </w:tr>
      <w:tr w:rsidR="007B7761" w:rsidRPr="007B7761">
        <w:trPr>
          <w:trHeight w:val="289"/>
        </w:trPr>
        <w:tc>
          <w:tcPr>
            <w:tcW w:w="1294" w:type="dxa"/>
            <w:vMerge/>
            <w:tcBorders>
              <w:top w:val="single" w:sz="4" w:space="0" w:color="auto"/>
              <w:left w:val="single" w:sz="4" w:space="0" w:color="auto"/>
              <w:bottom w:val="single" w:sz="4" w:space="0" w:color="auto"/>
              <w:right w:val="single" w:sz="4" w:space="0" w:color="auto"/>
            </w:tcBorders>
            <w:vAlign w:val="center"/>
          </w:tcPr>
          <w:p w:rsidR="007B7761" w:rsidRPr="007B7761" w:rsidRDefault="007B7761" w:rsidP="007B7761">
            <w:pPr>
              <w:spacing w:after="0" w:line="240" w:lineRule="auto"/>
              <w:rPr>
                <w:rFonts w:ascii="Arial" w:eastAsia="Times New Roman" w:hAnsi="Arial" w:cs="Times New Roman"/>
                <w:b/>
                <w:bCs/>
                <w:color w:val="000000"/>
                <w:sz w:val="20"/>
                <w:szCs w:val="20"/>
                <w:lang w:eastAsia="en-CA"/>
              </w:rPr>
            </w:pPr>
          </w:p>
        </w:tc>
        <w:tc>
          <w:tcPr>
            <w:tcW w:w="661" w:type="dxa"/>
            <w:tcBorders>
              <w:top w:val="nil"/>
              <w:left w:val="nil"/>
              <w:bottom w:val="single" w:sz="4" w:space="0" w:color="auto"/>
              <w:right w:val="single" w:sz="4" w:space="0" w:color="auto"/>
            </w:tcBorders>
            <w:shd w:val="clear" w:color="auto" w:fill="auto"/>
            <w:noWrap/>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N</w:t>
            </w:r>
          </w:p>
        </w:tc>
        <w:tc>
          <w:tcPr>
            <w:tcW w:w="885" w:type="dxa"/>
            <w:tcBorders>
              <w:top w:val="nil"/>
              <w:left w:val="nil"/>
              <w:bottom w:val="single" w:sz="4" w:space="0" w:color="auto"/>
              <w:right w:val="single" w:sz="4" w:space="0" w:color="auto"/>
            </w:tcBorders>
            <w:shd w:val="clear" w:color="auto" w:fill="auto"/>
            <w:noWrap/>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Avg Delay</w:t>
            </w:r>
          </w:p>
        </w:tc>
        <w:tc>
          <w:tcPr>
            <w:tcW w:w="781" w:type="dxa"/>
            <w:tcBorders>
              <w:top w:val="nil"/>
              <w:left w:val="nil"/>
              <w:bottom w:val="single" w:sz="4" w:space="0" w:color="auto"/>
              <w:right w:val="single" w:sz="4" w:space="0" w:color="auto"/>
            </w:tcBorders>
            <w:shd w:val="clear" w:color="auto" w:fill="auto"/>
            <w:noWrap/>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St. Dev.</w:t>
            </w:r>
          </w:p>
        </w:tc>
        <w:tc>
          <w:tcPr>
            <w:tcW w:w="661" w:type="dxa"/>
            <w:tcBorders>
              <w:top w:val="nil"/>
              <w:left w:val="nil"/>
              <w:bottom w:val="single" w:sz="4" w:space="0" w:color="auto"/>
              <w:right w:val="single" w:sz="4" w:space="0" w:color="auto"/>
            </w:tcBorders>
            <w:shd w:val="clear" w:color="000000" w:fill="009900"/>
            <w:noWrap/>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N</w:t>
            </w:r>
          </w:p>
        </w:tc>
        <w:tc>
          <w:tcPr>
            <w:tcW w:w="826" w:type="dxa"/>
            <w:tcBorders>
              <w:top w:val="nil"/>
              <w:left w:val="nil"/>
              <w:bottom w:val="single" w:sz="4" w:space="0" w:color="auto"/>
              <w:right w:val="single" w:sz="4" w:space="0" w:color="auto"/>
            </w:tcBorders>
            <w:shd w:val="clear" w:color="000000" w:fill="009900"/>
            <w:noWrap/>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Avg Delay</w:t>
            </w:r>
          </w:p>
        </w:tc>
        <w:tc>
          <w:tcPr>
            <w:tcW w:w="639" w:type="dxa"/>
            <w:tcBorders>
              <w:top w:val="nil"/>
              <w:left w:val="nil"/>
              <w:bottom w:val="single" w:sz="4" w:space="0" w:color="auto"/>
              <w:right w:val="single" w:sz="4" w:space="0" w:color="auto"/>
            </w:tcBorders>
            <w:shd w:val="clear" w:color="000000" w:fill="009900"/>
            <w:noWrap/>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St. Dev.</w:t>
            </w:r>
          </w:p>
        </w:tc>
        <w:tc>
          <w:tcPr>
            <w:tcW w:w="637" w:type="dxa"/>
            <w:tcBorders>
              <w:top w:val="nil"/>
              <w:left w:val="nil"/>
              <w:bottom w:val="single" w:sz="4" w:space="0" w:color="auto"/>
              <w:right w:val="single" w:sz="4" w:space="0" w:color="auto"/>
            </w:tcBorders>
            <w:shd w:val="clear" w:color="000000" w:fill="99FF66"/>
            <w:noWrap/>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N</w:t>
            </w:r>
          </w:p>
        </w:tc>
        <w:tc>
          <w:tcPr>
            <w:tcW w:w="709" w:type="dxa"/>
            <w:tcBorders>
              <w:top w:val="nil"/>
              <w:left w:val="nil"/>
              <w:bottom w:val="single" w:sz="4" w:space="0" w:color="auto"/>
              <w:right w:val="single" w:sz="4" w:space="0" w:color="auto"/>
            </w:tcBorders>
            <w:shd w:val="clear" w:color="000000" w:fill="99FF66"/>
            <w:noWrap/>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Avg Delay</w:t>
            </w:r>
          </w:p>
        </w:tc>
        <w:tc>
          <w:tcPr>
            <w:tcW w:w="850" w:type="dxa"/>
            <w:tcBorders>
              <w:top w:val="nil"/>
              <w:left w:val="nil"/>
              <w:bottom w:val="single" w:sz="4" w:space="0" w:color="auto"/>
              <w:right w:val="single" w:sz="4" w:space="0" w:color="auto"/>
            </w:tcBorders>
            <w:shd w:val="clear" w:color="000000" w:fill="99FF66"/>
            <w:noWrap/>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St. Dev.</w:t>
            </w:r>
          </w:p>
        </w:tc>
      </w:tr>
      <w:tr w:rsidR="007B7761" w:rsidRPr="007B7761">
        <w:trPr>
          <w:trHeight w:val="289"/>
        </w:trPr>
        <w:tc>
          <w:tcPr>
            <w:tcW w:w="1294" w:type="dxa"/>
            <w:tcBorders>
              <w:top w:val="nil"/>
              <w:left w:val="single" w:sz="4" w:space="0" w:color="auto"/>
              <w:bottom w:val="single" w:sz="4" w:space="0" w:color="auto"/>
              <w:right w:val="single" w:sz="4" w:space="0" w:color="auto"/>
            </w:tcBorders>
            <w:shd w:val="clear" w:color="auto" w:fill="auto"/>
            <w:noWrap/>
            <w:vAlign w:val="center"/>
          </w:tcPr>
          <w:p w:rsidR="007B7761" w:rsidRPr="007B7761" w:rsidRDefault="007B7761" w:rsidP="007B7761">
            <w:pPr>
              <w:spacing w:after="0" w:line="240" w:lineRule="auto"/>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2004-2012</w:t>
            </w:r>
          </w:p>
        </w:tc>
        <w:tc>
          <w:tcPr>
            <w:tcW w:w="661" w:type="dxa"/>
            <w:tcBorders>
              <w:top w:val="nil"/>
              <w:left w:val="nil"/>
              <w:bottom w:val="single" w:sz="4" w:space="0" w:color="auto"/>
              <w:right w:val="single" w:sz="4" w:space="0" w:color="auto"/>
            </w:tcBorders>
            <w:shd w:val="clear" w:color="auto" w:fill="auto"/>
            <w:noWrap/>
            <w:vAlign w:val="center"/>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2182</w:t>
            </w:r>
          </w:p>
        </w:tc>
        <w:tc>
          <w:tcPr>
            <w:tcW w:w="885" w:type="dxa"/>
            <w:tcBorders>
              <w:top w:val="nil"/>
              <w:left w:val="nil"/>
              <w:bottom w:val="single" w:sz="4" w:space="0" w:color="auto"/>
              <w:right w:val="single" w:sz="4" w:space="0" w:color="auto"/>
            </w:tcBorders>
            <w:shd w:val="clear" w:color="auto" w:fill="auto"/>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13.0</w:t>
            </w:r>
          </w:p>
        </w:tc>
        <w:tc>
          <w:tcPr>
            <w:tcW w:w="781" w:type="dxa"/>
            <w:tcBorders>
              <w:top w:val="nil"/>
              <w:left w:val="nil"/>
              <w:bottom w:val="single" w:sz="4" w:space="0" w:color="auto"/>
              <w:right w:val="single" w:sz="4" w:space="0" w:color="auto"/>
            </w:tcBorders>
            <w:shd w:val="clear" w:color="auto" w:fill="auto"/>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19.4</w:t>
            </w:r>
          </w:p>
        </w:tc>
        <w:tc>
          <w:tcPr>
            <w:tcW w:w="661" w:type="dxa"/>
            <w:tcBorders>
              <w:top w:val="nil"/>
              <w:left w:val="nil"/>
              <w:bottom w:val="single" w:sz="4" w:space="0" w:color="auto"/>
              <w:right w:val="single" w:sz="4" w:space="0" w:color="auto"/>
            </w:tcBorders>
            <w:shd w:val="clear" w:color="000000" w:fill="009900"/>
            <w:noWrap/>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1569</w:t>
            </w:r>
          </w:p>
        </w:tc>
        <w:tc>
          <w:tcPr>
            <w:tcW w:w="826" w:type="dxa"/>
            <w:tcBorders>
              <w:top w:val="nil"/>
              <w:left w:val="nil"/>
              <w:bottom w:val="single" w:sz="4" w:space="0" w:color="auto"/>
              <w:right w:val="single" w:sz="4" w:space="0" w:color="auto"/>
            </w:tcBorders>
            <w:shd w:val="clear" w:color="000000" w:fill="009900"/>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12.2</w:t>
            </w:r>
          </w:p>
        </w:tc>
        <w:tc>
          <w:tcPr>
            <w:tcW w:w="639" w:type="dxa"/>
            <w:tcBorders>
              <w:top w:val="nil"/>
              <w:left w:val="nil"/>
              <w:bottom w:val="single" w:sz="4" w:space="0" w:color="auto"/>
              <w:right w:val="single" w:sz="4" w:space="0" w:color="auto"/>
            </w:tcBorders>
            <w:shd w:val="clear" w:color="000000" w:fill="009900"/>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18.2</w:t>
            </w:r>
          </w:p>
        </w:tc>
        <w:tc>
          <w:tcPr>
            <w:tcW w:w="637" w:type="dxa"/>
            <w:tcBorders>
              <w:top w:val="nil"/>
              <w:left w:val="nil"/>
              <w:bottom w:val="single" w:sz="4" w:space="0" w:color="auto"/>
              <w:right w:val="single" w:sz="4" w:space="0" w:color="auto"/>
            </w:tcBorders>
            <w:shd w:val="clear" w:color="000000" w:fill="99FF66"/>
            <w:noWrap/>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613</w:t>
            </w:r>
          </w:p>
        </w:tc>
        <w:tc>
          <w:tcPr>
            <w:tcW w:w="709" w:type="dxa"/>
            <w:tcBorders>
              <w:top w:val="nil"/>
              <w:left w:val="nil"/>
              <w:bottom w:val="single" w:sz="4" w:space="0" w:color="auto"/>
              <w:right w:val="single" w:sz="4" w:space="0" w:color="auto"/>
            </w:tcBorders>
            <w:shd w:val="clear" w:color="000000" w:fill="99FF66"/>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15.0</w:t>
            </w:r>
          </w:p>
        </w:tc>
        <w:tc>
          <w:tcPr>
            <w:tcW w:w="850" w:type="dxa"/>
            <w:tcBorders>
              <w:top w:val="nil"/>
              <w:left w:val="nil"/>
              <w:bottom w:val="single" w:sz="4" w:space="0" w:color="auto"/>
              <w:right w:val="single" w:sz="4" w:space="0" w:color="auto"/>
            </w:tcBorders>
            <w:shd w:val="clear" w:color="000000" w:fill="99FF66"/>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22.0</w:t>
            </w:r>
          </w:p>
        </w:tc>
      </w:tr>
      <w:tr w:rsidR="007B7761" w:rsidRPr="007B7761">
        <w:trPr>
          <w:trHeight w:val="289"/>
        </w:trPr>
        <w:tc>
          <w:tcPr>
            <w:tcW w:w="1294" w:type="dxa"/>
            <w:tcBorders>
              <w:top w:val="nil"/>
              <w:left w:val="single" w:sz="4" w:space="0" w:color="auto"/>
              <w:bottom w:val="single" w:sz="4" w:space="0" w:color="auto"/>
              <w:right w:val="single" w:sz="4" w:space="0" w:color="auto"/>
            </w:tcBorders>
            <w:shd w:val="clear" w:color="auto" w:fill="auto"/>
            <w:vAlign w:val="bottom"/>
          </w:tcPr>
          <w:p w:rsidR="007B7761" w:rsidRPr="007B7761" w:rsidRDefault="007B7761" w:rsidP="007B7761">
            <w:pPr>
              <w:spacing w:after="0" w:line="240" w:lineRule="auto"/>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2004</w:t>
            </w:r>
          </w:p>
        </w:tc>
        <w:tc>
          <w:tcPr>
            <w:tcW w:w="661" w:type="dxa"/>
            <w:tcBorders>
              <w:top w:val="nil"/>
              <w:left w:val="nil"/>
              <w:bottom w:val="single" w:sz="4" w:space="0" w:color="auto"/>
              <w:right w:val="single" w:sz="4" w:space="0" w:color="auto"/>
            </w:tcBorders>
            <w:shd w:val="clear" w:color="auto" w:fill="auto"/>
            <w:noWrap/>
            <w:vAlign w:val="center"/>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134</w:t>
            </w:r>
          </w:p>
        </w:tc>
        <w:tc>
          <w:tcPr>
            <w:tcW w:w="885" w:type="dxa"/>
            <w:tcBorders>
              <w:top w:val="nil"/>
              <w:left w:val="nil"/>
              <w:bottom w:val="single" w:sz="4" w:space="0" w:color="auto"/>
              <w:right w:val="single" w:sz="4" w:space="0" w:color="auto"/>
            </w:tcBorders>
            <w:shd w:val="clear" w:color="auto" w:fill="auto"/>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24.4</w:t>
            </w:r>
          </w:p>
        </w:tc>
        <w:tc>
          <w:tcPr>
            <w:tcW w:w="781" w:type="dxa"/>
            <w:tcBorders>
              <w:top w:val="nil"/>
              <w:left w:val="nil"/>
              <w:bottom w:val="single" w:sz="4" w:space="0" w:color="auto"/>
              <w:right w:val="single" w:sz="4" w:space="0" w:color="auto"/>
            </w:tcBorders>
            <w:shd w:val="clear" w:color="auto" w:fill="auto"/>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28.2</w:t>
            </w:r>
          </w:p>
        </w:tc>
        <w:tc>
          <w:tcPr>
            <w:tcW w:w="661" w:type="dxa"/>
            <w:tcBorders>
              <w:top w:val="nil"/>
              <w:left w:val="nil"/>
              <w:bottom w:val="single" w:sz="4" w:space="0" w:color="auto"/>
              <w:right w:val="single" w:sz="4" w:space="0" w:color="auto"/>
            </w:tcBorders>
            <w:shd w:val="clear" w:color="000000" w:fill="009900"/>
            <w:noWrap/>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123</w:t>
            </w:r>
          </w:p>
        </w:tc>
        <w:tc>
          <w:tcPr>
            <w:tcW w:w="826" w:type="dxa"/>
            <w:tcBorders>
              <w:top w:val="nil"/>
              <w:left w:val="nil"/>
              <w:bottom w:val="single" w:sz="4" w:space="0" w:color="auto"/>
              <w:right w:val="single" w:sz="4" w:space="0" w:color="auto"/>
            </w:tcBorders>
            <w:shd w:val="clear" w:color="000000" w:fill="009900"/>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20.9</w:t>
            </w:r>
          </w:p>
        </w:tc>
        <w:tc>
          <w:tcPr>
            <w:tcW w:w="639" w:type="dxa"/>
            <w:tcBorders>
              <w:top w:val="nil"/>
              <w:left w:val="nil"/>
              <w:bottom w:val="single" w:sz="4" w:space="0" w:color="auto"/>
              <w:right w:val="single" w:sz="4" w:space="0" w:color="auto"/>
            </w:tcBorders>
            <w:shd w:val="clear" w:color="000000" w:fill="009900"/>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24.3</w:t>
            </w:r>
          </w:p>
        </w:tc>
        <w:tc>
          <w:tcPr>
            <w:tcW w:w="637" w:type="dxa"/>
            <w:tcBorders>
              <w:top w:val="nil"/>
              <w:left w:val="nil"/>
              <w:bottom w:val="single" w:sz="4" w:space="0" w:color="auto"/>
              <w:right w:val="single" w:sz="4" w:space="0" w:color="auto"/>
            </w:tcBorders>
            <w:shd w:val="clear" w:color="000000" w:fill="99FF66"/>
            <w:noWrap/>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11</w:t>
            </w:r>
          </w:p>
        </w:tc>
        <w:tc>
          <w:tcPr>
            <w:tcW w:w="709" w:type="dxa"/>
            <w:tcBorders>
              <w:top w:val="nil"/>
              <w:left w:val="nil"/>
              <w:bottom w:val="single" w:sz="4" w:space="0" w:color="auto"/>
              <w:right w:val="single" w:sz="4" w:space="0" w:color="auto"/>
            </w:tcBorders>
            <w:shd w:val="clear" w:color="000000" w:fill="99FF66"/>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64.0</w:t>
            </w:r>
          </w:p>
        </w:tc>
        <w:tc>
          <w:tcPr>
            <w:tcW w:w="850" w:type="dxa"/>
            <w:tcBorders>
              <w:top w:val="nil"/>
              <w:left w:val="nil"/>
              <w:bottom w:val="single" w:sz="4" w:space="0" w:color="auto"/>
              <w:right w:val="single" w:sz="4" w:space="0" w:color="auto"/>
            </w:tcBorders>
            <w:shd w:val="clear" w:color="000000" w:fill="99FF66"/>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38.4</w:t>
            </w:r>
          </w:p>
        </w:tc>
      </w:tr>
      <w:tr w:rsidR="007B7761" w:rsidRPr="007B7761">
        <w:trPr>
          <w:trHeight w:val="289"/>
        </w:trPr>
        <w:tc>
          <w:tcPr>
            <w:tcW w:w="1294" w:type="dxa"/>
            <w:tcBorders>
              <w:top w:val="nil"/>
              <w:left w:val="single" w:sz="4" w:space="0" w:color="auto"/>
              <w:bottom w:val="single" w:sz="4" w:space="0" w:color="auto"/>
              <w:right w:val="single" w:sz="4" w:space="0" w:color="auto"/>
            </w:tcBorders>
            <w:shd w:val="clear" w:color="auto" w:fill="auto"/>
            <w:vAlign w:val="bottom"/>
          </w:tcPr>
          <w:p w:rsidR="007B7761" w:rsidRPr="007B7761" w:rsidRDefault="007B7761" w:rsidP="007B7761">
            <w:pPr>
              <w:spacing w:after="0" w:line="240" w:lineRule="auto"/>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2005</w:t>
            </w:r>
          </w:p>
        </w:tc>
        <w:tc>
          <w:tcPr>
            <w:tcW w:w="661" w:type="dxa"/>
            <w:tcBorders>
              <w:top w:val="nil"/>
              <w:left w:val="nil"/>
              <w:bottom w:val="single" w:sz="4" w:space="0" w:color="auto"/>
              <w:right w:val="single" w:sz="4" w:space="0" w:color="auto"/>
            </w:tcBorders>
            <w:shd w:val="clear" w:color="auto" w:fill="auto"/>
            <w:noWrap/>
            <w:vAlign w:val="center"/>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153</w:t>
            </w:r>
          </w:p>
        </w:tc>
        <w:tc>
          <w:tcPr>
            <w:tcW w:w="885" w:type="dxa"/>
            <w:tcBorders>
              <w:top w:val="nil"/>
              <w:left w:val="nil"/>
              <w:bottom w:val="single" w:sz="4" w:space="0" w:color="auto"/>
              <w:right w:val="single" w:sz="4" w:space="0" w:color="auto"/>
            </w:tcBorders>
            <w:shd w:val="clear" w:color="auto" w:fill="auto"/>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19.6</w:t>
            </w:r>
          </w:p>
        </w:tc>
        <w:tc>
          <w:tcPr>
            <w:tcW w:w="781" w:type="dxa"/>
            <w:tcBorders>
              <w:top w:val="nil"/>
              <w:left w:val="nil"/>
              <w:bottom w:val="single" w:sz="4" w:space="0" w:color="auto"/>
              <w:right w:val="single" w:sz="4" w:space="0" w:color="auto"/>
            </w:tcBorders>
            <w:shd w:val="clear" w:color="auto" w:fill="auto"/>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28.1</w:t>
            </w:r>
          </w:p>
        </w:tc>
        <w:tc>
          <w:tcPr>
            <w:tcW w:w="661" w:type="dxa"/>
            <w:tcBorders>
              <w:top w:val="nil"/>
              <w:left w:val="nil"/>
              <w:bottom w:val="single" w:sz="4" w:space="0" w:color="auto"/>
              <w:right w:val="single" w:sz="4" w:space="0" w:color="auto"/>
            </w:tcBorders>
            <w:shd w:val="clear" w:color="000000" w:fill="009900"/>
            <w:noWrap/>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131</w:t>
            </w:r>
          </w:p>
        </w:tc>
        <w:tc>
          <w:tcPr>
            <w:tcW w:w="826" w:type="dxa"/>
            <w:tcBorders>
              <w:top w:val="nil"/>
              <w:left w:val="nil"/>
              <w:bottom w:val="single" w:sz="4" w:space="0" w:color="auto"/>
              <w:right w:val="single" w:sz="4" w:space="0" w:color="auto"/>
            </w:tcBorders>
            <w:shd w:val="clear" w:color="000000" w:fill="009900"/>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13.5</w:t>
            </w:r>
          </w:p>
        </w:tc>
        <w:tc>
          <w:tcPr>
            <w:tcW w:w="639" w:type="dxa"/>
            <w:tcBorders>
              <w:top w:val="nil"/>
              <w:left w:val="nil"/>
              <w:bottom w:val="single" w:sz="4" w:space="0" w:color="auto"/>
              <w:right w:val="single" w:sz="4" w:space="0" w:color="auto"/>
            </w:tcBorders>
            <w:shd w:val="clear" w:color="000000" w:fill="009900"/>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22.0</w:t>
            </w:r>
          </w:p>
        </w:tc>
        <w:tc>
          <w:tcPr>
            <w:tcW w:w="637" w:type="dxa"/>
            <w:tcBorders>
              <w:top w:val="nil"/>
              <w:left w:val="nil"/>
              <w:bottom w:val="single" w:sz="4" w:space="0" w:color="auto"/>
              <w:right w:val="single" w:sz="4" w:space="0" w:color="auto"/>
            </w:tcBorders>
            <w:shd w:val="clear" w:color="000000" w:fill="99FF66"/>
            <w:noWrap/>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22</w:t>
            </w:r>
          </w:p>
        </w:tc>
        <w:tc>
          <w:tcPr>
            <w:tcW w:w="709" w:type="dxa"/>
            <w:tcBorders>
              <w:top w:val="nil"/>
              <w:left w:val="nil"/>
              <w:bottom w:val="single" w:sz="4" w:space="0" w:color="auto"/>
              <w:right w:val="single" w:sz="4" w:space="0" w:color="auto"/>
            </w:tcBorders>
            <w:shd w:val="clear" w:color="000000" w:fill="99FF66"/>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55.7</w:t>
            </w:r>
          </w:p>
        </w:tc>
        <w:tc>
          <w:tcPr>
            <w:tcW w:w="850" w:type="dxa"/>
            <w:tcBorders>
              <w:top w:val="nil"/>
              <w:left w:val="nil"/>
              <w:bottom w:val="single" w:sz="4" w:space="0" w:color="auto"/>
              <w:right w:val="single" w:sz="4" w:space="0" w:color="auto"/>
            </w:tcBorders>
            <w:shd w:val="clear" w:color="000000" w:fill="99FF66"/>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33.8</w:t>
            </w:r>
          </w:p>
        </w:tc>
      </w:tr>
      <w:tr w:rsidR="007B7761" w:rsidRPr="007B7761">
        <w:trPr>
          <w:trHeight w:val="289"/>
        </w:trPr>
        <w:tc>
          <w:tcPr>
            <w:tcW w:w="1294" w:type="dxa"/>
            <w:tcBorders>
              <w:top w:val="nil"/>
              <w:left w:val="single" w:sz="4" w:space="0" w:color="auto"/>
              <w:bottom w:val="single" w:sz="4" w:space="0" w:color="auto"/>
              <w:right w:val="single" w:sz="4" w:space="0" w:color="auto"/>
            </w:tcBorders>
            <w:shd w:val="clear" w:color="auto" w:fill="auto"/>
            <w:vAlign w:val="bottom"/>
          </w:tcPr>
          <w:p w:rsidR="007B7761" w:rsidRPr="007B7761" w:rsidRDefault="007B7761" w:rsidP="007B7761">
            <w:pPr>
              <w:spacing w:after="0" w:line="240" w:lineRule="auto"/>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2006</w:t>
            </w:r>
          </w:p>
        </w:tc>
        <w:tc>
          <w:tcPr>
            <w:tcW w:w="661" w:type="dxa"/>
            <w:tcBorders>
              <w:top w:val="nil"/>
              <w:left w:val="nil"/>
              <w:bottom w:val="single" w:sz="4" w:space="0" w:color="auto"/>
              <w:right w:val="single" w:sz="4" w:space="0" w:color="auto"/>
            </w:tcBorders>
            <w:shd w:val="clear" w:color="auto" w:fill="auto"/>
            <w:noWrap/>
            <w:vAlign w:val="center"/>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175</w:t>
            </w:r>
          </w:p>
        </w:tc>
        <w:tc>
          <w:tcPr>
            <w:tcW w:w="885" w:type="dxa"/>
            <w:tcBorders>
              <w:top w:val="nil"/>
              <w:left w:val="nil"/>
              <w:bottom w:val="single" w:sz="4" w:space="0" w:color="auto"/>
              <w:right w:val="single" w:sz="4" w:space="0" w:color="auto"/>
            </w:tcBorders>
            <w:shd w:val="clear" w:color="auto" w:fill="auto"/>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25.5</w:t>
            </w:r>
          </w:p>
        </w:tc>
        <w:tc>
          <w:tcPr>
            <w:tcW w:w="781" w:type="dxa"/>
            <w:tcBorders>
              <w:top w:val="nil"/>
              <w:left w:val="nil"/>
              <w:bottom w:val="single" w:sz="4" w:space="0" w:color="auto"/>
              <w:right w:val="single" w:sz="4" w:space="0" w:color="auto"/>
            </w:tcBorders>
            <w:shd w:val="clear" w:color="auto" w:fill="auto"/>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29.2</w:t>
            </w:r>
          </w:p>
        </w:tc>
        <w:tc>
          <w:tcPr>
            <w:tcW w:w="661" w:type="dxa"/>
            <w:tcBorders>
              <w:top w:val="nil"/>
              <w:left w:val="nil"/>
              <w:bottom w:val="single" w:sz="4" w:space="0" w:color="auto"/>
              <w:right w:val="single" w:sz="4" w:space="0" w:color="auto"/>
            </w:tcBorders>
            <w:shd w:val="clear" w:color="000000" w:fill="009900"/>
            <w:noWrap/>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137</w:t>
            </w:r>
          </w:p>
        </w:tc>
        <w:tc>
          <w:tcPr>
            <w:tcW w:w="826" w:type="dxa"/>
            <w:tcBorders>
              <w:top w:val="nil"/>
              <w:left w:val="nil"/>
              <w:bottom w:val="single" w:sz="4" w:space="0" w:color="auto"/>
              <w:right w:val="single" w:sz="4" w:space="0" w:color="auto"/>
            </w:tcBorders>
            <w:shd w:val="clear" w:color="000000" w:fill="009900"/>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17.3</w:t>
            </w:r>
          </w:p>
        </w:tc>
        <w:tc>
          <w:tcPr>
            <w:tcW w:w="639" w:type="dxa"/>
            <w:tcBorders>
              <w:top w:val="nil"/>
              <w:left w:val="nil"/>
              <w:bottom w:val="single" w:sz="4" w:space="0" w:color="auto"/>
              <w:right w:val="single" w:sz="4" w:space="0" w:color="auto"/>
            </w:tcBorders>
            <w:shd w:val="clear" w:color="000000" w:fill="009900"/>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26.1</w:t>
            </w:r>
          </w:p>
        </w:tc>
        <w:tc>
          <w:tcPr>
            <w:tcW w:w="637" w:type="dxa"/>
            <w:tcBorders>
              <w:top w:val="nil"/>
              <w:left w:val="nil"/>
              <w:bottom w:val="single" w:sz="4" w:space="0" w:color="auto"/>
              <w:right w:val="single" w:sz="4" w:space="0" w:color="auto"/>
            </w:tcBorders>
            <w:shd w:val="clear" w:color="000000" w:fill="99FF66"/>
            <w:noWrap/>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38</w:t>
            </w:r>
          </w:p>
        </w:tc>
        <w:tc>
          <w:tcPr>
            <w:tcW w:w="709" w:type="dxa"/>
            <w:tcBorders>
              <w:top w:val="nil"/>
              <w:left w:val="nil"/>
              <w:bottom w:val="single" w:sz="4" w:space="0" w:color="auto"/>
              <w:right w:val="single" w:sz="4" w:space="0" w:color="auto"/>
            </w:tcBorders>
            <w:shd w:val="clear" w:color="000000" w:fill="99FF66"/>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55.0</w:t>
            </w:r>
          </w:p>
        </w:tc>
        <w:tc>
          <w:tcPr>
            <w:tcW w:w="850" w:type="dxa"/>
            <w:tcBorders>
              <w:top w:val="nil"/>
              <w:left w:val="nil"/>
              <w:bottom w:val="single" w:sz="4" w:space="0" w:color="auto"/>
              <w:right w:val="single" w:sz="4" w:space="0" w:color="auto"/>
            </w:tcBorders>
            <w:shd w:val="clear" w:color="000000" w:fill="99FF66"/>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19.3</w:t>
            </w:r>
          </w:p>
        </w:tc>
      </w:tr>
      <w:tr w:rsidR="007B7761" w:rsidRPr="007B7761">
        <w:trPr>
          <w:trHeight w:val="289"/>
        </w:trPr>
        <w:tc>
          <w:tcPr>
            <w:tcW w:w="1294" w:type="dxa"/>
            <w:tcBorders>
              <w:top w:val="nil"/>
              <w:left w:val="single" w:sz="4" w:space="0" w:color="auto"/>
              <w:bottom w:val="single" w:sz="4" w:space="0" w:color="auto"/>
              <w:right w:val="single" w:sz="4" w:space="0" w:color="auto"/>
            </w:tcBorders>
            <w:shd w:val="clear" w:color="auto" w:fill="auto"/>
            <w:vAlign w:val="bottom"/>
          </w:tcPr>
          <w:p w:rsidR="007B7761" w:rsidRPr="007B7761" w:rsidRDefault="007B7761" w:rsidP="007B7761">
            <w:pPr>
              <w:spacing w:after="0" w:line="240" w:lineRule="auto"/>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2007</w:t>
            </w:r>
          </w:p>
        </w:tc>
        <w:tc>
          <w:tcPr>
            <w:tcW w:w="661" w:type="dxa"/>
            <w:tcBorders>
              <w:top w:val="nil"/>
              <w:left w:val="nil"/>
              <w:bottom w:val="single" w:sz="4" w:space="0" w:color="auto"/>
              <w:right w:val="single" w:sz="4" w:space="0" w:color="auto"/>
            </w:tcBorders>
            <w:shd w:val="clear" w:color="auto" w:fill="auto"/>
            <w:noWrap/>
            <w:vAlign w:val="center"/>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151</w:t>
            </w:r>
          </w:p>
        </w:tc>
        <w:tc>
          <w:tcPr>
            <w:tcW w:w="885" w:type="dxa"/>
            <w:tcBorders>
              <w:top w:val="nil"/>
              <w:left w:val="nil"/>
              <w:bottom w:val="single" w:sz="4" w:space="0" w:color="auto"/>
              <w:right w:val="single" w:sz="4" w:space="0" w:color="auto"/>
            </w:tcBorders>
            <w:shd w:val="clear" w:color="auto" w:fill="auto"/>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26.6</w:t>
            </w:r>
          </w:p>
        </w:tc>
        <w:tc>
          <w:tcPr>
            <w:tcW w:w="781" w:type="dxa"/>
            <w:tcBorders>
              <w:top w:val="nil"/>
              <w:left w:val="nil"/>
              <w:bottom w:val="single" w:sz="4" w:space="0" w:color="auto"/>
              <w:right w:val="single" w:sz="4" w:space="0" w:color="auto"/>
            </w:tcBorders>
            <w:shd w:val="clear" w:color="auto" w:fill="auto"/>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26.2</w:t>
            </w:r>
          </w:p>
        </w:tc>
        <w:tc>
          <w:tcPr>
            <w:tcW w:w="661" w:type="dxa"/>
            <w:tcBorders>
              <w:top w:val="nil"/>
              <w:left w:val="nil"/>
              <w:bottom w:val="single" w:sz="4" w:space="0" w:color="auto"/>
              <w:right w:val="single" w:sz="4" w:space="0" w:color="auto"/>
            </w:tcBorders>
            <w:shd w:val="clear" w:color="000000" w:fill="009900"/>
            <w:noWrap/>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126</w:t>
            </w:r>
          </w:p>
        </w:tc>
        <w:tc>
          <w:tcPr>
            <w:tcW w:w="826" w:type="dxa"/>
            <w:tcBorders>
              <w:top w:val="nil"/>
              <w:left w:val="nil"/>
              <w:bottom w:val="single" w:sz="4" w:space="0" w:color="auto"/>
              <w:right w:val="single" w:sz="4" w:space="0" w:color="auto"/>
            </w:tcBorders>
            <w:shd w:val="clear" w:color="000000" w:fill="009900"/>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22.7</w:t>
            </w:r>
          </w:p>
        </w:tc>
        <w:tc>
          <w:tcPr>
            <w:tcW w:w="639" w:type="dxa"/>
            <w:tcBorders>
              <w:top w:val="nil"/>
              <w:left w:val="nil"/>
              <w:bottom w:val="single" w:sz="4" w:space="0" w:color="auto"/>
              <w:right w:val="single" w:sz="4" w:space="0" w:color="auto"/>
            </w:tcBorders>
            <w:shd w:val="clear" w:color="000000" w:fill="009900"/>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26.5</w:t>
            </w:r>
          </w:p>
        </w:tc>
        <w:tc>
          <w:tcPr>
            <w:tcW w:w="637" w:type="dxa"/>
            <w:tcBorders>
              <w:top w:val="nil"/>
              <w:left w:val="nil"/>
              <w:bottom w:val="single" w:sz="4" w:space="0" w:color="auto"/>
              <w:right w:val="single" w:sz="4" w:space="0" w:color="auto"/>
            </w:tcBorders>
            <w:shd w:val="clear" w:color="000000" w:fill="99FF66"/>
            <w:noWrap/>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25</w:t>
            </w:r>
          </w:p>
        </w:tc>
        <w:tc>
          <w:tcPr>
            <w:tcW w:w="709" w:type="dxa"/>
            <w:tcBorders>
              <w:top w:val="nil"/>
              <w:left w:val="nil"/>
              <w:bottom w:val="single" w:sz="4" w:space="0" w:color="auto"/>
              <w:right w:val="single" w:sz="4" w:space="0" w:color="auto"/>
            </w:tcBorders>
            <w:shd w:val="clear" w:color="000000" w:fill="99FF66"/>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46.3</w:t>
            </w:r>
          </w:p>
        </w:tc>
        <w:tc>
          <w:tcPr>
            <w:tcW w:w="850" w:type="dxa"/>
            <w:tcBorders>
              <w:top w:val="nil"/>
              <w:left w:val="nil"/>
              <w:bottom w:val="single" w:sz="4" w:space="0" w:color="auto"/>
              <w:right w:val="single" w:sz="4" w:space="0" w:color="auto"/>
            </w:tcBorders>
            <w:shd w:val="clear" w:color="000000" w:fill="99FF66"/>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12.7</w:t>
            </w:r>
          </w:p>
        </w:tc>
      </w:tr>
      <w:tr w:rsidR="007B7761" w:rsidRPr="007B7761">
        <w:trPr>
          <w:trHeight w:val="289"/>
        </w:trPr>
        <w:tc>
          <w:tcPr>
            <w:tcW w:w="1294" w:type="dxa"/>
            <w:tcBorders>
              <w:top w:val="nil"/>
              <w:left w:val="single" w:sz="4" w:space="0" w:color="auto"/>
              <w:bottom w:val="single" w:sz="4" w:space="0" w:color="auto"/>
              <w:right w:val="single" w:sz="4" w:space="0" w:color="auto"/>
            </w:tcBorders>
            <w:shd w:val="clear" w:color="auto" w:fill="auto"/>
            <w:vAlign w:val="bottom"/>
          </w:tcPr>
          <w:p w:rsidR="007B7761" w:rsidRPr="007B7761" w:rsidRDefault="007B7761" w:rsidP="007B7761">
            <w:pPr>
              <w:spacing w:after="0" w:line="240" w:lineRule="auto"/>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2008</w:t>
            </w:r>
          </w:p>
        </w:tc>
        <w:tc>
          <w:tcPr>
            <w:tcW w:w="661" w:type="dxa"/>
            <w:tcBorders>
              <w:top w:val="nil"/>
              <w:left w:val="nil"/>
              <w:bottom w:val="single" w:sz="4" w:space="0" w:color="auto"/>
              <w:right w:val="single" w:sz="4" w:space="0" w:color="auto"/>
            </w:tcBorders>
            <w:shd w:val="clear" w:color="auto" w:fill="auto"/>
            <w:noWrap/>
            <w:vAlign w:val="center"/>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166</w:t>
            </w:r>
          </w:p>
        </w:tc>
        <w:tc>
          <w:tcPr>
            <w:tcW w:w="885" w:type="dxa"/>
            <w:tcBorders>
              <w:top w:val="nil"/>
              <w:left w:val="nil"/>
              <w:bottom w:val="single" w:sz="4" w:space="0" w:color="auto"/>
              <w:right w:val="single" w:sz="4" w:space="0" w:color="auto"/>
            </w:tcBorders>
            <w:shd w:val="clear" w:color="auto" w:fill="auto"/>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20.7</w:t>
            </w:r>
          </w:p>
        </w:tc>
        <w:tc>
          <w:tcPr>
            <w:tcW w:w="781" w:type="dxa"/>
            <w:tcBorders>
              <w:top w:val="nil"/>
              <w:left w:val="nil"/>
              <w:bottom w:val="single" w:sz="4" w:space="0" w:color="auto"/>
              <w:right w:val="single" w:sz="4" w:space="0" w:color="auto"/>
            </w:tcBorders>
            <w:shd w:val="clear" w:color="auto" w:fill="auto"/>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20.3</w:t>
            </w:r>
          </w:p>
        </w:tc>
        <w:tc>
          <w:tcPr>
            <w:tcW w:w="661" w:type="dxa"/>
            <w:tcBorders>
              <w:top w:val="nil"/>
              <w:left w:val="nil"/>
              <w:bottom w:val="single" w:sz="4" w:space="0" w:color="auto"/>
              <w:right w:val="single" w:sz="4" w:space="0" w:color="auto"/>
            </w:tcBorders>
            <w:shd w:val="clear" w:color="000000" w:fill="009900"/>
            <w:noWrap/>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138</w:t>
            </w:r>
          </w:p>
        </w:tc>
        <w:tc>
          <w:tcPr>
            <w:tcW w:w="826" w:type="dxa"/>
            <w:tcBorders>
              <w:top w:val="nil"/>
              <w:left w:val="nil"/>
              <w:bottom w:val="single" w:sz="4" w:space="0" w:color="auto"/>
              <w:right w:val="single" w:sz="4" w:space="0" w:color="auto"/>
            </w:tcBorders>
            <w:shd w:val="clear" w:color="000000" w:fill="009900"/>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17.3</w:t>
            </w:r>
          </w:p>
        </w:tc>
        <w:tc>
          <w:tcPr>
            <w:tcW w:w="639" w:type="dxa"/>
            <w:tcBorders>
              <w:top w:val="nil"/>
              <w:left w:val="nil"/>
              <w:bottom w:val="single" w:sz="4" w:space="0" w:color="auto"/>
              <w:right w:val="single" w:sz="4" w:space="0" w:color="auto"/>
            </w:tcBorders>
            <w:shd w:val="clear" w:color="000000" w:fill="009900"/>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20.0</w:t>
            </w:r>
          </w:p>
        </w:tc>
        <w:tc>
          <w:tcPr>
            <w:tcW w:w="637" w:type="dxa"/>
            <w:tcBorders>
              <w:top w:val="nil"/>
              <w:left w:val="nil"/>
              <w:bottom w:val="single" w:sz="4" w:space="0" w:color="auto"/>
              <w:right w:val="single" w:sz="4" w:space="0" w:color="auto"/>
            </w:tcBorders>
            <w:shd w:val="clear" w:color="000000" w:fill="99FF66"/>
            <w:noWrap/>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28</w:t>
            </w:r>
          </w:p>
        </w:tc>
        <w:tc>
          <w:tcPr>
            <w:tcW w:w="709" w:type="dxa"/>
            <w:tcBorders>
              <w:top w:val="nil"/>
              <w:left w:val="nil"/>
              <w:bottom w:val="single" w:sz="4" w:space="0" w:color="auto"/>
              <w:right w:val="single" w:sz="4" w:space="0" w:color="auto"/>
            </w:tcBorders>
            <w:shd w:val="clear" w:color="000000" w:fill="99FF66"/>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37.3</w:t>
            </w:r>
          </w:p>
        </w:tc>
        <w:tc>
          <w:tcPr>
            <w:tcW w:w="850" w:type="dxa"/>
            <w:tcBorders>
              <w:top w:val="nil"/>
              <w:left w:val="nil"/>
              <w:bottom w:val="single" w:sz="4" w:space="0" w:color="auto"/>
              <w:right w:val="single" w:sz="4" w:space="0" w:color="auto"/>
            </w:tcBorders>
            <w:shd w:val="clear" w:color="000000" w:fill="99FF66"/>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12.0</w:t>
            </w:r>
          </w:p>
        </w:tc>
      </w:tr>
      <w:tr w:rsidR="007B7761" w:rsidRPr="007B7761">
        <w:trPr>
          <w:trHeight w:val="289"/>
        </w:trPr>
        <w:tc>
          <w:tcPr>
            <w:tcW w:w="1294" w:type="dxa"/>
            <w:tcBorders>
              <w:top w:val="nil"/>
              <w:left w:val="single" w:sz="4" w:space="0" w:color="auto"/>
              <w:bottom w:val="single" w:sz="4" w:space="0" w:color="auto"/>
              <w:right w:val="single" w:sz="4" w:space="0" w:color="auto"/>
            </w:tcBorders>
            <w:shd w:val="clear" w:color="auto" w:fill="auto"/>
            <w:vAlign w:val="bottom"/>
          </w:tcPr>
          <w:p w:rsidR="007B7761" w:rsidRPr="007B7761" w:rsidRDefault="007B7761" w:rsidP="007B7761">
            <w:pPr>
              <w:spacing w:after="0" w:line="240" w:lineRule="auto"/>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2009</w:t>
            </w:r>
          </w:p>
        </w:tc>
        <w:tc>
          <w:tcPr>
            <w:tcW w:w="661" w:type="dxa"/>
            <w:tcBorders>
              <w:top w:val="nil"/>
              <w:left w:val="nil"/>
              <w:bottom w:val="single" w:sz="4" w:space="0" w:color="auto"/>
              <w:right w:val="single" w:sz="4" w:space="0" w:color="auto"/>
            </w:tcBorders>
            <w:shd w:val="clear" w:color="auto" w:fill="auto"/>
            <w:noWrap/>
            <w:vAlign w:val="center"/>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184</w:t>
            </w:r>
          </w:p>
        </w:tc>
        <w:tc>
          <w:tcPr>
            <w:tcW w:w="885" w:type="dxa"/>
            <w:tcBorders>
              <w:top w:val="nil"/>
              <w:left w:val="nil"/>
              <w:bottom w:val="single" w:sz="4" w:space="0" w:color="auto"/>
              <w:right w:val="single" w:sz="4" w:space="0" w:color="auto"/>
            </w:tcBorders>
            <w:shd w:val="clear" w:color="auto" w:fill="auto"/>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18.7</w:t>
            </w:r>
          </w:p>
        </w:tc>
        <w:tc>
          <w:tcPr>
            <w:tcW w:w="781" w:type="dxa"/>
            <w:tcBorders>
              <w:top w:val="nil"/>
              <w:left w:val="nil"/>
              <w:bottom w:val="single" w:sz="4" w:space="0" w:color="auto"/>
              <w:right w:val="single" w:sz="4" w:space="0" w:color="auto"/>
            </w:tcBorders>
            <w:shd w:val="clear" w:color="auto" w:fill="auto"/>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14.6</w:t>
            </w:r>
          </w:p>
        </w:tc>
        <w:tc>
          <w:tcPr>
            <w:tcW w:w="661" w:type="dxa"/>
            <w:tcBorders>
              <w:top w:val="nil"/>
              <w:left w:val="nil"/>
              <w:bottom w:val="single" w:sz="4" w:space="0" w:color="auto"/>
              <w:right w:val="single" w:sz="4" w:space="0" w:color="auto"/>
            </w:tcBorders>
            <w:shd w:val="clear" w:color="000000" w:fill="009900"/>
            <w:noWrap/>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155</w:t>
            </w:r>
          </w:p>
        </w:tc>
        <w:tc>
          <w:tcPr>
            <w:tcW w:w="826" w:type="dxa"/>
            <w:tcBorders>
              <w:top w:val="nil"/>
              <w:left w:val="nil"/>
              <w:bottom w:val="single" w:sz="4" w:space="0" w:color="auto"/>
              <w:right w:val="single" w:sz="4" w:space="0" w:color="auto"/>
            </w:tcBorders>
            <w:shd w:val="clear" w:color="000000" w:fill="009900"/>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17.2</w:t>
            </w:r>
          </w:p>
        </w:tc>
        <w:tc>
          <w:tcPr>
            <w:tcW w:w="639" w:type="dxa"/>
            <w:tcBorders>
              <w:top w:val="nil"/>
              <w:left w:val="nil"/>
              <w:bottom w:val="single" w:sz="4" w:space="0" w:color="auto"/>
              <w:right w:val="single" w:sz="4" w:space="0" w:color="auto"/>
            </w:tcBorders>
            <w:shd w:val="clear" w:color="000000" w:fill="009900"/>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14.7</w:t>
            </w:r>
          </w:p>
        </w:tc>
        <w:tc>
          <w:tcPr>
            <w:tcW w:w="637" w:type="dxa"/>
            <w:tcBorders>
              <w:top w:val="nil"/>
              <w:left w:val="nil"/>
              <w:bottom w:val="single" w:sz="4" w:space="0" w:color="auto"/>
              <w:right w:val="single" w:sz="4" w:space="0" w:color="auto"/>
            </w:tcBorders>
            <w:shd w:val="clear" w:color="000000" w:fill="99FF66"/>
            <w:noWrap/>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29</w:t>
            </w:r>
          </w:p>
        </w:tc>
        <w:tc>
          <w:tcPr>
            <w:tcW w:w="709" w:type="dxa"/>
            <w:tcBorders>
              <w:top w:val="nil"/>
              <w:left w:val="nil"/>
              <w:bottom w:val="single" w:sz="4" w:space="0" w:color="auto"/>
              <w:right w:val="single" w:sz="4" w:space="0" w:color="auto"/>
            </w:tcBorders>
            <w:shd w:val="clear" w:color="000000" w:fill="99FF66"/>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26.4</w:t>
            </w:r>
          </w:p>
        </w:tc>
        <w:tc>
          <w:tcPr>
            <w:tcW w:w="850" w:type="dxa"/>
            <w:tcBorders>
              <w:top w:val="nil"/>
              <w:left w:val="nil"/>
              <w:bottom w:val="single" w:sz="4" w:space="0" w:color="auto"/>
              <w:right w:val="single" w:sz="4" w:space="0" w:color="auto"/>
            </w:tcBorders>
            <w:shd w:val="clear" w:color="000000" w:fill="99FF66"/>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11.1</w:t>
            </w:r>
          </w:p>
        </w:tc>
      </w:tr>
      <w:tr w:rsidR="007B7761" w:rsidRPr="007B7761">
        <w:trPr>
          <w:trHeight w:val="289"/>
        </w:trPr>
        <w:tc>
          <w:tcPr>
            <w:tcW w:w="1294" w:type="dxa"/>
            <w:tcBorders>
              <w:top w:val="nil"/>
              <w:left w:val="single" w:sz="4" w:space="0" w:color="auto"/>
              <w:bottom w:val="single" w:sz="4" w:space="0" w:color="auto"/>
              <w:right w:val="single" w:sz="4" w:space="0" w:color="auto"/>
            </w:tcBorders>
            <w:shd w:val="clear" w:color="auto" w:fill="auto"/>
            <w:vAlign w:val="bottom"/>
          </w:tcPr>
          <w:p w:rsidR="007B7761" w:rsidRPr="007B7761" w:rsidRDefault="007B7761" w:rsidP="007B7761">
            <w:pPr>
              <w:spacing w:after="0" w:line="240" w:lineRule="auto"/>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2010</w:t>
            </w:r>
          </w:p>
        </w:tc>
        <w:tc>
          <w:tcPr>
            <w:tcW w:w="661" w:type="dxa"/>
            <w:tcBorders>
              <w:top w:val="nil"/>
              <w:left w:val="nil"/>
              <w:bottom w:val="single" w:sz="4" w:space="0" w:color="auto"/>
              <w:right w:val="single" w:sz="4" w:space="0" w:color="auto"/>
            </w:tcBorders>
            <w:shd w:val="clear" w:color="auto" w:fill="auto"/>
            <w:noWrap/>
            <w:vAlign w:val="center"/>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240</w:t>
            </w:r>
          </w:p>
        </w:tc>
        <w:tc>
          <w:tcPr>
            <w:tcW w:w="885" w:type="dxa"/>
            <w:tcBorders>
              <w:top w:val="nil"/>
              <w:left w:val="nil"/>
              <w:bottom w:val="single" w:sz="4" w:space="0" w:color="auto"/>
              <w:right w:val="single" w:sz="4" w:space="0" w:color="auto"/>
            </w:tcBorders>
            <w:shd w:val="clear" w:color="auto" w:fill="auto"/>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13.9</w:t>
            </w:r>
          </w:p>
        </w:tc>
        <w:tc>
          <w:tcPr>
            <w:tcW w:w="781" w:type="dxa"/>
            <w:tcBorders>
              <w:top w:val="nil"/>
              <w:left w:val="nil"/>
              <w:bottom w:val="single" w:sz="4" w:space="0" w:color="auto"/>
              <w:right w:val="single" w:sz="4" w:space="0" w:color="auto"/>
            </w:tcBorders>
            <w:shd w:val="clear" w:color="auto" w:fill="auto"/>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9.7</w:t>
            </w:r>
          </w:p>
        </w:tc>
        <w:tc>
          <w:tcPr>
            <w:tcW w:w="661" w:type="dxa"/>
            <w:tcBorders>
              <w:top w:val="nil"/>
              <w:left w:val="nil"/>
              <w:bottom w:val="single" w:sz="4" w:space="0" w:color="auto"/>
              <w:right w:val="single" w:sz="4" w:space="0" w:color="auto"/>
            </w:tcBorders>
            <w:shd w:val="clear" w:color="000000" w:fill="009900"/>
            <w:noWrap/>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170</w:t>
            </w:r>
          </w:p>
        </w:tc>
        <w:tc>
          <w:tcPr>
            <w:tcW w:w="826" w:type="dxa"/>
            <w:tcBorders>
              <w:top w:val="nil"/>
              <w:left w:val="nil"/>
              <w:bottom w:val="single" w:sz="4" w:space="0" w:color="auto"/>
              <w:right w:val="single" w:sz="4" w:space="0" w:color="auto"/>
            </w:tcBorders>
            <w:shd w:val="clear" w:color="000000" w:fill="009900"/>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14.1</w:t>
            </w:r>
          </w:p>
        </w:tc>
        <w:tc>
          <w:tcPr>
            <w:tcW w:w="639" w:type="dxa"/>
            <w:tcBorders>
              <w:top w:val="nil"/>
              <w:left w:val="nil"/>
              <w:bottom w:val="single" w:sz="4" w:space="0" w:color="auto"/>
              <w:right w:val="single" w:sz="4" w:space="0" w:color="auto"/>
            </w:tcBorders>
            <w:shd w:val="clear" w:color="000000" w:fill="009900"/>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10.7</w:t>
            </w:r>
          </w:p>
        </w:tc>
        <w:tc>
          <w:tcPr>
            <w:tcW w:w="637" w:type="dxa"/>
            <w:tcBorders>
              <w:top w:val="nil"/>
              <w:left w:val="nil"/>
              <w:bottom w:val="single" w:sz="4" w:space="0" w:color="auto"/>
              <w:right w:val="single" w:sz="4" w:space="0" w:color="auto"/>
            </w:tcBorders>
            <w:shd w:val="clear" w:color="000000" w:fill="99FF66"/>
            <w:noWrap/>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70</w:t>
            </w:r>
          </w:p>
        </w:tc>
        <w:tc>
          <w:tcPr>
            <w:tcW w:w="709" w:type="dxa"/>
            <w:tcBorders>
              <w:top w:val="nil"/>
              <w:left w:val="nil"/>
              <w:bottom w:val="single" w:sz="4" w:space="0" w:color="auto"/>
              <w:right w:val="single" w:sz="4" w:space="0" w:color="auto"/>
            </w:tcBorders>
            <w:shd w:val="clear" w:color="000000" w:fill="99FF66"/>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13.3</w:t>
            </w:r>
          </w:p>
        </w:tc>
        <w:tc>
          <w:tcPr>
            <w:tcW w:w="850" w:type="dxa"/>
            <w:tcBorders>
              <w:top w:val="nil"/>
              <w:left w:val="nil"/>
              <w:bottom w:val="single" w:sz="4" w:space="0" w:color="auto"/>
              <w:right w:val="single" w:sz="4" w:space="0" w:color="auto"/>
            </w:tcBorders>
            <w:shd w:val="clear" w:color="000000" w:fill="99FF66"/>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6.8</w:t>
            </w:r>
          </w:p>
        </w:tc>
      </w:tr>
      <w:tr w:rsidR="007B7761" w:rsidRPr="007B7761">
        <w:trPr>
          <w:trHeight w:val="289"/>
        </w:trPr>
        <w:tc>
          <w:tcPr>
            <w:tcW w:w="1294" w:type="dxa"/>
            <w:tcBorders>
              <w:top w:val="nil"/>
              <w:left w:val="single" w:sz="4" w:space="0" w:color="auto"/>
              <w:bottom w:val="single" w:sz="4" w:space="0" w:color="auto"/>
              <w:right w:val="single" w:sz="4" w:space="0" w:color="auto"/>
            </w:tcBorders>
            <w:shd w:val="clear" w:color="auto" w:fill="auto"/>
            <w:vAlign w:val="bottom"/>
          </w:tcPr>
          <w:p w:rsidR="007B7761" w:rsidRPr="007B7761" w:rsidRDefault="007B7761" w:rsidP="007B7761">
            <w:pPr>
              <w:spacing w:after="0" w:line="240" w:lineRule="auto"/>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2011</w:t>
            </w:r>
          </w:p>
        </w:tc>
        <w:tc>
          <w:tcPr>
            <w:tcW w:w="661" w:type="dxa"/>
            <w:tcBorders>
              <w:top w:val="nil"/>
              <w:left w:val="nil"/>
              <w:bottom w:val="single" w:sz="4" w:space="0" w:color="auto"/>
              <w:right w:val="single" w:sz="4" w:space="0" w:color="auto"/>
            </w:tcBorders>
            <w:shd w:val="clear" w:color="auto" w:fill="auto"/>
            <w:noWrap/>
            <w:vAlign w:val="center"/>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428</w:t>
            </w:r>
          </w:p>
        </w:tc>
        <w:tc>
          <w:tcPr>
            <w:tcW w:w="885" w:type="dxa"/>
            <w:tcBorders>
              <w:top w:val="nil"/>
              <w:left w:val="nil"/>
              <w:bottom w:val="single" w:sz="4" w:space="0" w:color="auto"/>
              <w:right w:val="single" w:sz="4" w:space="0" w:color="auto"/>
            </w:tcBorders>
            <w:shd w:val="clear" w:color="auto" w:fill="auto"/>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4.0</w:t>
            </w:r>
          </w:p>
        </w:tc>
        <w:tc>
          <w:tcPr>
            <w:tcW w:w="781" w:type="dxa"/>
            <w:tcBorders>
              <w:top w:val="nil"/>
              <w:left w:val="nil"/>
              <w:bottom w:val="single" w:sz="4" w:space="0" w:color="auto"/>
              <w:right w:val="single" w:sz="4" w:space="0" w:color="auto"/>
            </w:tcBorders>
            <w:shd w:val="clear" w:color="auto" w:fill="auto"/>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5.3</w:t>
            </w:r>
          </w:p>
        </w:tc>
        <w:tc>
          <w:tcPr>
            <w:tcW w:w="661" w:type="dxa"/>
            <w:tcBorders>
              <w:top w:val="nil"/>
              <w:left w:val="nil"/>
              <w:bottom w:val="single" w:sz="4" w:space="0" w:color="auto"/>
              <w:right w:val="single" w:sz="4" w:space="0" w:color="auto"/>
            </w:tcBorders>
            <w:shd w:val="clear" w:color="000000" w:fill="009900"/>
            <w:noWrap/>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280</w:t>
            </w:r>
          </w:p>
        </w:tc>
        <w:tc>
          <w:tcPr>
            <w:tcW w:w="826" w:type="dxa"/>
            <w:tcBorders>
              <w:top w:val="nil"/>
              <w:left w:val="nil"/>
              <w:bottom w:val="single" w:sz="4" w:space="0" w:color="auto"/>
              <w:right w:val="single" w:sz="4" w:space="0" w:color="auto"/>
            </w:tcBorders>
            <w:shd w:val="clear" w:color="000000" w:fill="009900"/>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4.0</w:t>
            </w:r>
          </w:p>
        </w:tc>
        <w:tc>
          <w:tcPr>
            <w:tcW w:w="639" w:type="dxa"/>
            <w:tcBorders>
              <w:top w:val="nil"/>
              <w:left w:val="nil"/>
              <w:bottom w:val="single" w:sz="4" w:space="0" w:color="auto"/>
              <w:right w:val="single" w:sz="4" w:space="0" w:color="auto"/>
            </w:tcBorders>
            <w:shd w:val="clear" w:color="000000" w:fill="009900"/>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5.4</w:t>
            </w:r>
          </w:p>
        </w:tc>
        <w:tc>
          <w:tcPr>
            <w:tcW w:w="637" w:type="dxa"/>
            <w:tcBorders>
              <w:top w:val="nil"/>
              <w:left w:val="nil"/>
              <w:bottom w:val="single" w:sz="4" w:space="0" w:color="auto"/>
              <w:right w:val="single" w:sz="4" w:space="0" w:color="auto"/>
            </w:tcBorders>
            <w:shd w:val="clear" w:color="000000" w:fill="99FF66"/>
            <w:noWrap/>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148</w:t>
            </w:r>
          </w:p>
        </w:tc>
        <w:tc>
          <w:tcPr>
            <w:tcW w:w="709" w:type="dxa"/>
            <w:tcBorders>
              <w:top w:val="nil"/>
              <w:left w:val="nil"/>
              <w:bottom w:val="single" w:sz="4" w:space="0" w:color="auto"/>
              <w:right w:val="single" w:sz="4" w:space="0" w:color="auto"/>
            </w:tcBorders>
            <w:shd w:val="clear" w:color="000000" w:fill="99FF66"/>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4.0</w:t>
            </w:r>
          </w:p>
        </w:tc>
        <w:tc>
          <w:tcPr>
            <w:tcW w:w="850" w:type="dxa"/>
            <w:tcBorders>
              <w:top w:val="nil"/>
              <w:left w:val="nil"/>
              <w:bottom w:val="single" w:sz="4" w:space="0" w:color="auto"/>
              <w:right w:val="single" w:sz="4" w:space="0" w:color="auto"/>
            </w:tcBorders>
            <w:shd w:val="clear" w:color="000000" w:fill="99FF66"/>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5.1</w:t>
            </w:r>
          </w:p>
        </w:tc>
      </w:tr>
      <w:tr w:rsidR="007B7761" w:rsidRPr="007B7761">
        <w:trPr>
          <w:trHeight w:val="289"/>
        </w:trPr>
        <w:tc>
          <w:tcPr>
            <w:tcW w:w="1294" w:type="dxa"/>
            <w:tcBorders>
              <w:top w:val="nil"/>
              <w:left w:val="single" w:sz="4" w:space="0" w:color="auto"/>
              <w:bottom w:val="single" w:sz="4" w:space="0" w:color="auto"/>
              <w:right w:val="single" w:sz="4" w:space="0" w:color="auto"/>
            </w:tcBorders>
            <w:shd w:val="clear" w:color="auto" w:fill="auto"/>
            <w:vAlign w:val="bottom"/>
          </w:tcPr>
          <w:p w:rsidR="007B7761" w:rsidRPr="007B7761" w:rsidRDefault="007B7761" w:rsidP="007B7761">
            <w:pPr>
              <w:spacing w:after="0" w:line="240" w:lineRule="auto"/>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2012</w:t>
            </w:r>
          </w:p>
        </w:tc>
        <w:tc>
          <w:tcPr>
            <w:tcW w:w="661" w:type="dxa"/>
            <w:tcBorders>
              <w:top w:val="nil"/>
              <w:left w:val="nil"/>
              <w:bottom w:val="single" w:sz="4" w:space="0" w:color="auto"/>
              <w:right w:val="single" w:sz="4" w:space="0" w:color="auto"/>
            </w:tcBorders>
            <w:shd w:val="clear" w:color="auto" w:fill="auto"/>
            <w:noWrap/>
            <w:vAlign w:val="center"/>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551</w:t>
            </w:r>
          </w:p>
        </w:tc>
        <w:tc>
          <w:tcPr>
            <w:tcW w:w="885" w:type="dxa"/>
            <w:tcBorders>
              <w:top w:val="nil"/>
              <w:left w:val="nil"/>
              <w:bottom w:val="single" w:sz="4" w:space="0" w:color="auto"/>
              <w:right w:val="single" w:sz="4" w:space="0" w:color="auto"/>
            </w:tcBorders>
            <w:shd w:val="clear" w:color="auto" w:fill="auto"/>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3.1</w:t>
            </w:r>
          </w:p>
        </w:tc>
        <w:tc>
          <w:tcPr>
            <w:tcW w:w="781" w:type="dxa"/>
            <w:tcBorders>
              <w:top w:val="nil"/>
              <w:left w:val="nil"/>
              <w:bottom w:val="single" w:sz="4" w:space="0" w:color="auto"/>
              <w:right w:val="single" w:sz="4" w:space="0" w:color="auto"/>
            </w:tcBorders>
            <w:shd w:val="clear" w:color="auto" w:fill="auto"/>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5.1</w:t>
            </w:r>
          </w:p>
        </w:tc>
        <w:tc>
          <w:tcPr>
            <w:tcW w:w="661" w:type="dxa"/>
            <w:tcBorders>
              <w:top w:val="nil"/>
              <w:left w:val="nil"/>
              <w:bottom w:val="single" w:sz="4" w:space="0" w:color="auto"/>
              <w:right w:val="single" w:sz="4" w:space="0" w:color="auto"/>
            </w:tcBorders>
            <w:shd w:val="clear" w:color="000000" w:fill="009900"/>
            <w:noWrap/>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309</w:t>
            </w:r>
          </w:p>
        </w:tc>
        <w:tc>
          <w:tcPr>
            <w:tcW w:w="826" w:type="dxa"/>
            <w:tcBorders>
              <w:top w:val="nil"/>
              <w:left w:val="nil"/>
              <w:bottom w:val="single" w:sz="4" w:space="0" w:color="auto"/>
              <w:right w:val="single" w:sz="4" w:space="0" w:color="auto"/>
            </w:tcBorders>
            <w:shd w:val="clear" w:color="000000" w:fill="009900"/>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3.4</w:t>
            </w:r>
          </w:p>
        </w:tc>
        <w:tc>
          <w:tcPr>
            <w:tcW w:w="639" w:type="dxa"/>
            <w:tcBorders>
              <w:top w:val="nil"/>
              <w:left w:val="nil"/>
              <w:bottom w:val="single" w:sz="4" w:space="0" w:color="auto"/>
              <w:right w:val="single" w:sz="4" w:space="0" w:color="auto"/>
            </w:tcBorders>
            <w:shd w:val="clear" w:color="000000" w:fill="009900"/>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5.5</w:t>
            </w:r>
          </w:p>
        </w:tc>
        <w:tc>
          <w:tcPr>
            <w:tcW w:w="637" w:type="dxa"/>
            <w:tcBorders>
              <w:top w:val="nil"/>
              <w:left w:val="nil"/>
              <w:bottom w:val="single" w:sz="4" w:space="0" w:color="auto"/>
              <w:right w:val="single" w:sz="4" w:space="0" w:color="auto"/>
            </w:tcBorders>
            <w:shd w:val="clear" w:color="000000" w:fill="99FF66"/>
            <w:noWrap/>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242</w:t>
            </w:r>
          </w:p>
        </w:tc>
        <w:tc>
          <w:tcPr>
            <w:tcW w:w="709" w:type="dxa"/>
            <w:tcBorders>
              <w:top w:val="nil"/>
              <w:left w:val="nil"/>
              <w:bottom w:val="single" w:sz="4" w:space="0" w:color="auto"/>
              <w:right w:val="single" w:sz="4" w:space="0" w:color="auto"/>
            </w:tcBorders>
            <w:shd w:val="clear" w:color="000000" w:fill="99FF66"/>
            <w:vAlign w:val="bottom"/>
          </w:tcPr>
          <w:p w:rsidR="007B7761" w:rsidRPr="007B7761" w:rsidRDefault="007B7761" w:rsidP="007B7761">
            <w:pPr>
              <w:spacing w:after="0" w:line="240" w:lineRule="auto"/>
              <w:jc w:val="center"/>
              <w:rPr>
                <w:rFonts w:ascii="Arial" w:eastAsia="Times New Roman" w:hAnsi="Arial" w:cs="Times New Roman"/>
                <w:b/>
                <w:bCs/>
                <w:color w:val="000000"/>
                <w:sz w:val="20"/>
                <w:szCs w:val="20"/>
                <w:lang w:eastAsia="en-CA"/>
              </w:rPr>
            </w:pPr>
            <w:r w:rsidRPr="007B7761">
              <w:rPr>
                <w:rFonts w:ascii="Arial" w:eastAsia="Times New Roman" w:hAnsi="Arial" w:cs="Times New Roman"/>
                <w:b/>
                <w:bCs/>
                <w:color w:val="000000"/>
                <w:sz w:val="20"/>
                <w:szCs w:val="20"/>
                <w:lang w:eastAsia="en-CA"/>
              </w:rPr>
              <w:t>2.7</w:t>
            </w:r>
          </w:p>
        </w:tc>
        <w:tc>
          <w:tcPr>
            <w:tcW w:w="850" w:type="dxa"/>
            <w:tcBorders>
              <w:top w:val="nil"/>
              <w:left w:val="nil"/>
              <w:bottom w:val="single" w:sz="4" w:space="0" w:color="auto"/>
              <w:right w:val="single" w:sz="4" w:space="0" w:color="auto"/>
            </w:tcBorders>
            <w:shd w:val="clear" w:color="000000" w:fill="99FF66"/>
            <w:vAlign w:val="bottom"/>
          </w:tcPr>
          <w:p w:rsidR="007B7761" w:rsidRPr="007B7761" w:rsidRDefault="007B7761" w:rsidP="007B7761">
            <w:pPr>
              <w:spacing w:after="0" w:line="240" w:lineRule="auto"/>
              <w:jc w:val="center"/>
              <w:rPr>
                <w:rFonts w:ascii="Arial" w:eastAsia="Times New Roman" w:hAnsi="Arial" w:cs="Times New Roman"/>
                <w:color w:val="000000"/>
                <w:sz w:val="20"/>
                <w:szCs w:val="20"/>
                <w:lang w:eastAsia="en-CA"/>
              </w:rPr>
            </w:pPr>
            <w:r w:rsidRPr="007B7761">
              <w:rPr>
                <w:rFonts w:ascii="Arial" w:eastAsia="Times New Roman" w:hAnsi="Arial" w:cs="Times New Roman"/>
                <w:color w:val="000000"/>
                <w:sz w:val="20"/>
                <w:szCs w:val="20"/>
                <w:lang w:eastAsia="en-CA"/>
              </w:rPr>
              <w:t>4.5</w:t>
            </w:r>
          </w:p>
        </w:tc>
      </w:tr>
    </w:tbl>
    <w:p w:rsidR="007B7761" w:rsidRDefault="007B7761" w:rsidP="00BE19E2">
      <w:pPr>
        <w:rPr>
          <w:rFonts w:ascii="Arial" w:hAnsi="Arial"/>
        </w:rPr>
      </w:pPr>
    </w:p>
    <w:p w:rsidR="007B7761" w:rsidRDefault="007B7761" w:rsidP="00BE19E2">
      <w:pPr>
        <w:rPr>
          <w:rFonts w:ascii="Arial" w:hAnsi="Arial"/>
        </w:rPr>
      </w:pPr>
    </w:p>
    <w:p w:rsidR="00E22B76" w:rsidRDefault="00E22B76">
      <w:pPr>
        <w:rPr>
          <w:rFonts w:ascii="Arial" w:hAnsi="Arial"/>
        </w:rPr>
      </w:pPr>
      <w:r>
        <w:rPr>
          <w:rFonts w:ascii="Arial" w:hAnsi="Arial"/>
        </w:rPr>
        <w:br w:type="page"/>
      </w:r>
    </w:p>
    <w:p w:rsidR="007B7761" w:rsidRDefault="007B7761" w:rsidP="00BE19E2">
      <w:pPr>
        <w:rPr>
          <w:rFonts w:ascii="Arial" w:hAnsi="Arial"/>
        </w:rPr>
      </w:pPr>
    </w:p>
    <w:p w:rsidR="007B7761" w:rsidRDefault="007B7761" w:rsidP="00BE19E2">
      <w:pPr>
        <w:rPr>
          <w:rFonts w:ascii="Arial" w:hAnsi="Arial"/>
        </w:rPr>
      </w:pPr>
    </w:p>
    <w:p w:rsidR="007B7761" w:rsidRDefault="007B7761" w:rsidP="00BE19E2">
      <w:pPr>
        <w:rPr>
          <w:rFonts w:ascii="Arial" w:hAnsi="Arial"/>
        </w:rPr>
      </w:pPr>
    </w:p>
    <w:p w:rsidR="007B7761" w:rsidRDefault="007B7761" w:rsidP="00BE19E2">
      <w:pPr>
        <w:rPr>
          <w:rFonts w:ascii="Arial" w:hAnsi="Arial"/>
        </w:rPr>
      </w:pPr>
    </w:p>
    <w:p w:rsidR="007B7761" w:rsidRPr="005623CE" w:rsidRDefault="007B7761" w:rsidP="001170A3">
      <w:pPr>
        <w:jc w:val="both"/>
        <w:rPr>
          <w:rFonts w:ascii="Arial" w:hAnsi="Arial"/>
        </w:rPr>
      </w:pPr>
      <w:r>
        <w:rPr>
          <w:rFonts w:ascii="Arial" w:eastAsia="Times New Roman" w:hAnsi="Arial" w:cs="Times New Roman"/>
          <w:b/>
          <w:bCs/>
          <w:color w:val="000000"/>
          <w:lang w:eastAsia="en-CA"/>
        </w:rPr>
        <w:t xml:space="preserve">Table 6. </w:t>
      </w:r>
      <w:r w:rsidRPr="005623CE">
        <w:rPr>
          <w:rFonts w:ascii="Arial" w:eastAsia="Times New Roman" w:hAnsi="Arial" w:cs="Times New Roman"/>
          <w:b/>
          <w:bCs/>
          <w:color w:val="000000"/>
          <w:lang w:eastAsia="en-CA"/>
        </w:rPr>
        <w:t xml:space="preserve">Average </w:t>
      </w:r>
      <w:r>
        <w:rPr>
          <w:rFonts w:ascii="Arial" w:eastAsia="Times New Roman" w:hAnsi="Arial" w:cs="Times New Roman"/>
          <w:b/>
          <w:bCs/>
          <w:color w:val="000000"/>
          <w:lang w:eastAsia="en-CA"/>
        </w:rPr>
        <w:t xml:space="preserve">Citations </w:t>
      </w:r>
      <w:r w:rsidRPr="005623CE">
        <w:rPr>
          <w:rFonts w:ascii="Arial" w:eastAsia="Times New Roman" w:hAnsi="Arial" w:cs="Times New Roman"/>
          <w:b/>
          <w:bCs/>
          <w:color w:val="000000"/>
          <w:lang w:eastAsia="en-CA"/>
        </w:rPr>
        <w:t>for Public Access</w:t>
      </w:r>
      <w:r>
        <w:rPr>
          <w:rFonts w:ascii="Arial" w:eastAsia="Times New Roman" w:hAnsi="Arial" w:cs="Times New Roman"/>
          <w:b/>
          <w:bCs/>
          <w:color w:val="000000"/>
          <w:lang w:eastAsia="en-CA"/>
        </w:rPr>
        <w:t xml:space="preserve">, </w:t>
      </w:r>
      <w:r w:rsidRPr="005623CE">
        <w:rPr>
          <w:rFonts w:ascii="Arial" w:eastAsia="Times New Roman" w:hAnsi="Arial" w:cs="Times New Roman"/>
          <w:b/>
          <w:bCs/>
          <w:color w:val="000000"/>
          <w:lang w:eastAsia="en-CA"/>
        </w:rPr>
        <w:t>Restricted Access deposits</w:t>
      </w:r>
      <w:r>
        <w:rPr>
          <w:rFonts w:ascii="Arial" w:eastAsia="Times New Roman" w:hAnsi="Arial" w:cs="Times New Roman"/>
          <w:b/>
          <w:bCs/>
          <w:color w:val="000000"/>
          <w:lang w:eastAsia="en-CA"/>
        </w:rPr>
        <w:t xml:space="preserve"> and Not Deposited</w:t>
      </w:r>
      <w:r w:rsidRPr="005623CE">
        <w:rPr>
          <w:rFonts w:ascii="Arial" w:eastAsia="Times New Roman" w:hAnsi="Arial" w:cs="Times New Roman"/>
          <w:b/>
          <w:bCs/>
          <w:color w:val="000000"/>
          <w:lang w:eastAsia="en-CA"/>
        </w:rPr>
        <w:t xml:space="preserve"> </w:t>
      </w:r>
      <w:r>
        <w:rPr>
          <w:rFonts w:ascii="Arial" w:eastAsia="Times New Roman" w:hAnsi="Arial" w:cs="Times New Roman"/>
          <w:b/>
          <w:bCs/>
          <w:color w:val="000000"/>
          <w:lang w:eastAsia="en-CA"/>
        </w:rPr>
        <w:t>for publication span 2004-2012 a</w:t>
      </w:r>
      <w:r w:rsidRPr="005623CE">
        <w:rPr>
          <w:rFonts w:ascii="Arial" w:eastAsia="Times New Roman" w:hAnsi="Arial" w:cs="Times New Roman"/>
          <w:b/>
          <w:bCs/>
          <w:color w:val="000000"/>
          <w:lang w:eastAsia="en-CA"/>
        </w:rPr>
        <w:t xml:space="preserve">rticles by </w:t>
      </w:r>
      <w:r>
        <w:rPr>
          <w:rFonts w:ascii="Arial" w:eastAsia="Times New Roman" w:hAnsi="Arial" w:cs="Times New Roman"/>
          <w:b/>
          <w:bCs/>
          <w:color w:val="000000"/>
          <w:lang w:eastAsia="en-CA"/>
        </w:rPr>
        <w:t>publication year</w:t>
      </w:r>
    </w:p>
    <w:tbl>
      <w:tblPr>
        <w:tblW w:w="8085" w:type="dxa"/>
        <w:tblInd w:w="103" w:type="dxa"/>
        <w:tblLook w:val="04A0"/>
      </w:tblPr>
      <w:tblGrid>
        <w:gridCol w:w="1105"/>
        <w:gridCol w:w="756"/>
        <w:gridCol w:w="571"/>
        <w:gridCol w:w="622"/>
        <w:gridCol w:w="637"/>
        <w:gridCol w:w="709"/>
        <w:gridCol w:w="567"/>
        <w:gridCol w:w="567"/>
        <w:gridCol w:w="708"/>
        <w:gridCol w:w="622"/>
        <w:gridCol w:w="574"/>
        <w:gridCol w:w="647"/>
      </w:tblGrid>
      <w:tr w:rsidR="00EE720B" w:rsidRPr="00EE720B">
        <w:trPr>
          <w:trHeight w:val="299"/>
        </w:trPr>
        <w:tc>
          <w:tcPr>
            <w:tcW w:w="11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Discipline</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TOTAL N</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Avg Cit</w:t>
            </w:r>
          </w:p>
        </w:tc>
        <w:tc>
          <w:tcPr>
            <w:tcW w:w="1968" w:type="dxa"/>
            <w:gridSpan w:val="3"/>
            <w:tcBorders>
              <w:top w:val="single" w:sz="4" w:space="0" w:color="auto"/>
              <w:left w:val="nil"/>
              <w:bottom w:val="single" w:sz="4" w:space="0" w:color="auto"/>
              <w:right w:val="single" w:sz="4" w:space="0" w:color="auto"/>
            </w:tcBorders>
            <w:shd w:val="clear" w:color="000000" w:fill="009900"/>
            <w:noWrap/>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Public Access</w:t>
            </w:r>
          </w:p>
        </w:tc>
        <w:tc>
          <w:tcPr>
            <w:tcW w:w="1842" w:type="dxa"/>
            <w:gridSpan w:val="3"/>
            <w:tcBorders>
              <w:top w:val="single" w:sz="4" w:space="0" w:color="auto"/>
              <w:left w:val="nil"/>
              <w:bottom w:val="single" w:sz="4" w:space="0" w:color="auto"/>
              <w:right w:val="single" w:sz="4" w:space="0" w:color="000000"/>
            </w:tcBorders>
            <w:shd w:val="clear" w:color="000000" w:fill="99FF66"/>
            <w:noWrap/>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Restricted Access</w:t>
            </w:r>
          </w:p>
        </w:tc>
        <w:tc>
          <w:tcPr>
            <w:tcW w:w="1843" w:type="dxa"/>
            <w:gridSpan w:val="3"/>
            <w:tcBorders>
              <w:top w:val="single" w:sz="4" w:space="0" w:color="auto"/>
              <w:left w:val="nil"/>
              <w:bottom w:val="single" w:sz="4" w:space="0" w:color="auto"/>
              <w:right w:val="single" w:sz="4" w:space="0" w:color="000000"/>
            </w:tcBorders>
            <w:shd w:val="clear" w:color="000000" w:fill="7F7F7F" w:themeFill="text1" w:themeFillTint="80"/>
            <w:noWrap/>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Not Deposited</w:t>
            </w:r>
          </w:p>
        </w:tc>
      </w:tr>
      <w:tr w:rsidR="00EE720B" w:rsidRPr="00EE720B">
        <w:trPr>
          <w:trHeight w:val="299"/>
        </w:trPr>
        <w:tc>
          <w:tcPr>
            <w:tcW w:w="1105" w:type="dxa"/>
            <w:vMerge/>
            <w:tcBorders>
              <w:top w:val="single" w:sz="4" w:space="0" w:color="auto"/>
              <w:left w:val="single" w:sz="4" w:space="0" w:color="auto"/>
              <w:bottom w:val="single" w:sz="4" w:space="0" w:color="auto"/>
              <w:right w:val="single" w:sz="4" w:space="0" w:color="auto"/>
            </w:tcBorders>
            <w:vAlign w:val="center"/>
          </w:tcPr>
          <w:p w:rsidR="00EE720B" w:rsidRPr="00EE720B" w:rsidRDefault="00EE720B" w:rsidP="00EE720B">
            <w:pPr>
              <w:spacing w:after="0" w:line="240" w:lineRule="auto"/>
              <w:rPr>
                <w:rFonts w:ascii="Calibri" w:eastAsia="Times New Roman" w:hAnsi="Calibri" w:cs="Times New Roman"/>
                <w:b/>
                <w:bCs/>
                <w:color w:val="000000"/>
                <w:sz w:val="20"/>
                <w:szCs w:val="20"/>
                <w:lang w:eastAsia="en-C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EE720B" w:rsidRPr="00EE720B" w:rsidRDefault="00EE720B" w:rsidP="00EE720B">
            <w:pPr>
              <w:spacing w:after="0" w:line="240" w:lineRule="auto"/>
              <w:rPr>
                <w:rFonts w:ascii="Calibri" w:eastAsia="Times New Roman" w:hAnsi="Calibri" w:cs="Times New Roman"/>
                <w:b/>
                <w:bCs/>
                <w:color w:val="000000"/>
                <w:sz w:val="20"/>
                <w:szCs w:val="20"/>
                <w:lang w:eastAsia="en-CA"/>
              </w:rPr>
            </w:pPr>
          </w:p>
        </w:tc>
        <w:tc>
          <w:tcPr>
            <w:tcW w:w="571" w:type="dxa"/>
            <w:vMerge/>
            <w:tcBorders>
              <w:top w:val="single" w:sz="4" w:space="0" w:color="auto"/>
              <w:left w:val="single" w:sz="4" w:space="0" w:color="auto"/>
              <w:bottom w:val="single" w:sz="4" w:space="0" w:color="auto"/>
              <w:right w:val="single" w:sz="4" w:space="0" w:color="auto"/>
            </w:tcBorders>
            <w:vAlign w:val="center"/>
          </w:tcPr>
          <w:p w:rsidR="00EE720B" w:rsidRPr="00EE720B" w:rsidRDefault="00EE720B" w:rsidP="00EE720B">
            <w:pPr>
              <w:spacing w:after="0" w:line="240" w:lineRule="auto"/>
              <w:rPr>
                <w:rFonts w:ascii="Calibri" w:eastAsia="Times New Roman" w:hAnsi="Calibri" w:cs="Times New Roman"/>
                <w:b/>
                <w:bCs/>
                <w:color w:val="000000"/>
                <w:sz w:val="20"/>
                <w:szCs w:val="20"/>
                <w:lang w:eastAsia="en-CA"/>
              </w:rPr>
            </w:pPr>
          </w:p>
        </w:tc>
        <w:tc>
          <w:tcPr>
            <w:tcW w:w="622" w:type="dxa"/>
            <w:tcBorders>
              <w:top w:val="nil"/>
              <w:left w:val="nil"/>
              <w:bottom w:val="single" w:sz="4" w:space="0" w:color="auto"/>
              <w:right w:val="single" w:sz="4" w:space="0" w:color="auto"/>
            </w:tcBorders>
            <w:shd w:val="clear" w:color="000000" w:fill="009900"/>
            <w:noWrap/>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N</w:t>
            </w:r>
          </w:p>
        </w:tc>
        <w:tc>
          <w:tcPr>
            <w:tcW w:w="637" w:type="dxa"/>
            <w:tcBorders>
              <w:top w:val="nil"/>
              <w:left w:val="nil"/>
              <w:bottom w:val="single" w:sz="4" w:space="0" w:color="auto"/>
              <w:right w:val="single" w:sz="4" w:space="0" w:color="auto"/>
            </w:tcBorders>
            <w:shd w:val="clear" w:color="000000" w:fill="009900"/>
            <w:noWrap/>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Avg Cit</w:t>
            </w:r>
          </w:p>
        </w:tc>
        <w:tc>
          <w:tcPr>
            <w:tcW w:w="709" w:type="dxa"/>
            <w:tcBorders>
              <w:top w:val="nil"/>
              <w:left w:val="nil"/>
              <w:bottom w:val="single" w:sz="4" w:space="0" w:color="auto"/>
              <w:right w:val="single" w:sz="4" w:space="0" w:color="auto"/>
            </w:tcBorders>
            <w:shd w:val="clear" w:color="000000" w:fill="009900"/>
            <w:noWrap/>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St. Dev.</w:t>
            </w:r>
          </w:p>
        </w:tc>
        <w:tc>
          <w:tcPr>
            <w:tcW w:w="567" w:type="dxa"/>
            <w:tcBorders>
              <w:top w:val="nil"/>
              <w:left w:val="nil"/>
              <w:bottom w:val="single" w:sz="4" w:space="0" w:color="auto"/>
              <w:right w:val="single" w:sz="4" w:space="0" w:color="auto"/>
            </w:tcBorders>
            <w:shd w:val="clear" w:color="000000" w:fill="99FF66"/>
            <w:noWrap/>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N</w:t>
            </w:r>
          </w:p>
        </w:tc>
        <w:tc>
          <w:tcPr>
            <w:tcW w:w="567" w:type="dxa"/>
            <w:tcBorders>
              <w:top w:val="nil"/>
              <w:left w:val="nil"/>
              <w:bottom w:val="single" w:sz="4" w:space="0" w:color="auto"/>
              <w:right w:val="single" w:sz="4" w:space="0" w:color="auto"/>
            </w:tcBorders>
            <w:shd w:val="clear" w:color="000000" w:fill="99FF66"/>
            <w:noWrap/>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Avg Cit</w:t>
            </w:r>
          </w:p>
        </w:tc>
        <w:tc>
          <w:tcPr>
            <w:tcW w:w="708" w:type="dxa"/>
            <w:tcBorders>
              <w:top w:val="nil"/>
              <w:left w:val="nil"/>
              <w:bottom w:val="single" w:sz="4" w:space="0" w:color="auto"/>
              <w:right w:val="single" w:sz="4" w:space="0" w:color="auto"/>
            </w:tcBorders>
            <w:shd w:val="clear" w:color="000000" w:fill="99FF66"/>
            <w:noWrap/>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St. Dev.</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N</w:t>
            </w:r>
          </w:p>
        </w:tc>
        <w:tc>
          <w:tcPr>
            <w:tcW w:w="574" w:type="dxa"/>
            <w:tcBorders>
              <w:top w:val="nil"/>
              <w:left w:val="nil"/>
              <w:bottom w:val="single" w:sz="4" w:space="0" w:color="auto"/>
              <w:right w:val="single" w:sz="4" w:space="0" w:color="auto"/>
            </w:tcBorders>
            <w:shd w:val="clear" w:color="000000" w:fill="7F7F7F" w:themeFill="text1" w:themeFillTint="80"/>
            <w:noWrap/>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Avg Cit</w:t>
            </w:r>
          </w:p>
        </w:tc>
        <w:tc>
          <w:tcPr>
            <w:tcW w:w="647" w:type="dxa"/>
            <w:tcBorders>
              <w:top w:val="nil"/>
              <w:left w:val="nil"/>
              <w:bottom w:val="single" w:sz="4" w:space="0" w:color="auto"/>
              <w:right w:val="single" w:sz="4" w:space="0" w:color="auto"/>
            </w:tcBorders>
            <w:shd w:val="clear" w:color="000000" w:fill="7F7F7F" w:themeFill="text1" w:themeFillTint="80"/>
            <w:noWrap/>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St. Dev.</w:t>
            </w:r>
          </w:p>
        </w:tc>
      </w:tr>
      <w:tr w:rsidR="00EE720B" w:rsidRPr="00EE720B">
        <w:trPr>
          <w:trHeight w:val="299"/>
        </w:trPr>
        <w:tc>
          <w:tcPr>
            <w:tcW w:w="1105" w:type="dxa"/>
            <w:tcBorders>
              <w:top w:val="nil"/>
              <w:left w:val="single" w:sz="4" w:space="0" w:color="auto"/>
              <w:bottom w:val="single" w:sz="4" w:space="0" w:color="auto"/>
              <w:right w:val="single" w:sz="4" w:space="0" w:color="auto"/>
            </w:tcBorders>
            <w:shd w:val="clear" w:color="auto" w:fill="auto"/>
            <w:noWrap/>
            <w:vAlign w:val="center"/>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2004-2012</w:t>
            </w:r>
          </w:p>
        </w:tc>
        <w:tc>
          <w:tcPr>
            <w:tcW w:w="756" w:type="dxa"/>
            <w:tcBorders>
              <w:top w:val="nil"/>
              <w:left w:val="nil"/>
              <w:bottom w:val="single" w:sz="4" w:space="0" w:color="auto"/>
              <w:right w:val="single" w:sz="4" w:space="0" w:color="auto"/>
            </w:tcBorders>
            <w:shd w:val="clear" w:color="auto" w:fill="auto"/>
            <w:noWrap/>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5700</w:t>
            </w:r>
          </w:p>
        </w:tc>
        <w:tc>
          <w:tcPr>
            <w:tcW w:w="571" w:type="dxa"/>
            <w:tcBorders>
              <w:top w:val="nil"/>
              <w:left w:val="nil"/>
              <w:bottom w:val="single" w:sz="4" w:space="0" w:color="auto"/>
              <w:right w:val="single" w:sz="4" w:space="0" w:color="auto"/>
            </w:tcBorders>
            <w:shd w:val="clear" w:color="auto" w:fill="auto"/>
            <w:noWrap/>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7.9</w:t>
            </w:r>
          </w:p>
        </w:tc>
        <w:tc>
          <w:tcPr>
            <w:tcW w:w="622" w:type="dxa"/>
            <w:tcBorders>
              <w:top w:val="nil"/>
              <w:left w:val="nil"/>
              <w:bottom w:val="single" w:sz="4" w:space="0" w:color="auto"/>
              <w:right w:val="single" w:sz="4" w:space="0" w:color="auto"/>
            </w:tcBorders>
            <w:shd w:val="clear" w:color="000000" w:fill="009900"/>
            <w:noWrap/>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1569</w:t>
            </w:r>
          </w:p>
        </w:tc>
        <w:tc>
          <w:tcPr>
            <w:tcW w:w="637" w:type="dxa"/>
            <w:tcBorders>
              <w:top w:val="nil"/>
              <w:left w:val="nil"/>
              <w:bottom w:val="single" w:sz="4" w:space="0" w:color="auto"/>
              <w:right w:val="single" w:sz="4" w:space="0" w:color="auto"/>
            </w:tcBorders>
            <w:shd w:val="clear" w:color="000000" w:fill="009900"/>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7.7</w:t>
            </w:r>
          </w:p>
        </w:tc>
        <w:tc>
          <w:tcPr>
            <w:tcW w:w="709" w:type="dxa"/>
            <w:tcBorders>
              <w:top w:val="nil"/>
              <w:left w:val="nil"/>
              <w:bottom w:val="single" w:sz="4" w:space="0" w:color="auto"/>
              <w:right w:val="single" w:sz="4" w:space="0" w:color="auto"/>
            </w:tcBorders>
            <w:shd w:val="clear" w:color="000000" w:fill="009900"/>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7.0</w:t>
            </w:r>
          </w:p>
        </w:tc>
        <w:tc>
          <w:tcPr>
            <w:tcW w:w="567" w:type="dxa"/>
            <w:tcBorders>
              <w:top w:val="nil"/>
              <w:left w:val="nil"/>
              <w:bottom w:val="single" w:sz="4" w:space="0" w:color="auto"/>
              <w:right w:val="single" w:sz="4" w:space="0" w:color="auto"/>
            </w:tcBorders>
            <w:shd w:val="clear" w:color="000000" w:fill="99FF66"/>
            <w:noWrap/>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613</w:t>
            </w:r>
          </w:p>
        </w:tc>
        <w:tc>
          <w:tcPr>
            <w:tcW w:w="567" w:type="dxa"/>
            <w:tcBorders>
              <w:top w:val="nil"/>
              <w:left w:val="nil"/>
              <w:bottom w:val="single" w:sz="4" w:space="0" w:color="auto"/>
              <w:right w:val="single" w:sz="4" w:space="0" w:color="auto"/>
            </w:tcBorders>
            <w:shd w:val="clear" w:color="000000" w:fill="99FF66"/>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2.8</w:t>
            </w:r>
          </w:p>
        </w:tc>
        <w:tc>
          <w:tcPr>
            <w:tcW w:w="708" w:type="dxa"/>
            <w:tcBorders>
              <w:top w:val="nil"/>
              <w:left w:val="nil"/>
              <w:bottom w:val="single" w:sz="4" w:space="0" w:color="auto"/>
              <w:right w:val="single" w:sz="4" w:space="0" w:color="auto"/>
            </w:tcBorders>
            <w:shd w:val="clear" w:color="000000" w:fill="99FF66"/>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13.1</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3518</w:t>
            </w:r>
          </w:p>
        </w:tc>
        <w:tc>
          <w:tcPr>
            <w:tcW w:w="574" w:type="dxa"/>
            <w:tcBorders>
              <w:top w:val="nil"/>
              <w:left w:val="nil"/>
              <w:bottom w:val="single" w:sz="4" w:space="0" w:color="auto"/>
              <w:right w:val="single" w:sz="4" w:space="0" w:color="auto"/>
            </w:tcBorders>
            <w:shd w:val="clear" w:color="000000" w:fill="7F7F7F" w:themeFill="text1" w:themeFillTint="80"/>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8.9</w:t>
            </w:r>
          </w:p>
        </w:tc>
        <w:tc>
          <w:tcPr>
            <w:tcW w:w="647" w:type="dxa"/>
            <w:tcBorders>
              <w:top w:val="nil"/>
              <w:left w:val="nil"/>
              <w:bottom w:val="single" w:sz="4" w:space="0" w:color="auto"/>
              <w:right w:val="single" w:sz="4" w:space="0" w:color="auto"/>
            </w:tcBorders>
            <w:shd w:val="clear" w:color="000000" w:fill="7F7F7F" w:themeFill="text1" w:themeFillTint="80"/>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26.6</w:t>
            </w:r>
          </w:p>
        </w:tc>
      </w:tr>
      <w:tr w:rsidR="00EE720B" w:rsidRPr="00EE720B">
        <w:trPr>
          <w:trHeight w:val="299"/>
        </w:trPr>
        <w:tc>
          <w:tcPr>
            <w:tcW w:w="1105" w:type="dxa"/>
            <w:tcBorders>
              <w:top w:val="nil"/>
              <w:left w:val="single" w:sz="4" w:space="0" w:color="auto"/>
              <w:bottom w:val="single" w:sz="4" w:space="0" w:color="auto"/>
              <w:right w:val="single" w:sz="4" w:space="0" w:color="auto"/>
            </w:tcBorders>
            <w:shd w:val="clear" w:color="auto" w:fill="auto"/>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2004</w:t>
            </w:r>
          </w:p>
        </w:tc>
        <w:tc>
          <w:tcPr>
            <w:tcW w:w="756" w:type="dxa"/>
            <w:tcBorders>
              <w:top w:val="nil"/>
              <w:left w:val="nil"/>
              <w:bottom w:val="single" w:sz="4" w:space="0" w:color="auto"/>
              <w:right w:val="single" w:sz="4" w:space="0" w:color="auto"/>
            </w:tcBorders>
            <w:shd w:val="clear" w:color="auto" w:fill="auto"/>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398</w:t>
            </w:r>
          </w:p>
        </w:tc>
        <w:tc>
          <w:tcPr>
            <w:tcW w:w="571" w:type="dxa"/>
            <w:tcBorders>
              <w:top w:val="nil"/>
              <w:left w:val="nil"/>
              <w:bottom w:val="single" w:sz="4" w:space="0" w:color="auto"/>
              <w:right w:val="single" w:sz="4" w:space="0" w:color="auto"/>
            </w:tcBorders>
            <w:shd w:val="clear" w:color="auto" w:fill="auto"/>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13.5</w:t>
            </w:r>
          </w:p>
        </w:tc>
        <w:tc>
          <w:tcPr>
            <w:tcW w:w="622" w:type="dxa"/>
            <w:tcBorders>
              <w:top w:val="nil"/>
              <w:left w:val="nil"/>
              <w:bottom w:val="single" w:sz="4" w:space="0" w:color="auto"/>
              <w:right w:val="single" w:sz="4" w:space="0" w:color="auto"/>
            </w:tcBorders>
            <w:shd w:val="clear" w:color="000000" w:fill="009900"/>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123</w:t>
            </w:r>
          </w:p>
        </w:tc>
        <w:tc>
          <w:tcPr>
            <w:tcW w:w="637" w:type="dxa"/>
            <w:tcBorders>
              <w:top w:val="nil"/>
              <w:left w:val="nil"/>
              <w:bottom w:val="single" w:sz="4" w:space="0" w:color="auto"/>
              <w:right w:val="single" w:sz="4" w:space="0" w:color="auto"/>
            </w:tcBorders>
            <w:shd w:val="clear" w:color="000000" w:fill="009900"/>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14.4</w:t>
            </w:r>
          </w:p>
        </w:tc>
        <w:tc>
          <w:tcPr>
            <w:tcW w:w="709" w:type="dxa"/>
            <w:tcBorders>
              <w:top w:val="nil"/>
              <w:left w:val="nil"/>
              <w:bottom w:val="single" w:sz="4" w:space="0" w:color="auto"/>
              <w:right w:val="single" w:sz="4" w:space="0" w:color="auto"/>
            </w:tcBorders>
            <w:shd w:val="clear" w:color="000000" w:fill="009900"/>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21.2</w:t>
            </w:r>
          </w:p>
        </w:tc>
        <w:tc>
          <w:tcPr>
            <w:tcW w:w="567" w:type="dxa"/>
            <w:tcBorders>
              <w:top w:val="nil"/>
              <w:left w:val="nil"/>
              <w:bottom w:val="single" w:sz="4" w:space="0" w:color="auto"/>
              <w:right w:val="single" w:sz="4" w:space="0" w:color="auto"/>
            </w:tcBorders>
            <w:shd w:val="clear" w:color="000000" w:fill="99FF66"/>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11</w:t>
            </w:r>
          </w:p>
        </w:tc>
        <w:tc>
          <w:tcPr>
            <w:tcW w:w="567" w:type="dxa"/>
            <w:tcBorders>
              <w:top w:val="nil"/>
              <w:left w:val="nil"/>
              <w:bottom w:val="single" w:sz="4" w:space="0" w:color="auto"/>
              <w:right w:val="single" w:sz="4" w:space="0" w:color="auto"/>
            </w:tcBorders>
            <w:shd w:val="clear" w:color="000000" w:fill="99FF66"/>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6.2</w:t>
            </w:r>
          </w:p>
        </w:tc>
        <w:tc>
          <w:tcPr>
            <w:tcW w:w="708" w:type="dxa"/>
            <w:tcBorders>
              <w:top w:val="nil"/>
              <w:left w:val="nil"/>
              <w:bottom w:val="single" w:sz="4" w:space="0" w:color="auto"/>
              <w:right w:val="single" w:sz="4" w:space="0" w:color="auto"/>
            </w:tcBorders>
            <w:shd w:val="clear" w:color="000000" w:fill="99FF66"/>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6.4</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264</w:t>
            </w:r>
          </w:p>
        </w:tc>
        <w:tc>
          <w:tcPr>
            <w:tcW w:w="574" w:type="dxa"/>
            <w:tcBorders>
              <w:top w:val="nil"/>
              <w:left w:val="nil"/>
              <w:bottom w:val="single" w:sz="4" w:space="0" w:color="auto"/>
              <w:right w:val="single" w:sz="4" w:space="0" w:color="auto"/>
            </w:tcBorders>
            <w:shd w:val="clear" w:color="000000" w:fill="7F7F7F" w:themeFill="text1" w:themeFillTint="80"/>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13.3</w:t>
            </w:r>
          </w:p>
        </w:tc>
        <w:tc>
          <w:tcPr>
            <w:tcW w:w="647" w:type="dxa"/>
            <w:tcBorders>
              <w:top w:val="nil"/>
              <w:left w:val="nil"/>
              <w:bottom w:val="single" w:sz="4" w:space="0" w:color="auto"/>
              <w:right w:val="single" w:sz="4" w:space="0" w:color="auto"/>
            </w:tcBorders>
            <w:shd w:val="clear" w:color="000000" w:fill="7F7F7F" w:themeFill="text1" w:themeFillTint="80"/>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17.4</w:t>
            </w:r>
          </w:p>
        </w:tc>
      </w:tr>
      <w:tr w:rsidR="00EE720B" w:rsidRPr="00EE720B">
        <w:trPr>
          <w:trHeight w:val="299"/>
        </w:trPr>
        <w:tc>
          <w:tcPr>
            <w:tcW w:w="1105" w:type="dxa"/>
            <w:tcBorders>
              <w:top w:val="nil"/>
              <w:left w:val="single" w:sz="4" w:space="0" w:color="auto"/>
              <w:bottom w:val="single" w:sz="4" w:space="0" w:color="auto"/>
              <w:right w:val="single" w:sz="4" w:space="0" w:color="auto"/>
            </w:tcBorders>
            <w:shd w:val="clear" w:color="auto" w:fill="auto"/>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2005</w:t>
            </w:r>
          </w:p>
        </w:tc>
        <w:tc>
          <w:tcPr>
            <w:tcW w:w="756" w:type="dxa"/>
            <w:tcBorders>
              <w:top w:val="nil"/>
              <w:left w:val="nil"/>
              <w:bottom w:val="single" w:sz="4" w:space="0" w:color="auto"/>
              <w:right w:val="single" w:sz="4" w:space="0" w:color="auto"/>
            </w:tcBorders>
            <w:shd w:val="clear" w:color="auto" w:fill="auto"/>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380</w:t>
            </w:r>
          </w:p>
        </w:tc>
        <w:tc>
          <w:tcPr>
            <w:tcW w:w="571" w:type="dxa"/>
            <w:tcBorders>
              <w:top w:val="nil"/>
              <w:left w:val="nil"/>
              <w:bottom w:val="single" w:sz="4" w:space="0" w:color="auto"/>
              <w:right w:val="single" w:sz="4" w:space="0" w:color="auto"/>
            </w:tcBorders>
            <w:shd w:val="clear" w:color="auto" w:fill="auto"/>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14.6</w:t>
            </w:r>
          </w:p>
        </w:tc>
        <w:tc>
          <w:tcPr>
            <w:tcW w:w="622" w:type="dxa"/>
            <w:tcBorders>
              <w:top w:val="nil"/>
              <w:left w:val="nil"/>
              <w:bottom w:val="single" w:sz="4" w:space="0" w:color="auto"/>
              <w:right w:val="single" w:sz="4" w:space="0" w:color="auto"/>
            </w:tcBorders>
            <w:shd w:val="clear" w:color="000000" w:fill="009900"/>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131</w:t>
            </w:r>
          </w:p>
        </w:tc>
        <w:tc>
          <w:tcPr>
            <w:tcW w:w="637" w:type="dxa"/>
            <w:tcBorders>
              <w:top w:val="nil"/>
              <w:left w:val="nil"/>
              <w:bottom w:val="single" w:sz="4" w:space="0" w:color="auto"/>
              <w:right w:val="single" w:sz="4" w:space="0" w:color="auto"/>
            </w:tcBorders>
            <w:shd w:val="clear" w:color="000000" w:fill="009900"/>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16.3</w:t>
            </w:r>
          </w:p>
        </w:tc>
        <w:tc>
          <w:tcPr>
            <w:tcW w:w="709" w:type="dxa"/>
            <w:tcBorders>
              <w:top w:val="nil"/>
              <w:left w:val="nil"/>
              <w:bottom w:val="single" w:sz="4" w:space="0" w:color="auto"/>
              <w:right w:val="single" w:sz="4" w:space="0" w:color="auto"/>
            </w:tcBorders>
            <w:shd w:val="clear" w:color="000000" w:fill="009900"/>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20.7</w:t>
            </w:r>
          </w:p>
        </w:tc>
        <w:tc>
          <w:tcPr>
            <w:tcW w:w="567" w:type="dxa"/>
            <w:tcBorders>
              <w:top w:val="nil"/>
              <w:left w:val="nil"/>
              <w:bottom w:val="single" w:sz="4" w:space="0" w:color="auto"/>
              <w:right w:val="single" w:sz="4" w:space="0" w:color="auto"/>
            </w:tcBorders>
            <w:shd w:val="clear" w:color="000000" w:fill="99FF66"/>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22</w:t>
            </w:r>
          </w:p>
        </w:tc>
        <w:tc>
          <w:tcPr>
            <w:tcW w:w="567" w:type="dxa"/>
            <w:tcBorders>
              <w:top w:val="nil"/>
              <w:left w:val="nil"/>
              <w:bottom w:val="single" w:sz="4" w:space="0" w:color="auto"/>
              <w:right w:val="single" w:sz="4" w:space="0" w:color="auto"/>
            </w:tcBorders>
            <w:shd w:val="clear" w:color="000000" w:fill="99FF66"/>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7.2</w:t>
            </w:r>
          </w:p>
        </w:tc>
        <w:tc>
          <w:tcPr>
            <w:tcW w:w="708" w:type="dxa"/>
            <w:tcBorders>
              <w:top w:val="nil"/>
              <w:left w:val="nil"/>
              <w:bottom w:val="single" w:sz="4" w:space="0" w:color="auto"/>
              <w:right w:val="single" w:sz="4" w:space="0" w:color="auto"/>
            </w:tcBorders>
            <w:shd w:val="clear" w:color="000000" w:fill="99FF66"/>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6.4</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227</w:t>
            </w:r>
          </w:p>
        </w:tc>
        <w:tc>
          <w:tcPr>
            <w:tcW w:w="574" w:type="dxa"/>
            <w:tcBorders>
              <w:top w:val="nil"/>
              <w:left w:val="nil"/>
              <w:bottom w:val="single" w:sz="4" w:space="0" w:color="auto"/>
              <w:right w:val="single" w:sz="4" w:space="0" w:color="auto"/>
            </w:tcBorders>
            <w:shd w:val="clear" w:color="000000" w:fill="7F7F7F" w:themeFill="text1" w:themeFillTint="80"/>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14.3</w:t>
            </w:r>
          </w:p>
        </w:tc>
        <w:tc>
          <w:tcPr>
            <w:tcW w:w="647" w:type="dxa"/>
            <w:tcBorders>
              <w:top w:val="nil"/>
              <w:left w:val="nil"/>
              <w:bottom w:val="single" w:sz="4" w:space="0" w:color="auto"/>
              <w:right w:val="single" w:sz="4" w:space="0" w:color="auto"/>
            </w:tcBorders>
            <w:shd w:val="clear" w:color="000000" w:fill="7F7F7F" w:themeFill="text1" w:themeFillTint="80"/>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19.7</w:t>
            </w:r>
          </w:p>
        </w:tc>
      </w:tr>
      <w:tr w:rsidR="00EE720B" w:rsidRPr="00EE720B">
        <w:trPr>
          <w:trHeight w:val="299"/>
        </w:trPr>
        <w:tc>
          <w:tcPr>
            <w:tcW w:w="1105" w:type="dxa"/>
            <w:tcBorders>
              <w:top w:val="nil"/>
              <w:left w:val="single" w:sz="4" w:space="0" w:color="auto"/>
              <w:bottom w:val="single" w:sz="4" w:space="0" w:color="auto"/>
              <w:right w:val="single" w:sz="4" w:space="0" w:color="auto"/>
            </w:tcBorders>
            <w:shd w:val="clear" w:color="auto" w:fill="auto"/>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2006</w:t>
            </w:r>
          </w:p>
        </w:tc>
        <w:tc>
          <w:tcPr>
            <w:tcW w:w="756" w:type="dxa"/>
            <w:tcBorders>
              <w:top w:val="nil"/>
              <w:left w:val="nil"/>
              <w:bottom w:val="single" w:sz="4" w:space="0" w:color="auto"/>
              <w:right w:val="single" w:sz="4" w:space="0" w:color="auto"/>
            </w:tcBorders>
            <w:shd w:val="clear" w:color="auto" w:fill="auto"/>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508</w:t>
            </w:r>
          </w:p>
        </w:tc>
        <w:tc>
          <w:tcPr>
            <w:tcW w:w="571" w:type="dxa"/>
            <w:tcBorders>
              <w:top w:val="nil"/>
              <w:left w:val="nil"/>
              <w:bottom w:val="single" w:sz="4" w:space="0" w:color="auto"/>
              <w:right w:val="single" w:sz="4" w:space="0" w:color="auto"/>
            </w:tcBorders>
            <w:shd w:val="clear" w:color="auto" w:fill="auto"/>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14.3</w:t>
            </w:r>
          </w:p>
        </w:tc>
        <w:tc>
          <w:tcPr>
            <w:tcW w:w="622" w:type="dxa"/>
            <w:tcBorders>
              <w:top w:val="nil"/>
              <w:left w:val="nil"/>
              <w:bottom w:val="single" w:sz="4" w:space="0" w:color="auto"/>
              <w:right w:val="single" w:sz="4" w:space="0" w:color="auto"/>
            </w:tcBorders>
            <w:shd w:val="clear" w:color="000000" w:fill="009900"/>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137</w:t>
            </w:r>
          </w:p>
        </w:tc>
        <w:tc>
          <w:tcPr>
            <w:tcW w:w="637" w:type="dxa"/>
            <w:tcBorders>
              <w:top w:val="nil"/>
              <w:left w:val="nil"/>
              <w:bottom w:val="single" w:sz="4" w:space="0" w:color="auto"/>
              <w:right w:val="single" w:sz="4" w:space="0" w:color="auto"/>
            </w:tcBorders>
            <w:shd w:val="clear" w:color="000000" w:fill="009900"/>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13.1</w:t>
            </w:r>
          </w:p>
        </w:tc>
        <w:tc>
          <w:tcPr>
            <w:tcW w:w="709" w:type="dxa"/>
            <w:tcBorders>
              <w:top w:val="nil"/>
              <w:left w:val="nil"/>
              <w:bottom w:val="single" w:sz="4" w:space="0" w:color="auto"/>
              <w:right w:val="single" w:sz="4" w:space="0" w:color="auto"/>
            </w:tcBorders>
            <w:shd w:val="clear" w:color="000000" w:fill="009900"/>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18.7</w:t>
            </w:r>
          </w:p>
        </w:tc>
        <w:tc>
          <w:tcPr>
            <w:tcW w:w="567" w:type="dxa"/>
            <w:tcBorders>
              <w:top w:val="nil"/>
              <w:left w:val="nil"/>
              <w:bottom w:val="single" w:sz="4" w:space="0" w:color="auto"/>
              <w:right w:val="single" w:sz="4" w:space="0" w:color="auto"/>
            </w:tcBorders>
            <w:shd w:val="clear" w:color="000000" w:fill="99FF66"/>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38</w:t>
            </w:r>
          </w:p>
        </w:tc>
        <w:tc>
          <w:tcPr>
            <w:tcW w:w="567" w:type="dxa"/>
            <w:tcBorders>
              <w:top w:val="nil"/>
              <w:left w:val="nil"/>
              <w:bottom w:val="single" w:sz="4" w:space="0" w:color="auto"/>
              <w:right w:val="single" w:sz="4" w:space="0" w:color="auto"/>
            </w:tcBorders>
            <w:shd w:val="clear" w:color="000000" w:fill="99FF66"/>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7.3</w:t>
            </w:r>
          </w:p>
        </w:tc>
        <w:tc>
          <w:tcPr>
            <w:tcW w:w="708" w:type="dxa"/>
            <w:tcBorders>
              <w:top w:val="nil"/>
              <w:left w:val="nil"/>
              <w:bottom w:val="single" w:sz="4" w:space="0" w:color="auto"/>
              <w:right w:val="single" w:sz="4" w:space="0" w:color="auto"/>
            </w:tcBorders>
            <w:shd w:val="clear" w:color="000000" w:fill="99FF66"/>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10.2</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333</w:t>
            </w:r>
          </w:p>
        </w:tc>
        <w:tc>
          <w:tcPr>
            <w:tcW w:w="574" w:type="dxa"/>
            <w:tcBorders>
              <w:top w:val="nil"/>
              <w:left w:val="nil"/>
              <w:bottom w:val="single" w:sz="4" w:space="0" w:color="auto"/>
              <w:right w:val="single" w:sz="4" w:space="0" w:color="auto"/>
            </w:tcBorders>
            <w:shd w:val="clear" w:color="000000" w:fill="7F7F7F" w:themeFill="text1" w:themeFillTint="80"/>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15.6</w:t>
            </w:r>
          </w:p>
        </w:tc>
        <w:tc>
          <w:tcPr>
            <w:tcW w:w="647" w:type="dxa"/>
            <w:tcBorders>
              <w:top w:val="nil"/>
              <w:left w:val="nil"/>
              <w:bottom w:val="single" w:sz="4" w:space="0" w:color="auto"/>
              <w:right w:val="single" w:sz="4" w:space="0" w:color="auto"/>
            </w:tcBorders>
            <w:shd w:val="clear" w:color="000000" w:fill="7F7F7F" w:themeFill="text1" w:themeFillTint="80"/>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49.7</w:t>
            </w:r>
          </w:p>
        </w:tc>
      </w:tr>
      <w:tr w:rsidR="00EE720B" w:rsidRPr="00EE720B">
        <w:trPr>
          <w:trHeight w:val="299"/>
        </w:trPr>
        <w:tc>
          <w:tcPr>
            <w:tcW w:w="1105" w:type="dxa"/>
            <w:tcBorders>
              <w:top w:val="nil"/>
              <w:left w:val="single" w:sz="4" w:space="0" w:color="auto"/>
              <w:bottom w:val="single" w:sz="4" w:space="0" w:color="auto"/>
              <w:right w:val="single" w:sz="4" w:space="0" w:color="auto"/>
            </w:tcBorders>
            <w:shd w:val="clear" w:color="auto" w:fill="auto"/>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2007</w:t>
            </w:r>
          </w:p>
        </w:tc>
        <w:tc>
          <w:tcPr>
            <w:tcW w:w="756" w:type="dxa"/>
            <w:tcBorders>
              <w:top w:val="nil"/>
              <w:left w:val="nil"/>
              <w:bottom w:val="single" w:sz="4" w:space="0" w:color="auto"/>
              <w:right w:val="single" w:sz="4" w:space="0" w:color="auto"/>
            </w:tcBorders>
            <w:shd w:val="clear" w:color="auto" w:fill="auto"/>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494</w:t>
            </w:r>
          </w:p>
        </w:tc>
        <w:tc>
          <w:tcPr>
            <w:tcW w:w="571" w:type="dxa"/>
            <w:tcBorders>
              <w:top w:val="nil"/>
              <w:left w:val="nil"/>
              <w:bottom w:val="single" w:sz="4" w:space="0" w:color="auto"/>
              <w:right w:val="single" w:sz="4" w:space="0" w:color="auto"/>
            </w:tcBorders>
            <w:shd w:val="clear" w:color="auto" w:fill="auto"/>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14.2</w:t>
            </w:r>
          </w:p>
        </w:tc>
        <w:tc>
          <w:tcPr>
            <w:tcW w:w="622" w:type="dxa"/>
            <w:tcBorders>
              <w:top w:val="nil"/>
              <w:left w:val="nil"/>
              <w:bottom w:val="single" w:sz="4" w:space="0" w:color="auto"/>
              <w:right w:val="single" w:sz="4" w:space="0" w:color="auto"/>
            </w:tcBorders>
            <w:shd w:val="clear" w:color="000000" w:fill="009900"/>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126</w:t>
            </w:r>
          </w:p>
        </w:tc>
        <w:tc>
          <w:tcPr>
            <w:tcW w:w="637" w:type="dxa"/>
            <w:tcBorders>
              <w:top w:val="nil"/>
              <w:left w:val="nil"/>
              <w:bottom w:val="single" w:sz="4" w:space="0" w:color="auto"/>
              <w:right w:val="single" w:sz="4" w:space="0" w:color="auto"/>
            </w:tcBorders>
            <w:shd w:val="clear" w:color="000000" w:fill="009900"/>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13.2</w:t>
            </w:r>
          </w:p>
        </w:tc>
        <w:tc>
          <w:tcPr>
            <w:tcW w:w="709" w:type="dxa"/>
            <w:tcBorders>
              <w:top w:val="nil"/>
              <w:left w:val="nil"/>
              <w:bottom w:val="single" w:sz="4" w:space="0" w:color="auto"/>
              <w:right w:val="single" w:sz="4" w:space="0" w:color="auto"/>
            </w:tcBorders>
            <w:shd w:val="clear" w:color="000000" w:fill="009900"/>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12.5</w:t>
            </w:r>
          </w:p>
        </w:tc>
        <w:tc>
          <w:tcPr>
            <w:tcW w:w="567" w:type="dxa"/>
            <w:tcBorders>
              <w:top w:val="nil"/>
              <w:left w:val="nil"/>
              <w:bottom w:val="single" w:sz="4" w:space="0" w:color="auto"/>
              <w:right w:val="single" w:sz="4" w:space="0" w:color="auto"/>
            </w:tcBorders>
            <w:shd w:val="clear" w:color="000000" w:fill="99FF66"/>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25</w:t>
            </w:r>
          </w:p>
        </w:tc>
        <w:tc>
          <w:tcPr>
            <w:tcW w:w="567" w:type="dxa"/>
            <w:tcBorders>
              <w:top w:val="nil"/>
              <w:left w:val="nil"/>
              <w:bottom w:val="single" w:sz="4" w:space="0" w:color="auto"/>
              <w:right w:val="single" w:sz="4" w:space="0" w:color="auto"/>
            </w:tcBorders>
            <w:shd w:val="clear" w:color="000000" w:fill="99FF66"/>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8.0</w:t>
            </w:r>
          </w:p>
        </w:tc>
        <w:tc>
          <w:tcPr>
            <w:tcW w:w="708" w:type="dxa"/>
            <w:tcBorders>
              <w:top w:val="nil"/>
              <w:left w:val="nil"/>
              <w:bottom w:val="single" w:sz="4" w:space="0" w:color="auto"/>
              <w:right w:val="single" w:sz="4" w:space="0" w:color="auto"/>
            </w:tcBorders>
            <w:shd w:val="clear" w:color="000000" w:fill="99FF66"/>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8.2</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343</w:t>
            </w:r>
          </w:p>
        </w:tc>
        <w:tc>
          <w:tcPr>
            <w:tcW w:w="574" w:type="dxa"/>
            <w:tcBorders>
              <w:top w:val="nil"/>
              <w:left w:val="nil"/>
              <w:bottom w:val="single" w:sz="4" w:space="0" w:color="auto"/>
              <w:right w:val="single" w:sz="4" w:space="0" w:color="auto"/>
            </w:tcBorders>
            <w:shd w:val="clear" w:color="000000" w:fill="7F7F7F" w:themeFill="text1" w:themeFillTint="80"/>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15.0</w:t>
            </w:r>
          </w:p>
        </w:tc>
        <w:tc>
          <w:tcPr>
            <w:tcW w:w="647" w:type="dxa"/>
            <w:tcBorders>
              <w:top w:val="nil"/>
              <w:left w:val="nil"/>
              <w:bottom w:val="single" w:sz="4" w:space="0" w:color="auto"/>
              <w:right w:val="single" w:sz="4" w:space="0" w:color="auto"/>
            </w:tcBorders>
            <w:shd w:val="clear" w:color="000000" w:fill="7F7F7F" w:themeFill="text1" w:themeFillTint="80"/>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31.6</w:t>
            </w:r>
          </w:p>
        </w:tc>
      </w:tr>
      <w:tr w:rsidR="00EE720B" w:rsidRPr="00EE720B">
        <w:trPr>
          <w:trHeight w:val="299"/>
        </w:trPr>
        <w:tc>
          <w:tcPr>
            <w:tcW w:w="1105" w:type="dxa"/>
            <w:tcBorders>
              <w:top w:val="nil"/>
              <w:left w:val="single" w:sz="4" w:space="0" w:color="auto"/>
              <w:bottom w:val="single" w:sz="4" w:space="0" w:color="auto"/>
              <w:right w:val="single" w:sz="4" w:space="0" w:color="auto"/>
            </w:tcBorders>
            <w:shd w:val="clear" w:color="auto" w:fill="auto"/>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2008</w:t>
            </w:r>
          </w:p>
        </w:tc>
        <w:tc>
          <w:tcPr>
            <w:tcW w:w="756" w:type="dxa"/>
            <w:tcBorders>
              <w:top w:val="nil"/>
              <w:left w:val="nil"/>
              <w:bottom w:val="single" w:sz="4" w:space="0" w:color="auto"/>
              <w:right w:val="single" w:sz="4" w:space="0" w:color="auto"/>
            </w:tcBorders>
            <w:shd w:val="clear" w:color="auto" w:fill="auto"/>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580</w:t>
            </w:r>
          </w:p>
        </w:tc>
        <w:tc>
          <w:tcPr>
            <w:tcW w:w="571" w:type="dxa"/>
            <w:tcBorders>
              <w:top w:val="nil"/>
              <w:left w:val="nil"/>
              <w:bottom w:val="single" w:sz="4" w:space="0" w:color="auto"/>
              <w:right w:val="single" w:sz="4" w:space="0" w:color="auto"/>
            </w:tcBorders>
            <w:shd w:val="clear" w:color="auto" w:fill="auto"/>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10.9</w:t>
            </w:r>
          </w:p>
        </w:tc>
        <w:tc>
          <w:tcPr>
            <w:tcW w:w="622" w:type="dxa"/>
            <w:tcBorders>
              <w:top w:val="nil"/>
              <w:left w:val="nil"/>
              <w:bottom w:val="single" w:sz="4" w:space="0" w:color="auto"/>
              <w:right w:val="single" w:sz="4" w:space="0" w:color="auto"/>
            </w:tcBorders>
            <w:shd w:val="clear" w:color="000000" w:fill="009900"/>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138</w:t>
            </w:r>
          </w:p>
        </w:tc>
        <w:tc>
          <w:tcPr>
            <w:tcW w:w="637" w:type="dxa"/>
            <w:tcBorders>
              <w:top w:val="nil"/>
              <w:left w:val="nil"/>
              <w:bottom w:val="single" w:sz="4" w:space="0" w:color="auto"/>
              <w:right w:val="single" w:sz="4" w:space="0" w:color="auto"/>
            </w:tcBorders>
            <w:shd w:val="clear" w:color="000000" w:fill="009900"/>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11.2</w:t>
            </w:r>
          </w:p>
        </w:tc>
        <w:tc>
          <w:tcPr>
            <w:tcW w:w="709" w:type="dxa"/>
            <w:tcBorders>
              <w:top w:val="nil"/>
              <w:left w:val="nil"/>
              <w:bottom w:val="single" w:sz="4" w:space="0" w:color="auto"/>
              <w:right w:val="single" w:sz="4" w:space="0" w:color="auto"/>
            </w:tcBorders>
            <w:shd w:val="clear" w:color="000000" w:fill="009900"/>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10.5</w:t>
            </w:r>
          </w:p>
        </w:tc>
        <w:tc>
          <w:tcPr>
            <w:tcW w:w="567" w:type="dxa"/>
            <w:tcBorders>
              <w:top w:val="nil"/>
              <w:left w:val="nil"/>
              <w:bottom w:val="single" w:sz="4" w:space="0" w:color="auto"/>
              <w:right w:val="single" w:sz="4" w:space="0" w:color="auto"/>
            </w:tcBorders>
            <w:shd w:val="clear" w:color="000000" w:fill="99FF66"/>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28</w:t>
            </w:r>
          </w:p>
        </w:tc>
        <w:tc>
          <w:tcPr>
            <w:tcW w:w="567" w:type="dxa"/>
            <w:tcBorders>
              <w:top w:val="nil"/>
              <w:left w:val="nil"/>
              <w:bottom w:val="single" w:sz="4" w:space="0" w:color="auto"/>
              <w:right w:val="single" w:sz="4" w:space="0" w:color="auto"/>
            </w:tcBorders>
            <w:shd w:val="clear" w:color="000000" w:fill="99FF66"/>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4.2</w:t>
            </w:r>
          </w:p>
        </w:tc>
        <w:tc>
          <w:tcPr>
            <w:tcW w:w="708" w:type="dxa"/>
            <w:tcBorders>
              <w:top w:val="nil"/>
              <w:left w:val="nil"/>
              <w:bottom w:val="single" w:sz="4" w:space="0" w:color="auto"/>
              <w:right w:val="single" w:sz="4" w:space="0" w:color="auto"/>
            </w:tcBorders>
            <w:shd w:val="clear" w:color="000000" w:fill="99FF66"/>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6.0</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414</w:t>
            </w:r>
          </w:p>
        </w:tc>
        <w:tc>
          <w:tcPr>
            <w:tcW w:w="574" w:type="dxa"/>
            <w:tcBorders>
              <w:top w:val="nil"/>
              <w:left w:val="nil"/>
              <w:bottom w:val="single" w:sz="4" w:space="0" w:color="auto"/>
              <w:right w:val="single" w:sz="4" w:space="0" w:color="auto"/>
            </w:tcBorders>
            <w:shd w:val="clear" w:color="000000" w:fill="7F7F7F" w:themeFill="text1" w:themeFillTint="80"/>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11.3</w:t>
            </w:r>
          </w:p>
        </w:tc>
        <w:tc>
          <w:tcPr>
            <w:tcW w:w="647" w:type="dxa"/>
            <w:tcBorders>
              <w:top w:val="nil"/>
              <w:left w:val="nil"/>
              <w:bottom w:val="single" w:sz="4" w:space="0" w:color="auto"/>
              <w:right w:val="single" w:sz="4" w:space="0" w:color="auto"/>
            </w:tcBorders>
            <w:shd w:val="clear" w:color="000000" w:fill="7F7F7F" w:themeFill="text1" w:themeFillTint="80"/>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44.7</w:t>
            </w:r>
          </w:p>
        </w:tc>
      </w:tr>
      <w:tr w:rsidR="00EE720B" w:rsidRPr="00EE720B">
        <w:trPr>
          <w:trHeight w:val="299"/>
        </w:trPr>
        <w:tc>
          <w:tcPr>
            <w:tcW w:w="1105" w:type="dxa"/>
            <w:tcBorders>
              <w:top w:val="nil"/>
              <w:left w:val="single" w:sz="4" w:space="0" w:color="auto"/>
              <w:bottom w:val="single" w:sz="4" w:space="0" w:color="auto"/>
              <w:right w:val="single" w:sz="4" w:space="0" w:color="auto"/>
            </w:tcBorders>
            <w:shd w:val="clear" w:color="auto" w:fill="auto"/>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2009</w:t>
            </w:r>
          </w:p>
        </w:tc>
        <w:tc>
          <w:tcPr>
            <w:tcW w:w="756" w:type="dxa"/>
            <w:tcBorders>
              <w:top w:val="nil"/>
              <w:left w:val="nil"/>
              <w:bottom w:val="single" w:sz="4" w:space="0" w:color="auto"/>
              <w:right w:val="single" w:sz="4" w:space="0" w:color="auto"/>
            </w:tcBorders>
            <w:shd w:val="clear" w:color="auto" w:fill="auto"/>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642</w:t>
            </w:r>
          </w:p>
        </w:tc>
        <w:tc>
          <w:tcPr>
            <w:tcW w:w="571" w:type="dxa"/>
            <w:tcBorders>
              <w:top w:val="nil"/>
              <w:left w:val="nil"/>
              <w:bottom w:val="single" w:sz="4" w:space="0" w:color="auto"/>
              <w:right w:val="single" w:sz="4" w:space="0" w:color="auto"/>
            </w:tcBorders>
            <w:shd w:val="clear" w:color="auto" w:fill="auto"/>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7.5</w:t>
            </w:r>
          </w:p>
        </w:tc>
        <w:tc>
          <w:tcPr>
            <w:tcW w:w="622" w:type="dxa"/>
            <w:tcBorders>
              <w:top w:val="nil"/>
              <w:left w:val="nil"/>
              <w:bottom w:val="single" w:sz="4" w:space="0" w:color="auto"/>
              <w:right w:val="single" w:sz="4" w:space="0" w:color="auto"/>
            </w:tcBorders>
            <w:shd w:val="clear" w:color="000000" w:fill="009900"/>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155</w:t>
            </w:r>
          </w:p>
        </w:tc>
        <w:tc>
          <w:tcPr>
            <w:tcW w:w="637" w:type="dxa"/>
            <w:tcBorders>
              <w:top w:val="nil"/>
              <w:left w:val="nil"/>
              <w:bottom w:val="single" w:sz="4" w:space="0" w:color="auto"/>
              <w:right w:val="single" w:sz="4" w:space="0" w:color="auto"/>
            </w:tcBorders>
            <w:shd w:val="clear" w:color="000000" w:fill="009900"/>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7.7</w:t>
            </w:r>
          </w:p>
        </w:tc>
        <w:tc>
          <w:tcPr>
            <w:tcW w:w="709" w:type="dxa"/>
            <w:tcBorders>
              <w:top w:val="nil"/>
              <w:left w:val="nil"/>
              <w:bottom w:val="single" w:sz="4" w:space="0" w:color="auto"/>
              <w:right w:val="single" w:sz="4" w:space="0" w:color="auto"/>
            </w:tcBorders>
            <w:shd w:val="clear" w:color="000000" w:fill="009900"/>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10.5</w:t>
            </w:r>
          </w:p>
        </w:tc>
        <w:tc>
          <w:tcPr>
            <w:tcW w:w="567" w:type="dxa"/>
            <w:tcBorders>
              <w:top w:val="nil"/>
              <w:left w:val="nil"/>
              <w:bottom w:val="single" w:sz="4" w:space="0" w:color="auto"/>
              <w:right w:val="single" w:sz="4" w:space="0" w:color="auto"/>
            </w:tcBorders>
            <w:shd w:val="clear" w:color="000000" w:fill="99FF66"/>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29</w:t>
            </w:r>
          </w:p>
        </w:tc>
        <w:tc>
          <w:tcPr>
            <w:tcW w:w="567" w:type="dxa"/>
            <w:tcBorders>
              <w:top w:val="nil"/>
              <w:left w:val="nil"/>
              <w:bottom w:val="single" w:sz="4" w:space="0" w:color="auto"/>
              <w:right w:val="single" w:sz="4" w:space="0" w:color="auto"/>
            </w:tcBorders>
            <w:shd w:val="clear" w:color="000000" w:fill="99FF66"/>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4.4</w:t>
            </w:r>
          </w:p>
        </w:tc>
        <w:tc>
          <w:tcPr>
            <w:tcW w:w="708" w:type="dxa"/>
            <w:tcBorders>
              <w:top w:val="nil"/>
              <w:left w:val="nil"/>
              <w:bottom w:val="single" w:sz="4" w:space="0" w:color="auto"/>
              <w:right w:val="single" w:sz="4" w:space="0" w:color="auto"/>
            </w:tcBorders>
            <w:shd w:val="clear" w:color="000000" w:fill="99FF66"/>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5.6</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458</w:t>
            </w:r>
          </w:p>
        </w:tc>
        <w:tc>
          <w:tcPr>
            <w:tcW w:w="574" w:type="dxa"/>
            <w:tcBorders>
              <w:top w:val="nil"/>
              <w:left w:val="nil"/>
              <w:bottom w:val="single" w:sz="4" w:space="0" w:color="auto"/>
              <w:right w:val="single" w:sz="4" w:space="0" w:color="auto"/>
            </w:tcBorders>
            <w:shd w:val="clear" w:color="000000" w:fill="7F7F7F" w:themeFill="text1" w:themeFillTint="80"/>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7.7</w:t>
            </w:r>
          </w:p>
        </w:tc>
        <w:tc>
          <w:tcPr>
            <w:tcW w:w="647" w:type="dxa"/>
            <w:tcBorders>
              <w:top w:val="nil"/>
              <w:left w:val="nil"/>
              <w:bottom w:val="single" w:sz="4" w:space="0" w:color="auto"/>
              <w:right w:val="single" w:sz="4" w:space="0" w:color="auto"/>
            </w:tcBorders>
            <w:shd w:val="clear" w:color="000000" w:fill="7F7F7F" w:themeFill="text1" w:themeFillTint="80"/>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12.2</w:t>
            </w:r>
          </w:p>
        </w:tc>
      </w:tr>
      <w:tr w:rsidR="00EE720B" w:rsidRPr="00EE720B">
        <w:trPr>
          <w:trHeight w:val="299"/>
        </w:trPr>
        <w:tc>
          <w:tcPr>
            <w:tcW w:w="1105" w:type="dxa"/>
            <w:tcBorders>
              <w:top w:val="nil"/>
              <w:left w:val="single" w:sz="4" w:space="0" w:color="auto"/>
              <w:bottom w:val="single" w:sz="4" w:space="0" w:color="auto"/>
              <w:right w:val="single" w:sz="4" w:space="0" w:color="auto"/>
            </w:tcBorders>
            <w:shd w:val="clear" w:color="auto" w:fill="auto"/>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2010</w:t>
            </w:r>
          </w:p>
        </w:tc>
        <w:tc>
          <w:tcPr>
            <w:tcW w:w="756" w:type="dxa"/>
            <w:tcBorders>
              <w:top w:val="nil"/>
              <w:left w:val="nil"/>
              <w:bottom w:val="single" w:sz="4" w:space="0" w:color="auto"/>
              <w:right w:val="single" w:sz="4" w:space="0" w:color="auto"/>
            </w:tcBorders>
            <w:shd w:val="clear" w:color="auto" w:fill="auto"/>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747</w:t>
            </w:r>
          </w:p>
        </w:tc>
        <w:tc>
          <w:tcPr>
            <w:tcW w:w="571" w:type="dxa"/>
            <w:tcBorders>
              <w:top w:val="nil"/>
              <w:left w:val="nil"/>
              <w:bottom w:val="single" w:sz="4" w:space="0" w:color="auto"/>
              <w:right w:val="single" w:sz="4" w:space="0" w:color="auto"/>
            </w:tcBorders>
            <w:shd w:val="clear" w:color="auto" w:fill="auto"/>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5.1</w:t>
            </w:r>
          </w:p>
        </w:tc>
        <w:tc>
          <w:tcPr>
            <w:tcW w:w="622" w:type="dxa"/>
            <w:tcBorders>
              <w:top w:val="nil"/>
              <w:left w:val="nil"/>
              <w:bottom w:val="single" w:sz="4" w:space="0" w:color="auto"/>
              <w:right w:val="single" w:sz="4" w:space="0" w:color="auto"/>
            </w:tcBorders>
            <w:shd w:val="clear" w:color="000000" w:fill="009900"/>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170</w:t>
            </w:r>
          </w:p>
        </w:tc>
        <w:tc>
          <w:tcPr>
            <w:tcW w:w="637" w:type="dxa"/>
            <w:tcBorders>
              <w:top w:val="nil"/>
              <w:left w:val="nil"/>
              <w:bottom w:val="single" w:sz="4" w:space="0" w:color="auto"/>
              <w:right w:val="single" w:sz="4" w:space="0" w:color="auto"/>
            </w:tcBorders>
            <w:shd w:val="clear" w:color="000000" w:fill="009900"/>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5.1</w:t>
            </w:r>
          </w:p>
        </w:tc>
        <w:tc>
          <w:tcPr>
            <w:tcW w:w="709" w:type="dxa"/>
            <w:tcBorders>
              <w:top w:val="nil"/>
              <w:left w:val="nil"/>
              <w:bottom w:val="single" w:sz="4" w:space="0" w:color="auto"/>
              <w:right w:val="single" w:sz="4" w:space="0" w:color="auto"/>
            </w:tcBorders>
            <w:shd w:val="clear" w:color="000000" w:fill="009900"/>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4.5</w:t>
            </w:r>
          </w:p>
        </w:tc>
        <w:tc>
          <w:tcPr>
            <w:tcW w:w="567" w:type="dxa"/>
            <w:tcBorders>
              <w:top w:val="nil"/>
              <w:left w:val="nil"/>
              <w:bottom w:val="single" w:sz="4" w:space="0" w:color="auto"/>
              <w:right w:val="single" w:sz="4" w:space="0" w:color="auto"/>
            </w:tcBorders>
            <w:shd w:val="clear" w:color="000000" w:fill="99FF66"/>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70</w:t>
            </w:r>
          </w:p>
        </w:tc>
        <w:tc>
          <w:tcPr>
            <w:tcW w:w="567" w:type="dxa"/>
            <w:tcBorders>
              <w:top w:val="nil"/>
              <w:left w:val="nil"/>
              <w:bottom w:val="single" w:sz="4" w:space="0" w:color="auto"/>
              <w:right w:val="single" w:sz="4" w:space="0" w:color="auto"/>
            </w:tcBorders>
            <w:shd w:val="clear" w:color="000000" w:fill="99FF66"/>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3.5</w:t>
            </w:r>
          </w:p>
        </w:tc>
        <w:tc>
          <w:tcPr>
            <w:tcW w:w="708" w:type="dxa"/>
            <w:tcBorders>
              <w:top w:val="nil"/>
              <w:left w:val="nil"/>
              <w:bottom w:val="single" w:sz="4" w:space="0" w:color="auto"/>
              <w:right w:val="single" w:sz="4" w:space="0" w:color="auto"/>
            </w:tcBorders>
            <w:shd w:val="clear" w:color="000000" w:fill="99FF66"/>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4.0</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507</w:t>
            </w:r>
          </w:p>
        </w:tc>
        <w:tc>
          <w:tcPr>
            <w:tcW w:w="574" w:type="dxa"/>
            <w:tcBorders>
              <w:top w:val="nil"/>
              <w:left w:val="nil"/>
              <w:bottom w:val="single" w:sz="4" w:space="0" w:color="auto"/>
              <w:right w:val="single" w:sz="4" w:space="0" w:color="auto"/>
            </w:tcBorders>
            <w:shd w:val="clear" w:color="000000" w:fill="7F7F7F" w:themeFill="text1" w:themeFillTint="80"/>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5.3</w:t>
            </w:r>
          </w:p>
        </w:tc>
        <w:tc>
          <w:tcPr>
            <w:tcW w:w="647" w:type="dxa"/>
            <w:tcBorders>
              <w:top w:val="nil"/>
              <w:left w:val="nil"/>
              <w:bottom w:val="single" w:sz="4" w:space="0" w:color="auto"/>
              <w:right w:val="single" w:sz="4" w:space="0" w:color="auto"/>
            </w:tcBorders>
            <w:shd w:val="clear" w:color="000000" w:fill="7F7F7F" w:themeFill="text1" w:themeFillTint="80"/>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9.4</w:t>
            </w:r>
          </w:p>
        </w:tc>
      </w:tr>
      <w:tr w:rsidR="00EE720B" w:rsidRPr="00EE720B">
        <w:trPr>
          <w:trHeight w:val="299"/>
        </w:trPr>
        <w:tc>
          <w:tcPr>
            <w:tcW w:w="1105" w:type="dxa"/>
            <w:tcBorders>
              <w:top w:val="nil"/>
              <w:left w:val="single" w:sz="4" w:space="0" w:color="auto"/>
              <w:bottom w:val="single" w:sz="4" w:space="0" w:color="auto"/>
              <w:right w:val="single" w:sz="4" w:space="0" w:color="auto"/>
            </w:tcBorders>
            <w:shd w:val="clear" w:color="auto" w:fill="auto"/>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2011</w:t>
            </w:r>
          </w:p>
        </w:tc>
        <w:tc>
          <w:tcPr>
            <w:tcW w:w="756" w:type="dxa"/>
            <w:tcBorders>
              <w:top w:val="nil"/>
              <w:left w:val="nil"/>
              <w:bottom w:val="single" w:sz="4" w:space="0" w:color="auto"/>
              <w:right w:val="single" w:sz="4" w:space="0" w:color="auto"/>
            </w:tcBorders>
            <w:shd w:val="clear" w:color="auto" w:fill="auto"/>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876</w:t>
            </w:r>
          </w:p>
        </w:tc>
        <w:tc>
          <w:tcPr>
            <w:tcW w:w="571" w:type="dxa"/>
            <w:tcBorders>
              <w:top w:val="nil"/>
              <w:left w:val="nil"/>
              <w:bottom w:val="single" w:sz="4" w:space="0" w:color="auto"/>
              <w:right w:val="single" w:sz="4" w:space="0" w:color="auto"/>
            </w:tcBorders>
            <w:shd w:val="clear" w:color="auto" w:fill="auto"/>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3.0</w:t>
            </w:r>
          </w:p>
        </w:tc>
        <w:tc>
          <w:tcPr>
            <w:tcW w:w="622" w:type="dxa"/>
            <w:tcBorders>
              <w:top w:val="nil"/>
              <w:left w:val="nil"/>
              <w:bottom w:val="single" w:sz="4" w:space="0" w:color="auto"/>
              <w:right w:val="single" w:sz="4" w:space="0" w:color="auto"/>
            </w:tcBorders>
            <w:shd w:val="clear" w:color="000000" w:fill="009900"/>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280</w:t>
            </w:r>
          </w:p>
        </w:tc>
        <w:tc>
          <w:tcPr>
            <w:tcW w:w="637" w:type="dxa"/>
            <w:tcBorders>
              <w:top w:val="nil"/>
              <w:left w:val="nil"/>
              <w:bottom w:val="single" w:sz="4" w:space="0" w:color="auto"/>
              <w:right w:val="single" w:sz="4" w:space="0" w:color="auto"/>
            </w:tcBorders>
            <w:shd w:val="clear" w:color="000000" w:fill="009900"/>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2.6</w:t>
            </w:r>
          </w:p>
        </w:tc>
        <w:tc>
          <w:tcPr>
            <w:tcW w:w="709" w:type="dxa"/>
            <w:tcBorders>
              <w:top w:val="nil"/>
              <w:left w:val="nil"/>
              <w:bottom w:val="single" w:sz="4" w:space="0" w:color="auto"/>
              <w:right w:val="single" w:sz="4" w:space="0" w:color="auto"/>
            </w:tcBorders>
            <w:shd w:val="clear" w:color="000000" w:fill="009900"/>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3.6</w:t>
            </w:r>
          </w:p>
        </w:tc>
        <w:tc>
          <w:tcPr>
            <w:tcW w:w="567" w:type="dxa"/>
            <w:tcBorders>
              <w:top w:val="nil"/>
              <w:left w:val="nil"/>
              <w:bottom w:val="single" w:sz="4" w:space="0" w:color="auto"/>
              <w:right w:val="single" w:sz="4" w:space="0" w:color="auto"/>
            </w:tcBorders>
            <w:shd w:val="clear" w:color="000000" w:fill="99FF66"/>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148</w:t>
            </w:r>
          </w:p>
        </w:tc>
        <w:tc>
          <w:tcPr>
            <w:tcW w:w="567" w:type="dxa"/>
            <w:tcBorders>
              <w:top w:val="nil"/>
              <w:left w:val="nil"/>
              <w:bottom w:val="single" w:sz="4" w:space="0" w:color="auto"/>
              <w:right w:val="single" w:sz="4" w:space="0" w:color="auto"/>
            </w:tcBorders>
            <w:shd w:val="clear" w:color="000000" w:fill="99FF66"/>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1.8</w:t>
            </w:r>
          </w:p>
        </w:tc>
        <w:tc>
          <w:tcPr>
            <w:tcW w:w="708" w:type="dxa"/>
            <w:tcBorders>
              <w:top w:val="nil"/>
              <w:left w:val="nil"/>
              <w:bottom w:val="single" w:sz="4" w:space="0" w:color="auto"/>
              <w:right w:val="single" w:sz="4" w:space="0" w:color="auto"/>
            </w:tcBorders>
            <w:shd w:val="clear" w:color="000000" w:fill="99FF66"/>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2.6</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448</w:t>
            </w:r>
          </w:p>
        </w:tc>
        <w:tc>
          <w:tcPr>
            <w:tcW w:w="574" w:type="dxa"/>
            <w:tcBorders>
              <w:top w:val="nil"/>
              <w:left w:val="nil"/>
              <w:bottom w:val="single" w:sz="4" w:space="0" w:color="auto"/>
              <w:right w:val="single" w:sz="4" w:space="0" w:color="auto"/>
            </w:tcBorders>
            <w:shd w:val="clear" w:color="000000" w:fill="7F7F7F" w:themeFill="text1" w:themeFillTint="80"/>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3.7</w:t>
            </w:r>
          </w:p>
        </w:tc>
        <w:tc>
          <w:tcPr>
            <w:tcW w:w="647" w:type="dxa"/>
            <w:tcBorders>
              <w:top w:val="nil"/>
              <w:left w:val="nil"/>
              <w:bottom w:val="single" w:sz="4" w:space="0" w:color="auto"/>
              <w:right w:val="single" w:sz="4" w:space="0" w:color="auto"/>
            </w:tcBorders>
            <w:shd w:val="clear" w:color="000000" w:fill="7F7F7F" w:themeFill="text1" w:themeFillTint="80"/>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8.4</w:t>
            </w:r>
          </w:p>
        </w:tc>
      </w:tr>
      <w:tr w:rsidR="00EE720B" w:rsidRPr="00EE720B">
        <w:trPr>
          <w:trHeight w:val="299"/>
        </w:trPr>
        <w:tc>
          <w:tcPr>
            <w:tcW w:w="1105" w:type="dxa"/>
            <w:tcBorders>
              <w:top w:val="nil"/>
              <w:left w:val="single" w:sz="4" w:space="0" w:color="auto"/>
              <w:bottom w:val="single" w:sz="4" w:space="0" w:color="auto"/>
              <w:right w:val="single" w:sz="4" w:space="0" w:color="auto"/>
            </w:tcBorders>
            <w:shd w:val="clear" w:color="auto" w:fill="auto"/>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2012</w:t>
            </w:r>
          </w:p>
        </w:tc>
        <w:tc>
          <w:tcPr>
            <w:tcW w:w="756" w:type="dxa"/>
            <w:tcBorders>
              <w:top w:val="nil"/>
              <w:left w:val="nil"/>
              <w:bottom w:val="single" w:sz="4" w:space="0" w:color="auto"/>
              <w:right w:val="single" w:sz="4" w:space="0" w:color="auto"/>
            </w:tcBorders>
            <w:shd w:val="clear" w:color="auto" w:fill="auto"/>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1075</w:t>
            </w:r>
          </w:p>
        </w:tc>
        <w:tc>
          <w:tcPr>
            <w:tcW w:w="571" w:type="dxa"/>
            <w:tcBorders>
              <w:top w:val="nil"/>
              <w:left w:val="nil"/>
              <w:bottom w:val="single" w:sz="4" w:space="0" w:color="auto"/>
              <w:right w:val="single" w:sz="4" w:space="0" w:color="auto"/>
            </w:tcBorders>
            <w:shd w:val="clear" w:color="auto" w:fill="auto"/>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1.7</w:t>
            </w:r>
          </w:p>
        </w:tc>
        <w:tc>
          <w:tcPr>
            <w:tcW w:w="622" w:type="dxa"/>
            <w:tcBorders>
              <w:top w:val="nil"/>
              <w:left w:val="nil"/>
              <w:bottom w:val="single" w:sz="4" w:space="0" w:color="auto"/>
              <w:right w:val="single" w:sz="4" w:space="0" w:color="auto"/>
            </w:tcBorders>
            <w:shd w:val="clear" w:color="000000" w:fill="009900"/>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309</w:t>
            </w:r>
          </w:p>
        </w:tc>
        <w:tc>
          <w:tcPr>
            <w:tcW w:w="637" w:type="dxa"/>
            <w:tcBorders>
              <w:top w:val="nil"/>
              <w:left w:val="nil"/>
              <w:bottom w:val="single" w:sz="4" w:space="0" w:color="auto"/>
              <w:right w:val="single" w:sz="4" w:space="0" w:color="auto"/>
            </w:tcBorders>
            <w:shd w:val="clear" w:color="000000" w:fill="009900"/>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0.7</w:t>
            </w:r>
          </w:p>
        </w:tc>
        <w:tc>
          <w:tcPr>
            <w:tcW w:w="709" w:type="dxa"/>
            <w:tcBorders>
              <w:top w:val="nil"/>
              <w:left w:val="nil"/>
              <w:bottom w:val="single" w:sz="4" w:space="0" w:color="auto"/>
              <w:right w:val="single" w:sz="4" w:space="0" w:color="auto"/>
            </w:tcBorders>
            <w:shd w:val="clear" w:color="000000" w:fill="009900"/>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3.2</w:t>
            </w:r>
          </w:p>
        </w:tc>
        <w:tc>
          <w:tcPr>
            <w:tcW w:w="567" w:type="dxa"/>
            <w:tcBorders>
              <w:top w:val="nil"/>
              <w:left w:val="nil"/>
              <w:bottom w:val="single" w:sz="4" w:space="0" w:color="auto"/>
              <w:right w:val="single" w:sz="4" w:space="0" w:color="auto"/>
            </w:tcBorders>
            <w:shd w:val="clear" w:color="000000" w:fill="99FF66"/>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242</w:t>
            </w:r>
          </w:p>
        </w:tc>
        <w:tc>
          <w:tcPr>
            <w:tcW w:w="567" w:type="dxa"/>
            <w:tcBorders>
              <w:top w:val="nil"/>
              <w:left w:val="nil"/>
              <w:bottom w:val="single" w:sz="4" w:space="0" w:color="auto"/>
              <w:right w:val="single" w:sz="4" w:space="0" w:color="auto"/>
            </w:tcBorders>
            <w:shd w:val="clear" w:color="000000" w:fill="99FF66"/>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1.0</w:t>
            </w:r>
          </w:p>
        </w:tc>
        <w:tc>
          <w:tcPr>
            <w:tcW w:w="708" w:type="dxa"/>
            <w:tcBorders>
              <w:top w:val="nil"/>
              <w:left w:val="nil"/>
              <w:bottom w:val="single" w:sz="4" w:space="0" w:color="auto"/>
              <w:right w:val="single" w:sz="4" w:space="0" w:color="auto"/>
            </w:tcBorders>
            <w:shd w:val="clear" w:color="000000" w:fill="99FF66"/>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8.2</w:t>
            </w:r>
          </w:p>
        </w:tc>
        <w:tc>
          <w:tcPr>
            <w:tcW w:w="622" w:type="dxa"/>
            <w:tcBorders>
              <w:top w:val="nil"/>
              <w:left w:val="nil"/>
              <w:bottom w:val="single" w:sz="4" w:space="0" w:color="auto"/>
              <w:right w:val="single" w:sz="4" w:space="0" w:color="auto"/>
            </w:tcBorders>
            <w:shd w:val="clear" w:color="000000" w:fill="7F7F7F" w:themeFill="text1" w:themeFillTint="80"/>
            <w:noWrap/>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524</w:t>
            </w:r>
          </w:p>
        </w:tc>
        <w:tc>
          <w:tcPr>
            <w:tcW w:w="574" w:type="dxa"/>
            <w:tcBorders>
              <w:top w:val="nil"/>
              <w:left w:val="nil"/>
              <w:bottom w:val="single" w:sz="4" w:space="0" w:color="auto"/>
              <w:right w:val="single" w:sz="4" w:space="0" w:color="auto"/>
            </w:tcBorders>
            <w:shd w:val="clear" w:color="000000" w:fill="7F7F7F" w:themeFill="text1" w:themeFillTint="80"/>
            <w:vAlign w:val="bottom"/>
          </w:tcPr>
          <w:p w:rsidR="00EE720B" w:rsidRPr="00EE720B" w:rsidRDefault="00EE720B" w:rsidP="00EE720B">
            <w:pPr>
              <w:spacing w:after="0" w:line="240" w:lineRule="auto"/>
              <w:jc w:val="center"/>
              <w:rPr>
                <w:rFonts w:ascii="Calibri" w:eastAsia="Times New Roman" w:hAnsi="Calibri" w:cs="Times New Roman"/>
                <w:b/>
                <w:bCs/>
                <w:color w:val="000000"/>
                <w:sz w:val="20"/>
                <w:szCs w:val="20"/>
                <w:lang w:eastAsia="en-CA"/>
              </w:rPr>
            </w:pPr>
            <w:r w:rsidRPr="00EE720B">
              <w:rPr>
                <w:rFonts w:ascii="Calibri" w:eastAsia="Times New Roman" w:hAnsi="Calibri" w:cs="Times New Roman"/>
                <w:b/>
                <w:bCs/>
                <w:color w:val="000000"/>
                <w:sz w:val="20"/>
                <w:szCs w:val="20"/>
                <w:lang w:eastAsia="en-CA"/>
              </w:rPr>
              <w:t>2.6</w:t>
            </w:r>
          </w:p>
        </w:tc>
        <w:tc>
          <w:tcPr>
            <w:tcW w:w="647" w:type="dxa"/>
            <w:tcBorders>
              <w:top w:val="nil"/>
              <w:left w:val="nil"/>
              <w:bottom w:val="single" w:sz="4" w:space="0" w:color="auto"/>
              <w:right w:val="single" w:sz="4" w:space="0" w:color="auto"/>
            </w:tcBorders>
            <w:shd w:val="clear" w:color="000000" w:fill="7F7F7F" w:themeFill="text1" w:themeFillTint="80"/>
            <w:vAlign w:val="bottom"/>
          </w:tcPr>
          <w:p w:rsidR="00EE720B" w:rsidRPr="00EE720B" w:rsidRDefault="00EE720B" w:rsidP="00EE720B">
            <w:pPr>
              <w:spacing w:after="0" w:line="240" w:lineRule="auto"/>
              <w:jc w:val="center"/>
              <w:rPr>
                <w:rFonts w:ascii="Calibri" w:eastAsia="Times New Roman" w:hAnsi="Calibri" w:cs="Times New Roman"/>
                <w:color w:val="000000"/>
                <w:sz w:val="20"/>
                <w:szCs w:val="20"/>
                <w:lang w:eastAsia="en-CA"/>
              </w:rPr>
            </w:pPr>
            <w:r w:rsidRPr="00EE720B">
              <w:rPr>
                <w:rFonts w:ascii="Calibri" w:eastAsia="Times New Roman" w:hAnsi="Calibri" w:cs="Times New Roman"/>
                <w:color w:val="000000"/>
                <w:sz w:val="20"/>
                <w:szCs w:val="20"/>
                <w:lang w:eastAsia="en-CA"/>
              </w:rPr>
              <w:t>12.0</w:t>
            </w:r>
          </w:p>
        </w:tc>
      </w:tr>
    </w:tbl>
    <w:p w:rsidR="00483BA4" w:rsidRPr="005623CE" w:rsidRDefault="00483BA4" w:rsidP="00BE19E2">
      <w:pPr>
        <w:rPr>
          <w:rFonts w:ascii="Arial" w:hAnsi="Arial"/>
        </w:rPr>
      </w:pPr>
    </w:p>
    <w:p w:rsidR="00973EA7" w:rsidRPr="005623CE" w:rsidRDefault="00973EA7" w:rsidP="00BE19E2">
      <w:pPr>
        <w:rPr>
          <w:rFonts w:ascii="Arial" w:hAnsi="Arial"/>
        </w:rPr>
      </w:pPr>
    </w:p>
    <w:p w:rsidR="00973EA7" w:rsidRPr="005623CE" w:rsidRDefault="00973EA7" w:rsidP="00BE19E2">
      <w:pPr>
        <w:rPr>
          <w:rFonts w:ascii="Arial" w:hAnsi="Arial"/>
        </w:rPr>
      </w:pPr>
    </w:p>
    <w:p w:rsidR="00973EA7" w:rsidRPr="005623CE" w:rsidRDefault="00973EA7" w:rsidP="00BE19E2">
      <w:pPr>
        <w:rPr>
          <w:rFonts w:ascii="Arial" w:hAnsi="Arial"/>
        </w:rPr>
      </w:pPr>
    </w:p>
    <w:p w:rsidR="00973EA7" w:rsidRDefault="00973EA7" w:rsidP="00BE19E2">
      <w:pPr>
        <w:rPr>
          <w:rFonts w:ascii="Arial" w:hAnsi="Arial"/>
        </w:rPr>
      </w:pPr>
    </w:p>
    <w:p w:rsidR="00EE720B" w:rsidRPr="005623CE" w:rsidRDefault="00EE720B" w:rsidP="00BE19E2">
      <w:pPr>
        <w:rPr>
          <w:rFonts w:ascii="Arial" w:hAnsi="Arial"/>
        </w:rPr>
      </w:pPr>
    </w:p>
    <w:p w:rsidR="00973EA7" w:rsidRPr="005623CE" w:rsidRDefault="00973EA7" w:rsidP="00BE19E2">
      <w:pPr>
        <w:rPr>
          <w:rFonts w:ascii="Arial" w:hAnsi="Arial"/>
        </w:rPr>
      </w:pPr>
    </w:p>
    <w:p w:rsidR="00973EA7" w:rsidRPr="005623CE" w:rsidRDefault="00973EA7" w:rsidP="00BE19E2">
      <w:pPr>
        <w:rPr>
          <w:rFonts w:ascii="Arial" w:hAnsi="Arial"/>
        </w:rPr>
      </w:pPr>
    </w:p>
    <w:p w:rsidR="00973EA7" w:rsidRPr="005623CE" w:rsidRDefault="00973EA7" w:rsidP="00BE19E2">
      <w:pPr>
        <w:rPr>
          <w:rFonts w:ascii="Arial" w:hAnsi="Arial"/>
        </w:rPr>
      </w:pPr>
    </w:p>
    <w:p w:rsidR="00973EA7" w:rsidRPr="005623CE" w:rsidRDefault="00973EA7" w:rsidP="00BE19E2">
      <w:pPr>
        <w:rPr>
          <w:rFonts w:ascii="Arial" w:hAnsi="Arial"/>
        </w:rPr>
      </w:pPr>
    </w:p>
    <w:p w:rsidR="00973EA7" w:rsidRPr="005623CE" w:rsidRDefault="00973EA7" w:rsidP="00BE19E2">
      <w:pPr>
        <w:rPr>
          <w:rFonts w:ascii="Arial" w:hAnsi="Arial"/>
        </w:rPr>
      </w:pPr>
    </w:p>
    <w:p w:rsidR="00973EA7" w:rsidRPr="005623CE" w:rsidRDefault="00973EA7" w:rsidP="00BE19E2">
      <w:pPr>
        <w:rPr>
          <w:rFonts w:ascii="Arial" w:hAnsi="Arial"/>
        </w:rPr>
      </w:pPr>
    </w:p>
    <w:p w:rsidR="00973EA7" w:rsidRPr="005623CE" w:rsidRDefault="00973EA7" w:rsidP="00BE19E2">
      <w:pPr>
        <w:rPr>
          <w:rFonts w:ascii="Arial" w:hAnsi="Arial"/>
        </w:rPr>
      </w:pPr>
    </w:p>
    <w:p w:rsidR="00973EA7" w:rsidRPr="005623CE" w:rsidRDefault="00973EA7" w:rsidP="00BE19E2">
      <w:pPr>
        <w:rPr>
          <w:rFonts w:ascii="Arial" w:hAnsi="Arial"/>
        </w:rPr>
      </w:pPr>
    </w:p>
    <w:p w:rsidR="00973EA7" w:rsidRPr="005623CE" w:rsidRDefault="00973EA7" w:rsidP="00BE19E2">
      <w:pPr>
        <w:rPr>
          <w:rFonts w:ascii="Arial" w:hAnsi="Arial"/>
        </w:rPr>
      </w:pPr>
    </w:p>
    <w:p w:rsidR="00973EA7" w:rsidRDefault="00973EA7" w:rsidP="00BE19E2">
      <w:pPr>
        <w:rPr>
          <w:rFonts w:ascii="Arial" w:hAnsi="Arial"/>
        </w:rPr>
      </w:pPr>
    </w:p>
    <w:p w:rsidR="00EE720B" w:rsidRPr="005623CE" w:rsidRDefault="00EE720B" w:rsidP="00BE19E2">
      <w:pPr>
        <w:rPr>
          <w:rFonts w:ascii="Arial" w:hAnsi="Arial"/>
        </w:rPr>
      </w:pPr>
    </w:p>
    <w:p w:rsidR="00782619" w:rsidRPr="001F5C54" w:rsidRDefault="00632191" w:rsidP="001F5C54">
      <w:pPr>
        <w:rPr>
          <w:rFonts w:ascii="Arial" w:hAnsi="Arial" w:cs="Times New Roman"/>
          <w:b/>
          <w:u w:val="single"/>
        </w:rPr>
      </w:pPr>
      <w:r w:rsidRPr="005623CE">
        <w:rPr>
          <w:rFonts w:ascii="Arial" w:hAnsi="Arial" w:cs="Times New Roman"/>
          <w:b/>
          <w:u w:val="single"/>
        </w:rPr>
        <w:t>Appendix 3</w:t>
      </w:r>
    </w:p>
    <w:p w:rsidR="00782619" w:rsidRPr="005623CE" w:rsidRDefault="00782619" w:rsidP="00BE19E2">
      <w:pPr>
        <w:spacing w:after="0" w:line="240" w:lineRule="auto"/>
        <w:rPr>
          <w:rFonts w:ascii="Arial" w:eastAsia="Times New Roman" w:hAnsi="Arial" w:cs="Times New Roman"/>
          <w:b/>
          <w:bCs/>
          <w:color w:val="000000"/>
          <w:lang w:eastAsia="en-CA"/>
        </w:rPr>
      </w:pPr>
    </w:p>
    <w:p w:rsidR="0012564A" w:rsidRDefault="00782619" w:rsidP="001170A3">
      <w:pPr>
        <w:spacing w:after="0" w:line="240" w:lineRule="auto"/>
        <w:jc w:val="both"/>
        <w:rPr>
          <w:rFonts w:ascii="Arial" w:eastAsia="Times New Roman" w:hAnsi="Arial" w:cs="Times New Roman"/>
          <w:b/>
          <w:bCs/>
          <w:color w:val="000000"/>
          <w:lang w:eastAsia="en-CA"/>
        </w:rPr>
      </w:pPr>
      <w:r w:rsidRPr="005623CE">
        <w:rPr>
          <w:rFonts w:ascii="Arial" w:eastAsia="Times New Roman" w:hAnsi="Arial" w:cs="Times New Roman"/>
          <w:b/>
          <w:bCs/>
          <w:color w:val="000000"/>
          <w:lang w:eastAsia="en-CA"/>
        </w:rPr>
        <w:t xml:space="preserve">Table </w:t>
      </w:r>
      <w:r w:rsidR="008C429F">
        <w:rPr>
          <w:rFonts w:ascii="Arial" w:eastAsia="Times New Roman" w:hAnsi="Arial" w:cs="Times New Roman"/>
          <w:b/>
          <w:bCs/>
          <w:color w:val="000000"/>
          <w:lang w:eastAsia="en-CA"/>
        </w:rPr>
        <w:t>7</w:t>
      </w:r>
      <w:r w:rsidR="00632191" w:rsidRPr="005623CE">
        <w:rPr>
          <w:rFonts w:ascii="Arial" w:eastAsia="Times New Roman" w:hAnsi="Arial" w:cs="Times New Roman"/>
          <w:b/>
          <w:bCs/>
          <w:color w:val="000000"/>
          <w:lang w:eastAsia="en-CA"/>
        </w:rPr>
        <w:t xml:space="preserve">. </w:t>
      </w:r>
      <w:r w:rsidR="008C429F" w:rsidRPr="008C429F">
        <w:rPr>
          <w:rFonts w:ascii="Arial" w:eastAsia="Times New Roman" w:hAnsi="Arial" w:cs="Times New Roman"/>
          <w:b/>
          <w:bCs/>
          <w:color w:val="000000"/>
          <w:lang w:eastAsia="en-CA"/>
        </w:rPr>
        <w:t>Percent Public Access deposits (PA), Restricted Access deposits (RA), Metadata Only and Not Deposited for the universities of Liège, Minho, Surrey (Mandated) and Lancaster (Non-Mandated) as well as the averages for 26 Mandated and 73 Non-Mandated UK repositories that were analyzed for publication year 2012</w:t>
      </w:r>
    </w:p>
    <w:p w:rsidR="001F5C54" w:rsidRPr="001F5C54" w:rsidRDefault="001F5C54" w:rsidP="001F5C54">
      <w:pPr>
        <w:spacing w:after="0" w:line="240" w:lineRule="auto"/>
        <w:rPr>
          <w:rFonts w:ascii="Arial" w:eastAsia="Times New Roman" w:hAnsi="Arial" w:cs="Times New Roman"/>
          <w:b/>
          <w:bCs/>
          <w:color w:val="000000"/>
          <w:lang w:eastAsia="en-CA"/>
        </w:rPr>
      </w:pPr>
    </w:p>
    <w:tbl>
      <w:tblPr>
        <w:tblW w:w="7802" w:type="dxa"/>
        <w:tblInd w:w="103" w:type="dxa"/>
        <w:tblLook w:val="04A0"/>
      </w:tblPr>
      <w:tblGrid>
        <w:gridCol w:w="1990"/>
        <w:gridCol w:w="850"/>
        <w:gridCol w:w="1276"/>
        <w:gridCol w:w="1287"/>
        <w:gridCol w:w="1123"/>
        <w:gridCol w:w="1276"/>
      </w:tblGrid>
      <w:tr w:rsidR="001F5C54" w:rsidRPr="001F5C54">
        <w:trPr>
          <w:trHeight w:val="291"/>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5C54" w:rsidRPr="001F5C54" w:rsidRDefault="001F5C54" w:rsidP="001F5C54">
            <w:pPr>
              <w:spacing w:after="0" w:line="240" w:lineRule="auto"/>
              <w:jc w:val="center"/>
              <w:rPr>
                <w:rFonts w:ascii="Calibri" w:eastAsia="Times New Roman" w:hAnsi="Calibri" w:cs="Times New Roman"/>
                <w:b/>
                <w:bCs/>
                <w:color w:val="000000"/>
                <w:lang w:eastAsia="en-CA"/>
              </w:rPr>
            </w:pPr>
            <w:r w:rsidRPr="001F5C54">
              <w:rPr>
                <w:rFonts w:ascii="Calibri" w:eastAsia="Times New Roman" w:hAnsi="Calibri" w:cs="Times New Roman"/>
                <w:b/>
                <w:bCs/>
                <w:color w:val="000000"/>
                <w:lang w:eastAsia="en-CA"/>
              </w:rPr>
              <w:t>Institution</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F5C54" w:rsidRPr="001F5C54" w:rsidRDefault="001F5C54" w:rsidP="001F5C54">
            <w:pPr>
              <w:spacing w:after="0" w:line="240" w:lineRule="auto"/>
              <w:jc w:val="center"/>
              <w:rPr>
                <w:rFonts w:ascii="Calibri" w:eastAsia="Times New Roman" w:hAnsi="Calibri" w:cs="Times New Roman"/>
                <w:b/>
                <w:bCs/>
                <w:color w:val="000000"/>
                <w:lang w:eastAsia="en-CA"/>
              </w:rPr>
            </w:pPr>
            <w:r w:rsidRPr="001F5C54">
              <w:rPr>
                <w:rFonts w:ascii="Calibri" w:eastAsia="Times New Roman" w:hAnsi="Calibri" w:cs="Times New Roman"/>
                <w:b/>
                <w:bCs/>
                <w:color w:val="000000"/>
                <w:lang w:eastAsia="en-CA"/>
              </w:rPr>
              <w:t>N</w:t>
            </w:r>
          </w:p>
        </w:tc>
        <w:tc>
          <w:tcPr>
            <w:tcW w:w="1276" w:type="dxa"/>
            <w:tcBorders>
              <w:top w:val="single" w:sz="4" w:space="0" w:color="auto"/>
              <w:left w:val="nil"/>
              <w:bottom w:val="single" w:sz="4" w:space="0" w:color="auto"/>
              <w:right w:val="single" w:sz="4" w:space="0" w:color="auto"/>
            </w:tcBorders>
            <w:shd w:val="clear" w:color="000000" w:fill="009900"/>
            <w:noWrap/>
            <w:vAlign w:val="center"/>
          </w:tcPr>
          <w:p w:rsidR="001F5C54" w:rsidRPr="001F5C54" w:rsidRDefault="001F5C54" w:rsidP="001F5C54">
            <w:pPr>
              <w:spacing w:after="0" w:line="240" w:lineRule="auto"/>
              <w:jc w:val="center"/>
              <w:rPr>
                <w:rFonts w:ascii="Calibri" w:eastAsia="Times New Roman" w:hAnsi="Calibri" w:cs="Times New Roman"/>
                <w:b/>
                <w:bCs/>
                <w:color w:val="000000"/>
                <w:lang w:eastAsia="en-CA"/>
              </w:rPr>
            </w:pPr>
            <w:r w:rsidRPr="001F5C54">
              <w:rPr>
                <w:rFonts w:ascii="Calibri" w:eastAsia="Times New Roman" w:hAnsi="Calibri" w:cs="Times New Roman"/>
                <w:b/>
                <w:bCs/>
                <w:color w:val="000000"/>
                <w:lang w:eastAsia="en-CA"/>
              </w:rPr>
              <w:t>Public Access</w:t>
            </w:r>
          </w:p>
        </w:tc>
        <w:tc>
          <w:tcPr>
            <w:tcW w:w="1287" w:type="dxa"/>
            <w:tcBorders>
              <w:top w:val="single" w:sz="4" w:space="0" w:color="auto"/>
              <w:left w:val="nil"/>
              <w:bottom w:val="single" w:sz="4" w:space="0" w:color="auto"/>
              <w:right w:val="single" w:sz="4" w:space="0" w:color="auto"/>
            </w:tcBorders>
            <w:shd w:val="clear" w:color="000000" w:fill="99FF66"/>
            <w:noWrap/>
            <w:vAlign w:val="center"/>
          </w:tcPr>
          <w:p w:rsidR="001F5C54" w:rsidRPr="001F5C54" w:rsidRDefault="001F5C54" w:rsidP="001F5C54">
            <w:pPr>
              <w:spacing w:after="0" w:line="240" w:lineRule="auto"/>
              <w:jc w:val="center"/>
              <w:rPr>
                <w:rFonts w:ascii="Calibri" w:eastAsia="Times New Roman" w:hAnsi="Calibri" w:cs="Times New Roman"/>
                <w:b/>
                <w:bCs/>
                <w:color w:val="000000"/>
                <w:lang w:eastAsia="en-CA"/>
              </w:rPr>
            </w:pPr>
            <w:r w:rsidRPr="001F5C54">
              <w:rPr>
                <w:rFonts w:ascii="Calibri" w:eastAsia="Times New Roman" w:hAnsi="Calibri" w:cs="Times New Roman"/>
                <w:b/>
                <w:bCs/>
                <w:color w:val="000000"/>
                <w:lang w:eastAsia="en-CA"/>
              </w:rPr>
              <w:t>Restricted Access</w:t>
            </w:r>
          </w:p>
        </w:tc>
        <w:tc>
          <w:tcPr>
            <w:tcW w:w="1123" w:type="dxa"/>
            <w:tcBorders>
              <w:top w:val="single" w:sz="4" w:space="0" w:color="auto"/>
              <w:left w:val="nil"/>
              <w:bottom w:val="single" w:sz="4" w:space="0" w:color="auto"/>
              <w:right w:val="single" w:sz="4" w:space="0" w:color="auto"/>
            </w:tcBorders>
            <w:shd w:val="clear" w:color="000000" w:fill="BFBFBF"/>
            <w:noWrap/>
            <w:vAlign w:val="center"/>
          </w:tcPr>
          <w:p w:rsidR="001F5C54" w:rsidRPr="001F5C54" w:rsidRDefault="001F5C54" w:rsidP="001F5C54">
            <w:pPr>
              <w:spacing w:after="0" w:line="240" w:lineRule="auto"/>
              <w:jc w:val="center"/>
              <w:rPr>
                <w:rFonts w:ascii="Calibri" w:eastAsia="Times New Roman" w:hAnsi="Calibri" w:cs="Times New Roman"/>
                <w:b/>
                <w:bCs/>
                <w:color w:val="000000"/>
                <w:lang w:eastAsia="en-CA"/>
              </w:rPr>
            </w:pPr>
            <w:r w:rsidRPr="001F5C54">
              <w:rPr>
                <w:rFonts w:ascii="Calibri" w:eastAsia="Times New Roman" w:hAnsi="Calibri" w:cs="Times New Roman"/>
                <w:b/>
                <w:bCs/>
                <w:color w:val="000000"/>
                <w:lang w:eastAsia="en-CA"/>
              </w:rPr>
              <w:t>Metadata Only</w:t>
            </w:r>
          </w:p>
        </w:tc>
        <w:tc>
          <w:tcPr>
            <w:tcW w:w="1276" w:type="dxa"/>
            <w:tcBorders>
              <w:top w:val="single" w:sz="4" w:space="0" w:color="auto"/>
              <w:left w:val="nil"/>
              <w:bottom w:val="single" w:sz="4" w:space="0" w:color="auto"/>
              <w:right w:val="single" w:sz="4" w:space="0" w:color="auto"/>
            </w:tcBorders>
            <w:shd w:val="clear" w:color="000000" w:fill="808080"/>
            <w:noWrap/>
            <w:vAlign w:val="center"/>
          </w:tcPr>
          <w:p w:rsidR="001F5C54" w:rsidRPr="001F5C54" w:rsidRDefault="001F5C54" w:rsidP="001F5C54">
            <w:pPr>
              <w:spacing w:after="0" w:line="240" w:lineRule="auto"/>
              <w:jc w:val="center"/>
              <w:rPr>
                <w:rFonts w:ascii="Calibri" w:eastAsia="Times New Roman" w:hAnsi="Calibri" w:cs="Times New Roman"/>
                <w:b/>
                <w:bCs/>
                <w:color w:val="000000"/>
                <w:lang w:eastAsia="en-CA"/>
              </w:rPr>
            </w:pPr>
            <w:r w:rsidRPr="001F5C54">
              <w:rPr>
                <w:rFonts w:ascii="Calibri" w:eastAsia="Times New Roman" w:hAnsi="Calibri" w:cs="Times New Roman"/>
                <w:b/>
                <w:bCs/>
                <w:color w:val="000000"/>
                <w:lang w:eastAsia="en-CA"/>
              </w:rPr>
              <w:t>Not Deposited</w:t>
            </w:r>
          </w:p>
        </w:tc>
      </w:tr>
      <w:tr w:rsidR="001F5C54" w:rsidRPr="001F5C54">
        <w:trPr>
          <w:trHeight w:val="291"/>
        </w:trPr>
        <w:tc>
          <w:tcPr>
            <w:tcW w:w="1990" w:type="dxa"/>
            <w:tcBorders>
              <w:top w:val="nil"/>
              <w:left w:val="single" w:sz="4" w:space="0" w:color="auto"/>
              <w:bottom w:val="single" w:sz="4" w:space="0" w:color="auto"/>
              <w:right w:val="single" w:sz="4" w:space="0" w:color="auto"/>
            </w:tcBorders>
            <w:shd w:val="clear" w:color="auto" w:fill="auto"/>
            <w:noWrap/>
            <w:vAlign w:val="bottom"/>
          </w:tcPr>
          <w:p w:rsidR="001F5C54" w:rsidRPr="001F5C54" w:rsidRDefault="001F5C54" w:rsidP="001F5C54">
            <w:pPr>
              <w:spacing w:after="0" w:line="240" w:lineRule="auto"/>
              <w:rPr>
                <w:rFonts w:ascii="Calibri" w:eastAsia="Times New Roman" w:hAnsi="Calibri" w:cs="Times New Roman"/>
                <w:b/>
                <w:bCs/>
                <w:color w:val="000000"/>
                <w:lang w:eastAsia="en-CA"/>
              </w:rPr>
            </w:pPr>
            <w:r w:rsidRPr="001F5C54">
              <w:rPr>
                <w:rFonts w:ascii="Calibri" w:eastAsia="Times New Roman" w:hAnsi="Calibri" w:cs="Times New Roman"/>
                <w:b/>
                <w:bCs/>
                <w:color w:val="000000"/>
                <w:lang w:eastAsia="en-CA"/>
              </w:rPr>
              <w:t>U. Liège</w:t>
            </w:r>
          </w:p>
        </w:tc>
        <w:tc>
          <w:tcPr>
            <w:tcW w:w="850" w:type="dxa"/>
            <w:tcBorders>
              <w:top w:val="nil"/>
              <w:left w:val="nil"/>
              <w:bottom w:val="single" w:sz="4" w:space="0" w:color="auto"/>
              <w:right w:val="single" w:sz="4" w:space="0" w:color="auto"/>
            </w:tcBorders>
            <w:shd w:val="clear" w:color="auto" w:fill="auto"/>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1452</w:t>
            </w:r>
          </w:p>
        </w:tc>
        <w:tc>
          <w:tcPr>
            <w:tcW w:w="1276" w:type="dxa"/>
            <w:tcBorders>
              <w:top w:val="nil"/>
              <w:left w:val="nil"/>
              <w:bottom w:val="single" w:sz="4" w:space="0" w:color="auto"/>
              <w:right w:val="single" w:sz="4" w:space="0" w:color="auto"/>
            </w:tcBorders>
            <w:shd w:val="clear" w:color="000000" w:fill="009900"/>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31.6%</w:t>
            </w:r>
          </w:p>
        </w:tc>
        <w:tc>
          <w:tcPr>
            <w:tcW w:w="1287" w:type="dxa"/>
            <w:tcBorders>
              <w:top w:val="nil"/>
              <w:left w:val="nil"/>
              <w:bottom w:val="single" w:sz="4" w:space="0" w:color="auto"/>
              <w:right w:val="single" w:sz="4" w:space="0" w:color="auto"/>
            </w:tcBorders>
            <w:shd w:val="clear" w:color="000000" w:fill="99FF66"/>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50.8%</w:t>
            </w:r>
          </w:p>
        </w:tc>
        <w:tc>
          <w:tcPr>
            <w:tcW w:w="1123" w:type="dxa"/>
            <w:tcBorders>
              <w:top w:val="nil"/>
              <w:left w:val="nil"/>
              <w:bottom w:val="single" w:sz="4" w:space="0" w:color="auto"/>
              <w:right w:val="single" w:sz="4" w:space="0" w:color="auto"/>
            </w:tcBorders>
            <w:shd w:val="clear" w:color="000000" w:fill="BFBFBF"/>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0.2%</w:t>
            </w:r>
          </w:p>
        </w:tc>
        <w:tc>
          <w:tcPr>
            <w:tcW w:w="1276" w:type="dxa"/>
            <w:tcBorders>
              <w:top w:val="nil"/>
              <w:left w:val="nil"/>
              <w:bottom w:val="single" w:sz="4" w:space="0" w:color="auto"/>
              <w:right w:val="single" w:sz="4" w:space="0" w:color="auto"/>
            </w:tcBorders>
            <w:shd w:val="clear" w:color="000000" w:fill="808080"/>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17.4%</w:t>
            </w:r>
          </w:p>
        </w:tc>
      </w:tr>
      <w:tr w:rsidR="001F5C54" w:rsidRPr="001F5C54">
        <w:trPr>
          <w:trHeight w:val="291"/>
        </w:trPr>
        <w:tc>
          <w:tcPr>
            <w:tcW w:w="1990" w:type="dxa"/>
            <w:tcBorders>
              <w:top w:val="nil"/>
              <w:left w:val="single" w:sz="4" w:space="0" w:color="auto"/>
              <w:bottom w:val="single" w:sz="4" w:space="0" w:color="auto"/>
              <w:right w:val="single" w:sz="4" w:space="0" w:color="auto"/>
            </w:tcBorders>
            <w:shd w:val="clear" w:color="auto" w:fill="auto"/>
            <w:noWrap/>
            <w:vAlign w:val="bottom"/>
          </w:tcPr>
          <w:p w:rsidR="001F5C54" w:rsidRPr="001F5C54" w:rsidRDefault="001F5C54" w:rsidP="001F5C54">
            <w:pPr>
              <w:spacing w:after="0" w:line="240" w:lineRule="auto"/>
              <w:rPr>
                <w:rFonts w:ascii="Calibri" w:eastAsia="Times New Roman" w:hAnsi="Calibri" w:cs="Times New Roman"/>
                <w:b/>
                <w:bCs/>
                <w:color w:val="000000"/>
                <w:lang w:eastAsia="en-CA"/>
              </w:rPr>
            </w:pPr>
            <w:r w:rsidRPr="001F5C54">
              <w:rPr>
                <w:rFonts w:ascii="Calibri" w:eastAsia="Times New Roman" w:hAnsi="Calibri" w:cs="Times New Roman"/>
                <w:b/>
                <w:bCs/>
                <w:color w:val="000000"/>
                <w:lang w:eastAsia="en-CA"/>
              </w:rPr>
              <w:t>U. Minho</w:t>
            </w:r>
          </w:p>
        </w:tc>
        <w:tc>
          <w:tcPr>
            <w:tcW w:w="850" w:type="dxa"/>
            <w:tcBorders>
              <w:top w:val="nil"/>
              <w:left w:val="nil"/>
              <w:bottom w:val="single" w:sz="4" w:space="0" w:color="auto"/>
              <w:right w:val="single" w:sz="4" w:space="0" w:color="auto"/>
            </w:tcBorders>
            <w:shd w:val="clear" w:color="auto" w:fill="auto"/>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1075</w:t>
            </w:r>
          </w:p>
        </w:tc>
        <w:tc>
          <w:tcPr>
            <w:tcW w:w="1276" w:type="dxa"/>
            <w:tcBorders>
              <w:top w:val="nil"/>
              <w:left w:val="nil"/>
              <w:bottom w:val="single" w:sz="4" w:space="0" w:color="auto"/>
              <w:right w:val="single" w:sz="4" w:space="0" w:color="auto"/>
            </w:tcBorders>
            <w:shd w:val="clear" w:color="000000" w:fill="009900"/>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28.7%</w:t>
            </w:r>
          </w:p>
        </w:tc>
        <w:tc>
          <w:tcPr>
            <w:tcW w:w="1287" w:type="dxa"/>
            <w:tcBorders>
              <w:top w:val="nil"/>
              <w:left w:val="nil"/>
              <w:bottom w:val="single" w:sz="4" w:space="0" w:color="auto"/>
              <w:right w:val="single" w:sz="4" w:space="0" w:color="auto"/>
            </w:tcBorders>
            <w:shd w:val="clear" w:color="000000" w:fill="99FF66"/>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22.5%</w:t>
            </w:r>
          </w:p>
        </w:tc>
        <w:tc>
          <w:tcPr>
            <w:tcW w:w="1123" w:type="dxa"/>
            <w:tcBorders>
              <w:top w:val="nil"/>
              <w:left w:val="nil"/>
              <w:bottom w:val="single" w:sz="4" w:space="0" w:color="auto"/>
              <w:right w:val="single" w:sz="4" w:space="0" w:color="auto"/>
            </w:tcBorders>
            <w:shd w:val="clear" w:color="000000" w:fill="BFBFBF"/>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0.0%</w:t>
            </w:r>
          </w:p>
        </w:tc>
        <w:tc>
          <w:tcPr>
            <w:tcW w:w="1276" w:type="dxa"/>
            <w:tcBorders>
              <w:top w:val="nil"/>
              <w:left w:val="nil"/>
              <w:bottom w:val="single" w:sz="4" w:space="0" w:color="auto"/>
              <w:right w:val="single" w:sz="4" w:space="0" w:color="auto"/>
            </w:tcBorders>
            <w:shd w:val="clear" w:color="000000" w:fill="808080"/>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48.7%</w:t>
            </w:r>
          </w:p>
        </w:tc>
      </w:tr>
      <w:tr w:rsidR="001F5C54" w:rsidRPr="001F5C54">
        <w:trPr>
          <w:trHeight w:val="291"/>
        </w:trPr>
        <w:tc>
          <w:tcPr>
            <w:tcW w:w="1990" w:type="dxa"/>
            <w:tcBorders>
              <w:top w:val="nil"/>
              <w:left w:val="single" w:sz="4" w:space="0" w:color="auto"/>
              <w:bottom w:val="single" w:sz="4" w:space="0" w:color="auto"/>
              <w:right w:val="single" w:sz="4" w:space="0" w:color="auto"/>
            </w:tcBorders>
            <w:shd w:val="clear" w:color="auto" w:fill="auto"/>
            <w:noWrap/>
            <w:vAlign w:val="bottom"/>
          </w:tcPr>
          <w:p w:rsidR="001F5C54" w:rsidRPr="001F5C54" w:rsidRDefault="001F5C54" w:rsidP="001F5C54">
            <w:pPr>
              <w:spacing w:after="0" w:line="240" w:lineRule="auto"/>
              <w:rPr>
                <w:rFonts w:ascii="Calibri" w:eastAsia="Times New Roman" w:hAnsi="Calibri" w:cs="Times New Roman"/>
                <w:b/>
                <w:bCs/>
                <w:color w:val="000000"/>
                <w:lang w:eastAsia="en-CA"/>
              </w:rPr>
            </w:pPr>
            <w:r w:rsidRPr="001F5C54">
              <w:rPr>
                <w:rFonts w:ascii="Calibri" w:eastAsia="Times New Roman" w:hAnsi="Calibri" w:cs="Times New Roman"/>
                <w:b/>
                <w:bCs/>
                <w:color w:val="000000"/>
                <w:lang w:eastAsia="en-CA"/>
              </w:rPr>
              <w:t>U. Surrey</w:t>
            </w:r>
          </w:p>
        </w:tc>
        <w:tc>
          <w:tcPr>
            <w:tcW w:w="850" w:type="dxa"/>
            <w:tcBorders>
              <w:top w:val="nil"/>
              <w:left w:val="nil"/>
              <w:bottom w:val="single" w:sz="4" w:space="0" w:color="auto"/>
              <w:right w:val="single" w:sz="4" w:space="0" w:color="auto"/>
            </w:tcBorders>
            <w:shd w:val="clear" w:color="auto" w:fill="auto"/>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490</w:t>
            </w:r>
          </w:p>
        </w:tc>
        <w:tc>
          <w:tcPr>
            <w:tcW w:w="1276" w:type="dxa"/>
            <w:tcBorders>
              <w:top w:val="nil"/>
              <w:left w:val="nil"/>
              <w:bottom w:val="single" w:sz="4" w:space="0" w:color="auto"/>
              <w:right w:val="single" w:sz="4" w:space="0" w:color="auto"/>
            </w:tcBorders>
            <w:shd w:val="clear" w:color="000000" w:fill="009900"/>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25.7%</w:t>
            </w:r>
          </w:p>
        </w:tc>
        <w:tc>
          <w:tcPr>
            <w:tcW w:w="1287" w:type="dxa"/>
            <w:tcBorders>
              <w:top w:val="nil"/>
              <w:left w:val="nil"/>
              <w:bottom w:val="single" w:sz="4" w:space="0" w:color="auto"/>
              <w:right w:val="single" w:sz="4" w:space="0" w:color="auto"/>
            </w:tcBorders>
            <w:shd w:val="clear" w:color="000000" w:fill="99FF66"/>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6.5%</w:t>
            </w:r>
          </w:p>
        </w:tc>
        <w:tc>
          <w:tcPr>
            <w:tcW w:w="1123" w:type="dxa"/>
            <w:tcBorders>
              <w:top w:val="nil"/>
              <w:left w:val="nil"/>
              <w:bottom w:val="single" w:sz="4" w:space="0" w:color="auto"/>
              <w:right w:val="single" w:sz="4" w:space="0" w:color="auto"/>
            </w:tcBorders>
            <w:shd w:val="clear" w:color="000000" w:fill="BFBFBF"/>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0.0%</w:t>
            </w:r>
          </w:p>
        </w:tc>
        <w:tc>
          <w:tcPr>
            <w:tcW w:w="1276" w:type="dxa"/>
            <w:tcBorders>
              <w:top w:val="nil"/>
              <w:left w:val="nil"/>
              <w:bottom w:val="single" w:sz="4" w:space="0" w:color="auto"/>
              <w:right w:val="single" w:sz="4" w:space="0" w:color="auto"/>
            </w:tcBorders>
            <w:shd w:val="clear" w:color="000000" w:fill="808080"/>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67.8%</w:t>
            </w:r>
          </w:p>
        </w:tc>
      </w:tr>
      <w:tr w:rsidR="001F5C54" w:rsidRPr="001F5C54">
        <w:trPr>
          <w:trHeight w:val="291"/>
        </w:trPr>
        <w:tc>
          <w:tcPr>
            <w:tcW w:w="1990" w:type="dxa"/>
            <w:tcBorders>
              <w:top w:val="nil"/>
              <w:left w:val="single" w:sz="4" w:space="0" w:color="auto"/>
              <w:bottom w:val="single" w:sz="4" w:space="0" w:color="auto"/>
              <w:right w:val="single" w:sz="4" w:space="0" w:color="auto"/>
            </w:tcBorders>
            <w:shd w:val="clear" w:color="auto" w:fill="auto"/>
            <w:noWrap/>
            <w:vAlign w:val="bottom"/>
          </w:tcPr>
          <w:p w:rsidR="001F5C54" w:rsidRPr="001F5C54" w:rsidRDefault="001F5C54" w:rsidP="001F5C54">
            <w:pPr>
              <w:spacing w:after="0" w:line="240" w:lineRule="auto"/>
              <w:rPr>
                <w:rFonts w:ascii="Calibri" w:eastAsia="Times New Roman" w:hAnsi="Calibri" w:cs="Times New Roman"/>
                <w:b/>
                <w:bCs/>
                <w:color w:val="000000"/>
                <w:lang w:eastAsia="en-CA"/>
              </w:rPr>
            </w:pPr>
            <w:r w:rsidRPr="001F5C54">
              <w:rPr>
                <w:rFonts w:ascii="Calibri" w:eastAsia="Times New Roman" w:hAnsi="Calibri" w:cs="Times New Roman"/>
                <w:b/>
                <w:bCs/>
                <w:color w:val="000000"/>
                <w:lang w:eastAsia="en-CA"/>
              </w:rPr>
              <w:t>U. Lancaster</w:t>
            </w:r>
          </w:p>
        </w:tc>
        <w:tc>
          <w:tcPr>
            <w:tcW w:w="850" w:type="dxa"/>
            <w:tcBorders>
              <w:top w:val="nil"/>
              <w:left w:val="nil"/>
              <w:bottom w:val="single" w:sz="4" w:space="0" w:color="auto"/>
              <w:right w:val="single" w:sz="4" w:space="0" w:color="auto"/>
            </w:tcBorders>
            <w:shd w:val="clear" w:color="auto" w:fill="auto"/>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511</w:t>
            </w:r>
          </w:p>
        </w:tc>
        <w:tc>
          <w:tcPr>
            <w:tcW w:w="1276" w:type="dxa"/>
            <w:tcBorders>
              <w:top w:val="nil"/>
              <w:left w:val="nil"/>
              <w:bottom w:val="single" w:sz="4" w:space="0" w:color="auto"/>
              <w:right w:val="single" w:sz="4" w:space="0" w:color="auto"/>
            </w:tcBorders>
            <w:shd w:val="clear" w:color="000000" w:fill="009900"/>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16.8%</w:t>
            </w:r>
          </w:p>
        </w:tc>
        <w:tc>
          <w:tcPr>
            <w:tcW w:w="1287" w:type="dxa"/>
            <w:tcBorders>
              <w:top w:val="nil"/>
              <w:left w:val="nil"/>
              <w:bottom w:val="single" w:sz="4" w:space="0" w:color="auto"/>
              <w:right w:val="single" w:sz="4" w:space="0" w:color="auto"/>
            </w:tcBorders>
            <w:shd w:val="clear" w:color="000000" w:fill="99FF66"/>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0.2%</w:t>
            </w:r>
          </w:p>
        </w:tc>
        <w:tc>
          <w:tcPr>
            <w:tcW w:w="1123" w:type="dxa"/>
            <w:tcBorders>
              <w:top w:val="nil"/>
              <w:left w:val="nil"/>
              <w:bottom w:val="single" w:sz="4" w:space="0" w:color="auto"/>
              <w:right w:val="single" w:sz="4" w:space="0" w:color="auto"/>
            </w:tcBorders>
            <w:shd w:val="clear" w:color="000000" w:fill="BFBFBF"/>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46.0%</w:t>
            </w:r>
          </w:p>
        </w:tc>
        <w:tc>
          <w:tcPr>
            <w:tcW w:w="1276" w:type="dxa"/>
            <w:tcBorders>
              <w:top w:val="nil"/>
              <w:left w:val="nil"/>
              <w:bottom w:val="single" w:sz="4" w:space="0" w:color="auto"/>
              <w:right w:val="single" w:sz="4" w:space="0" w:color="auto"/>
            </w:tcBorders>
            <w:shd w:val="clear" w:color="000000" w:fill="808080"/>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37.0%</w:t>
            </w:r>
          </w:p>
        </w:tc>
      </w:tr>
      <w:tr w:rsidR="001F5C54" w:rsidRPr="001F5C54">
        <w:trPr>
          <w:trHeight w:val="291"/>
        </w:trPr>
        <w:tc>
          <w:tcPr>
            <w:tcW w:w="1990" w:type="dxa"/>
            <w:tcBorders>
              <w:top w:val="nil"/>
              <w:left w:val="single" w:sz="4" w:space="0" w:color="auto"/>
              <w:bottom w:val="single" w:sz="4" w:space="0" w:color="auto"/>
              <w:right w:val="single" w:sz="4" w:space="0" w:color="auto"/>
            </w:tcBorders>
            <w:shd w:val="clear" w:color="auto" w:fill="auto"/>
            <w:noWrap/>
            <w:vAlign w:val="bottom"/>
          </w:tcPr>
          <w:p w:rsidR="001F5C54" w:rsidRPr="001F5C54" w:rsidRDefault="001F5C54" w:rsidP="001F5C54">
            <w:pPr>
              <w:spacing w:after="0" w:line="240" w:lineRule="auto"/>
              <w:rPr>
                <w:rFonts w:ascii="Calibri" w:eastAsia="Times New Roman" w:hAnsi="Calibri" w:cs="Times New Roman"/>
                <w:b/>
                <w:bCs/>
                <w:color w:val="000000"/>
                <w:lang w:eastAsia="en-CA"/>
              </w:rPr>
            </w:pPr>
            <w:r w:rsidRPr="001F5C54">
              <w:rPr>
                <w:rFonts w:ascii="Calibri" w:eastAsia="Times New Roman" w:hAnsi="Calibri" w:cs="Times New Roman"/>
                <w:b/>
                <w:bCs/>
                <w:color w:val="000000"/>
                <w:lang w:eastAsia="en-CA"/>
              </w:rPr>
              <w:t>UK-Mandated</w:t>
            </w:r>
          </w:p>
        </w:tc>
        <w:tc>
          <w:tcPr>
            <w:tcW w:w="850" w:type="dxa"/>
            <w:tcBorders>
              <w:top w:val="nil"/>
              <w:left w:val="nil"/>
              <w:bottom w:val="single" w:sz="4" w:space="0" w:color="auto"/>
              <w:right w:val="single" w:sz="4" w:space="0" w:color="auto"/>
            </w:tcBorders>
            <w:shd w:val="clear" w:color="auto" w:fill="auto"/>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11995</w:t>
            </w:r>
          </w:p>
        </w:tc>
        <w:tc>
          <w:tcPr>
            <w:tcW w:w="1276" w:type="dxa"/>
            <w:tcBorders>
              <w:top w:val="nil"/>
              <w:left w:val="nil"/>
              <w:bottom w:val="single" w:sz="4" w:space="0" w:color="auto"/>
              <w:right w:val="single" w:sz="4" w:space="0" w:color="auto"/>
            </w:tcBorders>
            <w:shd w:val="clear" w:color="000000" w:fill="009900"/>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6.4%</w:t>
            </w:r>
          </w:p>
        </w:tc>
        <w:tc>
          <w:tcPr>
            <w:tcW w:w="1287" w:type="dxa"/>
            <w:tcBorders>
              <w:top w:val="nil"/>
              <w:left w:val="nil"/>
              <w:bottom w:val="single" w:sz="4" w:space="0" w:color="auto"/>
              <w:right w:val="single" w:sz="4" w:space="0" w:color="auto"/>
            </w:tcBorders>
            <w:shd w:val="clear" w:color="000000" w:fill="99FF66"/>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1.8%</w:t>
            </w:r>
          </w:p>
        </w:tc>
        <w:tc>
          <w:tcPr>
            <w:tcW w:w="1123" w:type="dxa"/>
            <w:tcBorders>
              <w:top w:val="nil"/>
              <w:left w:val="nil"/>
              <w:bottom w:val="single" w:sz="4" w:space="0" w:color="auto"/>
              <w:right w:val="single" w:sz="4" w:space="0" w:color="auto"/>
            </w:tcBorders>
            <w:shd w:val="clear" w:color="000000" w:fill="BFBFBF"/>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15.7%</w:t>
            </w:r>
          </w:p>
        </w:tc>
        <w:tc>
          <w:tcPr>
            <w:tcW w:w="1276" w:type="dxa"/>
            <w:tcBorders>
              <w:top w:val="nil"/>
              <w:left w:val="nil"/>
              <w:bottom w:val="single" w:sz="4" w:space="0" w:color="auto"/>
              <w:right w:val="single" w:sz="4" w:space="0" w:color="auto"/>
            </w:tcBorders>
            <w:shd w:val="clear" w:color="000000" w:fill="808080"/>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76.0%</w:t>
            </w:r>
          </w:p>
        </w:tc>
      </w:tr>
      <w:tr w:rsidR="001F5C54" w:rsidRPr="001F5C54">
        <w:trPr>
          <w:trHeight w:val="291"/>
        </w:trPr>
        <w:tc>
          <w:tcPr>
            <w:tcW w:w="1990" w:type="dxa"/>
            <w:tcBorders>
              <w:top w:val="nil"/>
              <w:left w:val="single" w:sz="4" w:space="0" w:color="auto"/>
              <w:bottom w:val="single" w:sz="4" w:space="0" w:color="auto"/>
              <w:right w:val="single" w:sz="4" w:space="0" w:color="auto"/>
            </w:tcBorders>
            <w:shd w:val="clear" w:color="auto" w:fill="auto"/>
            <w:noWrap/>
            <w:vAlign w:val="bottom"/>
          </w:tcPr>
          <w:p w:rsidR="001F5C54" w:rsidRPr="001F5C54" w:rsidRDefault="001F5C54" w:rsidP="001F5C54">
            <w:pPr>
              <w:spacing w:after="0" w:line="240" w:lineRule="auto"/>
              <w:rPr>
                <w:rFonts w:ascii="Calibri" w:eastAsia="Times New Roman" w:hAnsi="Calibri" w:cs="Times New Roman"/>
                <w:b/>
                <w:bCs/>
                <w:color w:val="000000"/>
                <w:lang w:eastAsia="en-CA"/>
              </w:rPr>
            </w:pPr>
            <w:r w:rsidRPr="001F5C54">
              <w:rPr>
                <w:rFonts w:ascii="Calibri" w:eastAsia="Times New Roman" w:hAnsi="Calibri" w:cs="Times New Roman"/>
                <w:b/>
                <w:bCs/>
                <w:color w:val="000000"/>
                <w:lang w:eastAsia="en-CA"/>
              </w:rPr>
              <w:t>UK-Non-Mandated</w:t>
            </w:r>
          </w:p>
        </w:tc>
        <w:tc>
          <w:tcPr>
            <w:tcW w:w="850" w:type="dxa"/>
            <w:tcBorders>
              <w:top w:val="nil"/>
              <w:left w:val="nil"/>
              <w:bottom w:val="single" w:sz="4" w:space="0" w:color="auto"/>
              <w:right w:val="single" w:sz="4" w:space="0" w:color="auto"/>
            </w:tcBorders>
            <w:shd w:val="clear" w:color="auto" w:fill="auto"/>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24868</w:t>
            </w:r>
          </w:p>
        </w:tc>
        <w:tc>
          <w:tcPr>
            <w:tcW w:w="1276" w:type="dxa"/>
            <w:tcBorders>
              <w:top w:val="nil"/>
              <w:left w:val="nil"/>
              <w:bottom w:val="single" w:sz="4" w:space="0" w:color="auto"/>
              <w:right w:val="single" w:sz="4" w:space="0" w:color="auto"/>
            </w:tcBorders>
            <w:shd w:val="clear" w:color="000000" w:fill="009900"/>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3.5%</w:t>
            </w:r>
          </w:p>
        </w:tc>
        <w:tc>
          <w:tcPr>
            <w:tcW w:w="1287" w:type="dxa"/>
            <w:tcBorders>
              <w:top w:val="nil"/>
              <w:left w:val="nil"/>
              <w:bottom w:val="single" w:sz="4" w:space="0" w:color="auto"/>
              <w:right w:val="single" w:sz="4" w:space="0" w:color="auto"/>
            </w:tcBorders>
            <w:shd w:val="clear" w:color="000000" w:fill="99FF66"/>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0.5%</w:t>
            </w:r>
          </w:p>
        </w:tc>
        <w:tc>
          <w:tcPr>
            <w:tcW w:w="1123" w:type="dxa"/>
            <w:tcBorders>
              <w:top w:val="nil"/>
              <w:left w:val="nil"/>
              <w:bottom w:val="single" w:sz="4" w:space="0" w:color="auto"/>
              <w:right w:val="single" w:sz="4" w:space="0" w:color="auto"/>
            </w:tcBorders>
            <w:shd w:val="clear" w:color="000000" w:fill="BFBFBF"/>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8.3%</w:t>
            </w:r>
          </w:p>
        </w:tc>
        <w:tc>
          <w:tcPr>
            <w:tcW w:w="1276" w:type="dxa"/>
            <w:tcBorders>
              <w:top w:val="nil"/>
              <w:left w:val="nil"/>
              <w:bottom w:val="single" w:sz="4" w:space="0" w:color="auto"/>
              <w:right w:val="single" w:sz="4" w:space="0" w:color="auto"/>
            </w:tcBorders>
            <w:shd w:val="clear" w:color="000000" w:fill="808080"/>
            <w:noWrap/>
            <w:vAlign w:val="bottom"/>
          </w:tcPr>
          <w:p w:rsidR="001F5C54" w:rsidRPr="001F5C54" w:rsidRDefault="001F5C54" w:rsidP="001F5C54">
            <w:pPr>
              <w:spacing w:after="0" w:line="240" w:lineRule="auto"/>
              <w:jc w:val="center"/>
              <w:rPr>
                <w:rFonts w:ascii="Calibri" w:eastAsia="Times New Roman" w:hAnsi="Calibri" w:cs="Times New Roman"/>
                <w:color w:val="000000"/>
                <w:lang w:eastAsia="en-CA"/>
              </w:rPr>
            </w:pPr>
            <w:r w:rsidRPr="001F5C54">
              <w:rPr>
                <w:rFonts w:ascii="Calibri" w:eastAsia="Times New Roman" w:hAnsi="Calibri" w:cs="Times New Roman"/>
                <w:color w:val="000000"/>
                <w:lang w:eastAsia="en-CA"/>
              </w:rPr>
              <w:t>87.7%</w:t>
            </w:r>
          </w:p>
        </w:tc>
      </w:tr>
    </w:tbl>
    <w:p w:rsidR="00973EA7" w:rsidRPr="005623CE" w:rsidRDefault="00973EA7" w:rsidP="00BE19E2">
      <w:pPr>
        <w:rPr>
          <w:rFonts w:ascii="Arial" w:hAnsi="Arial"/>
        </w:rPr>
      </w:pPr>
    </w:p>
    <w:sectPr w:rsidR="00973EA7" w:rsidRPr="005623CE" w:rsidSect="001170A3">
      <w:pgSz w:w="12240" w:h="15840"/>
      <w:pgMar w:top="1276" w:right="1800" w:bottom="1440" w:left="1800" w:header="708" w:footer="70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A34CC3" w:rsidRDefault="00A34CC3" w:rsidP="00502200">
      <w:pPr>
        <w:spacing w:after="0" w:line="240" w:lineRule="auto"/>
      </w:pPr>
      <w:r>
        <w:separator/>
      </w:r>
    </w:p>
  </w:endnote>
  <w:endnote w:type="continuationSeparator" w:id="1">
    <w:p w:rsidR="00A34CC3" w:rsidRDefault="00A34CC3" w:rsidP="005022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A34CC3" w:rsidRDefault="00A34CC3" w:rsidP="00502200">
      <w:pPr>
        <w:spacing w:after="0" w:line="240" w:lineRule="auto"/>
      </w:pPr>
      <w:r>
        <w:separator/>
      </w:r>
    </w:p>
  </w:footnote>
  <w:footnote w:type="continuationSeparator" w:id="1">
    <w:p w:rsidR="00A34CC3" w:rsidRDefault="00A34CC3" w:rsidP="00502200">
      <w:pPr>
        <w:spacing w:after="0" w:line="240" w:lineRule="auto"/>
      </w:pPr>
      <w:r>
        <w:continuationSeparator/>
      </w:r>
    </w:p>
  </w:footnote>
  <w:footnote w:id="2">
    <w:p w:rsidR="00A34CC3" w:rsidRDefault="00A34CC3" w:rsidP="00B0055E">
      <w:pPr>
        <w:pStyle w:val="FootnoteText"/>
      </w:pPr>
      <w:r>
        <w:rPr>
          <w:rStyle w:val="FootnoteReference"/>
        </w:rPr>
        <w:footnoteRef/>
      </w:r>
      <w:r>
        <w:t xml:space="preserve"> The first Green OA mandate was adopted by the </w:t>
      </w:r>
      <w:hyperlink r:id="rId1" w:history="1">
        <w:r w:rsidRPr="00BF69A2">
          <w:rPr>
            <w:rStyle w:val="Hyperlink"/>
          </w:rPr>
          <w:t>School of Electronics and Computer Science</w:t>
        </w:r>
      </w:hyperlink>
      <w:r>
        <w:t xml:space="preserve"> at the University of Southampton in the UK in 2003, and the first university-wide Green OA mandate was adopted by </w:t>
      </w:r>
      <w:hyperlink r:id="rId2" w:history="1">
        <w:r w:rsidRPr="00BF69A2">
          <w:rPr>
            <w:rStyle w:val="Hyperlink"/>
          </w:rPr>
          <w:t>Queensland University of Technology</w:t>
        </w:r>
      </w:hyperlink>
      <w:r>
        <w:t xml:space="preserve"> in the same year.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TrackMoves/>
  <w:defaultTabStop w:val="720"/>
  <w:hyphenationZone w:val="425"/>
  <w:characterSpacingControl w:val="doNotCompress"/>
  <w:hdrShapeDefaults>
    <o:shapedefaults v:ext="edit" spidmax="2050"/>
  </w:hdrShapeDefaults>
  <w:footnotePr>
    <w:footnote w:id="0"/>
    <w:footnote w:id="1"/>
  </w:footnotePr>
  <w:endnotePr>
    <w:endnote w:id="0"/>
    <w:endnote w:id="1"/>
  </w:endnotePr>
  <w:compat/>
  <w:rsids>
    <w:rsidRoot w:val="004E63E2"/>
    <w:rsid w:val="00006202"/>
    <w:rsid w:val="00014525"/>
    <w:rsid w:val="00021CA1"/>
    <w:rsid w:val="00030A75"/>
    <w:rsid w:val="00043F17"/>
    <w:rsid w:val="00047FD9"/>
    <w:rsid w:val="00057F46"/>
    <w:rsid w:val="00077813"/>
    <w:rsid w:val="0009193D"/>
    <w:rsid w:val="000A76C5"/>
    <w:rsid w:val="000D4EC8"/>
    <w:rsid w:val="000E39A5"/>
    <w:rsid w:val="000E7CCC"/>
    <w:rsid w:val="000F2AAD"/>
    <w:rsid w:val="000F6037"/>
    <w:rsid w:val="001170A3"/>
    <w:rsid w:val="0012131B"/>
    <w:rsid w:val="00123C95"/>
    <w:rsid w:val="0012564A"/>
    <w:rsid w:val="00136222"/>
    <w:rsid w:val="00137CCA"/>
    <w:rsid w:val="001411C6"/>
    <w:rsid w:val="00145B11"/>
    <w:rsid w:val="001476AC"/>
    <w:rsid w:val="00150DC8"/>
    <w:rsid w:val="001778F2"/>
    <w:rsid w:val="00182C9D"/>
    <w:rsid w:val="001A2998"/>
    <w:rsid w:val="001A5553"/>
    <w:rsid w:val="001A613E"/>
    <w:rsid w:val="001B5DA1"/>
    <w:rsid w:val="001C1F37"/>
    <w:rsid w:val="001C54F3"/>
    <w:rsid w:val="001C6807"/>
    <w:rsid w:val="001D4A8B"/>
    <w:rsid w:val="001D7E24"/>
    <w:rsid w:val="001E069C"/>
    <w:rsid w:val="001F5C54"/>
    <w:rsid w:val="00210EBD"/>
    <w:rsid w:val="00217914"/>
    <w:rsid w:val="002206F2"/>
    <w:rsid w:val="0024506A"/>
    <w:rsid w:val="00252F1A"/>
    <w:rsid w:val="00255953"/>
    <w:rsid w:val="002579D0"/>
    <w:rsid w:val="00262072"/>
    <w:rsid w:val="0027080B"/>
    <w:rsid w:val="002A5D5B"/>
    <w:rsid w:val="002B23FD"/>
    <w:rsid w:val="002B34CF"/>
    <w:rsid w:val="002E3655"/>
    <w:rsid w:val="002F5EF3"/>
    <w:rsid w:val="002F7BA0"/>
    <w:rsid w:val="00301358"/>
    <w:rsid w:val="00320504"/>
    <w:rsid w:val="003228A8"/>
    <w:rsid w:val="00326900"/>
    <w:rsid w:val="00326DE0"/>
    <w:rsid w:val="00331D00"/>
    <w:rsid w:val="0033391B"/>
    <w:rsid w:val="00346514"/>
    <w:rsid w:val="003662A3"/>
    <w:rsid w:val="00367935"/>
    <w:rsid w:val="003904BB"/>
    <w:rsid w:val="00397332"/>
    <w:rsid w:val="003A4E2F"/>
    <w:rsid w:val="003A66EE"/>
    <w:rsid w:val="003C5677"/>
    <w:rsid w:val="003D3909"/>
    <w:rsid w:val="003F259C"/>
    <w:rsid w:val="004022F9"/>
    <w:rsid w:val="00402FD5"/>
    <w:rsid w:val="004201B0"/>
    <w:rsid w:val="00421655"/>
    <w:rsid w:val="00425DC5"/>
    <w:rsid w:val="00455258"/>
    <w:rsid w:val="004623E1"/>
    <w:rsid w:val="00463843"/>
    <w:rsid w:val="00483BA4"/>
    <w:rsid w:val="004A69CE"/>
    <w:rsid w:val="004D1884"/>
    <w:rsid w:val="004D1FFB"/>
    <w:rsid w:val="004D78B3"/>
    <w:rsid w:val="004D7FF6"/>
    <w:rsid w:val="004E1AA5"/>
    <w:rsid w:val="004E63E2"/>
    <w:rsid w:val="004E6C5E"/>
    <w:rsid w:val="00502200"/>
    <w:rsid w:val="005241E1"/>
    <w:rsid w:val="00526D4B"/>
    <w:rsid w:val="0053038A"/>
    <w:rsid w:val="00535251"/>
    <w:rsid w:val="00542084"/>
    <w:rsid w:val="005623CE"/>
    <w:rsid w:val="005737FE"/>
    <w:rsid w:val="00590DB4"/>
    <w:rsid w:val="005A309E"/>
    <w:rsid w:val="005C283F"/>
    <w:rsid w:val="005C3CD2"/>
    <w:rsid w:val="005C42AD"/>
    <w:rsid w:val="005D244B"/>
    <w:rsid w:val="005D4884"/>
    <w:rsid w:val="005E3FAB"/>
    <w:rsid w:val="005E5DCC"/>
    <w:rsid w:val="005F1828"/>
    <w:rsid w:val="00607C2E"/>
    <w:rsid w:val="00613EE1"/>
    <w:rsid w:val="00632191"/>
    <w:rsid w:val="006354A2"/>
    <w:rsid w:val="00640281"/>
    <w:rsid w:val="0065234C"/>
    <w:rsid w:val="006570DD"/>
    <w:rsid w:val="00661F03"/>
    <w:rsid w:val="00664AF3"/>
    <w:rsid w:val="00665221"/>
    <w:rsid w:val="00665C10"/>
    <w:rsid w:val="00671E8C"/>
    <w:rsid w:val="006928A8"/>
    <w:rsid w:val="006B2BB3"/>
    <w:rsid w:val="006B7829"/>
    <w:rsid w:val="006D5A97"/>
    <w:rsid w:val="006D7C6A"/>
    <w:rsid w:val="006E6F2C"/>
    <w:rsid w:val="006E7E1E"/>
    <w:rsid w:val="006F1B14"/>
    <w:rsid w:val="0070236B"/>
    <w:rsid w:val="00705B76"/>
    <w:rsid w:val="007126E1"/>
    <w:rsid w:val="00715A93"/>
    <w:rsid w:val="00715B7B"/>
    <w:rsid w:val="00741E2B"/>
    <w:rsid w:val="00746146"/>
    <w:rsid w:val="00752884"/>
    <w:rsid w:val="00761B8D"/>
    <w:rsid w:val="00771F1D"/>
    <w:rsid w:val="00782619"/>
    <w:rsid w:val="007B48DD"/>
    <w:rsid w:val="007B494B"/>
    <w:rsid w:val="007B7761"/>
    <w:rsid w:val="007D3DE2"/>
    <w:rsid w:val="007D737D"/>
    <w:rsid w:val="007F2154"/>
    <w:rsid w:val="008114AA"/>
    <w:rsid w:val="00812FFF"/>
    <w:rsid w:val="00822147"/>
    <w:rsid w:val="008276D4"/>
    <w:rsid w:val="00836AE8"/>
    <w:rsid w:val="0084584D"/>
    <w:rsid w:val="008479BA"/>
    <w:rsid w:val="0085721E"/>
    <w:rsid w:val="0088537D"/>
    <w:rsid w:val="0089734B"/>
    <w:rsid w:val="008B5A7B"/>
    <w:rsid w:val="008C2595"/>
    <w:rsid w:val="008C429F"/>
    <w:rsid w:val="008D5591"/>
    <w:rsid w:val="008D6C9A"/>
    <w:rsid w:val="008F29B8"/>
    <w:rsid w:val="008F3BF4"/>
    <w:rsid w:val="008F5D76"/>
    <w:rsid w:val="00905D69"/>
    <w:rsid w:val="00911B8D"/>
    <w:rsid w:val="00916F51"/>
    <w:rsid w:val="00934EFF"/>
    <w:rsid w:val="00942398"/>
    <w:rsid w:val="00954258"/>
    <w:rsid w:val="00954609"/>
    <w:rsid w:val="00955879"/>
    <w:rsid w:val="00962191"/>
    <w:rsid w:val="0096775A"/>
    <w:rsid w:val="00971F56"/>
    <w:rsid w:val="00973EA7"/>
    <w:rsid w:val="009A1294"/>
    <w:rsid w:val="009B08BC"/>
    <w:rsid w:val="009B20B9"/>
    <w:rsid w:val="009C314F"/>
    <w:rsid w:val="009C33BA"/>
    <w:rsid w:val="009C524B"/>
    <w:rsid w:val="009E51C9"/>
    <w:rsid w:val="00A15F0B"/>
    <w:rsid w:val="00A2582D"/>
    <w:rsid w:val="00A30AD7"/>
    <w:rsid w:val="00A34CC3"/>
    <w:rsid w:val="00A45E8F"/>
    <w:rsid w:val="00A4718E"/>
    <w:rsid w:val="00A721C5"/>
    <w:rsid w:val="00A76F5A"/>
    <w:rsid w:val="00A77833"/>
    <w:rsid w:val="00A84CB1"/>
    <w:rsid w:val="00A92206"/>
    <w:rsid w:val="00AA2B70"/>
    <w:rsid w:val="00AB209B"/>
    <w:rsid w:val="00B0055E"/>
    <w:rsid w:val="00B379FB"/>
    <w:rsid w:val="00B4719F"/>
    <w:rsid w:val="00B5441E"/>
    <w:rsid w:val="00B64BA2"/>
    <w:rsid w:val="00B865EB"/>
    <w:rsid w:val="00B866E7"/>
    <w:rsid w:val="00B906AA"/>
    <w:rsid w:val="00B93182"/>
    <w:rsid w:val="00BA7CBC"/>
    <w:rsid w:val="00BC62F8"/>
    <w:rsid w:val="00BE19E2"/>
    <w:rsid w:val="00BE52B8"/>
    <w:rsid w:val="00BE66F7"/>
    <w:rsid w:val="00BF69A2"/>
    <w:rsid w:val="00C00080"/>
    <w:rsid w:val="00C03D45"/>
    <w:rsid w:val="00C6249B"/>
    <w:rsid w:val="00C64021"/>
    <w:rsid w:val="00C656F5"/>
    <w:rsid w:val="00C67A7A"/>
    <w:rsid w:val="00C73792"/>
    <w:rsid w:val="00C77872"/>
    <w:rsid w:val="00C812E0"/>
    <w:rsid w:val="00C96277"/>
    <w:rsid w:val="00CE073C"/>
    <w:rsid w:val="00D04E5B"/>
    <w:rsid w:val="00D13644"/>
    <w:rsid w:val="00D33331"/>
    <w:rsid w:val="00D34572"/>
    <w:rsid w:val="00D4102E"/>
    <w:rsid w:val="00D470AA"/>
    <w:rsid w:val="00D508AD"/>
    <w:rsid w:val="00D56B31"/>
    <w:rsid w:val="00D7362B"/>
    <w:rsid w:val="00D80739"/>
    <w:rsid w:val="00D84BF6"/>
    <w:rsid w:val="00DA07EE"/>
    <w:rsid w:val="00DC1A31"/>
    <w:rsid w:val="00DE1246"/>
    <w:rsid w:val="00DE6627"/>
    <w:rsid w:val="00E11446"/>
    <w:rsid w:val="00E22B76"/>
    <w:rsid w:val="00E34D4B"/>
    <w:rsid w:val="00E4426E"/>
    <w:rsid w:val="00E47EAE"/>
    <w:rsid w:val="00E64AE7"/>
    <w:rsid w:val="00E70524"/>
    <w:rsid w:val="00E75B9E"/>
    <w:rsid w:val="00E96A11"/>
    <w:rsid w:val="00EB2629"/>
    <w:rsid w:val="00EB43F4"/>
    <w:rsid w:val="00EB6FA5"/>
    <w:rsid w:val="00EC0905"/>
    <w:rsid w:val="00EE720B"/>
    <w:rsid w:val="00F01161"/>
    <w:rsid w:val="00F12579"/>
    <w:rsid w:val="00F13DE5"/>
    <w:rsid w:val="00F16424"/>
    <w:rsid w:val="00F2235E"/>
    <w:rsid w:val="00F34EEA"/>
    <w:rsid w:val="00FA1969"/>
    <w:rsid w:val="00FA419D"/>
    <w:rsid w:val="00FC738B"/>
    <w:rsid w:val="00FE5C5E"/>
    <w:rsid w:val="00FE66E1"/>
    <w:rsid w:val="00FF4C9C"/>
    <w:rsid w:val="00FF5F9B"/>
  </w:rsids>
  <m:mathPr>
    <m:mathFont m:val="Abadi MT Condensed Extra Bold"/>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5F0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4E6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3E2"/>
    <w:rPr>
      <w:rFonts w:ascii="Tahoma" w:hAnsi="Tahoma" w:cs="Tahoma"/>
      <w:sz w:val="16"/>
      <w:szCs w:val="16"/>
    </w:rPr>
  </w:style>
  <w:style w:type="character" w:styleId="CommentReference">
    <w:name w:val="annotation reference"/>
    <w:basedOn w:val="DefaultParagraphFont"/>
    <w:uiPriority w:val="99"/>
    <w:semiHidden/>
    <w:unhideWhenUsed/>
    <w:rsid w:val="005C283F"/>
    <w:rPr>
      <w:sz w:val="16"/>
      <w:szCs w:val="16"/>
    </w:rPr>
  </w:style>
  <w:style w:type="paragraph" w:styleId="CommentText">
    <w:name w:val="annotation text"/>
    <w:basedOn w:val="Normal"/>
    <w:link w:val="CommentTextChar"/>
    <w:uiPriority w:val="99"/>
    <w:semiHidden/>
    <w:unhideWhenUsed/>
    <w:rsid w:val="005C283F"/>
    <w:pPr>
      <w:spacing w:line="240" w:lineRule="auto"/>
    </w:pPr>
    <w:rPr>
      <w:sz w:val="20"/>
      <w:szCs w:val="20"/>
    </w:rPr>
  </w:style>
  <w:style w:type="character" w:customStyle="1" w:styleId="CommentTextChar">
    <w:name w:val="Comment Text Char"/>
    <w:basedOn w:val="DefaultParagraphFont"/>
    <w:link w:val="CommentText"/>
    <w:uiPriority w:val="99"/>
    <w:semiHidden/>
    <w:rsid w:val="005C283F"/>
    <w:rPr>
      <w:sz w:val="20"/>
      <w:szCs w:val="20"/>
    </w:rPr>
  </w:style>
  <w:style w:type="paragraph" w:styleId="CommentSubject">
    <w:name w:val="annotation subject"/>
    <w:basedOn w:val="CommentText"/>
    <w:next w:val="CommentText"/>
    <w:link w:val="CommentSubjectChar"/>
    <w:uiPriority w:val="99"/>
    <w:semiHidden/>
    <w:unhideWhenUsed/>
    <w:rsid w:val="00705B76"/>
    <w:rPr>
      <w:b/>
      <w:bCs/>
    </w:rPr>
  </w:style>
  <w:style w:type="character" w:customStyle="1" w:styleId="CommentSubjectChar">
    <w:name w:val="Comment Subject Char"/>
    <w:basedOn w:val="CommentTextChar"/>
    <w:link w:val="CommentSubject"/>
    <w:uiPriority w:val="99"/>
    <w:semiHidden/>
    <w:rsid w:val="00705B76"/>
    <w:rPr>
      <w:b/>
      <w:bCs/>
    </w:rPr>
  </w:style>
  <w:style w:type="paragraph" w:styleId="FootnoteText">
    <w:name w:val="footnote text"/>
    <w:basedOn w:val="Normal"/>
    <w:link w:val="FootnoteTextChar"/>
    <w:uiPriority w:val="99"/>
    <w:semiHidden/>
    <w:unhideWhenUsed/>
    <w:rsid w:val="00FA1969"/>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FA1969"/>
    <w:rPr>
      <w:sz w:val="24"/>
      <w:szCs w:val="24"/>
    </w:rPr>
  </w:style>
  <w:style w:type="character" w:styleId="FootnoteReference">
    <w:name w:val="footnote reference"/>
    <w:basedOn w:val="DefaultParagraphFont"/>
    <w:uiPriority w:val="99"/>
    <w:semiHidden/>
    <w:unhideWhenUsed/>
    <w:rsid w:val="00FA1969"/>
    <w:rPr>
      <w:vertAlign w:val="superscript"/>
    </w:rPr>
  </w:style>
  <w:style w:type="character" w:styleId="Hyperlink">
    <w:name w:val="Hyperlink"/>
    <w:basedOn w:val="DefaultParagraphFont"/>
    <w:uiPriority w:val="99"/>
    <w:semiHidden/>
    <w:unhideWhenUsed/>
    <w:rsid w:val="00BF69A2"/>
    <w:rPr>
      <w:color w:val="0000FF" w:themeColor="hyperlink"/>
      <w:u w:val="single"/>
    </w:rPr>
  </w:style>
  <w:style w:type="table" w:styleId="TableGrid">
    <w:name w:val="Table Grid"/>
    <w:basedOn w:val="TableNormal"/>
    <w:uiPriority w:val="59"/>
    <w:rsid w:val="000919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rsid w:val="00E22B76"/>
    <w:pPr>
      <w:ind w:left="720"/>
      <w:contextualSpacing/>
    </w:pPr>
  </w:style>
</w:styles>
</file>

<file path=word/webSettings.xml><?xml version="1.0" encoding="utf-8"?>
<w:webSettings xmlns:r="http://schemas.openxmlformats.org/officeDocument/2006/relationships" xmlns:w="http://schemas.openxmlformats.org/wordprocessingml/2006/main">
  <w:divs>
    <w:div w:id="18120273">
      <w:bodyDiv w:val="1"/>
      <w:marLeft w:val="0"/>
      <w:marRight w:val="0"/>
      <w:marTop w:val="0"/>
      <w:marBottom w:val="0"/>
      <w:divBdr>
        <w:top w:val="none" w:sz="0" w:space="0" w:color="auto"/>
        <w:left w:val="none" w:sz="0" w:space="0" w:color="auto"/>
        <w:bottom w:val="none" w:sz="0" w:space="0" w:color="auto"/>
        <w:right w:val="none" w:sz="0" w:space="0" w:color="auto"/>
      </w:divBdr>
    </w:div>
    <w:div w:id="22177480">
      <w:bodyDiv w:val="1"/>
      <w:marLeft w:val="0"/>
      <w:marRight w:val="0"/>
      <w:marTop w:val="0"/>
      <w:marBottom w:val="0"/>
      <w:divBdr>
        <w:top w:val="none" w:sz="0" w:space="0" w:color="auto"/>
        <w:left w:val="none" w:sz="0" w:space="0" w:color="auto"/>
        <w:bottom w:val="none" w:sz="0" w:space="0" w:color="auto"/>
        <w:right w:val="none" w:sz="0" w:space="0" w:color="auto"/>
      </w:divBdr>
    </w:div>
    <w:div w:id="207957634">
      <w:bodyDiv w:val="1"/>
      <w:marLeft w:val="0"/>
      <w:marRight w:val="0"/>
      <w:marTop w:val="0"/>
      <w:marBottom w:val="0"/>
      <w:divBdr>
        <w:top w:val="none" w:sz="0" w:space="0" w:color="auto"/>
        <w:left w:val="none" w:sz="0" w:space="0" w:color="auto"/>
        <w:bottom w:val="none" w:sz="0" w:space="0" w:color="auto"/>
        <w:right w:val="none" w:sz="0" w:space="0" w:color="auto"/>
      </w:divBdr>
    </w:div>
    <w:div w:id="298269041">
      <w:bodyDiv w:val="1"/>
      <w:marLeft w:val="0"/>
      <w:marRight w:val="0"/>
      <w:marTop w:val="0"/>
      <w:marBottom w:val="0"/>
      <w:divBdr>
        <w:top w:val="none" w:sz="0" w:space="0" w:color="auto"/>
        <w:left w:val="none" w:sz="0" w:space="0" w:color="auto"/>
        <w:bottom w:val="none" w:sz="0" w:space="0" w:color="auto"/>
        <w:right w:val="none" w:sz="0" w:space="0" w:color="auto"/>
      </w:divBdr>
    </w:div>
    <w:div w:id="344017082">
      <w:bodyDiv w:val="1"/>
      <w:marLeft w:val="0"/>
      <w:marRight w:val="0"/>
      <w:marTop w:val="0"/>
      <w:marBottom w:val="0"/>
      <w:divBdr>
        <w:top w:val="none" w:sz="0" w:space="0" w:color="auto"/>
        <w:left w:val="none" w:sz="0" w:space="0" w:color="auto"/>
        <w:bottom w:val="none" w:sz="0" w:space="0" w:color="auto"/>
        <w:right w:val="none" w:sz="0" w:space="0" w:color="auto"/>
      </w:divBdr>
    </w:div>
    <w:div w:id="502553174">
      <w:bodyDiv w:val="1"/>
      <w:marLeft w:val="0"/>
      <w:marRight w:val="0"/>
      <w:marTop w:val="0"/>
      <w:marBottom w:val="0"/>
      <w:divBdr>
        <w:top w:val="none" w:sz="0" w:space="0" w:color="auto"/>
        <w:left w:val="none" w:sz="0" w:space="0" w:color="auto"/>
        <w:bottom w:val="none" w:sz="0" w:space="0" w:color="auto"/>
        <w:right w:val="none" w:sz="0" w:space="0" w:color="auto"/>
      </w:divBdr>
    </w:div>
    <w:div w:id="605894415">
      <w:bodyDiv w:val="1"/>
      <w:marLeft w:val="0"/>
      <w:marRight w:val="0"/>
      <w:marTop w:val="0"/>
      <w:marBottom w:val="0"/>
      <w:divBdr>
        <w:top w:val="none" w:sz="0" w:space="0" w:color="auto"/>
        <w:left w:val="none" w:sz="0" w:space="0" w:color="auto"/>
        <w:bottom w:val="none" w:sz="0" w:space="0" w:color="auto"/>
        <w:right w:val="none" w:sz="0" w:space="0" w:color="auto"/>
      </w:divBdr>
    </w:div>
    <w:div w:id="716513030">
      <w:bodyDiv w:val="1"/>
      <w:marLeft w:val="0"/>
      <w:marRight w:val="0"/>
      <w:marTop w:val="0"/>
      <w:marBottom w:val="0"/>
      <w:divBdr>
        <w:top w:val="none" w:sz="0" w:space="0" w:color="auto"/>
        <w:left w:val="none" w:sz="0" w:space="0" w:color="auto"/>
        <w:bottom w:val="none" w:sz="0" w:space="0" w:color="auto"/>
        <w:right w:val="none" w:sz="0" w:space="0" w:color="auto"/>
      </w:divBdr>
    </w:div>
    <w:div w:id="755173047">
      <w:bodyDiv w:val="1"/>
      <w:marLeft w:val="0"/>
      <w:marRight w:val="0"/>
      <w:marTop w:val="0"/>
      <w:marBottom w:val="0"/>
      <w:divBdr>
        <w:top w:val="none" w:sz="0" w:space="0" w:color="auto"/>
        <w:left w:val="none" w:sz="0" w:space="0" w:color="auto"/>
        <w:bottom w:val="none" w:sz="0" w:space="0" w:color="auto"/>
        <w:right w:val="none" w:sz="0" w:space="0" w:color="auto"/>
      </w:divBdr>
    </w:div>
    <w:div w:id="878199612">
      <w:bodyDiv w:val="1"/>
      <w:marLeft w:val="0"/>
      <w:marRight w:val="0"/>
      <w:marTop w:val="0"/>
      <w:marBottom w:val="0"/>
      <w:divBdr>
        <w:top w:val="none" w:sz="0" w:space="0" w:color="auto"/>
        <w:left w:val="none" w:sz="0" w:space="0" w:color="auto"/>
        <w:bottom w:val="none" w:sz="0" w:space="0" w:color="auto"/>
        <w:right w:val="none" w:sz="0" w:space="0" w:color="auto"/>
      </w:divBdr>
    </w:div>
    <w:div w:id="1219630152">
      <w:bodyDiv w:val="1"/>
      <w:marLeft w:val="0"/>
      <w:marRight w:val="0"/>
      <w:marTop w:val="0"/>
      <w:marBottom w:val="0"/>
      <w:divBdr>
        <w:top w:val="none" w:sz="0" w:space="0" w:color="auto"/>
        <w:left w:val="none" w:sz="0" w:space="0" w:color="auto"/>
        <w:bottom w:val="none" w:sz="0" w:space="0" w:color="auto"/>
        <w:right w:val="none" w:sz="0" w:space="0" w:color="auto"/>
      </w:divBdr>
    </w:div>
    <w:div w:id="1296259099">
      <w:bodyDiv w:val="1"/>
      <w:marLeft w:val="0"/>
      <w:marRight w:val="0"/>
      <w:marTop w:val="0"/>
      <w:marBottom w:val="0"/>
      <w:divBdr>
        <w:top w:val="none" w:sz="0" w:space="0" w:color="auto"/>
        <w:left w:val="none" w:sz="0" w:space="0" w:color="auto"/>
        <w:bottom w:val="none" w:sz="0" w:space="0" w:color="auto"/>
        <w:right w:val="none" w:sz="0" w:space="0" w:color="auto"/>
      </w:divBdr>
    </w:div>
    <w:div w:id="1393624225">
      <w:bodyDiv w:val="1"/>
      <w:marLeft w:val="0"/>
      <w:marRight w:val="0"/>
      <w:marTop w:val="0"/>
      <w:marBottom w:val="0"/>
      <w:divBdr>
        <w:top w:val="none" w:sz="0" w:space="0" w:color="auto"/>
        <w:left w:val="none" w:sz="0" w:space="0" w:color="auto"/>
        <w:bottom w:val="none" w:sz="0" w:space="0" w:color="auto"/>
        <w:right w:val="none" w:sz="0" w:space="0" w:color="auto"/>
      </w:divBdr>
    </w:div>
    <w:div w:id="1808693707">
      <w:bodyDiv w:val="1"/>
      <w:marLeft w:val="0"/>
      <w:marRight w:val="0"/>
      <w:marTop w:val="0"/>
      <w:marBottom w:val="0"/>
      <w:divBdr>
        <w:top w:val="none" w:sz="0" w:space="0" w:color="auto"/>
        <w:left w:val="none" w:sz="0" w:space="0" w:color="auto"/>
        <w:bottom w:val="none" w:sz="0" w:space="0" w:color="auto"/>
        <w:right w:val="none" w:sz="0" w:space="0" w:color="auto"/>
      </w:divBdr>
    </w:div>
    <w:div w:id="206918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4" Type="http://schemas.openxmlformats.org/officeDocument/2006/relationships/hyperlink" Target="http://www.plosone.org/article/info%3Adoi%2F10.1371%2Fjournal.pone.0013636" TargetMode="External"/><Relationship Id="rId15" Type="http://schemas.openxmlformats.org/officeDocument/2006/relationships/hyperlink" Target="http://orbi.ulg.ac.be" TargetMode="External"/><Relationship Id="rId16" Type="http://schemas.openxmlformats.org/officeDocument/2006/relationships/hyperlink" Target="http://epubs.surrey.ac.uk" TargetMode="External"/><Relationship Id="rId17" Type="http://schemas.openxmlformats.org/officeDocument/2006/relationships/hyperlink" Target="http://eprints.lancs.ac.uk" TargetMode="External"/><Relationship Id="rId18" Type="http://schemas.openxmlformats.org/officeDocument/2006/relationships/chart" Target="charts/chart2.xml"/><Relationship Id="rId19" Type="http://schemas.openxmlformats.org/officeDocument/2006/relationships/chart" Target="charts/chart3.xml"/><Relationship Id="rId50" Type="http://schemas.openxmlformats.org/officeDocument/2006/relationships/hyperlink" Target="http://www.slac.stanford.edu/pubs/slacpubs/13500/slac-pub-13693.pdf" TargetMode="External"/><Relationship Id="rId51" Type="http://schemas.openxmlformats.org/officeDocument/2006/relationships/hyperlink" Target="http://orbi.ulg.ac.be/handle/2268/102031" TargetMode="External"/><Relationship Id="rId52" Type="http://schemas.openxmlformats.org/officeDocument/2006/relationships/hyperlink" Target="http://eprints.ecs.soton.ac.uk/18511/" TargetMode="External"/><Relationship Id="rId53" Type="http://schemas.openxmlformats.org/officeDocument/2006/relationships/fontTable" Target="fontTable.xml"/><Relationship Id="rId54" Type="http://schemas.openxmlformats.org/officeDocument/2006/relationships/theme" Target="theme/theme1.xml"/><Relationship Id="rId40" Type="http://schemas.openxmlformats.org/officeDocument/2006/relationships/chart" Target="charts/chart18.xml"/><Relationship Id="rId41" Type="http://schemas.openxmlformats.org/officeDocument/2006/relationships/chart" Target="charts/chart19.xml"/><Relationship Id="rId42" Type="http://schemas.openxmlformats.org/officeDocument/2006/relationships/chart" Target="charts/chart20.xml"/><Relationship Id="rId43" Type="http://schemas.openxmlformats.org/officeDocument/2006/relationships/chart" Target="charts/chart21.xml"/><Relationship Id="rId44" Type="http://schemas.openxmlformats.org/officeDocument/2006/relationships/chart" Target="charts/chart22.xml"/><Relationship Id="rId45" Type="http://schemas.openxmlformats.org/officeDocument/2006/relationships/hyperlink" Target="http://roarmap.eprints.org/834/" TargetMode="External"/><Relationship Id="rId46" Type="http://schemas.openxmlformats.org/officeDocument/2006/relationships/hyperlink" Target="http://roarmap.eprints.org/850/" TargetMode="External"/><Relationship Id="rId47" Type="http://schemas.openxmlformats.org/officeDocument/2006/relationships/hyperlink" Target="http://arxiv.org/pdf/1210.8174" TargetMode="External"/><Relationship Id="rId48" Type="http://schemas.openxmlformats.org/officeDocument/2006/relationships/hyperlink" Target="http://eprints.soton.ac.uk/340294/" TargetMode="External"/><Relationship Id="rId49" Type="http://schemas.openxmlformats.org/officeDocument/2006/relationships/hyperlink" Target="http://eprints.ecs.soton.ac.uk/18493/"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roarmap.eprints.org/7/" TargetMode="External"/><Relationship Id="rId7" Type="http://schemas.openxmlformats.org/officeDocument/2006/relationships/hyperlink" Target="http://roarmap.eprints.org" TargetMode="External"/><Relationship Id="rId8" Type="http://schemas.openxmlformats.org/officeDocument/2006/relationships/hyperlink" Target="http://roar.eprints.org/1353/" TargetMode="External"/><Relationship Id="rId9" Type="http://schemas.openxmlformats.org/officeDocument/2006/relationships/hyperlink" Target="https://wiki.duraspace.org/display/DSPACE/RequestCopy" TargetMode="External"/><Relationship Id="rId30" Type="http://schemas.openxmlformats.org/officeDocument/2006/relationships/hyperlink" Target="http://opcit.eprints.org/oacitation-biblio.html" TargetMode="External"/><Relationship Id="rId31" Type="http://schemas.openxmlformats.org/officeDocument/2006/relationships/chart" Target="charts/chart9.xml"/><Relationship Id="rId32" Type="http://schemas.openxmlformats.org/officeDocument/2006/relationships/chart" Target="charts/chart10.xml"/><Relationship Id="rId33" Type="http://schemas.openxmlformats.org/officeDocument/2006/relationships/chart" Target="charts/chart11.xml"/><Relationship Id="rId34" Type="http://schemas.openxmlformats.org/officeDocument/2006/relationships/chart" Target="charts/chart12.xml"/><Relationship Id="rId35" Type="http://schemas.openxmlformats.org/officeDocument/2006/relationships/chart" Target="charts/chart13.xml"/><Relationship Id="rId36" Type="http://schemas.openxmlformats.org/officeDocument/2006/relationships/chart" Target="charts/chart14.xml"/><Relationship Id="rId37" Type="http://schemas.openxmlformats.org/officeDocument/2006/relationships/chart" Target="charts/chart15.xml"/><Relationship Id="rId38" Type="http://schemas.openxmlformats.org/officeDocument/2006/relationships/chart" Target="charts/chart16.xml"/><Relationship Id="rId39" Type="http://schemas.openxmlformats.org/officeDocument/2006/relationships/chart" Target="charts/chart17.xml"/><Relationship Id="rId20" Type="http://schemas.openxmlformats.org/officeDocument/2006/relationships/chart" Target="charts/chart4.xml"/><Relationship Id="rId21" Type="http://schemas.openxmlformats.org/officeDocument/2006/relationships/chart" Target="charts/chart5.xml"/><Relationship Id="rId22" Type="http://schemas.openxmlformats.org/officeDocument/2006/relationships/chart" Target="charts/chart6.xml"/><Relationship Id="rId23" Type="http://schemas.openxmlformats.org/officeDocument/2006/relationships/chart" Target="charts/chart7.xml"/><Relationship Id="rId24" Type="http://schemas.openxmlformats.org/officeDocument/2006/relationships/hyperlink" Target="http://roar.eprints.org/89/" TargetMode="External"/><Relationship Id="rId25" Type="http://schemas.openxmlformats.org/officeDocument/2006/relationships/hyperlink" Target="http://openaccess.eprints.org/index.php?/archives/504-A-Physicists-Challenge-to-Duplicate-Arxivs-Functionality-Over-Distributed-Institutional-Repositories.html" TargetMode="External"/><Relationship Id="rId26" Type="http://schemas.openxmlformats.org/officeDocument/2006/relationships/chart" Target="charts/chart8.xml"/><Relationship Id="rId27" Type="http://schemas.openxmlformats.org/officeDocument/2006/relationships/hyperlink" Target="http://www.sherpa.ac.uk/romeo/statistics.php" TargetMode="External"/><Relationship Id="rId28" Type="http://schemas.openxmlformats.org/officeDocument/2006/relationships/hyperlink" Target="http://opcit.eprints.org/oacitation-biblio.html" TargetMode="External"/><Relationship Id="rId29" Type="http://schemas.openxmlformats.org/officeDocument/2006/relationships/image" Target="media/image1.jpeg"/><Relationship Id="rId10" Type="http://schemas.openxmlformats.org/officeDocument/2006/relationships/hyperlink" Target="http://roarmap.eprints.org/834/" TargetMode="External"/><Relationship Id="rId11" Type="http://schemas.openxmlformats.org/officeDocument/2006/relationships/hyperlink" Target="http://roarmap.eprints.org/56" TargetMode="External"/><Relationship Id="rId12" Type="http://schemas.openxmlformats.org/officeDocument/2006/relationships/hyperlink" Target="http://roarmap.eprints.org/85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roarmap.eprints.org/1/" TargetMode="External"/><Relationship Id="rId2" Type="http://schemas.openxmlformats.org/officeDocument/2006/relationships/hyperlink" Target="http://roarmap.eprints.org/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4%20Projets\1Scientom&#233;trie\1%20Archivage%20Obligatoire\Version%205\Data%2016%20jan2010.xlsx" TargetMode="External"/><Relationship Id="rId2"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1" Type="http://schemas.openxmlformats.org/officeDocument/2006/relationships/oleObject" Target="file:///D:\4%20Projets\1Scientom&#233;trie\11%20Minho%20-%20Eloy%20Rodrigues\STAT_Minho.xlsx" TargetMode="External"/><Relationship Id="rId2" Type="http://schemas.openxmlformats.org/officeDocument/2006/relationships/chartUserShapes" Target="../drawings/drawing10.xml"/></Relationships>
</file>

<file path=word/charts/_rels/chart11.xml.rels><?xml version="1.0" encoding="UTF-8" standalone="yes"?>
<Relationships xmlns="http://schemas.openxmlformats.org/package/2006/relationships"><Relationship Id="rId1" Type="http://schemas.openxmlformats.org/officeDocument/2006/relationships/oleObject" Target="file:///D:\4%20Projets\1Scientom&#233;trie\8-Alma%20-%20UK\Archives%20Institutionnelles\STAT%20V2.xlsx" TargetMode="External"/><Relationship Id="rId2" Type="http://schemas.openxmlformats.org/officeDocument/2006/relationships/chartUserShapes" Target="../drawings/drawing11.xml"/></Relationships>
</file>

<file path=word/charts/_rels/chart12.xml.rels><?xml version="1.0" encoding="UTF-8" standalone="yes"?>
<Relationships xmlns="http://schemas.openxmlformats.org/package/2006/relationships"><Relationship Id="rId1" Type="http://schemas.openxmlformats.org/officeDocument/2006/relationships/oleObject" Target="file:///D:\4%20Projets\1Scientom&#233;trie\8-Alma%20-%20UK\Archives%20Institutionnelles\STAT%20V2.xlsx" TargetMode="External"/><Relationship Id="rId2" Type="http://schemas.openxmlformats.org/officeDocument/2006/relationships/chartUserShapes" Target="../drawings/drawing12.xml"/></Relationships>
</file>

<file path=word/charts/_rels/chart13.xml.rels><?xml version="1.0" encoding="UTF-8" standalone="yes"?>
<Relationships xmlns="http://schemas.openxmlformats.org/package/2006/relationships"><Relationship Id="rId1" Type="http://schemas.openxmlformats.org/officeDocument/2006/relationships/oleObject" Target="file:///D:\4%20Projets\1Scientom&#233;trie\8-Alma%20-%20UK\Archives%20Institutionnelles\STAT%20V2.xlsx" TargetMode="External"/><Relationship Id="rId2" Type="http://schemas.openxmlformats.org/officeDocument/2006/relationships/chartUserShapes" Target="../drawings/drawing13.xml"/></Relationships>
</file>

<file path=word/charts/_rels/chart14.xml.rels><?xml version="1.0" encoding="UTF-8" standalone="yes"?>
<Relationships xmlns="http://schemas.openxmlformats.org/package/2006/relationships"><Relationship Id="rId1" Type="http://schemas.openxmlformats.org/officeDocument/2006/relationships/oleObject" Target="file:///D:\4%20Projets\1Scientom&#233;trie\11%20Minho%20-%20Eloy%20Rodrigues\STAT_Minho.xlsx" TargetMode="External"/><Relationship Id="rId2" Type="http://schemas.openxmlformats.org/officeDocument/2006/relationships/chartUserShapes" Target="../drawings/drawing14.xml"/></Relationships>
</file>

<file path=word/charts/_rels/chart15.xml.rels><?xml version="1.0" encoding="UTF-8" standalone="yes"?>
<Relationships xmlns="http://schemas.openxmlformats.org/package/2006/relationships"><Relationship Id="rId1" Type="http://schemas.openxmlformats.org/officeDocument/2006/relationships/oleObject" Target="file:///D:\4%20Projets\1Scientom&#233;trie\11%20Minho%20-%20Eloy%20Rodrigues\STAT_Minh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4%20Projets\1Scientom&#233;trie\11%20Minho%20-%20Eloy%20Rodrigues\STAT_Minh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4%20Projets\1Scientom&#233;trie\11%20Minho%20-%20Eloy%20Rodrigues\STAT_Minh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4%20Projets\1Scientom&#233;trie\11%20Minho%20-%20Eloy%20Rodrigues\STAT_Minh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4%20Projets\1Scientom&#233;trie\11%20Minho%20-%20Eloy%20Rodrigues\STAT_Minh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4%20Projets\1Scientom&#233;trie\11%20Minho%20-%20Eloy%20Rodrigues\STAT_Minho.xlsx" TargetMode="External"/><Relationship Id="rId2" Type="http://schemas.openxmlformats.org/officeDocument/2006/relationships/chartUserShapes" Target="../drawings/drawing2.xml"/></Relationships>
</file>

<file path=word/charts/_rels/chart20.xml.rels><?xml version="1.0" encoding="UTF-8" standalone="yes"?>
<Relationships xmlns="http://schemas.openxmlformats.org/package/2006/relationships"><Relationship Id="rId1" Type="http://schemas.openxmlformats.org/officeDocument/2006/relationships/oleObject" Target="file:///D:\4%20Projets\1Scientom&#233;trie\11%20Minho%20-%20Eloy%20Rodrigues\STAT_Minho.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4%20Projets\1Scientom&#233;trie\11%20Minho%20-%20Eloy%20Rodrigues\STAT_Minho.xlsx" TargetMode="External"/><Relationship Id="rId2" Type="http://schemas.openxmlformats.org/officeDocument/2006/relationships/chartUserShapes" Target="../drawings/drawing15.xml"/></Relationships>
</file>

<file path=word/charts/_rels/chart22.xml.rels><?xml version="1.0" encoding="UTF-8" standalone="yes"?>
<Relationships xmlns="http://schemas.openxmlformats.org/package/2006/relationships"><Relationship Id="rId1" Type="http://schemas.openxmlformats.org/officeDocument/2006/relationships/oleObject" Target="file:///D:\4%20Projets\1Scientom&#233;trie\11%20Minho%20-%20Eloy%20Rodrigues\STAT_Minho.xlsx" TargetMode="External"/><Relationship Id="rId2" Type="http://schemas.openxmlformats.org/officeDocument/2006/relationships/chartUserShapes" Target="../drawings/drawing16.xml"/></Relationships>
</file>

<file path=word/charts/_rels/chart3.xml.rels><?xml version="1.0" encoding="UTF-8" standalone="yes"?>
<Relationships xmlns="http://schemas.openxmlformats.org/package/2006/relationships"><Relationship Id="rId1" Type="http://schemas.openxmlformats.org/officeDocument/2006/relationships/oleObject" Target="file:///D:\4%20Projets\1Scientom&#233;trie\11%20Minho%20-%20Eloy%20Rodrigues\STAT_Minho.xlsx" TargetMode="External"/><Relationship Id="rId2"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1" Type="http://schemas.openxmlformats.org/officeDocument/2006/relationships/oleObject" Target="file:///D:\4%20Projets\1Scientom&#233;trie\11%20Minho%20-%20Eloy%20Rodrigues\STAT_Minho.xlsx" TargetMode="External"/><Relationship Id="rId2"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1" Type="http://schemas.openxmlformats.org/officeDocument/2006/relationships/oleObject" Target="file:///D:\4%20Projets\1Scientom&#233;trie\11%20Minho%20-%20Eloy%20Rodrigues\STAT_Minho.xlsx" TargetMode="External"/><Relationship Id="rId2"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1" Type="http://schemas.openxmlformats.org/officeDocument/2006/relationships/oleObject" Target="file:///D:\4%20Projets\1Scientom&#233;trie\11%20Minho%20-%20Eloy%20Rodrigues\STAT_Minho.xlsx" TargetMode="External"/><Relationship Id="rId2"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1" Type="http://schemas.openxmlformats.org/officeDocument/2006/relationships/oleObject" Target="file:///D:\4%20Projets\1Scientom&#233;trie\11%20Minho%20-%20Eloy%20Rodrigues\STAT_Minho.xlsx" TargetMode="External"/><Relationship Id="rId2" Type="http://schemas.openxmlformats.org/officeDocument/2006/relationships/chartUserShapes" Target="../drawings/drawing7.xml"/></Relationships>
</file>

<file path=word/charts/_rels/chart8.xml.rels><?xml version="1.0" encoding="UTF-8" standalone="yes"?>
<Relationships xmlns="http://schemas.openxmlformats.org/package/2006/relationships"><Relationship Id="rId1" Type="http://schemas.openxmlformats.org/officeDocument/2006/relationships/oleObject" Target="file:///D:\4%20Projets\1Scientom&#233;trie\11%20Minho%20-%20Eloy%20Rodrigues\STAT_Minho.xlsx" TargetMode="External"/><Relationship Id="rId2" Type="http://schemas.openxmlformats.org/officeDocument/2006/relationships/chartUserShapes" Target="../drawings/drawing8.xml"/></Relationships>
</file>

<file path=word/charts/_rels/chart9.xml.rels><?xml version="1.0" encoding="UTF-8" standalone="yes"?>
<Relationships xmlns="http://schemas.openxmlformats.org/package/2006/relationships"><Relationship Id="rId1" Type="http://schemas.openxmlformats.org/officeDocument/2006/relationships/oleObject" Target="file:///D:\4%20Projets\1Scientom&#233;trie\11%20Minho%20-%20Eloy%20Rodrigues\STAT_Minho.xlsx" TargetMode="External"/><Relationship Id="rId2" Type="http://schemas.openxmlformats.org/officeDocument/2006/relationships/chartUserShapes" Target="../drawings/drawing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manualLayout>
          <c:layoutTarget val="inner"/>
          <c:xMode val="edge"/>
          <c:yMode val="edge"/>
          <c:x val="0.168912027339149"/>
          <c:y val="0.0507852513077918"/>
          <c:w val="0.67992445761489"/>
          <c:h val="0.618186408762889"/>
        </c:manualLayout>
      </c:layout>
      <c:barChart>
        <c:barDir val="col"/>
        <c:grouping val="clustered"/>
        <c:ser>
          <c:idx val="0"/>
          <c:order val="0"/>
          <c:tx>
            <c:strRef>
              <c:f>Stat!$B$21</c:f>
              <c:strCache>
                <c:ptCount val="1"/>
                <c:pt idx="0">
                  <c:v>2002</c:v>
                </c:pt>
              </c:strCache>
            </c:strRef>
          </c:tx>
          <c:spPr>
            <a:solidFill>
              <a:srgbClr val="008000"/>
            </a:solidFill>
          </c:spPr>
          <c:cat>
            <c:strRef>
              <c:f>Stat!$C$20:$H$20</c:f>
              <c:strCache>
                <c:ptCount val="6"/>
                <c:pt idx="0">
                  <c:v>Minho</c:v>
                </c:pt>
                <c:pt idx="1">
                  <c:v>CERN</c:v>
                </c:pt>
                <c:pt idx="2">
                  <c:v>QUT</c:v>
                </c:pt>
                <c:pt idx="3">
                  <c:v>Southampton</c:v>
                </c:pt>
                <c:pt idx="4">
                  <c:v>4 institutions</c:v>
                </c:pt>
                <c:pt idx="5">
                  <c:v>Non Mandated</c:v>
                </c:pt>
              </c:strCache>
            </c:strRef>
          </c:cat>
          <c:val>
            <c:numRef>
              <c:f>Stat!$C$21:$H$21</c:f>
              <c:numCache>
                <c:formatCode>0%</c:formatCode>
                <c:ptCount val="6"/>
                <c:pt idx="0">
                  <c:v>0.64</c:v>
                </c:pt>
                <c:pt idx="1">
                  <c:v>0.58</c:v>
                </c:pt>
                <c:pt idx="2">
                  <c:v>0.49</c:v>
                </c:pt>
                <c:pt idx="3">
                  <c:v>0.53</c:v>
                </c:pt>
                <c:pt idx="4">
                  <c:v>0.56</c:v>
                </c:pt>
                <c:pt idx="5">
                  <c:v>0.15</c:v>
                </c:pt>
              </c:numCache>
            </c:numRef>
          </c:val>
        </c:ser>
        <c:ser>
          <c:idx val="1"/>
          <c:order val="1"/>
          <c:tx>
            <c:strRef>
              <c:f>Stat!$B$22</c:f>
              <c:strCache>
                <c:ptCount val="1"/>
                <c:pt idx="0">
                  <c:v>2003</c:v>
                </c:pt>
              </c:strCache>
            </c:strRef>
          </c:tx>
          <c:spPr>
            <a:solidFill>
              <a:srgbClr val="009900"/>
            </a:solidFill>
          </c:spPr>
          <c:cat>
            <c:strRef>
              <c:f>Stat!$C$20:$H$20</c:f>
              <c:strCache>
                <c:ptCount val="6"/>
                <c:pt idx="0">
                  <c:v>Minho</c:v>
                </c:pt>
                <c:pt idx="1">
                  <c:v>CERN</c:v>
                </c:pt>
                <c:pt idx="2">
                  <c:v>QUT</c:v>
                </c:pt>
                <c:pt idx="3">
                  <c:v>Southampton</c:v>
                </c:pt>
                <c:pt idx="4">
                  <c:v>4 institutions</c:v>
                </c:pt>
                <c:pt idx="5">
                  <c:v>Non Mandated</c:v>
                </c:pt>
              </c:strCache>
            </c:strRef>
          </c:cat>
          <c:val>
            <c:numRef>
              <c:f>Stat!$C$22:$H$22</c:f>
              <c:numCache>
                <c:formatCode>0%</c:formatCode>
                <c:ptCount val="6"/>
                <c:pt idx="0">
                  <c:v>0.62</c:v>
                </c:pt>
                <c:pt idx="1">
                  <c:v>0.61</c:v>
                </c:pt>
                <c:pt idx="2">
                  <c:v>0.48</c:v>
                </c:pt>
                <c:pt idx="3">
                  <c:v>0.7</c:v>
                </c:pt>
                <c:pt idx="4">
                  <c:v>0.6</c:v>
                </c:pt>
                <c:pt idx="5">
                  <c:v>0.15</c:v>
                </c:pt>
              </c:numCache>
            </c:numRef>
          </c:val>
        </c:ser>
        <c:ser>
          <c:idx val="2"/>
          <c:order val="2"/>
          <c:tx>
            <c:strRef>
              <c:f>Stat!$B$23</c:f>
              <c:strCache>
                <c:ptCount val="1"/>
                <c:pt idx="0">
                  <c:v>2004</c:v>
                </c:pt>
              </c:strCache>
            </c:strRef>
          </c:tx>
          <c:spPr>
            <a:solidFill>
              <a:srgbClr val="33CC33"/>
            </a:solidFill>
          </c:spPr>
          <c:cat>
            <c:strRef>
              <c:f>Stat!$C$20:$H$20</c:f>
              <c:strCache>
                <c:ptCount val="6"/>
                <c:pt idx="0">
                  <c:v>Minho</c:v>
                </c:pt>
                <c:pt idx="1">
                  <c:v>CERN</c:v>
                </c:pt>
                <c:pt idx="2">
                  <c:v>QUT</c:v>
                </c:pt>
                <c:pt idx="3">
                  <c:v>Southampton</c:v>
                </c:pt>
                <c:pt idx="4">
                  <c:v>4 institutions</c:v>
                </c:pt>
                <c:pt idx="5">
                  <c:v>Non Mandated</c:v>
                </c:pt>
              </c:strCache>
            </c:strRef>
          </c:cat>
          <c:val>
            <c:numRef>
              <c:f>Stat!$C$23:$H$23</c:f>
              <c:numCache>
                <c:formatCode>0%</c:formatCode>
                <c:ptCount val="6"/>
                <c:pt idx="0">
                  <c:v>0.62</c:v>
                </c:pt>
                <c:pt idx="1">
                  <c:v>0.55</c:v>
                </c:pt>
                <c:pt idx="2">
                  <c:v>0.51</c:v>
                </c:pt>
                <c:pt idx="3">
                  <c:v>0.66</c:v>
                </c:pt>
                <c:pt idx="4">
                  <c:v>0.59</c:v>
                </c:pt>
                <c:pt idx="5">
                  <c:v>0.16</c:v>
                </c:pt>
              </c:numCache>
            </c:numRef>
          </c:val>
        </c:ser>
        <c:ser>
          <c:idx val="3"/>
          <c:order val="3"/>
          <c:tx>
            <c:strRef>
              <c:f>Stat!$B$24</c:f>
              <c:strCache>
                <c:ptCount val="1"/>
                <c:pt idx="0">
                  <c:v>2005</c:v>
                </c:pt>
              </c:strCache>
            </c:strRef>
          </c:tx>
          <c:spPr>
            <a:solidFill>
              <a:srgbClr val="66FF66"/>
            </a:solidFill>
          </c:spPr>
          <c:cat>
            <c:strRef>
              <c:f>Stat!$C$20:$H$20</c:f>
              <c:strCache>
                <c:ptCount val="6"/>
                <c:pt idx="0">
                  <c:v>Minho</c:v>
                </c:pt>
                <c:pt idx="1">
                  <c:v>CERN</c:v>
                </c:pt>
                <c:pt idx="2">
                  <c:v>QUT</c:v>
                </c:pt>
                <c:pt idx="3">
                  <c:v>Southampton</c:v>
                </c:pt>
                <c:pt idx="4">
                  <c:v>4 institutions</c:v>
                </c:pt>
                <c:pt idx="5">
                  <c:v>Non Mandated</c:v>
                </c:pt>
              </c:strCache>
            </c:strRef>
          </c:cat>
          <c:val>
            <c:numRef>
              <c:f>Stat!$C$24:$H$24</c:f>
              <c:numCache>
                <c:formatCode>0%</c:formatCode>
                <c:ptCount val="6"/>
                <c:pt idx="0">
                  <c:v>0.61</c:v>
                </c:pt>
                <c:pt idx="1">
                  <c:v>0.54</c:v>
                </c:pt>
                <c:pt idx="2">
                  <c:v>0.63</c:v>
                </c:pt>
                <c:pt idx="3">
                  <c:v>0.68</c:v>
                </c:pt>
                <c:pt idx="4">
                  <c:v>0.62</c:v>
                </c:pt>
                <c:pt idx="5">
                  <c:v>0.13</c:v>
                </c:pt>
              </c:numCache>
            </c:numRef>
          </c:val>
        </c:ser>
        <c:ser>
          <c:idx val="4"/>
          <c:order val="4"/>
          <c:tx>
            <c:strRef>
              <c:f>Stat!$B$25</c:f>
              <c:strCache>
                <c:ptCount val="1"/>
                <c:pt idx="0">
                  <c:v>2006</c:v>
                </c:pt>
              </c:strCache>
            </c:strRef>
          </c:tx>
          <c:spPr>
            <a:solidFill>
              <a:srgbClr val="B9FFB9"/>
            </a:solidFill>
          </c:spPr>
          <c:cat>
            <c:strRef>
              <c:f>Stat!$C$20:$H$20</c:f>
              <c:strCache>
                <c:ptCount val="6"/>
                <c:pt idx="0">
                  <c:v>Minho</c:v>
                </c:pt>
                <c:pt idx="1">
                  <c:v>CERN</c:v>
                </c:pt>
                <c:pt idx="2">
                  <c:v>QUT</c:v>
                </c:pt>
                <c:pt idx="3">
                  <c:v>Southampton</c:v>
                </c:pt>
                <c:pt idx="4">
                  <c:v>4 institutions</c:v>
                </c:pt>
                <c:pt idx="5">
                  <c:v>Non Mandated</c:v>
                </c:pt>
              </c:strCache>
            </c:strRef>
          </c:cat>
          <c:val>
            <c:numRef>
              <c:f>Stat!$C$25:$H$25</c:f>
              <c:numCache>
                <c:formatCode>0%</c:formatCode>
                <c:ptCount val="6"/>
                <c:pt idx="0">
                  <c:v>0.54</c:v>
                </c:pt>
                <c:pt idx="1">
                  <c:v>0.63</c:v>
                </c:pt>
                <c:pt idx="2">
                  <c:v>0.6</c:v>
                </c:pt>
                <c:pt idx="3">
                  <c:v>0.62</c:v>
                </c:pt>
                <c:pt idx="4">
                  <c:v>0.6</c:v>
                </c:pt>
                <c:pt idx="5">
                  <c:v>0.16</c:v>
                </c:pt>
              </c:numCache>
            </c:numRef>
          </c:val>
        </c:ser>
        <c:axId val="508621752"/>
        <c:axId val="508593784"/>
      </c:barChart>
      <c:catAx>
        <c:axId val="508621752"/>
        <c:scaling>
          <c:orientation val="minMax"/>
        </c:scaling>
        <c:axPos val="b"/>
        <c:numFmt formatCode="General" sourceLinked="1"/>
        <c:tickLblPos val="nextTo"/>
        <c:txPr>
          <a:bodyPr/>
          <a:lstStyle/>
          <a:p>
            <a:pPr>
              <a:defRPr lang="en-CA"/>
            </a:pPr>
            <a:endParaRPr lang="en-US"/>
          </a:p>
        </c:txPr>
        <c:crossAx val="508593784"/>
        <c:crosses val="autoZero"/>
        <c:auto val="1"/>
        <c:lblAlgn val="ctr"/>
        <c:lblOffset val="100"/>
      </c:catAx>
      <c:valAx>
        <c:axId val="508593784"/>
        <c:scaling>
          <c:orientation val="minMax"/>
          <c:max val="1.0"/>
        </c:scaling>
        <c:axPos val="l"/>
        <c:majorGridlines/>
        <c:numFmt formatCode="0%" sourceLinked="1"/>
        <c:tickLblPos val="nextTo"/>
        <c:txPr>
          <a:bodyPr/>
          <a:lstStyle/>
          <a:p>
            <a:pPr>
              <a:defRPr lang="en-CA"/>
            </a:pPr>
            <a:endParaRPr lang="en-US"/>
          </a:p>
        </c:txPr>
        <c:crossAx val="508621752"/>
        <c:crosses val="autoZero"/>
        <c:crossBetween val="between"/>
      </c:valAx>
    </c:plotArea>
    <c:legend>
      <c:legendPos val="r"/>
      <c:layout/>
      <c:txPr>
        <a:bodyPr/>
        <a:lstStyle/>
        <a:p>
          <a:pPr>
            <a:defRPr lang="en-CA"/>
          </a:pPr>
          <a:endParaRPr lang="en-US"/>
        </a:p>
      </c:txPr>
    </c:legend>
    <c:plotVisOnly val="1"/>
  </c:chart>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manualLayout>
          <c:layoutTarget val="inner"/>
          <c:xMode val="edge"/>
          <c:yMode val="edge"/>
          <c:x val="0.10150495291743"/>
          <c:y val="0.0282524059492563"/>
          <c:w val="0.871059583552995"/>
          <c:h val="0.744656605424324"/>
        </c:manualLayout>
      </c:layout>
      <c:lineChart>
        <c:grouping val="standard"/>
        <c:ser>
          <c:idx val="1"/>
          <c:order val="0"/>
          <c:tx>
            <c:strRef>
              <c:f>ISI_4!$B$3</c:f>
              <c:strCache>
                <c:ptCount val="1"/>
                <c:pt idx="0">
                  <c:v>Public Access (N=309)</c:v>
                </c:pt>
              </c:strCache>
            </c:strRef>
          </c:tx>
          <c:spPr>
            <a:ln>
              <a:solidFill>
                <a:srgbClr val="009900"/>
              </a:solidFill>
            </a:ln>
          </c:spPr>
          <c:marker>
            <c:symbol val="none"/>
          </c:marker>
          <c:cat>
            <c:numRef>
              <c:f>ISI_4!$A$5:$A$35</c:f>
              <c:numCache>
                <c:formatCode>General</c:formatCode>
                <c:ptCount val="31"/>
                <c:pt idx="0">
                  <c:v>-16.0</c:v>
                </c:pt>
                <c:pt idx="1">
                  <c:v>-15.0</c:v>
                </c:pt>
                <c:pt idx="2">
                  <c:v>-12.0</c:v>
                </c:pt>
                <c:pt idx="3">
                  <c:v>-11.0</c:v>
                </c:pt>
                <c:pt idx="4">
                  <c:v>-10.0</c:v>
                </c:pt>
                <c:pt idx="5">
                  <c:v>-9.0</c:v>
                </c:pt>
                <c:pt idx="6">
                  <c:v>-8.0</c:v>
                </c:pt>
                <c:pt idx="7">
                  <c:v>-7.0</c:v>
                </c:pt>
                <c:pt idx="8">
                  <c:v>-6.0</c:v>
                </c:pt>
                <c:pt idx="9">
                  <c:v>-5.0</c:v>
                </c:pt>
                <c:pt idx="10">
                  <c:v>-4.0</c:v>
                </c:pt>
                <c:pt idx="11">
                  <c:v>-3.0</c:v>
                </c:pt>
                <c:pt idx="12">
                  <c:v>-2.0</c:v>
                </c:pt>
                <c:pt idx="13">
                  <c:v>-1.0</c:v>
                </c:pt>
                <c:pt idx="14">
                  <c:v>0.0</c:v>
                </c:pt>
                <c:pt idx="15">
                  <c:v>1.0</c:v>
                </c:pt>
                <c:pt idx="16">
                  <c:v>2.0</c:v>
                </c:pt>
                <c:pt idx="17">
                  <c:v>3.0</c:v>
                </c:pt>
                <c:pt idx="18">
                  <c:v>4.0</c:v>
                </c:pt>
                <c:pt idx="19">
                  <c:v>5.0</c:v>
                </c:pt>
                <c:pt idx="20">
                  <c:v>6.0</c:v>
                </c:pt>
                <c:pt idx="21">
                  <c:v>7.0</c:v>
                </c:pt>
                <c:pt idx="22">
                  <c:v>8.0</c:v>
                </c:pt>
                <c:pt idx="23">
                  <c:v>9.0</c:v>
                </c:pt>
                <c:pt idx="24">
                  <c:v>10.0</c:v>
                </c:pt>
                <c:pt idx="25">
                  <c:v>11.0</c:v>
                </c:pt>
                <c:pt idx="26">
                  <c:v>12.0</c:v>
                </c:pt>
                <c:pt idx="27">
                  <c:v>13.0</c:v>
                </c:pt>
                <c:pt idx="28">
                  <c:v>14.0</c:v>
                </c:pt>
                <c:pt idx="29">
                  <c:v>15.0</c:v>
                </c:pt>
                <c:pt idx="30">
                  <c:v>16.0</c:v>
                </c:pt>
              </c:numCache>
            </c:numRef>
          </c:cat>
          <c:val>
            <c:numRef>
              <c:f>ISI_4!$B$5:$B$35</c:f>
              <c:numCache>
                <c:formatCode>General</c:formatCode>
                <c:ptCount val="31"/>
                <c:pt idx="2">
                  <c:v>1.0</c:v>
                </c:pt>
                <c:pt idx="3">
                  <c:v>1.0</c:v>
                </c:pt>
                <c:pt idx="4">
                  <c:v>3.0</c:v>
                </c:pt>
                <c:pt idx="5">
                  <c:v>2.0</c:v>
                </c:pt>
                <c:pt idx="6">
                  <c:v>1.0</c:v>
                </c:pt>
                <c:pt idx="7">
                  <c:v>2.0</c:v>
                </c:pt>
                <c:pt idx="8">
                  <c:v>2.0</c:v>
                </c:pt>
                <c:pt idx="9">
                  <c:v>4.0</c:v>
                </c:pt>
                <c:pt idx="10">
                  <c:v>7.0</c:v>
                </c:pt>
                <c:pt idx="11">
                  <c:v>10.0</c:v>
                </c:pt>
                <c:pt idx="12">
                  <c:v>18.0</c:v>
                </c:pt>
                <c:pt idx="13">
                  <c:v>18.0</c:v>
                </c:pt>
                <c:pt idx="14">
                  <c:v>26.0</c:v>
                </c:pt>
                <c:pt idx="15">
                  <c:v>24.0</c:v>
                </c:pt>
                <c:pt idx="16">
                  <c:v>28.0</c:v>
                </c:pt>
                <c:pt idx="17">
                  <c:v>20.0</c:v>
                </c:pt>
                <c:pt idx="18">
                  <c:v>13.0</c:v>
                </c:pt>
                <c:pt idx="19">
                  <c:v>14.0</c:v>
                </c:pt>
                <c:pt idx="20">
                  <c:v>20.0</c:v>
                </c:pt>
                <c:pt idx="21">
                  <c:v>13.0</c:v>
                </c:pt>
                <c:pt idx="22">
                  <c:v>11.0</c:v>
                </c:pt>
                <c:pt idx="23">
                  <c:v>24.0</c:v>
                </c:pt>
                <c:pt idx="24">
                  <c:v>15.0</c:v>
                </c:pt>
                <c:pt idx="25">
                  <c:v>11.0</c:v>
                </c:pt>
                <c:pt idx="26">
                  <c:v>8.0</c:v>
                </c:pt>
                <c:pt idx="27">
                  <c:v>6.0</c:v>
                </c:pt>
                <c:pt idx="28">
                  <c:v>5.0</c:v>
                </c:pt>
                <c:pt idx="29">
                  <c:v>1.0</c:v>
                </c:pt>
              </c:numCache>
            </c:numRef>
          </c:val>
        </c:ser>
        <c:ser>
          <c:idx val="2"/>
          <c:order val="1"/>
          <c:tx>
            <c:strRef>
              <c:f>ISI_4!$C$3</c:f>
              <c:strCache>
                <c:ptCount val="1"/>
                <c:pt idx="0">
                  <c:v>Restricted Access (N=242)</c:v>
                </c:pt>
              </c:strCache>
            </c:strRef>
          </c:tx>
          <c:spPr>
            <a:ln>
              <a:solidFill>
                <a:srgbClr val="99FF66"/>
              </a:solidFill>
            </a:ln>
          </c:spPr>
          <c:marker>
            <c:symbol val="none"/>
          </c:marker>
          <c:cat>
            <c:numRef>
              <c:f>ISI_4!$A$5:$A$35</c:f>
              <c:numCache>
                <c:formatCode>General</c:formatCode>
                <c:ptCount val="31"/>
                <c:pt idx="0">
                  <c:v>-16.0</c:v>
                </c:pt>
                <c:pt idx="1">
                  <c:v>-15.0</c:v>
                </c:pt>
                <c:pt idx="2">
                  <c:v>-12.0</c:v>
                </c:pt>
                <c:pt idx="3">
                  <c:v>-11.0</c:v>
                </c:pt>
                <c:pt idx="4">
                  <c:v>-10.0</c:v>
                </c:pt>
                <c:pt idx="5">
                  <c:v>-9.0</c:v>
                </c:pt>
                <c:pt idx="6">
                  <c:v>-8.0</c:v>
                </c:pt>
                <c:pt idx="7">
                  <c:v>-7.0</c:v>
                </c:pt>
                <c:pt idx="8">
                  <c:v>-6.0</c:v>
                </c:pt>
                <c:pt idx="9">
                  <c:v>-5.0</c:v>
                </c:pt>
                <c:pt idx="10">
                  <c:v>-4.0</c:v>
                </c:pt>
                <c:pt idx="11">
                  <c:v>-3.0</c:v>
                </c:pt>
                <c:pt idx="12">
                  <c:v>-2.0</c:v>
                </c:pt>
                <c:pt idx="13">
                  <c:v>-1.0</c:v>
                </c:pt>
                <c:pt idx="14">
                  <c:v>0.0</c:v>
                </c:pt>
                <c:pt idx="15">
                  <c:v>1.0</c:v>
                </c:pt>
                <c:pt idx="16">
                  <c:v>2.0</c:v>
                </c:pt>
                <c:pt idx="17">
                  <c:v>3.0</c:v>
                </c:pt>
                <c:pt idx="18">
                  <c:v>4.0</c:v>
                </c:pt>
                <c:pt idx="19">
                  <c:v>5.0</c:v>
                </c:pt>
                <c:pt idx="20">
                  <c:v>6.0</c:v>
                </c:pt>
                <c:pt idx="21">
                  <c:v>7.0</c:v>
                </c:pt>
                <c:pt idx="22">
                  <c:v>8.0</c:v>
                </c:pt>
                <c:pt idx="23">
                  <c:v>9.0</c:v>
                </c:pt>
                <c:pt idx="24">
                  <c:v>10.0</c:v>
                </c:pt>
                <c:pt idx="25">
                  <c:v>11.0</c:v>
                </c:pt>
                <c:pt idx="26">
                  <c:v>12.0</c:v>
                </c:pt>
                <c:pt idx="27">
                  <c:v>13.0</c:v>
                </c:pt>
                <c:pt idx="28">
                  <c:v>14.0</c:v>
                </c:pt>
                <c:pt idx="29">
                  <c:v>15.0</c:v>
                </c:pt>
                <c:pt idx="30">
                  <c:v>16.0</c:v>
                </c:pt>
              </c:numCache>
            </c:numRef>
          </c:cat>
          <c:val>
            <c:numRef>
              <c:f>ISI_4!$C$5:$C$35</c:f>
              <c:numCache>
                <c:formatCode>General</c:formatCode>
                <c:ptCount val="31"/>
                <c:pt idx="1">
                  <c:v>1.0</c:v>
                </c:pt>
                <c:pt idx="4">
                  <c:v>1.0</c:v>
                </c:pt>
                <c:pt idx="5">
                  <c:v>3.0</c:v>
                </c:pt>
                <c:pt idx="7">
                  <c:v>3.0</c:v>
                </c:pt>
                <c:pt idx="8">
                  <c:v>2.0</c:v>
                </c:pt>
                <c:pt idx="9">
                  <c:v>3.0</c:v>
                </c:pt>
                <c:pt idx="10">
                  <c:v>1.0</c:v>
                </c:pt>
                <c:pt idx="11">
                  <c:v>6.0</c:v>
                </c:pt>
                <c:pt idx="12">
                  <c:v>9.0</c:v>
                </c:pt>
                <c:pt idx="13">
                  <c:v>21.0</c:v>
                </c:pt>
                <c:pt idx="14">
                  <c:v>22.0</c:v>
                </c:pt>
                <c:pt idx="15">
                  <c:v>29.0</c:v>
                </c:pt>
                <c:pt idx="16">
                  <c:v>20.0</c:v>
                </c:pt>
                <c:pt idx="17">
                  <c:v>22.0</c:v>
                </c:pt>
                <c:pt idx="18">
                  <c:v>25.0</c:v>
                </c:pt>
                <c:pt idx="19">
                  <c:v>18.0</c:v>
                </c:pt>
                <c:pt idx="20">
                  <c:v>12.0</c:v>
                </c:pt>
                <c:pt idx="21">
                  <c:v>10.0</c:v>
                </c:pt>
                <c:pt idx="22">
                  <c:v>10.0</c:v>
                </c:pt>
                <c:pt idx="23">
                  <c:v>5.0</c:v>
                </c:pt>
                <c:pt idx="24">
                  <c:v>7.0</c:v>
                </c:pt>
                <c:pt idx="25">
                  <c:v>7.0</c:v>
                </c:pt>
                <c:pt idx="26">
                  <c:v>1.0</c:v>
                </c:pt>
                <c:pt idx="27">
                  <c:v>1.0</c:v>
                </c:pt>
                <c:pt idx="28">
                  <c:v>2.0</c:v>
                </c:pt>
                <c:pt idx="29">
                  <c:v>1.0</c:v>
                </c:pt>
              </c:numCache>
            </c:numRef>
          </c:val>
        </c:ser>
        <c:marker val="1"/>
        <c:axId val="117855368"/>
        <c:axId val="700919576"/>
      </c:lineChart>
      <c:catAx>
        <c:axId val="117855368"/>
        <c:scaling>
          <c:orientation val="minMax"/>
        </c:scaling>
        <c:axPos val="b"/>
        <c:numFmt formatCode="General" sourceLinked="1"/>
        <c:tickLblPos val="nextTo"/>
        <c:txPr>
          <a:bodyPr/>
          <a:lstStyle/>
          <a:p>
            <a:pPr>
              <a:defRPr lang="en-CA" sz="800"/>
            </a:pPr>
            <a:endParaRPr lang="en-US"/>
          </a:p>
        </c:txPr>
        <c:crossAx val="700919576"/>
        <c:crosses val="autoZero"/>
        <c:auto val="1"/>
        <c:lblAlgn val="ctr"/>
        <c:lblOffset val="100"/>
      </c:catAx>
      <c:valAx>
        <c:axId val="700919576"/>
        <c:scaling>
          <c:orientation val="minMax"/>
        </c:scaling>
        <c:axPos val="l"/>
        <c:majorGridlines/>
        <c:numFmt formatCode="General" sourceLinked="1"/>
        <c:tickLblPos val="nextTo"/>
        <c:txPr>
          <a:bodyPr/>
          <a:lstStyle/>
          <a:p>
            <a:pPr>
              <a:defRPr lang="en-CA" sz="900"/>
            </a:pPr>
            <a:endParaRPr lang="en-US"/>
          </a:p>
        </c:txPr>
        <c:crossAx val="117855368"/>
        <c:crosses val="autoZero"/>
        <c:crossBetween val="between"/>
      </c:valAx>
    </c:plotArea>
    <c:legend>
      <c:legendPos val="r"/>
      <c:layout>
        <c:manualLayout>
          <c:xMode val="edge"/>
          <c:yMode val="edge"/>
          <c:x val="0.62823278116157"/>
          <c:y val="0.0185185185185185"/>
          <c:w val="0.357696463782976"/>
          <c:h val="0.217113995328187"/>
        </c:manualLayout>
      </c:layout>
      <c:spPr>
        <a:solidFill>
          <a:sysClr val="window" lastClr="FFFFFF"/>
        </a:solidFill>
      </c:spPr>
      <c:txPr>
        <a:bodyPr/>
        <a:lstStyle/>
        <a:p>
          <a:pPr>
            <a:defRPr lang="en-CA" sz="900"/>
          </a:pPr>
          <a:endParaRPr lang="en-US"/>
        </a:p>
      </c:txPr>
    </c:legend>
    <c:plotVisOnly val="1"/>
  </c:chart>
  <c:externalData r:id="rId1"/>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manualLayout>
          <c:layoutTarget val="inner"/>
          <c:xMode val="edge"/>
          <c:yMode val="edge"/>
          <c:x val="0.0889778408723332"/>
          <c:y val="0.0514005540974045"/>
          <c:w val="0.850630950612819"/>
          <c:h val="0.799154650683378"/>
        </c:manualLayout>
      </c:layout>
      <c:lineChart>
        <c:grouping val="standard"/>
        <c:ser>
          <c:idx val="1"/>
          <c:order val="0"/>
          <c:tx>
            <c:strRef>
              <c:f>'14'!$B$3</c:f>
              <c:strCache>
                <c:ptCount val="1"/>
                <c:pt idx="0">
                  <c:v>Public Access (N=459)</c:v>
                </c:pt>
              </c:strCache>
            </c:strRef>
          </c:tx>
          <c:spPr>
            <a:ln>
              <a:solidFill>
                <a:srgbClr val="009900"/>
              </a:solidFill>
            </a:ln>
          </c:spPr>
          <c:marker>
            <c:symbol val="none"/>
          </c:marker>
          <c:cat>
            <c:numRef>
              <c:f>'14'!$A$14:$A$46</c:f>
              <c:numCache>
                <c:formatCode>General</c:formatCode>
                <c:ptCount val="33"/>
                <c:pt idx="0">
                  <c:v>-16.0</c:v>
                </c:pt>
                <c:pt idx="1">
                  <c:v>-15.0</c:v>
                </c:pt>
                <c:pt idx="2">
                  <c:v>-14.0</c:v>
                </c:pt>
                <c:pt idx="3">
                  <c:v>-13.0</c:v>
                </c:pt>
                <c:pt idx="4">
                  <c:v>-12.0</c:v>
                </c:pt>
                <c:pt idx="5">
                  <c:v>-11.0</c:v>
                </c:pt>
                <c:pt idx="6">
                  <c:v>-10.0</c:v>
                </c:pt>
                <c:pt idx="7">
                  <c:v>-9.0</c:v>
                </c:pt>
                <c:pt idx="8">
                  <c:v>-8.0</c:v>
                </c:pt>
                <c:pt idx="9">
                  <c:v>-7.0</c:v>
                </c:pt>
                <c:pt idx="10">
                  <c:v>-6.0</c:v>
                </c:pt>
                <c:pt idx="11">
                  <c:v>-5.0</c:v>
                </c:pt>
                <c:pt idx="12">
                  <c:v>-4.0</c:v>
                </c:pt>
                <c:pt idx="13">
                  <c:v>-3.0</c:v>
                </c:pt>
                <c:pt idx="14">
                  <c:v>-2.0</c:v>
                </c:pt>
                <c:pt idx="15">
                  <c:v>-1.0</c:v>
                </c:pt>
                <c:pt idx="16">
                  <c:v>0.0</c:v>
                </c:pt>
                <c:pt idx="17">
                  <c:v>1.0</c:v>
                </c:pt>
                <c:pt idx="18">
                  <c:v>2.0</c:v>
                </c:pt>
                <c:pt idx="19">
                  <c:v>3.0</c:v>
                </c:pt>
                <c:pt idx="20">
                  <c:v>4.0</c:v>
                </c:pt>
                <c:pt idx="21">
                  <c:v>5.0</c:v>
                </c:pt>
                <c:pt idx="22">
                  <c:v>6.0</c:v>
                </c:pt>
                <c:pt idx="23">
                  <c:v>7.0</c:v>
                </c:pt>
                <c:pt idx="24">
                  <c:v>8.0</c:v>
                </c:pt>
                <c:pt idx="25">
                  <c:v>9.0</c:v>
                </c:pt>
                <c:pt idx="26">
                  <c:v>10.0</c:v>
                </c:pt>
                <c:pt idx="27">
                  <c:v>11.0</c:v>
                </c:pt>
                <c:pt idx="28">
                  <c:v>12.0</c:v>
                </c:pt>
                <c:pt idx="29">
                  <c:v>13.0</c:v>
                </c:pt>
                <c:pt idx="30">
                  <c:v>14.0</c:v>
                </c:pt>
                <c:pt idx="31">
                  <c:v>15.0</c:v>
                </c:pt>
                <c:pt idx="32">
                  <c:v>16.0</c:v>
                </c:pt>
              </c:numCache>
            </c:numRef>
          </c:cat>
          <c:val>
            <c:numRef>
              <c:f>'14'!$B$14:$B$46</c:f>
              <c:numCache>
                <c:formatCode>General</c:formatCode>
                <c:ptCount val="33"/>
                <c:pt idx="0">
                  <c:v>1.0</c:v>
                </c:pt>
                <c:pt idx="1">
                  <c:v>5.0</c:v>
                </c:pt>
                <c:pt idx="2">
                  <c:v>1.0</c:v>
                </c:pt>
                <c:pt idx="3">
                  <c:v>2.0</c:v>
                </c:pt>
                <c:pt idx="4">
                  <c:v>3.0</c:v>
                </c:pt>
                <c:pt idx="5">
                  <c:v>2.0</c:v>
                </c:pt>
                <c:pt idx="6">
                  <c:v>6.0</c:v>
                </c:pt>
                <c:pt idx="7">
                  <c:v>11.0</c:v>
                </c:pt>
                <c:pt idx="8">
                  <c:v>6.0</c:v>
                </c:pt>
                <c:pt idx="9">
                  <c:v>12.0</c:v>
                </c:pt>
                <c:pt idx="10">
                  <c:v>16.0</c:v>
                </c:pt>
                <c:pt idx="11">
                  <c:v>24.0</c:v>
                </c:pt>
                <c:pt idx="12">
                  <c:v>36.0</c:v>
                </c:pt>
                <c:pt idx="13">
                  <c:v>31.0</c:v>
                </c:pt>
                <c:pt idx="14">
                  <c:v>57.0</c:v>
                </c:pt>
                <c:pt idx="15">
                  <c:v>60.0</c:v>
                </c:pt>
                <c:pt idx="16">
                  <c:v>50.0</c:v>
                </c:pt>
                <c:pt idx="17">
                  <c:v>28.0</c:v>
                </c:pt>
                <c:pt idx="18">
                  <c:v>21.0</c:v>
                </c:pt>
                <c:pt idx="19">
                  <c:v>19.0</c:v>
                </c:pt>
                <c:pt idx="20">
                  <c:v>10.0</c:v>
                </c:pt>
                <c:pt idx="21">
                  <c:v>8.0</c:v>
                </c:pt>
                <c:pt idx="22">
                  <c:v>10.0</c:v>
                </c:pt>
                <c:pt idx="23">
                  <c:v>9.0</c:v>
                </c:pt>
                <c:pt idx="24">
                  <c:v>2.0</c:v>
                </c:pt>
                <c:pt idx="25">
                  <c:v>2.0</c:v>
                </c:pt>
                <c:pt idx="26">
                  <c:v>8.0</c:v>
                </c:pt>
                <c:pt idx="27">
                  <c:v>2.0</c:v>
                </c:pt>
                <c:pt idx="28">
                  <c:v>3.0</c:v>
                </c:pt>
                <c:pt idx="29">
                  <c:v>1.0</c:v>
                </c:pt>
                <c:pt idx="30">
                  <c:v>2.0</c:v>
                </c:pt>
                <c:pt idx="31">
                  <c:v>3.0</c:v>
                </c:pt>
                <c:pt idx="32">
                  <c:v>4.0</c:v>
                </c:pt>
              </c:numCache>
            </c:numRef>
          </c:val>
        </c:ser>
        <c:ser>
          <c:idx val="2"/>
          <c:order val="1"/>
          <c:tx>
            <c:strRef>
              <c:f>'14'!$C$3</c:f>
              <c:strCache>
                <c:ptCount val="1"/>
                <c:pt idx="0">
                  <c:v>Restricted Access (N=736 )</c:v>
                </c:pt>
              </c:strCache>
            </c:strRef>
          </c:tx>
          <c:spPr>
            <a:ln>
              <a:solidFill>
                <a:srgbClr val="99FF66"/>
              </a:solidFill>
            </a:ln>
          </c:spPr>
          <c:marker>
            <c:symbol val="none"/>
          </c:marker>
          <c:cat>
            <c:numRef>
              <c:f>'14'!$A$14:$A$46</c:f>
              <c:numCache>
                <c:formatCode>General</c:formatCode>
                <c:ptCount val="33"/>
                <c:pt idx="0">
                  <c:v>-16.0</c:v>
                </c:pt>
                <c:pt idx="1">
                  <c:v>-15.0</c:v>
                </c:pt>
                <c:pt idx="2">
                  <c:v>-14.0</c:v>
                </c:pt>
                <c:pt idx="3">
                  <c:v>-13.0</c:v>
                </c:pt>
                <c:pt idx="4">
                  <c:v>-12.0</c:v>
                </c:pt>
                <c:pt idx="5">
                  <c:v>-11.0</c:v>
                </c:pt>
                <c:pt idx="6">
                  <c:v>-10.0</c:v>
                </c:pt>
                <c:pt idx="7">
                  <c:v>-9.0</c:v>
                </c:pt>
                <c:pt idx="8">
                  <c:v>-8.0</c:v>
                </c:pt>
                <c:pt idx="9">
                  <c:v>-7.0</c:v>
                </c:pt>
                <c:pt idx="10">
                  <c:v>-6.0</c:v>
                </c:pt>
                <c:pt idx="11">
                  <c:v>-5.0</c:v>
                </c:pt>
                <c:pt idx="12">
                  <c:v>-4.0</c:v>
                </c:pt>
                <c:pt idx="13">
                  <c:v>-3.0</c:v>
                </c:pt>
                <c:pt idx="14">
                  <c:v>-2.0</c:v>
                </c:pt>
                <c:pt idx="15">
                  <c:v>-1.0</c:v>
                </c:pt>
                <c:pt idx="16">
                  <c:v>0.0</c:v>
                </c:pt>
                <c:pt idx="17">
                  <c:v>1.0</c:v>
                </c:pt>
                <c:pt idx="18">
                  <c:v>2.0</c:v>
                </c:pt>
                <c:pt idx="19">
                  <c:v>3.0</c:v>
                </c:pt>
                <c:pt idx="20">
                  <c:v>4.0</c:v>
                </c:pt>
                <c:pt idx="21">
                  <c:v>5.0</c:v>
                </c:pt>
                <c:pt idx="22">
                  <c:v>6.0</c:v>
                </c:pt>
                <c:pt idx="23">
                  <c:v>7.0</c:v>
                </c:pt>
                <c:pt idx="24">
                  <c:v>8.0</c:v>
                </c:pt>
                <c:pt idx="25">
                  <c:v>9.0</c:v>
                </c:pt>
                <c:pt idx="26">
                  <c:v>10.0</c:v>
                </c:pt>
                <c:pt idx="27">
                  <c:v>11.0</c:v>
                </c:pt>
                <c:pt idx="28">
                  <c:v>12.0</c:v>
                </c:pt>
                <c:pt idx="29">
                  <c:v>13.0</c:v>
                </c:pt>
                <c:pt idx="30">
                  <c:v>14.0</c:v>
                </c:pt>
                <c:pt idx="31">
                  <c:v>15.0</c:v>
                </c:pt>
                <c:pt idx="32">
                  <c:v>16.0</c:v>
                </c:pt>
              </c:numCache>
            </c:numRef>
          </c:cat>
          <c:val>
            <c:numRef>
              <c:f>'14'!$C$14:$C$46</c:f>
              <c:numCache>
                <c:formatCode>General</c:formatCode>
                <c:ptCount val="33"/>
                <c:pt idx="0">
                  <c:v>3.0</c:v>
                </c:pt>
                <c:pt idx="1">
                  <c:v>1.0</c:v>
                </c:pt>
                <c:pt idx="2">
                  <c:v>4.0</c:v>
                </c:pt>
                <c:pt idx="3">
                  <c:v>2.0</c:v>
                </c:pt>
                <c:pt idx="4">
                  <c:v>6.0</c:v>
                </c:pt>
                <c:pt idx="5">
                  <c:v>11.0</c:v>
                </c:pt>
                <c:pt idx="6">
                  <c:v>16.0</c:v>
                </c:pt>
                <c:pt idx="7">
                  <c:v>10.0</c:v>
                </c:pt>
                <c:pt idx="8">
                  <c:v>9.0</c:v>
                </c:pt>
                <c:pt idx="9">
                  <c:v>16.0</c:v>
                </c:pt>
                <c:pt idx="10">
                  <c:v>28.0</c:v>
                </c:pt>
                <c:pt idx="11">
                  <c:v>25.0</c:v>
                </c:pt>
                <c:pt idx="12">
                  <c:v>57.0</c:v>
                </c:pt>
                <c:pt idx="13">
                  <c:v>73.0</c:v>
                </c:pt>
                <c:pt idx="14">
                  <c:v>85.0</c:v>
                </c:pt>
                <c:pt idx="15">
                  <c:v>102.0</c:v>
                </c:pt>
                <c:pt idx="16">
                  <c:v>80.0</c:v>
                </c:pt>
                <c:pt idx="17">
                  <c:v>59.0</c:v>
                </c:pt>
                <c:pt idx="18">
                  <c:v>30.0</c:v>
                </c:pt>
                <c:pt idx="19">
                  <c:v>23.0</c:v>
                </c:pt>
                <c:pt idx="20">
                  <c:v>12.0</c:v>
                </c:pt>
                <c:pt idx="21">
                  <c:v>16.0</c:v>
                </c:pt>
                <c:pt idx="22">
                  <c:v>14.0</c:v>
                </c:pt>
                <c:pt idx="23">
                  <c:v>10.0</c:v>
                </c:pt>
                <c:pt idx="24">
                  <c:v>6.0</c:v>
                </c:pt>
                <c:pt idx="25">
                  <c:v>4.0</c:v>
                </c:pt>
                <c:pt idx="26">
                  <c:v>3.0</c:v>
                </c:pt>
                <c:pt idx="27">
                  <c:v>2.0</c:v>
                </c:pt>
                <c:pt idx="28">
                  <c:v>5.0</c:v>
                </c:pt>
                <c:pt idx="29">
                  <c:v>2.0</c:v>
                </c:pt>
                <c:pt idx="31">
                  <c:v>5.0</c:v>
                </c:pt>
              </c:numCache>
            </c:numRef>
          </c:val>
        </c:ser>
        <c:marker val="1"/>
        <c:axId val="354596904"/>
        <c:axId val="355332040"/>
      </c:lineChart>
      <c:catAx>
        <c:axId val="354596904"/>
        <c:scaling>
          <c:orientation val="minMax"/>
        </c:scaling>
        <c:axPos val="b"/>
        <c:numFmt formatCode="General" sourceLinked="1"/>
        <c:tickLblPos val="nextTo"/>
        <c:txPr>
          <a:bodyPr/>
          <a:lstStyle/>
          <a:p>
            <a:pPr>
              <a:defRPr lang="en-CA" sz="800"/>
            </a:pPr>
            <a:endParaRPr lang="en-US"/>
          </a:p>
        </c:txPr>
        <c:crossAx val="355332040"/>
        <c:crosses val="autoZero"/>
        <c:auto val="1"/>
        <c:lblAlgn val="ctr"/>
        <c:lblOffset val="100"/>
      </c:catAx>
      <c:valAx>
        <c:axId val="355332040"/>
        <c:scaling>
          <c:orientation val="minMax"/>
        </c:scaling>
        <c:axPos val="l"/>
        <c:majorGridlines/>
        <c:numFmt formatCode="General" sourceLinked="1"/>
        <c:tickLblPos val="nextTo"/>
        <c:txPr>
          <a:bodyPr/>
          <a:lstStyle/>
          <a:p>
            <a:pPr>
              <a:defRPr lang="en-CA" sz="900"/>
            </a:pPr>
            <a:endParaRPr lang="en-US"/>
          </a:p>
        </c:txPr>
        <c:crossAx val="354596904"/>
        <c:crosses val="autoZero"/>
        <c:crossBetween val="between"/>
      </c:valAx>
    </c:plotArea>
    <c:legend>
      <c:legendPos val="r"/>
      <c:layout>
        <c:manualLayout>
          <c:xMode val="edge"/>
          <c:yMode val="edge"/>
          <c:x val="0.611796637942943"/>
          <c:y val="0.0223804316127151"/>
          <c:w val="0.33254697972191"/>
          <c:h val="0.279313210848645"/>
        </c:manualLayout>
      </c:layout>
      <c:spPr>
        <a:solidFill>
          <a:sysClr val="window" lastClr="FFFFFF"/>
        </a:solidFill>
      </c:spPr>
      <c:txPr>
        <a:bodyPr/>
        <a:lstStyle/>
        <a:p>
          <a:pPr>
            <a:defRPr lang="en-CA" sz="900"/>
          </a:pPr>
          <a:endParaRPr lang="en-US"/>
        </a:p>
      </c:txPr>
    </c:legend>
    <c:plotVisOnly val="1"/>
  </c:chart>
  <c:externalData r:id="rId1"/>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manualLayout>
          <c:layoutTarget val="inner"/>
          <c:xMode val="edge"/>
          <c:yMode val="edge"/>
          <c:x val="0.0903081721521571"/>
          <c:y val="0.0514005540974045"/>
          <c:w val="0.839802053995049"/>
          <c:h val="0.751971088604046"/>
        </c:manualLayout>
      </c:layout>
      <c:lineChart>
        <c:grouping val="standard"/>
        <c:ser>
          <c:idx val="0"/>
          <c:order val="0"/>
          <c:tx>
            <c:strRef>
              <c:f>'15'!$B$2</c:f>
              <c:strCache>
                <c:ptCount val="1"/>
                <c:pt idx="0">
                  <c:v>Public Access (N=126)</c:v>
                </c:pt>
              </c:strCache>
            </c:strRef>
          </c:tx>
          <c:spPr>
            <a:ln>
              <a:solidFill>
                <a:srgbClr val="009900"/>
              </a:solidFill>
            </a:ln>
          </c:spPr>
          <c:marker>
            <c:symbol val="none"/>
          </c:marker>
          <c:cat>
            <c:numRef>
              <c:f>'15'!$A$3:$A$31</c:f>
              <c:numCache>
                <c:formatCode>General</c:formatCode>
                <c:ptCount val="29"/>
                <c:pt idx="0">
                  <c:v>-16.0</c:v>
                </c:pt>
                <c:pt idx="1">
                  <c:v>-15.0</c:v>
                </c:pt>
                <c:pt idx="2">
                  <c:v>-14.0</c:v>
                </c:pt>
                <c:pt idx="3">
                  <c:v>-13.0</c:v>
                </c:pt>
                <c:pt idx="4">
                  <c:v>-12.0</c:v>
                </c:pt>
                <c:pt idx="5">
                  <c:v>-11.0</c:v>
                </c:pt>
                <c:pt idx="6">
                  <c:v>-10.0</c:v>
                </c:pt>
                <c:pt idx="7">
                  <c:v>-9.0</c:v>
                </c:pt>
                <c:pt idx="8">
                  <c:v>-7.0</c:v>
                </c:pt>
                <c:pt idx="9">
                  <c:v>-6.0</c:v>
                </c:pt>
                <c:pt idx="10">
                  <c:v>-5.0</c:v>
                </c:pt>
                <c:pt idx="11">
                  <c:v>-4.0</c:v>
                </c:pt>
                <c:pt idx="12">
                  <c:v>-3.0</c:v>
                </c:pt>
                <c:pt idx="13">
                  <c:v>-2.0</c:v>
                </c:pt>
                <c:pt idx="14">
                  <c:v>-1.0</c:v>
                </c:pt>
                <c:pt idx="15">
                  <c:v>0.0</c:v>
                </c:pt>
                <c:pt idx="16">
                  <c:v>1.0</c:v>
                </c:pt>
                <c:pt idx="17">
                  <c:v>2.0</c:v>
                </c:pt>
                <c:pt idx="18">
                  <c:v>3.0</c:v>
                </c:pt>
                <c:pt idx="19">
                  <c:v>4.0</c:v>
                </c:pt>
                <c:pt idx="20">
                  <c:v>5.0</c:v>
                </c:pt>
                <c:pt idx="21">
                  <c:v>6.0</c:v>
                </c:pt>
                <c:pt idx="22">
                  <c:v>7.0</c:v>
                </c:pt>
                <c:pt idx="23">
                  <c:v>8.0</c:v>
                </c:pt>
                <c:pt idx="24">
                  <c:v>10.0</c:v>
                </c:pt>
                <c:pt idx="25">
                  <c:v>11.0</c:v>
                </c:pt>
                <c:pt idx="26">
                  <c:v>12.0</c:v>
                </c:pt>
                <c:pt idx="27">
                  <c:v>15.0</c:v>
                </c:pt>
                <c:pt idx="28">
                  <c:v>16.0</c:v>
                </c:pt>
              </c:numCache>
            </c:numRef>
          </c:cat>
          <c:val>
            <c:numRef>
              <c:f>'15'!$B$3:$B$31</c:f>
              <c:numCache>
                <c:formatCode>General</c:formatCode>
                <c:ptCount val="29"/>
                <c:pt idx="6">
                  <c:v>1.0</c:v>
                </c:pt>
                <c:pt idx="7">
                  <c:v>1.0</c:v>
                </c:pt>
                <c:pt idx="8">
                  <c:v>2.0</c:v>
                </c:pt>
                <c:pt idx="9">
                  <c:v>2.0</c:v>
                </c:pt>
                <c:pt idx="10">
                  <c:v>1.0</c:v>
                </c:pt>
                <c:pt idx="11">
                  <c:v>1.0</c:v>
                </c:pt>
                <c:pt idx="12">
                  <c:v>2.0</c:v>
                </c:pt>
                <c:pt idx="13">
                  <c:v>3.0</c:v>
                </c:pt>
                <c:pt idx="14">
                  <c:v>14.0</c:v>
                </c:pt>
                <c:pt idx="15">
                  <c:v>21.0</c:v>
                </c:pt>
                <c:pt idx="16">
                  <c:v>14.0</c:v>
                </c:pt>
                <c:pt idx="17">
                  <c:v>15.0</c:v>
                </c:pt>
                <c:pt idx="18">
                  <c:v>16.0</c:v>
                </c:pt>
                <c:pt idx="19">
                  <c:v>15.0</c:v>
                </c:pt>
                <c:pt idx="20">
                  <c:v>5.0</c:v>
                </c:pt>
                <c:pt idx="21">
                  <c:v>1.0</c:v>
                </c:pt>
                <c:pt idx="22">
                  <c:v>6.0</c:v>
                </c:pt>
                <c:pt idx="23">
                  <c:v>2.0</c:v>
                </c:pt>
                <c:pt idx="24">
                  <c:v>1.0</c:v>
                </c:pt>
                <c:pt idx="25">
                  <c:v>1.0</c:v>
                </c:pt>
                <c:pt idx="26">
                  <c:v>1.0</c:v>
                </c:pt>
                <c:pt idx="27">
                  <c:v>1.0</c:v>
                </c:pt>
              </c:numCache>
            </c:numRef>
          </c:val>
        </c:ser>
        <c:ser>
          <c:idx val="1"/>
          <c:order val="1"/>
          <c:tx>
            <c:strRef>
              <c:f>'15'!$C$2</c:f>
              <c:strCache>
                <c:ptCount val="1"/>
                <c:pt idx="0">
                  <c:v>Restricted Access (N=32)</c:v>
                </c:pt>
              </c:strCache>
            </c:strRef>
          </c:tx>
          <c:spPr>
            <a:ln>
              <a:solidFill>
                <a:srgbClr val="99FF66"/>
              </a:solidFill>
            </a:ln>
          </c:spPr>
          <c:marker>
            <c:symbol val="none"/>
          </c:marker>
          <c:cat>
            <c:numRef>
              <c:f>'15'!$A$3:$A$31</c:f>
              <c:numCache>
                <c:formatCode>General</c:formatCode>
                <c:ptCount val="29"/>
                <c:pt idx="0">
                  <c:v>-16.0</c:v>
                </c:pt>
                <c:pt idx="1">
                  <c:v>-15.0</c:v>
                </c:pt>
                <c:pt idx="2">
                  <c:v>-14.0</c:v>
                </c:pt>
                <c:pt idx="3">
                  <c:v>-13.0</c:v>
                </c:pt>
                <c:pt idx="4">
                  <c:v>-12.0</c:v>
                </c:pt>
                <c:pt idx="5">
                  <c:v>-11.0</c:v>
                </c:pt>
                <c:pt idx="6">
                  <c:v>-10.0</c:v>
                </c:pt>
                <c:pt idx="7">
                  <c:v>-9.0</c:v>
                </c:pt>
                <c:pt idx="8">
                  <c:v>-7.0</c:v>
                </c:pt>
                <c:pt idx="9">
                  <c:v>-6.0</c:v>
                </c:pt>
                <c:pt idx="10">
                  <c:v>-5.0</c:v>
                </c:pt>
                <c:pt idx="11">
                  <c:v>-4.0</c:v>
                </c:pt>
                <c:pt idx="12">
                  <c:v>-3.0</c:v>
                </c:pt>
                <c:pt idx="13">
                  <c:v>-2.0</c:v>
                </c:pt>
                <c:pt idx="14">
                  <c:v>-1.0</c:v>
                </c:pt>
                <c:pt idx="15">
                  <c:v>0.0</c:v>
                </c:pt>
                <c:pt idx="16">
                  <c:v>1.0</c:v>
                </c:pt>
                <c:pt idx="17">
                  <c:v>2.0</c:v>
                </c:pt>
                <c:pt idx="18">
                  <c:v>3.0</c:v>
                </c:pt>
                <c:pt idx="19">
                  <c:v>4.0</c:v>
                </c:pt>
                <c:pt idx="20">
                  <c:v>5.0</c:v>
                </c:pt>
                <c:pt idx="21">
                  <c:v>6.0</c:v>
                </c:pt>
                <c:pt idx="22">
                  <c:v>7.0</c:v>
                </c:pt>
                <c:pt idx="23">
                  <c:v>8.0</c:v>
                </c:pt>
                <c:pt idx="24">
                  <c:v>10.0</c:v>
                </c:pt>
                <c:pt idx="25">
                  <c:v>11.0</c:v>
                </c:pt>
                <c:pt idx="26">
                  <c:v>12.0</c:v>
                </c:pt>
                <c:pt idx="27">
                  <c:v>15.0</c:v>
                </c:pt>
                <c:pt idx="28">
                  <c:v>16.0</c:v>
                </c:pt>
              </c:numCache>
            </c:numRef>
          </c:cat>
          <c:val>
            <c:numRef>
              <c:f>'15'!$C$3:$C$31</c:f>
              <c:numCache>
                <c:formatCode>General</c:formatCode>
                <c:ptCount val="29"/>
                <c:pt idx="10">
                  <c:v>1.0</c:v>
                </c:pt>
                <c:pt idx="13">
                  <c:v>1.0</c:v>
                </c:pt>
                <c:pt idx="14">
                  <c:v>5.0</c:v>
                </c:pt>
                <c:pt idx="15">
                  <c:v>2.0</c:v>
                </c:pt>
                <c:pt idx="16">
                  <c:v>7.0</c:v>
                </c:pt>
                <c:pt idx="17">
                  <c:v>1.0</c:v>
                </c:pt>
                <c:pt idx="18">
                  <c:v>4.0</c:v>
                </c:pt>
                <c:pt idx="20">
                  <c:v>3.0</c:v>
                </c:pt>
                <c:pt idx="21">
                  <c:v>3.0</c:v>
                </c:pt>
                <c:pt idx="22">
                  <c:v>1.0</c:v>
                </c:pt>
                <c:pt idx="23">
                  <c:v>2.0</c:v>
                </c:pt>
                <c:pt idx="24">
                  <c:v>1.0</c:v>
                </c:pt>
              </c:numCache>
            </c:numRef>
          </c:val>
        </c:ser>
        <c:marker val="1"/>
        <c:axId val="701133560"/>
        <c:axId val="701115864"/>
      </c:lineChart>
      <c:catAx>
        <c:axId val="701133560"/>
        <c:scaling>
          <c:orientation val="minMax"/>
        </c:scaling>
        <c:axPos val="b"/>
        <c:numFmt formatCode="General" sourceLinked="1"/>
        <c:tickLblPos val="nextTo"/>
        <c:txPr>
          <a:bodyPr/>
          <a:lstStyle/>
          <a:p>
            <a:pPr>
              <a:defRPr lang="en-CA" sz="800"/>
            </a:pPr>
            <a:endParaRPr lang="en-US"/>
          </a:p>
        </c:txPr>
        <c:crossAx val="701115864"/>
        <c:crosses val="autoZero"/>
        <c:auto val="1"/>
        <c:lblAlgn val="ctr"/>
        <c:lblOffset val="100"/>
      </c:catAx>
      <c:valAx>
        <c:axId val="701115864"/>
        <c:scaling>
          <c:orientation val="minMax"/>
        </c:scaling>
        <c:axPos val="l"/>
        <c:majorGridlines/>
        <c:numFmt formatCode="General" sourceLinked="1"/>
        <c:tickLblPos val="nextTo"/>
        <c:txPr>
          <a:bodyPr/>
          <a:lstStyle/>
          <a:p>
            <a:pPr>
              <a:defRPr lang="en-CA" sz="900"/>
            </a:pPr>
            <a:endParaRPr lang="en-US"/>
          </a:p>
        </c:txPr>
        <c:crossAx val="701133560"/>
        <c:crosses val="autoZero"/>
        <c:crossBetween val="between"/>
      </c:valAx>
    </c:plotArea>
    <c:legend>
      <c:legendPos val="r"/>
      <c:layout>
        <c:manualLayout>
          <c:xMode val="edge"/>
          <c:yMode val="edge"/>
          <c:x val="0.664180648053574"/>
          <c:y val="0.0875791046952465"/>
          <c:w val="0.302844266499981"/>
          <c:h val="0.257470148072897"/>
        </c:manualLayout>
      </c:layout>
      <c:spPr>
        <a:solidFill>
          <a:sysClr val="window" lastClr="FFFFFF"/>
        </a:solidFill>
      </c:spPr>
      <c:txPr>
        <a:bodyPr/>
        <a:lstStyle/>
        <a:p>
          <a:pPr>
            <a:defRPr lang="en-CA" sz="900"/>
          </a:pPr>
          <a:endParaRPr lang="en-US"/>
        </a:p>
      </c:txPr>
    </c:legend>
    <c:plotVisOnly val="1"/>
  </c:chart>
  <c:externalData r:id="rId1"/>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manualLayout>
          <c:layoutTarget val="inner"/>
          <c:xMode val="edge"/>
          <c:yMode val="edge"/>
          <c:x val="0.102768049516199"/>
          <c:y val="0.0421455938697318"/>
          <c:w val="0.837281701727582"/>
          <c:h val="0.799456964431169"/>
        </c:manualLayout>
      </c:layout>
      <c:lineChart>
        <c:grouping val="standard"/>
        <c:ser>
          <c:idx val="1"/>
          <c:order val="0"/>
          <c:tx>
            <c:strRef>
              <c:f>'17'!$B$2</c:f>
              <c:strCache>
                <c:ptCount val="1"/>
                <c:pt idx="0">
                  <c:v>Public Access (N=86)</c:v>
                </c:pt>
              </c:strCache>
            </c:strRef>
          </c:tx>
          <c:spPr>
            <a:ln>
              <a:solidFill>
                <a:srgbClr val="009900"/>
              </a:solidFill>
            </a:ln>
          </c:spPr>
          <c:marker>
            <c:symbol val="none"/>
          </c:marker>
          <c:cat>
            <c:numRef>
              <c:f>'17'!$A$10:$A$40</c:f>
              <c:numCache>
                <c:formatCode>General</c:formatCode>
                <c:ptCount val="31"/>
                <c:pt idx="0">
                  <c:v>-16.0</c:v>
                </c:pt>
                <c:pt idx="1">
                  <c:v>-14.0</c:v>
                </c:pt>
                <c:pt idx="2">
                  <c:v>-13.0</c:v>
                </c:pt>
                <c:pt idx="3">
                  <c:v>-12.0</c:v>
                </c:pt>
                <c:pt idx="4">
                  <c:v>-11.0</c:v>
                </c:pt>
                <c:pt idx="5">
                  <c:v>-10.0</c:v>
                </c:pt>
                <c:pt idx="6">
                  <c:v>-9.0</c:v>
                </c:pt>
                <c:pt idx="7">
                  <c:v>-8.0</c:v>
                </c:pt>
                <c:pt idx="8">
                  <c:v>-7.0</c:v>
                </c:pt>
                <c:pt idx="9">
                  <c:v>-6.0</c:v>
                </c:pt>
                <c:pt idx="10">
                  <c:v>-5.0</c:v>
                </c:pt>
                <c:pt idx="11">
                  <c:v>-4.0</c:v>
                </c:pt>
                <c:pt idx="12">
                  <c:v>-3.0</c:v>
                </c:pt>
                <c:pt idx="13">
                  <c:v>-2.0</c:v>
                </c:pt>
                <c:pt idx="14">
                  <c:v>-1.0</c:v>
                </c:pt>
                <c:pt idx="15">
                  <c:v>0.0</c:v>
                </c:pt>
                <c:pt idx="16">
                  <c:v>1.0</c:v>
                </c:pt>
                <c:pt idx="17">
                  <c:v>2.0</c:v>
                </c:pt>
                <c:pt idx="18">
                  <c:v>3.0</c:v>
                </c:pt>
                <c:pt idx="19">
                  <c:v>4.0</c:v>
                </c:pt>
                <c:pt idx="20">
                  <c:v>5.0</c:v>
                </c:pt>
                <c:pt idx="21">
                  <c:v>6.0</c:v>
                </c:pt>
                <c:pt idx="22">
                  <c:v>7.0</c:v>
                </c:pt>
                <c:pt idx="23">
                  <c:v>8.0</c:v>
                </c:pt>
                <c:pt idx="24">
                  <c:v>9.0</c:v>
                </c:pt>
                <c:pt idx="25">
                  <c:v>10.0</c:v>
                </c:pt>
                <c:pt idx="26">
                  <c:v>11.0</c:v>
                </c:pt>
                <c:pt idx="27">
                  <c:v>12.0</c:v>
                </c:pt>
                <c:pt idx="28">
                  <c:v>14.0</c:v>
                </c:pt>
                <c:pt idx="29">
                  <c:v>15.0</c:v>
                </c:pt>
                <c:pt idx="30">
                  <c:v>16.0</c:v>
                </c:pt>
              </c:numCache>
            </c:numRef>
          </c:cat>
          <c:val>
            <c:numRef>
              <c:f>'17'!$B$10:$B$40</c:f>
              <c:numCache>
                <c:formatCode>General</c:formatCode>
                <c:ptCount val="31"/>
                <c:pt idx="2">
                  <c:v>3.0</c:v>
                </c:pt>
                <c:pt idx="3">
                  <c:v>1.0</c:v>
                </c:pt>
                <c:pt idx="4">
                  <c:v>1.0</c:v>
                </c:pt>
                <c:pt idx="5">
                  <c:v>1.0</c:v>
                </c:pt>
                <c:pt idx="6">
                  <c:v>1.0</c:v>
                </c:pt>
                <c:pt idx="7">
                  <c:v>2.0</c:v>
                </c:pt>
                <c:pt idx="8">
                  <c:v>1.0</c:v>
                </c:pt>
                <c:pt idx="9">
                  <c:v>2.0</c:v>
                </c:pt>
                <c:pt idx="10">
                  <c:v>2.0</c:v>
                </c:pt>
                <c:pt idx="11">
                  <c:v>4.0</c:v>
                </c:pt>
                <c:pt idx="12">
                  <c:v>4.0</c:v>
                </c:pt>
                <c:pt idx="13">
                  <c:v>5.0</c:v>
                </c:pt>
                <c:pt idx="14">
                  <c:v>4.0</c:v>
                </c:pt>
                <c:pt idx="15">
                  <c:v>4.0</c:v>
                </c:pt>
                <c:pt idx="16">
                  <c:v>15.0</c:v>
                </c:pt>
                <c:pt idx="17">
                  <c:v>8.0</c:v>
                </c:pt>
                <c:pt idx="18">
                  <c:v>7.0</c:v>
                </c:pt>
                <c:pt idx="19">
                  <c:v>5.0</c:v>
                </c:pt>
                <c:pt idx="20">
                  <c:v>4.0</c:v>
                </c:pt>
                <c:pt idx="21">
                  <c:v>5.0</c:v>
                </c:pt>
                <c:pt idx="22">
                  <c:v>1.0</c:v>
                </c:pt>
                <c:pt idx="23">
                  <c:v>1.0</c:v>
                </c:pt>
                <c:pt idx="24">
                  <c:v>2.0</c:v>
                </c:pt>
                <c:pt idx="26">
                  <c:v>1.0</c:v>
                </c:pt>
                <c:pt idx="27">
                  <c:v>1.0</c:v>
                </c:pt>
                <c:pt idx="28">
                  <c:v>1.0</c:v>
                </c:pt>
              </c:numCache>
            </c:numRef>
          </c:val>
        </c:ser>
        <c:ser>
          <c:idx val="2"/>
          <c:order val="1"/>
          <c:tx>
            <c:strRef>
              <c:f>'17'!$C$2</c:f>
              <c:strCache>
                <c:ptCount val="1"/>
                <c:pt idx="0">
                  <c:v>Restricted Access (N=1)</c:v>
                </c:pt>
              </c:strCache>
            </c:strRef>
          </c:tx>
          <c:spPr>
            <a:ln>
              <a:solidFill>
                <a:srgbClr val="99FF66"/>
              </a:solidFill>
            </a:ln>
          </c:spPr>
          <c:marker>
            <c:symbol val="none"/>
          </c:marker>
          <c:cat>
            <c:numRef>
              <c:f>'17'!$A$10:$A$40</c:f>
              <c:numCache>
                <c:formatCode>General</c:formatCode>
                <c:ptCount val="31"/>
                <c:pt idx="0">
                  <c:v>-16.0</c:v>
                </c:pt>
                <c:pt idx="1">
                  <c:v>-14.0</c:v>
                </c:pt>
                <c:pt idx="2">
                  <c:v>-13.0</c:v>
                </c:pt>
                <c:pt idx="3">
                  <c:v>-12.0</c:v>
                </c:pt>
                <c:pt idx="4">
                  <c:v>-11.0</c:v>
                </c:pt>
                <c:pt idx="5">
                  <c:v>-10.0</c:v>
                </c:pt>
                <c:pt idx="6">
                  <c:v>-9.0</c:v>
                </c:pt>
                <c:pt idx="7">
                  <c:v>-8.0</c:v>
                </c:pt>
                <c:pt idx="8">
                  <c:v>-7.0</c:v>
                </c:pt>
                <c:pt idx="9">
                  <c:v>-6.0</c:v>
                </c:pt>
                <c:pt idx="10">
                  <c:v>-5.0</c:v>
                </c:pt>
                <c:pt idx="11">
                  <c:v>-4.0</c:v>
                </c:pt>
                <c:pt idx="12">
                  <c:v>-3.0</c:v>
                </c:pt>
                <c:pt idx="13">
                  <c:v>-2.0</c:v>
                </c:pt>
                <c:pt idx="14">
                  <c:v>-1.0</c:v>
                </c:pt>
                <c:pt idx="15">
                  <c:v>0.0</c:v>
                </c:pt>
                <c:pt idx="16">
                  <c:v>1.0</c:v>
                </c:pt>
                <c:pt idx="17">
                  <c:v>2.0</c:v>
                </c:pt>
                <c:pt idx="18">
                  <c:v>3.0</c:v>
                </c:pt>
                <c:pt idx="19">
                  <c:v>4.0</c:v>
                </c:pt>
                <c:pt idx="20">
                  <c:v>5.0</c:v>
                </c:pt>
                <c:pt idx="21">
                  <c:v>6.0</c:v>
                </c:pt>
                <c:pt idx="22">
                  <c:v>7.0</c:v>
                </c:pt>
                <c:pt idx="23">
                  <c:v>8.0</c:v>
                </c:pt>
                <c:pt idx="24">
                  <c:v>9.0</c:v>
                </c:pt>
                <c:pt idx="25">
                  <c:v>10.0</c:v>
                </c:pt>
                <c:pt idx="26">
                  <c:v>11.0</c:v>
                </c:pt>
                <c:pt idx="27">
                  <c:v>12.0</c:v>
                </c:pt>
                <c:pt idx="28">
                  <c:v>14.0</c:v>
                </c:pt>
                <c:pt idx="29">
                  <c:v>15.0</c:v>
                </c:pt>
                <c:pt idx="30">
                  <c:v>16.0</c:v>
                </c:pt>
              </c:numCache>
            </c:numRef>
          </c:cat>
          <c:val>
            <c:numRef>
              <c:f>'17'!$C$10:$C$40</c:f>
              <c:numCache>
                <c:formatCode>General</c:formatCode>
                <c:ptCount val="31"/>
                <c:pt idx="4">
                  <c:v>1.0</c:v>
                </c:pt>
              </c:numCache>
            </c:numRef>
          </c:val>
        </c:ser>
        <c:marker val="1"/>
        <c:axId val="354620120"/>
        <c:axId val="700602600"/>
      </c:lineChart>
      <c:catAx>
        <c:axId val="354620120"/>
        <c:scaling>
          <c:orientation val="minMax"/>
        </c:scaling>
        <c:axPos val="b"/>
        <c:numFmt formatCode="General" sourceLinked="1"/>
        <c:tickLblPos val="nextTo"/>
        <c:txPr>
          <a:bodyPr/>
          <a:lstStyle/>
          <a:p>
            <a:pPr>
              <a:defRPr lang="en-CA" sz="800"/>
            </a:pPr>
            <a:endParaRPr lang="en-US"/>
          </a:p>
        </c:txPr>
        <c:crossAx val="700602600"/>
        <c:crosses val="autoZero"/>
        <c:auto val="1"/>
        <c:lblAlgn val="ctr"/>
        <c:lblOffset val="100"/>
      </c:catAx>
      <c:valAx>
        <c:axId val="700602600"/>
        <c:scaling>
          <c:orientation val="minMax"/>
        </c:scaling>
        <c:axPos val="l"/>
        <c:majorGridlines/>
        <c:numFmt formatCode="General" sourceLinked="1"/>
        <c:tickLblPos val="nextTo"/>
        <c:txPr>
          <a:bodyPr/>
          <a:lstStyle/>
          <a:p>
            <a:pPr>
              <a:defRPr lang="en-CA" sz="900"/>
            </a:pPr>
            <a:endParaRPr lang="en-US"/>
          </a:p>
        </c:txPr>
        <c:crossAx val="354620120"/>
        <c:crosses val="autoZero"/>
        <c:crossBetween val="between"/>
      </c:valAx>
    </c:plotArea>
    <c:legend>
      <c:legendPos val="r"/>
      <c:layout>
        <c:manualLayout>
          <c:xMode val="edge"/>
          <c:yMode val="edge"/>
          <c:x val="0.693608377077866"/>
          <c:y val="0.101885099198402"/>
          <c:w val="0.265345764071158"/>
          <c:h val="0.25019342801081"/>
        </c:manualLayout>
      </c:layout>
      <c:spPr>
        <a:solidFill>
          <a:sysClr val="window" lastClr="FFFFFF"/>
        </a:solidFill>
      </c:spPr>
      <c:txPr>
        <a:bodyPr/>
        <a:lstStyle/>
        <a:p>
          <a:pPr>
            <a:defRPr lang="en-CA" sz="900"/>
          </a:pPr>
          <a:endParaRPr lang="en-US"/>
        </a:p>
      </c:txPr>
    </c:legend>
    <c:plotVisOnly val="1"/>
  </c:chart>
  <c:externalData r:id="rId1"/>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manualLayout>
          <c:layoutTarget val="inner"/>
          <c:xMode val="edge"/>
          <c:yMode val="edge"/>
          <c:x val="0.139857349669856"/>
          <c:y val="0.117204292233044"/>
          <c:w val="0.48713275190377"/>
          <c:h val="0.810349492839692"/>
        </c:manualLayout>
      </c:layout>
      <c:pieChart>
        <c:varyColors val="1"/>
        <c:ser>
          <c:idx val="0"/>
          <c:order val="0"/>
          <c:dPt>
            <c:idx val="0"/>
            <c:spPr>
              <a:solidFill>
                <a:srgbClr val="00B050"/>
              </a:solidFill>
            </c:spPr>
          </c:dPt>
          <c:dPt>
            <c:idx val="2"/>
            <c:spPr>
              <a:solidFill>
                <a:schemeClr val="bg2">
                  <a:lumMod val="50000"/>
                </a:schemeClr>
              </a:solidFill>
            </c:spPr>
          </c:dPt>
          <c:dPt>
            <c:idx val="8"/>
            <c:spPr>
              <a:solidFill>
                <a:schemeClr val="bg2">
                  <a:lumMod val="90000"/>
                </a:schemeClr>
              </a:solidFill>
            </c:spPr>
          </c:dPt>
          <c:dLbls>
            <c:dLbl>
              <c:idx val="8"/>
              <c:delete val="1"/>
            </c:dLbl>
            <c:dLbl>
              <c:idx val="9"/>
              <c:delete val="1"/>
            </c:dLbl>
            <c:dLbl>
              <c:idx val="10"/>
              <c:delete val="1"/>
            </c:dLbl>
            <c:dLbl>
              <c:idx val="11"/>
              <c:delete val="1"/>
            </c:dLbl>
            <c:dLbl>
              <c:idx val="12"/>
              <c:delete val="1"/>
            </c:dLbl>
            <c:dLbl>
              <c:idx val="13"/>
              <c:delete val="1"/>
            </c:dLbl>
            <c:dLbl>
              <c:idx val="14"/>
              <c:delete val="1"/>
            </c:dLbl>
            <c:txPr>
              <a:bodyPr/>
              <a:lstStyle/>
              <a:p>
                <a:pPr>
                  <a:defRPr lang="en-CA"/>
                </a:pPr>
                <a:endParaRPr lang="en-US"/>
              </a:p>
            </c:txPr>
            <c:showVal val="1"/>
            <c:showLeaderLines val="1"/>
          </c:dLbls>
          <c:cat>
            <c:strRef>
              <c:f>Minho_IR_2!$A$8:$A$22</c:f>
              <c:strCache>
                <c:ptCount val="15"/>
                <c:pt idx="0">
                  <c:v>Article</c:v>
                </c:pt>
                <c:pt idx="1">
                  <c:v>Conference</c:v>
                </c:pt>
                <c:pt idx="2">
                  <c:v>Mast. Thesis</c:v>
                </c:pt>
                <c:pt idx="3">
                  <c:v>Doc. Thesis</c:v>
                </c:pt>
                <c:pt idx="4">
                  <c:v>Book Part</c:v>
                </c:pt>
                <c:pt idx="5">
                  <c:v>Bach. Thesis</c:v>
                </c:pt>
                <c:pt idx="6">
                  <c:v>Working Pap.</c:v>
                </c:pt>
                <c:pt idx="7">
                  <c:v>Other</c:v>
                </c:pt>
                <c:pt idx="8">
                  <c:v>Book</c:v>
                </c:pt>
                <c:pt idx="9">
                  <c:v>Report</c:v>
                </c:pt>
                <c:pt idx="10">
                  <c:v>Preprint</c:v>
                </c:pt>
                <c:pt idx="11">
                  <c:v>Review</c:v>
                </c:pt>
                <c:pt idx="12">
                  <c:v>Lecture</c:v>
                </c:pt>
                <c:pt idx="13">
                  <c:v>Patent</c:v>
                </c:pt>
                <c:pt idx="14">
                  <c:v>Contrib. Period.</c:v>
                </c:pt>
              </c:strCache>
            </c:strRef>
          </c:cat>
          <c:val>
            <c:numRef>
              <c:f>Minho_IR_2!$C$8:$C$22</c:f>
              <c:numCache>
                <c:formatCode>0%</c:formatCode>
                <c:ptCount val="15"/>
                <c:pt idx="0">
                  <c:v>0.353947257561715</c:v>
                </c:pt>
                <c:pt idx="1">
                  <c:v>0.353905131013565</c:v>
                </c:pt>
                <c:pt idx="2">
                  <c:v>0.106411660628528</c:v>
                </c:pt>
                <c:pt idx="3">
                  <c:v>0.0521105400623473</c:v>
                </c:pt>
                <c:pt idx="4">
                  <c:v>0.0459179374842027</c:v>
                </c:pt>
                <c:pt idx="5">
                  <c:v>0.0318055438537366</c:v>
                </c:pt>
                <c:pt idx="6">
                  <c:v>0.0165136068750527</c:v>
                </c:pt>
                <c:pt idx="7">
                  <c:v>0.0163451006824501</c:v>
                </c:pt>
                <c:pt idx="8">
                  <c:v>0.00977335917094953</c:v>
                </c:pt>
                <c:pt idx="9">
                  <c:v>0.00737214592636279</c:v>
                </c:pt>
                <c:pt idx="10">
                  <c:v>0.00261184598533996</c:v>
                </c:pt>
                <c:pt idx="11">
                  <c:v>0.00160080882972449</c:v>
                </c:pt>
                <c:pt idx="12">
                  <c:v>0.0011374168000674</c:v>
                </c:pt>
                <c:pt idx="13">
                  <c:v>0.000294885837054512</c:v>
                </c:pt>
                <c:pt idx="14">
                  <c:v>0.000252759288903867</c:v>
                </c:pt>
              </c:numCache>
            </c:numRef>
          </c:val>
        </c:ser>
        <c:firstSliceAng val="0"/>
      </c:pieChart>
    </c:plotArea>
    <c:legend>
      <c:legendPos val="r"/>
      <c:layout>
        <c:manualLayout>
          <c:xMode val="edge"/>
          <c:yMode val="edge"/>
          <c:x val="0.665947920309895"/>
          <c:y val="0.00236648267839341"/>
          <c:w val="0.281505271225605"/>
          <c:h val="0.980894416353398"/>
        </c:manualLayout>
      </c:layout>
      <c:txPr>
        <a:bodyPr/>
        <a:lstStyle/>
        <a:p>
          <a:pPr>
            <a:defRPr lang="en-CA"/>
          </a:pPr>
          <a:endParaRPr lang="en-US"/>
        </a:p>
      </c:txPr>
    </c:legend>
    <c:plotVisOnly val="1"/>
  </c:chart>
  <c:externalData r:id="rId1"/>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manualLayout>
          <c:layoutTarget val="inner"/>
          <c:xMode val="edge"/>
          <c:yMode val="edge"/>
          <c:x val="0.174092410495677"/>
          <c:y val="0.0338568992418563"/>
          <c:w val="0.583569945747611"/>
          <c:h val="0.829422526955254"/>
        </c:manualLayout>
      </c:layout>
      <c:lineChart>
        <c:grouping val="standard"/>
        <c:ser>
          <c:idx val="0"/>
          <c:order val="0"/>
          <c:spPr>
            <a:ln>
              <a:solidFill>
                <a:srgbClr val="009900"/>
              </a:solidFill>
            </a:ln>
          </c:spPr>
          <c:marker>
            <c:symbol val="none"/>
          </c:marker>
          <c:cat>
            <c:strRef>
              <c:f>Minho_IR_1!$E$3:$R$3</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Minho_IR_1!$E$6:$R$6</c:f>
              <c:numCache>
                <c:formatCode>General</c:formatCode>
                <c:ptCount val="14"/>
                <c:pt idx="0">
                  <c:v>123.0</c:v>
                </c:pt>
                <c:pt idx="1">
                  <c:v>169.0</c:v>
                </c:pt>
                <c:pt idx="2">
                  <c:v>198.0</c:v>
                </c:pt>
                <c:pt idx="3">
                  <c:v>291.0</c:v>
                </c:pt>
                <c:pt idx="4">
                  <c:v>496.0</c:v>
                </c:pt>
                <c:pt idx="5">
                  <c:v>572.0</c:v>
                </c:pt>
                <c:pt idx="6">
                  <c:v>597.0</c:v>
                </c:pt>
                <c:pt idx="7">
                  <c:v>614.0</c:v>
                </c:pt>
                <c:pt idx="8">
                  <c:v>582.0</c:v>
                </c:pt>
                <c:pt idx="9">
                  <c:v>586.0</c:v>
                </c:pt>
                <c:pt idx="10">
                  <c:v>559.0</c:v>
                </c:pt>
                <c:pt idx="11">
                  <c:v>1048.0</c:v>
                </c:pt>
                <c:pt idx="12">
                  <c:v>821.0</c:v>
                </c:pt>
                <c:pt idx="13">
                  <c:v>134.0</c:v>
                </c:pt>
              </c:numCache>
            </c:numRef>
          </c:val>
        </c:ser>
        <c:ser>
          <c:idx val="1"/>
          <c:order val="1"/>
          <c:spPr>
            <a:ln>
              <a:solidFill>
                <a:srgbClr val="99FF66"/>
              </a:solidFill>
            </a:ln>
          </c:spPr>
          <c:marker>
            <c:symbol val="none"/>
          </c:marker>
          <c:cat>
            <c:strRef>
              <c:f>Minho_IR_1!$E$3:$R$3</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Minho_IR_1!$E$7:$R$7</c:f>
              <c:numCache>
                <c:formatCode>General</c:formatCode>
                <c:ptCount val="14"/>
                <c:pt idx="0">
                  <c:v>4.0</c:v>
                </c:pt>
                <c:pt idx="1">
                  <c:v>3.0</c:v>
                </c:pt>
                <c:pt idx="2">
                  <c:v>11.0</c:v>
                </c:pt>
                <c:pt idx="3">
                  <c:v>14.0</c:v>
                </c:pt>
                <c:pt idx="4">
                  <c:v>32.0</c:v>
                </c:pt>
                <c:pt idx="5">
                  <c:v>41.0</c:v>
                </c:pt>
                <c:pt idx="6">
                  <c:v>23.0</c:v>
                </c:pt>
                <c:pt idx="7">
                  <c:v>37.0</c:v>
                </c:pt>
                <c:pt idx="8">
                  <c:v>52.0</c:v>
                </c:pt>
                <c:pt idx="9">
                  <c:v>75.0</c:v>
                </c:pt>
                <c:pt idx="10">
                  <c:v>105.0</c:v>
                </c:pt>
                <c:pt idx="11">
                  <c:v>386.0</c:v>
                </c:pt>
                <c:pt idx="12">
                  <c:v>286.0</c:v>
                </c:pt>
                <c:pt idx="13">
                  <c:v>48.0</c:v>
                </c:pt>
              </c:numCache>
            </c:numRef>
          </c:val>
        </c:ser>
        <c:marker val="1"/>
        <c:axId val="700609224"/>
        <c:axId val="701102312"/>
      </c:lineChart>
      <c:catAx>
        <c:axId val="700609224"/>
        <c:scaling>
          <c:orientation val="minMax"/>
        </c:scaling>
        <c:axPos val="b"/>
        <c:title>
          <c:tx>
            <c:rich>
              <a:bodyPr/>
              <a:lstStyle/>
              <a:p>
                <a:pPr>
                  <a:defRPr lang="en-CA" sz="900"/>
                </a:pPr>
                <a:r>
                  <a:rPr lang="en-CA" sz="900"/>
                  <a:t>Conference</a:t>
                </a:r>
              </a:p>
            </c:rich>
          </c:tx>
          <c:layout/>
        </c:title>
        <c:tickLblPos val="nextTo"/>
        <c:txPr>
          <a:bodyPr/>
          <a:lstStyle/>
          <a:p>
            <a:pPr>
              <a:defRPr lang="en-CA" sz="900"/>
            </a:pPr>
            <a:endParaRPr lang="en-US"/>
          </a:p>
        </c:txPr>
        <c:crossAx val="701102312"/>
        <c:crosses val="autoZero"/>
        <c:auto val="1"/>
        <c:lblAlgn val="ctr"/>
        <c:lblOffset val="100"/>
        <c:tickLblSkip val="12"/>
      </c:catAx>
      <c:valAx>
        <c:axId val="701102312"/>
        <c:scaling>
          <c:orientation val="minMax"/>
          <c:max val="1100.0"/>
          <c:min val="0.0"/>
        </c:scaling>
        <c:axPos val="l"/>
        <c:majorGridlines/>
        <c:numFmt formatCode="General" sourceLinked="1"/>
        <c:tickLblPos val="nextTo"/>
        <c:txPr>
          <a:bodyPr/>
          <a:lstStyle/>
          <a:p>
            <a:pPr>
              <a:defRPr lang="en-CA" sz="900"/>
            </a:pPr>
            <a:endParaRPr lang="en-US"/>
          </a:p>
        </c:txPr>
        <c:crossAx val="700609224"/>
        <c:crosses val="autoZero"/>
        <c:crossBetween val="between"/>
      </c:valAx>
    </c:plotArea>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manualLayout>
          <c:layoutTarget val="inner"/>
          <c:xMode val="edge"/>
          <c:yMode val="edge"/>
          <c:x val="0.157966934607776"/>
          <c:y val="0.0362655267621646"/>
          <c:w val="0.684066130784449"/>
          <c:h val="0.820863754426746"/>
        </c:manualLayout>
      </c:layout>
      <c:lineChart>
        <c:grouping val="standard"/>
        <c:ser>
          <c:idx val="0"/>
          <c:order val="0"/>
          <c:spPr>
            <a:ln>
              <a:solidFill>
                <a:srgbClr val="009900"/>
              </a:solidFill>
            </a:ln>
          </c:spPr>
          <c:marker>
            <c:symbol val="none"/>
          </c:marker>
          <c:cat>
            <c:strRef>
              <c:f>Minho_IR_1!$E$3:$R$3</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Minho_IR_1!$F$8:$R$8</c:f>
              <c:numCache>
                <c:formatCode>General</c:formatCode>
                <c:ptCount val="13"/>
                <c:pt idx="0">
                  <c:v>183.0</c:v>
                </c:pt>
                <c:pt idx="1">
                  <c:v>187.0</c:v>
                </c:pt>
                <c:pt idx="2">
                  <c:v>271.0</c:v>
                </c:pt>
                <c:pt idx="3">
                  <c:v>357.0</c:v>
                </c:pt>
                <c:pt idx="4">
                  <c:v>408.0</c:v>
                </c:pt>
                <c:pt idx="5">
                  <c:v>409.0</c:v>
                </c:pt>
                <c:pt idx="6">
                  <c:v>420.0</c:v>
                </c:pt>
                <c:pt idx="7">
                  <c:v>466.0</c:v>
                </c:pt>
                <c:pt idx="8">
                  <c:v>499.0</c:v>
                </c:pt>
                <c:pt idx="9">
                  <c:v>551.0</c:v>
                </c:pt>
                <c:pt idx="10">
                  <c:v>850.0</c:v>
                </c:pt>
                <c:pt idx="11">
                  <c:v>809.0</c:v>
                </c:pt>
                <c:pt idx="12">
                  <c:v>332.0</c:v>
                </c:pt>
              </c:numCache>
            </c:numRef>
          </c:val>
        </c:ser>
        <c:ser>
          <c:idx val="1"/>
          <c:order val="1"/>
          <c:spPr>
            <a:ln>
              <a:solidFill>
                <a:srgbClr val="99FF66"/>
              </a:solidFill>
            </a:ln>
          </c:spPr>
          <c:marker>
            <c:symbol val="none"/>
          </c:marker>
          <c:cat>
            <c:strRef>
              <c:f>Minho_IR_1!$E$3:$R$3</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Minho_IR_1!$F$9:$R$9</c:f>
              <c:numCache>
                <c:formatCode>General</c:formatCode>
                <c:ptCount val="13"/>
                <c:pt idx="0">
                  <c:v>30.0</c:v>
                </c:pt>
                <c:pt idx="1">
                  <c:v>63.0</c:v>
                </c:pt>
                <c:pt idx="2">
                  <c:v>26.0</c:v>
                </c:pt>
                <c:pt idx="3">
                  <c:v>22.0</c:v>
                </c:pt>
                <c:pt idx="4">
                  <c:v>50.0</c:v>
                </c:pt>
                <c:pt idx="5">
                  <c:v>69.0</c:v>
                </c:pt>
                <c:pt idx="6">
                  <c:v>80.0</c:v>
                </c:pt>
                <c:pt idx="7">
                  <c:v>111.0</c:v>
                </c:pt>
                <c:pt idx="8">
                  <c:v>107.0</c:v>
                </c:pt>
                <c:pt idx="9">
                  <c:v>178.0</c:v>
                </c:pt>
                <c:pt idx="10">
                  <c:v>371.0</c:v>
                </c:pt>
                <c:pt idx="11">
                  <c:v>519.0</c:v>
                </c:pt>
                <c:pt idx="12">
                  <c:v>181.0</c:v>
                </c:pt>
              </c:numCache>
            </c:numRef>
          </c:val>
        </c:ser>
        <c:marker val="1"/>
        <c:axId val="701044104"/>
        <c:axId val="700994664"/>
      </c:lineChart>
      <c:catAx>
        <c:axId val="701044104"/>
        <c:scaling>
          <c:orientation val="minMax"/>
        </c:scaling>
        <c:axPos val="b"/>
        <c:title>
          <c:tx>
            <c:rich>
              <a:bodyPr/>
              <a:lstStyle/>
              <a:p>
                <a:pPr>
                  <a:defRPr lang="en-CA" sz="900"/>
                </a:pPr>
                <a:r>
                  <a:rPr lang="en-CA" sz="900"/>
                  <a:t>Article</a:t>
                </a:r>
              </a:p>
            </c:rich>
          </c:tx>
          <c:layout/>
        </c:title>
        <c:tickLblPos val="nextTo"/>
        <c:txPr>
          <a:bodyPr/>
          <a:lstStyle/>
          <a:p>
            <a:pPr>
              <a:defRPr lang="en-CA" sz="900"/>
            </a:pPr>
            <a:endParaRPr lang="en-US"/>
          </a:p>
        </c:txPr>
        <c:crossAx val="700994664"/>
        <c:crosses val="autoZero"/>
        <c:auto val="1"/>
        <c:lblAlgn val="ctr"/>
        <c:lblOffset val="100"/>
        <c:tickLblSkip val="12"/>
      </c:catAx>
      <c:valAx>
        <c:axId val="700994664"/>
        <c:scaling>
          <c:orientation val="minMax"/>
          <c:max val="1100.0"/>
          <c:min val="0.0"/>
        </c:scaling>
        <c:delete val="1"/>
        <c:axPos val="l"/>
        <c:majorGridlines/>
        <c:numFmt formatCode="General" sourceLinked="1"/>
        <c:tickLblPos val="none"/>
        <c:crossAx val="701044104"/>
        <c:crosses val="autoZero"/>
        <c:crossBetween val="between"/>
      </c:valAx>
    </c:plotArea>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manualLayout>
          <c:layoutTarget val="inner"/>
          <c:xMode val="edge"/>
          <c:yMode val="edge"/>
          <c:x val="0.161746196275867"/>
          <c:y val="0.0313152837032519"/>
          <c:w val="0.676507607448267"/>
          <c:h val="0.823717452581806"/>
        </c:manualLayout>
      </c:layout>
      <c:lineChart>
        <c:grouping val="standard"/>
        <c:ser>
          <c:idx val="0"/>
          <c:order val="0"/>
          <c:spPr>
            <a:ln>
              <a:solidFill>
                <a:srgbClr val="009900"/>
              </a:solidFill>
            </a:ln>
          </c:spPr>
          <c:marker>
            <c:symbol val="none"/>
          </c:marker>
          <c:cat>
            <c:strRef>
              <c:f>Minho_IR_1!$E$3:$R$3</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Minho_IR_1!$E$10:$R$10</c:f>
              <c:numCache>
                <c:formatCode>General</c:formatCode>
                <c:ptCount val="14"/>
                <c:pt idx="0">
                  <c:v>8.0</c:v>
                </c:pt>
                <c:pt idx="1">
                  <c:v>9.0</c:v>
                </c:pt>
                <c:pt idx="2">
                  <c:v>18.0</c:v>
                </c:pt>
                <c:pt idx="3">
                  <c:v>40.0</c:v>
                </c:pt>
                <c:pt idx="4">
                  <c:v>117.0</c:v>
                </c:pt>
                <c:pt idx="5">
                  <c:v>100.0</c:v>
                </c:pt>
                <c:pt idx="6">
                  <c:v>163.0</c:v>
                </c:pt>
                <c:pt idx="7">
                  <c:v>110.0</c:v>
                </c:pt>
                <c:pt idx="8">
                  <c:v>111.0</c:v>
                </c:pt>
                <c:pt idx="9">
                  <c:v>262.0</c:v>
                </c:pt>
                <c:pt idx="10">
                  <c:v>161.0</c:v>
                </c:pt>
                <c:pt idx="11">
                  <c:v>200.0</c:v>
                </c:pt>
                <c:pt idx="12">
                  <c:v>318.0</c:v>
                </c:pt>
                <c:pt idx="13">
                  <c:v>55.0</c:v>
                </c:pt>
              </c:numCache>
            </c:numRef>
          </c:val>
        </c:ser>
        <c:ser>
          <c:idx val="1"/>
          <c:order val="1"/>
          <c:spPr>
            <a:ln>
              <a:solidFill>
                <a:srgbClr val="99FF66"/>
              </a:solidFill>
            </a:ln>
          </c:spPr>
          <c:marker>
            <c:symbol val="none"/>
          </c:marker>
          <c:cat>
            <c:strRef>
              <c:f>Minho_IR_1!$E$3:$R$3</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Minho_IR_1!$E$11:$R$11</c:f>
              <c:numCache>
                <c:formatCode>General</c:formatCode>
                <c:ptCount val="14"/>
                <c:pt idx="4">
                  <c:v>13.0</c:v>
                </c:pt>
                <c:pt idx="5">
                  <c:v>13.0</c:v>
                </c:pt>
                <c:pt idx="6">
                  <c:v>48.0</c:v>
                </c:pt>
                <c:pt idx="7">
                  <c:v>23.0</c:v>
                </c:pt>
                <c:pt idx="8">
                  <c:v>23.0</c:v>
                </c:pt>
                <c:pt idx="9">
                  <c:v>88.0</c:v>
                </c:pt>
                <c:pt idx="10">
                  <c:v>111.0</c:v>
                </c:pt>
                <c:pt idx="11">
                  <c:v>210.0</c:v>
                </c:pt>
                <c:pt idx="12">
                  <c:v>245.0</c:v>
                </c:pt>
                <c:pt idx="13">
                  <c:v>26.0</c:v>
                </c:pt>
              </c:numCache>
            </c:numRef>
          </c:val>
        </c:ser>
        <c:marker val="1"/>
        <c:axId val="117795752"/>
        <c:axId val="701251768"/>
      </c:lineChart>
      <c:catAx>
        <c:axId val="117795752"/>
        <c:scaling>
          <c:orientation val="minMax"/>
        </c:scaling>
        <c:axPos val="b"/>
        <c:title>
          <c:tx>
            <c:rich>
              <a:bodyPr/>
              <a:lstStyle/>
              <a:p>
                <a:pPr>
                  <a:defRPr lang="en-CA" sz="900"/>
                </a:pPr>
                <a:r>
                  <a:rPr lang="en-CA" sz="900"/>
                  <a:t>Master Thesis</a:t>
                </a:r>
              </a:p>
            </c:rich>
          </c:tx>
          <c:layout/>
        </c:title>
        <c:tickLblPos val="nextTo"/>
        <c:txPr>
          <a:bodyPr/>
          <a:lstStyle/>
          <a:p>
            <a:pPr>
              <a:defRPr lang="en-CA" sz="900"/>
            </a:pPr>
            <a:endParaRPr lang="en-US"/>
          </a:p>
        </c:txPr>
        <c:crossAx val="701251768"/>
        <c:crosses val="autoZero"/>
        <c:auto val="1"/>
        <c:lblAlgn val="ctr"/>
        <c:lblOffset val="100"/>
        <c:tickLblSkip val="12"/>
      </c:catAx>
      <c:valAx>
        <c:axId val="701251768"/>
        <c:scaling>
          <c:orientation val="minMax"/>
          <c:max val="1100.0"/>
          <c:min val="0.0"/>
        </c:scaling>
        <c:delete val="1"/>
        <c:axPos val="l"/>
        <c:majorGridlines/>
        <c:numFmt formatCode="General" sourceLinked="1"/>
        <c:tickLblPos val="none"/>
        <c:crossAx val="117795752"/>
        <c:crosses val="autoZero"/>
        <c:crossBetween val="between"/>
      </c:valAx>
    </c:plotArea>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manualLayout>
          <c:layoutTarget val="inner"/>
          <c:xMode val="edge"/>
          <c:yMode val="edge"/>
          <c:x val="0.160592485667318"/>
          <c:y val="0.0353191604479108"/>
          <c:w val="0.678815028665365"/>
          <c:h val="0.828675117028788"/>
        </c:manualLayout>
      </c:layout>
      <c:lineChart>
        <c:grouping val="standard"/>
        <c:ser>
          <c:idx val="0"/>
          <c:order val="0"/>
          <c:spPr>
            <a:ln>
              <a:solidFill>
                <a:srgbClr val="009900"/>
              </a:solidFill>
            </a:ln>
          </c:spPr>
          <c:marker>
            <c:symbol val="none"/>
          </c:marker>
          <c:cat>
            <c:strRef>
              <c:f>Minho_IR_1!$E$3:$R$3</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Minho_IR_1!$E$12:$R$12</c:f>
              <c:numCache>
                <c:formatCode>General</c:formatCode>
                <c:ptCount val="14"/>
                <c:pt idx="0">
                  <c:v>14.0</c:v>
                </c:pt>
                <c:pt idx="1">
                  <c:v>12.0</c:v>
                </c:pt>
                <c:pt idx="2">
                  <c:v>18.0</c:v>
                </c:pt>
                <c:pt idx="3">
                  <c:v>20.0</c:v>
                </c:pt>
                <c:pt idx="4">
                  <c:v>41.0</c:v>
                </c:pt>
                <c:pt idx="5">
                  <c:v>48.0</c:v>
                </c:pt>
                <c:pt idx="6">
                  <c:v>44.0</c:v>
                </c:pt>
                <c:pt idx="7">
                  <c:v>95.0</c:v>
                </c:pt>
                <c:pt idx="8">
                  <c:v>127.0</c:v>
                </c:pt>
                <c:pt idx="9">
                  <c:v>120.0</c:v>
                </c:pt>
                <c:pt idx="10">
                  <c:v>97.0</c:v>
                </c:pt>
                <c:pt idx="11">
                  <c:v>101.0</c:v>
                </c:pt>
                <c:pt idx="12">
                  <c:v>105.0</c:v>
                </c:pt>
                <c:pt idx="13">
                  <c:v>48.0</c:v>
                </c:pt>
              </c:numCache>
            </c:numRef>
          </c:val>
        </c:ser>
        <c:ser>
          <c:idx val="1"/>
          <c:order val="1"/>
          <c:spPr>
            <a:ln>
              <a:solidFill>
                <a:srgbClr val="99FF66"/>
              </a:solidFill>
            </a:ln>
          </c:spPr>
          <c:marker>
            <c:symbol val="none"/>
          </c:marker>
          <c:cat>
            <c:strRef>
              <c:f>Minho_IR_1!$E$3:$R$3</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Minho_IR_1!$E$13:$R$13</c:f>
              <c:numCache>
                <c:formatCode>General</c:formatCode>
                <c:ptCount val="14"/>
                <c:pt idx="1">
                  <c:v>2.0</c:v>
                </c:pt>
                <c:pt idx="2">
                  <c:v>1.0</c:v>
                </c:pt>
                <c:pt idx="4">
                  <c:v>4.0</c:v>
                </c:pt>
                <c:pt idx="5">
                  <c:v>4.0</c:v>
                </c:pt>
                <c:pt idx="6">
                  <c:v>10.0</c:v>
                </c:pt>
                <c:pt idx="7">
                  <c:v>22.0</c:v>
                </c:pt>
                <c:pt idx="8">
                  <c:v>21.0</c:v>
                </c:pt>
                <c:pt idx="9">
                  <c:v>36.0</c:v>
                </c:pt>
                <c:pt idx="10">
                  <c:v>28.0</c:v>
                </c:pt>
                <c:pt idx="11">
                  <c:v>55.0</c:v>
                </c:pt>
                <c:pt idx="12">
                  <c:v>94.0</c:v>
                </c:pt>
                <c:pt idx="13">
                  <c:v>41.0</c:v>
                </c:pt>
              </c:numCache>
            </c:numRef>
          </c:val>
        </c:ser>
        <c:marker val="1"/>
        <c:axId val="701275688"/>
        <c:axId val="701281496"/>
      </c:lineChart>
      <c:catAx>
        <c:axId val="701275688"/>
        <c:scaling>
          <c:orientation val="minMax"/>
        </c:scaling>
        <c:axPos val="b"/>
        <c:title>
          <c:tx>
            <c:rich>
              <a:bodyPr/>
              <a:lstStyle/>
              <a:p>
                <a:pPr>
                  <a:defRPr lang="en-CA" sz="900"/>
                </a:pPr>
                <a:r>
                  <a:rPr lang="en-CA" sz="800"/>
                  <a:t>Doctoral Thesis</a:t>
                </a:r>
              </a:p>
            </c:rich>
          </c:tx>
          <c:layout/>
        </c:title>
        <c:tickLblPos val="nextTo"/>
        <c:txPr>
          <a:bodyPr/>
          <a:lstStyle/>
          <a:p>
            <a:pPr>
              <a:defRPr lang="en-CA" sz="900"/>
            </a:pPr>
            <a:endParaRPr lang="en-US"/>
          </a:p>
        </c:txPr>
        <c:crossAx val="701281496"/>
        <c:crosses val="autoZero"/>
        <c:auto val="1"/>
        <c:lblAlgn val="ctr"/>
        <c:lblOffset val="100"/>
        <c:tickLblSkip val="12"/>
      </c:catAx>
      <c:valAx>
        <c:axId val="701281496"/>
        <c:scaling>
          <c:orientation val="minMax"/>
          <c:max val="1100.0"/>
          <c:min val="0.0"/>
        </c:scaling>
        <c:delete val="1"/>
        <c:axPos val="l"/>
        <c:majorGridlines/>
        <c:numFmt formatCode="General" sourceLinked="1"/>
        <c:tickLblPos val="none"/>
        <c:crossAx val="701275688"/>
        <c:crosses val="autoZero"/>
        <c:crossBetween val="between"/>
      </c:valAx>
    </c:plotArea>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manualLayout>
          <c:layoutTarget val="inner"/>
          <c:xMode val="edge"/>
          <c:yMode val="edge"/>
          <c:x val="0.166604588539952"/>
          <c:y val="0.0384326567192006"/>
          <c:w val="0.6667908229201"/>
          <c:h val="0.832636974956582"/>
        </c:manualLayout>
      </c:layout>
      <c:lineChart>
        <c:grouping val="standard"/>
        <c:ser>
          <c:idx val="0"/>
          <c:order val="0"/>
          <c:spPr>
            <a:ln>
              <a:solidFill>
                <a:srgbClr val="009900"/>
              </a:solidFill>
            </a:ln>
          </c:spPr>
          <c:marker>
            <c:symbol val="none"/>
          </c:marker>
          <c:cat>
            <c:strRef>
              <c:f>Minho_IR_1!$E$3:$R$3</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Minho_IR_1!$E$14:$R$14</c:f>
              <c:numCache>
                <c:formatCode>General</c:formatCode>
                <c:ptCount val="14"/>
                <c:pt idx="0">
                  <c:v>25.0</c:v>
                </c:pt>
                <c:pt idx="1">
                  <c:v>19.0</c:v>
                </c:pt>
                <c:pt idx="2">
                  <c:v>15.0</c:v>
                </c:pt>
                <c:pt idx="3">
                  <c:v>38.0</c:v>
                </c:pt>
                <c:pt idx="4">
                  <c:v>47.0</c:v>
                </c:pt>
                <c:pt idx="5">
                  <c:v>46.0</c:v>
                </c:pt>
                <c:pt idx="6">
                  <c:v>50.0</c:v>
                </c:pt>
                <c:pt idx="7">
                  <c:v>50.0</c:v>
                </c:pt>
                <c:pt idx="8">
                  <c:v>65.0</c:v>
                </c:pt>
                <c:pt idx="9">
                  <c:v>61.0</c:v>
                </c:pt>
                <c:pt idx="10">
                  <c:v>82.0</c:v>
                </c:pt>
                <c:pt idx="11">
                  <c:v>135.0</c:v>
                </c:pt>
                <c:pt idx="12">
                  <c:v>92.0</c:v>
                </c:pt>
                <c:pt idx="13">
                  <c:v>30.0</c:v>
                </c:pt>
              </c:numCache>
            </c:numRef>
          </c:val>
        </c:ser>
        <c:ser>
          <c:idx val="1"/>
          <c:order val="1"/>
          <c:spPr>
            <a:ln>
              <a:solidFill>
                <a:srgbClr val="99FF66"/>
              </a:solidFill>
            </a:ln>
          </c:spPr>
          <c:marker>
            <c:symbol val="none"/>
          </c:marker>
          <c:cat>
            <c:strRef>
              <c:f>Minho_IR_1!$E$3:$R$3</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Minho_IR_1!$E$15:$R$15</c:f>
              <c:numCache>
                <c:formatCode>General</c:formatCode>
                <c:ptCount val="14"/>
                <c:pt idx="2">
                  <c:v>1.0</c:v>
                </c:pt>
                <c:pt idx="3">
                  <c:v>1.0</c:v>
                </c:pt>
                <c:pt idx="4">
                  <c:v>5.0</c:v>
                </c:pt>
                <c:pt idx="5">
                  <c:v>13.0</c:v>
                </c:pt>
                <c:pt idx="6">
                  <c:v>4.0</c:v>
                </c:pt>
                <c:pt idx="7">
                  <c:v>22.0</c:v>
                </c:pt>
                <c:pt idx="8">
                  <c:v>9.0</c:v>
                </c:pt>
                <c:pt idx="9">
                  <c:v>17.0</c:v>
                </c:pt>
                <c:pt idx="10">
                  <c:v>31.0</c:v>
                </c:pt>
                <c:pt idx="11">
                  <c:v>64.0</c:v>
                </c:pt>
                <c:pt idx="12">
                  <c:v>82.0</c:v>
                </c:pt>
                <c:pt idx="13">
                  <c:v>17.0</c:v>
                </c:pt>
              </c:numCache>
            </c:numRef>
          </c:val>
        </c:ser>
        <c:marker val="1"/>
        <c:axId val="701307464"/>
        <c:axId val="701314600"/>
      </c:lineChart>
      <c:catAx>
        <c:axId val="701307464"/>
        <c:scaling>
          <c:orientation val="minMax"/>
        </c:scaling>
        <c:axPos val="b"/>
        <c:title>
          <c:tx>
            <c:rich>
              <a:bodyPr/>
              <a:lstStyle/>
              <a:p>
                <a:pPr>
                  <a:defRPr lang="en-CA" sz="900"/>
                </a:pPr>
                <a:r>
                  <a:rPr lang="en-CA" sz="900"/>
                  <a:t>Book Part</a:t>
                </a:r>
              </a:p>
            </c:rich>
          </c:tx>
          <c:layout>
            <c:manualLayout>
              <c:xMode val="edge"/>
              <c:yMode val="edge"/>
              <c:x val="0.199492892136388"/>
              <c:y val="0.935191522243077"/>
            </c:manualLayout>
          </c:layout>
        </c:title>
        <c:tickLblPos val="nextTo"/>
        <c:txPr>
          <a:bodyPr/>
          <a:lstStyle/>
          <a:p>
            <a:pPr>
              <a:defRPr lang="en-CA" sz="900"/>
            </a:pPr>
            <a:endParaRPr lang="en-US"/>
          </a:p>
        </c:txPr>
        <c:crossAx val="701314600"/>
        <c:crosses val="autoZero"/>
        <c:auto val="1"/>
        <c:lblAlgn val="ctr"/>
        <c:lblOffset val="100"/>
        <c:tickLblSkip val="12"/>
      </c:catAx>
      <c:valAx>
        <c:axId val="701314600"/>
        <c:scaling>
          <c:orientation val="minMax"/>
          <c:max val="1100.0"/>
          <c:min val="0.0"/>
        </c:scaling>
        <c:delete val="1"/>
        <c:axPos val="l"/>
        <c:majorGridlines/>
        <c:numFmt formatCode="General" sourceLinked="1"/>
        <c:tickLblPos val="none"/>
        <c:crossAx val="70130746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manualLayout>
          <c:layoutTarget val="inner"/>
          <c:xMode val="edge"/>
          <c:yMode val="edge"/>
          <c:x val="0.109260583042758"/>
          <c:y val="0.149502940851352"/>
          <c:w val="0.79519745494033"/>
          <c:h val="0.496864176951566"/>
        </c:manualLayout>
      </c:layout>
      <c:barChart>
        <c:barDir val="col"/>
        <c:grouping val="percentStacked"/>
        <c:ser>
          <c:idx val="0"/>
          <c:order val="0"/>
          <c:tx>
            <c:strRef>
              <c:f>ISI_1!$K$6</c:f>
              <c:strCache>
                <c:ptCount val="1"/>
                <c:pt idx="0">
                  <c:v>Public Access</c:v>
                </c:pt>
              </c:strCache>
            </c:strRef>
          </c:tx>
          <c:spPr>
            <a:solidFill>
              <a:srgbClr val="009900"/>
            </a:solidFill>
          </c:spPr>
          <c:cat>
            <c:strRef>
              <c:f>ISI_1!$J$7:$J$22</c:f>
              <c:strCache>
                <c:ptCount val="16"/>
                <c:pt idx="0">
                  <c:v>ALL DISCIPLINES</c:v>
                </c:pt>
                <c:pt idx="2">
                  <c:v>Arts</c:v>
                </c:pt>
                <c:pt idx="3">
                  <c:v>Biology</c:v>
                </c:pt>
                <c:pt idx="4">
                  <c:v>Biomedical Research</c:v>
                </c:pt>
                <c:pt idx="5">
                  <c:v>Chemistry</c:v>
                </c:pt>
                <c:pt idx="6">
                  <c:v>Clinical Medicine</c:v>
                </c:pt>
                <c:pt idx="7">
                  <c:v>Earth and Space</c:v>
                </c:pt>
                <c:pt idx="8">
                  <c:v>Engineering &amp; Tech</c:v>
                </c:pt>
                <c:pt idx="9">
                  <c:v>Health</c:v>
                </c:pt>
                <c:pt idx="10">
                  <c:v>Humanities</c:v>
                </c:pt>
                <c:pt idx="11">
                  <c:v>Mathematics</c:v>
                </c:pt>
                <c:pt idx="12">
                  <c:v>Physics</c:v>
                </c:pt>
                <c:pt idx="13">
                  <c:v>Professional Fields</c:v>
                </c:pt>
                <c:pt idx="14">
                  <c:v>Psychology</c:v>
                </c:pt>
                <c:pt idx="15">
                  <c:v>Social Sciences</c:v>
                </c:pt>
              </c:strCache>
            </c:strRef>
          </c:cat>
          <c:val>
            <c:numRef>
              <c:f>ISI_1!$K$7:$K$22</c:f>
              <c:numCache>
                <c:formatCode>General</c:formatCode>
                <c:ptCount val="16"/>
                <c:pt idx="0" formatCode="0%">
                  <c:v>0.275263157894737</c:v>
                </c:pt>
                <c:pt idx="2" formatCode="0%">
                  <c:v>0.2</c:v>
                </c:pt>
                <c:pt idx="3" formatCode="0%">
                  <c:v>0.340909090909091</c:v>
                </c:pt>
                <c:pt idx="4" formatCode="0%">
                  <c:v>0.465393794749403</c:v>
                </c:pt>
                <c:pt idx="5" formatCode="0%">
                  <c:v>0.281993204983012</c:v>
                </c:pt>
                <c:pt idx="6" formatCode="0%">
                  <c:v>0.264423076923077</c:v>
                </c:pt>
                <c:pt idx="7" formatCode="0%">
                  <c:v>0.262857142857143</c:v>
                </c:pt>
                <c:pt idx="8" formatCode="0%">
                  <c:v>0.269778481012659</c:v>
                </c:pt>
                <c:pt idx="9" formatCode="0%">
                  <c:v>0.2</c:v>
                </c:pt>
                <c:pt idx="10" formatCode="0%">
                  <c:v>0.0476190476190476</c:v>
                </c:pt>
                <c:pt idx="11" formatCode="0%">
                  <c:v>0.296650717703349</c:v>
                </c:pt>
                <c:pt idx="12" formatCode="0%">
                  <c:v>0.1398891966759</c:v>
                </c:pt>
                <c:pt idx="13" formatCode="0%">
                  <c:v>0.125748502994012</c:v>
                </c:pt>
                <c:pt idx="14" formatCode="0%">
                  <c:v>0.184834123222749</c:v>
                </c:pt>
                <c:pt idx="15" formatCode="0%">
                  <c:v>0.166666666666667</c:v>
                </c:pt>
              </c:numCache>
            </c:numRef>
          </c:val>
        </c:ser>
        <c:ser>
          <c:idx val="1"/>
          <c:order val="1"/>
          <c:tx>
            <c:strRef>
              <c:f>ISI_1!$L$6</c:f>
              <c:strCache>
                <c:ptCount val="1"/>
                <c:pt idx="0">
                  <c:v>Restricted Access</c:v>
                </c:pt>
              </c:strCache>
            </c:strRef>
          </c:tx>
          <c:spPr>
            <a:solidFill>
              <a:srgbClr val="99FF66"/>
            </a:solidFill>
          </c:spPr>
          <c:cat>
            <c:strRef>
              <c:f>ISI_1!$J$7:$J$22</c:f>
              <c:strCache>
                <c:ptCount val="16"/>
                <c:pt idx="0">
                  <c:v>ALL DISCIPLINES</c:v>
                </c:pt>
                <c:pt idx="2">
                  <c:v>Arts</c:v>
                </c:pt>
                <c:pt idx="3">
                  <c:v>Biology</c:v>
                </c:pt>
                <c:pt idx="4">
                  <c:v>Biomedical Research</c:v>
                </c:pt>
                <c:pt idx="5">
                  <c:v>Chemistry</c:v>
                </c:pt>
                <c:pt idx="6">
                  <c:v>Clinical Medicine</c:v>
                </c:pt>
                <c:pt idx="7">
                  <c:v>Earth and Space</c:v>
                </c:pt>
                <c:pt idx="8">
                  <c:v>Engineering &amp; Tech</c:v>
                </c:pt>
                <c:pt idx="9">
                  <c:v>Health</c:v>
                </c:pt>
                <c:pt idx="10">
                  <c:v>Humanities</c:v>
                </c:pt>
                <c:pt idx="11">
                  <c:v>Mathematics</c:v>
                </c:pt>
                <c:pt idx="12">
                  <c:v>Physics</c:v>
                </c:pt>
                <c:pt idx="13">
                  <c:v>Professional Fields</c:v>
                </c:pt>
                <c:pt idx="14">
                  <c:v>Psychology</c:v>
                </c:pt>
                <c:pt idx="15">
                  <c:v>Social Sciences</c:v>
                </c:pt>
              </c:strCache>
            </c:strRef>
          </c:cat>
          <c:val>
            <c:numRef>
              <c:f>ISI_1!$L$7:$L$22</c:f>
              <c:numCache>
                <c:formatCode>General</c:formatCode>
                <c:ptCount val="16"/>
                <c:pt idx="0" formatCode="0%">
                  <c:v>0.107543859649123</c:v>
                </c:pt>
                <c:pt idx="2" formatCode="0%">
                  <c:v>0.0</c:v>
                </c:pt>
                <c:pt idx="3" formatCode="0%">
                  <c:v>0.0941558441558445</c:v>
                </c:pt>
                <c:pt idx="4" formatCode="0%">
                  <c:v>0.0608591885441527</c:v>
                </c:pt>
                <c:pt idx="5" formatCode="0%">
                  <c:v>0.141562853907135</c:v>
                </c:pt>
                <c:pt idx="6" formatCode="0%">
                  <c:v>0.0929487179487176</c:v>
                </c:pt>
                <c:pt idx="7" formatCode="0%">
                  <c:v>0.142857142857143</c:v>
                </c:pt>
                <c:pt idx="8" formatCode="0%">
                  <c:v>0.111550632911392</c:v>
                </c:pt>
                <c:pt idx="9" formatCode="0%">
                  <c:v>0.185714285714286</c:v>
                </c:pt>
                <c:pt idx="10" formatCode="0%">
                  <c:v>0.0</c:v>
                </c:pt>
                <c:pt idx="11" formatCode="0%">
                  <c:v>0.105263157894737</c:v>
                </c:pt>
                <c:pt idx="12" formatCode="0%">
                  <c:v>0.0789473684210525</c:v>
                </c:pt>
                <c:pt idx="13" formatCode="0%">
                  <c:v>0.173652694610778</c:v>
                </c:pt>
                <c:pt idx="14" formatCode="0%">
                  <c:v>0.109004739336493</c:v>
                </c:pt>
                <c:pt idx="15" formatCode="0%">
                  <c:v>0.202020202020202</c:v>
                </c:pt>
              </c:numCache>
            </c:numRef>
          </c:val>
        </c:ser>
        <c:ser>
          <c:idx val="2"/>
          <c:order val="2"/>
          <c:tx>
            <c:strRef>
              <c:f>ISI_1!$M$6</c:f>
              <c:strCache>
                <c:ptCount val="1"/>
                <c:pt idx="0">
                  <c:v>Not Deposited</c:v>
                </c:pt>
              </c:strCache>
            </c:strRef>
          </c:tx>
          <c:spPr>
            <a:solidFill>
              <a:srgbClr val="7F7F7F"/>
            </a:solidFill>
          </c:spPr>
          <c:cat>
            <c:strRef>
              <c:f>ISI_1!$J$7:$J$22</c:f>
              <c:strCache>
                <c:ptCount val="16"/>
                <c:pt idx="0">
                  <c:v>ALL DISCIPLINES</c:v>
                </c:pt>
                <c:pt idx="2">
                  <c:v>Arts</c:v>
                </c:pt>
                <c:pt idx="3">
                  <c:v>Biology</c:v>
                </c:pt>
                <c:pt idx="4">
                  <c:v>Biomedical Research</c:v>
                </c:pt>
                <c:pt idx="5">
                  <c:v>Chemistry</c:v>
                </c:pt>
                <c:pt idx="6">
                  <c:v>Clinical Medicine</c:v>
                </c:pt>
                <c:pt idx="7">
                  <c:v>Earth and Space</c:v>
                </c:pt>
                <c:pt idx="8">
                  <c:v>Engineering &amp; Tech</c:v>
                </c:pt>
                <c:pt idx="9">
                  <c:v>Health</c:v>
                </c:pt>
                <c:pt idx="10">
                  <c:v>Humanities</c:v>
                </c:pt>
                <c:pt idx="11">
                  <c:v>Mathematics</c:v>
                </c:pt>
                <c:pt idx="12">
                  <c:v>Physics</c:v>
                </c:pt>
                <c:pt idx="13">
                  <c:v>Professional Fields</c:v>
                </c:pt>
                <c:pt idx="14">
                  <c:v>Psychology</c:v>
                </c:pt>
                <c:pt idx="15">
                  <c:v>Social Sciences</c:v>
                </c:pt>
              </c:strCache>
            </c:strRef>
          </c:cat>
          <c:val>
            <c:numRef>
              <c:f>ISI_1!$M$7:$M$22</c:f>
              <c:numCache>
                <c:formatCode>General</c:formatCode>
                <c:ptCount val="16"/>
                <c:pt idx="0" formatCode="0%">
                  <c:v>0.617192982456142</c:v>
                </c:pt>
                <c:pt idx="2" formatCode="0%">
                  <c:v>0.8</c:v>
                </c:pt>
                <c:pt idx="3" formatCode="0%">
                  <c:v>0.564935064935065</c:v>
                </c:pt>
                <c:pt idx="4" formatCode="0%">
                  <c:v>0.473747016706444</c:v>
                </c:pt>
                <c:pt idx="5" formatCode="0%">
                  <c:v>0.576443941109853</c:v>
                </c:pt>
                <c:pt idx="6" formatCode="0%">
                  <c:v>0.642628205128208</c:v>
                </c:pt>
                <c:pt idx="7" formatCode="0%">
                  <c:v>0.594285714285714</c:v>
                </c:pt>
                <c:pt idx="8" formatCode="0%">
                  <c:v>0.61867088607595</c:v>
                </c:pt>
                <c:pt idx="9" formatCode="0%">
                  <c:v>0.614285714285715</c:v>
                </c:pt>
                <c:pt idx="10" formatCode="0%">
                  <c:v>0.952380952380952</c:v>
                </c:pt>
                <c:pt idx="11" formatCode="0%">
                  <c:v>0.598086124401913</c:v>
                </c:pt>
                <c:pt idx="12" formatCode="0%">
                  <c:v>0.781163434903047</c:v>
                </c:pt>
                <c:pt idx="13" formatCode="0%">
                  <c:v>0.700598802395211</c:v>
                </c:pt>
                <c:pt idx="14" formatCode="0%">
                  <c:v>0.706161137440758</c:v>
                </c:pt>
                <c:pt idx="15" formatCode="0%">
                  <c:v>0.631313131313131</c:v>
                </c:pt>
              </c:numCache>
            </c:numRef>
          </c:val>
        </c:ser>
        <c:overlap val="100"/>
        <c:axId val="117987048"/>
        <c:axId val="700876856"/>
      </c:barChart>
      <c:lineChart>
        <c:grouping val="standard"/>
        <c:ser>
          <c:idx val="3"/>
          <c:order val="3"/>
          <c:tx>
            <c:strRef>
              <c:f>ISI_1!$N$6</c:f>
              <c:strCache>
                <c:ptCount val="1"/>
                <c:pt idx="0">
                  <c:v>ISI Article Count</c:v>
                </c:pt>
              </c:strCache>
            </c:strRef>
          </c:tx>
          <c:spPr>
            <a:ln>
              <a:noFill/>
            </a:ln>
          </c:spPr>
          <c:marker>
            <c:spPr>
              <a:noFill/>
              <a:ln w="25400">
                <a:solidFill>
                  <a:prstClr val="black"/>
                </a:solidFill>
              </a:ln>
            </c:spPr>
          </c:marker>
          <c:cat>
            <c:strRef>
              <c:f>ISI_1!$J$7:$J$22</c:f>
              <c:strCache>
                <c:ptCount val="16"/>
                <c:pt idx="0">
                  <c:v>ALL DISCIPLINES</c:v>
                </c:pt>
                <c:pt idx="2">
                  <c:v>Arts</c:v>
                </c:pt>
                <c:pt idx="3">
                  <c:v>Biology</c:v>
                </c:pt>
                <c:pt idx="4">
                  <c:v>Biomedical Research</c:v>
                </c:pt>
                <c:pt idx="5">
                  <c:v>Chemistry</c:v>
                </c:pt>
                <c:pt idx="6">
                  <c:v>Clinical Medicine</c:v>
                </c:pt>
                <c:pt idx="7">
                  <c:v>Earth and Space</c:v>
                </c:pt>
                <c:pt idx="8">
                  <c:v>Engineering &amp; Tech</c:v>
                </c:pt>
                <c:pt idx="9">
                  <c:v>Health</c:v>
                </c:pt>
                <c:pt idx="10">
                  <c:v>Humanities</c:v>
                </c:pt>
                <c:pt idx="11">
                  <c:v>Mathematics</c:v>
                </c:pt>
                <c:pt idx="12">
                  <c:v>Physics</c:v>
                </c:pt>
                <c:pt idx="13">
                  <c:v>Professional Fields</c:v>
                </c:pt>
                <c:pt idx="14">
                  <c:v>Psychology</c:v>
                </c:pt>
                <c:pt idx="15">
                  <c:v>Social Sciences</c:v>
                </c:pt>
              </c:strCache>
            </c:strRef>
          </c:cat>
          <c:val>
            <c:numRef>
              <c:f>ISI_1!$N$7:$N$22</c:f>
              <c:numCache>
                <c:formatCode>General</c:formatCode>
                <c:ptCount val="16"/>
                <c:pt idx="2">
                  <c:v>10.0</c:v>
                </c:pt>
                <c:pt idx="3">
                  <c:v>308.0</c:v>
                </c:pt>
                <c:pt idx="4">
                  <c:v>838.0</c:v>
                </c:pt>
                <c:pt idx="5">
                  <c:v>883.0</c:v>
                </c:pt>
                <c:pt idx="6">
                  <c:v>624.0</c:v>
                </c:pt>
                <c:pt idx="7">
                  <c:v>175.0</c:v>
                </c:pt>
                <c:pt idx="8">
                  <c:v>1264.0</c:v>
                </c:pt>
                <c:pt idx="9">
                  <c:v>70.0</c:v>
                </c:pt>
                <c:pt idx="10">
                  <c:v>21.0</c:v>
                </c:pt>
                <c:pt idx="11">
                  <c:v>209.0</c:v>
                </c:pt>
                <c:pt idx="12">
                  <c:v>722.0</c:v>
                </c:pt>
                <c:pt idx="13">
                  <c:v>167.0</c:v>
                </c:pt>
                <c:pt idx="14">
                  <c:v>211.0</c:v>
                </c:pt>
                <c:pt idx="15">
                  <c:v>198.0</c:v>
                </c:pt>
              </c:numCache>
            </c:numRef>
          </c:val>
        </c:ser>
        <c:marker val="1"/>
        <c:axId val="700956056"/>
        <c:axId val="117710056"/>
      </c:lineChart>
      <c:catAx>
        <c:axId val="117987048"/>
        <c:scaling>
          <c:orientation val="minMax"/>
        </c:scaling>
        <c:axPos val="b"/>
        <c:tickLblPos val="nextTo"/>
        <c:txPr>
          <a:bodyPr rot="2820000"/>
          <a:lstStyle/>
          <a:p>
            <a:pPr>
              <a:defRPr lang="en-CA" sz="800"/>
            </a:pPr>
            <a:endParaRPr lang="en-US"/>
          </a:p>
        </c:txPr>
        <c:crossAx val="700876856"/>
        <c:crosses val="autoZero"/>
        <c:auto val="1"/>
        <c:lblAlgn val="ctr"/>
        <c:lblOffset val="100"/>
      </c:catAx>
      <c:valAx>
        <c:axId val="700876856"/>
        <c:scaling>
          <c:orientation val="minMax"/>
        </c:scaling>
        <c:axPos val="l"/>
        <c:majorGridlines/>
        <c:numFmt formatCode="0%" sourceLinked="1"/>
        <c:tickLblPos val="nextTo"/>
        <c:txPr>
          <a:bodyPr/>
          <a:lstStyle/>
          <a:p>
            <a:pPr>
              <a:defRPr lang="en-CA" sz="900"/>
            </a:pPr>
            <a:endParaRPr lang="en-US"/>
          </a:p>
        </c:txPr>
        <c:crossAx val="117987048"/>
        <c:crosses val="autoZero"/>
        <c:crossBetween val="between"/>
      </c:valAx>
      <c:valAx>
        <c:axId val="117710056"/>
        <c:scaling>
          <c:orientation val="minMax"/>
        </c:scaling>
        <c:axPos val="r"/>
        <c:numFmt formatCode="General" sourceLinked="1"/>
        <c:tickLblPos val="nextTo"/>
        <c:txPr>
          <a:bodyPr/>
          <a:lstStyle/>
          <a:p>
            <a:pPr>
              <a:defRPr lang="en-CA" sz="900"/>
            </a:pPr>
            <a:endParaRPr lang="en-US"/>
          </a:p>
        </c:txPr>
        <c:crossAx val="700956056"/>
        <c:crosses val="max"/>
        <c:crossBetween val="between"/>
      </c:valAx>
      <c:catAx>
        <c:axId val="700956056"/>
        <c:scaling>
          <c:orientation val="minMax"/>
        </c:scaling>
        <c:delete val="1"/>
        <c:axPos val="b"/>
        <c:tickLblPos val="none"/>
        <c:crossAx val="117710056"/>
        <c:crosses val="autoZero"/>
        <c:auto val="1"/>
        <c:lblAlgn val="ctr"/>
        <c:lblOffset val="100"/>
      </c:catAx>
    </c:plotArea>
    <c:legend>
      <c:legendPos val="t"/>
      <c:layout>
        <c:manualLayout>
          <c:xMode val="edge"/>
          <c:yMode val="edge"/>
          <c:x val="0.0874343727391512"/>
          <c:y val="0.0258379883532385"/>
          <c:w val="0.848275057722834"/>
          <c:h val="0.0778710175759355"/>
        </c:manualLayout>
      </c:layout>
      <c:spPr>
        <a:solidFill>
          <a:schemeClr val="bg1"/>
        </a:solidFill>
      </c:spPr>
      <c:txPr>
        <a:bodyPr/>
        <a:lstStyle/>
        <a:p>
          <a:pPr>
            <a:defRPr lang="en-CA" sz="900"/>
          </a:pPr>
          <a:endParaRPr lang="en-US"/>
        </a:p>
      </c:txPr>
    </c:legend>
    <c:plotVisOnly val="1"/>
    <c:dispBlanksAs val="gap"/>
  </c:chart>
  <c:externalData r:id="rId1"/>
  <c:userShapes r:id="rId2"/>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manualLayout>
          <c:layoutTarget val="inner"/>
          <c:xMode val="edge"/>
          <c:yMode val="edge"/>
          <c:x val="0.163206274204155"/>
          <c:y val="0.0301537090246846"/>
          <c:w val="0.673587451591691"/>
          <c:h val="0.840368187081712"/>
        </c:manualLayout>
      </c:layout>
      <c:lineChart>
        <c:grouping val="standard"/>
        <c:ser>
          <c:idx val="0"/>
          <c:order val="0"/>
          <c:tx>
            <c:strRef>
              <c:f>Minho_IR_1!$B$16</c:f>
              <c:strCache>
                <c:ptCount val="1"/>
                <c:pt idx="0">
                  <c:v>Public Access</c:v>
                </c:pt>
              </c:strCache>
            </c:strRef>
          </c:tx>
          <c:spPr>
            <a:ln>
              <a:solidFill>
                <a:srgbClr val="009900"/>
              </a:solidFill>
            </a:ln>
          </c:spPr>
          <c:marker>
            <c:symbol val="none"/>
          </c:marker>
          <c:cat>
            <c:strRef>
              <c:f>Minho_IR_1!$E$3:$R$3</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Minho_IR_1!$E$16:$R$16</c:f>
              <c:numCache>
                <c:formatCode>General</c:formatCode>
                <c:ptCount val="14"/>
                <c:pt idx="0">
                  <c:v>15.0</c:v>
                </c:pt>
                <c:pt idx="1">
                  <c:v>31.0</c:v>
                </c:pt>
                <c:pt idx="2">
                  <c:v>18.0</c:v>
                </c:pt>
                <c:pt idx="3">
                  <c:v>30.0</c:v>
                </c:pt>
                <c:pt idx="4">
                  <c:v>15.0</c:v>
                </c:pt>
                <c:pt idx="5">
                  <c:v>31.0</c:v>
                </c:pt>
                <c:pt idx="6">
                  <c:v>14.0</c:v>
                </c:pt>
                <c:pt idx="7">
                  <c:v>32.0</c:v>
                </c:pt>
                <c:pt idx="8">
                  <c:v>30.0</c:v>
                </c:pt>
                <c:pt idx="9">
                  <c:v>5.0</c:v>
                </c:pt>
                <c:pt idx="10">
                  <c:v>42.0</c:v>
                </c:pt>
                <c:pt idx="11">
                  <c:v>42.0</c:v>
                </c:pt>
                <c:pt idx="12">
                  <c:v>30.0</c:v>
                </c:pt>
                <c:pt idx="13">
                  <c:v>20.0</c:v>
                </c:pt>
              </c:numCache>
            </c:numRef>
          </c:val>
        </c:ser>
        <c:ser>
          <c:idx val="1"/>
          <c:order val="1"/>
          <c:tx>
            <c:strRef>
              <c:f>Minho_IR_1!$B$17</c:f>
              <c:strCache>
                <c:ptCount val="1"/>
                <c:pt idx="0">
                  <c:v>Restricted Access</c:v>
                </c:pt>
              </c:strCache>
            </c:strRef>
          </c:tx>
          <c:spPr>
            <a:ln>
              <a:solidFill>
                <a:srgbClr val="99FF66"/>
              </a:solidFill>
            </a:ln>
          </c:spPr>
          <c:marker>
            <c:symbol val="none"/>
          </c:marker>
          <c:cat>
            <c:strRef>
              <c:f>Minho_IR_1!$E$3:$R$3</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Minho_IR_1!$E$17:$R$17</c:f>
              <c:numCache>
                <c:formatCode>General</c:formatCode>
                <c:ptCount val="14"/>
                <c:pt idx="0">
                  <c:v>1.0</c:v>
                </c:pt>
                <c:pt idx="1">
                  <c:v>1.0</c:v>
                </c:pt>
                <c:pt idx="2">
                  <c:v>4.0</c:v>
                </c:pt>
                <c:pt idx="3">
                  <c:v>1.0</c:v>
                </c:pt>
                <c:pt idx="4">
                  <c:v>1.0</c:v>
                </c:pt>
                <c:pt idx="5">
                  <c:v>1.0</c:v>
                </c:pt>
                <c:pt idx="6">
                  <c:v>1.0</c:v>
                </c:pt>
                <c:pt idx="7">
                  <c:v>1.0</c:v>
                </c:pt>
                <c:pt idx="8">
                  <c:v>1.0</c:v>
                </c:pt>
                <c:pt idx="9">
                  <c:v>5.0</c:v>
                </c:pt>
                <c:pt idx="10">
                  <c:v>3.0</c:v>
                </c:pt>
                <c:pt idx="11">
                  <c:v>5.0</c:v>
                </c:pt>
                <c:pt idx="12">
                  <c:v>6.0</c:v>
                </c:pt>
                <c:pt idx="13">
                  <c:v>1.0</c:v>
                </c:pt>
              </c:numCache>
            </c:numRef>
          </c:val>
        </c:ser>
        <c:marker val="1"/>
        <c:axId val="701344664"/>
        <c:axId val="701351896"/>
      </c:lineChart>
      <c:catAx>
        <c:axId val="701344664"/>
        <c:scaling>
          <c:orientation val="minMax"/>
        </c:scaling>
        <c:axPos val="b"/>
        <c:title>
          <c:tx>
            <c:rich>
              <a:bodyPr/>
              <a:lstStyle/>
              <a:p>
                <a:pPr>
                  <a:defRPr lang="en-CA" sz="900"/>
                </a:pPr>
                <a:r>
                  <a:rPr lang="en-CA" sz="900"/>
                  <a:t>Working Paper</a:t>
                </a:r>
              </a:p>
            </c:rich>
          </c:tx>
          <c:layout>
            <c:manualLayout>
              <c:xMode val="edge"/>
              <c:yMode val="edge"/>
              <c:x val="0.168139317008652"/>
              <c:y val="0.924978321881293"/>
            </c:manualLayout>
          </c:layout>
        </c:title>
        <c:tickLblPos val="nextTo"/>
        <c:txPr>
          <a:bodyPr/>
          <a:lstStyle/>
          <a:p>
            <a:pPr>
              <a:defRPr lang="en-CA" sz="900"/>
            </a:pPr>
            <a:endParaRPr lang="en-US"/>
          </a:p>
        </c:txPr>
        <c:crossAx val="701351896"/>
        <c:crosses val="autoZero"/>
        <c:auto val="1"/>
        <c:lblAlgn val="ctr"/>
        <c:lblOffset val="100"/>
        <c:tickLblSkip val="12"/>
      </c:catAx>
      <c:valAx>
        <c:axId val="701351896"/>
        <c:scaling>
          <c:orientation val="minMax"/>
          <c:max val="1100.0"/>
          <c:min val="0.0"/>
        </c:scaling>
        <c:delete val="1"/>
        <c:axPos val="l"/>
        <c:majorGridlines/>
        <c:numFmt formatCode="General" sourceLinked="1"/>
        <c:tickLblPos val="none"/>
        <c:crossAx val="701344664"/>
        <c:crosses val="autoZero"/>
        <c:crossBetween val="between"/>
      </c:valAx>
    </c:plotArea>
    <c:legend>
      <c:legendPos val="r"/>
      <c:layout>
        <c:manualLayout>
          <c:xMode val="edge"/>
          <c:yMode val="edge"/>
          <c:x val="0.0"/>
          <c:y val="0.0508410065596033"/>
          <c:w val="1.0"/>
          <c:h val="0.207181740367106"/>
        </c:manualLayout>
      </c:layout>
      <c:spPr>
        <a:solidFill>
          <a:schemeClr val="bg1"/>
        </a:solidFill>
      </c:spPr>
      <c:txPr>
        <a:bodyPr/>
        <a:lstStyle/>
        <a:p>
          <a:pPr>
            <a:defRPr lang="en-CA" sz="9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manualLayout>
          <c:layoutTarget val="inner"/>
          <c:xMode val="edge"/>
          <c:yMode val="edge"/>
          <c:x val="0.110268482064742"/>
          <c:y val="0.132610776594102"/>
          <c:w val="0.693535651793526"/>
          <c:h val="0.654778771848567"/>
        </c:manualLayout>
      </c:layout>
      <c:lineChart>
        <c:grouping val="standard"/>
        <c:ser>
          <c:idx val="0"/>
          <c:order val="0"/>
          <c:tx>
            <c:strRef>
              <c:f>Minho_IR_2!$A$8</c:f>
              <c:strCache>
                <c:ptCount val="1"/>
                <c:pt idx="0">
                  <c:v>Article</c:v>
                </c:pt>
              </c:strCache>
            </c:strRef>
          </c:tx>
          <c:spPr>
            <a:ln>
              <a:solidFill>
                <a:srgbClr val="00B050"/>
              </a:solidFill>
            </a:ln>
          </c:spPr>
          <c:marker>
            <c:symbol val="none"/>
          </c:marker>
          <c:cat>
            <c:strRef>
              <c:f>Minho_IR_2!$D$6:$R$6</c:f>
              <c:strCache>
                <c:ptCount val="15"/>
                <c:pt idx="0">
                  <c:v>1976-1999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strCache>
            </c:strRef>
          </c:cat>
          <c:val>
            <c:numRef>
              <c:f>Minho_IR_2!$D$8:$R$8</c:f>
              <c:numCache>
                <c:formatCode>General</c:formatCode>
                <c:ptCount val="15"/>
                <c:pt idx="0">
                  <c:v>671.0</c:v>
                </c:pt>
                <c:pt idx="1">
                  <c:v>181.0</c:v>
                </c:pt>
                <c:pt idx="2">
                  <c:v>213.0</c:v>
                </c:pt>
                <c:pt idx="3">
                  <c:v>250.0</c:v>
                </c:pt>
                <c:pt idx="4">
                  <c:v>297.0</c:v>
                </c:pt>
                <c:pt idx="5">
                  <c:v>379.0</c:v>
                </c:pt>
                <c:pt idx="6">
                  <c:v>458.0</c:v>
                </c:pt>
                <c:pt idx="7">
                  <c:v>478.0</c:v>
                </c:pt>
                <c:pt idx="8">
                  <c:v>500.0</c:v>
                </c:pt>
                <c:pt idx="9">
                  <c:v>577.0</c:v>
                </c:pt>
                <c:pt idx="10">
                  <c:v>606.0</c:v>
                </c:pt>
                <c:pt idx="11">
                  <c:v>729.0</c:v>
                </c:pt>
                <c:pt idx="12">
                  <c:v>1221.0</c:v>
                </c:pt>
                <c:pt idx="13">
                  <c:v>1328.0</c:v>
                </c:pt>
                <c:pt idx="14">
                  <c:v>513.0</c:v>
                </c:pt>
              </c:numCache>
            </c:numRef>
          </c:val>
        </c:ser>
        <c:ser>
          <c:idx val="1"/>
          <c:order val="1"/>
          <c:tx>
            <c:strRef>
              <c:f>Minho_IR_2!$A$9</c:f>
              <c:strCache>
                <c:ptCount val="1"/>
                <c:pt idx="0">
                  <c:v>Conference</c:v>
                </c:pt>
              </c:strCache>
            </c:strRef>
          </c:tx>
          <c:marker>
            <c:symbol val="none"/>
          </c:marker>
          <c:cat>
            <c:strRef>
              <c:f>Minho_IR_2!$D$6:$R$6</c:f>
              <c:strCache>
                <c:ptCount val="15"/>
                <c:pt idx="0">
                  <c:v>1976-1999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strCache>
            </c:strRef>
          </c:cat>
          <c:val>
            <c:numRef>
              <c:f>Minho_IR_2!$D$9:$R$9</c:f>
              <c:numCache>
                <c:formatCode>General</c:formatCode>
                <c:ptCount val="15"/>
                <c:pt idx="0">
                  <c:v>494.0</c:v>
                </c:pt>
                <c:pt idx="1">
                  <c:v>127.0</c:v>
                </c:pt>
                <c:pt idx="2">
                  <c:v>172.0</c:v>
                </c:pt>
                <c:pt idx="3">
                  <c:v>209.0</c:v>
                </c:pt>
                <c:pt idx="4">
                  <c:v>305.0</c:v>
                </c:pt>
                <c:pt idx="5">
                  <c:v>528.0</c:v>
                </c:pt>
                <c:pt idx="6">
                  <c:v>613.0</c:v>
                </c:pt>
                <c:pt idx="7">
                  <c:v>620.0</c:v>
                </c:pt>
                <c:pt idx="8">
                  <c:v>651.0</c:v>
                </c:pt>
                <c:pt idx="9">
                  <c:v>634.0</c:v>
                </c:pt>
                <c:pt idx="10">
                  <c:v>661.0</c:v>
                </c:pt>
                <c:pt idx="11">
                  <c:v>664.0</c:v>
                </c:pt>
                <c:pt idx="12">
                  <c:v>1434.0</c:v>
                </c:pt>
                <c:pt idx="13">
                  <c:v>1107.0</c:v>
                </c:pt>
                <c:pt idx="14">
                  <c:v>182.0</c:v>
                </c:pt>
              </c:numCache>
            </c:numRef>
          </c:val>
        </c:ser>
        <c:ser>
          <c:idx val="2"/>
          <c:order val="2"/>
          <c:tx>
            <c:strRef>
              <c:f>Minho_IR_2!$A$10</c:f>
              <c:strCache>
                <c:ptCount val="1"/>
                <c:pt idx="0">
                  <c:v>Mast. Thesis</c:v>
                </c:pt>
              </c:strCache>
            </c:strRef>
          </c:tx>
          <c:spPr>
            <a:ln>
              <a:solidFill>
                <a:schemeClr val="bg2">
                  <a:lumMod val="50000"/>
                </a:schemeClr>
              </a:solidFill>
            </a:ln>
          </c:spPr>
          <c:marker>
            <c:symbol val="none"/>
          </c:marker>
          <c:cat>
            <c:strRef>
              <c:f>Minho_IR_2!$D$6:$R$6</c:f>
              <c:strCache>
                <c:ptCount val="15"/>
                <c:pt idx="0">
                  <c:v>1976-1999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strCache>
            </c:strRef>
          </c:cat>
          <c:val>
            <c:numRef>
              <c:f>Minho_IR_2!$D$10:$R$10</c:f>
              <c:numCache>
                <c:formatCode>General</c:formatCode>
                <c:ptCount val="15"/>
                <c:pt idx="0">
                  <c:v>54.0</c:v>
                </c:pt>
                <c:pt idx="1">
                  <c:v>8.0</c:v>
                </c:pt>
                <c:pt idx="2">
                  <c:v>9.0</c:v>
                </c:pt>
                <c:pt idx="3">
                  <c:v>18.0</c:v>
                </c:pt>
                <c:pt idx="4">
                  <c:v>40.0</c:v>
                </c:pt>
                <c:pt idx="5">
                  <c:v>130.0</c:v>
                </c:pt>
                <c:pt idx="6">
                  <c:v>113.0</c:v>
                </c:pt>
                <c:pt idx="7">
                  <c:v>211.0</c:v>
                </c:pt>
                <c:pt idx="8">
                  <c:v>133.0</c:v>
                </c:pt>
                <c:pt idx="9">
                  <c:v>134.0</c:v>
                </c:pt>
                <c:pt idx="10">
                  <c:v>350.0</c:v>
                </c:pt>
                <c:pt idx="11">
                  <c:v>272.0</c:v>
                </c:pt>
                <c:pt idx="12">
                  <c:v>410.0</c:v>
                </c:pt>
                <c:pt idx="13">
                  <c:v>563.0</c:v>
                </c:pt>
                <c:pt idx="14">
                  <c:v>81.0</c:v>
                </c:pt>
              </c:numCache>
            </c:numRef>
          </c:val>
        </c:ser>
        <c:ser>
          <c:idx val="3"/>
          <c:order val="3"/>
          <c:tx>
            <c:strRef>
              <c:f>Minho_IR_2!$A$11</c:f>
              <c:strCache>
                <c:ptCount val="1"/>
                <c:pt idx="0">
                  <c:v>Doc. Thesis</c:v>
                </c:pt>
              </c:strCache>
            </c:strRef>
          </c:tx>
          <c:marker>
            <c:symbol val="none"/>
          </c:marker>
          <c:cat>
            <c:strRef>
              <c:f>Minho_IR_2!$D$6:$R$6</c:f>
              <c:strCache>
                <c:ptCount val="15"/>
                <c:pt idx="0">
                  <c:v>1976-1999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strCache>
            </c:strRef>
          </c:cat>
          <c:val>
            <c:numRef>
              <c:f>Minho_IR_2!$D$11:$R$11</c:f>
              <c:numCache>
                <c:formatCode>General</c:formatCode>
                <c:ptCount val="15"/>
                <c:pt idx="0">
                  <c:v>29.0</c:v>
                </c:pt>
                <c:pt idx="1">
                  <c:v>14.0</c:v>
                </c:pt>
                <c:pt idx="2">
                  <c:v>14.0</c:v>
                </c:pt>
                <c:pt idx="3">
                  <c:v>19.0</c:v>
                </c:pt>
                <c:pt idx="4">
                  <c:v>20.0</c:v>
                </c:pt>
                <c:pt idx="5">
                  <c:v>45.0</c:v>
                </c:pt>
                <c:pt idx="6">
                  <c:v>52.0</c:v>
                </c:pt>
                <c:pt idx="7">
                  <c:v>54.0</c:v>
                </c:pt>
                <c:pt idx="8">
                  <c:v>117.0</c:v>
                </c:pt>
                <c:pt idx="9">
                  <c:v>148.0</c:v>
                </c:pt>
                <c:pt idx="10">
                  <c:v>156.0</c:v>
                </c:pt>
                <c:pt idx="11">
                  <c:v>125.0</c:v>
                </c:pt>
                <c:pt idx="12">
                  <c:v>156.0</c:v>
                </c:pt>
                <c:pt idx="13">
                  <c:v>199.0</c:v>
                </c:pt>
                <c:pt idx="14">
                  <c:v>89.0</c:v>
                </c:pt>
              </c:numCache>
            </c:numRef>
          </c:val>
        </c:ser>
        <c:ser>
          <c:idx val="4"/>
          <c:order val="4"/>
          <c:tx>
            <c:strRef>
              <c:f>Minho_IR_2!$A$12</c:f>
              <c:strCache>
                <c:ptCount val="1"/>
                <c:pt idx="0">
                  <c:v>Book Part</c:v>
                </c:pt>
              </c:strCache>
            </c:strRef>
          </c:tx>
          <c:marker>
            <c:symbol val="none"/>
          </c:marker>
          <c:cat>
            <c:strRef>
              <c:f>Minho_IR_2!$D$6:$R$6</c:f>
              <c:strCache>
                <c:ptCount val="15"/>
                <c:pt idx="0">
                  <c:v>1976-1999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strCache>
            </c:strRef>
          </c:cat>
          <c:val>
            <c:numRef>
              <c:f>Minho_IR_2!$D$12:$R$12</c:f>
              <c:numCache>
                <c:formatCode>General</c:formatCode>
                <c:ptCount val="15"/>
                <c:pt idx="0">
                  <c:v>69.0</c:v>
                </c:pt>
                <c:pt idx="1">
                  <c:v>25.0</c:v>
                </c:pt>
                <c:pt idx="2">
                  <c:v>19.0</c:v>
                </c:pt>
                <c:pt idx="3">
                  <c:v>16.0</c:v>
                </c:pt>
                <c:pt idx="4">
                  <c:v>39.0</c:v>
                </c:pt>
                <c:pt idx="5">
                  <c:v>52.0</c:v>
                </c:pt>
                <c:pt idx="6">
                  <c:v>59.0</c:v>
                </c:pt>
                <c:pt idx="7">
                  <c:v>54.0</c:v>
                </c:pt>
                <c:pt idx="8">
                  <c:v>72.0</c:v>
                </c:pt>
                <c:pt idx="9">
                  <c:v>74.0</c:v>
                </c:pt>
                <c:pt idx="10">
                  <c:v>78.0</c:v>
                </c:pt>
                <c:pt idx="11">
                  <c:v>113.0</c:v>
                </c:pt>
                <c:pt idx="12">
                  <c:v>199.0</c:v>
                </c:pt>
                <c:pt idx="13">
                  <c:v>174.0</c:v>
                </c:pt>
                <c:pt idx="14">
                  <c:v>47.0</c:v>
                </c:pt>
              </c:numCache>
            </c:numRef>
          </c:val>
        </c:ser>
        <c:ser>
          <c:idx val="5"/>
          <c:order val="5"/>
          <c:tx>
            <c:strRef>
              <c:f>Minho_IR_2!$A$13</c:f>
              <c:strCache>
                <c:ptCount val="1"/>
                <c:pt idx="0">
                  <c:v>Bach. Thesis</c:v>
                </c:pt>
              </c:strCache>
            </c:strRef>
          </c:tx>
          <c:marker>
            <c:symbol val="none"/>
          </c:marker>
          <c:cat>
            <c:strRef>
              <c:f>Minho_IR_2!$D$6:$R$6</c:f>
              <c:strCache>
                <c:ptCount val="15"/>
                <c:pt idx="0">
                  <c:v>1976-1999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strCache>
            </c:strRef>
          </c:cat>
          <c:val>
            <c:numRef>
              <c:f>Minho_IR_2!$D$13:$R$13</c:f>
              <c:numCache>
                <c:formatCode>General</c:formatCode>
                <c:ptCount val="15"/>
                <c:pt idx="0">
                  <c:v>0.0</c:v>
                </c:pt>
                <c:pt idx="9">
                  <c:v>1.0</c:v>
                </c:pt>
                <c:pt idx="10">
                  <c:v>2.0</c:v>
                </c:pt>
                <c:pt idx="11">
                  <c:v>21.0</c:v>
                </c:pt>
                <c:pt idx="12">
                  <c:v>264.0</c:v>
                </c:pt>
                <c:pt idx="13">
                  <c:v>456.0</c:v>
                </c:pt>
                <c:pt idx="14">
                  <c:v>11.0</c:v>
                </c:pt>
              </c:numCache>
            </c:numRef>
          </c:val>
        </c:ser>
        <c:ser>
          <c:idx val="6"/>
          <c:order val="6"/>
          <c:tx>
            <c:strRef>
              <c:f>Minho_IR_2!$A$14</c:f>
              <c:strCache>
                <c:ptCount val="1"/>
                <c:pt idx="0">
                  <c:v>Working Pap.</c:v>
                </c:pt>
              </c:strCache>
            </c:strRef>
          </c:tx>
          <c:marker>
            <c:symbol val="none"/>
          </c:marker>
          <c:cat>
            <c:strRef>
              <c:f>Minho_IR_2!$D$6:$R$6</c:f>
              <c:strCache>
                <c:ptCount val="15"/>
                <c:pt idx="0">
                  <c:v>1976-1999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strCache>
            </c:strRef>
          </c:cat>
          <c:val>
            <c:numRef>
              <c:f>Minho_IR_2!$D$14:$R$14</c:f>
              <c:numCache>
                <c:formatCode>General</c:formatCode>
                <c:ptCount val="15"/>
                <c:pt idx="0">
                  <c:v>5.0</c:v>
                </c:pt>
                <c:pt idx="1">
                  <c:v>16.0</c:v>
                </c:pt>
                <c:pt idx="2">
                  <c:v>32.0</c:v>
                </c:pt>
                <c:pt idx="3">
                  <c:v>22.0</c:v>
                </c:pt>
                <c:pt idx="4">
                  <c:v>31.0</c:v>
                </c:pt>
                <c:pt idx="5">
                  <c:v>16.0</c:v>
                </c:pt>
                <c:pt idx="6">
                  <c:v>32.0</c:v>
                </c:pt>
                <c:pt idx="7">
                  <c:v>15.0</c:v>
                </c:pt>
                <c:pt idx="8">
                  <c:v>33.0</c:v>
                </c:pt>
                <c:pt idx="9">
                  <c:v>31.0</c:v>
                </c:pt>
                <c:pt idx="10">
                  <c:v>10.0</c:v>
                </c:pt>
                <c:pt idx="11">
                  <c:v>45.0</c:v>
                </c:pt>
                <c:pt idx="12">
                  <c:v>47.0</c:v>
                </c:pt>
                <c:pt idx="13">
                  <c:v>36.0</c:v>
                </c:pt>
                <c:pt idx="14">
                  <c:v>21.0</c:v>
                </c:pt>
              </c:numCache>
            </c:numRef>
          </c:val>
        </c:ser>
        <c:ser>
          <c:idx val="7"/>
          <c:order val="7"/>
          <c:tx>
            <c:strRef>
              <c:f>Minho_IR_2!$A$15</c:f>
              <c:strCache>
                <c:ptCount val="1"/>
                <c:pt idx="0">
                  <c:v>Other</c:v>
                </c:pt>
              </c:strCache>
            </c:strRef>
          </c:tx>
          <c:marker>
            <c:symbol val="none"/>
          </c:marker>
          <c:cat>
            <c:strRef>
              <c:f>Minho_IR_2!$D$6:$R$6</c:f>
              <c:strCache>
                <c:ptCount val="15"/>
                <c:pt idx="0">
                  <c:v>1976-1999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strCache>
            </c:strRef>
          </c:cat>
          <c:val>
            <c:numRef>
              <c:f>Minho_IR_2!$D$15:$R$15</c:f>
              <c:numCache>
                <c:formatCode>General</c:formatCode>
                <c:ptCount val="15"/>
                <c:pt idx="0">
                  <c:v>45.0</c:v>
                </c:pt>
                <c:pt idx="1">
                  <c:v>10.0</c:v>
                </c:pt>
                <c:pt idx="2">
                  <c:v>20.0</c:v>
                </c:pt>
                <c:pt idx="3">
                  <c:v>11.0</c:v>
                </c:pt>
                <c:pt idx="4">
                  <c:v>21.0</c:v>
                </c:pt>
                <c:pt idx="5">
                  <c:v>65.0</c:v>
                </c:pt>
                <c:pt idx="6">
                  <c:v>20.0</c:v>
                </c:pt>
                <c:pt idx="7">
                  <c:v>24.0</c:v>
                </c:pt>
                <c:pt idx="8">
                  <c:v>16.0</c:v>
                </c:pt>
                <c:pt idx="9">
                  <c:v>30.0</c:v>
                </c:pt>
                <c:pt idx="10">
                  <c:v>18.0</c:v>
                </c:pt>
                <c:pt idx="11">
                  <c:v>29.0</c:v>
                </c:pt>
                <c:pt idx="12">
                  <c:v>46.0</c:v>
                </c:pt>
                <c:pt idx="13">
                  <c:v>25.0</c:v>
                </c:pt>
                <c:pt idx="14">
                  <c:v>8.0</c:v>
                </c:pt>
              </c:numCache>
            </c:numRef>
          </c:val>
        </c:ser>
        <c:ser>
          <c:idx val="8"/>
          <c:order val="8"/>
          <c:tx>
            <c:strRef>
              <c:f>Minho_IR_2!$A$16</c:f>
              <c:strCache>
                <c:ptCount val="1"/>
                <c:pt idx="0">
                  <c:v>Book</c:v>
                </c:pt>
              </c:strCache>
            </c:strRef>
          </c:tx>
          <c:spPr>
            <a:ln>
              <a:solidFill>
                <a:schemeClr val="bg2">
                  <a:lumMod val="75000"/>
                </a:schemeClr>
              </a:solidFill>
            </a:ln>
          </c:spPr>
          <c:marker>
            <c:symbol val="none"/>
          </c:marker>
          <c:cat>
            <c:strRef>
              <c:f>Minho_IR_2!$D$6:$R$6</c:f>
              <c:strCache>
                <c:ptCount val="15"/>
                <c:pt idx="0">
                  <c:v>1976-1999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strCache>
            </c:strRef>
          </c:cat>
          <c:val>
            <c:numRef>
              <c:f>Minho_IR_2!$D$16:$R$16</c:f>
              <c:numCache>
                <c:formatCode>General</c:formatCode>
                <c:ptCount val="15"/>
                <c:pt idx="0">
                  <c:v>24.0</c:v>
                </c:pt>
                <c:pt idx="1">
                  <c:v>7.0</c:v>
                </c:pt>
                <c:pt idx="2">
                  <c:v>9.0</c:v>
                </c:pt>
                <c:pt idx="3">
                  <c:v>14.0</c:v>
                </c:pt>
                <c:pt idx="4">
                  <c:v>8.0</c:v>
                </c:pt>
                <c:pt idx="5">
                  <c:v>9.0</c:v>
                </c:pt>
                <c:pt idx="6">
                  <c:v>13.0</c:v>
                </c:pt>
                <c:pt idx="7">
                  <c:v>12.0</c:v>
                </c:pt>
                <c:pt idx="8">
                  <c:v>13.0</c:v>
                </c:pt>
                <c:pt idx="9">
                  <c:v>12.0</c:v>
                </c:pt>
                <c:pt idx="10">
                  <c:v>13.0</c:v>
                </c:pt>
                <c:pt idx="11">
                  <c:v>32.0</c:v>
                </c:pt>
                <c:pt idx="12">
                  <c:v>37.0</c:v>
                </c:pt>
                <c:pt idx="13">
                  <c:v>26.0</c:v>
                </c:pt>
                <c:pt idx="14">
                  <c:v>3.0</c:v>
                </c:pt>
              </c:numCache>
            </c:numRef>
          </c:val>
        </c:ser>
        <c:ser>
          <c:idx val="9"/>
          <c:order val="9"/>
          <c:tx>
            <c:strRef>
              <c:f>Minho_IR_2!$A$17</c:f>
              <c:strCache>
                <c:ptCount val="1"/>
                <c:pt idx="0">
                  <c:v>Report</c:v>
                </c:pt>
              </c:strCache>
            </c:strRef>
          </c:tx>
          <c:marker>
            <c:symbol val="none"/>
          </c:marker>
          <c:cat>
            <c:strRef>
              <c:f>Minho_IR_2!$D$6:$R$6</c:f>
              <c:strCache>
                <c:ptCount val="15"/>
                <c:pt idx="0">
                  <c:v>1976-1999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strCache>
            </c:strRef>
          </c:cat>
          <c:val>
            <c:numRef>
              <c:f>Minho_IR_2!$D$17:$R$17</c:f>
              <c:numCache>
                <c:formatCode>General</c:formatCode>
                <c:ptCount val="15"/>
                <c:pt idx="0">
                  <c:v>8.0</c:v>
                </c:pt>
                <c:pt idx="1">
                  <c:v>1.0</c:v>
                </c:pt>
                <c:pt idx="2">
                  <c:v>4.0</c:v>
                </c:pt>
                <c:pt idx="3">
                  <c:v>9.0</c:v>
                </c:pt>
                <c:pt idx="4">
                  <c:v>9.0</c:v>
                </c:pt>
                <c:pt idx="5">
                  <c:v>19.0</c:v>
                </c:pt>
                <c:pt idx="6">
                  <c:v>13.0</c:v>
                </c:pt>
                <c:pt idx="7">
                  <c:v>6.0</c:v>
                </c:pt>
                <c:pt idx="8">
                  <c:v>12.0</c:v>
                </c:pt>
                <c:pt idx="9">
                  <c:v>13.0</c:v>
                </c:pt>
                <c:pt idx="10">
                  <c:v>7.0</c:v>
                </c:pt>
                <c:pt idx="11">
                  <c:v>21.0</c:v>
                </c:pt>
                <c:pt idx="12">
                  <c:v>19.0</c:v>
                </c:pt>
                <c:pt idx="13">
                  <c:v>26.0</c:v>
                </c:pt>
                <c:pt idx="14">
                  <c:v>8.0</c:v>
                </c:pt>
              </c:numCache>
            </c:numRef>
          </c:val>
        </c:ser>
        <c:ser>
          <c:idx val="10"/>
          <c:order val="10"/>
          <c:tx>
            <c:strRef>
              <c:f>Minho_IR_2!$A$18</c:f>
              <c:strCache>
                <c:ptCount val="1"/>
                <c:pt idx="0">
                  <c:v>Preprint</c:v>
                </c:pt>
              </c:strCache>
            </c:strRef>
          </c:tx>
          <c:marker>
            <c:symbol val="none"/>
          </c:marker>
          <c:cat>
            <c:strRef>
              <c:f>Minho_IR_2!$D$6:$R$6</c:f>
              <c:strCache>
                <c:ptCount val="15"/>
                <c:pt idx="0">
                  <c:v>1976-1999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strCache>
            </c:strRef>
          </c:cat>
          <c:val>
            <c:numRef>
              <c:f>Minho_IR_2!$D$18:$R$18</c:f>
              <c:numCache>
                <c:formatCode>General</c:formatCode>
                <c:ptCount val="15"/>
                <c:pt idx="0">
                  <c:v>1.0</c:v>
                </c:pt>
                <c:pt idx="4">
                  <c:v>1.0</c:v>
                </c:pt>
                <c:pt idx="5">
                  <c:v>1.0</c:v>
                </c:pt>
                <c:pt idx="6">
                  <c:v>8.0</c:v>
                </c:pt>
                <c:pt idx="7">
                  <c:v>7.0</c:v>
                </c:pt>
                <c:pt idx="8">
                  <c:v>9.0</c:v>
                </c:pt>
                <c:pt idx="9">
                  <c:v>2.0</c:v>
                </c:pt>
                <c:pt idx="10">
                  <c:v>4.0</c:v>
                </c:pt>
                <c:pt idx="11">
                  <c:v>7.0</c:v>
                </c:pt>
                <c:pt idx="12">
                  <c:v>9.0</c:v>
                </c:pt>
                <c:pt idx="13">
                  <c:v>7.0</c:v>
                </c:pt>
                <c:pt idx="14">
                  <c:v>6.0</c:v>
                </c:pt>
              </c:numCache>
            </c:numRef>
          </c:val>
        </c:ser>
        <c:ser>
          <c:idx val="11"/>
          <c:order val="11"/>
          <c:tx>
            <c:strRef>
              <c:f>Minho_IR_2!$A$19</c:f>
              <c:strCache>
                <c:ptCount val="1"/>
                <c:pt idx="0">
                  <c:v>Review</c:v>
                </c:pt>
              </c:strCache>
            </c:strRef>
          </c:tx>
          <c:marker>
            <c:symbol val="none"/>
          </c:marker>
          <c:cat>
            <c:strRef>
              <c:f>Minho_IR_2!$D$6:$R$6</c:f>
              <c:strCache>
                <c:ptCount val="15"/>
                <c:pt idx="0">
                  <c:v>1976-1999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strCache>
            </c:strRef>
          </c:cat>
          <c:val>
            <c:numRef>
              <c:f>Minho_IR_2!$D$19:$R$19</c:f>
              <c:numCache>
                <c:formatCode>General</c:formatCode>
                <c:ptCount val="15"/>
                <c:pt idx="0">
                  <c:v>7.0</c:v>
                </c:pt>
                <c:pt idx="1">
                  <c:v>2.0</c:v>
                </c:pt>
                <c:pt idx="2">
                  <c:v>2.0</c:v>
                </c:pt>
                <c:pt idx="4">
                  <c:v>1.0</c:v>
                </c:pt>
                <c:pt idx="5">
                  <c:v>2.0</c:v>
                </c:pt>
                <c:pt idx="6">
                  <c:v>3.0</c:v>
                </c:pt>
                <c:pt idx="7">
                  <c:v>1.0</c:v>
                </c:pt>
                <c:pt idx="8">
                  <c:v>2.0</c:v>
                </c:pt>
                <c:pt idx="9">
                  <c:v>3.0</c:v>
                </c:pt>
                <c:pt idx="10">
                  <c:v>2.0</c:v>
                </c:pt>
                <c:pt idx="11">
                  <c:v>2.0</c:v>
                </c:pt>
                <c:pt idx="12">
                  <c:v>10.0</c:v>
                </c:pt>
                <c:pt idx="13">
                  <c:v>1.0</c:v>
                </c:pt>
              </c:numCache>
            </c:numRef>
          </c:val>
        </c:ser>
        <c:ser>
          <c:idx val="12"/>
          <c:order val="12"/>
          <c:tx>
            <c:strRef>
              <c:f>Minho_IR_2!$A$20</c:f>
              <c:strCache>
                <c:ptCount val="1"/>
                <c:pt idx="0">
                  <c:v>Lecture</c:v>
                </c:pt>
              </c:strCache>
            </c:strRef>
          </c:tx>
          <c:marker>
            <c:symbol val="none"/>
          </c:marker>
          <c:cat>
            <c:strRef>
              <c:f>Minho_IR_2!$D$6:$R$6</c:f>
              <c:strCache>
                <c:ptCount val="15"/>
                <c:pt idx="0">
                  <c:v>1976-1999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strCache>
            </c:strRef>
          </c:cat>
          <c:val>
            <c:numRef>
              <c:f>Minho_IR_2!$D$20:$R$20</c:f>
              <c:numCache>
                <c:formatCode>General</c:formatCode>
                <c:ptCount val="15"/>
                <c:pt idx="0">
                  <c:v>0.0</c:v>
                </c:pt>
                <c:pt idx="1">
                  <c:v>1.0</c:v>
                </c:pt>
                <c:pt idx="6">
                  <c:v>1.0</c:v>
                </c:pt>
                <c:pt idx="8">
                  <c:v>2.0</c:v>
                </c:pt>
                <c:pt idx="9">
                  <c:v>3.0</c:v>
                </c:pt>
                <c:pt idx="10">
                  <c:v>3.0</c:v>
                </c:pt>
                <c:pt idx="11">
                  <c:v>1.0</c:v>
                </c:pt>
                <c:pt idx="12">
                  <c:v>11.0</c:v>
                </c:pt>
                <c:pt idx="13">
                  <c:v>5.0</c:v>
                </c:pt>
              </c:numCache>
            </c:numRef>
          </c:val>
        </c:ser>
        <c:ser>
          <c:idx val="13"/>
          <c:order val="13"/>
          <c:tx>
            <c:strRef>
              <c:f>Minho_IR_2!$A$21</c:f>
              <c:strCache>
                <c:ptCount val="1"/>
                <c:pt idx="0">
                  <c:v>Patent</c:v>
                </c:pt>
              </c:strCache>
            </c:strRef>
          </c:tx>
          <c:marker>
            <c:symbol val="none"/>
          </c:marker>
          <c:cat>
            <c:strRef>
              <c:f>Minho_IR_2!$D$6:$R$6</c:f>
              <c:strCache>
                <c:ptCount val="15"/>
                <c:pt idx="0">
                  <c:v>1976-1999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strCache>
            </c:strRef>
          </c:cat>
          <c:val>
            <c:numRef>
              <c:f>Minho_IR_2!$D$21:$R$21</c:f>
              <c:numCache>
                <c:formatCode>General</c:formatCode>
                <c:ptCount val="15"/>
                <c:pt idx="0">
                  <c:v>0.0</c:v>
                </c:pt>
                <c:pt idx="6">
                  <c:v>1.0</c:v>
                </c:pt>
                <c:pt idx="7">
                  <c:v>1.0</c:v>
                </c:pt>
                <c:pt idx="8">
                  <c:v>1.0</c:v>
                </c:pt>
                <c:pt idx="10">
                  <c:v>2.0</c:v>
                </c:pt>
                <c:pt idx="12">
                  <c:v>2.0</c:v>
                </c:pt>
              </c:numCache>
            </c:numRef>
          </c:val>
        </c:ser>
        <c:ser>
          <c:idx val="14"/>
          <c:order val="14"/>
          <c:tx>
            <c:strRef>
              <c:f>Minho_IR_2!$A$22</c:f>
              <c:strCache>
                <c:ptCount val="1"/>
                <c:pt idx="0">
                  <c:v>Contrib. Period.</c:v>
                </c:pt>
              </c:strCache>
            </c:strRef>
          </c:tx>
          <c:marker>
            <c:symbol val="none"/>
          </c:marker>
          <c:cat>
            <c:strRef>
              <c:f>Minho_IR_2!$D$6:$R$6</c:f>
              <c:strCache>
                <c:ptCount val="15"/>
                <c:pt idx="0">
                  <c:v>1976-1999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strCache>
            </c:strRef>
          </c:cat>
          <c:val>
            <c:numRef>
              <c:f>Minho_IR_2!$D$22:$R$22</c:f>
              <c:numCache>
                <c:formatCode>General</c:formatCode>
                <c:ptCount val="15"/>
                <c:pt idx="0">
                  <c:v>0.0</c:v>
                </c:pt>
                <c:pt idx="8">
                  <c:v>2.0</c:v>
                </c:pt>
                <c:pt idx="9">
                  <c:v>1.0</c:v>
                </c:pt>
                <c:pt idx="10">
                  <c:v>1.0</c:v>
                </c:pt>
                <c:pt idx="12">
                  <c:v>1.0</c:v>
                </c:pt>
                <c:pt idx="13">
                  <c:v>1.0</c:v>
                </c:pt>
              </c:numCache>
            </c:numRef>
          </c:val>
        </c:ser>
        <c:marker val="1"/>
        <c:axId val="701447080"/>
        <c:axId val="701450232"/>
      </c:lineChart>
      <c:catAx>
        <c:axId val="701447080"/>
        <c:scaling>
          <c:orientation val="minMax"/>
        </c:scaling>
        <c:axPos val="b"/>
        <c:tickLblPos val="nextTo"/>
        <c:txPr>
          <a:bodyPr/>
          <a:lstStyle/>
          <a:p>
            <a:pPr>
              <a:defRPr lang="en-CA" sz="900"/>
            </a:pPr>
            <a:endParaRPr lang="en-US"/>
          </a:p>
        </c:txPr>
        <c:crossAx val="701450232"/>
        <c:crosses val="autoZero"/>
        <c:auto val="1"/>
        <c:lblAlgn val="ctr"/>
        <c:lblOffset val="100"/>
      </c:catAx>
      <c:valAx>
        <c:axId val="701450232"/>
        <c:scaling>
          <c:orientation val="minMax"/>
        </c:scaling>
        <c:axPos val="l"/>
        <c:majorGridlines/>
        <c:numFmt formatCode="General" sourceLinked="1"/>
        <c:tickLblPos val="nextTo"/>
        <c:txPr>
          <a:bodyPr/>
          <a:lstStyle/>
          <a:p>
            <a:pPr>
              <a:defRPr lang="en-CA"/>
            </a:pPr>
            <a:endParaRPr lang="en-US"/>
          </a:p>
        </c:txPr>
        <c:crossAx val="701447080"/>
        <c:crosses val="autoZero"/>
        <c:crossBetween val="between"/>
      </c:valAx>
    </c:plotArea>
    <c:legend>
      <c:legendPos val="r"/>
      <c:layout>
        <c:manualLayout>
          <c:xMode val="edge"/>
          <c:yMode val="edge"/>
          <c:x val="0.794243101369086"/>
          <c:y val="0.0129553849649936"/>
          <c:w val="0.204123045940012"/>
          <c:h val="0.894231409928248"/>
        </c:manualLayout>
      </c:layout>
      <c:txPr>
        <a:bodyPr/>
        <a:lstStyle/>
        <a:p>
          <a:pPr>
            <a:defRPr lang="en-CA" sz="900"/>
          </a:pPr>
          <a:endParaRPr lang="en-US"/>
        </a:p>
      </c:txPr>
    </c:legend>
    <c:plotVisOnly val="1"/>
  </c:chart>
  <c:externalData r:id="rId1"/>
  <c:userShapes r:id="rId2"/>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manualLayout>
          <c:layoutTarget val="inner"/>
          <c:xMode val="edge"/>
          <c:yMode val="edge"/>
          <c:x val="0.130402996500438"/>
          <c:y val="0.0514005540974045"/>
          <c:w val="0.860246245261009"/>
          <c:h val="0.690748031496067"/>
        </c:manualLayout>
      </c:layout>
      <c:barChart>
        <c:barDir val="col"/>
        <c:grouping val="clustered"/>
        <c:ser>
          <c:idx val="0"/>
          <c:order val="0"/>
          <c:tx>
            <c:strRef>
              <c:f>Minho_IR_2!$A$66</c:f>
              <c:strCache>
                <c:ptCount val="1"/>
                <c:pt idx="0">
                  <c:v>ALL DOCUMENTS (N=23738)</c:v>
                </c:pt>
              </c:strCache>
            </c:strRef>
          </c:tx>
          <c:spPr>
            <a:solidFill>
              <a:schemeClr val="tx1"/>
            </a:solidFill>
            <a:ln>
              <a:noFill/>
            </a:ln>
          </c:spPr>
          <c:cat>
            <c:strRef>
              <c:f>Minho_IR_2!$B$65:$P$65</c:f>
              <c:strCache>
                <c:ptCount val="15"/>
                <c:pt idx="0">
                  <c:v>1976-1999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strCache>
            </c:strRef>
          </c:cat>
          <c:val>
            <c:numRef>
              <c:f>Minho_IR_2!$B$66:$P$66</c:f>
              <c:numCache>
                <c:formatCode>General</c:formatCode>
                <c:ptCount val="15"/>
                <c:pt idx="0">
                  <c:v>1407.0</c:v>
                </c:pt>
                <c:pt idx="1">
                  <c:v>1799.0</c:v>
                </c:pt>
                <c:pt idx="2">
                  <c:v>2293.0</c:v>
                </c:pt>
                <c:pt idx="3">
                  <c:v>2861.0</c:v>
                </c:pt>
                <c:pt idx="4">
                  <c:v>3633.0</c:v>
                </c:pt>
                <c:pt idx="5">
                  <c:v>4879.0</c:v>
                </c:pt>
                <c:pt idx="6">
                  <c:v>6265.0</c:v>
                </c:pt>
                <c:pt idx="7">
                  <c:v>7748.0</c:v>
                </c:pt>
                <c:pt idx="8">
                  <c:v>9311.0</c:v>
                </c:pt>
                <c:pt idx="9">
                  <c:v>10974.0</c:v>
                </c:pt>
                <c:pt idx="10">
                  <c:v>12887.0</c:v>
                </c:pt>
                <c:pt idx="11">
                  <c:v>14948.0</c:v>
                </c:pt>
                <c:pt idx="12">
                  <c:v>18814.0</c:v>
                </c:pt>
                <c:pt idx="13">
                  <c:v>22768.0</c:v>
                </c:pt>
                <c:pt idx="14">
                  <c:v>23737.0</c:v>
                </c:pt>
              </c:numCache>
            </c:numRef>
          </c:val>
        </c:ser>
        <c:ser>
          <c:idx val="1"/>
          <c:order val="1"/>
          <c:tx>
            <c:strRef>
              <c:f>Minho_IR_2!$A$67</c:f>
              <c:strCache>
                <c:ptCount val="1"/>
                <c:pt idx="0">
                  <c:v>Article (N=8402)</c:v>
                </c:pt>
              </c:strCache>
            </c:strRef>
          </c:tx>
          <c:spPr>
            <a:solidFill>
              <a:srgbClr val="00B050"/>
            </a:solidFill>
          </c:spPr>
          <c:cat>
            <c:strRef>
              <c:f>Minho_IR_2!$B$65:$P$65</c:f>
              <c:strCache>
                <c:ptCount val="15"/>
                <c:pt idx="0">
                  <c:v>1976-1999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strCache>
            </c:strRef>
          </c:cat>
          <c:val>
            <c:numRef>
              <c:f>Minho_IR_2!$B$67:$P$67</c:f>
              <c:numCache>
                <c:formatCode>General</c:formatCode>
                <c:ptCount val="15"/>
                <c:pt idx="0">
                  <c:v>671.0</c:v>
                </c:pt>
                <c:pt idx="1">
                  <c:v>852.0</c:v>
                </c:pt>
                <c:pt idx="2">
                  <c:v>1065.0</c:v>
                </c:pt>
                <c:pt idx="3">
                  <c:v>1315.0</c:v>
                </c:pt>
                <c:pt idx="4">
                  <c:v>1612.0</c:v>
                </c:pt>
                <c:pt idx="5">
                  <c:v>1991.0</c:v>
                </c:pt>
                <c:pt idx="6">
                  <c:v>2449.0</c:v>
                </c:pt>
                <c:pt idx="7">
                  <c:v>2927.0</c:v>
                </c:pt>
                <c:pt idx="8">
                  <c:v>3427.0</c:v>
                </c:pt>
                <c:pt idx="9">
                  <c:v>4004.0</c:v>
                </c:pt>
                <c:pt idx="10">
                  <c:v>4610.0</c:v>
                </c:pt>
                <c:pt idx="11">
                  <c:v>5339.0</c:v>
                </c:pt>
                <c:pt idx="12">
                  <c:v>6560.0</c:v>
                </c:pt>
                <c:pt idx="13">
                  <c:v>7888.0</c:v>
                </c:pt>
                <c:pt idx="14">
                  <c:v>8401.0</c:v>
                </c:pt>
              </c:numCache>
            </c:numRef>
          </c:val>
        </c:ser>
        <c:axId val="701326232"/>
        <c:axId val="701262632"/>
      </c:barChart>
      <c:catAx>
        <c:axId val="701326232"/>
        <c:scaling>
          <c:orientation val="minMax"/>
        </c:scaling>
        <c:axPos val="b"/>
        <c:tickLblPos val="nextTo"/>
        <c:txPr>
          <a:bodyPr/>
          <a:lstStyle/>
          <a:p>
            <a:pPr>
              <a:defRPr lang="en-CA" sz="800"/>
            </a:pPr>
            <a:endParaRPr lang="en-US"/>
          </a:p>
        </c:txPr>
        <c:crossAx val="701262632"/>
        <c:crosses val="autoZero"/>
        <c:auto val="1"/>
        <c:lblAlgn val="ctr"/>
        <c:lblOffset val="100"/>
      </c:catAx>
      <c:valAx>
        <c:axId val="701262632"/>
        <c:scaling>
          <c:orientation val="minMax"/>
        </c:scaling>
        <c:axPos val="l"/>
        <c:majorGridlines/>
        <c:numFmt formatCode="General" sourceLinked="1"/>
        <c:tickLblPos val="nextTo"/>
        <c:txPr>
          <a:bodyPr/>
          <a:lstStyle/>
          <a:p>
            <a:pPr>
              <a:defRPr lang="en-CA" sz="900"/>
            </a:pPr>
            <a:endParaRPr lang="en-US"/>
          </a:p>
        </c:txPr>
        <c:crossAx val="701326232"/>
        <c:crosses val="autoZero"/>
        <c:crossBetween val="between"/>
      </c:valAx>
    </c:plotArea>
    <c:legend>
      <c:legendPos val="r"/>
      <c:layout>
        <c:manualLayout>
          <c:xMode val="edge"/>
          <c:yMode val="edge"/>
          <c:x val="0.375680045202687"/>
          <c:y val="0.0505420676582094"/>
          <c:w val="0.348599810440362"/>
          <c:h val="0.15817512394284"/>
        </c:manualLayout>
      </c:layout>
      <c:spPr>
        <a:solidFill>
          <a:sysClr val="window" lastClr="FFFFFF"/>
        </a:solidFill>
      </c:spPr>
      <c:txPr>
        <a:bodyPr/>
        <a:lstStyle/>
        <a:p>
          <a:pPr>
            <a:defRPr lang="en-CA" sz="900"/>
          </a:pPr>
          <a:endParaRPr lang="en-US"/>
        </a:p>
      </c:txPr>
    </c:legend>
    <c:plotVisOnly val="1"/>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manualLayout>
          <c:layoutTarget val="inner"/>
          <c:xMode val="edge"/>
          <c:yMode val="edge"/>
          <c:x val="0.109771668215702"/>
          <c:y val="0.108617524260489"/>
          <c:w val="0.79792869217402"/>
          <c:h val="0.503197369447022"/>
        </c:manualLayout>
      </c:layout>
      <c:barChart>
        <c:barDir val="col"/>
        <c:grouping val="clustered"/>
        <c:ser>
          <c:idx val="0"/>
          <c:order val="0"/>
          <c:tx>
            <c:strRef>
              <c:f>ISI_2!$M$6</c:f>
              <c:strCache>
                <c:ptCount val="1"/>
                <c:pt idx="0">
                  <c:v>Public Access Delay</c:v>
                </c:pt>
              </c:strCache>
            </c:strRef>
          </c:tx>
          <c:spPr>
            <a:solidFill>
              <a:srgbClr val="009900"/>
            </a:solidFill>
          </c:spPr>
          <c:cat>
            <c:strRef>
              <c:f>ISI_2!$L$7:$L$22</c:f>
              <c:strCache>
                <c:ptCount val="16"/>
                <c:pt idx="0">
                  <c:v>ALL DISCIPLINES</c:v>
                </c:pt>
                <c:pt idx="2">
                  <c:v>Arts</c:v>
                </c:pt>
                <c:pt idx="3">
                  <c:v>Biology</c:v>
                </c:pt>
                <c:pt idx="4">
                  <c:v>Biomedical Research</c:v>
                </c:pt>
                <c:pt idx="5">
                  <c:v>Chemistry</c:v>
                </c:pt>
                <c:pt idx="6">
                  <c:v>Clinical Medicine</c:v>
                </c:pt>
                <c:pt idx="7">
                  <c:v>Earth &amp; Space</c:v>
                </c:pt>
                <c:pt idx="8">
                  <c:v>Engineering &amp; Tech</c:v>
                </c:pt>
                <c:pt idx="9">
                  <c:v>Health</c:v>
                </c:pt>
                <c:pt idx="10">
                  <c:v>Humanities</c:v>
                </c:pt>
                <c:pt idx="11">
                  <c:v>Mathematics</c:v>
                </c:pt>
                <c:pt idx="12">
                  <c:v>Physics</c:v>
                </c:pt>
                <c:pt idx="13">
                  <c:v>Professional Fields</c:v>
                </c:pt>
                <c:pt idx="14">
                  <c:v>Psychology</c:v>
                </c:pt>
                <c:pt idx="15">
                  <c:v>Social Sciences</c:v>
                </c:pt>
              </c:strCache>
            </c:strRef>
          </c:cat>
          <c:val>
            <c:numRef>
              <c:f>ISI_2!$M$7:$M$22</c:f>
              <c:numCache>
                <c:formatCode>General</c:formatCode>
                <c:ptCount val="16"/>
                <c:pt idx="0" formatCode="0.0">
                  <c:v>12.22496282132995</c:v>
                </c:pt>
                <c:pt idx="2" formatCode="0.0">
                  <c:v>9.61666666666667</c:v>
                </c:pt>
                <c:pt idx="3" formatCode="0.0">
                  <c:v>6.304761904761906</c:v>
                </c:pt>
                <c:pt idx="4" formatCode="0.0">
                  <c:v>13.64803418803415</c:v>
                </c:pt>
                <c:pt idx="5" formatCode="0.0">
                  <c:v>15.03520749665327</c:v>
                </c:pt>
                <c:pt idx="6" formatCode="0.0">
                  <c:v>8.736767676767673</c:v>
                </c:pt>
                <c:pt idx="7" formatCode="0.0">
                  <c:v>6.718115942028959</c:v>
                </c:pt>
                <c:pt idx="8" formatCode="0.0">
                  <c:v>15.47839687194527</c:v>
                </c:pt>
                <c:pt idx="9" formatCode="0.0">
                  <c:v>-0.188095238095238</c:v>
                </c:pt>
                <c:pt idx="10" formatCode="0.0">
                  <c:v>2.033333333333333</c:v>
                </c:pt>
                <c:pt idx="11" formatCode="0.0">
                  <c:v>10.96129032258065</c:v>
                </c:pt>
                <c:pt idx="12" formatCode="0.0">
                  <c:v>11.1861386138614</c:v>
                </c:pt>
                <c:pt idx="13" formatCode="0.0">
                  <c:v>6.901587301587302</c:v>
                </c:pt>
                <c:pt idx="14" formatCode="0.0">
                  <c:v>7.426495726495726</c:v>
                </c:pt>
                <c:pt idx="15" formatCode="0.0">
                  <c:v>4.882828282828282</c:v>
                </c:pt>
              </c:numCache>
            </c:numRef>
          </c:val>
        </c:ser>
        <c:ser>
          <c:idx val="1"/>
          <c:order val="1"/>
          <c:tx>
            <c:strRef>
              <c:f>ISI_2!$N$6</c:f>
              <c:strCache>
                <c:ptCount val="1"/>
                <c:pt idx="0">
                  <c:v>Restricted Access Delay</c:v>
                </c:pt>
              </c:strCache>
            </c:strRef>
          </c:tx>
          <c:spPr>
            <a:solidFill>
              <a:srgbClr val="99FF66"/>
            </a:solidFill>
          </c:spPr>
          <c:cat>
            <c:strRef>
              <c:f>ISI_2!$L$7:$L$22</c:f>
              <c:strCache>
                <c:ptCount val="16"/>
                <c:pt idx="0">
                  <c:v>ALL DISCIPLINES</c:v>
                </c:pt>
                <c:pt idx="2">
                  <c:v>Arts</c:v>
                </c:pt>
                <c:pt idx="3">
                  <c:v>Biology</c:v>
                </c:pt>
                <c:pt idx="4">
                  <c:v>Biomedical Research</c:v>
                </c:pt>
                <c:pt idx="5">
                  <c:v>Chemistry</c:v>
                </c:pt>
                <c:pt idx="6">
                  <c:v>Clinical Medicine</c:v>
                </c:pt>
                <c:pt idx="7">
                  <c:v>Earth &amp; Space</c:v>
                </c:pt>
                <c:pt idx="8">
                  <c:v>Engineering &amp; Tech</c:v>
                </c:pt>
                <c:pt idx="9">
                  <c:v>Health</c:v>
                </c:pt>
                <c:pt idx="10">
                  <c:v>Humanities</c:v>
                </c:pt>
                <c:pt idx="11">
                  <c:v>Mathematics</c:v>
                </c:pt>
                <c:pt idx="12">
                  <c:v>Physics</c:v>
                </c:pt>
                <c:pt idx="13">
                  <c:v>Professional Fields</c:v>
                </c:pt>
                <c:pt idx="14">
                  <c:v>Psychology</c:v>
                </c:pt>
                <c:pt idx="15">
                  <c:v>Social Sciences</c:v>
                </c:pt>
              </c:strCache>
            </c:strRef>
          </c:cat>
          <c:val>
            <c:numRef>
              <c:f>ISI_2!$N$7:$N$22</c:f>
              <c:numCache>
                <c:formatCode>General</c:formatCode>
                <c:ptCount val="16"/>
                <c:pt idx="0" formatCode="0.0">
                  <c:v>14.96922240348017</c:v>
                </c:pt>
                <c:pt idx="3" formatCode="0.0">
                  <c:v>11.5034482758621</c:v>
                </c:pt>
                <c:pt idx="4" formatCode="0.0">
                  <c:v>7.09346405228758</c:v>
                </c:pt>
                <c:pt idx="5" formatCode="0.0">
                  <c:v>25.08880000000001</c:v>
                </c:pt>
                <c:pt idx="6" formatCode="0.0">
                  <c:v>10.28333333333333</c:v>
                </c:pt>
                <c:pt idx="7" formatCode="0.0">
                  <c:v>8.501333333333335</c:v>
                </c:pt>
                <c:pt idx="8" formatCode="0.0">
                  <c:v>17.49078014184389</c:v>
                </c:pt>
                <c:pt idx="9" formatCode="0.0">
                  <c:v>7.18205128205128</c:v>
                </c:pt>
                <c:pt idx="11" formatCode="0.0">
                  <c:v>5.127272727272728</c:v>
                </c:pt>
                <c:pt idx="12" formatCode="0.0">
                  <c:v>15.70877192982453</c:v>
                </c:pt>
                <c:pt idx="13" formatCode="0.0">
                  <c:v>10.35747126436782</c:v>
                </c:pt>
                <c:pt idx="14" formatCode="0.0">
                  <c:v>19.14927536231888</c:v>
                </c:pt>
                <c:pt idx="15" formatCode="0.0">
                  <c:v>5.67833333333334</c:v>
                </c:pt>
              </c:numCache>
            </c:numRef>
          </c:val>
        </c:ser>
        <c:axId val="701067592"/>
        <c:axId val="701047496"/>
      </c:barChart>
      <c:catAx>
        <c:axId val="701067592"/>
        <c:scaling>
          <c:orientation val="minMax"/>
        </c:scaling>
        <c:axPos val="b"/>
        <c:tickLblPos val="nextTo"/>
        <c:txPr>
          <a:bodyPr rot="2580000"/>
          <a:lstStyle/>
          <a:p>
            <a:pPr>
              <a:defRPr lang="en-CA" sz="800"/>
            </a:pPr>
            <a:endParaRPr lang="en-US"/>
          </a:p>
        </c:txPr>
        <c:crossAx val="701047496"/>
        <c:crosses val="autoZero"/>
        <c:auto val="1"/>
        <c:lblAlgn val="ctr"/>
        <c:lblOffset val="100"/>
      </c:catAx>
      <c:valAx>
        <c:axId val="701047496"/>
        <c:scaling>
          <c:orientation val="minMax"/>
          <c:max val="25.0"/>
          <c:min val="0.0"/>
        </c:scaling>
        <c:axPos val="l"/>
        <c:majorGridlines/>
        <c:numFmt formatCode="0" sourceLinked="0"/>
        <c:tickLblPos val="nextTo"/>
        <c:txPr>
          <a:bodyPr/>
          <a:lstStyle/>
          <a:p>
            <a:pPr>
              <a:defRPr lang="en-CA" sz="900"/>
            </a:pPr>
            <a:endParaRPr lang="en-US"/>
          </a:p>
        </c:txPr>
        <c:crossAx val="701067592"/>
        <c:crosses val="autoZero"/>
        <c:crossBetween val="between"/>
      </c:valAx>
    </c:plotArea>
    <c:legend>
      <c:legendPos val="t"/>
      <c:layout>
        <c:manualLayout>
          <c:xMode val="edge"/>
          <c:yMode val="edge"/>
          <c:x val="0.25471728703395"/>
          <c:y val="0.0"/>
          <c:w val="0.4905654259321"/>
          <c:h val="0.0992969512313778"/>
        </c:manualLayout>
      </c:layout>
      <c:spPr>
        <a:solidFill>
          <a:schemeClr val="bg1"/>
        </a:solidFill>
      </c:spPr>
      <c:txPr>
        <a:bodyPr/>
        <a:lstStyle/>
        <a:p>
          <a:pPr>
            <a:defRPr lang="en-CA" sz="900"/>
          </a:pPr>
          <a:endParaRPr lang="en-US"/>
        </a:p>
      </c:txPr>
    </c:legend>
    <c:plotVisOnly val="1"/>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manualLayout>
          <c:layoutTarget val="inner"/>
          <c:xMode val="edge"/>
          <c:yMode val="edge"/>
          <c:x val="0.106469643477518"/>
          <c:y val="0.119417236510025"/>
          <c:w val="0.805137239022925"/>
          <c:h val="0.515419036742074"/>
        </c:manualLayout>
      </c:layout>
      <c:barChart>
        <c:barDir val="col"/>
        <c:grouping val="clustered"/>
        <c:ser>
          <c:idx val="0"/>
          <c:order val="0"/>
          <c:tx>
            <c:strRef>
              <c:f>Minho_IR_3!$T$6</c:f>
              <c:strCache>
                <c:ptCount val="1"/>
                <c:pt idx="0">
                  <c:v>Public Access (N=1569)</c:v>
                </c:pt>
              </c:strCache>
            </c:strRef>
          </c:tx>
          <c:spPr>
            <a:solidFill>
              <a:srgbClr val="009900"/>
            </a:solidFill>
          </c:spPr>
          <c:cat>
            <c:strRef>
              <c:f>Minho_IR_3!$S$7:$S$22</c:f>
              <c:strCache>
                <c:ptCount val="16"/>
                <c:pt idx="0">
                  <c:v>ALL DISCIPLINES</c:v>
                </c:pt>
                <c:pt idx="2">
                  <c:v>Arts</c:v>
                </c:pt>
                <c:pt idx="3">
                  <c:v>Biology</c:v>
                </c:pt>
                <c:pt idx="4">
                  <c:v>Biomedical Research</c:v>
                </c:pt>
                <c:pt idx="5">
                  <c:v>Chemistry</c:v>
                </c:pt>
                <c:pt idx="6">
                  <c:v>Clinical Medicine</c:v>
                </c:pt>
                <c:pt idx="7">
                  <c:v>Earth and Space</c:v>
                </c:pt>
                <c:pt idx="8">
                  <c:v>Engineering &amp; Tech</c:v>
                </c:pt>
                <c:pt idx="9">
                  <c:v>Health</c:v>
                </c:pt>
                <c:pt idx="10">
                  <c:v>Humanities</c:v>
                </c:pt>
                <c:pt idx="11">
                  <c:v>Mathematics</c:v>
                </c:pt>
                <c:pt idx="12">
                  <c:v>Physics</c:v>
                </c:pt>
                <c:pt idx="13">
                  <c:v>Professional Fields</c:v>
                </c:pt>
                <c:pt idx="14">
                  <c:v>Psychology</c:v>
                </c:pt>
                <c:pt idx="15">
                  <c:v>Social Sciences</c:v>
                </c:pt>
              </c:strCache>
            </c:strRef>
          </c:cat>
          <c:val>
            <c:numRef>
              <c:f>Minho_IR_3!$T$7:$T$22</c:f>
              <c:numCache>
                <c:formatCode>General</c:formatCode>
                <c:ptCount val="16"/>
                <c:pt idx="0" formatCode="0.0">
                  <c:v>7.650354153251769</c:v>
                </c:pt>
                <c:pt idx="2" formatCode="0.0">
                  <c:v>0.5</c:v>
                </c:pt>
                <c:pt idx="3" formatCode="0.0">
                  <c:v>6.838095238095224</c:v>
                </c:pt>
                <c:pt idx="4" formatCode="0.0">
                  <c:v>10.0257731958763</c:v>
                </c:pt>
                <c:pt idx="5" formatCode="0.0">
                  <c:v>8.95528455284556</c:v>
                </c:pt>
                <c:pt idx="6" formatCode="0.0">
                  <c:v>12.15243902439027</c:v>
                </c:pt>
                <c:pt idx="7" formatCode="0.0">
                  <c:v>9.152173913043478</c:v>
                </c:pt>
                <c:pt idx="8" formatCode="0.0">
                  <c:v>4.545994065281898</c:v>
                </c:pt>
                <c:pt idx="9" formatCode="0.0">
                  <c:v>7.583333333333342</c:v>
                </c:pt>
                <c:pt idx="10" formatCode="0.0">
                  <c:v>0.0</c:v>
                </c:pt>
                <c:pt idx="11" formatCode="0.0">
                  <c:v>1.491803278688524</c:v>
                </c:pt>
                <c:pt idx="12" formatCode="0.0">
                  <c:v>5.52</c:v>
                </c:pt>
                <c:pt idx="13" formatCode="0.0">
                  <c:v>1.85</c:v>
                </c:pt>
                <c:pt idx="14" formatCode="0.0">
                  <c:v>4.94736842105265</c:v>
                </c:pt>
                <c:pt idx="15" formatCode="0.0">
                  <c:v>4.96969696969697</c:v>
                </c:pt>
              </c:numCache>
            </c:numRef>
          </c:val>
        </c:ser>
        <c:ser>
          <c:idx val="1"/>
          <c:order val="1"/>
          <c:tx>
            <c:strRef>
              <c:f>Minho_IR_3!$U$6</c:f>
              <c:strCache>
                <c:ptCount val="1"/>
                <c:pt idx="0">
                  <c:v>Restricted Access (N=613)</c:v>
                </c:pt>
              </c:strCache>
            </c:strRef>
          </c:tx>
          <c:spPr>
            <a:solidFill>
              <a:srgbClr val="99FF66"/>
            </a:solidFill>
          </c:spPr>
          <c:cat>
            <c:strRef>
              <c:f>Minho_IR_3!$S$7:$S$22</c:f>
              <c:strCache>
                <c:ptCount val="16"/>
                <c:pt idx="0">
                  <c:v>ALL DISCIPLINES</c:v>
                </c:pt>
                <c:pt idx="2">
                  <c:v>Arts</c:v>
                </c:pt>
                <c:pt idx="3">
                  <c:v>Biology</c:v>
                </c:pt>
                <c:pt idx="4">
                  <c:v>Biomedical Research</c:v>
                </c:pt>
                <c:pt idx="5">
                  <c:v>Chemistry</c:v>
                </c:pt>
                <c:pt idx="6">
                  <c:v>Clinical Medicine</c:v>
                </c:pt>
                <c:pt idx="7">
                  <c:v>Earth and Space</c:v>
                </c:pt>
                <c:pt idx="8">
                  <c:v>Engineering &amp; Tech</c:v>
                </c:pt>
                <c:pt idx="9">
                  <c:v>Health</c:v>
                </c:pt>
                <c:pt idx="10">
                  <c:v>Humanities</c:v>
                </c:pt>
                <c:pt idx="11">
                  <c:v>Mathematics</c:v>
                </c:pt>
                <c:pt idx="12">
                  <c:v>Physics</c:v>
                </c:pt>
                <c:pt idx="13">
                  <c:v>Professional Fields</c:v>
                </c:pt>
                <c:pt idx="14">
                  <c:v>Psychology</c:v>
                </c:pt>
                <c:pt idx="15">
                  <c:v>Social Sciences</c:v>
                </c:pt>
              </c:strCache>
            </c:strRef>
          </c:cat>
          <c:val>
            <c:numRef>
              <c:f>Minho_IR_3!$U$7:$U$22</c:f>
              <c:numCache>
                <c:formatCode>General</c:formatCode>
                <c:ptCount val="16"/>
                <c:pt idx="0" formatCode="0.0">
                  <c:v>2.817725752508361</c:v>
                </c:pt>
                <c:pt idx="3" formatCode="0.0">
                  <c:v>4.37037037037037</c:v>
                </c:pt>
                <c:pt idx="4" formatCode="0.0">
                  <c:v>3.72</c:v>
                </c:pt>
                <c:pt idx="5" formatCode="0.0">
                  <c:v>3.434426229508193</c:v>
                </c:pt>
                <c:pt idx="6" formatCode="0.0">
                  <c:v>3.890909090909091</c:v>
                </c:pt>
                <c:pt idx="7" formatCode="0.0">
                  <c:v>1.333333333333333</c:v>
                </c:pt>
                <c:pt idx="8" formatCode="0.0">
                  <c:v>3.271428571428571</c:v>
                </c:pt>
                <c:pt idx="9" formatCode="0.0">
                  <c:v>0.538461538461538</c:v>
                </c:pt>
                <c:pt idx="11" formatCode="0.0">
                  <c:v>1.409090909090908</c:v>
                </c:pt>
                <c:pt idx="12" formatCode="0.0">
                  <c:v>2.052631578947373</c:v>
                </c:pt>
                <c:pt idx="13" formatCode="0.0">
                  <c:v>1.0</c:v>
                </c:pt>
                <c:pt idx="14" formatCode="0.0">
                  <c:v>2.045454545454545</c:v>
                </c:pt>
                <c:pt idx="15" formatCode="0.0">
                  <c:v>0.789473684210526</c:v>
                </c:pt>
              </c:numCache>
            </c:numRef>
          </c:val>
        </c:ser>
        <c:ser>
          <c:idx val="2"/>
          <c:order val="2"/>
          <c:tx>
            <c:strRef>
              <c:f>Minho_IR_3!$V$6</c:f>
              <c:strCache>
                <c:ptCount val="1"/>
                <c:pt idx="0">
                  <c:v>Not Deposited (N=3518)</c:v>
                </c:pt>
              </c:strCache>
            </c:strRef>
          </c:tx>
          <c:spPr>
            <a:solidFill>
              <a:schemeClr val="tx1">
                <a:lumMod val="50000"/>
                <a:lumOff val="50000"/>
              </a:schemeClr>
            </a:solidFill>
          </c:spPr>
          <c:cat>
            <c:strRef>
              <c:f>Minho_IR_3!$S$7:$S$22</c:f>
              <c:strCache>
                <c:ptCount val="16"/>
                <c:pt idx="0">
                  <c:v>ALL DISCIPLINES</c:v>
                </c:pt>
                <c:pt idx="2">
                  <c:v>Arts</c:v>
                </c:pt>
                <c:pt idx="3">
                  <c:v>Biology</c:v>
                </c:pt>
                <c:pt idx="4">
                  <c:v>Biomedical Research</c:v>
                </c:pt>
                <c:pt idx="5">
                  <c:v>Chemistry</c:v>
                </c:pt>
                <c:pt idx="6">
                  <c:v>Clinical Medicine</c:v>
                </c:pt>
                <c:pt idx="7">
                  <c:v>Earth and Space</c:v>
                </c:pt>
                <c:pt idx="8">
                  <c:v>Engineering &amp; Tech</c:v>
                </c:pt>
                <c:pt idx="9">
                  <c:v>Health</c:v>
                </c:pt>
                <c:pt idx="10">
                  <c:v>Humanities</c:v>
                </c:pt>
                <c:pt idx="11">
                  <c:v>Mathematics</c:v>
                </c:pt>
                <c:pt idx="12">
                  <c:v>Physics</c:v>
                </c:pt>
                <c:pt idx="13">
                  <c:v>Professional Fields</c:v>
                </c:pt>
                <c:pt idx="14">
                  <c:v>Psychology</c:v>
                </c:pt>
                <c:pt idx="15">
                  <c:v>Social Sciences</c:v>
                </c:pt>
              </c:strCache>
            </c:strRef>
          </c:cat>
          <c:val>
            <c:numRef>
              <c:f>Minho_IR_3!$V$7:$V$22</c:f>
              <c:numCache>
                <c:formatCode>General</c:formatCode>
                <c:ptCount val="16"/>
                <c:pt idx="0" formatCode="0.0">
                  <c:v>8.93124456048738</c:v>
                </c:pt>
                <c:pt idx="2" formatCode="0.0">
                  <c:v>2.0</c:v>
                </c:pt>
                <c:pt idx="3" formatCode="0.0">
                  <c:v>10.06470588235294</c:v>
                </c:pt>
                <c:pt idx="4" formatCode="0.0">
                  <c:v>13.77120822622107</c:v>
                </c:pt>
                <c:pt idx="5" formatCode="0.0">
                  <c:v>8.66074950690337</c:v>
                </c:pt>
                <c:pt idx="6" formatCode="0.0">
                  <c:v>12.06598984771576</c:v>
                </c:pt>
                <c:pt idx="7" formatCode="0.0">
                  <c:v>5.490196078431373</c:v>
                </c:pt>
                <c:pt idx="8" formatCode="0.0">
                  <c:v>5.755181347150238</c:v>
                </c:pt>
                <c:pt idx="9" formatCode="0.0">
                  <c:v>2.975609756097561</c:v>
                </c:pt>
                <c:pt idx="10" formatCode="0.0">
                  <c:v>0.55</c:v>
                </c:pt>
                <c:pt idx="11" formatCode="0.0">
                  <c:v>2.570247933884285</c:v>
                </c:pt>
                <c:pt idx="12" formatCode="0.0">
                  <c:v>13.93333333333333</c:v>
                </c:pt>
                <c:pt idx="13" formatCode="0.0">
                  <c:v>4.051282051282051</c:v>
                </c:pt>
                <c:pt idx="14" formatCode="0.0">
                  <c:v>3.582191780821925</c:v>
                </c:pt>
                <c:pt idx="15" formatCode="0.0">
                  <c:v>4.884297520661157</c:v>
                </c:pt>
              </c:numCache>
            </c:numRef>
          </c:val>
        </c:ser>
        <c:axId val="700942056"/>
        <c:axId val="117932424"/>
      </c:barChart>
      <c:catAx>
        <c:axId val="700942056"/>
        <c:scaling>
          <c:orientation val="minMax"/>
        </c:scaling>
        <c:axPos val="b"/>
        <c:tickLblPos val="nextTo"/>
        <c:txPr>
          <a:bodyPr rot="2700000"/>
          <a:lstStyle/>
          <a:p>
            <a:pPr>
              <a:defRPr lang="en-CA" sz="800"/>
            </a:pPr>
            <a:endParaRPr lang="en-US"/>
          </a:p>
        </c:txPr>
        <c:crossAx val="117932424"/>
        <c:crosses val="autoZero"/>
        <c:auto val="1"/>
        <c:lblAlgn val="ctr"/>
        <c:lblOffset val="100"/>
      </c:catAx>
      <c:valAx>
        <c:axId val="117932424"/>
        <c:scaling>
          <c:orientation val="minMax"/>
        </c:scaling>
        <c:axPos val="l"/>
        <c:majorGridlines/>
        <c:numFmt formatCode="0" sourceLinked="0"/>
        <c:tickLblPos val="nextTo"/>
        <c:txPr>
          <a:bodyPr/>
          <a:lstStyle/>
          <a:p>
            <a:pPr>
              <a:defRPr lang="en-CA" sz="900"/>
            </a:pPr>
            <a:endParaRPr lang="en-US"/>
          </a:p>
        </c:txPr>
        <c:crossAx val="700942056"/>
        <c:crosses val="autoZero"/>
        <c:crossBetween val="between"/>
      </c:valAx>
    </c:plotArea>
    <c:legend>
      <c:legendPos val="t"/>
      <c:legendEntry>
        <c:idx val="0"/>
        <c:txPr>
          <a:bodyPr/>
          <a:lstStyle/>
          <a:p>
            <a:pPr>
              <a:defRPr sz="900" b="0"/>
            </a:pPr>
            <a:endParaRPr lang="en-US"/>
          </a:p>
        </c:txPr>
      </c:legendEntry>
      <c:layout>
        <c:manualLayout>
          <c:xMode val="edge"/>
          <c:yMode val="edge"/>
          <c:x val="0.0153509657446665"/>
          <c:y val="0.0203636379184834"/>
          <c:w val="0.96838479909346"/>
          <c:h val="0.061372316783379"/>
        </c:manualLayout>
      </c:layout>
      <c:txPr>
        <a:bodyPr/>
        <a:lstStyle/>
        <a:p>
          <a:pPr>
            <a:defRPr lang="en-CA" sz="900"/>
          </a:pPr>
          <a:endParaRPr lang="en-US"/>
        </a:p>
      </c:txPr>
    </c:legend>
    <c:plotVisOnly val="1"/>
    <c:dispBlanksAs val="gap"/>
  </c:chart>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manualLayout>
          <c:layoutTarget val="inner"/>
          <c:xMode val="edge"/>
          <c:yMode val="edge"/>
          <c:x val="0.101573968746942"/>
          <c:y val="0.143643836973209"/>
          <c:w val="0.801314442561069"/>
          <c:h val="0.630650209434973"/>
        </c:manualLayout>
      </c:layout>
      <c:barChart>
        <c:barDir val="col"/>
        <c:grouping val="percentStacked"/>
        <c:ser>
          <c:idx val="0"/>
          <c:order val="0"/>
          <c:tx>
            <c:strRef>
              <c:f>ISI_1!$K$51</c:f>
              <c:strCache>
                <c:ptCount val="1"/>
                <c:pt idx="0">
                  <c:v>Public Access</c:v>
                </c:pt>
              </c:strCache>
            </c:strRef>
          </c:tx>
          <c:spPr>
            <a:solidFill>
              <a:srgbClr val="009900"/>
            </a:solidFill>
          </c:spPr>
          <c:cat>
            <c:strRef>
              <c:f>ISI_1!$J$52:$J$62</c:f>
              <c:strCache>
                <c:ptCount val="11"/>
                <c:pt idx="0">
                  <c:v>2004-2012</c:v>
                </c:pt>
                <c:pt idx="2">
                  <c:v>2004</c:v>
                </c:pt>
                <c:pt idx="3">
                  <c:v>2005</c:v>
                </c:pt>
                <c:pt idx="4">
                  <c:v>2006</c:v>
                </c:pt>
                <c:pt idx="5">
                  <c:v>2007</c:v>
                </c:pt>
                <c:pt idx="6">
                  <c:v>2008</c:v>
                </c:pt>
                <c:pt idx="7">
                  <c:v>2009</c:v>
                </c:pt>
                <c:pt idx="8">
                  <c:v>2010</c:v>
                </c:pt>
                <c:pt idx="9">
                  <c:v>2011</c:v>
                </c:pt>
                <c:pt idx="10">
                  <c:v>2012</c:v>
                </c:pt>
              </c:strCache>
            </c:strRef>
          </c:cat>
          <c:val>
            <c:numRef>
              <c:f>ISI_1!$K$52:$K$62</c:f>
              <c:numCache>
                <c:formatCode>General</c:formatCode>
                <c:ptCount val="11"/>
                <c:pt idx="0" formatCode="0%">
                  <c:v>0.275263157894737</c:v>
                </c:pt>
                <c:pt idx="2" formatCode="0%">
                  <c:v>0.309045226130653</c:v>
                </c:pt>
                <c:pt idx="3" formatCode="0%">
                  <c:v>0.344736842105263</c:v>
                </c:pt>
                <c:pt idx="4" formatCode="0%">
                  <c:v>0.269685039370079</c:v>
                </c:pt>
                <c:pt idx="5" formatCode="0%">
                  <c:v>0.255060728744939</c:v>
                </c:pt>
                <c:pt idx="6" formatCode="0%">
                  <c:v>0.237931034482759</c:v>
                </c:pt>
                <c:pt idx="7" formatCode="0%">
                  <c:v>0.241433021806854</c:v>
                </c:pt>
                <c:pt idx="8" formatCode="0%">
                  <c:v>0.227576974564926</c:v>
                </c:pt>
                <c:pt idx="9" formatCode="0%">
                  <c:v>0.319634703196347</c:v>
                </c:pt>
                <c:pt idx="10" formatCode="0%">
                  <c:v>0.287441860465116</c:v>
                </c:pt>
              </c:numCache>
            </c:numRef>
          </c:val>
        </c:ser>
        <c:ser>
          <c:idx val="1"/>
          <c:order val="1"/>
          <c:tx>
            <c:strRef>
              <c:f>ISI_1!$L$51</c:f>
              <c:strCache>
                <c:ptCount val="1"/>
                <c:pt idx="0">
                  <c:v>Restricted Access</c:v>
                </c:pt>
              </c:strCache>
            </c:strRef>
          </c:tx>
          <c:spPr>
            <a:solidFill>
              <a:srgbClr val="99FF66"/>
            </a:solidFill>
          </c:spPr>
          <c:cat>
            <c:strRef>
              <c:f>ISI_1!$J$52:$J$62</c:f>
              <c:strCache>
                <c:ptCount val="11"/>
                <c:pt idx="0">
                  <c:v>2004-2012</c:v>
                </c:pt>
                <c:pt idx="2">
                  <c:v>2004</c:v>
                </c:pt>
                <c:pt idx="3">
                  <c:v>2005</c:v>
                </c:pt>
                <c:pt idx="4">
                  <c:v>2006</c:v>
                </c:pt>
                <c:pt idx="5">
                  <c:v>2007</c:v>
                </c:pt>
                <c:pt idx="6">
                  <c:v>2008</c:v>
                </c:pt>
                <c:pt idx="7">
                  <c:v>2009</c:v>
                </c:pt>
                <c:pt idx="8">
                  <c:v>2010</c:v>
                </c:pt>
                <c:pt idx="9">
                  <c:v>2011</c:v>
                </c:pt>
                <c:pt idx="10">
                  <c:v>2012</c:v>
                </c:pt>
              </c:strCache>
            </c:strRef>
          </c:cat>
          <c:val>
            <c:numRef>
              <c:f>ISI_1!$L$52:$L$62</c:f>
              <c:numCache>
                <c:formatCode>General</c:formatCode>
                <c:ptCount val="11"/>
                <c:pt idx="0" formatCode="0%">
                  <c:v>0.107543859649123</c:v>
                </c:pt>
                <c:pt idx="2" formatCode="0%">
                  <c:v>0.027638190954774</c:v>
                </c:pt>
                <c:pt idx="3" formatCode="0%">
                  <c:v>0.0578947368421054</c:v>
                </c:pt>
                <c:pt idx="4" formatCode="0%">
                  <c:v>0.0748031496062992</c:v>
                </c:pt>
                <c:pt idx="5" formatCode="0%">
                  <c:v>0.0506072874493928</c:v>
                </c:pt>
                <c:pt idx="6" formatCode="0%">
                  <c:v>0.0482758620689654</c:v>
                </c:pt>
                <c:pt idx="7" formatCode="0%">
                  <c:v>0.0451713395638628</c:v>
                </c:pt>
                <c:pt idx="8" formatCode="0%">
                  <c:v>0.093708165997323</c:v>
                </c:pt>
                <c:pt idx="9" formatCode="0%">
                  <c:v>0.168949771689498</c:v>
                </c:pt>
                <c:pt idx="10" formatCode="0%">
                  <c:v>0.225116279069767</c:v>
                </c:pt>
              </c:numCache>
            </c:numRef>
          </c:val>
        </c:ser>
        <c:ser>
          <c:idx val="2"/>
          <c:order val="2"/>
          <c:tx>
            <c:strRef>
              <c:f>ISI_1!$M$51</c:f>
              <c:strCache>
                <c:ptCount val="1"/>
                <c:pt idx="0">
                  <c:v>Not Deposited</c:v>
                </c:pt>
              </c:strCache>
            </c:strRef>
          </c:tx>
          <c:spPr>
            <a:solidFill>
              <a:schemeClr val="tx1">
                <a:lumMod val="50000"/>
                <a:lumOff val="50000"/>
              </a:schemeClr>
            </a:solidFill>
          </c:spPr>
          <c:cat>
            <c:strRef>
              <c:f>ISI_1!$J$52:$J$62</c:f>
              <c:strCache>
                <c:ptCount val="11"/>
                <c:pt idx="0">
                  <c:v>2004-2012</c:v>
                </c:pt>
                <c:pt idx="2">
                  <c:v>2004</c:v>
                </c:pt>
                <c:pt idx="3">
                  <c:v>2005</c:v>
                </c:pt>
                <c:pt idx="4">
                  <c:v>2006</c:v>
                </c:pt>
                <c:pt idx="5">
                  <c:v>2007</c:v>
                </c:pt>
                <c:pt idx="6">
                  <c:v>2008</c:v>
                </c:pt>
                <c:pt idx="7">
                  <c:v>2009</c:v>
                </c:pt>
                <c:pt idx="8">
                  <c:v>2010</c:v>
                </c:pt>
                <c:pt idx="9">
                  <c:v>2011</c:v>
                </c:pt>
                <c:pt idx="10">
                  <c:v>2012</c:v>
                </c:pt>
              </c:strCache>
            </c:strRef>
          </c:cat>
          <c:val>
            <c:numRef>
              <c:f>ISI_1!$M$52:$M$62</c:f>
              <c:numCache>
                <c:formatCode>General</c:formatCode>
                <c:ptCount val="11"/>
                <c:pt idx="0" formatCode="0%">
                  <c:v>0.617192982456142</c:v>
                </c:pt>
                <c:pt idx="2" formatCode="0%">
                  <c:v>0.663316582914574</c:v>
                </c:pt>
                <c:pt idx="3" formatCode="0%">
                  <c:v>0.597368421052629</c:v>
                </c:pt>
                <c:pt idx="4" formatCode="0%">
                  <c:v>0.655511811023623</c:v>
                </c:pt>
                <c:pt idx="5" formatCode="0%">
                  <c:v>0.694331983805666</c:v>
                </c:pt>
                <c:pt idx="6" formatCode="0%">
                  <c:v>0.713793103448278</c:v>
                </c:pt>
                <c:pt idx="7" formatCode="0%">
                  <c:v>0.713395638629287</c:v>
                </c:pt>
                <c:pt idx="8" formatCode="0%">
                  <c:v>0.678714859437752</c:v>
                </c:pt>
                <c:pt idx="9" formatCode="0%">
                  <c:v>0.511415525114155</c:v>
                </c:pt>
                <c:pt idx="10" formatCode="0%">
                  <c:v>0.487441860465116</c:v>
                </c:pt>
              </c:numCache>
            </c:numRef>
          </c:val>
        </c:ser>
        <c:overlap val="100"/>
        <c:axId val="349019048"/>
        <c:axId val="348993912"/>
      </c:barChart>
      <c:lineChart>
        <c:grouping val="standard"/>
        <c:ser>
          <c:idx val="3"/>
          <c:order val="3"/>
          <c:tx>
            <c:strRef>
              <c:f>ISI_1!$N$51</c:f>
              <c:strCache>
                <c:ptCount val="1"/>
                <c:pt idx="0">
                  <c:v>ISI Article Count</c:v>
                </c:pt>
              </c:strCache>
            </c:strRef>
          </c:tx>
          <c:spPr>
            <a:ln>
              <a:noFill/>
            </a:ln>
          </c:spPr>
          <c:marker>
            <c:symbol val="x"/>
            <c:size val="7"/>
            <c:spPr>
              <a:ln w="25400">
                <a:solidFill>
                  <a:sysClr val="windowText" lastClr="000000"/>
                </a:solidFill>
              </a:ln>
            </c:spPr>
          </c:marker>
          <c:cat>
            <c:strRef>
              <c:f>ISI_1!$J$52:$J$62</c:f>
              <c:strCache>
                <c:ptCount val="11"/>
                <c:pt idx="0">
                  <c:v>2004-2012</c:v>
                </c:pt>
                <c:pt idx="2">
                  <c:v>2004</c:v>
                </c:pt>
                <c:pt idx="3">
                  <c:v>2005</c:v>
                </c:pt>
                <c:pt idx="4">
                  <c:v>2006</c:v>
                </c:pt>
                <c:pt idx="5">
                  <c:v>2007</c:v>
                </c:pt>
                <c:pt idx="6">
                  <c:v>2008</c:v>
                </c:pt>
                <c:pt idx="7">
                  <c:v>2009</c:v>
                </c:pt>
                <c:pt idx="8">
                  <c:v>2010</c:v>
                </c:pt>
                <c:pt idx="9">
                  <c:v>2011</c:v>
                </c:pt>
                <c:pt idx="10">
                  <c:v>2012</c:v>
                </c:pt>
              </c:strCache>
            </c:strRef>
          </c:cat>
          <c:val>
            <c:numRef>
              <c:f>ISI_1!$N$52:$N$62</c:f>
              <c:numCache>
                <c:formatCode>General</c:formatCode>
                <c:ptCount val="11"/>
                <c:pt idx="2">
                  <c:v>398.0</c:v>
                </c:pt>
                <c:pt idx="3">
                  <c:v>380.0</c:v>
                </c:pt>
                <c:pt idx="4">
                  <c:v>508.0</c:v>
                </c:pt>
                <c:pt idx="5">
                  <c:v>494.0</c:v>
                </c:pt>
                <c:pt idx="6">
                  <c:v>580.0</c:v>
                </c:pt>
                <c:pt idx="7">
                  <c:v>642.0</c:v>
                </c:pt>
                <c:pt idx="8">
                  <c:v>747.0</c:v>
                </c:pt>
                <c:pt idx="9">
                  <c:v>876.0</c:v>
                </c:pt>
                <c:pt idx="10">
                  <c:v>1075.0</c:v>
                </c:pt>
              </c:numCache>
            </c:numRef>
          </c:val>
        </c:ser>
        <c:marker val="1"/>
        <c:axId val="348991256"/>
        <c:axId val="409647704"/>
      </c:lineChart>
      <c:catAx>
        <c:axId val="349019048"/>
        <c:scaling>
          <c:orientation val="minMax"/>
        </c:scaling>
        <c:axPos val="b"/>
        <c:tickLblPos val="nextTo"/>
        <c:txPr>
          <a:bodyPr/>
          <a:lstStyle/>
          <a:p>
            <a:pPr>
              <a:defRPr lang="en-CA" sz="800"/>
            </a:pPr>
            <a:endParaRPr lang="en-US"/>
          </a:p>
        </c:txPr>
        <c:crossAx val="348993912"/>
        <c:crosses val="autoZero"/>
        <c:auto val="1"/>
        <c:lblAlgn val="ctr"/>
        <c:lblOffset val="100"/>
      </c:catAx>
      <c:valAx>
        <c:axId val="348993912"/>
        <c:scaling>
          <c:orientation val="minMax"/>
        </c:scaling>
        <c:axPos val="l"/>
        <c:majorGridlines/>
        <c:numFmt formatCode="0%" sourceLinked="1"/>
        <c:tickLblPos val="nextTo"/>
        <c:txPr>
          <a:bodyPr/>
          <a:lstStyle/>
          <a:p>
            <a:pPr>
              <a:defRPr lang="en-CA" sz="900"/>
            </a:pPr>
            <a:endParaRPr lang="en-US"/>
          </a:p>
        </c:txPr>
        <c:crossAx val="349019048"/>
        <c:crosses val="autoZero"/>
        <c:crossBetween val="between"/>
      </c:valAx>
      <c:valAx>
        <c:axId val="409647704"/>
        <c:scaling>
          <c:orientation val="minMax"/>
        </c:scaling>
        <c:axPos val="r"/>
        <c:numFmt formatCode="General" sourceLinked="1"/>
        <c:tickLblPos val="nextTo"/>
        <c:txPr>
          <a:bodyPr/>
          <a:lstStyle/>
          <a:p>
            <a:pPr>
              <a:defRPr lang="en-CA"/>
            </a:pPr>
            <a:endParaRPr lang="en-US"/>
          </a:p>
        </c:txPr>
        <c:crossAx val="348991256"/>
        <c:crosses val="max"/>
        <c:crossBetween val="between"/>
      </c:valAx>
      <c:catAx>
        <c:axId val="348991256"/>
        <c:scaling>
          <c:orientation val="minMax"/>
        </c:scaling>
        <c:delete val="1"/>
        <c:axPos val="b"/>
        <c:tickLblPos val="none"/>
        <c:crossAx val="409647704"/>
        <c:crosses val="autoZero"/>
        <c:auto val="1"/>
        <c:lblAlgn val="ctr"/>
        <c:lblOffset val="100"/>
      </c:catAx>
    </c:plotArea>
    <c:legend>
      <c:legendPos val="t"/>
      <c:layout/>
      <c:txPr>
        <a:bodyPr/>
        <a:lstStyle/>
        <a:p>
          <a:pPr>
            <a:defRPr lang="en-CA" sz="900"/>
          </a:pPr>
          <a:endParaRPr lang="en-US"/>
        </a:p>
      </c:txPr>
    </c:legend>
    <c:plotVisOnly val="1"/>
    <c:dispBlanksAs val="gap"/>
  </c:chart>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manualLayout>
          <c:layoutTarget val="inner"/>
          <c:xMode val="edge"/>
          <c:yMode val="edge"/>
          <c:x val="0.10086709040888"/>
          <c:y val="0.152590926134233"/>
          <c:w val="0.807636430901079"/>
          <c:h val="0.62566285247088"/>
        </c:manualLayout>
      </c:layout>
      <c:barChart>
        <c:barDir val="col"/>
        <c:grouping val="clustered"/>
        <c:ser>
          <c:idx val="0"/>
          <c:order val="0"/>
          <c:tx>
            <c:strRef>
              <c:f>ISI_2!$M$63</c:f>
              <c:strCache>
                <c:ptCount val="1"/>
                <c:pt idx="0">
                  <c:v>Public Access Delay</c:v>
                </c:pt>
              </c:strCache>
            </c:strRef>
          </c:tx>
          <c:spPr>
            <a:solidFill>
              <a:srgbClr val="009900"/>
            </a:solidFill>
          </c:spPr>
          <c:cat>
            <c:strRef>
              <c:f>ISI_2!$L$64:$L$74</c:f>
              <c:strCache>
                <c:ptCount val="11"/>
                <c:pt idx="0">
                  <c:v>2004-2012</c:v>
                </c:pt>
                <c:pt idx="2">
                  <c:v>2004</c:v>
                </c:pt>
                <c:pt idx="3">
                  <c:v>2005</c:v>
                </c:pt>
                <c:pt idx="4">
                  <c:v>2006</c:v>
                </c:pt>
                <c:pt idx="5">
                  <c:v>2007</c:v>
                </c:pt>
                <c:pt idx="6">
                  <c:v>2008</c:v>
                </c:pt>
                <c:pt idx="7">
                  <c:v>2009</c:v>
                </c:pt>
                <c:pt idx="8">
                  <c:v>2010</c:v>
                </c:pt>
                <c:pt idx="9">
                  <c:v>2011</c:v>
                </c:pt>
                <c:pt idx="10">
                  <c:v>2012</c:v>
                </c:pt>
              </c:strCache>
            </c:strRef>
          </c:cat>
          <c:val>
            <c:numRef>
              <c:f>ISI_2!$M$64:$M$74</c:f>
              <c:numCache>
                <c:formatCode>General</c:formatCode>
                <c:ptCount val="11"/>
                <c:pt idx="0" formatCode="0.0">
                  <c:v>12.22496282132995</c:v>
                </c:pt>
                <c:pt idx="2" formatCode="0.0">
                  <c:v>20.85365853658531</c:v>
                </c:pt>
                <c:pt idx="3" formatCode="0.0">
                  <c:v>13.48651399491095</c:v>
                </c:pt>
                <c:pt idx="4" formatCode="0.0">
                  <c:v>17.34939172749393</c:v>
                </c:pt>
                <c:pt idx="5" formatCode="0.0">
                  <c:v>22.70767195767193</c:v>
                </c:pt>
                <c:pt idx="6" formatCode="0.0">
                  <c:v>17.29275362318841</c:v>
                </c:pt>
                <c:pt idx="7" formatCode="0.0">
                  <c:v>17.20795698924731</c:v>
                </c:pt>
                <c:pt idx="8" formatCode="0.0">
                  <c:v>14.13450980392156</c:v>
                </c:pt>
                <c:pt idx="9" formatCode="0.0">
                  <c:v>3.964404761904764</c:v>
                </c:pt>
                <c:pt idx="10" formatCode="0.0">
                  <c:v>3.38079827400216</c:v>
                </c:pt>
              </c:numCache>
            </c:numRef>
          </c:val>
        </c:ser>
        <c:ser>
          <c:idx val="1"/>
          <c:order val="1"/>
          <c:tx>
            <c:strRef>
              <c:f>ISI_2!$N$63</c:f>
              <c:strCache>
                <c:ptCount val="1"/>
                <c:pt idx="0">
                  <c:v>Restricted Access Delay</c:v>
                </c:pt>
              </c:strCache>
            </c:strRef>
          </c:tx>
          <c:spPr>
            <a:solidFill>
              <a:srgbClr val="99FF66"/>
            </a:solidFill>
          </c:spPr>
          <c:cat>
            <c:strRef>
              <c:f>ISI_2!$L$64:$L$74</c:f>
              <c:strCache>
                <c:ptCount val="11"/>
                <c:pt idx="0">
                  <c:v>2004-2012</c:v>
                </c:pt>
                <c:pt idx="2">
                  <c:v>2004</c:v>
                </c:pt>
                <c:pt idx="3">
                  <c:v>2005</c:v>
                </c:pt>
                <c:pt idx="4">
                  <c:v>2006</c:v>
                </c:pt>
                <c:pt idx="5">
                  <c:v>2007</c:v>
                </c:pt>
                <c:pt idx="6">
                  <c:v>2008</c:v>
                </c:pt>
                <c:pt idx="7">
                  <c:v>2009</c:v>
                </c:pt>
                <c:pt idx="8">
                  <c:v>2010</c:v>
                </c:pt>
                <c:pt idx="9">
                  <c:v>2011</c:v>
                </c:pt>
                <c:pt idx="10">
                  <c:v>2012</c:v>
                </c:pt>
              </c:strCache>
            </c:strRef>
          </c:cat>
          <c:val>
            <c:numRef>
              <c:f>ISI_2!$N$64:$N$74</c:f>
              <c:numCache>
                <c:formatCode>General</c:formatCode>
                <c:ptCount val="11"/>
                <c:pt idx="0" formatCode="0.0">
                  <c:v>14.96922240348017</c:v>
                </c:pt>
                <c:pt idx="2" formatCode="0.0">
                  <c:v>63.98181818181801</c:v>
                </c:pt>
                <c:pt idx="3" formatCode="0.0">
                  <c:v>55.70454545454545</c:v>
                </c:pt>
                <c:pt idx="4" formatCode="0.0">
                  <c:v>55.03508771929804</c:v>
                </c:pt>
                <c:pt idx="5" formatCode="0.0">
                  <c:v>46.3413333333333</c:v>
                </c:pt>
                <c:pt idx="6" formatCode="0.0">
                  <c:v>37.29523809523811</c:v>
                </c:pt>
                <c:pt idx="7" formatCode="0.0">
                  <c:v>26.43218390804594</c:v>
                </c:pt>
                <c:pt idx="8" formatCode="0.0">
                  <c:v>13.3466666666667</c:v>
                </c:pt>
                <c:pt idx="9" formatCode="0.0">
                  <c:v>4.047747747747745</c:v>
                </c:pt>
                <c:pt idx="10" formatCode="0.0">
                  <c:v>2.697658402203852</c:v>
                </c:pt>
              </c:numCache>
            </c:numRef>
          </c:val>
        </c:ser>
        <c:axId val="409622584"/>
        <c:axId val="349013816"/>
      </c:barChart>
      <c:catAx>
        <c:axId val="409622584"/>
        <c:scaling>
          <c:orientation val="minMax"/>
        </c:scaling>
        <c:axPos val="b"/>
        <c:numFmt formatCode="General" sourceLinked="1"/>
        <c:tickLblPos val="nextTo"/>
        <c:txPr>
          <a:bodyPr/>
          <a:lstStyle/>
          <a:p>
            <a:pPr>
              <a:defRPr lang="en-CA" sz="800"/>
            </a:pPr>
            <a:endParaRPr lang="en-US"/>
          </a:p>
        </c:txPr>
        <c:crossAx val="349013816"/>
        <c:crosses val="autoZero"/>
        <c:auto val="1"/>
        <c:lblAlgn val="ctr"/>
        <c:lblOffset val="100"/>
      </c:catAx>
      <c:valAx>
        <c:axId val="349013816"/>
        <c:scaling>
          <c:orientation val="minMax"/>
          <c:max val="70.0"/>
        </c:scaling>
        <c:axPos val="l"/>
        <c:majorGridlines/>
        <c:numFmt formatCode="0" sourceLinked="0"/>
        <c:tickLblPos val="nextTo"/>
        <c:txPr>
          <a:bodyPr/>
          <a:lstStyle/>
          <a:p>
            <a:pPr>
              <a:defRPr lang="en-CA" sz="900"/>
            </a:pPr>
            <a:endParaRPr lang="en-US"/>
          </a:p>
        </c:txPr>
        <c:crossAx val="409622584"/>
        <c:crosses val="autoZero"/>
        <c:crossBetween val="between"/>
      </c:valAx>
    </c:plotArea>
    <c:legend>
      <c:legendPos val="t"/>
      <c:layout>
        <c:manualLayout>
          <c:xMode val="edge"/>
          <c:yMode val="edge"/>
          <c:x val="0.237472744707945"/>
          <c:y val="0.0"/>
          <c:w val="0.525054510584111"/>
          <c:h val="0.10763638920135"/>
        </c:manualLayout>
      </c:layout>
      <c:spPr>
        <a:solidFill>
          <a:schemeClr val="bg1"/>
        </a:solidFill>
      </c:spPr>
      <c:txPr>
        <a:bodyPr/>
        <a:lstStyle/>
        <a:p>
          <a:pPr>
            <a:defRPr lang="en-CA"/>
          </a:pPr>
          <a:endParaRPr lang="en-US"/>
        </a:p>
      </c:txPr>
    </c:legend>
    <c:plotVisOnly val="1"/>
  </c:chart>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manualLayout>
          <c:layoutTarget val="inner"/>
          <c:xMode val="edge"/>
          <c:yMode val="edge"/>
          <c:x val="0.102793527070103"/>
          <c:y val="0.162760345167944"/>
          <c:w val="0.807627376228346"/>
          <c:h val="0.652585922188702"/>
        </c:manualLayout>
      </c:layout>
      <c:barChart>
        <c:barDir val="col"/>
        <c:grouping val="clustered"/>
        <c:ser>
          <c:idx val="0"/>
          <c:order val="0"/>
          <c:tx>
            <c:strRef>
              <c:f>Minho_IR_3!$T$50:$T$51</c:f>
              <c:strCache>
                <c:ptCount val="1"/>
                <c:pt idx="0">
                  <c:v>Public Access (N=1569)</c:v>
                </c:pt>
              </c:strCache>
            </c:strRef>
          </c:tx>
          <c:spPr>
            <a:solidFill>
              <a:srgbClr val="009900"/>
            </a:solidFill>
          </c:spPr>
          <c:cat>
            <c:strRef>
              <c:f>Minho_IR_3!$S$52:$S$62</c:f>
              <c:strCache>
                <c:ptCount val="11"/>
                <c:pt idx="0">
                  <c:v>2004-2012</c:v>
                </c:pt>
                <c:pt idx="2">
                  <c:v>2004</c:v>
                </c:pt>
                <c:pt idx="3">
                  <c:v>2005</c:v>
                </c:pt>
                <c:pt idx="4">
                  <c:v>2006</c:v>
                </c:pt>
                <c:pt idx="5">
                  <c:v>2007</c:v>
                </c:pt>
                <c:pt idx="6">
                  <c:v>2008</c:v>
                </c:pt>
                <c:pt idx="7">
                  <c:v>2009</c:v>
                </c:pt>
                <c:pt idx="8">
                  <c:v>2010</c:v>
                </c:pt>
                <c:pt idx="9">
                  <c:v>2011</c:v>
                </c:pt>
                <c:pt idx="10">
                  <c:v>2012</c:v>
                </c:pt>
              </c:strCache>
            </c:strRef>
          </c:cat>
          <c:val>
            <c:numRef>
              <c:f>Minho_IR_3!$T$52:$T$62</c:f>
              <c:numCache>
                <c:formatCode>General</c:formatCode>
                <c:ptCount val="11"/>
                <c:pt idx="0" formatCode="0.0">
                  <c:v>7.650354153251769</c:v>
                </c:pt>
                <c:pt idx="2" formatCode="0.0">
                  <c:v>14.4227642276423</c:v>
                </c:pt>
                <c:pt idx="3" formatCode="0.0">
                  <c:v>16.25190839694661</c:v>
                </c:pt>
                <c:pt idx="4" formatCode="0.0">
                  <c:v>13.14598540145985</c:v>
                </c:pt>
                <c:pt idx="5" formatCode="0.0">
                  <c:v>13.2301587301587</c:v>
                </c:pt>
                <c:pt idx="6" formatCode="0.0">
                  <c:v>11.15328467153285</c:v>
                </c:pt>
                <c:pt idx="7" formatCode="0.0">
                  <c:v>7.670967741935477</c:v>
                </c:pt>
                <c:pt idx="8" formatCode="0.0">
                  <c:v>5.1</c:v>
                </c:pt>
                <c:pt idx="9" formatCode="0.0">
                  <c:v>2.551971326164875</c:v>
                </c:pt>
                <c:pt idx="10" formatCode="0.0">
                  <c:v>0.725423728813559</c:v>
                </c:pt>
              </c:numCache>
            </c:numRef>
          </c:val>
        </c:ser>
        <c:ser>
          <c:idx val="1"/>
          <c:order val="1"/>
          <c:tx>
            <c:strRef>
              <c:f>Minho_IR_3!$U$50:$U$51</c:f>
              <c:strCache>
                <c:ptCount val="1"/>
                <c:pt idx="0">
                  <c:v>Restricted Access (N=613)</c:v>
                </c:pt>
              </c:strCache>
            </c:strRef>
          </c:tx>
          <c:spPr>
            <a:solidFill>
              <a:srgbClr val="99FF66"/>
            </a:solidFill>
          </c:spPr>
          <c:cat>
            <c:strRef>
              <c:f>Minho_IR_3!$S$52:$S$62</c:f>
              <c:strCache>
                <c:ptCount val="11"/>
                <c:pt idx="0">
                  <c:v>2004-2012</c:v>
                </c:pt>
                <c:pt idx="2">
                  <c:v>2004</c:v>
                </c:pt>
                <c:pt idx="3">
                  <c:v>2005</c:v>
                </c:pt>
                <c:pt idx="4">
                  <c:v>2006</c:v>
                </c:pt>
                <c:pt idx="5">
                  <c:v>2007</c:v>
                </c:pt>
                <c:pt idx="6">
                  <c:v>2008</c:v>
                </c:pt>
                <c:pt idx="7">
                  <c:v>2009</c:v>
                </c:pt>
                <c:pt idx="8">
                  <c:v>2010</c:v>
                </c:pt>
                <c:pt idx="9">
                  <c:v>2011</c:v>
                </c:pt>
                <c:pt idx="10">
                  <c:v>2012</c:v>
                </c:pt>
              </c:strCache>
            </c:strRef>
          </c:cat>
          <c:val>
            <c:numRef>
              <c:f>Minho_IR_3!$U$52:$U$62</c:f>
              <c:numCache>
                <c:formatCode>General</c:formatCode>
                <c:ptCount val="11"/>
                <c:pt idx="0" formatCode="0.0">
                  <c:v>2.817725752508361</c:v>
                </c:pt>
                <c:pt idx="2" formatCode="0.0">
                  <c:v>6.181818181818183</c:v>
                </c:pt>
                <c:pt idx="3" formatCode="0.0">
                  <c:v>7.227272727272728</c:v>
                </c:pt>
                <c:pt idx="4" formatCode="0.0">
                  <c:v>7.315789473684211</c:v>
                </c:pt>
                <c:pt idx="5" formatCode="0.0">
                  <c:v>8.0</c:v>
                </c:pt>
                <c:pt idx="6" formatCode="0.0">
                  <c:v>4.178571428571429</c:v>
                </c:pt>
                <c:pt idx="7" formatCode="0.0">
                  <c:v>4.448275862068965</c:v>
                </c:pt>
                <c:pt idx="8" formatCode="0.0">
                  <c:v>3.5</c:v>
                </c:pt>
                <c:pt idx="9" formatCode="0.0">
                  <c:v>1.790540540540542</c:v>
                </c:pt>
                <c:pt idx="10" formatCode="0.0">
                  <c:v>0.986784140969163</c:v>
                </c:pt>
              </c:numCache>
            </c:numRef>
          </c:val>
        </c:ser>
        <c:ser>
          <c:idx val="2"/>
          <c:order val="2"/>
          <c:tx>
            <c:strRef>
              <c:f>Minho_IR_3!$V$50:$V$51</c:f>
              <c:strCache>
                <c:ptCount val="1"/>
                <c:pt idx="0">
                  <c:v>Not Deposited (N=3518)</c:v>
                </c:pt>
              </c:strCache>
            </c:strRef>
          </c:tx>
          <c:spPr>
            <a:solidFill>
              <a:schemeClr val="tx1">
                <a:lumMod val="50000"/>
                <a:lumOff val="50000"/>
              </a:schemeClr>
            </a:solidFill>
          </c:spPr>
          <c:cat>
            <c:strRef>
              <c:f>Minho_IR_3!$S$52:$S$62</c:f>
              <c:strCache>
                <c:ptCount val="11"/>
                <c:pt idx="0">
                  <c:v>2004-2012</c:v>
                </c:pt>
                <c:pt idx="2">
                  <c:v>2004</c:v>
                </c:pt>
                <c:pt idx="3">
                  <c:v>2005</c:v>
                </c:pt>
                <c:pt idx="4">
                  <c:v>2006</c:v>
                </c:pt>
                <c:pt idx="5">
                  <c:v>2007</c:v>
                </c:pt>
                <c:pt idx="6">
                  <c:v>2008</c:v>
                </c:pt>
                <c:pt idx="7">
                  <c:v>2009</c:v>
                </c:pt>
                <c:pt idx="8">
                  <c:v>2010</c:v>
                </c:pt>
                <c:pt idx="9">
                  <c:v>2011</c:v>
                </c:pt>
                <c:pt idx="10">
                  <c:v>2012</c:v>
                </c:pt>
              </c:strCache>
            </c:strRef>
          </c:cat>
          <c:val>
            <c:numRef>
              <c:f>Minho_IR_3!$V$52:$V$62</c:f>
              <c:numCache>
                <c:formatCode>General</c:formatCode>
                <c:ptCount val="11"/>
                <c:pt idx="0" formatCode="0.0">
                  <c:v>8.93124456048738</c:v>
                </c:pt>
                <c:pt idx="2" formatCode="0.0">
                  <c:v>13.32575757575758</c:v>
                </c:pt>
                <c:pt idx="3" formatCode="0.0">
                  <c:v>14.30837004405284</c:v>
                </c:pt>
                <c:pt idx="4" formatCode="0.0">
                  <c:v>15.59759759759762</c:v>
                </c:pt>
                <c:pt idx="5" formatCode="0.0">
                  <c:v>15.01166180758017</c:v>
                </c:pt>
                <c:pt idx="6" formatCode="0.0">
                  <c:v>11.2621359223301</c:v>
                </c:pt>
                <c:pt idx="7" formatCode="0.0">
                  <c:v>7.65283842794758</c:v>
                </c:pt>
                <c:pt idx="8" formatCode="0.0">
                  <c:v>5.333333333333342</c:v>
                </c:pt>
                <c:pt idx="9" formatCode="0.0">
                  <c:v>3.716517857142861</c:v>
                </c:pt>
                <c:pt idx="10" formatCode="0.0">
                  <c:v>2.574235807860262</c:v>
                </c:pt>
              </c:numCache>
            </c:numRef>
          </c:val>
        </c:ser>
        <c:axId val="692427720"/>
        <c:axId val="692430968"/>
      </c:barChart>
      <c:catAx>
        <c:axId val="692427720"/>
        <c:scaling>
          <c:orientation val="minMax"/>
        </c:scaling>
        <c:axPos val="b"/>
        <c:numFmt formatCode="General" sourceLinked="1"/>
        <c:tickLblPos val="nextTo"/>
        <c:txPr>
          <a:bodyPr/>
          <a:lstStyle/>
          <a:p>
            <a:pPr>
              <a:defRPr lang="en-CA" sz="800"/>
            </a:pPr>
            <a:endParaRPr lang="en-US"/>
          </a:p>
        </c:txPr>
        <c:crossAx val="692430968"/>
        <c:crosses val="autoZero"/>
        <c:auto val="1"/>
        <c:lblAlgn val="ctr"/>
        <c:lblOffset val="100"/>
      </c:catAx>
      <c:valAx>
        <c:axId val="692430968"/>
        <c:scaling>
          <c:orientation val="minMax"/>
        </c:scaling>
        <c:axPos val="l"/>
        <c:majorGridlines/>
        <c:numFmt formatCode="0" sourceLinked="0"/>
        <c:tickLblPos val="nextTo"/>
        <c:txPr>
          <a:bodyPr/>
          <a:lstStyle/>
          <a:p>
            <a:pPr>
              <a:defRPr lang="en-CA" sz="900"/>
            </a:pPr>
            <a:endParaRPr lang="en-US"/>
          </a:p>
        </c:txPr>
        <c:crossAx val="692427720"/>
        <c:crosses val="autoZero"/>
        <c:crossBetween val="between"/>
      </c:valAx>
    </c:plotArea>
    <c:legend>
      <c:legendPos val="t"/>
      <c:layout>
        <c:manualLayout>
          <c:xMode val="edge"/>
          <c:yMode val="edge"/>
          <c:x val="0.0"/>
          <c:y val="0.0424382737535985"/>
          <c:w val="0.977546173290496"/>
          <c:h val="0.119358480331085"/>
        </c:manualLayout>
      </c:layout>
      <c:txPr>
        <a:bodyPr/>
        <a:lstStyle/>
        <a:p>
          <a:pPr>
            <a:defRPr lang="en-CA" sz="900"/>
          </a:pPr>
          <a:endParaRPr lang="en-US"/>
        </a:p>
      </c:txPr>
    </c:legend>
    <c:plotVisOnly val="1"/>
    <c:dispBlanksAs val="gap"/>
  </c:chart>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manualLayout>
          <c:layoutTarget val="inner"/>
          <c:xMode val="edge"/>
          <c:yMode val="edge"/>
          <c:x val="0.0966951016734273"/>
          <c:y val="0.117882522302441"/>
          <c:w val="0.787915137295304"/>
          <c:h val="0.555962057293456"/>
        </c:manualLayout>
      </c:layout>
      <c:barChart>
        <c:barDir val="col"/>
        <c:grouping val="percentStacked"/>
        <c:ser>
          <c:idx val="0"/>
          <c:order val="0"/>
          <c:tx>
            <c:strRef>
              <c:f>ISI_1!$B$84</c:f>
              <c:strCache>
                <c:ptCount val="1"/>
                <c:pt idx="0">
                  <c:v>Public Access</c:v>
                </c:pt>
              </c:strCache>
            </c:strRef>
          </c:tx>
          <c:spPr>
            <a:solidFill>
              <a:srgbClr val="009900"/>
            </a:solidFill>
            <a:ln>
              <a:noFill/>
            </a:ln>
          </c:spPr>
          <c:cat>
            <c:strRef>
              <c:f>ISI_1!$A$85:$A$90</c:f>
              <c:strCache>
                <c:ptCount val="6"/>
                <c:pt idx="0">
                  <c:v>U. Liège</c:v>
                </c:pt>
                <c:pt idx="1">
                  <c:v>U. Minho</c:v>
                </c:pt>
                <c:pt idx="2">
                  <c:v>U. Surrey</c:v>
                </c:pt>
                <c:pt idx="3">
                  <c:v>U. Lancaster</c:v>
                </c:pt>
                <c:pt idx="4">
                  <c:v>UK-Mandated</c:v>
                </c:pt>
                <c:pt idx="5">
                  <c:v>UK-Non-Mandated</c:v>
                </c:pt>
              </c:strCache>
            </c:strRef>
          </c:cat>
          <c:val>
            <c:numRef>
              <c:f>ISI_1!$B$85:$B$90</c:f>
              <c:numCache>
                <c:formatCode>0.0%</c:formatCode>
                <c:ptCount val="6"/>
                <c:pt idx="0">
                  <c:v>0.316115702479339</c:v>
                </c:pt>
                <c:pt idx="1">
                  <c:v>0.287441860465116</c:v>
                </c:pt>
                <c:pt idx="2">
                  <c:v>0.257142857142857</c:v>
                </c:pt>
                <c:pt idx="3">
                  <c:v>0.168297455968689</c:v>
                </c:pt>
                <c:pt idx="4">
                  <c:v>0.0643601500625261</c:v>
                </c:pt>
                <c:pt idx="5">
                  <c:v>0.0349445069969439</c:v>
                </c:pt>
              </c:numCache>
            </c:numRef>
          </c:val>
        </c:ser>
        <c:ser>
          <c:idx val="1"/>
          <c:order val="1"/>
          <c:tx>
            <c:strRef>
              <c:f>ISI_1!$C$84</c:f>
              <c:strCache>
                <c:ptCount val="1"/>
                <c:pt idx="0">
                  <c:v>Restricted Access </c:v>
                </c:pt>
              </c:strCache>
            </c:strRef>
          </c:tx>
          <c:spPr>
            <a:solidFill>
              <a:srgbClr val="99FF66"/>
            </a:solidFill>
          </c:spPr>
          <c:cat>
            <c:strRef>
              <c:f>ISI_1!$A$85:$A$90</c:f>
              <c:strCache>
                <c:ptCount val="6"/>
                <c:pt idx="0">
                  <c:v>U. Liège</c:v>
                </c:pt>
                <c:pt idx="1">
                  <c:v>U. Minho</c:v>
                </c:pt>
                <c:pt idx="2">
                  <c:v>U. Surrey</c:v>
                </c:pt>
                <c:pt idx="3">
                  <c:v>U. Lancaster</c:v>
                </c:pt>
                <c:pt idx="4">
                  <c:v>UK-Mandated</c:v>
                </c:pt>
                <c:pt idx="5">
                  <c:v>UK-Non-Mandated</c:v>
                </c:pt>
              </c:strCache>
            </c:strRef>
          </c:cat>
          <c:val>
            <c:numRef>
              <c:f>ISI_1!$C$85:$C$90</c:f>
              <c:numCache>
                <c:formatCode>0.0%</c:formatCode>
                <c:ptCount val="6"/>
                <c:pt idx="0">
                  <c:v>0.507575757575758</c:v>
                </c:pt>
                <c:pt idx="1">
                  <c:v>0.225116279069767</c:v>
                </c:pt>
                <c:pt idx="2">
                  <c:v>0.0653061224489796</c:v>
                </c:pt>
                <c:pt idx="3">
                  <c:v>0.00195694716242663</c:v>
                </c:pt>
                <c:pt idx="4">
                  <c:v>0.0183409754064193</c:v>
                </c:pt>
                <c:pt idx="5">
                  <c:v>0.00530802637928262</c:v>
                </c:pt>
              </c:numCache>
            </c:numRef>
          </c:val>
        </c:ser>
        <c:ser>
          <c:idx val="2"/>
          <c:order val="2"/>
          <c:tx>
            <c:strRef>
              <c:f>ISI_1!$D$84</c:f>
              <c:strCache>
                <c:ptCount val="1"/>
                <c:pt idx="0">
                  <c:v>Metadata Only</c:v>
                </c:pt>
              </c:strCache>
            </c:strRef>
          </c:tx>
          <c:spPr>
            <a:solidFill>
              <a:schemeClr val="bg1">
                <a:lumMod val="75000"/>
              </a:schemeClr>
            </a:solidFill>
          </c:spPr>
          <c:cat>
            <c:strRef>
              <c:f>ISI_1!$A$85:$A$90</c:f>
              <c:strCache>
                <c:ptCount val="6"/>
                <c:pt idx="0">
                  <c:v>U. Liège</c:v>
                </c:pt>
                <c:pt idx="1">
                  <c:v>U. Minho</c:v>
                </c:pt>
                <c:pt idx="2">
                  <c:v>U. Surrey</c:v>
                </c:pt>
                <c:pt idx="3">
                  <c:v>U. Lancaster</c:v>
                </c:pt>
                <c:pt idx="4">
                  <c:v>UK-Mandated</c:v>
                </c:pt>
                <c:pt idx="5">
                  <c:v>UK-Non-Mandated</c:v>
                </c:pt>
              </c:strCache>
            </c:strRef>
          </c:cat>
          <c:val>
            <c:numRef>
              <c:f>ISI_1!$D$85:$D$90</c:f>
              <c:numCache>
                <c:formatCode>0.0%</c:formatCode>
                <c:ptCount val="6"/>
                <c:pt idx="0">
                  <c:v>0.00206611570247934</c:v>
                </c:pt>
                <c:pt idx="1">
                  <c:v>0.0</c:v>
                </c:pt>
                <c:pt idx="2">
                  <c:v>0.0</c:v>
                </c:pt>
                <c:pt idx="3">
                  <c:v>0.459882583170256</c:v>
                </c:pt>
                <c:pt idx="4">
                  <c:v>0.156982075864944</c:v>
                </c:pt>
                <c:pt idx="5">
                  <c:v>0.0825961074473218</c:v>
                </c:pt>
              </c:numCache>
            </c:numRef>
          </c:val>
        </c:ser>
        <c:ser>
          <c:idx val="3"/>
          <c:order val="3"/>
          <c:tx>
            <c:strRef>
              <c:f>ISI_1!$E$84</c:f>
              <c:strCache>
                <c:ptCount val="1"/>
                <c:pt idx="0">
                  <c:v>Not Deposited</c:v>
                </c:pt>
              </c:strCache>
            </c:strRef>
          </c:tx>
          <c:spPr>
            <a:solidFill>
              <a:schemeClr val="tx1">
                <a:lumMod val="50000"/>
                <a:lumOff val="50000"/>
              </a:schemeClr>
            </a:solidFill>
          </c:spPr>
          <c:cat>
            <c:strRef>
              <c:f>ISI_1!$A$85:$A$90</c:f>
              <c:strCache>
                <c:ptCount val="6"/>
                <c:pt idx="0">
                  <c:v>U. Liège</c:v>
                </c:pt>
                <c:pt idx="1">
                  <c:v>U. Minho</c:v>
                </c:pt>
                <c:pt idx="2">
                  <c:v>U. Surrey</c:v>
                </c:pt>
                <c:pt idx="3">
                  <c:v>U. Lancaster</c:v>
                </c:pt>
                <c:pt idx="4">
                  <c:v>UK-Mandated</c:v>
                </c:pt>
                <c:pt idx="5">
                  <c:v>UK-Non-Mandated</c:v>
                </c:pt>
              </c:strCache>
            </c:strRef>
          </c:cat>
          <c:val>
            <c:numRef>
              <c:f>ISI_1!$E$85:$E$90</c:f>
              <c:numCache>
                <c:formatCode>0.0%</c:formatCode>
                <c:ptCount val="6"/>
                <c:pt idx="0">
                  <c:v>0.174242424242424</c:v>
                </c:pt>
                <c:pt idx="1">
                  <c:v>0.487441860465116</c:v>
                </c:pt>
                <c:pt idx="2">
                  <c:v>0.677551020408166</c:v>
                </c:pt>
                <c:pt idx="3">
                  <c:v>0.36986301369863</c:v>
                </c:pt>
                <c:pt idx="4">
                  <c:v>0.760316798666111</c:v>
                </c:pt>
                <c:pt idx="5">
                  <c:v>0.877151359176452</c:v>
                </c:pt>
              </c:numCache>
            </c:numRef>
          </c:val>
        </c:ser>
        <c:overlap val="100"/>
        <c:axId val="509324296"/>
        <c:axId val="359519224"/>
      </c:barChart>
      <c:lineChart>
        <c:grouping val="standard"/>
        <c:ser>
          <c:idx val="4"/>
          <c:order val="4"/>
          <c:tx>
            <c:strRef>
              <c:f>ISI_1!$F$84</c:f>
              <c:strCache>
                <c:ptCount val="1"/>
                <c:pt idx="0">
                  <c:v>ISI Article Count</c:v>
                </c:pt>
              </c:strCache>
            </c:strRef>
          </c:tx>
          <c:spPr>
            <a:ln>
              <a:noFill/>
            </a:ln>
          </c:spPr>
          <c:marker>
            <c:symbol val="x"/>
            <c:size val="7"/>
            <c:spPr>
              <a:ln w="25400">
                <a:solidFill>
                  <a:sysClr val="windowText" lastClr="000000"/>
                </a:solidFill>
              </a:ln>
            </c:spPr>
          </c:marker>
          <c:cat>
            <c:strRef>
              <c:f>ISI_1!$A$85:$A$90</c:f>
              <c:strCache>
                <c:ptCount val="6"/>
                <c:pt idx="0">
                  <c:v>U. Liège</c:v>
                </c:pt>
                <c:pt idx="1">
                  <c:v>U. Minho</c:v>
                </c:pt>
                <c:pt idx="2">
                  <c:v>U. Surrey</c:v>
                </c:pt>
                <c:pt idx="3">
                  <c:v>U. Lancaster</c:v>
                </c:pt>
                <c:pt idx="4">
                  <c:v>UK-Mandated</c:v>
                </c:pt>
                <c:pt idx="5">
                  <c:v>UK-Non-Mandated</c:v>
                </c:pt>
              </c:strCache>
            </c:strRef>
          </c:cat>
          <c:val>
            <c:numRef>
              <c:f>ISI_1!$F$85:$F$90</c:f>
              <c:numCache>
                <c:formatCode>0</c:formatCode>
                <c:ptCount val="6"/>
                <c:pt idx="0">
                  <c:v>1452.0</c:v>
                </c:pt>
                <c:pt idx="1">
                  <c:v>1075.0</c:v>
                </c:pt>
                <c:pt idx="2">
                  <c:v>490.0</c:v>
                </c:pt>
                <c:pt idx="3">
                  <c:v>511.0</c:v>
                </c:pt>
              </c:numCache>
            </c:numRef>
          </c:val>
        </c:ser>
        <c:marker val="1"/>
        <c:axId val="359213544"/>
        <c:axId val="359226680"/>
      </c:lineChart>
      <c:catAx>
        <c:axId val="509324296"/>
        <c:scaling>
          <c:orientation val="minMax"/>
        </c:scaling>
        <c:axPos val="b"/>
        <c:tickLblPos val="nextTo"/>
        <c:txPr>
          <a:bodyPr rot="2700000"/>
          <a:lstStyle/>
          <a:p>
            <a:pPr>
              <a:defRPr lang="en-CA" sz="900"/>
            </a:pPr>
            <a:endParaRPr lang="en-US"/>
          </a:p>
        </c:txPr>
        <c:crossAx val="359519224"/>
        <c:crosses val="autoZero"/>
        <c:auto val="1"/>
        <c:lblAlgn val="ctr"/>
        <c:lblOffset val="100"/>
      </c:catAx>
      <c:valAx>
        <c:axId val="359519224"/>
        <c:scaling>
          <c:orientation val="minMax"/>
          <c:max val="1.0"/>
        </c:scaling>
        <c:axPos val="l"/>
        <c:majorGridlines/>
        <c:numFmt formatCode="0%" sourceLinked="0"/>
        <c:tickLblPos val="nextTo"/>
        <c:txPr>
          <a:bodyPr/>
          <a:lstStyle/>
          <a:p>
            <a:pPr>
              <a:defRPr lang="en-CA" sz="900"/>
            </a:pPr>
            <a:endParaRPr lang="en-US"/>
          </a:p>
        </c:txPr>
        <c:crossAx val="509324296"/>
        <c:crosses val="autoZero"/>
        <c:crossBetween val="between"/>
      </c:valAx>
      <c:valAx>
        <c:axId val="359226680"/>
        <c:scaling>
          <c:orientation val="minMax"/>
        </c:scaling>
        <c:axPos val="r"/>
        <c:numFmt formatCode="0" sourceLinked="1"/>
        <c:tickLblPos val="nextTo"/>
        <c:txPr>
          <a:bodyPr/>
          <a:lstStyle/>
          <a:p>
            <a:pPr>
              <a:defRPr lang="en-CA" sz="900"/>
            </a:pPr>
            <a:endParaRPr lang="en-US"/>
          </a:p>
        </c:txPr>
        <c:crossAx val="359213544"/>
        <c:crosses val="max"/>
        <c:crossBetween val="between"/>
      </c:valAx>
      <c:catAx>
        <c:axId val="359213544"/>
        <c:scaling>
          <c:orientation val="minMax"/>
        </c:scaling>
        <c:delete val="1"/>
        <c:axPos val="b"/>
        <c:tickLblPos val="none"/>
        <c:crossAx val="359226680"/>
        <c:crosses val="autoZero"/>
        <c:auto val="1"/>
        <c:lblAlgn val="ctr"/>
        <c:lblOffset val="100"/>
      </c:catAx>
    </c:plotArea>
    <c:legend>
      <c:legendPos val="t"/>
      <c:layout>
        <c:manualLayout>
          <c:xMode val="edge"/>
          <c:yMode val="edge"/>
          <c:x val="0.0804101271310317"/>
          <c:y val="0.0221606648199446"/>
          <c:w val="0.80721547612434"/>
          <c:h val="0.0667882304185661"/>
        </c:manualLayout>
      </c:layout>
      <c:spPr>
        <a:noFill/>
      </c:spPr>
      <c:txPr>
        <a:bodyPr/>
        <a:lstStyle/>
        <a:p>
          <a:pPr>
            <a:defRPr lang="en-CA" sz="900"/>
          </a:pPr>
          <a:endParaRPr lang="en-US"/>
        </a:p>
      </c:txPr>
    </c:legend>
    <c:plotVisOnly val="1"/>
    <c:dispBlanksAs val="gap"/>
  </c:chart>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manualLayout>
          <c:layoutTarget val="inner"/>
          <c:xMode val="edge"/>
          <c:yMode val="edge"/>
          <c:x val="0.0889579687955678"/>
          <c:y val="0.0514005540974045"/>
          <c:w val="0.883680008748906"/>
          <c:h val="0.726161417322837"/>
        </c:manualLayout>
      </c:layout>
      <c:lineChart>
        <c:grouping val="standard"/>
        <c:ser>
          <c:idx val="1"/>
          <c:order val="0"/>
          <c:tx>
            <c:strRef>
              <c:f>ISI_3!$B$3</c:f>
              <c:strCache>
                <c:ptCount val="1"/>
                <c:pt idx="0">
                  <c:v>Public Access (N=1569)</c:v>
                </c:pt>
              </c:strCache>
            </c:strRef>
          </c:tx>
          <c:spPr>
            <a:ln>
              <a:solidFill>
                <a:srgbClr val="009900"/>
              </a:solidFill>
            </a:ln>
          </c:spPr>
          <c:marker>
            <c:symbol val="none"/>
          </c:marker>
          <c:cat>
            <c:numRef>
              <c:f>ISI_3!$A$4:$A$116</c:f>
              <c:numCache>
                <c:formatCode>General</c:formatCode>
                <c:ptCount val="113"/>
                <c:pt idx="0">
                  <c:v>-45.0</c:v>
                </c:pt>
                <c:pt idx="1">
                  <c:v>-42.0</c:v>
                </c:pt>
                <c:pt idx="2">
                  <c:v>-21.0</c:v>
                </c:pt>
                <c:pt idx="3">
                  <c:v>-20.0</c:v>
                </c:pt>
                <c:pt idx="4">
                  <c:v>-15.0</c:v>
                </c:pt>
                <c:pt idx="5">
                  <c:v>-12.0</c:v>
                </c:pt>
                <c:pt idx="6">
                  <c:v>-11.0</c:v>
                </c:pt>
                <c:pt idx="7">
                  <c:v>-10.0</c:v>
                </c:pt>
                <c:pt idx="8">
                  <c:v>-9.0</c:v>
                </c:pt>
                <c:pt idx="9">
                  <c:v>-8.0</c:v>
                </c:pt>
                <c:pt idx="10">
                  <c:v>-7.0</c:v>
                </c:pt>
                <c:pt idx="11">
                  <c:v>-6.0</c:v>
                </c:pt>
                <c:pt idx="12">
                  <c:v>-5.0</c:v>
                </c:pt>
                <c:pt idx="13">
                  <c:v>-4.0</c:v>
                </c:pt>
                <c:pt idx="14">
                  <c:v>-3.0</c:v>
                </c:pt>
                <c:pt idx="15">
                  <c:v>-2.0</c:v>
                </c:pt>
                <c:pt idx="16">
                  <c:v>-1.0</c:v>
                </c:pt>
                <c:pt idx="17">
                  <c:v>0.0</c:v>
                </c:pt>
                <c:pt idx="18">
                  <c:v>1.0</c:v>
                </c:pt>
                <c:pt idx="19">
                  <c:v>2.0</c:v>
                </c:pt>
                <c:pt idx="20">
                  <c:v>3.0</c:v>
                </c:pt>
                <c:pt idx="21">
                  <c:v>4.0</c:v>
                </c:pt>
                <c:pt idx="22">
                  <c:v>5.0</c:v>
                </c:pt>
                <c:pt idx="23">
                  <c:v>6.0</c:v>
                </c:pt>
                <c:pt idx="24">
                  <c:v>7.0</c:v>
                </c:pt>
                <c:pt idx="25">
                  <c:v>8.0</c:v>
                </c:pt>
                <c:pt idx="26">
                  <c:v>9.0</c:v>
                </c:pt>
                <c:pt idx="27">
                  <c:v>10.0</c:v>
                </c:pt>
                <c:pt idx="28">
                  <c:v>11.0</c:v>
                </c:pt>
                <c:pt idx="29">
                  <c:v>12.0</c:v>
                </c:pt>
                <c:pt idx="30">
                  <c:v>13.0</c:v>
                </c:pt>
                <c:pt idx="31">
                  <c:v>14.0</c:v>
                </c:pt>
                <c:pt idx="32">
                  <c:v>15.0</c:v>
                </c:pt>
                <c:pt idx="33">
                  <c:v>16.0</c:v>
                </c:pt>
                <c:pt idx="34">
                  <c:v>17.0</c:v>
                </c:pt>
                <c:pt idx="35">
                  <c:v>18.0</c:v>
                </c:pt>
                <c:pt idx="36">
                  <c:v>19.0</c:v>
                </c:pt>
                <c:pt idx="37">
                  <c:v>20.0</c:v>
                </c:pt>
                <c:pt idx="38">
                  <c:v>21.0</c:v>
                </c:pt>
                <c:pt idx="39">
                  <c:v>22.0</c:v>
                </c:pt>
                <c:pt idx="40">
                  <c:v>23.0</c:v>
                </c:pt>
                <c:pt idx="41">
                  <c:v>24.0</c:v>
                </c:pt>
                <c:pt idx="42">
                  <c:v>25.0</c:v>
                </c:pt>
                <c:pt idx="43">
                  <c:v>26.0</c:v>
                </c:pt>
                <c:pt idx="44">
                  <c:v>27.0</c:v>
                </c:pt>
                <c:pt idx="45">
                  <c:v>28.0</c:v>
                </c:pt>
                <c:pt idx="46">
                  <c:v>29.0</c:v>
                </c:pt>
                <c:pt idx="47">
                  <c:v>30.0</c:v>
                </c:pt>
                <c:pt idx="48">
                  <c:v>31.0</c:v>
                </c:pt>
                <c:pt idx="49">
                  <c:v>32.0</c:v>
                </c:pt>
                <c:pt idx="50">
                  <c:v>33.0</c:v>
                </c:pt>
                <c:pt idx="51">
                  <c:v>34.0</c:v>
                </c:pt>
                <c:pt idx="52">
                  <c:v>35.0</c:v>
                </c:pt>
                <c:pt idx="53">
                  <c:v>36.0</c:v>
                </c:pt>
                <c:pt idx="54">
                  <c:v>37.0</c:v>
                </c:pt>
                <c:pt idx="55">
                  <c:v>38.0</c:v>
                </c:pt>
                <c:pt idx="56">
                  <c:v>39.0</c:v>
                </c:pt>
                <c:pt idx="57">
                  <c:v>40.0</c:v>
                </c:pt>
                <c:pt idx="58">
                  <c:v>41.0</c:v>
                </c:pt>
                <c:pt idx="59">
                  <c:v>42.0</c:v>
                </c:pt>
                <c:pt idx="60">
                  <c:v>43.0</c:v>
                </c:pt>
                <c:pt idx="61">
                  <c:v>44.0</c:v>
                </c:pt>
                <c:pt idx="62">
                  <c:v>45.0</c:v>
                </c:pt>
                <c:pt idx="63">
                  <c:v>46.0</c:v>
                </c:pt>
                <c:pt idx="64">
                  <c:v>47.0</c:v>
                </c:pt>
                <c:pt idx="65">
                  <c:v>48.0</c:v>
                </c:pt>
                <c:pt idx="66">
                  <c:v>49.0</c:v>
                </c:pt>
                <c:pt idx="67">
                  <c:v>50.0</c:v>
                </c:pt>
                <c:pt idx="68">
                  <c:v>51.0</c:v>
                </c:pt>
                <c:pt idx="69">
                  <c:v>52.0</c:v>
                </c:pt>
                <c:pt idx="70">
                  <c:v>53.0</c:v>
                </c:pt>
                <c:pt idx="71">
                  <c:v>54.0</c:v>
                </c:pt>
                <c:pt idx="72">
                  <c:v>55.0</c:v>
                </c:pt>
                <c:pt idx="73">
                  <c:v>56.0</c:v>
                </c:pt>
                <c:pt idx="74">
                  <c:v>57.0</c:v>
                </c:pt>
                <c:pt idx="75">
                  <c:v>58.0</c:v>
                </c:pt>
                <c:pt idx="76">
                  <c:v>59.0</c:v>
                </c:pt>
                <c:pt idx="77">
                  <c:v>60.0</c:v>
                </c:pt>
                <c:pt idx="78">
                  <c:v>61.0</c:v>
                </c:pt>
                <c:pt idx="79">
                  <c:v>62.0</c:v>
                </c:pt>
                <c:pt idx="80">
                  <c:v>63.0</c:v>
                </c:pt>
                <c:pt idx="81">
                  <c:v>64.0</c:v>
                </c:pt>
                <c:pt idx="82">
                  <c:v>65.0</c:v>
                </c:pt>
                <c:pt idx="83">
                  <c:v>66.0</c:v>
                </c:pt>
                <c:pt idx="84">
                  <c:v>67.0</c:v>
                </c:pt>
                <c:pt idx="85">
                  <c:v>68.0</c:v>
                </c:pt>
                <c:pt idx="86">
                  <c:v>69.0</c:v>
                </c:pt>
                <c:pt idx="87">
                  <c:v>70.0</c:v>
                </c:pt>
                <c:pt idx="88">
                  <c:v>71.0</c:v>
                </c:pt>
                <c:pt idx="89">
                  <c:v>72.0</c:v>
                </c:pt>
                <c:pt idx="90">
                  <c:v>73.0</c:v>
                </c:pt>
                <c:pt idx="91">
                  <c:v>74.0</c:v>
                </c:pt>
                <c:pt idx="92">
                  <c:v>75.0</c:v>
                </c:pt>
                <c:pt idx="93">
                  <c:v>76.0</c:v>
                </c:pt>
                <c:pt idx="94">
                  <c:v>78.0</c:v>
                </c:pt>
                <c:pt idx="95">
                  <c:v>79.0</c:v>
                </c:pt>
                <c:pt idx="96">
                  <c:v>80.0</c:v>
                </c:pt>
                <c:pt idx="97">
                  <c:v>81.0</c:v>
                </c:pt>
                <c:pt idx="98">
                  <c:v>82.0</c:v>
                </c:pt>
                <c:pt idx="99">
                  <c:v>83.0</c:v>
                </c:pt>
                <c:pt idx="100">
                  <c:v>84.0</c:v>
                </c:pt>
                <c:pt idx="101">
                  <c:v>85.0</c:v>
                </c:pt>
                <c:pt idx="102">
                  <c:v>86.0</c:v>
                </c:pt>
                <c:pt idx="103">
                  <c:v>87.0</c:v>
                </c:pt>
                <c:pt idx="104">
                  <c:v>88.0</c:v>
                </c:pt>
                <c:pt idx="105">
                  <c:v>89.0</c:v>
                </c:pt>
                <c:pt idx="106">
                  <c:v>91.0</c:v>
                </c:pt>
                <c:pt idx="107">
                  <c:v>92.0</c:v>
                </c:pt>
                <c:pt idx="108">
                  <c:v>94.0</c:v>
                </c:pt>
                <c:pt idx="109">
                  <c:v>95.0</c:v>
                </c:pt>
                <c:pt idx="110">
                  <c:v>99.0</c:v>
                </c:pt>
                <c:pt idx="111">
                  <c:v>101.0</c:v>
                </c:pt>
                <c:pt idx="112">
                  <c:v>110.0</c:v>
                </c:pt>
              </c:numCache>
            </c:numRef>
          </c:cat>
          <c:val>
            <c:numRef>
              <c:f>ISI_3!$B$4:$B$116</c:f>
              <c:numCache>
                <c:formatCode>General</c:formatCode>
                <c:ptCount val="113"/>
                <c:pt idx="0">
                  <c:v>1.0</c:v>
                </c:pt>
                <c:pt idx="1">
                  <c:v>1.0</c:v>
                </c:pt>
                <c:pt idx="2">
                  <c:v>1.0</c:v>
                </c:pt>
                <c:pt idx="3">
                  <c:v>1.0</c:v>
                </c:pt>
                <c:pt idx="4">
                  <c:v>1.0</c:v>
                </c:pt>
                <c:pt idx="5">
                  <c:v>1.0</c:v>
                </c:pt>
                <c:pt idx="6">
                  <c:v>2.0</c:v>
                </c:pt>
                <c:pt idx="7">
                  <c:v>5.0</c:v>
                </c:pt>
                <c:pt idx="8">
                  <c:v>4.0</c:v>
                </c:pt>
                <c:pt idx="9">
                  <c:v>1.0</c:v>
                </c:pt>
                <c:pt idx="10">
                  <c:v>6.0</c:v>
                </c:pt>
                <c:pt idx="11">
                  <c:v>5.0</c:v>
                </c:pt>
                <c:pt idx="12">
                  <c:v>8.0</c:v>
                </c:pt>
                <c:pt idx="13">
                  <c:v>15.0</c:v>
                </c:pt>
                <c:pt idx="14">
                  <c:v>22.0</c:v>
                </c:pt>
                <c:pt idx="15">
                  <c:v>42.0</c:v>
                </c:pt>
                <c:pt idx="16">
                  <c:v>94.0</c:v>
                </c:pt>
                <c:pt idx="17">
                  <c:v>124.0</c:v>
                </c:pt>
                <c:pt idx="18">
                  <c:v>104.0</c:v>
                </c:pt>
                <c:pt idx="19">
                  <c:v>96.0</c:v>
                </c:pt>
                <c:pt idx="20">
                  <c:v>76.0</c:v>
                </c:pt>
                <c:pt idx="21">
                  <c:v>76.0</c:v>
                </c:pt>
                <c:pt idx="22">
                  <c:v>67.0</c:v>
                </c:pt>
                <c:pt idx="23">
                  <c:v>59.0</c:v>
                </c:pt>
                <c:pt idx="24">
                  <c:v>66.0</c:v>
                </c:pt>
                <c:pt idx="25">
                  <c:v>53.0</c:v>
                </c:pt>
                <c:pt idx="26">
                  <c:v>59.0</c:v>
                </c:pt>
                <c:pt idx="27">
                  <c:v>46.0</c:v>
                </c:pt>
                <c:pt idx="28">
                  <c:v>39.0</c:v>
                </c:pt>
                <c:pt idx="29">
                  <c:v>26.0</c:v>
                </c:pt>
                <c:pt idx="30">
                  <c:v>26.0</c:v>
                </c:pt>
                <c:pt idx="31">
                  <c:v>26.0</c:v>
                </c:pt>
                <c:pt idx="32">
                  <c:v>24.0</c:v>
                </c:pt>
                <c:pt idx="33">
                  <c:v>15.0</c:v>
                </c:pt>
                <c:pt idx="34">
                  <c:v>17.0</c:v>
                </c:pt>
                <c:pt idx="35">
                  <c:v>15.0</c:v>
                </c:pt>
                <c:pt idx="36">
                  <c:v>20.0</c:v>
                </c:pt>
                <c:pt idx="37">
                  <c:v>11.0</c:v>
                </c:pt>
                <c:pt idx="38">
                  <c:v>18.0</c:v>
                </c:pt>
                <c:pt idx="39">
                  <c:v>17.0</c:v>
                </c:pt>
                <c:pt idx="40">
                  <c:v>17.0</c:v>
                </c:pt>
                <c:pt idx="41">
                  <c:v>10.0</c:v>
                </c:pt>
                <c:pt idx="42">
                  <c:v>12.0</c:v>
                </c:pt>
                <c:pt idx="43">
                  <c:v>11.0</c:v>
                </c:pt>
                <c:pt idx="44">
                  <c:v>6.0</c:v>
                </c:pt>
                <c:pt idx="45">
                  <c:v>10.0</c:v>
                </c:pt>
                <c:pt idx="46">
                  <c:v>4.0</c:v>
                </c:pt>
                <c:pt idx="47">
                  <c:v>5.0</c:v>
                </c:pt>
                <c:pt idx="48">
                  <c:v>6.0</c:v>
                </c:pt>
                <c:pt idx="49">
                  <c:v>5.0</c:v>
                </c:pt>
                <c:pt idx="50">
                  <c:v>11.0</c:v>
                </c:pt>
                <c:pt idx="51">
                  <c:v>10.0</c:v>
                </c:pt>
                <c:pt idx="52">
                  <c:v>4.0</c:v>
                </c:pt>
                <c:pt idx="53">
                  <c:v>8.0</c:v>
                </c:pt>
                <c:pt idx="54">
                  <c:v>6.0</c:v>
                </c:pt>
                <c:pt idx="55">
                  <c:v>4.0</c:v>
                </c:pt>
                <c:pt idx="56">
                  <c:v>2.0</c:v>
                </c:pt>
                <c:pt idx="57">
                  <c:v>5.0</c:v>
                </c:pt>
                <c:pt idx="58">
                  <c:v>4.0</c:v>
                </c:pt>
                <c:pt idx="59">
                  <c:v>2.0</c:v>
                </c:pt>
                <c:pt idx="60">
                  <c:v>8.0</c:v>
                </c:pt>
                <c:pt idx="61">
                  <c:v>5.0</c:v>
                </c:pt>
                <c:pt idx="62">
                  <c:v>6.0</c:v>
                </c:pt>
                <c:pt idx="63">
                  <c:v>1.0</c:v>
                </c:pt>
                <c:pt idx="64">
                  <c:v>9.0</c:v>
                </c:pt>
                <c:pt idx="65">
                  <c:v>3.0</c:v>
                </c:pt>
                <c:pt idx="66">
                  <c:v>5.0</c:v>
                </c:pt>
                <c:pt idx="67">
                  <c:v>5.0</c:v>
                </c:pt>
                <c:pt idx="68">
                  <c:v>13.0</c:v>
                </c:pt>
                <c:pt idx="69">
                  <c:v>4.0</c:v>
                </c:pt>
                <c:pt idx="70">
                  <c:v>2.0</c:v>
                </c:pt>
                <c:pt idx="71">
                  <c:v>3.0</c:v>
                </c:pt>
                <c:pt idx="72">
                  <c:v>1.0</c:v>
                </c:pt>
                <c:pt idx="73">
                  <c:v>1.0</c:v>
                </c:pt>
                <c:pt idx="74">
                  <c:v>2.0</c:v>
                </c:pt>
                <c:pt idx="75">
                  <c:v>3.0</c:v>
                </c:pt>
                <c:pt idx="76">
                  <c:v>2.0</c:v>
                </c:pt>
                <c:pt idx="77">
                  <c:v>3.0</c:v>
                </c:pt>
                <c:pt idx="78">
                  <c:v>6.0</c:v>
                </c:pt>
                <c:pt idx="79">
                  <c:v>3.0</c:v>
                </c:pt>
                <c:pt idx="80">
                  <c:v>3.0</c:v>
                </c:pt>
                <c:pt idx="81">
                  <c:v>2.0</c:v>
                </c:pt>
                <c:pt idx="82">
                  <c:v>2.0</c:v>
                </c:pt>
                <c:pt idx="83">
                  <c:v>2.0</c:v>
                </c:pt>
                <c:pt idx="84">
                  <c:v>5.0</c:v>
                </c:pt>
                <c:pt idx="85">
                  <c:v>3.0</c:v>
                </c:pt>
                <c:pt idx="86">
                  <c:v>1.0</c:v>
                </c:pt>
                <c:pt idx="87">
                  <c:v>3.0</c:v>
                </c:pt>
                <c:pt idx="88">
                  <c:v>1.0</c:v>
                </c:pt>
                <c:pt idx="89">
                  <c:v>6.0</c:v>
                </c:pt>
                <c:pt idx="92">
                  <c:v>3.0</c:v>
                </c:pt>
                <c:pt idx="93">
                  <c:v>2.0</c:v>
                </c:pt>
                <c:pt idx="94">
                  <c:v>3.0</c:v>
                </c:pt>
                <c:pt idx="95">
                  <c:v>2.0</c:v>
                </c:pt>
                <c:pt idx="98">
                  <c:v>3.0</c:v>
                </c:pt>
                <c:pt idx="100">
                  <c:v>1.0</c:v>
                </c:pt>
                <c:pt idx="102">
                  <c:v>1.0</c:v>
                </c:pt>
                <c:pt idx="103">
                  <c:v>2.0</c:v>
                </c:pt>
                <c:pt idx="104">
                  <c:v>1.0</c:v>
                </c:pt>
                <c:pt idx="106">
                  <c:v>2.0</c:v>
                </c:pt>
                <c:pt idx="107">
                  <c:v>1.0</c:v>
                </c:pt>
                <c:pt idx="108">
                  <c:v>1.0</c:v>
                </c:pt>
                <c:pt idx="109">
                  <c:v>1.0</c:v>
                </c:pt>
                <c:pt idx="112">
                  <c:v>1.0</c:v>
                </c:pt>
              </c:numCache>
            </c:numRef>
          </c:val>
        </c:ser>
        <c:ser>
          <c:idx val="2"/>
          <c:order val="1"/>
          <c:tx>
            <c:strRef>
              <c:f>ISI_3!$C$3</c:f>
              <c:strCache>
                <c:ptCount val="1"/>
                <c:pt idx="0">
                  <c:v>Restricted Access (N=613)</c:v>
                </c:pt>
              </c:strCache>
            </c:strRef>
          </c:tx>
          <c:spPr>
            <a:ln>
              <a:solidFill>
                <a:srgbClr val="99FF66"/>
              </a:solidFill>
            </a:ln>
          </c:spPr>
          <c:marker>
            <c:symbol val="none"/>
          </c:marker>
          <c:cat>
            <c:numRef>
              <c:f>ISI_3!$A$4:$A$116</c:f>
              <c:numCache>
                <c:formatCode>General</c:formatCode>
                <c:ptCount val="113"/>
                <c:pt idx="0">
                  <c:v>-45.0</c:v>
                </c:pt>
                <c:pt idx="1">
                  <c:v>-42.0</c:v>
                </c:pt>
                <c:pt idx="2">
                  <c:v>-21.0</c:v>
                </c:pt>
                <c:pt idx="3">
                  <c:v>-20.0</c:v>
                </c:pt>
                <c:pt idx="4">
                  <c:v>-15.0</c:v>
                </c:pt>
                <c:pt idx="5">
                  <c:v>-12.0</c:v>
                </c:pt>
                <c:pt idx="6">
                  <c:v>-11.0</c:v>
                </c:pt>
                <c:pt idx="7">
                  <c:v>-10.0</c:v>
                </c:pt>
                <c:pt idx="8">
                  <c:v>-9.0</c:v>
                </c:pt>
                <c:pt idx="9">
                  <c:v>-8.0</c:v>
                </c:pt>
                <c:pt idx="10">
                  <c:v>-7.0</c:v>
                </c:pt>
                <c:pt idx="11">
                  <c:v>-6.0</c:v>
                </c:pt>
                <c:pt idx="12">
                  <c:v>-5.0</c:v>
                </c:pt>
                <c:pt idx="13">
                  <c:v>-4.0</c:v>
                </c:pt>
                <c:pt idx="14">
                  <c:v>-3.0</c:v>
                </c:pt>
                <c:pt idx="15">
                  <c:v>-2.0</c:v>
                </c:pt>
                <c:pt idx="16">
                  <c:v>-1.0</c:v>
                </c:pt>
                <c:pt idx="17">
                  <c:v>0.0</c:v>
                </c:pt>
                <c:pt idx="18">
                  <c:v>1.0</c:v>
                </c:pt>
                <c:pt idx="19">
                  <c:v>2.0</c:v>
                </c:pt>
                <c:pt idx="20">
                  <c:v>3.0</c:v>
                </c:pt>
                <c:pt idx="21">
                  <c:v>4.0</c:v>
                </c:pt>
                <c:pt idx="22">
                  <c:v>5.0</c:v>
                </c:pt>
                <c:pt idx="23">
                  <c:v>6.0</c:v>
                </c:pt>
                <c:pt idx="24">
                  <c:v>7.0</c:v>
                </c:pt>
                <c:pt idx="25">
                  <c:v>8.0</c:v>
                </c:pt>
                <c:pt idx="26">
                  <c:v>9.0</c:v>
                </c:pt>
                <c:pt idx="27">
                  <c:v>10.0</c:v>
                </c:pt>
                <c:pt idx="28">
                  <c:v>11.0</c:v>
                </c:pt>
                <c:pt idx="29">
                  <c:v>12.0</c:v>
                </c:pt>
                <c:pt idx="30">
                  <c:v>13.0</c:v>
                </c:pt>
                <c:pt idx="31">
                  <c:v>14.0</c:v>
                </c:pt>
                <c:pt idx="32">
                  <c:v>15.0</c:v>
                </c:pt>
                <c:pt idx="33">
                  <c:v>16.0</c:v>
                </c:pt>
                <c:pt idx="34">
                  <c:v>17.0</c:v>
                </c:pt>
                <c:pt idx="35">
                  <c:v>18.0</c:v>
                </c:pt>
                <c:pt idx="36">
                  <c:v>19.0</c:v>
                </c:pt>
                <c:pt idx="37">
                  <c:v>20.0</c:v>
                </c:pt>
                <c:pt idx="38">
                  <c:v>21.0</c:v>
                </c:pt>
                <c:pt idx="39">
                  <c:v>22.0</c:v>
                </c:pt>
                <c:pt idx="40">
                  <c:v>23.0</c:v>
                </c:pt>
                <c:pt idx="41">
                  <c:v>24.0</c:v>
                </c:pt>
                <c:pt idx="42">
                  <c:v>25.0</c:v>
                </c:pt>
                <c:pt idx="43">
                  <c:v>26.0</c:v>
                </c:pt>
                <c:pt idx="44">
                  <c:v>27.0</c:v>
                </c:pt>
                <c:pt idx="45">
                  <c:v>28.0</c:v>
                </c:pt>
                <c:pt idx="46">
                  <c:v>29.0</c:v>
                </c:pt>
                <c:pt idx="47">
                  <c:v>30.0</c:v>
                </c:pt>
                <c:pt idx="48">
                  <c:v>31.0</c:v>
                </c:pt>
                <c:pt idx="49">
                  <c:v>32.0</c:v>
                </c:pt>
                <c:pt idx="50">
                  <c:v>33.0</c:v>
                </c:pt>
                <c:pt idx="51">
                  <c:v>34.0</c:v>
                </c:pt>
                <c:pt idx="52">
                  <c:v>35.0</c:v>
                </c:pt>
                <c:pt idx="53">
                  <c:v>36.0</c:v>
                </c:pt>
                <c:pt idx="54">
                  <c:v>37.0</c:v>
                </c:pt>
                <c:pt idx="55">
                  <c:v>38.0</c:v>
                </c:pt>
                <c:pt idx="56">
                  <c:v>39.0</c:v>
                </c:pt>
                <c:pt idx="57">
                  <c:v>40.0</c:v>
                </c:pt>
                <c:pt idx="58">
                  <c:v>41.0</c:v>
                </c:pt>
                <c:pt idx="59">
                  <c:v>42.0</c:v>
                </c:pt>
                <c:pt idx="60">
                  <c:v>43.0</c:v>
                </c:pt>
                <c:pt idx="61">
                  <c:v>44.0</c:v>
                </c:pt>
                <c:pt idx="62">
                  <c:v>45.0</c:v>
                </c:pt>
                <c:pt idx="63">
                  <c:v>46.0</c:v>
                </c:pt>
                <c:pt idx="64">
                  <c:v>47.0</c:v>
                </c:pt>
                <c:pt idx="65">
                  <c:v>48.0</c:v>
                </c:pt>
                <c:pt idx="66">
                  <c:v>49.0</c:v>
                </c:pt>
                <c:pt idx="67">
                  <c:v>50.0</c:v>
                </c:pt>
                <c:pt idx="68">
                  <c:v>51.0</c:v>
                </c:pt>
                <c:pt idx="69">
                  <c:v>52.0</c:v>
                </c:pt>
                <c:pt idx="70">
                  <c:v>53.0</c:v>
                </c:pt>
                <c:pt idx="71">
                  <c:v>54.0</c:v>
                </c:pt>
                <c:pt idx="72">
                  <c:v>55.0</c:v>
                </c:pt>
                <c:pt idx="73">
                  <c:v>56.0</c:v>
                </c:pt>
                <c:pt idx="74">
                  <c:v>57.0</c:v>
                </c:pt>
                <c:pt idx="75">
                  <c:v>58.0</c:v>
                </c:pt>
                <c:pt idx="76">
                  <c:v>59.0</c:v>
                </c:pt>
                <c:pt idx="77">
                  <c:v>60.0</c:v>
                </c:pt>
                <c:pt idx="78">
                  <c:v>61.0</c:v>
                </c:pt>
                <c:pt idx="79">
                  <c:v>62.0</c:v>
                </c:pt>
                <c:pt idx="80">
                  <c:v>63.0</c:v>
                </c:pt>
                <c:pt idx="81">
                  <c:v>64.0</c:v>
                </c:pt>
                <c:pt idx="82">
                  <c:v>65.0</c:v>
                </c:pt>
                <c:pt idx="83">
                  <c:v>66.0</c:v>
                </c:pt>
                <c:pt idx="84">
                  <c:v>67.0</c:v>
                </c:pt>
                <c:pt idx="85">
                  <c:v>68.0</c:v>
                </c:pt>
                <c:pt idx="86">
                  <c:v>69.0</c:v>
                </c:pt>
                <c:pt idx="87">
                  <c:v>70.0</c:v>
                </c:pt>
                <c:pt idx="88">
                  <c:v>71.0</c:v>
                </c:pt>
                <c:pt idx="89">
                  <c:v>72.0</c:v>
                </c:pt>
                <c:pt idx="90">
                  <c:v>73.0</c:v>
                </c:pt>
                <c:pt idx="91">
                  <c:v>74.0</c:v>
                </c:pt>
                <c:pt idx="92">
                  <c:v>75.0</c:v>
                </c:pt>
                <c:pt idx="93">
                  <c:v>76.0</c:v>
                </c:pt>
                <c:pt idx="94">
                  <c:v>78.0</c:v>
                </c:pt>
                <c:pt idx="95">
                  <c:v>79.0</c:v>
                </c:pt>
                <c:pt idx="96">
                  <c:v>80.0</c:v>
                </c:pt>
                <c:pt idx="97">
                  <c:v>81.0</c:v>
                </c:pt>
                <c:pt idx="98">
                  <c:v>82.0</c:v>
                </c:pt>
                <c:pt idx="99">
                  <c:v>83.0</c:v>
                </c:pt>
                <c:pt idx="100">
                  <c:v>84.0</c:v>
                </c:pt>
                <c:pt idx="101">
                  <c:v>85.0</c:v>
                </c:pt>
                <c:pt idx="102">
                  <c:v>86.0</c:v>
                </c:pt>
                <c:pt idx="103">
                  <c:v>87.0</c:v>
                </c:pt>
                <c:pt idx="104">
                  <c:v>88.0</c:v>
                </c:pt>
                <c:pt idx="105">
                  <c:v>89.0</c:v>
                </c:pt>
                <c:pt idx="106">
                  <c:v>91.0</c:v>
                </c:pt>
                <c:pt idx="107">
                  <c:v>92.0</c:v>
                </c:pt>
                <c:pt idx="108">
                  <c:v>94.0</c:v>
                </c:pt>
                <c:pt idx="109">
                  <c:v>95.0</c:v>
                </c:pt>
                <c:pt idx="110">
                  <c:v>99.0</c:v>
                </c:pt>
                <c:pt idx="111">
                  <c:v>101.0</c:v>
                </c:pt>
                <c:pt idx="112">
                  <c:v>110.0</c:v>
                </c:pt>
              </c:numCache>
            </c:numRef>
          </c:cat>
          <c:val>
            <c:numRef>
              <c:f>ISI_3!$C$4:$C$116</c:f>
              <c:numCache>
                <c:formatCode>General</c:formatCode>
                <c:ptCount val="113"/>
                <c:pt idx="4">
                  <c:v>1.0</c:v>
                </c:pt>
                <c:pt idx="7">
                  <c:v>1.0</c:v>
                </c:pt>
                <c:pt idx="8">
                  <c:v>4.0</c:v>
                </c:pt>
                <c:pt idx="10">
                  <c:v>3.0</c:v>
                </c:pt>
                <c:pt idx="11">
                  <c:v>3.0</c:v>
                </c:pt>
                <c:pt idx="12">
                  <c:v>3.0</c:v>
                </c:pt>
                <c:pt idx="13">
                  <c:v>1.0</c:v>
                </c:pt>
                <c:pt idx="14">
                  <c:v>12.0</c:v>
                </c:pt>
                <c:pt idx="15">
                  <c:v>13.0</c:v>
                </c:pt>
                <c:pt idx="16">
                  <c:v>34.0</c:v>
                </c:pt>
                <c:pt idx="17">
                  <c:v>31.0</c:v>
                </c:pt>
                <c:pt idx="18">
                  <c:v>50.0</c:v>
                </c:pt>
                <c:pt idx="19">
                  <c:v>38.0</c:v>
                </c:pt>
                <c:pt idx="20">
                  <c:v>43.0</c:v>
                </c:pt>
                <c:pt idx="21">
                  <c:v>38.0</c:v>
                </c:pt>
                <c:pt idx="22">
                  <c:v>30.0</c:v>
                </c:pt>
                <c:pt idx="23">
                  <c:v>27.0</c:v>
                </c:pt>
                <c:pt idx="24">
                  <c:v>23.0</c:v>
                </c:pt>
                <c:pt idx="25">
                  <c:v>16.0</c:v>
                </c:pt>
                <c:pt idx="26">
                  <c:v>14.0</c:v>
                </c:pt>
                <c:pt idx="27">
                  <c:v>14.0</c:v>
                </c:pt>
                <c:pt idx="28">
                  <c:v>18.0</c:v>
                </c:pt>
                <c:pt idx="29">
                  <c:v>8.0</c:v>
                </c:pt>
                <c:pt idx="30">
                  <c:v>7.0</c:v>
                </c:pt>
                <c:pt idx="31">
                  <c:v>12.0</c:v>
                </c:pt>
                <c:pt idx="32">
                  <c:v>8.0</c:v>
                </c:pt>
                <c:pt idx="33">
                  <c:v>7.0</c:v>
                </c:pt>
                <c:pt idx="34">
                  <c:v>5.0</c:v>
                </c:pt>
                <c:pt idx="35">
                  <c:v>6.0</c:v>
                </c:pt>
                <c:pt idx="36">
                  <c:v>3.0</c:v>
                </c:pt>
                <c:pt idx="37">
                  <c:v>1.0</c:v>
                </c:pt>
                <c:pt idx="38">
                  <c:v>2.0</c:v>
                </c:pt>
                <c:pt idx="39">
                  <c:v>3.0</c:v>
                </c:pt>
                <c:pt idx="40">
                  <c:v>3.0</c:v>
                </c:pt>
                <c:pt idx="41">
                  <c:v>4.0</c:v>
                </c:pt>
                <c:pt idx="42">
                  <c:v>2.0</c:v>
                </c:pt>
                <c:pt idx="43">
                  <c:v>2.0</c:v>
                </c:pt>
                <c:pt idx="44">
                  <c:v>2.0</c:v>
                </c:pt>
                <c:pt idx="46">
                  <c:v>2.0</c:v>
                </c:pt>
                <c:pt idx="47">
                  <c:v>3.0</c:v>
                </c:pt>
                <c:pt idx="48">
                  <c:v>1.0</c:v>
                </c:pt>
                <c:pt idx="49">
                  <c:v>4.0</c:v>
                </c:pt>
                <c:pt idx="50">
                  <c:v>3.0</c:v>
                </c:pt>
                <c:pt idx="51">
                  <c:v>5.0</c:v>
                </c:pt>
                <c:pt idx="52">
                  <c:v>3.0</c:v>
                </c:pt>
                <c:pt idx="53">
                  <c:v>3.0</c:v>
                </c:pt>
                <c:pt idx="55">
                  <c:v>3.0</c:v>
                </c:pt>
                <c:pt idx="56">
                  <c:v>2.0</c:v>
                </c:pt>
                <c:pt idx="57">
                  <c:v>1.0</c:v>
                </c:pt>
                <c:pt idx="58">
                  <c:v>1.0</c:v>
                </c:pt>
                <c:pt idx="59">
                  <c:v>3.0</c:v>
                </c:pt>
                <c:pt idx="61">
                  <c:v>2.0</c:v>
                </c:pt>
                <c:pt idx="62">
                  <c:v>4.0</c:v>
                </c:pt>
                <c:pt idx="63">
                  <c:v>3.0</c:v>
                </c:pt>
                <c:pt idx="64">
                  <c:v>6.0</c:v>
                </c:pt>
                <c:pt idx="65">
                  <c:v>3.0</c:v>
                </c:pt>
                <c:pt idx="66">
                  <c:v>3.0</c:v>
                </c:pt>
                <c:pt idx="68">
                  <c:v>1.0</c:v>
                </c:pt>
                <c:pt idx="70">
                  <c:v>4.0</c:v>
                </c:pt>
                <c:pt idx="71">
                  <c:v>2.0</c:v>
                </c:pt>
                <c:pt idx="72">
                  <c:v>1.0</c:v>
                </c:pt>
                <c:pt idx="73">
                  <c:v>3.0</c:v>
                </c:pt>
                <c:pt idx="74">
                  <c:v>5.0</c:v>
                </c:pt>
                <c:pt idx="75">
                  <c:v>1.0</c:v>
                </c:pt>
                <c:pt idx="76">
                  <c:v>1.0</c:v>
                </c:pt>
                <c:pt idx="77">
                  <c:v>2.0</c:v>
                </c:pt>
                <c:pt idx="78">
                  <c:v>8.0</c:v>
                </c:pt>
                <c:pt idx="79">
                  <c:v>2.0</c:v>
                </c:pt>
                <c:pt idx="80">
                  <c:v>2.0</c:v>
                </c:pt>
                <c:pt idx="81">
                  <c:v>2.0</c:v>
                </c:pt>
                <c:pt idx="82">
                  <c:v>4.0</c:v>
                </c:pt>
                <c:pt idx="84">
                  <c:v>2.0</c:v>
                </c:pt>
                <c:pt idx="85">
                  <c:v>2.0</c:v>
                </c:pt>
                <c:pt idx="86">
                  <c:v>1.0</c:v>
                </c:pt>
                <c:pt idx="87">
                  <c:v>1.0</c:v>
                </c:pt>
                <c:pt idx="88">
                  <c:v>2.0</c:v>
                </c:pt>
                <c:pt idx="89">
                  <c:v>1.0</c:v>
                </c:pt>
                <c:pt idx="90">
                  <c:v>2.0</c:v>
                </c:pt>
                <c:pt idx="91">
                  <c:v>2.0</c:v>
                </c:pt>
                <c:pt idx="93">
                  <c:v>1.0</c:v>
                </c:pt>
                <c:pt idx="94">
                  <c:v>2.0</c:v>
                </c:pt>
                <c:pt idx="96">
                  <c:v>1.0</c:v>
                </c:pt>
                <c:pt idx="97">
                  <c:v>2.0</c:v>
                </c:pt>
                <c:pt idx="99">
                  <c:v>2.0</c:v>
                </c:pt>
                <c:pt idx="101">
                  <c:v>1.0</c:v>
                </c:pt>
                <c:pt idx="105">
                  <c:v>1.0</c:v>
                </c:pt>
                <c:pt idx="108">
                  <c:v>1.0</c:v>
                </c:pt>
                <c:pt idx="109">
                  <c:v>2.0</c:v>
                </c:pt>
                <c:pt idx="110">
                  <c:v>1.0</c:v>
                </c:pt>
                <c:pt idx="111">
                  <c:v>1.0</c:v>
                </c:pt>
              </c:numCache>
            </c:numRef>
          </c:val>
        </c:ser>
        <c:marker val="1"/>
        <c:axId val="698517832"/>
        <c:axId val="507907816"/>
      </c:lineChart>
      <c:catAx>
        <c:axId val="698517832"/>
        <c:scaling>
          <c:orientation val="minMax"/>
        </c:scaling>
        <c:axPos val="b"/>
        <c:numFmt formatCode="General" sourceLinked="1"/>
        <c:tickLblPos val="nextTo"/>
        <c:txPr>
          <a:bodyPr/>
          <a:lstStyle/>
          <a:p>
            <a:pPr>
              <a:defRPr lang="en-CA" sz="900"/>
            </a:pPr>
            <a:endParaRPr lang="en-US"/>
          </a:p>
        </c:txPr>
        <c:crossAx val="507907816"/>
        <c:crosses val="autoZero"/>
        <c:auto val="1"/>
        <c:lblAlgn val="ctr"/>
        <c:lblOffset val="100"/>
      </c:catAx>
      <c:valAx>
        <c:axId val="507907816"/>
        <c:scaling>
          <c:orientation val="minMax"/>
        </c:scaling>
        <c:axPos val="l"/>
        <c:majorGridlines/>
        <c:numFmt formatCode="General" sourceLinked="1"/>
        <c:tickLblPos val="nextTo"/>
        <c:txPr>
          <a:bodyPr/>
          <a:lstStyle/>
          <a:p>
            <a:pPr>
              <a:defRPr lang="en-CA" sz="900"/>
            </a:pPr>
            <a:endParaRPr lang="en-US"/>
          </a:p>
        </c:txPr>
        <c:crossAx val="698517832"/>
        <c:crosses val="autoZero"/>
        <c:crossBetween val="between"/>
      </c:valAx>
    </c:plotArea>
    <c:legend>
      <c:legendPos val="r"/>
      <c:layout>
        <c:manualLayout>
          <c:xMode val="edge"/>
          <c:yMode val="edge"/>
          <c:x val="0.55864599385438"/>
          <c:y val="0.0408989501312339"/>
          <c:w val="0.332023516218476"/>
          <c:h val="0.154313210848644"/>
        </c:manualLayout>
      </c:layout>
      <c:spPr>
        <a:solidFill>
          <a:schemeClr val="bg1"/>
        </a:solidFill>
      </c:spPr>
      <c:txPr>
        <a:bodyPr/>
        <a:lstStyle/>
        <a:p>
          <a:pPr>
            <a:defRPr lang="en-CA" sz="900"/>
          </a:pPr>
          <a:endParaRPr lang="en-US"/>
        </a:p>
      </c:txPr>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0.01107</cdr:x>
      <cdr:y>0.05256</cdr:y>
    </cdr:from>
    <cdr:to>
      <cdr:x>0.06664</cdr:x>
      <cdr:y>0.75745</cdr:y>
    </cdr:to>
    <cdr:sp macro="" textlink="">
      <cdr:nvSpPr>
        <cdr:cNvPr id="2" name="TextBox 1"/>
        <cdr:cNvSpPr txBox="1"/>
      </cdr:nvSpPr>
      <cdr:spPr>
        <a:xfrm xmlns:a="http://schemas.openxmlformats.org/drawingml/2006/main" rot="16200000">
          <a:off x="-801400" y="997788"/>
          <a:ext cx="1957082" cy="25334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CA" sz="1100"/>
            <a:t>Percentage of Open Access</a:t>
          </a:r>
        </a:p>
      </cdr:txBody>
    </cdr:sp>
  </cdr:relSizeAnchor>
</c:userShapes>
</file>

<file path=word/drawings/drawing10.xml><?xml version="1.0" encoding="utf-8"?>
<c:userShapes xmlns:c="http://schemas.openxmlformats.org/drawingml/2006/chart">
  <cdr:relSizeAnchor xmlns:cdr="http://schemas.openxmlformats.org/drawingml/2006/chartDrawing">
    <cdr:from>
      <cdr:x>0.32762</cdr:x>
      <cdr:y>0.88359</cdr:y>
    </cdr:from>
    <cdr:to>
      <cdr:x>0.6702</cdr:x>
      <cdr:y>0.97222</cdr:y>
    </cdr:to>
    <cdr:sp macro="" textlink="">
      <cdr:nvSpPr>
        <cdr:cNvPr id="5" name="TextBox 1"/>
        <cdr:cNvSpPr txBox="1"/>
      </cdr:nvSpPr>
      <cdr:spPr>
        <a:xfrm xmlns:a="http://schemas.openxmlformats.org/drawingml/2006/main">
          <a:off x="1797454" y="1713539"/>
          <a:ext cx="1879516" cy="1718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a:t>Deposit Delay (months)</a:t>
          </a:r>
        </a:p>
      </cdr:txBody>
    </cdr:sp>
  </cdr:relSizeAnchor>
  <cdr:relSizeAnchor xmlns:cdr="http://schemas.openxmlformats.org/drawingml/2006/chartDrawing">
    <cdr:from>
      <cdr:x>0.50856</cdr:x>
      <cdr:y>0.03346</cdr:y>
    </cdr:from>
    <cdr:to>
      <cdr:x>0.50951</cdr:x>
      <cdr:y>0.78035</cdr:y>
    </cdr:to>
    <cdr:sp macro="" textlink="">
      <cdr:nvSpPr>
        <cdr:cNvPr id="6" name="Straight Connector 2"/>
        <cdr:cNvSpPr/>
      </cdr:nvSpPr>
      <cdr:spPr>
        <a:xfrm xmlns:a="http://schemas.openxmlformats.org/drawingml/2006/main" flipV="1">
          <a:off x="2790191" y="60554"/>
          <a:ext cx="5186" cy="1351686"/>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cdr:x>
      <cdr:y>0</cdr:y>
    </cdr:from>
    <cdr:to>
      <cdr:x>0.05123</cdr:x>
      <cdr:y>0.70133</cdr:y>
    </cdr:to>
    <cdr:sp macro="" textlink="">
      <cdr:nvSpPr>
        <cdr:cNvPr id="9" name="TextBox 1"/>
        <cdr:cNvSpPr txBox="1"/>
      </cdr:nvSpPr>
      <cdr:spPr>
        <a:xfrm xmlns:a="http://schemas.openxmlformats.org/drawingml/2006/main" rot="16200000">
          <a:off x="-539503" y="539503"/>
          <a:ext cx="1360074" cy="28106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a:t>ISI</a:t>
          </a:r>
          <a:r>
            <a:rPr lang="en-CA" sz="900" baseline="0"/>
            <a:t> articles in 2012</a:t>
          </a:r>
          <a:endParaRPr lang="en-CA" sz="900"/>
        </a:p>
      </cdr:txBody>
    </cdr:sp>
  </cdr:relSizeAnchor>
  <cdr:relSizeAnchor xmlns:cdr="http://schemas.openxmlformats.org/drawingml/2006/chartDrawing">
    <cdr:from>
      <cdr:x>0.18627</cdr:x>
      <cdr:y>0.16642</cdr:y>
    </cdr:from>
    <cdr:to>
      <cdr:x>0.34255</cdr:x>
      <cdr:y>0.29613</cdr:y>
    </cdr:to>
    <cdr:sp macro="" textlink="">
      <cdr:nvSpPr>
        <cdr:cNvPr id="7" name="TextBox 1"/>
        <cdr:cNvSpPr txBox="1"/>
      </cdr:nvSpPr>
      <cdr:spPr>
        <a:xfrm xmlns:a="http://schemas.openxmlformats.org/drawingml/2006/main">
          <a:off x="1021977" y="322730"/>
          <a:ext cx="857400" cy="251545"/>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1100" b="1"/>
            <a:t>U. Minho</a:t>
          </a:r>
        </a:p>
      </cdr:txBody>
    </cdr:sp>
  </cdr:relSizeAnchor>
  <cdr:relSizeAnchor xmlns:cdr="http://schemas.openxmlformats.org/drawingml/2006/chartDrawing">
    <cdr:from>
      <cdr:x>0.84039</cdr:x>
      <cdr:y>0.03467</cdr:y>
    </cdr:from>
    <cdr:to>
      <cdr:x>0.91914</cdr:x>
      <cdr:y>0.1164</cdr:y>
    </cdr:to>
    <cdr:sp macro="" textlink="">
      <cdr:nvSpPr>
        <cdr:cNvPr id="10" name="TextBox 1"/>
        <cdr:cNvSpPr txBox="1"/>
      </cdr:nvSpPr>
      <cdr:spPr>
        <a:xfrm xmlns:a="http://schemas.openxmlformats.org/drawingml/2006/main">
          <a:off x="4610728" y="67236"/>
          <a:ext cx="432054" cy="158495"/>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lIns="0" tIns="0" rIns="0" bIns="0"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b="1"/>
            <a:t>(N=309)</a:t>
          </a:r>
        </a:p>
      </cdr:txBody>
    </cdr:sp>
  </cdr:relSizeAnchor>
  <cdr:relSizeAnchor xmlns:cdr="http://schemas.openxmlformats.org/drawingml/2006/chartDrawing">
    <cdr:from>
      <cdr:x>0.87404</cdr:x>
      <cdr:y>0.14161</cdr:y>
    </cdr:from>
    <cdr:to>
      <cdr:x>0.95279</cdr:x>
      <cdr:y>0.22334</cdr:y>
    </cdr:to>
    <cdr:sp macro="" textlink="">
      <cdr:nvSpPr>
        <cdr:cNvPr id="11" name="TextBox 1"/>
        <cdr:cNvSpPr txBox="1"/>
      </cdr:nvSpPr>
      <cdr:spPr>
        <a:xfrm xmlns:a="http://schemas.openxmlformats.org/drawingml/2006/main">
          <a:off x="4795318" y="274622"/>
          <a:ext cx="432054" cy="158495"/>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lIns="0" tIns="0" rIns="0" bIns="0"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b="1"/>
            <a:t>(N=242)</a:t>
          </a:r>
        </a:p>
      </cdr:txBody>
    </cdr:sp>
  </cdr:relSizeAnchor>
  <cdr:relSizeAnchor xmlns:cdr="http://schemas.openxmlformats.org/drawingml/2006/chartDrawing">
    <cdr:from>
      <cdr:x>0</cdr:x>
      <cdr:y>0.80702</cdr:y>
    </cdr:from>
    <cdr:to>
      <cdr:x>0.06427</cdr:x>
      <cdr:y>0.94737</cdr:y>
    </cdr:to>
    <cdr:sp macro="" textlink="">
      <cdr:nvSpPr>
        <cdr:cNvPr id="8" name="TextBox 7"/>
        <cdr:cNvSpPr txBox="1"/>
      </cdr:nvSpPr>
      <cdr:spPr>
        <a:xfrm xmlns:a="http://schemas.openxmlformats.org/drawingml/2006/main">
          <a:off x="0" y="1460504"/>
          <a:ext cx="352634" cy="2539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b="1"/>
            <a:t>7a</a:t>
          </a:r>
        </a:p>
      </cdr:txBody>
    </cdr:sp>
  </cdr:relSizeAnchor>
</c:userShapes>
</file>

<file path=word/drawings/drawing11.xml><?xml version="1.0" encoding="utf-8"?>
<c:userShapes xmlns:c="http://schemas.openxmlformats.org/drawingml/2006/chart">
  <cdr:relSizeAnchor xmlns:cdr="http://schemas.openxmlformats.org/drawingml/2006/chartDrawing">
    <cdr:from>
      <cdr:x>0.21171</cdr:x>
      <cdr:y>0.17708</cdr:y>
    </cdr:from>
    <cdr:to>
      <cdr:x>0.35367</cdr:x>
      <cdr:y>0.30338</cdr:y>
    </cdr:to>
    <cdr:sp macro="" textlink="">
      <cdr:nvSpPr>
        <cdr:cNvPr id="4" name="TextBox 3"/>
        <cdr:cNvSpPr txBox="1"/>
      </cdr:nvSpPr>
      <cdr:spPr>
        <a:xfrm xmlns:a="http://schemas.openxmlformats.org/drawingml/2006/main">
          <a:off x="1161755" y="315680"/>
          <a:ext cx="778982" cy="2251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CA" sz="1100" b="1"/>
            <a:t>U. Liège</a:t>
          </a:r>
        </a:p>
      </cdr:txBody>
    </cdr:sp>
  </cdr:relSizeAnchor>
  <cdr:relSizeAnchor xmlns:cdr="http://schemas.openxmlformats.org/drawingml/2006/chartDrawing">
    <cdr:from>
      <cdr:x>0</cdr:x>
      <cdr:y>0.07602</cdr:y>
    </cdr:from>
    <cdr:to>
      <cdr:x>0.03606</cdr:x>
      <cdr:y>0.76</cdr:y>
    </cdr:to>
    <cdr:sp macro="" textlink="">
      <cdr:nvSpPr>
        <cdr:cNvPr id="5" name="TextBox 1"/>
        <cdr:cNvSpPr txBox="1"/>
      </cdr:nvSpPr>
      <cdr:spPr>
        <a:xfrm xmlns:a="http://schemas.openxmlformats.org/drawingml/2006/main" rot="16200000">
          <a:off x="-471116" y="597831"/>
          <a:ext cx="1140109" cy="19787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a:t>ISI A</a:t>
          </a:r>
          <a:r>
            <a:rPr lang="en-CA" sz="900" baseline="0"/>
            <a:t>rticles in 2012</a:t>
          </a:r>
          <a:endParaRPr lang="en-CA" sz="900"/>
        </a:p>
      </cdr:txBody>
    </cdr:sp>
  </cdr:relSizeAnchor>
  <cdr:relSizeAnchor xmlns:cdr="http://schemas.openxmlformats.org/drawingml/2006/chartDrawing">
    <cdr:from>
      <cdr:x>0.5133</cdr:x>
      <cdr:y>0.06138</cdr:y>
    </cdr:from>
    <cdr:to>
      <cdr:x>0.51374</cdr:x>
      <cdr:y>0.84561</cdr:y>
    </cdr:to>
    <cdr:sp macro="" textlink="">
      <cdr:nvSpPr>
        <cdr:cNvPr id="7" name="Straight Connector 6"/>
        <cdr:cNvSpPr/>
      </cdr:nvSpPr>
      <cdr:spPr>
        <a:xfrm xmlns:a="http://schemas.openxmlformats.org/drawingml/2006/main" flipH="1" flipV="1">
          <a:off x="2816678" y="109417"/>
          <a:ext cx="2370" cy="1398041"/>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0.80789</cdr:x>
      <cdr:y>0.0474</cdr:y>
    </cdr:from>
    <cdr:to>
      <cdr:x>0.88663</cdr:x>
      <cdr:y>0.13631</cdr:y>
    </cdr:to>
    <cdr:sp macro="" textlink="">
      <cdr:nvSpPr>
        <cdr:cNvPr id="6" name="TextBox 1"/>
        <cdr:cNvSpPr txBox="1"/>
      </cdr:nvSpPr>
      <cdr:spPr>
        <a:xfrm xmlns:a="http://schemas.openxmlformats.org/drawingml/2006/main">
          <a:off x="4433180" y="84501"/>
          <a:ext cx="432054" cy="158495"/>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lIns="0" tIns="0" rIns="0" bIns="0"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b="1"/>
            <a:t>(N=459)</a:t>
          </a:r>
        </a:p>
      </cdr:txBody>
    </cdr:sp>
  </cdr:relSizeAnchor>
  <cdr:relSizeAnchor xmlns:cdr="http://schemas.openxmlformats.org/drawingml/2006/chartDrawing">
    <cdr:from>
      <cdr:x>0.84419</cdr:x>
      <cdr:y>0.18791</cdr:y>
    </cdr:from>
    <cdr:to>
      <cdr:x>0.92292</cdr:x>
      <cdr:y>0.27681</cdr:y>
    </cdr:to>
    <cdr:sp macro="" textlink="">
      <cdr:nvSpPr>
        <cdr:cNvPr id="8" name="TextBox 1"/>
        <cdr:cNvSpPr txBox="1"/>
      </cdr:nvSpPr>
      <cdr:spPr>
        <a:xfrm xmlns:a="http://schemas.openxmlformats.org/drawingml/2006/main">
          <a:off x="4632357" y="334979"/>
          <a:ext cx="432054" cy="158495"/>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lIns="0" tIns="0" rIns="0" bIns="0"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b="1"/>
            <a:t>(N=736)</a:t>
          </a:r>
        </a:p>
      </cdr:txBody>
    </cdr:sp>
  </cdr:relSizeAnchor>
  <cdr:relSizeAnchor xmlns:cdr="http://schemas.openxmlformats.org/drawingml/2006/chartDrawing">
    <cdr:from>
      <cdr:x>0.0162</cdr:x>
      <cdr:y>0.73397</cdr:y>
    </cdr:from>
    <cdr:to>
      <cdr:x>0.05786</cdr:x>
      <cdr:y>0.93968</cdr:y>
    </cdr:to>
    <cdr:sp macro="" textlink="">
      <cdr:nvSpPr>
        <cdr:cNvPr id="10" name="TextBox 9"/>
        <cdr:cNvSpPr txBox="1"/>
      </cdr:nvSpPr>
      <cdr:spPr>
        <a:xfrm xmlns:a="http://schemas.openxmlformats.org/drawingml/2006/main">
          <a:off x="88900" y="1223433"/>
          <a:ext cx="228600" cy="3429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0.78933</cdr:y>
    </cdr:from>
    <cdr:to>
      <cdr:x>0.06249</cdr:x>
      <cdr:y>0.99962</cdr:y>
    </cdr:to>
    <cdr:sp macro="" textlink="">
      <cdr:nvSpPr>
        <cdr:cNvPr id="11" name="TextBox 10"/>
        <cdr:cNvSpPr txBox="1"/>
      </cdr:nvSpPr>
      <cdr:spPr>
        <a:xfrm xmlns:a="http://schemas.openxmlformats.org/drawingml/2006/main">
          <a:off x="0" y="1315719"/>
          <a:ext cx="342924" cy="35052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b="1"/>
            <a:t>7b</a:t>
          </a:r>
        </a:p>
      </cdr:txBody>
    </cdr:sp>
  </cdr:relSizeAnchor>
</c:userShapes>
</file>

<file path=word/drawings/drawing12.xml><?xml version="1.0" encoding="utf-8"?>
<c:userShapes xmlns:c="http://schemas.openxmlformats.org/drawingml/2006/chart">
  <cdr:relSizeAnchor xmlns:cdr="http://schemas.openxmlformats.org/drawingml/2006/chartDrawing">
    <cdr:from>
      <cdr:x>3.64453E-7</cdr:x>
      <cdr:y>0.03145</cdr:y>
    </cdr:from>
    <cdr:to>
      <cdr:x>0.04166</cdr:x>
      <cdr:y>0.77215</cdr:y>
    </cdr:to>
    <cdr:sp macro="" textlink="">
      <cdr:nvSpPr>
        <cdr:cNvPr id="3" name="TextBox 1"/>
        <cdr:cNvSpPr txBox="1"/>
      </cdr:nvSpPr>
      <cdr:spPr>
        <a:xfrm xmlns:a="http://schemas.openxmlformats.org/drawingml/2006/main" rot="16200000">
          <a:off x="-443059" y="490391"/>
          <a:ext cx="1114719" cy="2285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a:t>ISI Articles in 2012</a:t>
          </a:r>
        </a:p>
      </cdr:txBody>
    </cdr:sp>
  </cdr:relSizeAnchor>
  <cdr:relSizeAnchor xmlns:cdr="http://schemas.openxmlformats.org/drawingml/2006/chartDrawing">
    <cdr:from>
      <cdr:x>0.20521</cdr:x>
      <cdr:y>0.20833</cdr:y>
    </cdr:from>
    <cdr:to>
      <cdr:x>0.36645</cdr:x>
      <cdr:y>0.35683</cdr:y>
    </cdr:to>
    <cdr:sp macro="" textlink="">
      <cdr:nvSpPr>
        <cdr:cNvPr id="4" name="TextBox 3"/>
        <cdr:cNvSpPr txBox="1"/>
      </cdr:nvSpPr>
      <cdr:spPr>
        <a:xfrm xmlns:a="http://schemas.openxmlformats.org/drawingml/2006/main">
          <a:off x="1126060" y="363385"/>
          <a:ext cx="884781" cy="2590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CA" sz="1100" b="1"/>
            <a:t>U.</a:t>
          </a:r>
          <a:r>
            <a:rPr lang="en-CA" sz="1100" b="1" baseline="0"/>
            <a:t> Surrey</a:t>
          </a:r>
          <a:endParaRPr lang="en-CA" sz="1100" b="1"/>
        </a:p>
      </cdr:txBody>
    </cdr:sp>
  </cdr:relSizeAnchor>
  <cdr:relSizeAnchor xmlns:cdr="http://schemas.openxmlformats.org/drawingml/2006/chartDrawing">
    <cdr:from>
      <cdr:x>0.51189</cdr:x>
      <cdr:y>0.04893</cdr:y>
    </cdr:from>
    <cdr:to>
      <cdr:x>0.51422</cdr:x>
      <cdr:y>0.80176</cdr:y>
    </cdr:to>
    <cdr:sp macro="" textlink="">
      <cdr:nvSpPr>
        <cdr:cNvPr id="5" name="Straight Connector 4"/>
        <cdr:cNvSpPr/>
      </cdr:nvSpPr>
      <cdr:spPr>
        <a:xfrm xmlns:a="http://schemas.openxmlformats.org/drawingml/2006/main" flipV="1">
          <a:off x="2808931" y="85344"/>
          <a:ext cx="12756" cy="1313150"/>
        </a:xfrm>
        <a:prstGeom xmlns:a="http://schemas.openxmlformats.org/drawingml/2006/main" prst="line">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n-US"/>
        </a:p>
      </cdr:txBody>
    </cdr:sp>
  </cdr:relSizeAnchor>
  <cdr:relSizeAnchor xmlns:cdr="http://schemas.openxmlformats.org/drawingml/2006/chartDrawing">
    <cdr:from>
      <cdr:x>0.85354</cdr:x>
      <cdr:y>0.11073</cdr:y>
    </cdr:from>
    <cdr:to>
      <cdr:x>0.93227</cdr:x>
      <cdr:y>0.20159</cdr:y>
    </cdr:to>
    <cdr:sp macro="" textlink="">
      <cdr:nvSpPr>
        <cdr:cNvPr id="6" name="TextBox 1"/>
        <cdr:cNvSpPr txBox="1"/>
      </cdr:nvSpPr>
      <cdr:spPr>
        <a:xfrm xmlns:a="http://schemas.openxmlformats.org/drawingml/2006/main">
          <a:off x="4683658" y="193141"/>
          <a:ext cx="432054" cy="158495"/>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lIns="0" tIns="0" rIns="0" bIns="0"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b="1"/>
            <a:t>(N=126)</a:t>
          </a:r>
        </a:p>
      </cdr:txBody>
    </cdr:sp>
  </cdr:relSizeAnchor>
  <cdr:relSizeAnchor xmlns:cdr="http://schemas.openxmlformats.org/drawingml/2006/chartDrawing">
    <cdr:from>
      <cdr:x>0.88708</cdr:x>
      <cdr:y>0.23876</cdr:y>
    </cdr:from>
    <cdr:to>
      <cdr:x>0.95566</cdr:x>
      <cdr:y>0.32962</cdr:y>
    </cdr:to>
    <cdr:sp macro="" textlink="">
      <cdr:nvSpPr>
        <cdr:cNvPr id="7" name="TextBox 1"/>
        <cdr:cNvSpPr txBox="1"/>
      </cdr:nvSpPr>
      <cdr:spPr>
        <a:xfrm xmlns:a="http://schemas.openxmlformats.org/drawingml/2006/main">
          <a:off x="4867747" y="416460"/>
          <a:ext cx="376285" cy="158495"/>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lIns="0" tIns="0" rIns="0" bIns="0"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b="1"/>
            <a:t>(N=32)</a:t>
          </a:r>
        </a:p>
      </cdr:txBody>
    </cdr:sp>
  </cdr:relSizeAnchor>
  <cdr:relSizeAnchor xmlns:cdr="http://schemas.openxmlformats.org/drawingml/2006/chartDrawing">
    <cdr:from>
      <cdr:x>0</cdr:x>
      <cdr:y>0.76231</cdr:y>
    </cdr:from>
    <cdr:to>
      <cdr:x>0.06249</cdr:x>
      <cdr:y>0.91421</cdr:y>
    </cdr:to>
    <cdr:sp macro="" textlink="">
      <cdr:nvSpPr>
        <cdr:cNvPr id="8" name="TextBox 7"/>
        <cdr:cNvSpPr txBox="1"/>
      </cdr:nvSpPr>
      <cdr:spPr>
        <a:xfrm xmlns:a="http://schemas.openxmlformats.org/drawingml/2006/main">
          <a:off x="-19050" y="1147233"/>
          <a:ext cx="342900" cy="2286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0.0162</cdr:x>
      <cdr:y>0.7456</cdr:y>
    </cdr:from>
    <cdr:to>
      <cdr:x>0.0787</cdr:x>
      <cdr:y>0.9735</cdr:y>
    </cdr:to>
    <cdr:sp macro="" textlink="">
      <cdr:nvSpPr>
        <cdr:cNvPr id="9" name="TextBox 8"/>
        <cdr:cNvSpPr txBox="1"/>
      </cdr:nvSpPr>
      <cdr:spPr>
        <a:xfrm xmlns:a="http://schemas.openxmlformats.org/drawingml/2006/main">
          <a:off x="88900" y="1121833"/>
          <a:ext cx="342900" cy="3429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0.77317</cdr:y>
    </cdr:from>
    <cdr:to>
      <cdr:x>0.0625</cdr:x>
      <cdr:y>0.9735</cdr:y>
    </cdr:to>
    <cdr:sp macro="" textlink="">
      <cdr:nvSpPr>
        <cdr:cNvPr id="10" name="TextBox 9"/>
        <cdr:cNvSpPr txBox="1"/>
      </cdr:nvSpPr>
      <cdr:spPr>
        <a:xfrm xmlns:a="http://schemas.openxmlformats.org/drawingml/2006/main">
          <a:off x="0" y="1163320"/>
          <a:ext cx="342900" cy="30141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b="1"/>
            <a:t>7c</a:t>
          </a:r>
        </a:p>
      </cdr:txBody>
    </cdr:sp>
  </cdr:relSizeAnchor>
</c:userShapes>
</file>

<file path=word/drawings/drawing13.xml><?xml version="1.0" encoding="utf-8"?>
<c:userShapes xmlns:c="http://schemas.openxmlformats.org/drawingml/2006/chart">
  <cdr:relSizeAnchor xmlns:cdr="http://schemas.openxmlformats.org/drawingml/2006/chartDrawing">
    <cdr:from>
      <cdr:x>0.00556</cdr:x>
      <cdr:y>0.09852</cdr:y>
    </cdr:from>
    <cdr:to>
      <cdr:x>0.04197</cdr:x>
      <cdr:y>0.76136</cdr:y>
    </cdr:to>
    <cdr:sp macro="" textlink="">
      <cdr:nvSpPr>
        <cdr:cNvPr id="2" name="TextBox 1"/>
        <cdr:cNvSpPr txBox="1"/>
      </cdr:nvSpPr>
      <cdr:spPr>
        <a:xfrm xmlns:a="http://schemas.openxmlformats.org/drawingml/2006/main" rot="16200000">
          <a:off x="-425232" y="620873"/>
          <a:ext cx="1111185" cy="1997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a:t>ISI Articles in 2012</a:t>
          </a:r>
        </a:p>
      </cdr:txBody>
    </cdr:sp>
  </cdr:relSizeAnchor>
  <cdr:relSizeAnchor xmlns:cdr="http://schemas.openxmlformats.org/drawingml/2006/chartDrawing">
    <cdr:from>
      <cdr:x>0.52187</cdr:x>
      <cdr:y>0.04063</cdr:y>
    </cdr:from>
    <cdr:to>
      <cdr:x>0.5224</cdr:x>
      <cdr:y>0.84217</cdr:y>
    </cdr:to>
    <cdr:sp macro="" textlink="">
      <cdr:nvSpPr>
        <cdr:cNvPr id="4" name="Straight Connector 3"/>
        <cdr:cNvSpPr/>
      </cdr:nvSpPr>
      <cdr:spPr>
        <a:xfrm xmlns:a="http://schemas.openxmlformats.org/drawingml/2006/main" flipH="1" flipV="1">
          <a:off x="2863194" y="80128"/>
          <a:ext cx="2899" cy="1580892"/>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0.20691</cdr:x>
      <cdr:y>0.12026</cdr:y>
    </cdr:from>
    <cdr:to>
      <cdr:x>0.38531</cdr:x>
      <cdr:y>0.22198</cdr:y>
    </cdr:to>
    <cdr:sp macro="" textlink="">
      <cdr:nvSpPr>
        <cdr:cNvPr id="5" name="TextBox 1"/>
        <cdr:cNvSpPr txBox="1"/>
      </cdr:nvSpPr>
      <cdr:spPr>
        <a:xfrm xmlns:a="http://schemas.openxmlformats.org/drawingml/2006/main">
          <a:off x="1135191" y="201602"/>
          <a:ext cx="978774" cy="1705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1100" b="1"/>
            <a:t>U.</a:t>
          </a:r>
          <a:r>
            <a:rPr lang="en-CA" sz="1100" b="1" baseline="0"/>
            <a:t> Lancaster</a:t>
          </a:r>
          <a:endParaRPr lang="en-CA" sz="1100" b="1"/>
        </a:p>
      </cdr:txBody>
    </cdr:sp>
  </cdr:relSizeAnchor>
  <cdr:relSizeAnchor xmlns:cdr="http://schemas.openxmlformats.org/drawingml/2006/chartDrawing">
    <cdr:from>
      <cdr:x>0.86971</cdr:x>
      <cdr:y>0.12632</cdr:y>
    </cdr:from>
    <cdr:to>
      <cdr:x>0.94846</cdr:x>
      <cdr:y>0.20668</cdr:y>
    </cdr:to>
    <cdr:sp macro="" textlink="">
      <cdr:nvSpPr>
        <cdr:cNvPr id="6" name="TextBox 1"/>
        <cdr:cNvSpPr txBox="1"/>
      </cdr:nvSpPr>
      <cdr:spPr>
        <a:xfrm xmlns:a="http://schemas.openxmlformats.org/drawingml/2006/main">
          <a:off x="4771553" y="249146"/>
          <a:ext cx="432054" cy="158495"/>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lIns="0" tIns="0" rIns="0" bIns="0"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b="1"/>
            <a:t>(N=86)</a:t>
          </a:r>
        </a:p>
      </cdr:txBody>
    </cdr:sp>
  </cdr:relSizeAnchor>
  <cdr:relSizeAnchor xmlns:cdr="http://schemas.openxmlformats.org/drawingml/2006/chartDrawing">
    <cdr:from>
      <cdr:x>0.90395</cdr:x>
      <cdr:y>0.24809</cdr:y>
    </cdr:from>
    <cdr:to>
      <cdr:x>0.96898</cdr:x>
      <cdr:y>0.32845</cdr:y>
    </cdr:to>
    <cdr:sp macro="" textlink="">
      <cdr:nvSpPr>
        <cdr:cNvPr id="7" name="TextBox 1"/>
        <cdr:cNvSpPr txBox="1"/>
      </cdr:nvSpPr>
      <cdr:spPr>
        <a:xfrm xmlns:a="http://schemas.openxmlformats.org/drawingml/2006/main">
          <a:off x="4959455" y="489318"/>
          <a:ext cx="356755" cy="158495"/>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lIns="0" tIns="0" rIns="0" bIns="0"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b="1"/>
            <a:t>(N=1)</a:t>
          </a:r>
        </a:p>
      </cdr:txBody>
    </cdr:sp>
  </cdr:relSizeAnchor>
  <cdr:relSizeAnchor xmlns:cdr="http://schemas.openxmlformats.org/drawingml/2006/chartDrawing">
    <cdr:from>
      <cdr:x>0</cdr:x>
      <cdr:y>0.79545</cdr:y>
    </cdr:from>
    <cdr:to>
      <cdr:x>0.0625</cdr:x>
      <cdr:y>1</cdr:y>
    </cdr:to>
    <cdr:sp macro="" textlink="">
      <cdr:nvSpPr>
        <cdr:cNvPr id="8" name="TextBox 7"/>
        <cdr:cNvSpPr txBox="1"/>
      </cdr:nvSpPr>
      <cdr:spPr>
        <a:xfrm xmlns:a="http://schemas.openxmlformats.org/drawingml/2006/main">
          <a:off x="-19050" y="1337733"/>
          <a:ext cx="342900" cy="3429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b="1"/>
            <a:t>7d</a:t>
          </a:r>
        </a:p>
      </cdr:txBody>
    </cdr:sp>
  </cdr:relSizeAnchor>
</c:userShapes>
</file>

<file path=word/drawings/drawing14.xml><?xml version="1.0" encoding="utf-8"?>
<c:userShapes xmlns:c="http://schemas.openxmlformats.org/drawingml/2006/chart">
  <cdr:relSizeAnchor xmlns:cdr="http://schemas.openxmlformats.org/drawingml/2006/chartDrawing">
    <cdr:from>
      <cdr:x>0.52929</cdr:x>
      <cdr:y>0</cdr:y>
    </cdr:from>
    <cdr:to>
      <cdr:x>0.7057</cdr:x>
      <cdr:y>0.11458</cdr:y>
    </cdr:to>
    <cdr:sp macro="" textlink="">
      <cdr:nvSpPr>
        <cdr:cNvPr id="2" name="TextBox 1"/>
        <cdr:cNvSpPr txBox="1"/>
      </cdr:nvSpPr>
      <cdr:spPr>
        <a:xfrm xmlns:a="http://schemas.openxmlformats.org/drawingml/2006/main">
          <a:off x="2245801" y="0"/>
          <a:ext cx="748514" cy="26712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1100" b="1"/>
            <a:t>N=23738</a:t>
          </a:r>
        </a:p>
      </cdr:txBody>
    </cdr:sp>
  </cdr:relSizeAnchor>
</c:userShapes>
</file>

<file path=word/drawings/drawing15.xml><?xml version="1.0" encoding="utf-8"?>
<c:userShapes xmlns:c="http://schemas.openxmlformats.org/drawingml/2006/chart">
  <cdr:relSizeAnchor xmlns:cdr="http://schemas.openxmlformats.org/drawingml/2006/chartDrawing">
    <cdr:from>
      <cdr:x>0.38498</cdr:x>
      <cdr:y>0.02258</cdr:y>
    </cdr:from>
    <cdr:to>
      <cdr:x>0.5259</cdr:x>
      <cdr:y>0.12903</cdr:y>
    </cdr:to>
    <cdr:sp macro="" textlink="">
      <cdr:nvSpPr>
        <cdr:cNvPr id="2" name="TextBox 1"/>
        <cdr:cNvSpPr txBox="1"/>
      </cdr:nvSpPr>
      <cdr:spPr>
        <a:xfrm xmlns:a="http://schemas.openxmlformats.org/drawingml/2006/main">
          <a:off x="2295525" y="56134"/>
          <a:ext cx="840233" cy="26463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1100" b="1"/>
            <a:t>N=23738</a:t>
          </a:r>
        </a:p>
      </cdr:txBody>
    </cdr:sp>
  </cdr:relSizeAnchor>
  <cdr:relSizeAnchor xmlns:cdr="http://schemas.openxmlformats.org/drawingml/2006/chartDrawing">
    <cdr:from>
      <cdr:x>0</cdr:x>
      <cdr:y>0.18924</cdr:y>
    </cdr:from>
    <cdr:to>
      <cdr:x>0.02928</cdr:x>
      <cdr:y>0.54935</cdr:y>
    </cdr:to>
    <cdr:sp macro="" textlink="">
      <cdr:nvSpPr>
        <cdr:cNvPr id="3" name="TextBox 1"/>
        <cdr:cNvSpPr txBox="1"/>
      </cdr:nvSpPr>
      <cdr:spPr>
        <a:xfrm xmlns:a="http://schemas.openxmlformats.org/drawingml/2006/main" rot="16200000">
          <a:off x="-482095" y="1080527"/>
          <a:ext cx="1138776" cy="17458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a:t>Article Count</a:t>
          </a:r>
        </a:p>
      </cdr:txBody>
    </cdr:sp>
  </cdr:relSizeAnchor>
</c:userShapes>
</file>

<file path=word/drawings/drawing16.xml><?xml version="1.0" encoding="utf-8"?>
<c:userShapes xmlns:c="http://schemas.openxmlformats.org/drawingml/2006/chart">
  <cdr:relSizeAnchor xmlns:cdr="http://schemas.openxmlformats.org/drawingml/2006/chartDrawing">
    <cdr:from>
      <cdr:x>0.00998</cdr:x>
      <cdr:y>0.09139</cdr:y>
    </cdr:from>
    <cdr:to>
      <cdr:x>0.0501</cdr:x>
      <cdr:y>0.69328</cdr:y>
    </cdr:to>
    <cdr:sp macro="" textlink="">
      <cdr:nvSpPr>
        <cdr:cNvPr id="2" name="TextBox 1"/>
        <cdr:cNvSpPr txBox="1"/>
      </cdr:nvSpPr>
      <cdr:spPr>
        <a:xfrm xmlns:a="http://schemas.openxmlformats.org/drawingml/2006/main" rot="16200000">
          <a:off x="-569028" y="846608"/>
          <a:ext cx="1467649" cy="2201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a:t>Article Cumultaif Count</a:t>
          </a:r>
        </a:p>
      </cdr:txBody>
    </cdr:sp>
  </cdr:relSizeAnchor>
  <cdr:relSizeAnchor xmlns:cdr="http://schemas.openxmlformats.org/drawingml/2006/chartDrawing">
    <cdr:from>
      <cdr:x>0.59185</cdr:x>
      <cdr:y>0.05718</cdr:y>
    </cdr:from>
    <cdr:to>
      <cdr:x>0.68773</cdr:x>
      <cdr:y>0.12218</cdr:y>
    </cdr:to>
    <cdr:sp macro="" textlink="">
      <cdr:nvSpPr>
        <cdr:cNvPr id="3" name="TextBox 1"/>
        <cdr:cNvSpPr txBox="1"/>
      </cdr:nvSpPr>
      <cdr:spPr>
        <a:xfrm xmlns:a="http://schemas.openxmlformats.org/drawingml/2006/main">
          <a:off x="3247135" y="139432"/>
          <a:ext cx="526011" cy="158495"/>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lIns="0" tIns="0" rIns="0" bIns="0"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b="1"/>
            <a:t>(N=23738)</a:t>
          </a:r>
        </a:p>
      </cdr:txBody>
    </cdr:sp>
  </cdr:relSizeAnchor>
  <cdr:relSizeAnchor xmlns:cdr="http://schemas.openxmlformats.org/drawingml/2006/chartDrawing">
    <cdr:from>
      <cdr:x>0.50026</cdr:x>
      <cdr:y>0.13713</cdr:y>
    </cdr:from>
    <cdr:to>
      <cdr:x>0.60349</cdr:x>
      <cdr:y>0.20709</cdr:y>
    </cdr:to>
    <cdr:sp macro="" textlink="">
      <cdr:nvSpPr>
        <cdr:cNvPr id="4" name="TextBox 1"/>
        <cdr:cNvSpPr txBox="1"/>
      </cdr:nvSpPr>
      <cdr:spPr>
        <a:xfrm xmlns:a="http://schemas.openxmlformats.org/drawingml/2006/main">
          <a:off x="2744622" y="334369"/>
          <a:ext cx="566382" cy="170597"/>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lIns="0" tIns="0" rIns="0" bIns="0"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b="1"/>
            <a:t>(N=8402)</a:t>
          </a:r>
        </a:p>
      </cdr:txBody>
    </cdr:sp>
  </cdr:relSizeAnchor>
</c:userShapes>
</file>

<file path=word/drawings/drawing2.xml><?xml version="1.0" encoding="utf-8"?>
<c:userShapes xmlns:c="http://schemas.openxmlformats.org/drawingml/2006/chart">
  <cdr:relSizeAnchor xmlns:cdr="http://schemas.openxmlformats.org/drawingml/2006/chartDrawing">
    <cdr:from>
      <cdr:x>0.96674</cdr:x>
      <cdr:y>0.0211</cdr:y>
    </cdr:from>
    <cdr:to>
      <cdr:x>1</cdr:x>
      <cdr:y>0.62466</cdr:y>
    </cdr:to>
    <cdr:sp macro="" textlink="">
      <cdr:nvSpPr>
        <cdr:cNvPr id="3" name="TextBox 1"/>
        <cdr:cNvSpPr txBox="1"/>
      </cdr:nvSpPr>
      <cdr:spPr>
        <a:xfrm xmlns:a="http://schemas.openxmlformats.org/drawingml/2006/main" rot="16200000">
          <a:off x="4725143" y="637435"/>
          <a:ext cx="1362498" cy="1828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a:t>IS</a:t>
          </a:r>
          <a:r>
            <a:rPr lang="en-CA" sz="900" baseline="0"/>
            <a:t>I Articles in 2004-2012</a:t>
          </a:r>
          <a:endParaRPr lang="en-CA" sz="900"/>
        </a:p>
      </cdr:txBody>
    </cdr:sp>
  </cdr:relSizeAnchor>
  <cdr:relSizeAnchor xmlns:cdr="http://schemas.openxmlformats.org/drawingml/2006/chartDrawing">
    <cdr:from>
      <cdr:x>0</cdr:x>
      <cdr:y>0.02532</cdr:y>
    </cdr:from>
    <cdr:to>
      <cdr:x>0.03119</cdr:x>
      <cdr:y>0.62323</cdr:y>
    </cdr:to>
    <cdr:sp macro="" textlink="">
      <cdr:nvSpPr>
        <cdr:cNvPr id="4" name="TextBox 1"/>
        <cdr:cNvSpPr txBox="1"/>
      </cdr:nvSpPr>
      <cdr:spPr>
        <a:xfrm xmlns:a="http://schemas.openxmlformats.org/drawingml/2006/main" rot="16200000">
          <a:off x="-589148" y="646298"/>
          <a:ext cx="1349745" cy="1714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a:t>Percentage</a:t>
          </a:r>
          <a:r>
            <a:rPr lang="en-CA" sz="900" baseline="0"/>
            <a:t> of Articles</a:t>
          </a:r>
          <a:endParaRPr lang="en-CA" sz="900"/>
        </a:p>
      </cdr:txBody>
    </cdr:sp>
  </cdr:relSizeAnchor>
  <cdr:relSizeAnchor xmlns:cdr="http://schemas.openxmlformats.org/drawingml/2006/chartDrawing">
    <cdr:from>
      <cdr:x>0.01733</cdr:x>
      <cdr:y>0.82004</cdr:y>
    </cdr:from>
    <cdr:to>
      <cdr:x>0.09933</cdr:x>
      <cdr:y>0.91024</cdr:y>
    </cdr:to>
    <cdr:sp macro="" textlink="">
      <cdr:nvSpPr>
        <cdr:cNvPr id="5" name="TextBox 1"/>
        <cdr:cNvSpPr txBox="1"/>
      </cdr:nvSpPr>
      <cdr:spPr>
        <a:xfrm xmlns:a="http://schemas.openxmlformats.org/drawingml/2006/main">
          <a:off x="95275" y="1905011"/>
          <a:ext cx="450825" cy="2095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b="1"/>
            <a:t>2a</a:t>
          </a:r>
        </a:p>
      </cdr:txBody>
    </cdr:sp>
  </cdr:relSizeAnchor>
</c:userShapes>
</file>

<file path=word/drawings/drawing3.xml><?xml version="1.0" encoding="utf-8"?>
<c:userShapes xmlns:c="http://schemas.openxmlformats.org/drawingml/2006/chart">
  <cdr:relSizeAnchor xmlns:cdr="http://schemas.openxmlformats.org/drawingml/2006/chartDrawing">
    <cdr:from>
      <cdr:x>0.00779</cdr:x>
      <cdr:y>0.06934</cdr:y>
    </cdr:from>
    <cdr:to>
      <cdr:x>0.04602</cdr:x>
      <cdr:y>0.67708</cdr:y>
    </cdr:to>
    <cdr:sp macro="" textlink="">
      <cdr:nvSpPr>
        <cdr:cNvPr id="2" name="TextBox 1"/>
        <cdr:cNvSpPr txBox="1"/>
      </cdr:nvSpPr>
      <cdr:spPr>
        <a:xfrm xmlns:a="http://schemas.openxmlformats.org/drawingml/2006/main" rot="16200000">
          <a:off x="-538088" y="737397"/>
          <a:ext cx="1371762" cy="2100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a:t>Average Delay (months)</a:t>
          </a:r>
        </a:p>
      </cdr:txBody>
    </cdr:sp>
  </cdr:relSizeAnchor>
  <cdr:relSizeAnchor xmlns:cdr="http://schemas.openxmlformats.org/drawingml/2006/chartDrawing">
    <cdr:from>
      <cdr:x>0.01908</cdr:x>
      <cdr:y>0.80178</cdr:y>
    </cdr:from>
    <cdr:to>
      <cdr:x>0.08136</cdr:x>
      <cdr:y>0.89462</cdr:y>
    </cdr:to>
    <cdr:sp macro="" textlink="">
      <cdr:nvSpPr>
        <cdr:cNvPr id="3" name="TextBox 1"/>
        <cdr:cNvSpPr txBox="1"/>
      </cdr:nvSpPr>
      <cdr:spPr>
        <a:xfrm xmlns:a="http://schemas.openxmlformats.org/drawingml/2006/main">
          <a:off x="104682" y="1817416"/>
          <a:ext cx="341710" cy="2104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b="1"/>
            <a:t>2b</a:t>
          </a:r>
        </a:p>
      </cdr:txBody>
    </cdr:sp>
  </cdr:relSizeAnchor>
</c:userShapes>
</file>

<file path=word/drawings/drawing4.xml><?xml version="1.0" encoding="utf-8"?>
<c:userShapes xmlns:c="http://schemas.openxmlformats.org/drawingml/2006/chart">
  <cdr:relSizeAnchor xmlns:cdr="http://schemas.openxmlformats.org/drawingml/2006/chartDrawing">
    <cdr:from>
      <cdr:x>0.0084</cdr:x>
      <cdr:y>0.11352</cdr:y>
    </cdr:from>
    <cdr:to>
      <cdr:x>0.04547</cdr:x>
      <cdr:y>0.58007</cdr:y>
    </cdr:to>
    <cdr:sp macro="" textlink="">
      <cdr:nvSpPr>
        <cdr:cNvPr id="4" name="TextBox 1"/>
        <cdr:cNvSpPr txBox="1"/>
      </cdr:nvSpPr>
      <cdr:spPr>
        <a:xfrm xmlns:a="http://schemas.openxmlformats.org/drawingml/2006/main" rot="16200000">
          <a:off x="-355667" y="646940"/>
          <a:ext cx="1007390" cy="20372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a:t>Average Citations</a:t>
          </a:r>
        </a:p>
      </cdr:txBody>
    </cdr:sp>
  </cdr:relSizeAnchor>
  <cdr:relSizeAnchor xmlns:cdr="http://schemas.openxmlformats.org/drawingml/2006/chartDrawing">
    <cdr:from>
      <cdr:x>0.06423</cdr:x>
      <cdr:y>0.04049</cdr:y>
    </cdr:from>
    <cdr:to>
      <cdr:x>0.10735</cdr:x>
      <cdr:y>0.08429</cdr:y>
    </cdr:to>
    <cdr:sp macro="" textlink="">
      <cdr:nvSpPr>
        <cdr:cNvPr id="5" name="TextBox 4"/>
        <cdr:cNvSpPr txBox="1"/>
      </cdr:nvSpPr>
      <cdr:spPr>
        <a:xfrm xmlns:a="http://schemas.openxmlformats.org/drawingml/2006/main">
          <a:off x="695325" y="149678"/>
          <a:ext cx="4667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1100"/>
        </a:p>
      </cdr:txBody>
    </cdr:sp>
  </cdr:relSizeAnchor>
  <cdr:relSizeAnchor xmlns:cdr="http://schemas.openxmlformats.org/drawingml/2006/chartDrawing">
    <cdr:from>
      <cdr:x>0.22744</cdr:x>
      <cdr:y>0.01245</cdr:y>
    </cdr:from>
    <cdr:to>
      <cdr:x>0.33094</cdr:x>
      <cdr:y>0.11458</cdr:y>
    </cdr:to>
    <cdr:sp macro="" textlink="">
      <cdr:nvSpPr>
        <cdr:cNvPr id="6" name="TextBox 5"/>
        <cdr:cNvSpPr txBox="1"/>
      </cdr:nvSpPr>
      <cdr:spPr>
        <a:xfrm xmlns:a="http://schemas.openxmlformats.org/drawingml/2006/main">
          <a:off x="1250410" y="24319"/>
          <a:ext cx="569067" cy="199417"/>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lIns="0" tIns="0" rIns="0" bIns="0" rtlCol="0"/>
        <a:lstStyle xmlns:a="http://schemas.openxmlformats.org/drawingml/2006/main"/>
        <a:p xmlns:a="http://schemas.openxmlformats.org/drawingml/2006/main">
          <a:r>
            <a:rPr lang="en-CA" sz="1000" b="1"/>
            <a:t>(N=1569)</a:t>
          </a:r>
        </a:p>
      </cdr:txBody>
    </cdr:sp>
  </cdr:relSizeAnchor>
  <cdr:relSizeAnchor xmlns:cdr="http://schemas.openxmlformats.org/drawingml/2006/chartDrawing">
    <cdr:from>
      <cdr:x>0.54818</cdr:x>
      <cdr:y>0.01495</cdr:y>
    </cdr:from>
    <cdr:to>
      <cdr:x>0.62997</cdr:x>
      <cdr:y>0.09465</cdr:y>
    </cdr:to>
    <cdr:sp macro="" textlink="">
      <cdr:nvSpPr>
        <cdr:cNvPr id="7" name="TextBox 1"/>
        <cdr:cNvSpPr txBox="1"/>
      </cdr:nvSpPr>
      <cdr:spPr>
        <a:xfrm xmlns:a="http://schemas.openxmlformats.org/drawingml/2006/main">
          <a:off x="3013779" y="29183"/>
          <a:ext cx="449673" cy="155642"/>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lIns="0" tIns="0" rIns="0" bIns="0"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1000" b="1"/>
            <a:t>(N=613)</a:t>
          </a:r>
        </a:p>
      </cdr:txBody>
    </cdr:sp>
  </cdr:relSizeAnchor>
  <cdr:relSizeAnchor xmlns:cdr="http://schemas.openxmlformats.org/drawingml/2006/chartDrawing">
    <cdr:from>
      <cdr:x>0.83787</cdr:x>
      <cdr:y>0.01495</cdr:y>
    </cdr:from>
    <cdr:to>
      <cdr:x>0.9343</cdr:x>
      <cdr:y>0.09964</cdr:y>
    </cdr:to>
    <cdr:sp macro="" textlink="">
      <cdr:nvSpPr>
        <cdr:cNvPr id="8" name="TextBox 1"/>
        <cdr:cNvSpPr txBox="1"/>
      </cdr:nvSpPr>
      <cdr:spPr>
        <a:xfrm xmlns:a="http://schemas.openxmlformats.org/drawingml/2006/main">
          <a:off x="4606452" y="29183"/>
          <a:ext cx="530157" cy="165371"/>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lIns="0" tIns="0" rIns="0" bIns="0"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1000" b="1"/>
            <a:t>(N=3518)</a:t>
          </a:r>
        </a:p>
      </cdr:txBody>
    </cdr:sp>
  </cdr:relSizeAnchor>
  <cdr:relSizeAnchor xmlns:cdr="http://schemas.openxmlformats.org/drawingml/2006/chartDrawing">
    <cdr:from>
      <cdr:x>0.01407</cdr:x>
      <cdr:y>0.83179</cdr:y>
    </cdr:from>
    <cdr:to>
      <cdr:x>0.07621</cdr:x>
      <cdr:y>0.9353</cdr:y>
    </cdr:to>
    <cdr:sp macro="" textlink="">
      <cdr:nvSpPr>
        <cdr:cNvPr id="9" name="TextBox 1"/>
        <cdr:cNvSpPr txBox="1"/>
      </cdr:nvSpPr>
      <cdr:spPr>
        <a:xfrm xmlns:a="http://schemas.openxmlformats.org/drawingml/2006/main">
          <a:off x="77302" y="1796015"/>
          <a:ext cx="341457" cy="22349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b="1"/>
            <a:t>2c</a:t>
          </a: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0.03665</cdr:y>
    </cdr:from>
    <cdr:to>
      <cdr:x>0.03453</cdr:x>
      <cdr:y>0.68403</cdr:y>
    </cdr:to>
    <cdr:sp macro="" textlink="">
      <cdr:nvSpPr>
        <cdr:cNvPr id="2" name="TextBox 1"/>
        <cdr:cNvSpPr txBox="1"/>
      </cdr:nvSpPr>
      <cdr:spPr>
        <a:xfrm xmlns:a="http://schemas.openxmlformats.org/drawingml/2006/main" rot="16200000">
          <a:off x="-536845" y="608764"/>
          <a:ext cx="1270397" cy="19670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a:latin typeface="Calibri"/>
              <a:ea typeface="+mn-ea"/>
              <a:cs typeface="+mn-cs"/>
            </a:rPr>
            <a:t>Percentage of Articles</a:t>
          </a:r>
          <a:endParaRPr lang="en-CA" sz="900"/>
        </a:p>
      </cdr:txBody>
    </cdr:sp>
  </cdr:relSizeAnchor>
  <cdr:relSizeAnchor xmlns:cdr="http://schemas.openxmlformats.org/drawingml/2006/chartDrawing">
    <cdr:from>
      <cdr:x>0.95818</cdr:x>
      <cdr:y>0.07059</cdr:y>
    </cdr:from>
    <cdr:to>
      <cdr:x>0.98691</cdr:x>
      <cdr:y>0.77255</cdr:y>
    </cdr:to>
    <cdr:sp macro="" textlink="">
      <cdr:nvSpPr>
        <cdr:cNvPr id="3" name="TextBox 1"/>
        <cdr:cNvSpPr txBox="1"/>
      </cdr:nvSpPr>
      <cdr:spPr>
        <a:xfrm xmlns:a="http://schemas.openxmlformats.org/drawingml/2006/main" rot="16200000">
          <a:off x="4804738" y="803720"/>
          <a:ext cx="1474573" cy="1636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a:t>ISI articles in 2004-2012</a:t>
          </a:r>
        </a:p>
      </cdr:txBody>
    </cdr:sp>
  </cdr:relSizeAnchor>
  <cdr:relSizeAnchor xmlns:cdr="http://schemas.openxmlformats.org/drawingml/2006/chartDrawing">
    <cdr:from>
      <cdr:x>0</cdr:x>
      <cdr:y>0.86543</cdr:y>
    </cdr:from>
    <cdr:to>
      <cdr:x>0.07303</cdr:x>
      <cdr:y>0.94968</cdr:y>
    </cdr:to>
    <cdr:sp macro="" textlink="">
      <cdr:nvSpPr>
        <cdr:cNvPr id="4" name="TextBox 1"/>
        <cdr:cNvSpPr txBox="1"/>
      </cdr:nvSpPr>
      <cdr:spPr>
        <a:xfrm xmlns:a="http://schemas.openxmlformats.org/drawingml/2006/main">
          <a:off x="0" y="1698298"/>
          <a:ext cx="416034" cy="1653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b="1"/>
            <a:t>3a</a:t>
          </a: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0.05406</cdr:y>
    </cdr:from>
    <cdr:to>
      <cdr:x>0.04354</cdr:x>
      <cdr:y>0.77</cdr:y>
    </cdr:to>
    <cdr:sp macro="" textlink="">
      <cdr:nvSpPr>
        <cdr:cNvPr id="2" name="TextBox 1"/>
        <cdr:cNvSpPr txBox="1"/>
      </cdr:nvSpPr>
      <cdr:spPr>
        <a:xfrm xmlns:a="http://schemas.openxmlformats.org/drawingml/2006/main" rot="16200000">
          <a:off x="-611529" y="722612"/>
          <a:ext cx="1471136" cy="24807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a:t>Average Delay (months)</a:t>
          </a:r>
        </a:p>
      </cdr:txBody>
    </cdr:sp>
  </cdr:relSizeAnchor>
  <cdr:relSizeAnchor xmlns:cdr="http://schemas.openxmlformats.org/drawingml/2006/chartDrawing">
    <cdr:from>
      <cdr:x>0</cdr:x>
      <cdr:y>0.86502</cdr:y>
    </cdr:from>
    <cdr:to>
      <cdr:x>0.05698</cdr:x>
      <cdr:y>0.94653</cdr:y>
    </cdr:to>
    <cdr:sp macro="" textlink="">
      <cdr:nvSpPr>
        <cdr:cNvPr id="3" name="TextBox 1"/>
        <cdr:cNvSpPr txBox="1"/>
      </cdr:nvSpPr>
      <cdr:spPr>
        <a:xfrm xmlns:a="http://schemas.openxmlformats.org/drawingml/2006/main">
          <a:off x="0" y="1678617"/>
          <a:ext cx="324542" cy="15817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b="1"/>
            <a:t>3b</a:t>
          </a:r>
        </a:p>
      </cdr:txBody>
    </cdr:sp>
  </cdr:relSizeAnchor>
</c:userShapes>
</file>

<file path=word/drawings/drawing7.xml><?xml version="1.0" encoding="utf-8"?>
<c:userShapes xmlns:c="http://schemas.openxmlformats.org/drawingml/2006/chart">
  <cdr:relSizeAnchor xmlns:cdr="http://schemas.openxmlformats.org/drawingml/2006/chartDrawing">
    <cdr:from>
      <cdr:x>0.00897</cdr:x>
      <cdr:y>0.08258</cdr:y>
    </cdr:from>
    <cdr:to>
      <cdr:x>0.03714</cdr:x>
      <cdr:y>0.74869</cdr:y>
    </cdr:to>
    <cdr:sp macro="" textlink="">
      <cdr:nvSpPr>
        <cdr:cNvPr id="2" name="TextBox 1"/>
        <cdr:cNvSpPr txBox="1"/>
      </cdr:nvSpPr>
      <cdr:spPr>
        <a:xfrm xmlns:a="http://schemas.openxmlformats.org/drawingml/2006/main" rot="16200000">
          <a:off x="-466650" y="666053"/>
          <a:ext cx="1196034" cy="1604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a:t>Average Citations</a:t>
          </a:r>
        </a:p>
      </cdr:txBody>
    </cdr:sp>
  </cdr:relSizeAnchor>
  <cdr:relSizeAnchor xmlns:cdr="http://schemas.openxmlformats.org/drawingml/2006/chartDrawing">
    <cdr:from>
      <cdr:x>0.21451</cdr:x>
      <cdr:y>0.05556</cdr:y>
    </cdr:from>
    <cdr:to>
      <cdr:x>0.31669</cdr:x>
      <cdr:y>0.15123</cdr:y>
    </cdr:to>
    <cdr:sp macro="" textlink="">
      <cdr:nvSpPr>
        <cdr:cNvPr id="3" name="TextBox 1"/>
        <cdr:cNvSpPr txBox="1"/>
      </cdr:nvSpPr>
      <cdr:spPr>
        <a:xfrm xmlns:a="http://schemas.openxmlformats.org/drawingml/2006/main">
          <a:off x="1222318" y="99752"/>
          <a:ext cx="582280" cy="171797"/>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lIns="0" tIns="0" rIns="0" bIns="0"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1000" b="1"/>
            <a:t>(N=1569)</a:t>
          </a:r>
        </a:p>
      </cdr:txBody>
    </cdr:sp>
  </cdr:relSizeAnchor>
  <cdr:relSizeAnchor xmlns:cdr="http://schemas.openxmlformats.org/drawingml/2006/chartDrawing">
    <cdr:from>
      <cdr:x>0.5368</cdr:x>
      <cdr:y>0.05556</cdr:y>
    </cdr:from>
    <cdr:to>
      <cdr:x>0.63067</cdr:x>
      <cdr:y>0.13906</cdr:y>
    </cdr:to>
    <cdr:sp macro="" textlink="">
      <cdr:nvSpPr>
        <cdr:cNvPr id="4" name="TextBox 1"/>
        <cdr:cNvSpPr txBox="1"/>
      </cdr:nvSpPr>
      <cdr:spPr>
        <a:xfrm xmlns:a="http://schemas.openxmlformats.org/drawingml/2006/main">
          <a:off x="3058855" y="99753"/>
          <a:ext cx="534904" cy="149941"/>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lIns="0" tIns="0" rIns="0" bIns="0"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1000" b="1"/>
            <a:t>(N=613)</a:t>
          </a:r>
        </a:p>
      </cdr:txBody>
    </cdr:sp>
  </cdr:relSizeAnchor>
  <cdr:relSizeAnchor xmlns:cdr="http://schemas.openxmlformats.org/drawingml/2006/chartDrawing">
    <cdr:from>
      <cdr:x>0.82429</cdr:x>
      <cdr:y>0.05556</cdr:y>
    </cdr:from>
    <cdr:to>
      <cdr:x>0.92062</cdr:x>
      <cdr:y>0.14815</cdr:y>
    </cdr:to>
    <cdr:sp macro="" textlink="">
      <cdr:nvSpPr>
        <cdr:cNvPr id="5" name="TextBox 1"/>
        <cdr:cNvSpPr txBox="1"/>
      </cdr:nvSpPr>
      <cdr:spPr>
        <a:xfrm xmlns:a="http://schemas.openxmlformats.org/drawingml/2006/main">
          <a:off x="4697037" y="99754"/>
          <a:ext cx="548933" cy="166254"/>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lIns="0" tIns="0" rIns="0" bIns="0"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1000" b="1"/>
            <a:t>(N=3518)</a:t>
          </a:r>
        </a:p>
      </cdr:txBody>
    </cdr:sp>
  </cdr:relSizeAnchor>
  <cdr:relSizeAnchor xmlns:cdr="http://schemas.openxmlformats.org/drawingml/2006/chartDrawing">
    <cdr:from>
      <cdr:x>0.00111</cdr:x>
      <cdr:y>0.86111</cdr:y>
    </cdr:from>
    <cdr:to>
      <cdr:x>0.05807</cdr:x>
      <cdr:y>0.9492</cdr:y>
    </cdr:to>
    <cdr:sp macro="" textlink="">
      <cdr:nvSpPr>
        <cdr:cNvPr id="6" name="TextBox 1"/>
        <cdr:cNvSpPr txBox="1"/>
      </cdr:nvSpPr>
      <cdr:spPr>
        <a:xfrm xmlns:a="http://schemas.openxmlformats.org/drawingml/2006/main">
          <a:off x="6350" y="1546167"/>
          <a:ext cx="324542" cy="15817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b="1"/>
            <a:t>3c</a:t>
          </a:r>
        </a:p>
      </cdr:txBody>
    </cdr:sp>
  </cdr:relSizeAnchor>
</c:userShapes>
</file>

<file path=word/drawings/drawing8.xml><?xml version="1.0" encoding="utf-8"?>
<c:userShapes xmlns:c="http://schemas.openxmlformats.org/drawingml/2006/chart">
  <cdr:relSizeAnchor xmlns:cdr="http://schemas.openxmlformats.org/drawingml/2006/chartDrawing">
    <cdr:from>
      <cdr:x>0</cdr:x>
      <cdr:y>0.02894</cdr:y>
    </cdr:from>
    <cdr:to>
      <cdr:x>0.03249</cdr:x>
      <cdr:y>0.59704</cdr:y>
    </cdr:to>
    <cdr:sp macro="" textlink="">
      <cdr:nvSpPr>
        <cdr:cNvPr id="2" name="TextBox 1"/>
        <cdr:cNvSpPr txBox="1"/>
      </cdr:nvSpPr>
      <cdr:spPr>
        <a:xfrm xmlns:a="http://schemas.openxmlformats.org/drawingml/2006/main" rot="16200000">
          <a:off x="-638480" y="712622"/>
          <a:ext cx="1455454" cy="1784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a:t> Percentage of Articles</a:t>
          </a:r>
        </a:p>
      </cdr:txBody>
    </cdr:sp>
  </cdr:relSizeAnchor>
  <cdr:relSizeAnchor xmlns:cdr="http://schemas.openxmlformats.org/drawingml/2006/chartDrawing">
    <cdr:from>
      <cdr:x>0.95533</cdr:x>
      <cdr:y>0.13845</cdr:y>
    </cdr:from>
    <cdr:to>
      <cdr:x>0.98902</cdr:x>
      <cdr:y>0.55931</cdr:y>
    </cdr:to>
    <cdr:sp macro="" textlink="">
      <cdr:nvSpPr>
        <cdr:cNvPr id="3" name="TextBox 1"/>
        <cdr:cNvSpPr txBox="1"/>
      </cdr:nvSpPr>
      <cdr:spPr>
        <a:xfrm xmlns:a="http://schemas.openxmlformats.org/drawingml/2006/main" rot="16200000">
          <a:off x="4795357" y="800194"/>
          <a:ext cx="1076773" cy="18484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baseline="0"/>
            <a:t>ISI Articles in 2012</a:t>
          </a:r>
          <a:endParaRPr lang="en-CA" sz="900"/>
        </a:p>
      </cdr:txBody>
    </cdr:sp>
  </cdr:relSizeAnchor>
</c:userShapes>
</file>

<file path=word/drawings/drawing9.xml><?xml version="1.0" encoding="utf-8"?>
<c:userShapes xmlns:c="http://schemas.openxmlformats.org/drawingml/2006/chart">
  <cdr:relSizeAnchor xmlns:cdr="http://schemas.openxmlformats.org/drawingml/2006/chartDrawing">
    <cdr:from>
      <cdr:x>0.21601</cdr:x>
      <cdr:y>0.05066</cdr:y>
    </cdr:from>
    <cdr:to>
      <cdr:x>0.21907</cdr:x>
      <cdr:y>0.77431</cdr:y>
    </cdr:to>
    <cdr:sp macro="" textlink="">
      <cdr:nvSpPr>
        <cdr:cNvPr id="3" name="Straight Connector 2"/>
        <cdr:cNvSpPr/>
      </cdr:nvSpPr>
      <cdr:spPr>
        <a:xfrm xmlns:a="http://schemas.openxmlformats.org/drawingml/2006/main" flipH="1" flipV="1">
          <a:off x="1456951" y="138982"/>
          <a:ext cx="20685" cy="1985093"/>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cdr:x>
      <cdr:y>0.05208</cdr:y>
    </cdr:from>
    <cdr:to>
      <cdr:x>0.05737</cdr:x>
      <cdr:y>0.67234</cdr:y>
    </cdr:to>
    <cdr:sp macro="" textlink="">
      <cdr:nvSpPr>
        <cdr:cNvPr id="4" name="TextBox 1"/>
        <cdr:cNvSpPr txBox="1"/>
      </cdr:nvSpPr>
      <cdr:spPr>
        <a:xfrm xmlns:a="http://schemas.openxmlformats.org/drawingml/2006/main" rot="16200000">
          <a:off x="-657270" y="800146"/>
          <a:ext cx="1701497" cy="3869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a:t>ISI</a:t>
          </a:r>
          <a:r>
            <a:rPr lang="en-CA" sz="900" baseline="0"/>
            <a:t> Articles in 2004-2012</a:t>
          </a:r>
          <a:endParaRPr lang="en-CA" sz="900"/>
        </a:p>
      </cdr:txBody>
    </cdr:sp>
  </cdr:relSizeAnchor>
  <cdr:relSizeAnchor xmlns:cdr="http://schemas.openxmlformats.org/drawingml/2006/chartDrawing">
    <cdr:from>
      <cdr:x>0.32762</cdr:x>
      <cdr:y>0.88194</cdr:y>
    </cdr:from>
    <cdr:to>
      <cdr:x>0.56788</cdr:x>
      <cdr:y>0.97222</cdr:y>
    </cdr:to>
    <cdr:sp macro="" textlink="">
      <cdr:nvSpPr>
        <cdr:cNvPr id="5" name="TextBox 1"/>
        <cdr:cNvSpPr txBox="1"/>
      </cdr:nvSpPr>
      <cdr:spPr>
        <a:xfrm xmlns:a="http://schemas.openxmlformats.org/drawingml/2006/main">
          <a:off x="2209801" y="2419351"/>
          <a:ext cx="1620512"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a:t>Deposit Delay (months)</a:t>
          </a:r>
        </a:p>
      </cdr:txBody>
    </cdr:sp>
  </cdr:relSizeAnchor>
  <cdr:relSizeAnchor xmlns:cdr="http://schemas.openxmlformats.org/drawingml/2006/chartDrawing">
    <cdr:from>
      <cdr:x>0.75764</cdr:x>
      <cdr:y>0.04244</cdr:y>
    </cdr:from>
    <cdr:to>
      <cdr:x>0.84593</cdr:x>
      <cdr:y>0.11786</cdr:y>
    </cdr:to>
    <cdr:sp macro="" textlink="">
      <cdr:nvSpPr>
        <cdr:cNvPr id="6" name="TextBox 1"/>
        <cdr:cNvSpPr txBox="1"/>
      </cdr:nvSpPr>
      <cdr:spPr>
        <a:xfrm xmlns:a="http://schemas.openxmlformats.org/drawingml/2006/main">
          <a:off x="4156709" y="94706"/>
          <a:ext cx="484415" cy="168293"/>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lIns="0" tIns="0" rIns="0" bIns="0"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b="1"/>
            <a:t>(N=1569)</a:t>
          </a:r>
        </a:p>
      </cdr:txBody>
    </cdr:sp>
  </cdr:relSizeAnchor>
  <cdr:relSizeAnchor xmlns:cdr="http://schemas.openxmlformats.org/drawingml/2006/chartDrawing">
    <cdr:from>
      <cdr:x>0.7938</cdr:x>
      <cdr:y>0.12318</cdr:y>
    </cdr:from>
    <cdr:to>
      <cdr:x>0.87255</cdr:x>
      <cdr:y>0.19421</cdr:y>
    </cdr:to>
    <cdr:sp macro="" textlink="">
      <cdr:nvSpPr>
        <cdr:cNvPr id="7" name="TextBox 1"/>
        <cdr:cNvSpPr txBox="1"/>
      </cdr:nvSpPr>
      <cdr:spPr>
        <a:xfrm xmlns:a="http://schemas.openxmlformats.org/drawingml/2006/main">
          <a:off x="4355092" y="274863"/>
          <a:ext cx="432054" cy="158495"/>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lIns="0" tIns="0" rIns="0" bIns="0"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CA" sz="900" b="1"/>
            <a:t>(N=613)</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20</Pages>
  <Words>3650</Words>
  <Characters>20807</Characters>
  <Application>Microsoft Word 12.0.0</Application>
  <DocSecurity>0</DocSecurity>
  <Lines>173</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YG</Company>
  <LinksUpToDate>false</LinksUpToDate>
  <CharactersWithSpaces>25552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Yassine</dc:creator>
  <cp:lastModifiedBy>Stevan Harnad</cp:lastModifiedBy>
  <cp:revision>12</cp:revision>
  <cp:lastPrinted>2013-10-08T17:11:00Z</cp:lastPrinted>
  <dcterms:created xsi:type="dcterms:W3CDTF">2013-10-08T20:03:00Z</dcterms:created>
  <dcterms:modified xsi:type="dcterms:W3CDTF">2013-10-21T13:16:00Z</dcterms:modified>
</cp:coreProperties>
</file>