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49" w:rsidRPr="00FA3673" w:rsidRDefault="00ED3EF3" w:rsidP="00FA3673">
      <w:pPr>
        <w:pStyle w:val="Heading3"/>
        <w:spacing w:line="480" w:lineRule="auto"/>
        <w:rPr>
          <w:bCs w:val="0"/>
          <w:iCs/>
          <w:sz w:val="22"/>
          <w:szCs w:val="22"/>
        </w:rPr>
      </w:pPr>
      <w:bookmarkStart w:id="0" w:name="_GoBack"/>
      <w:bookmarkEnd w:id="0"/>
      <w:r w:rsidRPr="00FA3673">
        <w:rPr>
          <w:bCs w:val="0"/>
          <w:iCs/>
          <w:sz w:val="22"/>
          <w:szCs w:val="22"/>
        </w:rPr>
        <w:t>RNA isolation and cDNA synthesis</w:t>
      </w:r>
      <w:r w:rsidR="007C193E" w:rsidRPr="00FA3673">
        <w:rPr>
          <w:bCs w:val="0"/>
          <w:iCs/>
          <w:sz w:val="22"/>
          <w:szCs w:val="22"/>
        </w:rPr>
        <w:t xml:space="preserve"> used for Stage 2 and 3 assays. </w:t>
      </w:r>
    </w:p>
    <w:p w:rsidR="00BD0786" w:rsidRPr="00FA3673" w:rsidRDefault="00BD0786" w:rsidP="00FA3673">
      <w:pPr>
        <w:pStyle w:val="Heading3"/>
        <w:spacing w:line="480" w:lineRule="auto"/>
        <w:rPr>
          <w:bCs w:val="0"/>
          <w:iCs/>
          <w:sz w:val="22"/>
          <w:szCs w:val="22"/>
        </w:rPr>
      </w:pPr>
      <w:r w:rsidRPr="00FA3673">
        <w:rPr>
          <w:bCs w:val="0"/>
          <w:iCs/>
          <w:sz w:val="22"/>
          <w:szCs w:val="22"/>
        </w:rPr>
        <w:t>LEUs</w:t>
      </w:r>
    </w:p>
    <w:p w:rsidR="00F22555" w:rsidRPr="00FA3673" w:rsidRDefault="00B20F9A" w:rsidP="00FA3673">
      <w:pPr>
        <w:pStyle w:val="Heading3"/>
        <w:spacing w:line="480" w:lineRule="auto"/>
        <w:rPr>
          <w:bCs w:val="0"/>
          <w:iCs/>
          <w:sz w:val="22"/>
          <w:szCs w:val="22"/>
        </w:rPr>
      </w:pPr>
      <w:r w:rsidRPr="00FA3673">
        <w:rPr>
          <w:b w:val="0"/>
          <w:sz w:val="22"/>
          <w:szCs w:val="22"/>
        </w:rPr>
        <w:t xml:space="preserve">Whole blood </w:t>
      </w:r>
      <w:r w:rsidR="00C2250B" w:rsidRPr="00FA3673">
        <w:rPr>
          <w:b w:val="0"/>
          <w:sz w:val="22"/>
          <w:szCs w:val="22"/>
        </w:rPr>
        <w:t>was drawn from healthy control donors</w:t>
      </w:r>
      <w:r w:rsidRPr="00FA3673">
        <w:rPr>
          <w:b w:val="0"/>
          <w:sz w:val="22"/>
          <w:szCs w:val="22"/>
        </w:rPr>
        <w:t xml:space="preserve"> (collected in EDTA tubes). </w:t>
      </w:r>
      <w:r w:rsidR="002265A2" w:rsidRPr="00FA3673">
        <w:rPr>
          <w:b w:val="0"/>
          <w:sz w:val="22"/>
          <w:szCs w:val="22"/>
        </w:rPr>
        <w:t xml:space="preserve">Blood samples were kept ice-cold for a maximum of 30 minutes before RNA extraction. </w:t>
      </w:r>
      <w:r w:rsidRPr="00FA3673">
        <w:rPr>
          <w:b w:val="0"/>
          <w:sz w:val="22"/>
          <w:szCs w:val="22"/>
        </w:rPr>
        <w:t xml:space="preserve">Total RNA was extracted from whole blood (200µL) using a </w:t>
      </w:r>
      <w:proofErr w:type="spellStart"/>
      <w:r w:rsidRPr="00FA3673">
        <w:rPr>
          <w:b w:val="0"/>
          <w:sz w:val="22"/>
          <w:szCs w:val="22"/>
        </w:rPr>
        <w:t>MagnaPure</w:t>
      </w:r>
      <w:proofErr w:type="spellEnd"/>
      <w:r w:rsidRPr="00FA3673">
        <w:rPr>
          <w:b w:val="0"/>
          <w:sz w:val="22"/>
          <w:szCs w:val="22"/>
        </w:rPr>
        <w:t xml:space="preserve"> Compact</w:t>
      </w:r>
      <w:r w:rsidR="002265A2" w:rsidRPr="00FA3673">
        <w:rPr>
          <w:b w:val="0"/>
          <w:sz w:val="22"/>
          <w:szCs w:val="22"/>
        </w:rPr>
        <w:t xml:space="preserve"> workstation </w:t>
      </w:r>
      <w:r w:rsidRPr="00FA3673">
        <w:rPr>
          <w:b w:val="0"/>
          <w:sz w:val="22"/>
          <w:szCs w:val="22"/>
        </w:rPr>
        <w:t xml:space="preserve">and </w:t>
      </w:r>
      <w:proofErr w:type="spellStart"/>
      <w:r w:rsidRPr="00FA3673">
        <w:rPr>
          <w:b w:val="0"/>
          <w:sz w:val="22"/>
          <w:szCs w:val="22"/>
        </w:rPr>
        <w:t>MagnaPure</w:t>
      </w:r>
      <w:proofErr w:type="spellEnd"/>
      <w:r w:rsidRPr="00FA3673">
        <w:rPr>
          <w:b w:val="0"/>
          <w:sz w:val="22"/>
          <w:szCs w:val="22"/>
        </w:rPr>
        <w:t xml:space="preserve"> RNA Isolation Kit according to the manufacturer’s protocol. The integrity of isolated RNA was checked with a </w:t>
      </w:r>
      <w:proofErr w:type="spellStart"/>
      <w:r w:rsidRPr="00FA3673">
        <w:rPr>
          <w:b w:val="0"/>
          <w:sz w:val="22"/>
          <w:szCs w:val="22"/>
        </w:rPr>
        <w:t>Bioanalyzer</w:t>
      </w:r>
      <w:proofErr w:type="spellEnd"/>
      <w:r w:rsidRPr="00FA3673">
        <w:rPr>
          <w:b w:val="0"/>
          <w:sz w:val="22"/>
          <w:szCs w:val="22"/>
        </w:rPr>
        <w:t xml:space="preserve">.  After quantification with a </w:t>
      </w:r>
      <w:proofErr w:type="spellStart"/>
      <w:r w:rsidRPr="00FA3673">
        <w:rPr>
          <w:b w:val="0"/>
          <w:sz w:val="22"/>
          <w:szCs w:val="22"/>
        </w:rPr>
        <w:t>NanoDrop</w:t>
      </w:r>
      <w:proofErr w:type="spellEnd"/>
      <w:r w:rsidRPr="00FA3673">
        <w:rPr>
          <w:b w:val="0"/>
          <w:sz w:val="22"/>
          <w:szCs w:val="22"/>
        </w:rPr>
        <w:t xml:space="preserve"> spectrophotometer (</w:t>
      </w:r>
      <w:proofErr w:type="spellStart"/>
      <w:r w:rsidRPr="00FA3673">
        <w:rPr>
          <w:b w:val="0"/>
          <w:sz w:val="22"/>
          <w:szCs w:val="22"/>
        </w:rPr>
        <w:t>NanoDrop</w:t>
      </w:r>
      <w:proofErr w:type="spellEnd"/>
      <w:r w:rsidRPr="00FA3673">
        <w:rPr>
          <w:b w:val="0"/>
          <w:sz w:val="22"/>
          <w:szCs w:val="22"/>
        </w:rPr>
        <w:t xml:space="preserve"> Technologies, Inc</w:t>
      </w:r>
      <w:r w:rsidR="002265A2" w:rsidRPr="00FA3673">
        <w:rPr>
          <w:b w:val="0"/>
          <w:sz w:val="22"/>
          <w:szCs w:val="22"/>
        </w:rPr>
        <w:t>. Wilmington, DE, USA), 300-700</w:t>
      </w:r>
      <w:r w:rsidRPr="00FA3673">
        <w:rPr>
          <w:b w:val="0"/>
          <w:sz w:val="22"/>
          <w:szCs w:val="22"/>
        </w:rPr>
        <w:t>ng of total RNA was reverse transcribed with</w:t>
      </w:r>
      <w:r w:rsidR="002265A2" w:rsidRPr="00FA3673">
        <w:rPr>
          <w:b w:val="0"/>
          <w:sz w:val="22"/>
          <w:szCs w:val="22"/>
        </w:rPr>
        <w:t xml:space="preserve"> Prime-</w:t>
      </w:r>
      <w:r w:rsidR="000252FC" w:rsidRPr="00FA3673">
        <w:rPr>
          <w:b w:val="0"/>
          <w:sz w:val="22"/>
          <w:szCs w:val="22"/>
        </w:rPr>
        <w:t>Script RT kit (</w:t>
      </w:r>
      <w:proofErr w:type="spellStart"/>
      <w:r w:rsidR="000252FC" w:rsidRPr="00FA3673">
        <w:rPr>
          <w:b w:val="0"/>
          <w:sz w:val="22"/>
          <w:szCs w:val="22"/>
        </w:rPr>
        <w:t>TaKaRa</w:t>
      </w:r>
      <w:proofErr w:type="spellEnd"/>
      <w:r w:rsidR="000252FC" w:rsidRPr="00FA3673">
        <w:rPr>
          <w:b w:val="0"/>
          <w:sz w:val="22"/>
          <w:szCs w:val="22"/>
        </w:rPr>
        <w:t xml:space="preserve"> Biotechnology, Japan) </w:t>
      </w:r>
      <w:r w:rsidR="00F22555" w:rsidRPr="00FA3673">
        <w:rPr>
          <w:b w:val="0"/>
          <w:sz w:val="22"/>
          <w:szCs w:val="22"/>
        </w:rPr>
        <w:t xml:space="preserve">following manufacturer’s protocol </w:t>
      </w:r>
      <w:r w:rsidR="000252FC" w:rsidRPr="00FA3673">
        <w:rPr>
          <w:b w:val="0"/>
          <w:sz w:val="22"/>
          <w:szCs w:val="22"/>
        </w:rPr>
        <w:t xml:space="preserve">(the kit includes a mixture of random and </w:t>
      </w:r>
      <w:proofErr w:type="spellStart"/>
      <w:r w:rsidR="000252FC" w:rsidRPr="00FA3673">
        <w:rPr>
          <w:b w:val="0"/>
          <w:sz w:val="22"/>
          <w:szCs w:val="22"/>
        </w:rPr>
        <w:t>Oligo</w:t>
      </w:r>
      <w:proofErr w:type="spellEnd"/>
      <w:r w:rsidR="000252FC" w:rsidRPr="00FA3673">
        <w:rPr>
          <w:b w:val="0"/>
          <w:sz w:val="22"/>
          <w:szCs w:val="22"/>
        </w:rPr>
        <w:t>(</w:t>
      </w:r>
      <w:proofErr w:type="spellStart"/>
      <w:r w:rsidR="000252FC" w:rsidRPr="00FA3673">
        <w:rPr>
          <w:b w:val="0"/>
          <w:sz w:val="22"/>
          <w:szCs w:val="22"/>
        </w:rPr>
        <w:t>dT</w:t>
      </w:r>
      <w:proofErr w:type="spellEnd"/>
      <w:r w:rsidR="000252FC" w:rsidRPr="00FA3673">
        <w:rPr>
          <w:b w:val="0"/>
          <w:sz w:val="22"/>
          <w:szCs w:val="22"/>
        </w:rPr>
        <w:t>) primers)</w:t>
      </w:r>
    </w:p>
    <w:p w:rsidR="00ED3EF3" w:rsidRPr="00FA3673" w:rsidRDefault="00ED3EF3" w:rsidP="00FA3673">
      <w:pPr>
        <w:pStyle w:val="Heading3"/>
        <w:spacing w:line="480" w:lineRule="auto"/>
        <w:rPr>
          <w:bCs w:val="0"/>
          <w:iCs/>
          <w:sz w:val="22"/>
          <w:szCs w:val="22"/>
        </w:rPr>
      </w:pPr>
      <w:r w:rsidRPr="00FA3673">
        <w:rPr>
          <w:bCs w:val="0"/>
          <w:iCs/>
          <w:sz w:val="22"/>
          <w:szCs w:val="22"/>
        </w:rPr>
        <w:t>PBMCs</w:t>
      </w:r>
    </w:p>
    <w:p w:rsidR="006C7F1D" w:rsidRPr="00FA3673" w:rsidRDefault="006C7F1D" w:rsidP="00FA3673">
      <w:pPr>
        <w:pStyle w:val="Heading3"/>
        <w:spacing w:line="480" w:lineRule="auto"/>
        <w:rPr>
          <w:b w:val="0"/>
          <w:bCs w:val="0"/>
          <w:iCs/>
          <w:sz w:val="22"/>
          <w:szCs w:val="22"/>
        </w:rPr>
      </w:pPr>
      <w:r w:rsidRPr="00FA3673">
        <w:rPr>
          <w:b w:val="0"/>
          <w:sz w:val="22"/>
          <w:szCs w:val="22"/>
        </w:rPr>
        <w:t>Whole blood with EDTA was drawn from heal</w:t>
      </w:r>
      <w:r w:rsidR="00C2250B" w:rsidRPr="00FA3673">
        <w:rPr>
          <w:b w:val="0"/>
          <w:sz w:val="22"/>
          <w:szCs w:val="22"/>
        </w:rPr>
        <w:t>thy control donors. Peripheral Blood Mononuclear C</w:t>
      </w:r>
      <w:r w:rsidRPr="00FA3673">
        <w:rPr>
          <w:b w:val="0"/>
          <w:sz w:val="22"/>
          <w:szCs w:val="22"/>
        </w:rPr>
        <w:t>ells</w:t>
      </w:r>
      <w:r w:rsidR="00C2250B" w:rsidRPr="00FA3673">
        <w:rPr>
          <w:b w:val="0"/>
          <w:sz w:val="22"/>
          <w:szCs w:val="22"/>
        </w:rPr>
        <w:t xml:space="preserve"> (PBMCs)</w:t>
      </w:r>
      <w:r w:rsidRPr="00FA3673">
        <w:rPr>
          <w:b w:val="0"/>
          <w:sz w:val="22"/>
          <w:szCs w:val="22"/>
        </w:rPr>
        <w:t xml:space="preserve"> were isolated by density gradient centrifugation using </w:t>
      </w:r>
      <w:proofErr w:type="spellStart"/>
      <w:r w:rsidRPr="00FA3673">
        <w:rPr>
          <w:b w:val="0"/>
          <w:sz w:val="22"/>
          <w:szCs w:val="22"/>
        </w:rPr>
        <w:t>Ficoll</w:t>
      </w:r>
      <w:r w:rsidR="00ED3EF3" w:rsidRPr="00FA3673">
        <w:rPr>
          <w:b w:val="0"/>
          <w:sz w:val="22"/>
          <w:szCs w:val="22"/>
        </w:rPr>
        <w:t>-</w:t>
      </w:r>
      <w:r w:rsidRPr="00FA3673">
        <w:rPr>
          <w:b w:val="0"/>
          <w:sz w:val="22"/>
          <w:szCs w:val="22"/>
        </w:rPr>
        <w:t>Paque</w:t>
      </w:r>
      <w:proofErr w:type="spellEnd"/>
      <w:r w:rsidRPr="00FA3673">
        <w:rPr>
          <w:b w:val="0"/>
          <w:sz w:val="22"/>
          <w:szCs w:val="22"/>
        </w:rPr>
        <w:t xml:space="preserve"> </w:t>
      </w:r>
      <w:r w:rsidRPr="00FA3673">
        <w:rPr>
          <w:b w:val="0"/>
          <w:sz w:val="22"/>
          <w:szCs w:val="22"/>
          <w:vertAlign w:val="superscript"/>
        </w:rPr>
        <w:t>TM</w:t>
      </w:r>
      <w:r w:rsidRPr="00FA3673">
        <w:rPr>
          <w:b w:val="0"/>
          <w:sz w:val="22"/>
          <w:szCs w:val="22"/>
        </w:rPr>
        <w:t xml:space="preserve"> PLUS (GE Healthcare, Uppsala, Sweden).</w:t>
      </w:r>
      <w:r w:rsidR="00ED3EF3" w:rsidRPr="00FA3673">
        <w:rPr>
          <w:b w:val="0"/>
          <w:sz w:val="22"/>
          <w:szCs w:val="22"/>
        </w:rPr>
        <w:t xml:space="preserve"> </w:t>
      </w:r>
      <w:r w:rsidRPr="00FA3673">
        <w:rPr>
          <w:b w:val="0"/>
          <w:sz w:val="22"/>
          <w:szCs w:val="22"/>
        </w:rPr>
        <w:t xml:space="preserve">RNA was extracted by using </w:t>
      </w:r>
      <w:proofErr w:type="spellStart"/>
      <w:r w:rsidRPr="00FA3673">
        <w:rPr>
          <w:b w:val="0"/>
          <w:sz w:val="22"/>
          <w:szCs w:val="22"/>
        </w:rPr>
        <w:t>TRIzol</w:t>
      </w:r>
      <w:proofErr w:type="spellEnd"/>
      <w:r w:rsidRPr="00FA3673">
        <w:rPr>
          <w:b w:val="0"/>
          <w:sz w:val="22"/>
          <w:szCs w:val="22"/>
        </w:rPr>
        <w:t xml:space="preserve"> reagent (Invitrogen, Paisley, United Kingdom) according to the manufacturer’s protocol. Isolated RNA was further processed on columns from </w:t>
      </w:r>
      <w:proofErr w:type="spellStart"/>
      <w:r w:rsidRPr="00FA3673">
        <w:rPr>
          <w:b w:val="0"/>
          <w:sz w:val="22"/>
          <w:szCs w:val="22"/>
        </w:rPr>
        <w:t>RNeasy</w:t>
      </w:r>
      <w:proofErr w:type="spellEnd"/>
      <w:r w:rsidRPr="00FA3673">
        <w:rPr>
          <w:b w:val="0"/>
          <w:sz w:val="22"/>
          <w:szCs w:val="22"/>
        </w:rPr>
        <w:t xml:space="preserve"> Kit and </w:t>
      </w:r>
      <w:proofErr w:type="spellStart"/>
      <w:r w:rsidRPr="00FA3673">
        <w:rPr>
          <w:b w:val="0"/>
          <w:sz w:val="22"/>
          <w:szCs w:val="22"/>
        </w:rPr>
        <w:t>RNase</w:t>
      </w:r>
      <w:proofErr w:type="spellEnd"/>
      <w:r w:rsidRPr="00FA3673">
        <w:rPr>
          <w:b w:val="0"/>
          <w:sz w:val="22"/>
          <w:szCs w:val="22"/>
        </w:rPr>
        <w:t xml:space="preserve">-Free </w:t>
      </w:r>
      <w:proofErr w:type="spellStart"/>
      <w:r w:rsidRPr="00FA3673">
        <w:rPr>
          <w:b w:val="0"/>
          <w:sz w:val="22"/>
          <w:szCs w:val="22"/>
        </w:rPr>
        <w:t>DNase</w:t>
      </w:r>
      <w:proofErr w:type="spellEnd"/>
      <w:r w:rsidRPr="00FA3673">
        <w:rPr>
          <w:b w:val="0"/>
          <w:sz w:val="22"/>
          <w:szCs w:val="22"/>
        </w:rPr>
        <w:t xml:space="preserve"> se</w:t>
      </w:r>
      <w:r w:rsidR="00ED3EF3" w:rsidRPr="00FA3673">
        <w:rPr>
          <w:b w:val="0"/>
          <w:sz w:val="22"/>
          <w:szCs w:val="22"/>
        </w:rPr>
        <w:t xml:space="preserve">t to </w:t>
      </w:r>
      <w:proofErr w:type="spellStart"/>
      <w:r w:rsidR="00ED3EF3" w:rsidRPr="00FA3673">
        <w:rPr>
          <w:b w:val="0"/>
          <w:sz w:val="22"/>
          <w:szCs w:val="22"/>
        </w:rPr>
        <w:t>cleanup</w:t>
      </w:r>
      <w:proofErr w:type="spellEnd"/>
      <w:r w:rsidR="00ED3EF3" w:rsidRPr="00FA3673">
        <w:rPr>
          <w:b w:val="0"/>
          <w:sz w:val="22"/>
          <w:szCs w:val="22"/>
        </w:rPr>
        <w:t xml:space="preserve"> RNA and </w:t>
      </w:r>
      <w:proofErr w:type="gramStart"/>
      <w:r w:rsidR="00ED3EF3" w:rsidRPr="00FA3673">
        <w:rPr>
          <w:b w:val="0"/>
          <w:sz w:val="22"/>
          <w:szCs w:val="22"/>
        </w:rPr>
        <w:t>remove</w:t>
      </w:r>
      <w:proofErr w:type="gramEnd"/>
      <w:r w:rsidR="00ED3EF3" w:rsidRPr="00FA3673">
        <w:rPr>
          <w:b w:val="0"/>
          <w:sz w:val="22"/>
          <w:szCs w:val="22"/>
        </w:rPr>
        <w:t xml:space="preserve"> any </w:t>
      </w:r>
      <w:r w:rsidRPr="00FA3673">
        <w:rPr>
          <w:b w:val="0"/>
          <w:sz w:val="22"/>
          <w:szCs w:val="22"/>
        </w:rPr>
        <w:t>DNA traces, according to the protocols provided by the manufacturer (</w:t>
      </w:r>
      <w:proofErr w:type="spellStart"/>
      <w:r w:rsidRPr="00FA3673">
        <w:rPr>
          <w:b w:val="0"/>
          <w:sz w:val="22"/>
          <w:szCs w:val="22"/>
        </w:rPr>
        <w:t>Qiagen</w:t>
      </w:r>
      <w:proofErr w:type="spellEnd"/>
      <w:r w:rsidRPr="00FA3673">
        <w:rPr>
          <w:b w:val="0"/>
          <w:sz w:val="22"/>
          <w:szCs w:val="22"/>
        </w:rPr>
        <w:t xml:space="preserve"> Sciences, Maryland, USA). The integrity of RNA purified was checked in 1.5% agarose gel stained with </w:t>
      </w:r>
      <w:proofErr w:type="spellStart"/>
      <w:r w:rsidRPr="00FA3673">
        <w:rPr>
          <w:b w:val="0"/>
          <w:sz w:val="22"/>
          <w:szCs w:val="22"/>
        </w:rPr>
        <w:t>ethidium</w:t>
      </w:r>
      <w:proofErr w:type="spellEnd"/>
      <w:r w:rsidRPr="00FA3673">
        <w:rPr>
          <w:b w:val="0"/>
          <w:sz w:val="22"/>
          <w:szCs w:val="22"/>
        </w:rPr>
        <w:t xml:space="preserve"> bromide.</w:t>
      </w:r>
      <w:r w:rsidR="00ED3EF3" w:rsidRPr="00FA3673">
        <w:rPr>
          <w:b w:val="0"/>
          <w:sz w:val="22"/>
          <w:szCs w:val="22"/>
        </w:rPr>
        <w:t xml:space="preserve"> </w:t>
      </w:r>
      <w:r w:rsidRPr="00FA3673">
        <w:rPr>
          <w:b w:val="0"/>
          <w:sz w:val="22"/>
          <w:szCs w:val="22"/>
        </w:rPr>
        <w:t xml:space="preserve">After quantification with a </w:t>
      </w:r>
      <w:proofErr w:type="spellStart"/>
      <w:r w:rsidRPr="00FA3673">
        <w:rPr>
          <w:b w:val="0"/>
          <w:sz w:val="22"/>
          <w:szCs w:val="22"/>
        </w:rPr>
        <w:t>NanoDrop</w:t>
      </w:r>
      <w:proofErr w:type="spellEnd"/>
      <w:r w:rsidRPr="00FA3673">
        <w:rPr>
          <w:b w:val="0"/>
          <w:sz w:val="22"/>
          <w:szCs w:val="22"/>
        </w:rPr>
        <w:t xml:space="preserve"> spectrophotometer (</w:t>
      </w:r>
      <w:proofErr w:type="spellStart"/>
      <w:r w:rsidRPr="00FA3673">
        <w:rPr>
          <w:b w:val="0"/>
          <w:sz w:val="22"/>
          <w:szCs w:val="22"/>
        </w:rPr>
        <w:t>NanoDrop</w:t>
      </w:r>
      <w:proofErr w:type="spellEnd"/>
      <w:r w:rsidRPr="00FA3673">
        <w:rPr>
          <w:b w:val="0"/>
          <w:sz w:val="22"/>
          <w:szCs w:val="22"/>
        </w:rPr>
        <w:t xml:space="preserve"> Technologies, Inc. Wilmington, DE, USA), 1000 ng of total RNA was reverse transcribed using High Capacity RNA-to-cDNA Master Mix with a mix of random and </w:t>
      </w:r>
      <w:proofErr w:type="spellStart"/>
      <w:r w:rsidRPr="00FA3673">
        <w:rPr>
          <w:b w:val="0"/>
          <w:sz w:val="22"/>
          <w:szCs w:val="22"/>
        </w:rPr>
        <w:t>Oligo</w:t>
      </w:r>
      <w:proofErr w:type="spellEnd"/>
      <w:r w:rsidRPr="00FA3673">
        <w:rPr>
          <w:b w:val="0"/>
          <w:sz w:val="22"/>
          <w:szCs w:val="22"/>
        </w:rPr>
        <w:t>(</w:t>
      </w:r>
      <w:proofErr w:type="spellStart"/>
      <w:r w:rsidRPr="00FA3673">
        <w:rPr>
          <w:b w:val="0"/>
          <w:sz w:val="22"/>
          <w:szCs w:val="22"/>
        </w:rPr>
        <w:t>dT</w:t>
      </w:r>
      <w:proofErr w:type="spellEnd"/>
      <w:r w:rsidRPr="00FA3673">
        <w:rPr>
          <w:b w:val="0"/>
          <w:sz w:val="22"/>
          <w:szCs w:val="22"/>
        </w:rPr>
        <w:t xml:space="preserve">) primers according to the manufacturers’ protocols (Applied </w:t>
      </w:r>
      <w:proofErr w:type="spellStart"/>
      <w:r w:rsidRPr="00FA3673">
        <w:rPr>
          <w:b w:val="0"/>
          <w:sz w:val="22"/>
          <w:szCs w:val="22"/>
        </w:rPr>
        <w:t>Biosystems</w:t>
      </w:r>
      <w:proofErr w:type="spellEnd"/>
      <w:r w:rsidRPr="00FA3673">
        <w:rPr>
          <w:b w:val="0"/>
          <w:sz w:val="22"/>
          <w:szCs w:val="22"/>
        </w:rPr>
        <w:t xml:space="preserve">, Life Technologies, Foster City, USA). </w:t>
      </w:r>
    </w:p>
    <w:p w:rsidR="006C7F1D" w:rsidRPr="00FA3673" w:rsidRDefault="006C7F1D" w:rsidP="00FA3673">
      <w:pPr>
        <w:spacing w:line="480" w:lineRule="auto"/>
        <w:rPr>
          <w:lang w:val="en-US"/>
        </w:rPr>
      </w:pPr>
    </w:p>
    <w:p w:rsidR="008C5650" w:rsidRDefault="008C5650" w:rsidP="00FA3673">
      <w:pPr>
        <w:spacing w:line="480" w:lineRule="auto"/>
        <w:jc w:val="both"/>
        <w:rPr>
          <w:b/>
          <w:sz w:val="22"/>
          <w:szCs w:val="22"/>
          <w:lang w:val="en-GB"/>
        </w:rPr>
      </w:pPr>
    </w:p>
    <w:p w:rsidR="00FA3673" w:rsidRDefault="00FA3673" w:rsidP="00FA3673">
      <w:pPr>
        <w:spacing w:line="480" w:lineRule="auto"/>
        <w:jc w:val="both"/>
        <w:rPr>
          <w:b/>
          <w:sz w:val="22"/>
          <w:szCs w:val="22"/>
          <w:lang w:val="en-GB"/>
        </w:rPr>
      </w:pPr>
    </w:p>
    <w:p w:rsidR="00FA3673" w:rsidRPr="00FA3673" w:rsidRDefault="00FA3673" w:rsidP="00FA3673">
      <w:pPr>
        <w:spacing w:line="480" w:lineRule="auto"/>
        <w:jc w:val="both"/>
        <w:rPr>
          <w:b/>
          <w:sz w:val="22"/>
          <w:szCs w:val="22"/>
          <w:lang w:val="en-GB"/>
        </w:rPr>
      </w:pPr>
    </w:p>
    <w:p w:rsidR="006C7F1D" w:rsidRPr="00FA3673" w:rsidRDefault="006C7F1D" w:rsidP="00FA3673">
      <w:pPr>
        <w:spacing w:line="480" w:lineRule="auto"/>
        <w:jc w:val="both"/>
        <w:rPr>
          <w:b/>
          <w:sz w:val="22"/>
          <w:szCs w:val="22"/>
          <w:lang w:val="en-GB"/>
        </w:rPr>
      </w:pPr>
      <w:r w:rsidRPr="00FA3673">
        <w:rPr>
          <w:b/>
          <w:sz w:val="22"/>
          <w:szCs w:val="22"/>
          <w:lang w:val="en-GB"/>
        </w:rPr>
        <w:lastRenderedPageBreak/>
        <w:t>PBLs</w:t>
      </w:r>
    </w:p>
    <w:p w:rsidR="002F2A49" w:rsidRPr="00FA3673" w:rsidRDefault="003015DB" w:rsidP="00FA3673">
      <w:pPr>
        <w:spacing w:line="480" w:lineRule="auto"/>
        <w:jc w:val="both"/>
        <w:rPr>
          <w:sz w:val="22"/>
          <w:szCs w:val="22"/>
          <w:lang w:val="en-GB"/>
        </w:rPr>
      </w:pPr>
      <w:r w:rsidRPr="00FA3673">
        <w:rPr>
          <w:sz w:val="22"/>
          <w:szCs w:val="22"/>
          <w:lang w:val="en-GB"/>
        </w:rPr>
        <w:t>Depending on the contributing laboratory, two different protocols were f</w:t>
      </w:r>
      <w:r w:rsidR="002F2A49" w:rsidRPr="00FA3673">
        <w:rPr>
          <w:sz w:val="22"/>
          <w:szCs w:val="22"/>
          <w:lang w:val="en-GB"/>
        </w:rPr>
        <w:t>ollowed</w:t>
      </w:r>
      <w:r w:rsidR="00E658F9" w:rsidRPr="00FA3673">
        <w:rPr>
          <w:sz w:val="22"/>
          <w:szCs w:val="22"/>
          <w:lang w:val="en-GB"/>
        </w:rPr>
        <w:t xml:space="preserve"> (see below)</w:t>
      </w:r>
      <w:r w:rsidR="002F2A49" w:rsidRPr="00FA3673">
        <w:rPr>
          <w:sz w:val="22"/>
          <w:szCs w:val="22"/>
          <w:lang w:val="en-GB"/>
        </w:rPr>
        <w:t xml:space="preserve">. </w:t>
      </w:r>
      <w:r w:rsidR="00E658F9" w:rsidRPr="00FA3673">
        <w:rPr>
          <w:sz w:val="22"/>
          <w:szCs w:val="22"/>
          <w:lang w:val="en-GB"/>
        </w:rPr>
        <w:t xml:space="preserve">Since no significant differences were observed regarding </w:t>
      </w:r>
      <w:r w:rsidR="00E658F9" w:rsidRPr="00FA3673">
        <w:rPr>
          <w:i/>
          <w:sz w:val="22"/>
          <w:szCs w:val="22"/>
          <w:lang w:val="en-GB"/>
        </w:rPr>
        <w:t>BRCA1</w:t>
      </w:r>
      <w:r w:rsidR="00E658F9" w:rsidRPr="00FA3673">
        <w:rPr>
          <w:sz w:val="22"/>
          <w:szCs w:val="22"/>
          <w:lang w:val="en-GB"/>
        </w:rPr>
        <w:t xml:space="preserve"> splicing, all data has been pooled together in the results section.  </w:t>
      </w:r>
    </w:p>
    <w:p w:rsidR="002F2A49" w:rsidRPr="00FA3673" w:rsidRDefault="002F2A49" w:rsidP="00FA3673">
      <w:pPr>
        <w:spacing w:line="480" w:lineRule="auto"/>
        <w:jc w:val="both"/>
        <w:rPr>
          <w:sz w:val="22"/>
          <w:szCs w:val="22"/>
          <w:lang w:val="en-GB"/>
        </w:rPr>
      </w:pPr>
      <w:r w:rsidRPr="00FA3673">
        <w:rPr>
          <w:sz w:val="22"/>
          <w:szCs w:val="22"/>
          <w:lang w:val="en-GB"/>
        </w:rPr>
        <w:t>Protocol 1</w:t>
      </w:r>
    </w:p>
    <w:p w:rsidR="006C7F1D" w:rsidRPr="00FA3673" w:rsidRDefault="006C7F1D" w:rsidP="00FA3673">
      <w:pPr>
        <w:spacing w:line="480" w:lineRule="auto"/>
        <w:jc w:val="both"/>
        <w:rPr>
          <w:sz w:val="22"/>
          <w:szCs w:val="22"/>
          <w:lang w:val="en-GB"/>
        </w:rPr>
      </w:pPr>
      <w:r w:rsidRPr="00FA3673">
        <w:rPr>
          <w:sz w:val="22"/>
          <w:szCs w:val="22"/>
          <w:lang w:val="en-GB"/>
        </w:rPr>
        <w:t xml:space="preserve">1 ml of peripheral </w:t>
      </w:r>
      <w:r w:rsidRPr="00FA3673">
        <w:rPr>
          <w:bCs/>
          <w:sz w:val="22"/>
          <w:szCs w:val="22"/>
          <w:lang w:val="en-GB"/>
        </w:rPr>
        <w:t xml:space="preserve">blood (collected </w:t>
      </w:r>
      <w:r w:rsidR="00D56F20" w:rsidRPr="00FA3673">
        <w:rPr>
          <w:sz w:val="22"/>
          <w:szCs w:val="22"/>
          <w:lang w:val="en-GB"/>
        </w:rPr>
        <w:t>in Sodium Heparin Tube) was</w:t>
      </w:r>
      <w:r w:rsidRPr="00FA3673">
        <w:rPr>
          <w:sz w:val="22"/>
          <w:szCs w:val="22"/>
          <w:lang w:val="en-GB"/>
        </w:rPr>
        <w:t xml:space="preserve"> cultured in 9 ml of RPMI medium containing 20% of FBS, 1% penicillin-streptomycin and </w:t>
      </w:r>
      <w:proofErr w:type="spellStart"/>
      <w:r w:rsidRPr="00FA3673">
        <w:rPr>
          <w:sz w:val="22"/>
          <w:szCs w:val="22"/>
          <w:lang w:val="en-GB"/>
        </w:rPr>
        <w:t>phytohemagglutinin</w:t>
      </w:r>
      <w:proofErr w:type="spellEnd"/>
      <w:r w:rsidRPr="00FA3673">
        <w:rPr>
          <w:sz w:val="22"/>
          <w:szCs w:val="22"/>
          <w:lang w:val="en-GB"/>
        </w:rPr>
        <w:t xml:space="preserve"> (PHA, 100 </w:t>
      </w:r>
      <w:proofErr w:type="spellStart"/>
      <w:r w:rsidRPr="00FA3673">
        <w:rPr>
          <w:sz w:val="22"/>
          <w:szCs w:val="22"/>
          <w:lang w:val="en-GB"/>
        </w:rPr>
        <w:t>μg</w:t>
      </w:r>
      <w:proofErr w:type="spellEnd"/>
      <w:r w:rsidRPr="00FA3673">
        <w:rPr>
          <w:sz w:val="22"/>
          <w:szCs w:val="22"/>
          <w:lang w:val="en-GB"/>
        </w:rPr>
        <w:t xml:space="preserve"> per ml) at </w:t>
      </w:r>
      <w:smartTag w:uri="urn:schemas-microsoft-com:office:smarttags" w:element="metricconverter">
        <w:smartTagPr>
          <w:attr w:name="ProductID" w:val="37ﾺC"/>
        </w:smartTagPr>
        <w:r w:rsidRPr="00FA3673">
          <w:rPr>
            <w:sz w:val="22"/>
            <w:szCs w:val="22"/>
            <w:lang w:val="en-GB"/>
          </w:rPr>
          <w:t>37ºC</w:t>
        </w:r>
      </w:smartTag>
      <w:r w:rsidR="007A7EC4" w:rsidRPr="00FA3673">
        <w:rPr>
          <w:sz w:val="22"/>
          <w:szCs w:val="22"/>
          <w:lang w:val="en-GB"/>
        </w:rPr>
        <w:t xml:space="preserve"> and 5%CO2. After 72 hours, </w:t>
      </w:r>
      <w:r w:rsidRPr="00FA3673">
        <w:rPr>
          <w:sz w:val="22"/>
          <w:szCs w:val="22"/>
          <w:lang w:val="en-GB"/>
        </w:rPr>
        <w:t xml:space="preserve">3 ml of </w:t>
      </w:r>
      <w:r w:rsidR="00D56F20" w:rsidRPr="00FA3673">
        <w:rPr>
          <w:sz w:val="22"/>
          <w:szCs w:val="22"/>
          <w:lang w:val="en-GB"/>
        </w:rPr>
        <w:t xml:space="preserve">Cell </w:t>
      </w:r>
      <w:proofErr w:type="spellStart"/>
      <w:r w:rsidR="00D56F20" w:rsidRPr="00FA3673">
        <w:rPr>
          <w:sz w:val="22"/>
          <w:szCs w:val="22"/>
          <w:lang w:val="en-GB"/>
        </w:rPr>
        <w:t>Lysis</w:t>
      </w:r>
      <w:proofErr w:type="spellEnd"/>
      <w:r w:rsidR="00D56F20" w:rsidRPr="00FA3673">
        <w:rPr>
          <w:sz w:val="22"/>
          <w:szCs w:val="22"/>
          <w:lang w:val="en-GB"/>
        </w:rPr>
        <w:t xml:space="preserve"> Solution (</w:t>
      </w:r>
      <w:proofErr w:type="spellStart"/>
      <w:r w:rsidR="00D56F20" w:rsidRPr="00FA3673">
        <w:rPr>
          <w:sz w:val="22"/>
          <w:szCs w:val="22"/>
          <w:lang w:val="en-GB"/>
        </w:rPr>
        <w:t>Promega</w:t>
      </w:r>
      <w:proofErr w:type="spellEnd"/>
      <w:r w:rsidR="00D56F20" w:rsidRPr="00FA3673">
        <w:rPr>
          <w:sz w:val="22"/>
          <w:szCs w:val="22"/>
          <w:lang w:val="en-GB"/>
        </w:rPr>
        <w:t xml:space="preserve">) was added for each ml of sample, and the sample </w:t>
      </w:r>
      <w:r w:rsidRPr="00FA3673">
        <w:rPr>
          <w:sz w:val="22"/>
          <w:szCs w:val="22"/>
          <w:lang w:val="en-GB"/>
        </w:rPr>
        <w:t>incubate</w:t>
      </w:r>
      <w:r w:rsidR="00D56F20" w:rsidRPr="00FA3673">
        <w:rPr>
          <w:sz w:val="22"/>
          <w:szCs w:val="22"/>
          <w:lang w:val="en-GB"/>
        </w:rPr>
        <w:t>d</w:t>
      </w:r>
      <w:r w:rsidRPr="00FA3673">
        <w:rPr>
          <w:sz w:val="22"/>
          <w:szCs w:val="22"/>
          <w:lang w:val="en-GB"/>
        </w:rPr>
        <w:t xml:space="preserve"> for </w:t>
      </w:r>
      <w:r w:rsidR="00D56F20" w:rsidRPr="00FA3673">
        <w:rPr>
          <w:sz w:val="22"/>
          <w:szCs w:val="22"/>
          <w:lang w:val="en-GB"/>
        </w:rPr>
        <w:t xml:space="preserve">10 minutes at room temperature, spun at 13,000 rpm for 2 minutes, and the supernatant  </w:t>
      </w:r>
      <w:r w:rsidRPr="00FA3673">
        <w:rPr>
          <w:sz w:val="22"/>
          <w:szCs w:val="22"/>
          <w:lang w:val="en-GB"/>
        </w:rPr>
        <w:t xml:space="preserve">discarded. This last step </w:t>
      </w:r>
      <w:r w:rsidR="00D56F20" w:rsidRPr="00FA3673">
        <w:rPr>
          <w:sz w:val="22"/>
          <w:szCs w:val="22"/>
          <w:lang w:val="en-GB"/>
        </w:rPr>
        <w:t xml:space="preserve">was </w:t>
      </w:r>
      <w:r w:rsidRPr="00FA3673">
        <w:rPr>
          <w:sz w:val="22"/>
          <w:szCs w:val="22"/>
          <w:lang w:val="en-GB"/>
        </w:rPr>
        <w:t xml:space="preserve">repeated </w:t>
      </w:r>
      <w:r w:rsidR="00D56F20" w:rsidRPr="00FA3673">
        <w:rPr>
          <w:sz w:val="22"/>
          <w:szCs w:val="22"/>
          <w:lang w:val="en-GB"/>
        </w:rPr>
        <w:t>as necessary to ensure the pellet was</w:t>
      </w:r>
      <w:r w:rsidRPr="00FA3673">
        <w:rPr>
          <w:sz w:val="22"/>
          <w:szCs w:val="22"/>
          <w:lang w:val="en-GB"/>
        </w:rPr>
        <w:t xml:space="preserve"> nearly white. For purification of total </w:t>
      </w:r>
      <w:r w:rsidR="00D56F20" w:rsidRPr="00FA3673">
        <w:rPr>
          <w:sz w:val="22"/>
          <w:szCs w:val="22"/>
          <w:lang w:val="en-GB"/>
        </w:rPr>
        <w:t xml:space="preserve">RNA, </w:t>
      </w:r>
      <w:proofErr w:type="spellStart"/>
      <w:r w:rsidR="00D56F20" w:rsidRPr="00FA3673">
        <w:rPr>
          <w:sz w:val="22"/>
          <w:szCs w:val="22"/>
          <w:lang w:val="en-GB"/>
        </w:rPr>
        <w:t>RNeasy</w:t>
      </w:r>
      <w:proofErr w:type="spellEnd"/>
      <w:r w:rsidR="00D56F20" w:rsidRPr="00FA3673">
        <w:rPr>
          <w:sz w:val="22"/>
          <w:szCs w:val="22"/>
          <w:lang w:val="en-GB"/>
        </w:rPr>
        <w:t xml:space="preserve"> Mini Kit (</w:t>
      </w:r>
      <w:proofErr w:type="spellStart"/>
      <w:r w:rsidR="00D56F20" w:rsidRPr="00FA3673">
        <w:rPr>
          <w:sz w:val="22"/>
          <w:szCs w:val="22"/>
          <w:lang w:val="en-GB"/>
        </w:rPr>
        <w:t>Qiagen</w:t>
      </w:r>
      <w:proofErr w:type="spellEnd"/>
      <w:r w:rsidR="00D56F20" w:rsidRPr="00FA3673">
        <w:rPr>
          <w:sz w:val="22"/>
          <w:szCs w:val="22"/>
          <w:lang w:val="en-GB"/>
        </w:rPr>
        <w:t xml:space="preserve">) was used </w:t>
      </w:r>
      <w:r w:rsidRPr="00FA3673">
        <w:rPr>
          <w:sz w:val="22"/>
          <w:szCs w:val="22"/>
          <w:lang w:val="en-GB"/>
        </w:rPr>
        <w:t xml:space="preserve">according to </w:t>
      </w:r>
      <w:r w:rsidR="00D56F20" w:rsidRPr="00FA3673">
        <w:rPr>
          <w:sz w:val="22"/>
          <w:szCs w:val="22"/>
          <w:lang w:val="en-GB"/>
        </w:rPr>
        <w:t>manufacturer’s protocols</w:t>
      </w:r>
      <w:r w:rsidRPr="00FA3673">
        <w:rPr>
          <w:sz w:val="22"/>
          <w:szCs w:val="22"/>
          <w:lang w:val="en-GB"/>
        </w:rPr>
        <w:t xml:space="preserve"> (</w:t>
      </w:r>
      <w:proofErr w:type="spellStart"/>
      <w:r w:rsidRPr="00FA3673">
        <w:rPr>
          <w:sz w:val="22"/>
          <w:szCs w:val="22"/>
          <w:lang w:val="en-GB"/>
        </w:rPr>
        <w:t>Qiagen</w:t>
      </w:r>
      <w:proofErr w:type="spellEnd"/>
      <w:r w:rsidRPr="00FA3673">
        <w:rPr>
          <w:sz w:val="22"/>
          <w:szCs w:val="22"/>
          <w:lang w:val="en-GB"/>
        </w:rPr>
        <w:t xml:space="preserve"> Sciences, Maryland, USA).</w:t>
      </w:r>
      <w:r w:rsidR="00ED3EF3" w:rsidRPr="00FA3673">
        <w:rPr>
          <w:sz w:val="22"/>
          <w:szCs w:val="22"/>
          <w:lang w:val="en-GB"/>
        </w:rPr>
        <w:t xml:space="preserve"> </w:t>
      </w:r>
      <w:r w:rsidRPr="00FA3673">
        <w:rPr>
          <w:sz w:val="22"/>
          <w:szCs w:val="22"/>
          <w:lang w:val="en-GB"/>
        </w:rPr>
        <w:t xml:space="preserve">After quantification with a </w:t>
      </w:r>
      <w:proofErr w:type="spellStart"/>
      <w:r w:rsidRPr="00FA3673">
        <w:rPr>
          <w:sz w:val="22"/>
          <w:szCs w:val="22"/>
          <w:lang w:val="en-GB"/>
        </w:rPr>
        <w:t>NanoDrop</w:t>
      </w:r>
      <w:proofErr w:type="spellEnd"/>
      <w:r w:rsidRPr="00FA3673">
        <w:rPr>
          <w:sz w:val="22"/>
          <w:szCs w:val="22"/>
          <w:lang w:val="en-GB"/>
        </w:rPr>
        <w:t xml:space="preserve"> spectrophotometer (</w:t>
      </w:r>
      <w:proofErr w:type="spellStart"/>
      <w:r w:rsidRPr="00FA3673">
        <w:rPr>
          <w:sz w:val="22"/>
          <w:szCs w:val="22"/>
          <w:lang w:val="en-GB"/>
        </w:rPr>
        <w:t>NanoDrop</w:t>
      </w:r>
      <w:proofErr w:type="spellEnd"/>
      <w:r w:rsidRPr="00FA3673">
        <w:rPr>
          <w:sz w:val="22"/>
          <w:szCs w:val="22"/>
          <w:lang w:val="en-GB"/>
        </w:rPr>
        <w:t xml:space="preserve"> Technologies, Inc. Wilmington, DE, USA), 1000 ng of total RNA was reverse transcribed using </w:t>
      </w:r>
      <w:proofErr w:type="spellStart"/>
      <w:r w:rsidRPr="00FA3673">
        <w:rPr>
          <w:sz w:val="22"/>
          <w:szCs w:val="22"/>
          <w:lang w:val="en-GB"/>
        </w:rPr>
        <w:t>SuperScript</w:t>
      </w:r>
      <w:proofErr w:type="spellEnd"/>
      <w:r w:rsidRPr="00FA3673">
        <w:rPr>
          <w:sz w:val="22"/>
          <w:szCs w:val="22"/>
          <w:lang w:val="en-GB"/>
        </w:rPr>
        <w:t xml:space="preserve"> II Reverse Transcriptase with random primers according to the manufacturers’ protocols (Invitrogen, Life Technologies, Foster City, USA). To ensure the appropriate RNA transcrip</w:t>
      </w:r>
      <w:r w:rsidR="00D56F20" w:rsidRPr="00FA3673">
        <w:rPr>
          <w:sz w:val="22"/>
          <w:szCs w:val="22"/>
          <w:lang w:val="en-GB"/>
        </w:rPr>
        <w:t>tion into cDNA, real time PCR was</w:t>
      </w:r>
      <w:r w:rsidRPr="00FA3673">
        <w:rPr>
          <w:sz w:val="22"/>
          <w:szCs w:val="22"/>
          <w:lang w:val="en-GB"/>
        </w:rPr>
        <w:t xml:space="preserve"> performed using the </w:t>
      </w:r>
      <w:proofErr w:type="spellStart"/>
      <w:r w:rsidRPr="00FA3673">
        <w:rPr>
          <w:sz w:val="22"/>
          <w:szCs w:val="22"/>
          <w:lang w:val="en-GB"/>
        </w:rPr>
        <w:t>TaqMan</w:t>
      </w:r>
      <w:proofErr w:type="spellEnd"/>
      <w:r w:rsidRPr="00FA3673">
        <w:rPr>
          <w:sz w:val="22"/>
          <w:szCs w:val="22"/>
          <w:lang w:val="en-GB"/>
        </w:rPr>
        <w:t xml:space="preserve">® Gene Expression Assay (Applied </w:t>
      </w:r>
      <w:proofErr w:type="spellStart"/>
      <w:r w:rsidRPr="00FA3673">
        <w:rPr>
          <w:sz w:val="22"/>
          <w:szCs w:val="22"/>
          <w:lang w:val="en-GB"/>
        </w:rPr>
        <w:t>Biosystems</w:t>
      </w:r>
      <w:proofErr w:type="spellEnd"/>
      <w:r w:rsidRPr="00FA3673">
        <w:rPr>
          <w:sz w:val="22"/>
          <w:szCs w:val="22"/>
          <w:lang w:val="en-GB"/>
        </w:rPr>
        <w:t xml:space="preserve">, Life Technologies, </w:t>
      </w:r>
      <w:proofErr w:type="gramStart"/>
      <w:r w:rsidRPr="00FA3673">
        <w:rPr>
          <w:sz w:val="22"/>
          <w:szCs w:val="22"/>
          <w:lang w:val="en-GB"/>
        </w:rPr>
        <w:t>Foster</w:t>
      </w:r>
      <w:proofErr w:type="gramEnd"/>
      <w:r w:rsidRPr="00FA3673">
        <w:rPr>
          <w:sz w:val="22"/>
          <w:szCs w:val="22"/>
          <w:lang w:val="en-GB"/>
        </w:rPr>
        <w:t xml:space="preserve"> City, USA) to detect the constitutive expression of the ABL gene.</w:t>
      </w:r>
    </w:p>
    <w:p w:rsidR="002F2A49" w:rsidRPr="00FA3673" w:rsidRDefault="002F2A49" w:rsidP="00FA3673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color w:val="000000" w:themeColor="text1"/>
          <w:sz w:val="22"/>
          <w:szCs w:val="22"/>
          <w:lang w:val="en-US" w:eastAsia="en-US"/>
        </w:rPr>
      </w:pPr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Protocol 2</w:t>
      </w:r>
    </w:p>
    <w:p w:rsidR="00FF08DC" w:rsidRPr="00FA3673" w:rsidRDefault="00FF08DC" w:rsidP="00FA3673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color w:val="000000" w:themeColor="text1"/>
          <w:sz w:val="22"/>
          <w:szCs w:val="22"/>
          <w:lang w:val="en-US" w:eastAsia="en-US"/>
        </w:rPr>
      </w:pPr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White blood cells were isolated from fresh whole blood (collected in EDTA tubes) and used either fresh or frozen in FCS with 10% of DMSO for subsequent culture in a complete medium consisting of RPMI 1640 supplemented with L-glutamine (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Gibco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) and 12.5% FCS, 1x L-glutamine, 0.8 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mM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sodiumpyruvate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(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Gibco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), 17 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mM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Hepes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buffer (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Gibco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), 4.2x10</w:t>
      </w:r>
      <w:r w:rsidRPr="00FA3673">
        <w:rPr>
          <w:rFonts w:eastAsiaTheme="minorHAnsi"/>
          <w:color w:val="000000" w:themeColor="text1"/>
          <w:sz w:val="22"/>
          <w:szCs w:val="22"/>
          <w:vertAlign w:val="superscript"/>
          <w:lang w:val="en-US" w:eastAsia="en-US"/>
        </w:rPr>
        <w:t>-2</w:t>
      </w:r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mM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2-mercaptoethanol (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Gibco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), 42 units/ml penicillin–streptomycin and 0.21 g/ml amphotericin B solution (Sigma). Lymphocyte growth was stimulated with 50 µl/ml PHA (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Gibco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) and 10 units/ml of IL-2 (Roche). </w:t>
      </w:r>
      <w:r w:rsidR="002F2A49"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Cells were harvested at day 7. </w:t>
      </w:r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Total RNA was subsequently isolated using 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TRIzol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(Invitrogen) or 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TRIpure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(Roche) reagent, quantified with a 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NanoDrop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spectophotometer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, and first-strand cDNA was obtained from 500 ng of </w:t>
      </w:r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lastRenderedPageBreak/>
        <w:t xml:space="preserve">RNA with reverse transcriptase II (Invitrogen) using a combination of random 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hexamers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and 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oligo-dT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primers (Invitrogen) or random </w:t>
      </w:r>
      <w:proofErr w:type="spellStart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>hexamers</w:t>
      </w:r>
      <w:proofErr w:type="spellEnd"/>
      <w:r w:rsidRPr="00FA3673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 alone, according to the manufacturers’ instructions.</w:t>
      </w:r>
    </w:p>
    <w:p w:rsidR="00F91020" w:rsidRPr="00FA3673" w:rsidRDefault="00F91020" w:rsidP="00FA3673">
      <w:pPr>
        <w:spacing w:line="480" w:lineRule="auto"/>
        <w:jc w:val="both"/>
        <w:rPr>
          <w:sz w:val="22"/>
          <w:szCs w:val="22"/>
          <w:lang w:val="en-GB"/>
        </w:rPr>
      </w:pPr>
    </w:p>
    <w:p w:rsidR="00F91020" w:rsidRPr="00FA3673" w:rsidRDefault="00F91020" w:rsidP="00FA3673">
      <w:pPr>
        <w:spacing w:line="480" w:lineRule="auto"/>
        <w:jc w:val="both"/>
        <w:rPr>
          <w:b/>
          <w:sz w:val="22"/>
          <w:szCs w:val="22"/>
          <w:lang w:val="en-GB"/>
        </w:rPr>
      </w:pPr>
      <w:r w:rsidRPr="00FA3673">
        <w:rPr>
          <w:b/>
          <w:sz w:val="22"/>
          <w:szCs w:val="22"/>
          <w:lang w:val="en-GB"/>
        </w:rPr>
        <w:t>LCLs.</w:t>
      </w:r>
    </w:p>
    <w:p w:rsidR="00052142" w:rsidRPr="00FA3673" w:rsidRDefault="00E50887" w:rsidP="00FA3673">
      <w:pPr>
        <w:spacing w:line="480" w:lineRule="auto"/>
        <w:jc w:val="both"/>
        <w:rPr>
          <w:sz w:val="22"/>
          <w:szCs w:val="22"/>
          <w:lang w:val="en-US"/>
        </w:rPr>
      </w:pPr>
      <w:r w:rsidRPr="00FA3673">
        <w:rPr>
          <w:sz w:val="22"/>
          <w:szCs w:val="22"/>
          <w:lang w:val="en-GB"/>
        </w:rPr>
        <w:t>L</w:t>
      </w:r>
      <w:proofErr w:type="spellStart"/>
      <w:r w:rsidRPr="00FA3673">
        <w:rPr>
          <w:sz w:val="22"/>
          <w:szCs w:val="22"/>
          <w:lang w:val="en-US"/>
        </w:rPr>
        <w:t>ymphoblastoid</w:t>
      </w:r>
      <w:proofErr w:type="spellEnd"/>
      <w:r w:rsidRPr="00FA3673">
        <w:rPr>
          <w:sz w:val="22"/>
          <w:szCs w:val="22"/>
          <w:lang w:val="en-US"/>
        </w:rPr>
        <w:t xml:space="preserve"> </w:t>
      </w:r>
      <w:r w:rsidR="00F26ADE" w:rsidRPr="00FA3673">
        <w:rPr>
          <w:sz w:val="22"/>
          <w:szCs w:val="22"/>
          <w:lang w:val="en-US"/>
        </w:rPr>
        <w:t xml:space="preserve">cell-lines (LCLs) </w:t>
      </w:r>
      <w:r w:rsidR="0039545D" w:rsidRPr="00FA3673">
        <w:rPr>
          <w:sz w:val="22"/>
          <w:szCs w:val="22"/>
          <w:lang w:val="en-US"/>
        </w:rPr>
        <w:t xml:space="preserve">from </w:t>
      </w:r>
      <w:r w:rsidR="00F26ADE" w:rsidRPr="00FA3673">
        <w:rPr>
          <w:sz w:val="22"/>
          <w:szCs w:val="22"/>
          <w:lang w:val="en-US"/>
        </w:rPr>
        <w:t xml:space="preserve">healthy control individuals were </w:t>
      </w:r>
      <w:r w:rsidRPr="00FA3673">
        <w:rPr>
          <w:sz w:val="22"/>
          <w:szCs w:val="22"/>
          <w:lang w:val="en-US"/>
        </w:rPr>
        <w:t>generated</w:t>
      </w:r>
      <w:r w:rsidR="00F26ADE" w:rsidRPr="00FA3673">
        <w:rPr>
          <w:sz w:val="22"/>
          <w:szCs w:val="22"/>
          <w:lang w:val="en-US"/>
        </w:rPr>
        <w:t xml:space="preserve"> </w:t>
      </w:r>
      <w:r w:rsidRPr="00FA3673">
        <w:rPr>
          <w:sz w:val="22"/>
          <w:szCs w:val="22"/>
          <w:lang w:val="en-US"/>
        </w:rPr>
        <w:t xml:space="preserve">by the Kathleen </w:t>
      </w:r>
      <w:proofErr w:type="spellStart"/>
      <w:r w:rsidRPr="00FA3673">
        <w:rPr>
          <w:sz w:val="22"/>
          <w:szCs w:val="22"/>
          <w:lang w:val="en-US"/>
        </w:rPr>
        <w:t>Cuningham</w:t>
      </w:r>
      <w:proofErr w:type="spellEnd"/>
      <w:r w:rsidRPr="00FA3673">
        <w:rPr>
          <w:sz w:val="22"/>
          <w:szCs w:val="22"/>
          <w:lang w:val="en-US"/>
        </w:rPr>
        <w:t xml:space="preserve"> Consortium for Research into F</w:t>
      </w:r>
      <w:r w:rsidR="00F26ADE" w:rsidRPr="00FA3673">
        <w:rPr>
          <w:sz w:val="22"/>
          <w:szCs w:val="22"/>
          <w:lang w:val="en-US"/>
        </w:rPr>
        <w:t>amilial Breast Cancer (</w:t>
      </w:r>
      <w:proofErr w:type="spellStart"/>
      <w:r w:rsidR="00F26ADE" w:rsidRPr="00FA3673">
        <w:rPr>
          <w:sz w:val="22"/>
          <w:szCs w:val="22"/>
          <w:lang w:val="en-US"/>
        </w:rPr>
        <w:t>kConFab</w:t>
      </w:r>
      <w:proofErr w:type="spellEnd"/>
      <w:r w:rsidR="00F26ADE" w:rsidRPr="00FA3673">
        <w:rPr>
          <w:sz w:val="22"/>
          <w:szCs w:val="22"/>
          <w:lang w:val="en-US"/>
        </w:rPr>
        <w:t xml:space="preserve">). </w:t>
      </w:r>
      <w:r w:rsidR="000221D9" w:rsidRPr="00FA3673">
        <w:rPr>
          <w:sz w:val="22"/>
          <w:szCs w:val="22"/>
          <w:lang w:val="en-GB"/>
        </w:rPr>
        <w:t xml:space="preserve">The cells were routinely maintained at 37°C in 5% CO2, in </w:t>
      </w:r>
      <w:r w:rsidR="000221D9" w:rsidRPr="00FA3673">
        <w:rPr>
          <w:sz w:val="22"/>
          <w:szCs w:val="22"/>
          <w:lang w:val="en-US"/>
        </w:rPr>
        <w:t xml:space="preserve">RPMI 1640 </w:t>
      </w:r>
      <w:r w:rsidR="000221D9" w:rsidRPr="00FA3673">
        <w:rPr>
          <w:sz w:val="22"/>
          <w:szCs w:val="22"/>
          <w:lang w:val="en-GB"/>
        </w:rPr>
        <w:t xml:space="preserve">(PAA Laboratories GmbH, </w:t>
      </w:r>
      <w:proofErr w:type="spellStart"/>
      <w:r w:rsidR="000221D9" w:rsidRPr="00FA3673">
        <w:rPr>
          <w:sz w:val="22"/>
          <w:szCs w:val="22"/>
          <w:lang w:val="en-GB"/>
        </w:rPr>
        <w:t>Pasching</w:t>
      </w:r>
      <w:proofErr w:type="spellEnd"/>
      <w:r w:rsidR="000221D9" w:rsidRPr="00FA3673">
        <w:rPr>
          <w:sz w:val="22"/>
          <w:szCs w:val="22"/>
          <w:lang w:val="en-GB"/>
        </w:rPr>
        <w:t xml:space="preserve">, Austria) containing 10% heat-inactivated foetal bovine serum (PAA Laboratories GmbH, </w:t>
      </w:r>
      <w:proofErr w:type="spellStart"/>
      <w:r w:rsidR="000221D9" w:rsidRPr="00FA3673">
        <w:rPr>
          <w:sz w:val="22"/>
          <w:szCs w:val="22"/>
          <w:lang w:val="en-GB"/>
        </w:rPr>
        <w:t>Pasching</w:t>
      </w:r>
      <w:proofErr w:type="spellEnd"/>
      <w:r w:rsidR="000221D9" w:rsidRPr="00FA3673">
        <w:rPr>
          <w:sz w:val="22"/>
          <w:szCs w:val="22"/>
          <w:lang w:val="en-GB"/>
        </w:rPr>
        <w:t xml:space="preserve">, Austria) and 1% penicillin/streptomycin (PAA Laboratories GmbH, </w:t>
      </w:r>
      <w:proofErr w:type="spellStart"/>
      <w:r w:rsidR="000221D9" w:rsidRPr="00FA3673">
        <w:rPr>
          <w:sz w:val="22"/>
          <w:szCs w:val="22"/>
          <w:lang w:val="en-GB"/>
        </w:rPr>
        <w:t>Pasching</w:t>
      </w:r>
      <w:proofErr w:type="spellEnd"/>
      <w:r w:rsidR="000221D9" w:rsidRPr="00FA3673">
        <w:rPr>
          <w:sz w:val="22"/>
          <w:szCs w:val="22"/>
          <w:lang w:val="en-GB"/>
        </w:rPr>
        <w:t xml:space="preserve">, Austria). </w:t>
      </w:r>
      <w:r w:rsidR="000221D9" w:rsidRPr="00FA3673">
        <w:rPr>
          <w:sz w:val="22"/>
          <w:szCs w:val="22"/>
          <w:lang w:val="en-US"/>
        </w:rPr>
        <w:t>The cells were cultured for one month replacing media as necessary.</w:t>
      </w:r>
      <w:r w:rsidR="0084749B" w:rsidRPr="00FA3673">
        <w:rPr>
          <w:sz w:val="22"/>
          <w:szCs w:val="22"/>
          <w:lang w:val="en-US"/>
        </w:rPr>
        <w:t xml:space="preserve"> </w:t>
      </w:r>
      <w:r w:rsidR="000221D9" w:rsidRPr="00FA3673">
        <w:rPr>
          <w:sz w:val="22"/>
          <w:szCs w:val="22"/>
          <w:lang w:val="en-GB"/>
        </w:rPr>
        <w:t>RNA was extracted</w:t>
      </w:r>
      <w:r w:rsidR="00F26ADE" w:rsidRPr="00FA3673">
        <w:rPr>
          <w:sz w:val="22"/>
          <w:szCs w:val="22"/>
          <w:lang w:val="en-GB"/>
        </w:rPr>
        <w:t xml:space="preserve"> from </w:t>
      </w:r>
      <w:proofErr w:type="spellStart"/>
      <w:r w:rsidR="00F26ADE" w:rsidRPr="00FA3673">
        <w:rPr>
          <w:sz w:val="22"/>
          <w:szCs w:val="22"/>
          <w:lang w:val="en-GB"/>
        </w:rPr>
        <w:t>cyclohexamide</w:t>
      </w:r>
      <w:proofErr w:type="spellEnd"/>
      <w:r w:rsidR="00F26ADE" w:rsidRPr="00FA3673">
        <w:rPr>
          <w:sz w:val="22"/>
          <w:szCs w:val="22"/>
          <w:lang w:val="en-GB"/>
        </w:rPr>
        <w:t>-</w:t>
      </w:r>
      <w:r w:rsidR="000221D9" w:rsidRPr="00FA3673">
        <w:rPr>
          <w:sz w:val="22"/>
          <w:szCs w:val="22"/>
          <w:lang w:val="en-GB"/>
        </w:rPr>
        <w:t xml:space="preserve">untreated LCLs, using </w:t>
      </w:r>
      <w:proofErr w:type="spellStart"/>
      <w:r w:rsidR="000221D9" w:rsidRPr="00FA3673">
        <w:rPr>
          <w:sz w:val="22"/>
          <w:szCs w:val="22"/>
          <w:lang w:val="en-GB"/>
        </w:rPr>
        <w:t>TRIzol</w:t>
      </w:r>
      <w:proofErr w:type="spellEnd"/>
      <w:r w:rsidR="000221D9" w:rsidRPr="00FA3673">
        <w:rPr>
          <w:sz w:val="22"/>
          <w:szCs w:val="22"/>
          <w:lang w:val="en-GB"/>
        </w:rPr>
        <w:t xml:space="preserve"> reagent (Invitrogen, Paisley, United Kingdom) according to the manufacturer’s instructions. Each RNA sample was further processed on columns from </w:t>
      </w:r>
      <w:proofErr w:type="spellStart"/>
      <w:r w:rsidR="000221D9" w:rsidRPr="00FA3673">
        <w:rPr>
          <w:sz w:val="22"/>
          <w:szCs w:val="22"/>
          <w:lang w:val="en-GB"/>
        </w:rPr>
        <w:t>RNeasy</w:t>
      </w:r>
      <w:proofErr w:type="spellEnd"/>
      <w:r w:rsidR="000221D9" w:rsidRPr="00FA3673">
        <w:rPr>
          <w:sz w:val="22"/>
          <w:szCs w:val="22"/>
          <w:lang w:val="en-GB"/>
        </w:rPr>
        <w:t xml:space="preserve"> Mini Kit and </w:t>
      </w:r>
      <w:proofErr w:type="spellStart"/>
      <w:r w:rsidR="000221D9" w:rsidRPr="00FA3673">
        <w:rPr>
          <w:sz w:val="22"/>
          <w:szCs w:val="22"/>
          <w:lang w:val="en-GB"/>
        </w:rPr>
        <w:t>RNase</w:t>
      </w:r>
      <w:proofErr w:type="spellEnd"/>
      <w:r w:rsidR="000221D9" w:rsidRPr="00FA3673">
        <w:rPr>
          <w:sz w:val="22"/>
          <w:szCs w:val="22"/>
          <w:lang w:val="en-GB"/>
        </w:rPr>
        <w:t xml:space="preserve">-Free </w:t>
      </w:r>
      <w:proofErr w:type="spellStart"/>
      <w:r w:rsidR="000221D9" w:rsidRPr="00FA3673">
        <w:rPr>
          <w:sz w:val="22"/>
          <w:szCs w:val="22"/>
          <w:lang w:val="en-GB"/>
        </w:rPr>
        <w:t>DNase</w:t>
      </w:r>
      <w:proofErr w:type="spellEnd"/>
      <w:r w:rsidR="000221D9" w:rsidRPr="00FA3673">
        <w:rPr>
          <w:sz w:val="22"/>
          <w:szCs w:val="22"/>
          <w:lang w:val="en-GB"/>
        </w:rPr>
        <w:t xml:space="preserve"> set to </w:t>
      </w:r>
      <w:proofErr w:type="spellStart"/>
      <w:r w:rsidR="000221D9" w:rsidRPr="00FA3673">
        <w:rPr>
          <w:sz w:val="22"/>
          <w:szCs w:val="22"/>
          <w:lang w:val="en-GB"/>
        </w:rPr>
        <w:t>cleanup</w:t>
      </w:r>
      <w:proofErr w:type="spellEnd"/>
      <w:r w:rsidR="000221D9" w:rsidRPr="00FA3673">
        <w:rPr>
          <w:sz w:val="22"/>
          <w:szCs w:val="22"/>
          <w:lang w:val="en-GB"/>
        </w:rPr>
        <w:t xml:space="preserve"> RNA and to remove any DNA traces, according to the protocols provided by the manufacturer (</w:t>
      </w:r>
      <w:proofErr w:type="spellStart"/>
      <w:r w:rsidR="000221D9" w:rsidRPr="00FA3673">
        <w:rPr>
          <w:sz w:val="22"/>
          <w:szCs w:val="22"/>
          <w:lang w:val="en-GB"/>
        </w:rPr>
        <w:t>Qiagen</w:t>
      </w:r>
      <w:proofErr w:type="spellEnd"/>
      <w:r w:rsidR="000221D9" w:rsidRPr="00FA3673">
        <w:rPr>
          <w:sz w:val="22"/>
          <w:szCs w:val="22"/>
          <w:lang w:val="en-GB"/>
        </w:rPr>
        <w:t xml:space="preserve"> Sciences, Maryland, USA). After quantification with a </w:t>
      </w:r>
      <w:proofErr w:type="spellStart"/>
      <w:r w:rsidR="000221D9" w:rsidRPr="00FA3673">
        <w:rPr>
          <w:sz w:val="22"/>
          <w:szCs w:val="22"/>
          <w:lang w:val="en-GB"/>
        </w:rPr>
        <w:t>NanoDrop</w:t>
      </w:r>
      <w:proofErr w:type="spellEnd"/>
      <w:r w:rsidR="000221D9" w:rsidRPr="00FA3673">
        <w:rPr>
          <w:sz w:val="22"/>
          <w:szCs w:val="22"/>
          <w:lang w:val="en-GB"/>
        </w:rPr>
        <w:t xml:space="preserve"> spectrophotometer (</w:t>
      </w:r>
      <w:proofErr w:type="spellStart"/>
      <w:r w:rsidR="000221D9" w:rsidRPr="00FA3673">
        <w:rPr>
          <w:sz w:val="22"/>
          <w:szCs w:val="22"/>
          <w:lang w:val="en-GB"/>
        </w:rPr>
        <w:t>NanoDrop</w:t>
      </w:r>
      <w:proofErr w:type="spellEnd"/>
      <w:r w:rsidR="000221D9" w:rsidRPr="00FA3673">
        <w:rPr>
          <w:sz w:val="22"/>
          <w:szCs w:val="22"/>
          <w:lang w:val="en-GB"/>
        </w:rPr>
        <w:t xml:space="preserve"> Technologies, Inc. Wilmington, DE, USA), the integrity of RNA purified was checked in a 1.5% agarose gel stained with </w:t>
      </w:r>
      <w:proofErr w:type="spellStart"/>
      <w:r w:rsidR="000221D9" w:rsidRPr="00FA3673">
        <w:rPr>
          <w:sz w:val="22"/>
          <w:szCs w:val="22"/>
          <w:lang w:val="en-GB"/>
        </w:rPr>
        <w:t>ethidium</w:t>
      </w:r>
      <w:proofErr w:type="spellEnd"/>
      <w:r w:rsidR="000221D9" w:rsidRPr="00FA3673">
        <w:rPr>
          <w:sz w:val="22"/>
          <w:szCs w:val="22"/>
          <w:lang w:val="en-GB"/>
        </w:rPr>
        <w:t xml:space="preserve"> bromide.</w:t>
      </w:r>
      <w:r w:rsidR="00052142" w:rsidRPr="00FA3673">
        <w:rPr>
          <w:sz w:val="22"/>
          <w:szCs w:val="22"/>
          <w:lang w:val="en-GB"/>
        </w:rPr>
        <w:t xml:space="preserve"> </w:t>
      </w:r>
      <w:r w:rsidR="00052142" w:rsidRPr="00FA3673">
        <w:rPr>
          <w:sz w:val="22"/>
          <w:szCs w:val="22"/>
          <w:lang w:val="en-US"/>
        </w:rPr>
        <w:t>300-700ng of total RNA was reverse transcribed with Prime-Script RT kit (</w:t>
      </w:r>
      <w:proofErr w:type="spellStart"/>
      <w:r w:rsidR="00052142" w:rsidRPr="00FA3673">
        <w:rPr>
          <w:sz w:val="22"/>
          <w:szCs w:val="22"/>
          <w:lang w:val="en-US"/>
        </w:rPr>
        <w:t>TaKaRa</w:t>
      </w:r>
      <w:proofErr w:type="spellEnd"/>
      <w:r w:rsidR="00052142" w:rsidRPr="00FA3673">
        <w:rPr>
          <w:sz w:val="22"/>
          <w:szCs w:val="22"/>
          <w:lang w:val="en-US"/>
        </w:rPr>
        <w:t xml:space="preserve"> Biotechnology, Japan) following manufacturer’s protocol (the kit includes a mixture of random and </w:t>
      </w:r>
      <w:proofErr w:type="spellStart"/>
      <w:r w:rsidR="00052142" w:rsidRPr="00FA3673">
        <w:rPr>
          <w:sz w:val="22"/>
          <w:szCs w:val="22"/>
          <w:lang w:val="en-US"/>
        </w:rPr>
        <w:t>Oligo</w:t>
      </w:r>
      <w:proofErr w:type="spellEnd"/>
      <w:r w:rsidR="00052142" w:rsidRPr="00FA3673">
        <w:rPr>
          <w:sz w:val="22"/>
          <w:szCs w:val="22"/>
          <w:lang w:val="en-US"/>
        </w:rPr>
        <w:t>(</w:t>
      </w:r>
      <w:proofErr w:type="spellStart"/>
      <w:r w:rsidR="00052142" w:rsidRPr="00FA3673">
        <w:rPr>
          <w:sz w:val="22"/>
          <w:szCs w:val="22"/>
          <w:lang w:val="en-US"/>
        </w:rPr>
        <w:t>dT</w:t>
      </w:r>
      <w:proofErr w:type="spellEnd"/>
      <w:r w:rsidR="00052142" w:rsidRPr="00FA3673">
        <w:rPr>
          <w:sz w:val="22"/>
          <w:szCs w:val="22"/>
          <w:lang w:val="en-US"/>
        </w:rPr>
        <w:t>) primers)</w:t>
      </w:r>
    </w:p>
    <w:p w:rsidR="000221D9" w:rsidRPr="00FA3673" w:rsidRDefault="000221D9" w:rsidP="00FA3673">
      <w:pPr>
        <w:spacing w:line="480" w:lineRule="auto"/>
        <w:jc w:val="both"/>
        <w:rPr>
          <w:sz w:val="22"/>
          <w:szCs w:val="22"/>
          <w:lang w:val="en-GB"/>
        </w:rPr>
      </w:pPr>
    </w:p>
    <w:p w:rsidR="000221D9" w:rsidRPr="00FA3673" w:rsidRDefault="000221D9" w:rsidP="00FA3673">
      <w:pPr>
        <w:spacing w:line="480" w:lineRule="auto"/>
        <w:jc w:val="both"/>
        <w:rPr>
          <w:lang w:val="en-GB"/>
        </w:rPr>
      </w:pPr>
    </w:p>
    <w:p w:rsidR="00E658F9" w:rsidRPr="00FA3673" w:rsidRDefault="00E658F9" w:rsidP="00FA3673">
      <w:pPr>
        <w:spacing w:line="480" w:lineRule="auto"/>
        <w:jc w:val="both"/>
        <w:rPr>
          <w:b/>
          <w:sz w:val="22"/>
          <w:szCs w:val="22"/>
          <w:lang w:val="en-GB"/>
        </w:rPr>
      </w:pPr>
    </w:p>
    <w:p w:rsidR="00E658F9" w:rsidRDefault="00E658F9" w:rsidP="00FA3673">
      <w:pPr>
        <w:spacing w:line="480" w:lineRule="auto"/>
        <w:jc w:val="both"/>
        <w:rPr>
          <w:b/>
          <w:sz w:val="22"/>
          <w:szCs w:val="22"/>
          <w:lang w:val="en-GB"/>
        </w:rPr>
      </w:pPr>
    </w:p>
    <w:p w:rsidR="00FA3673" w:rsidRDefault="00FA3673" w:rsidP="00FA3673">
      <w:pPr>
        <w:spacing w:line="480" w:lineRule="auto"/>
        <w:jc w:val="both"/>
        <w:rPr>
          <w:b/>
          <w:sz w:val="22"/>
          <w:szCs w:val="22"/>
          <w:lang w:val="en-GB"/>
        </w:rPr>
      </w:pPr>
    </w:p>
    <w:p w:rsidR="00FA3673" w:rsidRDefault="00FA3673" w:rsidP="00FA3673">
      <w:pPr>
        <w:spacing w:line="480" w:lineRule="auto"/>
        <w:jc w:val="both"/>
        <w:rPr>
          <w:b/>
          <w:sz w:val="22"/>
          <w:szCs w:val="22"/>
          <w:lang w:val="en-GB"/>
        </w:rPr>
      </w:pPr>
    </w:p>
    <w:p w:rsidR="00FA3673" w:rsidRDefault="00FA3673" w:rsidP="00FA3673">
      <w:pPr>
        <w:spacing w:line="480" w:lineRule="auto"/>
        <w:jc w:val="both"/>
        <w:rPr>
          <w:b/>
          <w:sz w:val="22"/>
          <w:szCs w:val="22"/>
          <w:lang w:val="en-GB"/>
        </w:rPr>
      </w:pPr>
    </w:p>
    <w:p w:rsidR="00FA3673" w:rsidRPr="00FA3673" w:rsidRDefault="00FA3673" w:rsidP="00FA3673">
      <w:pPr>
        <w:spacing w:line="480" w:lineRule="auto"/>
        <w:jc w:val="both"/>
        <w:rPr>
          <w:b/>
          <w:sz w:val="22"/>
          <w:szCs w:val="22"/>
          <w:lang w:val="en-GB"/>
        </w:rPr>
      </w:pPr>
    </w:p>
    <w:p w:rsidR="00F22555" w:rsidRPr="00FA3673" w:rsidRDefault="00F22555" w:rsidP="00FA3673">
      <w:pPr>
        <w:spacing w:line="480" w:lineRule="auto"/>
        <w:jc w:val="both"/>
        <w:rPr>
          <w:b/>
          <w:sz w:val="22"/>
          <w:szCs w:val="22"/>
          <w:lang w:val="en-GB"/>
        </w:rPr>
      </w:pPr>
      <w:r w:rsidRPr="00FA3673">
        <w:rPr>
          <w:b/>
          <w:sz w:val="22"/>
          <w:szCs w:val="22"/>
          <w:lang w:val="en-GB"/>
        </w:rPr>
        <w:lastRenderedPageBreak/>
        <w:t>BREAST</w:t>
      </w:r>
    </w:p>
    <w:p w:rsidR="00052142" w:rsidRPr="00FA3673" w:rsidRDefault="00CA5451" w:rsidP="00FA3673">
      <w:pPr>
        <w:spacing w:line="480" w:lineRule="auto"/>
        <w:jc w:val="both"/>
        <w:rPr>
          <w:sz w:val="22"/>
          <w:szCs w:val="22"/>
          <w:lang w:val="en-US"/>
        </w:rPr>
      </w:pPr>
      <w:r w:rsidRPr="00FA3673">
        <w:rPr>
          <w:rFonts w:eastAsia="Arial"/>
          <w:sz w:val="22"/>
          <w:lang w:val="en-GB"/>
        </w:rPr>
        <w:t xml:space="preserve">A </w:t>
      </w:r>
      <w:r w:rsidRPr="00FA3673">
        <w:rPr>
          <w:rFonts w:eastAsia="Arial"/>
          <w:sz w:val="22"/>
          <w:lang w:val="en-US"/>
        </w:rPr>
        <w:t>normal breast tissue sample from a healthy woman was obtained after cosmetic breast reduction surgery</w:t>
      </w:r>
      <w:r w:rsidRPr="00FA3673">
        <w:rPr>
          <w:sz w:val="22"/>
          <w:szCs w:val="22"/>
          <w:lang w:val="en-GB"/>
        </w:rPr>
        <w:t xml:space="preserve"> (reduction </w:t>
      </w:r>
      <w:proofErr w:type="spellStart"/>
      <w:r w:rsidRPr="00FA3673">
        <w:rPr>
          <w:sz w:val="22"/>
          <w:szCs w:val="22"/>
          <w:lang w:val="en-GB"/>
        </w:rPr>
        <w:t>mammaplasty</w:t>
      </w:r>
      <w:proofErr w:type="spellEnd"/>
      <w:r w:rsidRPr="00FA3673">
        <w:rPr>
          <w:sz w:val="22"/>
          <w:szCs w:val="22"/>
          <w:lang w:val="en-GB"/>
        </w:rPr>
        <w:t>).</w:t>
      </w:r>
      <w:r w:rsidR="000936C4" w:rsidRPr="00FA3673">
        <w:rPr>
          <w:sz w:val="22"/>
          <w:szCs w:val="22"/>
          <w:lang w:val="en-GB"/>
        </w:rPr>
        <w:t xml:space="preserve"> </w:t>
      </w:r>
      <w:r w:rsidRPr="00FA3673">
        <w:rPr>
          <w:sz w:val="22"/>
          <w:szCs w:val="22"/>
          <w:lang w:val="en-US"/>
        </w:rPr>
        <w:t xml:space="preserve">RNA was extracted </w:t>
      </w:r>
      <w:r w:rsidR="000936C4" w:rsidRPr="00FA3673">
        <w:rPr>
          <w:sz w:val="22"/>
          <w:szCs w:val="22"/>
          <w:lang w:val="en-US"/>
        </w:rPr>
        <w:t xml:space="preserve">from an epithelial enriched area (selected by a pathologist) </w:t>
      </w:r>
      <w:r w:rsidRPr="00FA3673">
        <w:rPr>
          <w:sz w:val="22"/>
          <w:szCs w:val="22"/>
          <w:lang w:val="en-US"/>
        </w:rPr>
        <w:t xml:space="preserve">by using </w:t>
      </w:r>
      <w:proofErr w:type="spellStart"/>
      <w:r w:rsidRPr="00FA3673">
        <w:rPr>
          <w:sz w:val="22"/>
          <w:szCs w:val="22"/>
          <w:lang w:val="en-US"/>
        </w:rPr>
        <w:t>TRIzol</w:t>
      </w:r>
      <w:proofErr w:type="spellEnd"/>
      <w:r w:rsidRPr="00FA3673">
        <w:rPr>
          <w:sz w:val="22"/>
          <w:szCs w:val="22"/>
          <w:lang w:val="en-US"/>
        </w:rPr>
        <w:t xml:space="preserve"> reagent (Invitrogen, Paisley, United Kingdom) according to the manufacturer’s protocol. Isolated RNA was further processed on columns from </w:t>
      </w:r>
      <w:proofErr w:type="spellStart"/>
      <w:r w:rsidRPr="00FA3673">
        <w:rPr>
          <w:sz w:val="22"/>
          <w:szCs w:val="22"/>
          <w:lang w:val="en-US"/>
        </w:rPr>
        <w:t>RNeasy</w:t>
      </w:r>
      <w:proofErr w:type="spellEnd"/>
      <w:r w:rsidRPr="00FA3673">
        <w:rPr>
          <w:sz w:val="22"/>
          <w:szCs w:val="22"/>
          <w:lang w:val="en-US"/>
        </w:rPr>
        <w:t xml:space="preserve"> Kit and </w:t>
      </w:r>
      <w:proofErr w:type="spellStart"/>
      <w:r w:rsidRPr="00FA3673">
        <w:rPr>
          <w:sz w:val="22"/>
          <w:szCs w:val="22"/>
          <w:lang w:val="en-US"/>
        </w:rPr>
        <w:t>RNase</w:t>
      </w:r>
      <w:proofErr w:type="spellEnd"/>
      <w:r w:rsidRPr="00FA3673">
        <w:rPr>
          <w:sz w:val="22"/>
          <w:szCs w:val="22"/>
          <w:lang w:val="en-US"/>
        </w:rPr>
        <w:t xml:space="preserve">-Free </w:t>
      </w:r>
      <w:proofErr w:type="spellStart"/>
      <w:r w:rsidRPr="00FA3673">
        <w:rPr>
          <w:sz w:val="22"/>
          <w:szCs w:val="22"/>
          <w:lang w:val="en-US"/>
        </w:rPr>
        <w:t>DNase</w:t>
      </w:r>
      <w:proofErr w:type="spellEnd"/>
      <w:r w:rsidRPr="00FA3673">
        <w:rPr>
          <w:sz w:val="22"/>
          <w:szCs w:val="22"/>
          <w:lang w:val="en-US"/>
        </w:rPr>
        <w:t xml:space="preserve"> set to cleanup RNA and remove any DNA traces, according to the protocols provided by the manufacturer (</w:t>
      </w:r>
      <w:proofErr w:type="spellStart"/>
      <w:r w:rsidRPr="00FA3673">
        <w:rPr>
          <w:sz w:val="22"/>
          <w:szCs w:val="22"/>
          <w:lang w:val="en-US"/>
        </w:rPr>
        <w:t>Qiagen</w:t>
      </w:r>
      <w:proofErr w:type="spellEnd"/>
      <w:r w:rsidRPr="00FA3673">
        <w:rPr>
          <w:sz w:val="22"/>
          <w:szCs w:val="22"/>
          <w:lang w:val="en-US"/>
        </w:rPr>
        <w:t xml:space="preserve"> Sciences, Maryland, USA). </w:t>
      </w:r>
      <w:r w:rsidR="00052142" w:rsidRPr="00FA3673">
        <w:rPr>
          <w:sz w:val="22"/>
          <w:szCs w:val="22"/>
          <w:lang w:val="en-US"/>
        </w:rPr>
        <w:t>800ng of total RNA was reverse transcribed with Prime-Script RT kit (</w:t>
      </w:r>
      <w:proofErr w:type="spellStart"/>
      <w:r w:rsidR="00052142" w:rsidRPr="00FA3673">
        <w:rPr>
          <w:sz w:val="22"/>
          <w:szCs w:val="22"/>
          <w:lang w:val="en-US"/>
        </w:rPr>
        <w:t>TaKaRa</w:t>
      </w:r>
      <w:proofErr w:type="spellEnd"/>
      <w:r w:rsidR="00052142" w:rsidRPr="00FA3673">
        <w:rPr>
          <w:sz w:val="22"/>
          <w:szCs w:val="22"/>
          <w:lang w:val="en-US"/>
        </w:rPr>
        <w:t xml:space="preserve"> Biotechnology, Japan) following manufacturer’s protocol (the kit includes a mixture of random and </w:t>
      </w:r>
      <w:proofErr w:type="spellStart"/>
      <w:r w:rsidR="00052142" w:rsidRPr="00FA3673">
        <w:rPr>
          <w:sz w:val="22"/>
          <w:szCs w:val="22"/>
          <w:lang w:val="en-US"/>
        </w:rPr>
        <w:t>Oligo</w:t>
      </w:r>
      <w:proofErr w:type="spellEnd"/>
      <w:r w:rsidR="00052142" w:rsidRPr="00FA3673">
        <w:rPr>
          <w:sz w:val="22"/>
          <w:szCs w:val="22"/>
          <w:lang w:val="en-US"/>
        </w:rPr>
        <w:t>(</w:t>
      </w:r>
      <w:proofErr w:type="spellStart"/>
      <w:r w:rsidR="00052142" w:rsidRPr="00FA3673">
        <w:rPr>
          <w:sz w:val="22"/>
          <w:szCs w:val="22"/>
          <w:lang w:val="en-US"/>
        </w:rPr>
        <w:t>dT</w:t>
      </w:r>
      <w:proofErr w:type="spellEnd"/>
      <w:r w:rsidR="00052142" w:rsidRPr="00FA3673">
        <w:rPr>
          <w:sz w:val="22"/>
          <w:szCs w:val="22"/>
          <w:lang w:val="en-US"/>
        </w:rPr>
        <w:t>) primers)</w:t>
      </w:r>
    </w:p>
    <w:p w:rsidR="006C7F1D" w:rsidRPr="00FA3673" w:rsidRDefault="006C7F1D" w:rsidP="00FA3673">
      <w:pPr>
        <w:spacing w:line="480" w:lineRule="auto"/>
        <w:jc w:val="both"/>
        <w:rPr>
          <w:sz w:val="22"/>
          <w:szCs w:val="22"/>
          <w:lang w:val="en-US"/>
        </w:rPr>
      </w:pPr>
    </w:p>
    <w:p w:rsidR="006C7F1D" w:rsidRPr="00FA3673" w:rsidRDefault="006C7F1D" w:rsidP="00FA3673">
      <w:pPr>
        <w:spacing w:line="480" w:lineRule="auto"/>
        <w:jc w:val="both"/>
        <w:rPr>
          <w:sz w:val="22"/>
          <w:szCs w:val="22"/>
          <w:lang w:val="en-GB"/>
        </w:rPr>
      </w:pPr>
    </w:p>
    <w:p w:rsidR="00E55EBE" w:rsidRPr="00FA3673" w:rsidRDefault="007D4573" w:rsidP="00FA3673">
      <w:pPr>
        <w:spacing w:line="480" w:lineRule="auto"/>
        <w:jc w:val="both"/>
        <w:rPr>
          <w:b/>
          <w:sz w:val="22"/>
          <w:szCs w:val="22"/>
          <w:lang w:val="en-GB"/>
        </w:rPr>
      </w:pPr>
      <w:r w:rsidRPr="00FA3673">
        <w:rPr>
          <w:b/>
          <w:sz w:val="22"/>
          <w:szCs w:val="22"/>
          <w:lang w:val="en-GB"/>
        </w:rPr>
        <w:t xml:space="preserve">BRCA1-IRIS detection assay. </w:t>
      </w:r>
    </w:p>
    <w:p w:rsidR="00CE2DE0" w:rsidRPr="00FA3673" w:rsidRDefault="00CE2DE0" w:rsidP="00FA3673">
      <w:pPr>
        <w:spacing w:line="480" w:lineRule="auto"/>
        <w:jc w:val="both"/>
        <w:rPr>
          <w:sz w:val="22"/>
          <w:szCs w:val="22"/>
          <w:lang w:val="en-US"/>
        </w:rPr>
      </w:pPr>
      <w:r w:rsidRPr="00FA3673">
        <w:rPr>
          <w:bCs/>
          <w:sz w:val="22"/>
          <w:szCs w:val="22"/>
          <w:lang w:val="en-US"/>
        </w:rPr>
        <w:t>We performed RT-PCR assays</w:t>
      </w:r>
      <w:r w:rsidR="00BD5D3F" w:rsidRPr="00FA3673">
        <w:rPr>
          <w:bCs/>
          <w:sz w:val="22"/>
          <w:szCs w:val="22"/>
          <w:lang w:val="en-US"/>
        </w:rPr>
        <w:t xml:space="preserve"> using </w:t>
      </w:r>
      <w:r w:rsidRPr="00FA3673">
        <w:rPr>
          <w:bCs/>
          <w:sz w:val="22"/>
          <w:szCs w:val="22"/>
          <w:lang w:val="en-US"/>
        </w:rPr>
        <w:t>3 PCR primers</w:t>
      </w:r>
      <w:r w:rsidR="00BD5D3F" w:rsidRPr="00FA3673">
        <w:rPr>
          <w:bCs/>
          <w:sz w:val="22"/>
          <w:szCs w:val="22"/>
          <w:lang w:val="en-US"/>
        </w:rPr>
        <w:t xml:space="preserve"> in a single tube as follows</w:t>
      </w:r>
      <w:r w:rsidRPr="00FA3673">
        <w:rPr>
          <w:bCs/>
          <w:sz w:val="22"/>
          <w:szCs w:val="22"/>
          <w:lang w:val="en-US"/>
        </w:rPr>
        <w:t>: one forward primer at the end of BRCA1 exon 11 (</w:t>
      </w:r>
      <w:r w:rsidR="001E462E" w:rsidRPr="00FA3673">
        <w:rPr>
          <w:sz w:val="22"/>
          <w:szCs w:val="22"/>
          <w:lang w:val="en-US"/>
        </w:rPr>
        <w:t>5’-GACTGCAAATACAAACACCCA-3’</w:t>
      </w:r>
      <w:r w:rsidRPr="00FA3673">
        <w:rPr>
          <w:sz w:val="22"/>
          <w:szCs w:val="22"/>
          <w:lang w:val="en-US"/>
        </w:rPr>
        <w:t xml:space="preserve">), and two reverse primers located at intron 11 IRIS specific region (3’- GTGAAGCAGCATCTGGGTG-5’), and exon 12 (3’-CTGGTGGACTTACTTCTGGTTTC-5’). </w:t>
      </w:r>
      <w:r w:rsidR="005731AB" w:rsidRPr="00FA3673">
        <w:rPr>
          <w:sz w:val="22"/>
          <w:szCs w:val="22"/>
          <w:lang w:val="en-US"/>
        </w:rPr>
        <w:t>The exon 12 primers allow</w:t>
      </w:r>
      <w:r w:rsidR="00BD5D3F" w:rsidRPr="00FA3673">
        <w:rPr>
          <w:sz w:val="22"/>
          <w:szCs w:val="22"/>
          <w:lang w:val="en-US"/>
        </w:rPr>
        <w:t xml:space="preserve"> </w:t>
      </w:r>
      <w:r w:rsidR="005731AB" w:rsidRPr="00FA3673">
        <w:rPr>
          <w:sz w:val="22"/>
          <w:szCs w:val="22"/>
          <w:lang w:val="en-US"/>
        </w:rPr>
        <w:t>amplifying</w:t>
      </w:r>
      <w:r w:rsidR="00BD5D3F" w:rsidRPr="00FA3673">
        <w:rPr>
          <w:sz w:val="22"/>
          <w:szCs w:val="22"/>
          <w:lang w:val="en-US"/>
        </w:rPr>
        <w:t xml:space="preserve"> the full-length reference transcript as well as </w:t>
      </w:r>
      <w:proofErr w:type="spellStart"/>
      <w:r w:rsidR="00BD5D3F" w:rsidRPr="00FA3673">
        <w:rPr>
          <w:sz w:val="22"/>
          <w:szCs w:val="22"/>
          <w:lang w:val="en-US"/>
        </w:rPr>
        <w:t>gDNA</w:t>
      </w:r>
      <w:proofErr w:type="spellEnd"/>
      <w:r w:rsidR="00BD5D3F" w:rsidRPr="00FA3673">
        <w:rPr>
          <w:sz w:val="22"/>
          <w:szCs w:val="22"/>
          <w:lang w:val="en-US"/>
        </w:rPr>
        <w:t xml:space="preserve"> contamination (if any). Lack of genomic contami</w:t>
      </w:r>
      <w:r w:rsidR="00EE67D6" w:rsidRPr="00FA3673">
        <w:rPr>
          <w:sz w:val="22"/>
          <w:szCs w:val="22"/>
          <w:lang w:val="en-US"/>
        </w:rPr>
        <w:t xml:space="preserve">nations was </w:t>
      </w:r>
      <w:r w:rsidR="005731AB" w:rsidRPr="00FA3673">
        <w:rPr>
          <w:sz w:val="22"/>
          <w:szCs w:val="22"/>
          <w:lang w:val="en-US"/>
        </w:rPr>
        <w:t>considered as a proof</w:t>
      </w:r>
      <w:r w:rsidR="00EE67D6" w:rsidRPr="00FA3673">
        <w:rPr>
          <w:sz w:val="22"/>
          <w:szCs w:val="22"/>
          <w:lang w:val="en-US"/>
        </w:rPr>
        <w:t xml:space="preserve"> that the intron 11 primer was</w:t>
      </w:r>
      <w:r w:rsidR="00BD5D3F" w:rsidRPr="00FA3673">
        <w:rPr>
          <w:sz w:val="22"/>
          <w:szCs w:val="22"/>
          <w:lang w:val="en-US"/>
        </w:rPr>
        <w:t xml:space="preserve"> </w:t>
      </w:r>
      <w:r w:rsidR="00EE67D6" w:rsidRPr="00FA3673">
        <w:rPr>
          <w:sz w:val="22"/>
          <w:szCs w:val="22"/>
          <w:lang w:val="en-US"/>
        </w:rPr>
        <w:t xml:space="preserve">detecting BRCA1-IRIS expression, with expected PCR products </w:t>
      </w:r>
      <w:r w:rsidR="009C265F" w:rsidRPr="00FA3673">
        <w:rPr>
          <w:sz w:val="22"/>
          <w:szCs w:val="22"/>
          <w:lang w:val="en-US"/>
        </w:rPr>
        <w:t xml:space="preserve">of 198bp (full-length), 421bp (IRIS isoform), and 600bp (genomic contamination). </w:t>
      </w:r>
      <w:r w:rsidR="00BD5D3F" w:rsidRPr="00FA3673">
        <w:rPr>
          <w:sz w:val="22"/>
          <w:szCs w:val="22"/>
          <w:lang w:val="en-US"/>
        </w:rPr>
        <w:t xml:space="preserve">We performed 30-cycle PCRs  </w:t>
      </w:r>
      <w:r w:rsidR="00FB0948" w:rsidRPr="00FA3673">
        <w:rPr>
          <w:sz w:val="22"/>
          <w:szCs w:val="22"/>
          <w:lang w:val="en-US"/>
        </w:rPr>
        <w:t xml:space="preserve">with extended elongation times (1 minute) to favor amplification of genomic contamination (if any).  </w:t>
      </w:r>
    </w:p>
    <w:p w:rsidR="001E462E" w:rsidRPr="001E462E" w:rsidRDefault="001E462E" w:rsidP="001E462E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E658F9" w:rsidRDefault="001E462E" w:rsidP="00B655F2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E462E">
        <w:rPr>
          <w:rFonts w:ascii="Arial" w:hAnsi="Arial" w:cs="Arial"/>
          <w:sz w:val="22"/>
          <w:szCs w:val="22"/>
          <w:lang w:val="en-US"/>
        </w:rPr>
        <w:t> </w:t>
      </w:r>
      <w:r w:rsidR="00F91272">
        <w:rPr>
          <w:rFonts w:ascii="Arial" w:hAnsi="Arial" w:cs="Arial"/>
          <w:sz w:val="22"/>
          <w:szCs w:val="22"/>
          <w:lang w:val="en-US"/>
        </w:rPr>
        <w:t xml:space="preserve">    </w:t>
      </w:r>
    </w:p>
    <w:p w:rsidR="00E658F9" w:rsidRDefault="00E658F9" w:rsidP="00B655F2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E658F9" w:rsidRDefault="00E658F9" w:rsidP="00B655F2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FA3673" w:rsidRDefault="00FA3673" w:rsidP="00B655F2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E658F9" w:rsidRDefault="00E658F9" w:rsidP="00B655F2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B655F2" w:rsidRPr="00FA3673" w:rsidRDefault="00F91272" w:rsidP="00B655F2">
      <w:pPr>
        <w:spacing w:line="480" w:lineRule="auto"/>
        <w:jc w:val="both"/>
        <w:rPr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 xml:space="preserve"> </w:t>
      </w:r>
      <w:r w:rsidR="00E658F9" w:rsidRPr="00FA3673">
        <w:rPr>
          <w:b/>
          <w:sz w:val="22"/>
          <w:szCs w:val="22"/>
          <w:lang w:val="en-GB"/>
        </w:rPr>
        <w:t xml:space="preserve">Primers used in Stage 2(and 3) exon scanning. </w:t>
      </w:r>
    </w:p>
    <w:tbl>
      <w:tblPr>
        <w:tblStyle w:val="TableGrid"/>
        <w:tblpPr w:leftFromText="141" w:rightFromText="141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750"/>
        <w:gridCol w:w="903"/>
        <w:gridCol w:w="3250"/>
        <w:gridCol w:w="903"/>
        <w:gridCol w:w="3416"/>
      </w:tblGrid>
      <w:tr w:rsidR="00B72249" w:rsidTr="00B72249">
        <w:tc>
          <w:tcPr>
            <w:tcW w:w="649" w:type="dxa"/>
          </w:tcPr>
          <w:p w:rsidR="00B72249" w:rsidRPr="00FA3673" w:rsidRDefault="00B72249" w:rsidP="00B72249">
            <w:pPr>
              <w:spacing w:line="480" w:lineRule="auto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854" w:type="dxa"/>
            <w:gridSpan w:val="2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b/>
                <w:lang w:val="en-GB"/>
              </w:rPr>
            </w:pPr>
            <w:r w:rsidRPr="00FA3673">
              <w:rPr>
                <w:b/>
                <w:lang w:val="en-GB"/>
              </w:rPr>
              <w:t>Forward primers</w:t>
            </w:r>
          </w:p>
        </w:tc>
        <w:tc>
          <w:tcPr>
            <w:tcW w:w="3827" w:type="dxa"/>
            <w:gridSpan w:val="2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b/>
                <w:lang w:val="en-GB"/>
              </w:rPr>
            </w:pPr>
            <w:r w:rsidRPr="00FA3673">
              <w:rPr>
                <w:b/>
                <w:lang w:val="en-GB"/>
              </w:rPr>
              <w:t>Reverse primers (FAM-labelled)</w:t>
            </w:r>
          </w:p>
        </w:tc>
      </w:tr>
      <w:tr w:rsidR="00B72249" w:rsidTr="00B72249">
        <w:tc>
          <w:tcPr>
            <w:tcW w:w="649" w:type="dxa"/>
          </w:tcPr>
          <w:p w:rsidR="00B72249" w:rsidRPr="00FA3673" w:rsidRDefault="00B72249" w:rsidP="00B72249">
            <w:pPr>
              <w:spacing w:line="480" w:lineRule="auto"/>
              <w:jc w:val="both"/>
              <w:rPr>
                <w:b/>
                <w:lang w:val="en-GB"/>
              </w:rPr>
            </w:pPr>
            <w:r w:rsidRPr="00FA3673">
              <w:rPr>
                <w:b/>
                <w:lang w:val="en-GB"/>
              </w:rPr>
              <w:t>Exon</w:t>
            </w:r>
          </w:p>
        </w:tc>
        <w:tc>
          <w:tcPr>
            <w:tcW w:w="877" w:type="dxa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b/>
                <w:lang w:val="en-GB"/>
              </w:rPr>
            </w:pPr>
            <w:proofErr w:type="spellStart"/>
            <w:r w:rsidRPr="00FA3673">
              <w:rPr>
                <w:b/>
                <w:lang w:val="en-GB"/>
              </w:rPr>
              <w:t>c.DNA</w:t>
            </w:r>
            <w:proofErr w:type="spellEnd"/>
          </w:p>
        </w:tc>
        <w:tc>
          <w:tcPr>
            <w:tcW w:w="2977" w:type="dxa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b/>
                <w:lang w:val="en-GB"/>
              </w:rPr>
            </w:pPr>
            <w:r w:rsidRPr="00FA3673">
              <w:rPr>
                <w:b/>
                <w:lang w:val="en-GB"/>
              </w:rPr>
              <w:t>Sequence</w:t>
            </w:r>
          </w:p>
        </w:tc>
        <w:tc>
          <w:tcPr>
            <w:tcW w:w="850" w:type="dxa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b/>
                <w:lang w:val="en-GB"/>
              </w:rPr>
            </w:pPr>
            <w:proofErr w:type="spellStart"/>
            <w:r w:rsidRPr="00FA3673">
              <w:rPr>
                <w:b/>
                <w:lang w:val="en-GB"/>
              </w:rPr>
              <w:t>c.DNA</w:t>
            </w:r>
            <w:proofErr w:type="spellEnd"/>
          </w:p>
        </w:tc>
        <w:tc>
          <w:tcPr>
            <w:tcW w:w="2977" w:type="dxa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b/>
                <w:lang w:val="en-GB"/>
              </w:rPr>
            </w:pPr>
            <w:r w:rsidRPr="00FA3673">
              <w:rPr>
                <w:b/>
                <w:lang w:val="en-GB"/>
              </w:rPr>
              <w:t>Sequence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(1B)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A3673">
              <w:rPr>
                <w:sz w:val="20"/>
                <w:szCs w:val="20"/>
              </w:rPr>
              <w:t>TCCGTGGCAACAGTAAAGC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A3673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A3673">
              <w:rPr>
                <w:sz w:val="20"/>
                <w:szCs w:val="20"/>
              </w:rPr>
              <w:t>-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1A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c.-92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GACAGGCTGTGGGGTTTCT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-</w:t>
            </w:r>
          </w:p>
        </w:tc>
      </w:tr>
      <w:tr w:rsidR="00B72249" w:rsidTr="00B72249">
        <w:trPr>
          <w:trHeight w:val="173"/>
        </w:trPr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c.92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TCAAGGAACCTCTCTCCACA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c.113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TTTGTGGAGACAGGTTCCTTGA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A36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A3673">
              <w:rPr>
                <w:sz w:val="20"/>
                <w:szCs w:val="20"/>
              </w:rPr>
              <w:t>c.299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A3673">
              <w:rPr>
                <w:sz w:val="20"/>
                <w:szCs w:val="20"/>
              </w:rPr>
              <w:t>TCCAAACCTGTGTCAAGCTG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c.372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A3673">
              <w:rPr>
                <w:sz w:val="20"/>
                <w:szCs w:val="20"/>
              </w:rPr>
              <w:t>CATCCAAAGTATGGGCTACAG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A3673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A3673">
              <w:rPr>
                <w:sz w:val="20"/>
                <w:szCs w:val="20"/>
              </w:rPr>
              <w:t>-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c.459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TGTCCAACTCTCTAACCTTG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c.518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GGTTGTATCCGCTGCTTTGT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c.635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CCAGGGATGAAATCAGTTTGGA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-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11q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c.819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TGGCTCCACATGCAAGTTTG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c.4130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GCGTCTCTGAAGACTGCTCA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c.4164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CTGAGAGGATAGCCCTGA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13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c.4262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ATGGGAGCCAGCCTTCTAAC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c.4295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ATGGAAGGGTAGCTGTTAGAAGG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14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c.4438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TCTGCAGATAGTTCTACCAG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c.4417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AAAGGCCTTCTGGATTCTGG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16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c.4943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AAAGAATGTCCATGGTGGTG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c.4898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CTCACACTTTCTTCCATTGC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20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c.5230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AGAAACCACCAAGGTCCAAAG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-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c.5360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CACAGCTGTACCATCCATTC</w:t>
            </w:r>
          </w:p>
        </w:tc>
      </w:tr>
      <w:tr w:rsidR="00B72249" w:rsidTr="00B72249">
        <w:tc>
          <w:tcPr>
            <w:tcW w:w="649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8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850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c.5498</w:t>
            </w:r>
          </w:p>
        </w:tc>
        <w:tc>
          <w:tcPr>
            <w:tcW w:w="2977" w:type="dxa"/>
            <w:vAlign w:val="center"/>
          </w:tcPr>
          <w:p w:rsidR="00B72249" w:rsidRPr="00FA3673" w:rsidRDefault="00B72249" w:rsidP="00B72249">
            <w:pPr>
              <w:spacing w:line="480" w:lineRule="auto"/>
              <w:jc w:val="center"/>
              <w:rPr>
                <w:sz w:val="20"/>
                <w:szCs w:val="20"/>
                <w:lang w:val="en-GB"/>
              </w:rPr>
            </w:pPr>
            <w:r w:rsidRPr="00FA3673">
              <w:rPr>
                <w:sz w:val="20"/>
                <w:szCs w:val="20"/>
                <w:lang w:val="en-GB"/>
              </w:rPr>
              <w:t>ACCACAGGTGCCTCACACAT</w:t>
            </w:r>
          </w:p>
        </w:tc>
      </w:tr>
    </w:tbl>
    <w:p w:rsidR="001E462E" w:rsidRPr="001E462E" w:rsidRDefault="001E462E" w:rsidP="001E462E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1E462E" w:rsidRPr="001E462E" w:rsidRDefault="001E462E" w:rsidP="006C7F1D">
      <w:pPr>
        <w:spacing w:line="48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E55EBE" w:rsidRDefault="00E55EBE" w:rsidP="006C7F1D">
      <w:pPr>
        <w:spacing w:line="480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844B37" w:rsidRDefault="00844B37" w:rsidP="006C7F1D">
      <w:pPr>
        <w:spacing w:line="480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377019" w:rsidRDefault="00377019" w:rsidP="006C7F1D">
      <w:pPr>
        <w:spacing w:line="480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844B37" w:rsidRDefault="00844B37" w:rsidP="006C7F1D">
      <w:pPr>
        <w:spacing w:line="480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9E5F5F" w:rsidRPr="009E5F5F" w:rsidRDefault="009E5F5F" w:rsidP="00E55EBE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</w:p>
    <w:sectPr w:rsidR="009E5F5F" w:rsidRPr="009E5F5F" w:rsidSect="00844B37">
      <w:footerReference w:type="default" r:id="rId7"/>
      <w:pgSz w:w="11906" w:h="16838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9CF" w:rsidRDefault="00DB59CF" w:rsidP="005B0F8F">
      <w:r>
        <w:separator/>
      </w:r>
    </w:p>
  </w:endnote>
  <w:endnote w:type="continuationSeparator" w:id="0">
    <w:p w:rsidR="00DB59CF" w:rsidRDefault="00DB59CF" w:rsidP="005B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0158"/>
      <w:docPartObj>
        <w:docPartGallery w:val="Page Numbers (Bottom of Page)"/>
        <w:docPartUnique/>
      </w:docPartObj>
    </w:sdtPr>
    <w:sdtEndPr/>
    <w:sdtContent>
      <w:p w:rsidR="005B0F8F" w:rsidRDefault="00A66D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0F8F" w:rsidRDefault="005B0F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9CF" w:rsidRDefault="00DB59CF" w:rsidP="005B0F8F">
      <w:r>
        <w:separator/>
      </w:r>
    </w:p>
  </w:footnote>
  <w:footnote w:type="continuationSeparator" w:id="0">
    <w:p w:rsidR="00DB59CF" w:rsidRDefault="00DB59CF" w:rsidP="005B0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1D"/>
    <w:rsid w:val="000221D9"/>
    <w:rsid w:val="000252FC"/>
    <w:rsid w:val="00052142"/>
    <w:rsid w:val="00086B7E"/>
    <w:rsid w:val="000922CB"/>
    <w:rsid w:val="000936C4"/>
    <w:rsid w:val="000C689B"/>
    <w:rsid w:val="000E19E3"/>
    <w:rsid w:val="000E47A4"/>
    <w:rsid w:val="001538B8"/>
    <w:rsid w:val="001D2EC4"/>
    <w:rsid w:val="001D58B2"/>
    <w:rsid w:val="001E462E"/>
    <w:rsid w:val="002002D1"/>
    <w:rsid w:val="002265A2"/>
    <w:rsid w:val="002940AE"/>
    <w:rsid w:val="00295E53"/>
    <w:rsid w:val="002F2A49"/>
    <w:rsid w:val="003015DB"/>
    <w:rsid w:val="00377019"/>
    <w:rsid w:val="0039545D"/>
    <w:rsid w:val="003C3FB1"/>
    <w:rsid w:val="003E7A87"/>
    <w:rsid w:val="003F350C"/>
    <w:rsid w:val="00442D86"/>
    <w:rsid w:val="004B35C7"/>
    <w:rsid w:val="004C265C"/>
    <w:rsid w:val="004D6147"/>
    <w:rsid w:val="004E48A1"/>
    <w:rsid w:val="004F7E8C"/>
    <w:rsid w:val="005139C3"/>
    <w:rsid w:val="005170EE"/>
    <w:rsid w:val="005731AB"/>
    <w:rsid w:val="00595EC7"/>
    <w:rsid w:val="005B0F8F"/>
    <w:rsid w:val="005E6681"/>
    <w:rsid w:val="0064499D"/>
    <w:rsid w:val="006C7F1D"/>
    <w:rsid w:val="006F031A"/>
    <w:rsid w:val="00734761"/>
    <w:rsid w:val="007A7EC4"/>
    <w:rsid w:val="007C193E"/>
    <w:rsid w:val="007D4573"/>
    <w:rsid w:val="00823B98"/>
    <w:rsid w:val="00844B37"/>
    <w:rsid w:val="0084749B"/>
    <w:rsid w:val="008B79E3"/>
    <w:rsid w:val="008C0A29"/>
    <w:rsid w:val="008C5650"/>
    <w:rsid w:val="008F555E"/>
    <w:rsid w:val="008F5728"/>
    <w:rsid w:val="00935C63"/>
    <w:rsid w:val="009401E9"/>
    <w:rsid w:val="009C265F"/>
    <w:rsid w:val="009E5F5F"/>
    <w:rsid w:val="009F4709"/>
    <w:rsid w:val="00A27283"/>
    <w:rsid w:val="00A45F57"/>
    <w:rsid w:val="00A66DE5"/>
    <w:rsid w:val="00AD09FD"/>
    <w:rsid w:val="00AF1DAC"/>
    <w:rsid w:val="00B20F9A"/>
    <w:rsid w:val="00B655F2"/>
    <w:rsid w:val="00B72249"/>
    <w:rsid w:val="00BD0786"/>
    <w:rsid w:val="00BD5D3F"/>
    <w:rsid w:val="00C03DD9"/>
    <w:rsid w:val="00C2250B"/>
    <w:rsid w:val="00CA5451"/>
    <w:rsid w:val="00CE2DE0"/>
    <w:rsid w:val="00CF181A"/>
    <w:rsid w:val="00D048DA"/>
    <w:rsid w:val="00D07506"/>
    <w:rsid w:val="00D56F20"/>
    <w:rsid w:val="00D6591B"/>
    <w:rsid w:val="00DB049B"/>
    <w:rsid w:val="00DB59CF"/>
    <w:rsid w:val="00DC6F98"/>
    <w:rsid w:val="00DD3DF8"/>
    <w:rsid w:val="00DD6455"/>
    <w:rsid w:val="00E50887"/>
    <w:rsid w:val="00E55EBE"/>
    <w:rsid w:val="00E658F9"/>
    <w:rsid w:val="00ED3EF3"/>
    <w:rsid w:val="00EE67D6"/>
    <w:rsid w:val="00F22555"/>
    <w:rsid w:val="00F26ADE"/>
    <w:rsid w:val="00F91020"/>
    <w:rsid w:val="00F91272"/>
    <w:rsid w:val="00FA3673"/>
    <w:rsid w:val="00FB0948"/>
    <w:rsid w:val="00FD316F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3">
    <w:name w:val="heading 3"/>
    <w:basedOn w:val="Normal"/>
    <w:next w:val="Normal"/>
    <w:link w:val="Heading3Char"/>
    <w:qFormat/>
    <w:rsid w:val="006C7F1D"/>
    <w:pPr>
      <w:keepNext/>
      <w:jc w:val="both"/>
      <w:outlineLvl w:val="2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7F1D"/>
    <w:rPr>
      <w:rFonts w:ascii="Times New Roman" w:eastAsia="Times New Roman" w:hAnsi="Times New Roman" w:cs="Times New Roman"/>
      <w:b/>
      <w:bCs/>
      <w:sz w:val="24"/>
      <w:szCs w:val="24"/>
      <w:lang w:val="en-GB" w:eastAsia="es-ES"/>
    </w:rPr>
  </w:style>
  <w:style w:type="paragraph" w:styleId="BodyText">
    <w:name w:val="Body Text"/>
    <w:basedOn w:val="Normal"/>
    <w:link w:val="BodyTextChar"/>
    <w:semiHidden/>
    <w:rsid w:val="006C7F1D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6C7F1D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Hyperlink">
    <w:name w:val="Hyperlink"/>
    <w:basedOn w:val="DefaultParagraphFont"/>
    <w:uiPriority w:val="99"/>
    <w:unhideWhenUsed/>
    <w:rsid w:val="006C7F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98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Normal1">
    <w:name w:val="Normal1"/>
    <w:uiPriority w:val="99"/>
    <w:rsid w:val="00AD09F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table" w:styleId="TableGrid">
    <w:name w:val="Table Grid"/>
    <w:basedOn w:val="TableNormal"/>
    <w:uiPriority w:val="59"/>
    <w:rsid w:val="00B65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B0F8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0F8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5B0F8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F8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3">
    <w:name w:val="heading 3"/>
    <w:basedOn w:val="Normal"/>
    <w:next w:val="Normal"/>
    <w:link w:val="Heading3Char"/>
    <w:qFormat/>
    <w:rsid w:val="006C7F1D"/>
    <w:pPr>
      <w:keepNext/>
      <w:jc w:val="both"/>
      <w:outlineLvl w:val="2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7F1D"/>
    <w:rPr>
      <w:rFonts w:ascii="Times New Roman" w:eastAsia="Times New Roman" w:hAnsi="Times New Roman" w:cs="Times New Roman"/>
      <w:b/>
      <w:bCs/>
      <w:sz w:val="24"/>
      <w:szCs w:val="24"/>
      <w:lang w:val="en-GB" w:eastAsia="es-ES"/>
    </w:rPr>
  </w:style>
  <w:style w:type="paragraph" w:styleId="BodyText">
    <w:name w:val="Body Text"/>
    <w:basedOn w:val="Normal"/>
    <w:link w:val="BodyTextChar"/>
    <w:semiHidden/>
    <w:rsid w:val="006C7F1D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6C7F1D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Hyperlink">
    <w:name w:val="Hyperlink"/>
    <w:basedOn w:val="DefaultParagraphFont"/>
    <w:uiPriority w:val="99"/>
    <w:unhideWhenUsed/>
    <w:rsid w:val="006C7F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98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Normal1">
    <w:name w:val="Normal1"/>
    <w:uiPriority w:val="99"/>
    <w:rsid w:val="00AD09F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table" w:styleId="TableGrid">
    <w:name w:val="Table Grid"/>
    <w:basedOn w:val="TableNormal"/>
    <w:uiPriority w:val="59"/>
    <w:rsid w:val="00B65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B0F8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0F8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5B0F8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F8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1166</Words>
  <Characters>6651</Characters>
  <Application>Microsoft Office Word</Application>
  <DocSecurity>4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de Montfalcon</cp:lastModifiedBy>
  <cp:revision>2</cp:revision>
  <dcterms:created xsi:type="dcterms:W3CDTF">2014-07-17T11:23:00Z</dcterms:created>
  <dcterms:modified xsi:type="dcterms:W3CDTF">2014-07-17T11:23:00Z</dcterms:modified>
</cp:coreProperties>
</file>