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D3" w:rsidRPr="00FD14F9" w:rsidRDefault="00FD14F9" w:rsidP="007D1917">
      <w:pPr>
        <w:spacing w:line="480" w:lineRule="auto"/>
        <w:rPr>
          <w:b/>
        </w:rPr>
      </w:pPr>
      <w:bookmarkStart w:id="0" w:name="_GoBack"/>
      <w:bookmarkEnd w:id="0"/>
      <w:r w:rsidRPr="00FD14F9">
        <w:rPr>
          <w:rFonts w:eastAsia="SimSun"/>
          <w:b/>
          <w:lang w:eastAsia="zh-CN"/>
        </w:rPr>
        <w:t>Patients’ v</w:t>
      </w:r>
      <w:r w:rsidR="008E6658" w:rsidRPr="00FD14F9">
        <w:rPr>
          <w:rFonts w:eastAsia="SimSun"/>
          <w:b/>
          <w:lang w:eastAsia="zh-CN"/>
        </w:rPr>
        <w:t>alu</w:t>
      </w:r>
      <w:r w:rsidRPr="00FD14F9">
        <w:rPr>
          <w:rFonts w:eastAsia="SimSun"/>
          <w:b/>
          <w:lang w:eastAsia="zh-CN"/>
        </w:rPr>
        <w:t>ation of</w:t>
      </w:r>
      <w:r w:rsidR="008E6658" w:rsidRPr="00FD14F9">
        <w:rPr>
          <w:rFonts w:eastAsia="SimSun"/>
          <w:b/>
          <w:lang w:eastAsia="zh-CN"/>
        </w:rPr>
        <w:t xml:space="preserve"> the prescribing nurse in primary care: A discrete choice experiment</w:t>
      </w:r>
    </w:p>
    <w:p w:rsidR="00410548" w:rsidRPr="00410548" w:rsidRDefault="00410548" w:rsidP="00410548">
      <w:pPr>
        <w:spacing w:line="480" w:lineRule="auto"/>
        <w:rPr>
          <w:sz w:val="22"/>
          <w:szCs w:val="22"/>
        </w:rPr>
      </w:pPr>
      <w:r w:rsidRPr="00410548">
        <w:rPr>
          <w:sz w:val="22"/>
          <w:szCs w:val="22"/>
        </w:rPr>
        <w:t>Karen Gerard, Michela Tinelli, Sue Latter, Alesha Smith, Alison Blenkinsopp</w:t>
      </w:r>
    </w:p>
    <w:p w:rsidR="00410548" w:rsidRPr="00410548" w:rsidRDefault="00410548" w:rsidP="00410548">
      <w:pPr>
        <w:spacing w:line="480" w:lineRule="auto"/>
        <w:rPr>
          <w:sz w:val="22"/>
          <w:szCs w:val="22"/>
        </w:rPr>
      </w:pPr>
    </w:p>
    <w:p w:rsidR="00410548" w:rsidRPr="003F4BF6" w:rsidRDefault="00410548" w:rsidP="00410548">
      <w:pPr>
        <w:spacing w:line="480" w:lineRule="auto"/>
        <w:rPr>
          <w:b/>
          <w:sz w:val="22"/>
          <w:szCs w:val="22"/>
        </w:rPr>
      </w:pPr>
      <w:r w:rsidRPr="003F4BF6">
        <w:rPr>
          <w:b/>
          <w:sz w:val="22"/>
          <w:szCs w:val="22"/>
        </w:rPr>
        <w:t xml:space="preserve">Authors, academic degrees and affiliations: </w:t>
      </w:r>
    </w:p>
    <w:p w:rsidR="00410548" w:rsidRPr="003F4BF6" w:rsidRDefault="00410548" w:rsidP="00410548">
      <w:pPr>
        <w:spacing w:line="480" w:lineRule="auto"/>
        <w:rPr>
          <w:sz w:val="22"/>
          <w:szCs w:val="22"/>
        </w:rPr>
      </w:pPr>
      <w:r w:rsidRPr="003F4BF6">
        <w:rPr>
          <w:sz w:val="22"/>
          <w:szCs w:val="22"/>
        </w:rPr>
        <w:t>Karen Gerard PhD MSc BA (Hons), Reader in Health Economics and NIHR Fellow, Faculty of Health Sciences,</w:t>
      </w:r>
      <w:r>
        <w:rPr>
          <w:sz w:val="22"/>
          <w:szCs w:val="22"/>
        </w:rPr>
        <w:t xml:space="preserve"> University of Southampton</w:t>
      </w:r>
    </w:p>
    <w:p w:rsidR="00410548" w:rsidRPr="003F4BF6" w:rsidRDefault="00410548" w:rsidP="00410548">
      <w:pPr>
        <w:spacing w:line="480" w:lineRule="auto"/>
        <w:rPr>
          <w:sz w:val="22"/>
          <w:szCs w:val="22"/>
        </w:rPr>
      </w:pPr>
      <w:r w:rsidRPr="003F4BF6">
        <w:rPr>
          <w:sz w:val="22"/>
          <w:szCs w:val="22"/>
        </w:rPr>
        <w:t xml:space="preserve">Michela Tinelli PhD MSc MSc PharmD MRPharmS, Research Fellow, Health Economics Research Unit and Centre of Academic Primary Care, University of Aberdeen </w:t>
      </w:r>
    </w:p>
    <w:p w:rsidR="00410548" w:rsidRPr="003F4BF6" w:rsidRDefault="00410548" w:rsidP="00410548">
      <w:pPr>
        <w:spacing w:line="480" w:lineRule="auto"/>
        <w:rPr>
          <w:sz w:val="22"/>
          <w:szCs w:val="22"/>
        </w:rPr>
      </w:pPr>
      <w:r w:rsidRPr="003F4BF6">
        <w:rPr>
          <w:sz w:val="22"/>
          <w:szCs w:val="22"/>
        </w:rPr>
        <w:t xml:space="preserve">Sue Latter PhD BSc(Hons) RN PGDipHV, Professor of Nursing, Faculty of Health Sciences, University of Southampton </w:t>
      </w:r>
    </w:p>
    <w:p w:rsidR="00410548" w:rsidRPr="003F4BF6" w:rsidRDefault="00410548" w:rsidP="00410548">
      <w:pPr>
        <w:spacing w:line="480" w:lineRule="auto"/>
        <w:rPr>
          <w:sz w:val="22"/>
          <w:szCs w:val="22"/>
        </w:rPr>
      </w:pPr>
      <w:r w:rsidRPr="003F4BF6">
        <w:rPr>
          <w:sz w:val="22"/>
          <w:szCs w:val="22"/>
        </w:rPr>
        <w:t>Alesha Smith PhD MSc BSc, Lecturer, School of Pharmacy, University of Queensland</w:t>
      </w:r>
      <w:r>
        <w:rPr>
          <w:sz w:val="22"/>
          <w:szCs w:val="22"/>
        </w:rPr>
        <w:t xml:space="preserve"> and School of Pharmacy, University of Otago</w:t>
      </w:r>
    </w:p>
    <w:p w:rsidR="00410548" w:rsidRPr="003F4BF6" w:rsidRDefault="00410548" w:rsidP="00410548">
      <w:pPr>
        <w:spacing w:line="480" w:lineRule="auto"/>
        <w:rPr>
          <w:sz w:val="22"/>
          <w:szCs w:val="22"/>
        </w:rPr>
      </w:pPr>
      <w:r w:rsidRPr="003F4BF6">
        <w:rPr>
          <w:sz w:val="22"/>
          <w:szCs w:val="22"/>
        </w:rPr>
        <w:t>Alison Blenkinsopp OBE, PhD, BPharm, MRPharmS, School of Pharmacy, University of Bradford, Bradford, UK</w:t>
      </w:r>
    </w:p>
    <w:p w:rsidR="00410548" w:rsidRPr="003F4BF6" w:rsidRDefault="00410548" w:rsidP="00410548">
      <w:pPr>
        <w:spacing w:line="480" w:lineRule="auto"/>
        <w:rPr>
          <w:sz w:val="22"/>
          <w:szCs w:val="22"/>
        </w:rPr>
      </w:pPr>
    </w:p>
    <w:p w:rsidR="00410548" w:rsidRPr="003F4BF6" w:rsidRDefault="00410548" w:rsidP="00410548">
      <w:pPr>
        <w:spacing w:line="480" w:lineRule="auto"/>
        <w:rPr>
          <w:b/>
          <w:sz w:val="22"/>
          <w:szCs w:val="22"/>
        </w:rPr>
      </w:pPr>
      <w:r w:rsidRPr="003F4BF6">
        <w:rPr>
          <w:b/>
          <w:sz w:val="22"/>
          <w:szCs w:val="22"/>
        </w:rPr>
        <w:t>Corresponding author:</w:t>
      </w:r>
    </w:p>
    <w:p w:rsidR="00410548" w:rsidRPr="003F4BF6" w:rsidRDefault="00410548" w:rsidP="00410548">
      <w:pPr>
        <w:spacing w:line="480" w:lineRule="auto"/>
        <w:rPr>
          <w:sz w:val="22"/>
          <w:szCs w:val="22"/>
        </w:rPr>
      </w:pPr>
      <w:r w:rsidRPr="003F4BF6">
        <w:rPr>
          <w:sz w:val="22"/>
          <w:szCs w:val="22"/>
        </w:rPr>
        <w:t>Karen Gerard,</w:t>
      </w:r>
    </w:p>
    <w:p w:rsidR="00410548" w:rsidRPr="003F4BF6" w:rsidRDefault="00410548" w:rsidP="00410548">
      <w:pPr>
        <w:spacing w:line="480" w:lineRule="auto"/>
        <w:rPr>
          <w:sz w:val="22"/>
          <w:szCs w:val="22"/>
        </w:rPr>
      </w:pPr>
      <w:r w:rsidRPr="003F4BF6">
        <w:rPr>
          <w:sz w:val="22"/>
          <w:szCs w:val="22"/>
        </w:rPr>
        <w:t>Faculty of Health Sciences</w:t>
      </w:r>
    </w:p>
    <w:p w:rsidR="00410548" w:rsidRPr="003F4BF6" w:rsidRDefault="00410548" w:rsidP="00410548">
      <w:pPr>
        <w:spacing w:line="480" w:lineRule="auto"/>
        <w:rPr>
          <w:sz w:val="22"/>
          <w:szCs w:val="22"/>
        </w:rPr>
      </w:pPr>
      <w:r w:rsidRPr="003F4BF6">
        <w:rPr>
          <w:sz w:val="22"/>
          <w:szCs w:val="22"/>
        </w:rPr>
        <w:t>Nightingale Building (67), University Road, Highfield</w:t>
      </w:r>
    </w:p>
    <w:p w:rsidR="00410548" w:rsidRPr="003F4BF6" w:rsidRDefault="00410548" w:rsidP="00410548">
      <w:pPr>
        <w:spacing w:line="480" w:lineRule="auto"/>
        <w:rPr>
          <w:sz w:val="22"/>
          <w:szCs w:val="22"/>
        </w:rPr>
      </w:pPr>
      <w:r w:rsidRPr="003F4BF6">
        <w:rPr>
          <w:sz w:val="22"/>
          <w:szCs w:val="22"/>
        </w:rPr>
        <w:t>University of Southampton</w:t>
      </w:r>
    </w:p>
    <w:p w:rsidR="00410548" w:rsidRPr="003F4BF6" w:rsidRDefault="00410548" w:rsidP="00410548">
      <w:pPr>
        <w:spacing w:line="480" w:lineRule="auto"/>
        <w:rPr>
          <w:sz w:val="22"/>
          <w:szCs w:val="22"/>
        </w:rPr>
      </w:pPr>
      <w:r w:rsidRPr="003F4BF6">
        <w:rPr>
          <w:sz w:val="22"/>
          <w:szCs w:val="22"/>
        </w:rPr>
        <w:t>SOUTHAMPTON, SO17 1BJ</w:t>
      </w:r>
    </w:p>
    <w:p w:rsidR="00410548" w:rsidRPr="003F4BF6" w:rsidRDefault="00410548" w:rsidP="00410548">
      <w:pPr>
        <w:spacing w:line="480" w:lineRule="auto"/>
        <w:rPr>
          <w:sz w:val="22"/>
          <w:szCs w:val="22"/>
        </w:rPr>
      </w:pPr>
    </w:p>
    <w:p w:rsidR="00410548" w:rsidRDefault="00410548" w:rsidP="00410548">
      <w:pPr>
        <w:spacing w:line="480" w:lineRule="auto"/>
        <w:rPr>
          <w:sz w:val="22"/>
          <w:szCs w:val="22"/>
        </w:rPr>
      </w:pPr>
      <w:r w:rsidRPr="003F4BF6">
        <w:rPr>
          <w:sz w:val="22"/>
          <w:szCs w:val="22"/>
        </w:rPr>
        <w:t xml:space="preserve">Email: </w:t>
      </w:r>
      <w:hyperlink r:id="rId9" w:history="1">
        <w:r w:rsidRPr="003F4BF6">
          <w:rPr>
            <w:rStyle w:val="Hyperlink"/>
            <w:sz w:val="22"/>
            <w:szCs w:val="22"/>
          </w:rPr>
          <w:t>K.M.Gerard@soton.ac.uk</w:t>
        </w:r>
      </w:hyperlink>
    </w:p>
    <w:p w:rsidR="00410548" w:rsidRDefault="00410548" w:rsidP="00410548">
      <w:pPr>
        <w:spacing w:line="480" w:lineRule="auto"/>
        <w:rPr>
          <w:sz w:val="22"/>
          <w:szCs w:val="22"/>
        </w:rPr>
      </w:pPr>
      <w:r>
        <w:rPr>
          <w:sz w:val="22"/>
          <w:szCs w:val="22"/>
        </w:rPr>
        <w:t>Tel:</w:t>
      </w:r>
      <w:r w:rsidRPr="003F4BF6">
        <w:t xml:space="preserve"> </w:t>
      </w:r>
      <w:r w:rsidRPr="003F4BF6">
        <w:rPr>
          <w:sz w:val="22"/>
          <w:szCs w:val="22"/>
        </w:rPr>
        <w:t>+44 (0)2380 598272</w:t>
      </w:r>
    </w:p>
    <w:p w:rsidR="00410548" w:rsidRPr="003F4BF6" w:rsidRDefault="00410548" w:rsidP="00410548">
      <w:pPr>
        <w:spacing w:line="480" w:lineRule="auto"/>
        <w:rPr>
          <w:sz w:val="22"/>
          <w:szCs w:val="22"/>
        </w:rPr>
      </w:pPr>
      <w:r>
        <w:rPr>
          <w:sz w:val="22"/>
          <w:szCs w:val="22"/>
        </w:rPr>
        <w:lastRenderedPageBreak/>
        <w:t>Fax: +44 (0)23</w:t>
      </w:r>
      <w:r w:rsidRPr="00495DF1">
        <w:rPr>
          <w:sz w:val="22"/>
          <w:szCs w:val="22"/>
        </w:rPr>
        <w:t>80</w:t>
      </w:r>
      <w:r>
        <w:rPr>
          <w:sz w:val="22"/>
          <w:szCs w:val="22"/>
        </w:rPr>
        <w:t xml:space="preserve"> </w:t>
      </w:r>
      <w:r w:rsidRPr="00495DF1">
        <w:rPr>
          <w:sz w:val="22"/>
          <w:szCs w:val="22"/>
        </w:rPr>
        <w:t>598308</w:t>
      </w:r>
    </w:p>
    <w:p w:rsidR="00410548" w:rsidRDefault="00410548" w:rsidP="00410548">
      <w:pPr>
        <w:spacing w:line="360" w:lineRule="auto"/>
        <w:rPr>
          <w:b/>
        </w:rPr>
      </w:pPr>
    </w:p>
    <w:p w:rsidR="00410548" w:rsidRPr="00D535AC" w:rsidRDefault="00410548" w:rsidP="00410548">
      <w:pPr>
        <w:spacing w:line="360" w:lineRule="auto"/>
        <w:rPr>
          <w:b/>
          <w:sz w:val="22"/>
          <w:szCs w:val="22"/>
        </w:rPr>
      </w:pPr>
      <w:r w:rsidRPr="00D535AC">
        <w:rPr>
          <w:b/>
          <w:sz w:val="22"/>
          <w:szCs w:val="22"/>
        </w:rPr>
        <w:t>Funding body</w:t>
      </w:r>
    </w:p>
    <w:p w:rsidR="00205DC6" w:rsidRPr="00D535AC" w:rsidRDefault="00410548" w:rsidP="00452D24">
      <w:pPr>
        <w:spacing w:line="480" w:lineRule="auto"/>
        <w:rPr>
          <w:sz w:val="22"/>
          <w:szCs w:val="22"/>
        </w:rPr>
      </w:pPr>
      <w:r w:rsidRPr="00D535AC">
        <w:rPr>
          <w:sz w:val="22"/>
          <w:szCs w:val="22"/>
        </w:rPr>
        <w:t>Departm</w:t>
      </w:r>
      <w:r w:rsidR="00452D24">
        <w:rPr>
          <w:sz w:val="22"/>
          <w:szCs w:val="22"/>
        </w:rPr>
        <w:t xml:space="preserve">ent of Health, Project 016/0108;  </w:t>
      </w:r>
      <w:r w:rsidR="00205DC6">
        <w:rPr>
          <w:sz w:val="22"/>
          <w:szCs w:val="22"/>
        </w:rPr>
        <w:t>NIHR, CDF/01/2008/009.</w:t>
      </w:r>
    </w:p>
    <w:p w:rsidR="00410548" w:rsidRPr="00D535AC" w:rsidRDefault="00410548" w:rsidP="00410548">
      <w:pPr>
        <w:spacing w:line="480" w:lineRule="auto"/>
        <w:rPr>
          <w:b/>
          <w:sz w:val="22"/>
          <w:szCs w:val="22"/>
        </w:rPr>
      </w:pPr>
    </w:p>
    <w:p w:rsidR="00410548" w:rsidRPr="00D535AC" w:rsidRDefault="00410548" w:rsidP="00410548">
      <w:pPr>
        <w:spacing w:line="480" w:lineRule="auto"/>
        <w:rPr>
          <w:b/>
          <w:sz w:val="22"/>
          <w:szCs w:val="22"/>
        </w:rPr>
      </w:pPr>
      <w:r w:rsidRPr="00D535AC">
        <w:rPr>
          <w:b/>
          <w:sz w:val="22"/>
          <w:szCs w:val="22"/>
        </w:rPr>
        <w:t xml:space="preserve">Body giving ethics </w:t>
      </w:r>
    </w:p>
    <w:p w:rsidR="00410548" w:rsidRPr="00D535AC" w:rsidRDefault="00410548" w:rsidP="00410548">
      <w:pPr>
        <w:pStyle w:val="BodyText"/>
        <w:spacing w:after="0" w:line="480" w:lineRule="auto"/>
        <w:jc w:val="left"/>
        <w:rPr>
          <w:rFonts w:ascii="Times New Roman" w:hAnsi="Times New Roman"/>
          <w:sz w:val="22"/>
          <w:szCs w:val="22"/>
        </w:rPr>
      </w:pPr>
      <w:r w:rsidRPr="00D535AC">
        <w:rPr>
          <w:rFonts w:ascii="Times New Roman" w:hAnsi="Times New Roman"/>
          <w:sz w:val="22"/>
          <w:szCs w:val="22"/>
        </w:rPr>
        <w:t>NHS Ethics approval was obtained from Dorset Research Ethics Committee in February 2009, REC Ref No 08/H0201/163.</w:t>
      </w:r>
    </w:p>
    <w:p w:rsidR="00410548" w:rsidRPr="00D535AC" w:rsidRDefault="00410548" w:rsidP="00410548">
      <w:pPr>
        <w:autoSpaceDE w:val="0"/>
        <w:autoSpaceDN w:val="0"/>
        <w:adjustRightInd w:val="0"/>
        <w:rPr>
          <w:rFonts w:ascii="ArialMT" w:hAnsi="ArialMT" w:cs="ArialMT"/>
          <w:sz w:val="22"/>
          <w:szCs w:val="22"/>
        </w:rPr>
      </w:pPr>
    </w:p>
    <w:p w:rsidR="00410548" w:rsidRPr="00D535AC" w:rsidRDefault="00410548" w:rsidP="00410548">
      <w:pPr>
        <w:spacing w:line="480" w:lineRule="auto"/>
        <w:rPr>
          <w:b/>
          <w:sz w:val="22"/>
          <w:szCs w:val="22"/>
        </w:rPr>
      </w:pPr>
      <w:r w:rsidRPr="00D535AC">
        <w:rPr>
          <w:b/>
          <w:sz w:val="22"/>
          <w:szCs w:val="22"/>
        </w:rPr>
        <w:t>Competing interests</w:t>
      </w:r>
    </w:p>
    <w:p w:rsidR="00410548" w:rsidRPr="00D535AC" w:rsidRDefault="00410548" w:rsidP="00410548">
      <w:pPr>
        <w:spacing w:line="480" w:lineRule="auto"/>
        <w:rPr>
          <w:sz w:val="22"/>
          <w:szCs w:val="22"/>
        </w:rPr>
      </w:pPr>
      <w:r w:rsidRPr="00D535AC">
        <w:rPr>
          <w:sz w:val="22"/>
          <w:szCs w:val="22"/>
        </w:rPr>
        <w:t>None.</w:t>
      </w:r>
    </w:p>
    <w:p w:rsidR="00410548" w:rsidRPr="00D535AC" w:rsidRDefault="00410548" w:rsidP="00410548">
      <w:pPr>
        <w:spacing w:line="480" w:lineRule="auto"/>
        <w:rPr>
          <w:b/>
          <w:sz w:val="22"/>
          <w:szCs w:val="22"/>
        </w:rPr>
      </w:pPr>
    </w:p>
    <w:p w:rsidR="00410548" w:rsidRPr="00D535AC" w:rsidRDefault="00410548" w:rsidP="00410548">
      <w:pPr>
        <w:spacing w:line="480" w:lineRule="auto"/>
        <w:rPr>
          <w:b/>
          <w:sz w:val="22"/>
          <w:szCs w:val="22"/>
        </w:rPr>
      </w:pPr>
      <w:r w:rsidRPr="00D535AC">
        <w:rPr>
          <w:b/>
          <w:sz w:val="22"/>
          <w:szCs w:val="22"/>
        </w:rPr>
        <w:t>Acknowledgements</w:t>
      </w:r>
    </w:p>
    <w:p w:rsidR="00410548" w:rsidRPr="00D535AC" w:rsidRDefault="00410548" w:rsidP="00410548">
      <w:pPr>
        <w:spacing w:line="480" w:lineRule="auto"/>
        <w:rPr>
          <w:sz w:val="22"/>
          <w:szCs w:val="22"/>
        </w:rPr>
      </w:pPr>
      <w:r w:rsidRPr="00D535AC">
        <w:rPr>
          <w:sz w:val="22"/>
          <w:szCs w:val="22"/>
        </w:rPr>
        <w:t>This is an independent report commissioned and funded by the Policy Research Programme in the Department of Health.  Karen Gerard is funded by a National Institute for Health Research Career Development Award and Michela Tinelli by an ESRC/MRC Interdisciplinary Post-Doctoral Fellowship. The views expressed by the authors are their own and not those of their funders.  We would like to thank all the patients and practice staff who contributed to this study.  We would also like to thank Nick Thayer &amp; Bernard Naughton, who cleaned, entered and checked the survey data, and Andrew Sibley, who assisted with data collection.</w:t>
      </w:r>
    </w:p>
    <w:p w:rsidR="00410548" w:rsidRDefault="00410548" w:rsidP="00410548">
      <w:pPr>
        <w:autoSpaceDE w:val="0"/>
        <w:autoSpaceDN w:val="0"/>
        <w:adjustRightInd w:val="0"/>
      </w:pPr>
      <w:r>
        <w:rPr>
          <w:b/>
        </w:rPr>
        <w:br w:type="page"/>
      </w:r>
      <w:r w:rsidRPr="00DA4279">
        <w:rPr>
          <w:b/>
        </w:rPr>
        <w:lastRenderedPageBreak/>
        <w:t>A</w:t>
      </w:r>
      <w:r>
        <w:rPr>
          <w:b/>
        </w:rPr>
        <w:t>BSTRACT</w:t>
      </w:r>
      <w:r>
        <w:t xml:space="preserve"> </w:t>
      </w:r>
    </w:p>
    <w:p w:rsidR="00410548" w:rsidRDefault="00410548" w:rsidP="00410548">
      <w:pPr>
        <w:autoSpaceDE w:val="0"/>
        <w:autoSpaceDN w:val="0"/>
        <w:adjustRightInd w:val="0"/>
      </w:pPr>
    </w:p>
    <w:p w:rsidR="00410548" w:rsidRPr="005F0237" w:rsidRDefault="00410548" w:rsidP="00410548">
      <w:pPr>
        <w:tabs>
          <w:tab w:val="left" w:pos="1530"/>
        </w:tabs>
        <w:rPr>
          <w:b/>
          <w:bCs/>
        </w:rPr>
      </w:pPr>
      <w:r w:rsidRPr="005F0237">
        <w:rPr>
          <w:b/>
          <w:bCs/>
        </w:rPr>
        <w:t>Background</w:t>
      </w:r>
    </w:p>
    <w:p w:rsidR="00410548" w:rsidRPr="005F0237" w:rsidRDefault="00410548" w:rsidP="00410548">
      <w:pPr>
        <w:tabs>
          <w:tab w:val="left" w:pos="1530"/>
        </w:tabs>
      </w:pPr>
      <w:r>
        <w:t>Recently p</w:t>
      </w:r>
      <w:r w:rsidRPr="00A52F04">
        <w:t xml:space="preserve">rimary care in the UK has undergone substantial changes in skill mix. </w:t>
      </w:r>
      <w:r w:rsidRPr="005F0237">
        <w:t>Non-medical prescribing was introduced to improve patient access to medicines, make better use of different health practitioner</w:t>
      </w:r>
      <w:r>
        <w:t>s’ skills</w:t>
      </w:r>
      <w:r w:rsidRPr="005F0237">
        <w:t xml:space="preserve"> and increase </w:t>
      </w:r>
      <w:r>
        <w:t xml:space="preserve">patient </w:t>
      </w:r>
      <w:r w:rsidRPr="005F0237">
        <w:t xml:space="preserve">choice. </w:t>
      </w:r>
      <w:r>
        <w:t>There is little evidence about value-based patient preferences for ‘prescribing nurse’ in a general practice setting.</w:t>
      </w:r>
    </w:p>
    <w:p w:rsidR="00410548" w:rsidRPr="005F0237" w:rsidRDefault="00410548" w:rsidP="00410548">
      <w:pPr>
        <w:tabs>
          <w:tab w:val="left" w:pos="1530"/>
        </w:tabs>
        <w:rPr>
          <w:b/>
          <w:bCs/>
        </w:rPr>
      </w:pPr>
    </w:p>
    <w:p w:rsidR="00410548" w:rsidRPr="005F0237" w:rsidRDefault="00410548" w:rsidP="00410548">
      <w:pPr>
        <w:tabs>
          <w:tab w:val="left" w:pos="1530"/>
        </w:tabs>
        <w:rPr>
          <w:b/>
          <w:bCs/>
        </w:rPr>
      </w:pPr>
      <w:r>
        <w:rPr>
          <w:b/>
          <w:bCs/>
        </w:rPr>
        <w:t>Objective</w:t>
      </w:r>
    </w:p>
    <w:p w:rsidR="00410548" w:rsidRPr="005F0237" w:rsidRDefault="00410548" w:rsidP="00410548">
      <w:pPr>
        <w:tabs>
          <w:tab w:val="left" w:pos="1530"/>
        </w:tabs>
      </w:pPr>
      <w:r>
        <w:t>To q</w:t>
      </w:r>
      <w:r w:rsidRPr="005F0237">
        <w:t>uantify</w:t>
      </w:r>
      <w:r>
        <w:t xml:space="preserve"> value-based</w:t>
      </w:r>
      <w:r w:rsidRPr="005F0237">
        <w:t xml:space="preserve"> </w:t>
      </w:r>
      <w:r>
        <w:t xml:space="preserve">patient preferences for profession of prescriber and other </w:t>
      </w:r>
      <w:r w:rsidRPr="005F0237">
        <w:t>factors</w:t>
      </w:r>
      <w:r>
        <w:t xml:space="preserve"> that influence choice of </w:t>
      </w:r>
      <w:r w:rsidRPr="005F0237">
        <w:t>consult</w:t>
      </w:r>
      <w:r>
        <w:t>ation for managing a</w:t>
      </w:r>
      <w:r w:rsidRPr="005F0237">
        <w:t xml:space="preserve"> </w:t>
      </w:r>
      <w:r>
        <w:t>minor</w:t>
      </w:r>
      <w:r w:rsidRPr="005F0237">
        <w:t xml:space="preserve"> illness</w:t>
      </w:r>
      <w:r>
        <w:t>.</w:t>
      </w:r>
    </w:p>
    <w:p w:rsidR="00410548" w:rsidRPr="005F0237" w:rsidRDefault="00410548" w:rsidP="00410548">
      <w:pPr>
        <w:tabs>
          <w:tab w:val="left" w:pos="1530"/>
        </w:tabs>
        <w:rPr>
          <w:b/>
          <w:bCs/>
        </w:rPr>
      </w:pPr>
    </w:p>
    <w:p w:rsidR="00410548" w:rsidRPr="005F0237" w:rsidRDefault="00410548" w:rsidP="00410548">
      <w:pPr>
        <w:tabs>
          <w:tab w:val="left" w:pos="1530"/>
        </w:tabs>
        <w:rPr>
          <w:b/>
          <w:bCs/>
        </w:rPr>
      </w:pPr>
      <w:r w:rsidRPr="005F0237">
        <w:rPr>
          <w:b/>
          <w:bCs/>
        </w:rPr>
        <w:t>Design</w:t>
      </w:r>
    </w:p>
    <w:p w:rsidR="00410548" w:rsidRPr="005F0237" w:rsidRDefault="00410548" w:rsidP="00410548">
      <w:pPr>
        <w:tabs>
          <w:tab w:val="left" w:pos="1530"/>
        </w:tabs>
      </w:pPr>
      <w:r w:rsidRPr="005F0237">
        <w:t>Discrete choice experiment</w:t>
      </w:r>
      <w:r>
        <w:t xml:space="preserve"> patient survey</w:t>
      </w:r>
    </w:p>
    <w:p w:rsidR="00410548" w:rsidRPr="005F0237" w:rsidRDefault="00410548" w:rsidP="00410548">
      <w:pPr>
        <w:tabs>
          <w:tab w:val="left" w:pos="1530"/>
        </w:tabs>
        <w:rPr>
          <w:b/>
          <w:bCs/>
        </w:rPr>
      </w:pPr>
    </w:p>
    <w:p w:rsidR="00410548" w:rsidRPr="005F0237" w:rsidRDefault="00410548" w:rsidP="00410548">
      <w:pPr>
        <w:tabs>
          <w:tab w:val="left" w:pos="1530"/>
        </w:tabs>
        <w:rPr>
          <w:b/>
          <w:bCs/>
        </w:rPr>
      </w:pPr>
      <w:r w:rsidRPr="005F0237">
        <w:rPr>
          <w:b/>
          <w:bCs/>
        </w:rPr>
        <w:t>Setting</w:t>
      </w:r>
      <w:r>
        <w:rPr>
          <w:b/>
          <w:bCs/>
        </w:rPr>
        <w:t xml:space="preserve"> and participants</w:t>
      </w:r>
    </w:p>
    <w:p w:rsidR="00410548" w:rsidRDefault="00410548" w:rsidP="00410548">
      <w:pPr>
        <w:tabs>
          <w:tab w:val="left" w:pos="1530"/>
        </w:tabs>
      </w:pPr>
      <w:r w:rsidRPr="005F0237">
        <w:t>Five general practices in England with non-medical prescribing services</w:t>
      </w:r>
      <w:r>
        <w:t>, questionnaires completed by 451</w:t>
      </w:r>
      <w:r w:rsidRPr="005F0237">
        <w:t xml:space="preserve"> patients.</w:t>
      </w:r>
    </w:p>
    <w:p w:rsidR="00410548" w:rsidRDefault="00410548" w:rsidP="00410548">
      <w:pPr>
        <w:tabs>
          <w:tab w:val="left" w:pos="1530"/>
        </w:tabs>
      </w:pPr>
    </w:p>
    <w:p w:rsidR="00410548" w:rsidRPr="006B77AA" w:rsidRDefault="00410548" w:rsidP="00410548">
      <w:pPr>
        <w:tabs>
          <w:tab w:val="left" w:pos="1530"/>
        </w:tabs>
        <w:rPr>
          <w:b/>
          <w:bCs/>
        </w:rPr>
      </w:pPr>
      <w:r w:rsidRPr="006B77AA">
        <w:rPr>
          <w:b/>
          <w:bCs/>
        </w:rPr>
        <w:t>Main outcome measure</w:t>
      </w:r>
    </w:p>
    <w:p w:rsidR="00410548" w:rsidRPr="005F0237" w:rsidRDefault="00410548" w:rsidP="00410548">
      <w:pPr>
        <w:tabs>
          <w:tab w:val="left" w:pos="1530"/>
        </w:tabs>
      </w:pPr>
      <w:r>
        <w:t>Stated choice of consultation.</w:t>
      </w:r>
    </w:p>
    <w:p w:rsidR="00410548" w:rsidRPr="005F0237" w:rsidRDefault="00410548" w:rsidP="00410548">
      <w:pPr>
        <w:tabs>
          <w:tab w:val="left" w:pos="1530"/>
        </w:tabs>
      </w:pPr>
    </w:p>
    <w:p w:rsidR="00410548" w:rsidRPr="005F0237" w:rsidRDefault="00410548" w:rsidP="00410548">
      <w:pPr>
        <w:tabs>
          <w:tab w:val="left" w:pos="1530"/>
        </w:tabs>
        <w:rPr>
          <w:b/>
          <w:bCs/>
        </w:rPr>
      </w:pPr>
      <w:r>
        <w:rPr>
          <w:b/>
          <w:bCs/>
        </w:rPr>
        <w:t>Main r</w:t>
      </w:r>
      <w:r w:rsidRPr="005F0237">
        <w:rPr>
          <w:b/>
          <w:bCs/>
        </w:rPr>
        <w:t>esults</w:t>
      </w:r>
    </w:p>
    <w:p w:rsidR="00410548" w:rsidRPr="005F0237" w:rsidRDefault="00410548" w:rsidP="00410548">
      <w:pPr>
        <w:tabs>
          <w:tab w:val="left" w:pos="1530"/>
        </w:tabs>
      </w:pPr>
      <w:r>
        <w:t>There was a s</w:t>
      </w:r>
      <w:r w:rsidRPr="005F0237">
        <w:t xml:space="preserve">trong </w:t>
      </w:r>
      <w:r>
        <w:t xml:space="preserve">general </w:t>
      </w:r>
      <w:r w:rsidRPr="005F0237">
        <w:t>preference for consult</w:t>
      </w:r>
      <w:r>
        <w:t>ing ‘own doctor’ for minor illness.  However, a consultation with a nurse prescriber with positive patient-focused attributes can be more acceptable to patients than a consultation provided by a doctor</w:t>
      </w:r>
      <w:r w:rsidRPr="005F0237">
        <w:t xml:space="preserve">.  </w:t>
      </w:r>
      <w:r>
        <w:t>A</w:t>
      </w:r>
      <w:r w:rsidRPr="005F0237">
        <w:t xml:space="preserve">ttributes ‘professional’s attention to patients’ views’ and </w:t>
      </w:r>
      <w:r>
        <w:t xml:space="preserve">extent of </w:t>
      </w:r>
      <w:r w:rsidRPr="005F0237">
        <w:t xml:space="preserve">‘help offered’ were pivotal.  </w:t>
      </w:r>
      <w:r>
        <w:t>Past experience</w:t>
      </w:r>
      <w:r w:rsidRPr="005F0237">
        <w:t xml:space="preserve"> </w:t>
      </w:r>
      <w:r>
        <w:t>influenced preference</w:t>
      </w:r>
      <w:r w:rsidRPr="005F0237">
        <w:t xml:space="preserve">.  </w:t>
      </w:r>
    </w:p>
    <w:p w:rsidR="00410548" w:rsidRPr="005F0237" w:rsidRDefault="00410548" w:rsidP="00410548">
      <w:pPr>
        <w:tabs>
          <w:tab w:val="left" w:pos="1530"/>
        </w:tabs>
        <w:rPr>
          <w:b/>
          <w:bCs/>
        </w:rPr>
      </w:pPr>
    </w:p>
    <w:p w:rsidR="00410548" w:rsidRPr="005F0237" w:rsidRDefault="00410548" w:rsidP="00410548">
      <w:pPr>
        <w:tabs>
          <w:tab w:val="left" w:pos="1530"/>
        </w:tabs>
        <w:rPr>
          <w:b/>
          <w:bCs/>
        </w:rPr>
      </w:pPr>
      <w:r>
        <w:rPr>
          <w:b/>
          <w:bCs/>
        </w:rPr>
        <w:t>Discussion and c</w:t>
      </w:r>
      <w:r w:rsidRPr="005F0237">
        <w:rPr>
          <w:b/>
          <w:bCs/>
        </w:rPr>
        <w:t>onclusion</w:t>
      </w:r>
    </w:p>
    <w:p w:rsidR="00410548" w:rsidRPr="00E318D2" w:rsidRDefault="00410548" w:rsidP="00410548">
      <w:pPr>
        <w:tabs>
          <w:tab w:val="left" w:pos="1530"/>
        </w:tabs>
        <w:rPr>
          <w:sz w:val="20"/>
          <w:szCs w:val="20"/>
        </w:rPr>
      </w:pPr>
      <w:r>
        <w:t>Respondents</w:t>
      </w:r>
      <w:r w:rsidRPr="005F0237">
        <w:t xml:space="preserve"> demonstrated valid preferences</w:t>
      </w:r>
      <w:r>
        <w:t xml:space="preserve">. </w:t>
      </w:r>
      <w:r w:rsidRPr="005F0237">
        <w:t xml:space="preserve"> Preferences for consulting a doctor remained strong </w:t>
      </w:r>
      <w:r>
        <w:t>but many were happy to consult with a nurse if other aspects of the consultation were improved.  Findings show who to consult is not the only valued factor in choice of consultation for minor illness. The ‘prescribing nurse’ role has potential to offer consultation styles that patients value.  Within the study’s limitations, these findings can inform delivery of primary care to enhance patient experience and substitute appropriate nurse prescribing consultations for medical prescribing consultations</w:t>
      </w:r>
      <w:r w:rsidRPr="005F0237">
        <w:t>.</w:t>
      </w:r>
      <w:r>
        <w:t xml:space="preserve"> </w:t>
      </w:r>
    </w:p>
    <w:p w:rsidR="00E01BAC" w:rsidRPr="00BE3ACE" w:rsidRDefault="00410548" w:rsidP="00410548">
      <w:pPr>
        <w:tabs>
          <w:tab w:val="left" w:pos="1530"/>
        </w:tabs>
        <w:spacing w:line="480" w:lineRule="auto"/>
        <w:rPr>
          <w:b/>
        </w:rPr>
      </w:pPr>
      <w:r>
        <w:rPr>
          <w:b/>
        </w:rPr>
        <w:br w:type="page"/>
      </w:r>
      <w:r w:rsidR="008E6658" w:rsidRPr="008E6658">
        <w:rPr>
          <w:rFonts w:eastAsia="SimSun"/>
          <w:b/>
          <w:lang w:eastAsia="zh-CN"/>
        </w:rPr>
        <w:lastRenderedPageBreak/>
        <w:t>Introduction</w:t>
      </w:r>
    </w:p>
    <w:p w:rsidR="00F6561A" w:rsidRPr="00CC51C4" w:rsidRDefault="008E6658" w:rsidP="007D1917">
      <w:pPr>
        <w:tabs>
          <w:tab w:val="num" w:pos="720"/>
        </w:tabs>
        <w:spacing w:line="480" w:lineRule="auto"/>
      </w:pPr>
      <w:r w:rsidRPr="008E6658">
        <w:rPr>
          <w:rFonts w:eastAsia="SimSun"/>
          <w:lang w:eastAsia="zh-CN"/>
        </w:rPr>
        <w:t>Primary care in the UK has undergone substantial changes in skill mix in recent times.  This change has been driven by many factors including policy drives to make care more accessible to patients, to maximise use of skills of all health practitioners, and the need to reconfigure services within finite resources   One aspect of using new and expanding professional roles to extend the options for delivering services is to make greater use of appropriately qualified nurses who can now prescribe independently, within their competence, any medicine for any condition</w:t>
      </w:r>
      <w:r w:rsidRPr="008E6658">
        <w:rPr>
          <w:rFonts w:eastAsia="SimSun"/>
          <w:vertAlign w:val="superscript"/>
          <w:lang w:eastAsia="zh-CN"/>
        </w:rPr>
        <w:t>1</w:t>
      </w:r>
      <w:r w:rsidRPr="008E6658">
        <w:rPr>
          <w:rFonts w:eastAsia="SimSun"/>
          <w:lang w:eastAsia="zh-CN"/>
        </w:rPr>
        <w:t>.  The widening of scope of nurse independent prescribing to include all medicines across the British National Formulary in 2006 built upon previous forms of non-medical prescribing</w:t>
      </w:r>
      <w:r w:rsidRPr="008E6658">
        <w:rPr>
          <w:rFonts w:eastAsia="SimSun"/>
          <w:vertAlign w:val="superscript"/>
          <w:lang w:eastAsia="zh-CN"/>
        </w:rPr>
        <w:t>2</w:t>
      </w:r>
      <w:r w:rsidRPr="008E6658">
        <w:rPr>
          <w:rFonts w:eastAsia="SimSun"/>
          <w:lang w:eastAsia="zh-CN"/>
        </w:rPr>
        <w:t>. Recent evaluation of non-medical prescribers shows they can be as clinically appropriate in making prescribing decisions as their medical counter-parts</w:t>
      </w:r>
      <w:r w:rsidRPr="008E6658">
        <w:rPr>
          <w:rFonts w:eastAsia="SimSun"/>
          <w:vertAlign w:val="superscript"/>
          <w:lang w:eastAsia="zh-CN"/>
        </w:rPr>
        <w:t>3</w:t>
      </w:r>
      <w:r w:rsidRPr="008E6658">
        <w:rPr>
          <w:rFonts w:eastAsia="SimSun"/>
          <w:lang w:eastAsia="zh-CN"/>
        </w:rPr>
        <w:t>.</w:t>
      </w:r>
      <w:r w:rsidR="008F2FB4">
        <w:t xml:space="preserve">  </w:t>
      </w:r>
    </w:p>
    <w:p w:rsidR="00F6561A" w:rsidRDefault="00F6561A" w:rsidP="007D1917">
      <w:pPr>
        <w:tabs>
          <w:tab w:val="num" w:pos="720"/>
        </w:tabs>
        <w:spacing w:line="480" w:lineRule="auto"/>
      </w:pPr>
    </w:p>
    <w:p w:rsidR="00537AF4" w:rsidRPr="00BE3ACE" w:rsidRDefault="008E6658" w:rsidP="007D1917">
      <w:pPr>
        <w:tabs>
          <w:tab w:val="num" w:pos="720"/>
        </w:tabs>
        <w:spacing w:line="480" w:lineRule="auto"/>
      </w:pPr>
      <w:r w:rsidRPr="008E6658">
        <w:rPr>
          <w:rFonts w:eastAsia="SimSun"/>
          <w:lang w:eastAsia="zh-CN"/>
        </w:rPr>
        <w:t>Involving patients in the way health services are delivered has been championed by previous and current government health policies, not least because individual health, treatment and satisfaction can benefit</w:t>
      </w:r>
      <w:r w:rsidRPr="008E6658">
        <w:rPr>
          <w:rFonts w:eastAsia="SimSun"/>
          <w:vertAlign w:val="superscript"/>
          <w:lang w:eastAsia="zh-CN"/>
        </w:rPr>
        <w:t>4</w:t>
      </w:r>
      <w:r w:rsidRPr="008E6658">
        <w:rPr>
          <w:rFonts w:eastAsia="SimSun"/>
          <w:lang w:eastAsia="zh-CN"/>
        </w:rPr>
        <w:t>.  Evidence from elsewhere shows patient acceptability for some roles previously the preserve of primary care doctors</w:t>
      </w:r>
      <w:r w:rsidRPr="008E6658">
        <w:rPr>
          <w:rFonts w:eastAsia="SimSun"/>
          <w:vertAlign w:val="superscript"/>
          <w:lang w:eastAsia="zh-CN"/>
        </w:rPr>
        <w:t>5-</w:t>
      </w:r>
      <w:r w:rsidR="00C523EB">
        <w:rPr>
          <w:rFonts w:eastAsia="SimSun"/>
          <w:vertAlign w:val="superscript"/>
          <w:lang w:eastAsia="zh-CN"/>
        </w:rPr>
        <w:t>9</w:t>
      </w:r>
      <w:r w:rsidRPr="008E6658">
        <w:rPr>
          <w:rFonts w:eastAsia="SimSun"/>
          <w:lang w:eastAsia="zh-CN"/>
        </w:rPr>
        <w:t xml:space="preserve"> and increasing recognition of the importance in paying attention to the individual’s experiences of health care</w:t>
      </w:r>
      <w:r w:rsidR="00C523EB">
        <w:rPr>
          <w:rFonts w:eastAsia="SimSun"/>
          <w:vertAlign w:val="superscript"/>
          <w:lang w:eastAsia="zh-CN"/>
        </w:rPr>
        <w:t>10</w:t>
      </w:r>
      <w:r w:rsidRPr="008E6658">
        <w:rPr>
          <w:rFonts w:eastAsia="SimSun"/>
          <w:lang w:eastAsia="zh-CN"/>
        </w:rPr>
        <w:t xml:space="preserve">.  The ‘consultation’ is central to the delivery of primary care, but there are many alternative ways that it can be delivered and the patient experience can also vary.  In a patient-focused health service it follows that commissioners and providers need to take patients’ preferences for alternatives to the traditional doctor – patient consultation into consideration.  In the context of non-medical prescribing we need </w:t>
      </w:r>
      <w:r w:rsidRPr="008E6658">
        <w:rPr>
          <w:rFonts w:eastAsia="SimSun"/>
          <w:lang w:eastAsia="zh-CN"/>
        </w:rPr>
        <w:lastRenderedPageBreak/>
        <w:t>targeted evidence on patient views of nurse independent prescribing (NIP) services so we can better understand situations when consultations with prescribing nurses may be equally or more preferred alternatives compared to consultations with doctors.  In turn this can assist the re-configuration of primary care services to substitute appropriate nursing consultations for medical ones.  To date, there is some evidence that patients have positive experiences of NIP services but these findings are of limited usefulness as they do not measure value-based patient preferences</w:t>
      </w:r>
      <w:r w:rsidR="002A67F9">
        <w:rPr>
          <w:rFonts w:eastAsia="SimSun"/>
          <w:vertAlign w:val="superscript"/>
          <w:lang w:eastAsia="zh-CN"/>
        </w:rPr>
        <w:t>11</w:t>
      </w:r>
      <w:r w:rsidRPr="008E6658">
        <w:rPr>
          <w:rFonts w:eastAsia="SimSun"/>
          <w:vertAlign w:val="superscript"/>
          <w:lang w:eastAsia="zh-CN"/>
        </w:rPr>
        <w:t>-1</w:t>
      </w:r>
      <w:r w:rsidR="002A67F9">
        <w:rPr>
          <w:rFonts w:eastAsia="SimSun"/>
          <w:vertAlign w:val="superscript"/>
          <w:lang w:eastAsia="zh-CN"/>
        </w:rPr>
        <w:t>3</w:t>
      </w:r>
      <w:r w:rsidRPr="008E6658">
        <w:rPr>
          <w:rFonts w:eastAsia="SimSun"/>
          <w:lang w:eastAsia="zh-CN"/>
        </w:rPr>
        <w:t>.</w:t>
      </w:r>
      <w:r w:rsidR="00537AF4" w:rsidRPr="00BE3ACE">
        <w:t xml:space="preserve"> </w:t>
      </w:r>
    </w:p>
    <w:p w:rsidR="003B4410" w:rsidRDefault="003B4410" w:rsidP="007D1917">
      <w:pPr>
        <w:tabs>
          <w:tab w:val="num" w:pos="720"/>
        </w:tabs>
        <w:spacing w:line="480" w:lineRule="auto"/>
      </w:pPr>
    </w:p>
    <w:p w:rsidR="00537AF4" w:rsidRDefault="008E6658" w:rsidP="007D1917">
      <w:pPr>
        <w:tabs>
          <w:tab w:val="num" w:pos="720"/>
        </w:tabs>
        <w:spacing w:line="480" w:lineRule="auto"/>
      </w:pPr>
      <w:r w:rsidRPr="008E6658">
        <w:rPr>
          <w:rFonts w:eastAsia="SimSun"/>
          <w:lang w:eastAsia="zh-CN"/>
        </w:rPr>
        <w:t>Arguably, in a patient focussed health service we need to know not only overall value (or utility) of services perceived by patients, but also the trade-offs among different components (attributes) of services. The value patients place upon services can vary depending upon a variety of component characteristics that make up the patient experience and it is possible to consider trade-offs between giving up some of one characteristic (e.g. longer waiting time) in order to obtain more of another (e.g. a higher level of ‘continuity of care’) by eliciting value-based patient preferences.  Making trade-offs is a powerful and versatile concept in economics and has relevance informing how change in health services can be delivered taking account of value-based preferences.  The Discrete Choice Experiment (DCE) is the best tool for enabling us to examine value-based preferences and trade-offs</w:t>
      </w:r>
      <w:r w:rsidR="00F868D7">
        <w:rPr>
          <w:rFonts w:eastAsia="SimSun"/>
          <w:vertAlign w:val="superscript"/>
          <w:lang w:eastAsia="zh-CN"/>
        </w:rPr>
        <w:t>14</w:t>
      </w:r>
      <w:r w:rsidRPr="008E6658">
        <w:rPr>
          <w:rFonts w:eastAsia="SimSun"/>
          <w:lang w:eastAsia="zh-CN"/>
        </w:rPr>
        <w:t>.</w:t>
      </w:r>
    </w:p>
    <w:p w:rsidR="003B4410" w:rsidRDefault="003B4410" w:rsidP="007D1917">
      <w:pPr>
        <w:tabs>
          <w:tab w:val="num" w:pos="720"/>
        </w:tabs>
        <w:spacing w:line="480" w:lineRule="auto"/>
      </w:pPr>
    </w:p>
    <w:p w:rsidR="00614B68" w:rsidRDefault="008E6658" w:rsidP="007D1917">
      <w:pPr>
        <w:tabs>
          <w:tab w:val="num" w:pos="720"/>
        </w:tabs>
        <w:spacing w:line="480" w:lineRule="auto"/>
      </w:pPr>
      <w:r w:rsidRPr="008E6658">
        <w:rPr>
          <w:rFonts w:eastAsia="SimSun"/>
          <w:lang w:eastAsia="zh-CN"/>
        </w:rPr>
        <w:t xml:space="preserve">The DCE permits the exploration and quantification of preferences for alternative configurations of, in this context, primary care consultations, on the assumption that </w:t>
      </w:r>
      <w:r w:rsidRPr="008E6658">
        <w:rPr>
          <w:rFonts w:eastAsia="SimSun"/>
          <w:lang w:eastAsia="zh-CN"/>
        </w:rPr>
        <w:lastRenderedPageBreak/>
        <w:t>consultations can be separated into, and described by, constituent key attributes and their levels. It is assumed the attribute levels determine the value of a consultation.</w:t>
      </w:r>
    </w:p>
    <w:p w:rsidR="001225F0" w:rsidRDefault="001225F0" w:rsidP="007D1917">
      <w:pPr>
        <w:tabs>
          <w:tab w:val="num" w:pos="720"/>
        </w:tabs>
        <w:spacing w:line="480" w:lineRule="auto"/>
      </w:pPr>
    </w:p>
    <w:p w:rsidR="00537AF4" w:rsidRDefault="008E6658" w:rsidP="007D1917">
      <w:pPr>
        <w:tabs>
          <w:tab w:val="num" w:pos="720"/>
        </w:tabs>
        <w:spacing w:line="480" w:lineRule="auto"/>
      </w:pPr>
      <w:r w:rsidRPr="008E6658">
        <w:rPr>
          <w:rFonts w:eastAsia="SimSun"/>
          <w:lang w:eastAsia="zh-CN"/>
        </w:rPr>
        <w:t>The aim of this study was to identify and quantify patient preferences for both profession of prescriber and factors that influence choice of who to consult for managing a common acute minor condition in primary care.  We discuss how the findings can be used to better inform commissioners and providers of these services to reconfigure the delivery of consultations based on what patients may find acceptable.</w:t>
      </w:r>
    </w:p>
    <w:p w:rsidR="00537AF4" w:rsidRDefault="00537AF4" w:rsidP="007D1917">
      <w:pPr>
        <w:spacing w:line="480" w:lineRule="auto"/>
        <w:rPr>
          <w:b/>
        </w:rPr>
      </w:pPr>
    </w:p>
    <w:p w:rsidR="009F63E5" w:rsidRPr="009F63E5" w:rsidRDefault="008E6658" w:rsidP="007D1917">
      <w:pPr>
        <w:spacing w:line="480" w:lineRule="auto"/>
        <w:rPr>
          <w:b/>
          <w:bCs/>
        </w:rPr>
      </w:pPr>
      <w:r w:rsidRPr="008E6658">
        <w:rPr>
          <w:rFonts w:eastAsia="SimSun"/>
          <w:b/>
          <w:bCs/>
          <w:lang w:eastAsia="zh-CN"/>
        </w:rPr>
        <w:t>Method</w:t>
      </w:r>
    </w:p>
    <w:p w:rsidR="009F63E5" w:rsidRDefault="008E6658" w:rsidP="007D1917">
      <w:pPr>
        <w:spacing w:line="480" w:lineRule="auto"/>
      </w:pPr>
      <w:r w:rsidRPr="008E6658">
        <w:rPr>
          <w:rFonts w:eastAsia="SimSun"/>
          <w:lang w:eastAsia="zh-CN"/>
        </w:rPr>
        <w:t>The DCE approach is an established and valid method for establishing the value of nurse-led services</w:t>
      </w:r>
      <w:r w:rsidRPr="008E6658">
        <w:rPr>
          <w:rFonts w:eastAsia="SimSun"/>
          <w:vertAlign w:val="superscript"/>
          <w:lang w:eastAsia="zh-CN"/>
        </w:rPr>
        <w:t>5</w:t>
      </w:r>
      <w:r w:rsidRPr="00207893">
        <w:rPr>
          <w:rFonts w:eastAsia="SimSun"/>
          <w:vertAlign w:val="superscript"/>
          <w:lang w:eastAsia="zh-CN"/>
        </w:rPr>
        <w:t>,</w:t>
      </w:r>
      <w:r w:rsidR="00207893" w:rsidRPr="00207893">
        <w:rPr>
          <w:rFonts w:eastAsia="SimSun"/>
          <w:vertAlign w:val="superscript"/>
          <w:lang w:eastAsia="zh-CN"/>
        </w:rPr>
        <w:t>15</w:t>
      </w:r>
      <w:r w:rsidRPr="008E6658">
        <w:rPr>
          <w:rFonts w:eastAsia="SimSun"/>
          <w:lang w:eastAsia="zh-CN"/>
        </w:rPr>
        <w:t xml:space="preserve"> and primary </w:t>
      </w:r>
      <w:r w:rsidRPr="00207893">
        <w:rPr>
          <w:rFonts w:eastAsia="SimSun"/>
          <w:lang w:eastAsia="zh-CN"/>
        </w:rPr>
        <w:t>health care</w:t>
      </w:r>
      <w:r w:rsidRPr="00207893">
        <w:rPr>
          <w:rFonts w:eastAsia="SimSun"/>
          <w:vertAlign w:val="superscript"/>
          <w:lang w:eastAsia="zh-CN"/>
        </w:rPr>
        <w:t>1</w:t>
      </w:r>
      <w:r w:rsidR="00207893" w:rsidRPr="00207893">
        <w:rPr>
          <w:rFonts w:eastAsia="SimSun"/>
          <w:vertAlign w:val="superscript"/>
          <w:lang w:eastAsia="zh-CN"/>
        </w:rPr>
        <w:t>6</w:t>
      </w:r>
      <w:r w:rsidRPr="00207893">
        <w:rPr>
          <w:rFonts w:eastAsia="SimSun"/>
          <w:vertAlign w:val="superscript"/>
          <w:lang w:eastAsia="zh-CN"/>
        </w:rPr>
        <w:t>-1</w:t>
      </w:r>
      <w:r w:rsidR="00207893" w:rsidRPr="00207893">
        <w:rPr>
          <w:rFonts w:eastAsia="SimSun"/>
          <w:vertAlign w:val="superscript"/>
          <w:lang w:eastAsia="zh-CN"/>
        </w:rPr>
        <w:t>8</w:t>
      </w:r>
      <w:r w:rsidRPr="00207893">
        <w:rPr>
          <w:rFonts w:eastAsia="SimSun"/>
          <w:lang w:eastAsia="zh-CN"/>
        </w:rPr>
        <w:t>.</w:t>
      </w:r>
      <w:r w:rsidRPr="008E6658">
        <w:rPr>
          <w:rFonts w:eastAsia="SimSun"/>
          <w:lang w:eastAsia="zh-CN"/>
        </w:rPr>
        <w:t xml:space="preserve">   The approach asks individuals to make hypothetical (yet realistic) choices about their most preferred option from a choice of options uniquely described by combinations of attribute levels.  </w:t>
      </w:r>
      <w:r w:rsidR="00715EEE">
        <w:rPr>
          <w:rFonts w:eastAsia="SimSun"/>
          <w:lang w:eastAsia="zh-CN"/>
        </w:rPr>
        <w:t>The relative importance of the different attributes is then estimated using regression analysis</w:t>
      </w:r>
      <w:r w:rsidRPr="008E6658">
        <w:rPr>
          <w:rFonts w:eastAsia="SimSun"/>
          <w:lang w:eastAsia="zh-CN"/>
        </w:rPr>
        <w:t>.</w:t>
      </w:r>
      <w:r w:rsidR="00715EEE">
        <w:rPr>
          <w:rFonts w:eastAsia="SimSun"/>
          <w:lang w:eastAsia="zh-CN"/>
        </w:rPr>
        <w:t xml:space="preserve">  </w:t>
      </w:r>
      <w:r w:rsidRPr="008E6658">
        <w:rPr>
          <w:rFonts w:eastAsia="SimSun"/>
          <w:lang w:eastAsia="zh-CN"/>
        </w:rPr>
        <w:t xml:space="preserve">We assumed respondents in this study obtained utility </w:t>
      </w:r>
      <w:r w:rsidR="00715EEE">
        <w:rPr>
          <w:rFonts w:eastAsia="SimSun"/>
          <w:lang w:eastAsia="zh-CN"/>
        </w:rPr>
        <w:t xml:space="preserve">(value) </w:t>
      </w:r>
      <w:r w:rsidRPr="008E6658">
        <w:rPr>
          <w:rFonts w:eastAsia="SimSun"/>
          <w:lang w:eastAsia="zh-CN"/>
        </w:rPr>
        <w:t xml:space="preserve">from the attributes making up the primary care consultation.  These attributes relate to the patient experience of the delivery of care; all other aspects including appropriateness of the health care received, are assumed equal across the alternatives.  The design of the DCE was informed by published </w:t>
      </w:r>
      <w:r w:rsidRPr="00D93427">
        <w:rPr>
          <w:rFonts w:eastAsia="SimSun"/>
          <w:lang w:eastAsia="zh-CN"/>
        </w:rPr>
        <w:t>guidance</w:t>
      </w:r>
      <w:r w:rsidRPr="00D93427">
        <w:rPr>
          <w:rFonts w:eastAsia="SimSun"/>
          <w:vertAlign w:val="superscript"/>
          <w:lang w:eastAsia="zh-CN"/>
        </w:rPr>
        <w:t>1</w:t>
      </w:r>
      <w:r w:rsidR="00D93427" w:rsidRPr="00D93427">
        <w:rPr>
          <w:rFonts w:eastAsia="SimSun"/>
          <w:vertAlign w:val="superscript"/>
          <w:lang w:eastAsia="zh-CN"/>
        </w:rPr>
        <w:t>9</w:t>
      </w:r>
      <w:r w:rsidRPr="00D93427">
        <w:rPr>
          <w:rFonts w:eastAsia="SimSun"/>
          <w:lang w:eastAsia="zh-CN"/>
        </w:rPr>
        <w:t xml:space="preserve"> and adapted to fit the study context using data from a wider evaluation of non-medical prescribing</w:t>
      </w:r>
      <w:r w:rsidR="00D93427" w:rsidRPr="00D93427">
        <w:rPr>
          <w:rFonts w:eastAsia="SimSun"/>
          <w:vertAlign w:val="superscript"/>
          <w:lang w:eastAsia="zh-CN"/>
        </w:rPr>
        <w:t>20</w:t>
      </w:r>
      <w:r w:rsidRPr="00D93427">
        <w:rPr>
          <w:rFonts w:eastAsia="SimSun"/>
          <w:lang w:eastAsia="zh-CN"/>
        </w:rPr>
        <w:t>.</w:t>
      </w:r>
    </w:p>
    <w:p w:rsidR="009F63E5" w:rsidRDefault="009F63E5" w:rsidP="007D1917">
      <w:pPr>
        <w:spacing w:line="480" w:lineRule="auto"/>
      </w:pPr>
    </w:p>
    <w:p w:rsidR="009F63E5" w:rsidRPr="009F63E5" w:rsidRDefault="008E6658" w:rsidP="007D1917">
      <w:pPr>
        <w:spacing w:line="480" w:lineRule="auto"/>
        <w:rPr>
          <w:u w:val="single"/>
        </w:rPr>
      </w:pPr>
      <w:r w:rsidRPr="008E6658">
        <w:rPr>
          <w:rFonts w:eastAsia="SimSun"/>
          <w:u w:val="single"/>
          <w:lang w:eastAsia="zh-CN"/>
        </w:rPr>
        <w:t>The choice context and services on offer</w:t>
      </w:r>
    </w:p>
    <w:p w:rsidR="00332737" w:rsidRDefault="008E6658" w:rsidP="007D1917">
      <w:pPr>
        <w:spacing w:line="480" w:lineRule="auto"/>
      </w:pPr>
      <w:r w:rsidRPr="008E6658">
        <w:rPr>
          <w:rFonts w:eastAsia="SimSun"/>
          <w:lang w:eastAsia="zh-CN"/>
        </w:rPr>
        <w:lastRenderedPageBreak/>
        <w:t>The DCE approach relies on individuals considering the information presented to them and making informed choices by weighing up the differences in attribute levels of each choice.  Thus it is important to carefully attend to the presentation of choices; ensuring they are as realistic and familiar as possible to the intended respondents.</w:t>
      </w:r>
      <w:r w:rsidR="00464BD0">
        <w:t xml:space="preserve"> </w:t>
      </w:r>
      <w:r w:rsidRPr="008E6658">
        <w:rPr>
          <w:rFonts w:eastAsia="SimSun"/>
          <w:lang w:eastAsia="zh-CN"/>
        </w:rPr>
        <w:t>A primary care setting was selected because evidence from a national survey of the working practices of 862 NIPs carried out in the lead up to the study showed the most frequent setting for NIP consultations was primary care (39.1% general practice, 8.1% NHS Walk-in Centres)</w:t>
      </w:r>
      <w:r w:rsidR="001A125B">
        <w:rPr>
          <w:rFonts w:eastAsia="SimSun"/>
          <w:vertAlign w:val="superscript"/>
          <w:lang w:eastAsia="zh-CN"/>
        </w:rPr>
        <w:t>20</w:t>
      </w:r>
      <w:r w:rsidRPr="008E6658">
        <w:rPr>
          <w:rFonts w:eastAsia="SimSun"/>
          <w:lang w:eastAsia="zh-CN"/>
        </w:rPr>
        <w:t xml:space="preserve">.  It was </w:t>
      </w:r>
      <w:r w:rsidR="004938AF">
        <w:rPr>
          <w:rFonts w:eastAsia="SimSun"/>
          <w:lang w:eastAsia="zh-CN"/>
        </w:rPr>
        <w:t>a</w:t>
      </w:r>
      <w:r w:rsidRPr="008E6658">
        <w:rPr>
          <w:rFonts w:eastAsia="SimSun"/>
          <w:lang w:eastAsia="zh-CN"/>
        </w:rPr>
        <w:t>ssumed</w:t>
      </w:r>
      <w:r w:rsidR="004938AF">
        <w:rPr>
          <w:rFonts w:eastAsia="SimSun"/>
          <w:lang w:eastAsia="zh-CN"/>
        </w:rPr>
        <w:t xml:space="preserve"> our</w:t>
      </w:r>
      <w:r w:rsidRPr="008E6658">
        <w:rPr>
          <w:rFonts w:eastAsia="SimSun"/>
          <w:lang w:eastAsia="zh-CN"/>
        </w:rPr>
        <w:t xml:space="preserve"> survey respondents would be more likely to either have direct experience of nurse prescribers or be aware of their role in primary care.</w:t>
      </w:r>
      <w:r w:rsidR="00140C66" w:rsidRPr="00140C66">
        <w:t xml:space="preserve">  </w:t>
      </w:r>
    </w:p>
    <w:p w:rsidR="00140C66" w:rsidRDefault="00140C66" w:rsidP="007D1917">
      <w:pPr>
        <w:spacing w:line="480" w:lineRule="auto"/>
      </w:pPr>
    </w:p>
    <w:p w:rsidR="00140C66" w:rsidRDefault="004938AF" w:rsidP="00B31BBF">
      <w:pPr>
        <w:spacing w:line="480" w:lineRule="auto"/>
      </w:pPr>
      <w:r>
        <w:rPr>
          <w:rFonts w:eastAsia="SimSun"/>
          <w:lang w:eastAsia="zh-CN"/>
        </w:rPr>
        <w:t>T</w:t>
      </w:r>
      <w:r w:rsidR="008E6658" w:rsidRPr="008E6658">
        <w:rPr>
          <w:rFonts w:eastAsia="SimSun"/>
          <w:lang w:eastAsia="zh-CN"/>
        </w:rPr>
        <w:t>he choices presented had three alternatives: two alternative professional</w:t>
      </w:r>
      <w:r>
        <w:rPr>
          <w:rFonts w:eastAsia="SimSun"/>
          <w:lang w:eastAsia="zh-CN"/>
        </w:rPr>
        <w:t xml:space="preserve"> </w:t>
      </w:r>
      <w:r w:rsidR="008E6658" w:rsidRPr="008E6658">
        <w:rPr>
          <w:rFonts w:eastAsia="SimSun"/>
          <w:lang w:eastAsia="zh-CN"/>
        </w:rPr>
        <w:t>consultation</w:t>
      </w:r>
      <w:r>
        <w:rPr>
          <w:rFonts w:eastAsia="SimSun"/>
          <w:lang w:eastAsia="zh-CN"/>
        </w:rPr>
        <w:t>s</w:t>
      </w:r>
      <w:r w:rsidR="008E6658" w:rsidRPr="008E6658">
        <w:rPr>
          <w:rFonts w:eastAsia="SimSun"/>
          <w:lang w:eastAsia="zh-CN"/>
        </w:rPr>
        <w:t xml:space="preserve"> (described as ‘own doctor’ or ‘prescribing nurse’) and </w:t>
      </w:r>
      <w:r>
        <w:rPr>
          <w:rFonts w:eastAsia="SimSun"/>
          <w:lang w:eastAsia="zh-CN"/>
        </w:rPr>
        <w:t>a</w:t>
      </w:r>
      <w:r w:rsidR="008E6658" w:rsidRPr="008E6658">
        <w:rPr>
          <w:rFonts w:eastAsia="SimSun"/>
          <w:lang w:eastAsia="zh-CN"/>
        </w:rPr>
        <w:t xml:space="preserve"> ‘do nothing’ </w:t>
      </w:r>
      <w:r w:rsidR="00C95CEA">
        <w:rPr>
          <w:rFonts w:eastAsia="SimSun"/>
          <w:lang w:eastAsia="zh-CN"/>
        </w:rPr>
        <w:t xml:space="preserve">one </w:t>
      </w:r>
      <w:r w:rsidR="008E6658" w:rsidRPr="008E6658">
        <w:rPr>
          <w:rFonts w:eastAsia="SimSun"/>
          <w:lang w:eastAsia="zh-CN"/>
        </w:rPr>
        <w:t>(i.e. no primary care consultation).</w:t>
      </w:r>
      <w:r w:rsidR="00FC72B7">
        <w:t xml:space="preserve"> </w:t>
      </w:r>
      <w:r w:rsidR="00C95CEA" w:rsidRPr="00C95CEA">
        <w:t xml:space="preserve">By using three alternative choices we reflected good research practice (studies with more than two alternatives </w:t>
      </w:r>
      <w:r w:rsidR="00B31BBF">
        <w:t>have shown more robust results</w:t>
      </w:r>
      <w:r w:rsidR="00B31BBF" w:rsidRPr="00B31BBF">
        <w:rPr>
          <w:vertAlign w:val="superscript"/>
        </w:rPr>
        <w:t>21</w:t>
      </w:r>
      <w:r w:rsidR="00C95CEA" w:rsidRPr="00C95CEA">
        <w:t xml:space="preserve"> and those with more than three, excessive respondent burden and less reliable results</w:t>
      </w:r>
      <w:r w:rsidR="00B31BBF" w:rsidRPr="00B31BBF">
        <w:rPr>
          <w:vertAlign w:val="superscript"/>
        </w:rPr>
        <w:t>22</w:t>
      </w:r>
      <w:r w:rsidR="00C95CEA" w:rsidRPr="00C95CEA">
        <w:t>).  The ‘do nothing’ alternative added relevancy as it allowed for the fact that some respondents might not choose to attend for a consultation for the condition described; particularly if they did not perceive the symptoms to be sufficiently serious. By choosing ‘do nothing’ it was inferred that respondents could prefer other alternatives (wait for the symptoms to clear up in their own time, self-medicate, consult community pharmacist etc).  However the individual alternatives were not specified.</w:t>
      </w:r>
    </w:p>
    <w:p w:rsidR="00140C66" w:rsidRDefault="00140C66" w:rsidP="007D1917">
      <w:pPr>
        <w:spacing w:line="480" w:lineRule="auto"/>
      </w:pPr>
    </w:p>
    <w:p w:rsidR="00F77B61" w:rsidRDefault="008E6658" w:rsidP="006224C4">
      <w:pPr>
        <w:spacing w:line="480" w:lineRule="auto"/>
        <w:rPr>
          <w:rFonts w:eastAsia="SimSun"/>
          <w:lang w:eastAsia="zh-CN"/>
        </w:rPr>
      </w:pPr>
      <w:r w:rsidRPr="008E6658">
        <w:rPr>
          <w:rFonts w:eastAsia="SimSun"/>
          <w:lang w:eastAsia="zh-CN"/>
        </w:rPr>
        <w:lastRenderedPageBreak/>
        <w:t xml:space="preserve">Patients’ priorities for attributes of primary care vary depending on the reason for </w:t>
      </w:r>
      <w:r w:rsidRPr="001A125B">
        <w:rPr>
          <w:rFonts w:eastAsia="SimSun"/>
          <w:lang w:eastAsia="zh-CN"/>
        </w:rPr>
        <w:t>consulting</w:t>
      </w:r>
      <w:r w:rsidRPr="001A125B">
        <w:rPr>
          <w:rFonts w:eastAsia="SimSun"/>
          <w:vertAlign w:val="superscript"/>
          <w:lang w:eastAsia="zh-CN"/>
        </w:rPr>
        <w:t>1</w:t>
      </w:r>
      <w:r w:rsidR="001A125B" w:rsidRPr="001A125B">
        <w:rPr>
          <w:rFonts w:eastAsia="SimSun"/>
          <w:vertAlign w:val="superscript"/>
          <w:lang w:eastAsia="zh-CN"/>
        </w:rPr>
        <w:t>8</w:t>
      </w:r>
      <w:r w:rsidRPr="001A125B">
        <w:rPr>
          <w:rFonts w:eastAsia="SimSun"/>
          <w:vertAlign w:val="superscript"/>
          <w:lang w:eastAsia="zh-CN"/>
        </w:rPr>
        <w:t>,</w:t>
      </w:r>
      <w:r w:rsidR="001A125B" w:rsidRPr="001A125B">
        <w:rPr>
          <w:rFonts w:eastAsia="SimSun"/>
          <w:vertAlign w:val="superscript"/>
          <w:lang w:eastAsia="zh-CN"/>
        </w:rPr>
        <w:t>2</w:t>
      </w:r>
      <w:r w:rsidRPr="001A125B">
        <w:rPr>
          <w:rFonts w:eastAsia="SimSun"/>
          <w:vertAlign w:val="superscript"/>
          <w:lang w:eastAsia="zh-CN"/>
        </w:rPr>
        <w:t>1</w:t>
      </w:r>
      <w:r w:rsidRPr="001A125B">
        <w:rPr>
          <w:rFonts w:eastAsia="SimSun"/>
          <w:lang w:eastAsia="zh-CN"/>
        </w:rPr>
        <w:t>.  A</w:t>
      </w:r>
      <w:r w:rsidRPr="008E6658">
        <w:rPr>
          <w:rFonts w:eastAsia="SimSun"/>
          <w:lang w:eastAsia="zh-CN"/>
        </w:rPr>
        <w:t xml:space="preserve"> vignette was designed to contextualise the choices based on survey evidence</w:t>
      </w:r>
      <w:r w:rsidR="001A125B" w:rsidRPr="001A125B">
        <w:rPr>
          <w:rFonts w:eastAsia="SimSun"/>
          <w:vertAlign w:val="superscript"/>
          <w:lang w:eastAsia="zh-CN"/>
        </w:rPr>
        <w:t>20</w:t>
      </w:r>
      <w:r w:rsidRPr="008E6658">
        <w:rPr>
          <w:rFonts w:eastAsia="SimSun"/>
          <w:lang w:eastAsia="zh-CN"/>
        </w:rPr>
        <w:t>, expertise within the evaluation team and literature</w:t>
      </w:r>
      <w:r w:rsidRPr="008E6658">
        <w:rPr>
          <w:rFonts w:eastAsia="SimSun"/>
          <w:vertAlign w:val="superscript"/>
          <w:lang w:eastAsia="zh-CN"/>
        </w:rPr>
        <w:t>3-7,</w:t>
      </w:r>
      <w:r w:rsidR="001A125B">
        <w:rPr>
          <w:rFonts w:eastAsia="SimSun"/>
          <w:vertAlign w:val="superscript"/>
          <w:lang w:eastAsia="zh-CN"/>
        </w:rPr>
        <w:t>2</w:t>
      </w:r>
      <w:r w:rsidR="00B31BBF">
        <w:rPr>
          <w:rFonts w:eastAsia="SimSun"/>
          <w:vertAlign w:val="superscript"/>
          <w:lang w:eastAsia="zh-CN"/>
        </w:rPr>
        <w:t>3</w:t>
      </w:r>
      <w:r w:rsidRPr="008E6658">
        <w:rPr>
          <w:rFonts w:eastAsia="SimSun"/>
          <w:lang w:eastAsia="zh-CN"/>
        </w:rPr>
        <w:t xml:space="preserve">  and piloted for plausibility. Survey data showed that the group of patients that respondents reported prescribing for most frequently was those presenting with infection. In the vignette, the key presenting symptoms were headache, fever, aching bones and sore throat persisting for three days and when diagnosed, were typically considered as a minor, self-limiting illness</w:t>
      </w:r>
      <w:r w:rsidR="00C95CEA">
        <w:rPr>
          <w:rFonts w:eastAsia="SimSun"/>
          <w:lang w:eastAsia="zh-CN"/>
        </w:rPr>
        <w:t xml:space="preserve"> that can benefit from </w:t>
      </w:r>
      <w:r w:rsidR="00C95CEA" w:rsidRPr="00C95CEA">
        <w:rPr>
          <w:rFonts w:eastAsia="SimSun"/>
          <w:lang w:eastAsia="zh-CN"/>
        </w:rPr>
        <w:t>a professional consultation to obtain a diagnosis and, if needed, appropriate treatment to speed up the recovery process.</w:t>
      </w:r>
      <w:r w:rsidRPr="008E6658">
        <w:rPr>
          <w:rFonts w:eastAsia="SimSun"/>
          <w:lang w:eastAsia="zh-CN"/>
        </w:rPr>
        <w:t xml:space="preserve">.  </w:t>
      </w:r>
      <w:r w:rsidR="00C95CEA" w:rsidRPr="00C95CEA">
        <w:rPr>
          <w:rFonts w:eastAsia="SimSun"/>
          <w:lang w:eastAsia="zh-CN"/>
        </w:rPr>
        <w:t>Figure 1 shows the vignette for the minor illness and an example of a choice</w:t>
      </w:r>
      <w:r w:rsidR="00C95CEA">
        <w:rPr>
          <w:rFonts w:eastAsia="SimSun"/>
          <w:lang w:eastAsia="zh-CN"/>
        </w:rPr>
        <w:t>.</w:t>
      </w:r>
    </w:p>
    <w:p w:rsidR="00C95CEA" w:rsidRDefault="00C95CEA" w:rsidP="007D1917">
      <w:pPr>
        <w:spacing w:line="480" w:lineRule="auto"/>
      </w:pPr>
    </w:p>
    <w:p w:rsidR="00DE6D11" w:rsidRDefault="008E6658" w:rsidP="007D1917">
      <w:pPr>
        <w:spacing w:line="480" w:lineRule="auto"/>
      </w:pPr>
      <w:r w:rsidRPr="008E6658">
        <w:rPr>
          <w:rFonts w:eastAsia="SimSun"/>
          <w:lang w:eastAsia="zh-CN"/>
        </w:rPr>
        <w:t>INSERT FIGURE 1 ABOUT HERE</w:t>
      </w:r>
    </w:p>
    <w:p w:rsidR="00C95CEA" w:rsidRDefault="00C95CEA" w:rsidP="007D1917">
      <w:pPr>
        <w:spacing w:line="480" w:lineRule="auto"/>
        <w:rPr>
          <w:rFonts w:eastAsia="SimSun"/>
          <w:lang w:eastAsia="zh-CN"/>
        </w:rPr>
      </w:pPr>
    </w:p>
    <w:p w:rsidR="0035785A" w:rsidRDefault="008E6658" w:rsidP="007D1917">
      <w:pPr>
        <w:spacing w:line="480" w:lineRule="auto"/>
      </w:pPr>
      <w:r w:rsidRPr="008E6658">
        <w:rPr>
          <w:rFonts w:eastAsia="SimSun"/>
          <w:lang w:eastAsia="zh-CN"/>
        </w:rPr>
        <w:t>A ‘labelled’ choice experiment is used when it is expected labels attached to the alternatives have intrinsic value</w:t>
      </w:r>
      <w:r w:rsidR="001F211B">
        <w:rPr>
          <w:rFonts w:eastAsia="SimSun"/>
          <w:vertAlign w:val="superscript"/>
          <w:lang w:eastAsia="zh-CN"/>
        </w:rPr>
        <w:t>22</w:t>
      </w:r>
      <w:r w:rsidRPr="008E6658">
        <w:rPr>
          <w:rFonts w:eastAsia="SimSun"/>
          <w:lang w:eastAsia="zh-CN"/>
        </w:rPr>
        <w:t xml:space="preserve">.  Labelled alternatives were key to the current study given the primary interest in exploring how NIPs can have a greater role in primary care and whether or not patients would choose to consult them. </w:t>
      </w:r>
    </w:p>
    <w:p w:rsidR="00BB6C1D" w:rsidRDefault="00BB6C1D" w:rsidP="007D1917">
      <w:pPr>
        <w:spacing w:line="480" w:lineRule="auto"/>
      </w:pPr>
    </w:p>
    <w:p w:rsidR="009F63E5" w:rsidRPr="009F63E5" w:rsidRDefault="008E6658" w:rsidP="007D1917">
      <w:pPr>
        <w:spacing w:line="480" w:lineRule="auto"/>
        <w:rPr>
          <w:u w:val="single"/>
        </w:rPr>
      </w:pPr>
      <w:r w:rsidRPr="008E6658">
        <w:rPr>
          <w:rFonts w:eastAsia="SimSun"/>
          <w:u w:val="single"/>
          <w:lang w:eastAsia="zh-CN"/>
        </w:rPr>
        <w:t>Attributes and levels</w:t>
      </w:r>
    </w:p>
    <w:p w:rsidR="00E01B72" w:rsidRDefault="008E6658" w:rsidP="00B31BBF">
      <w:pPr>
        <w:spacing w:line="480" w:lineRule="auto"/>
      </w:pPr>
      <w:r w:rsidRPr="008E6658">
        <w:rPr>
          <w:rFonts w:eastAsia="SimSun"/>
          <w:lang w:eastAsia="zh-CN"/>
        </w:rPr>
        <w:t xml:space="preserve">Beyond who to consult, other attributes of the consultation were based on characteristics relevant to both the policy initiative to enhance the NIP role in developing front line health services and those relevant to developing a patient focused service.  Not surprisingly patients generally want better access to primary health services and a quality </w:t>
      </w:r>
      <w:r w:rsidRPr="008E6658">
        <w:rPr>
          <w:rFonts w:eastAsia="SimSun"/>
          <w:lang w:eastAsia="zh-CN"/>
        </w:rPr>
        <w:lastRenderedPageBreak/>
        <w:t>inter-personal relationship with the professional</w:t>
      </w:r>
      <w:r w:rsidRPr="008E6658">
        <w:rPr>
          <w:rFonts w:eastAsia="SimSun"/>
          <w:vertAlign w:val="superscript"/>
          <w:lang w:eastAsia="zh-CN"/>
        </w:rPr>
        <w:t>5,9,</w:t>
      </w:r>
      <w:r w:rsidR="00321892">
        <w:rPr>
          <w:rFonts w:eastAsia="SimSun"/>
          <w:vertAlign w:val="superscript"/>
          <w:lang w:eastAsia="zh-CN"/>
        </w:rPr>
        <w:t>11,</w:t>
      </w:r>
      <w:r w:rsidRPr="008E6658">
        <w:rPr>
          <w:rFonts w:eastAsia="SimSun"/>
          <w:vertAlign w:val="superscript"/>
          <w:lang w:eastAsia="zh-CN"/>
        </w:rPr>
        <w:t>13,16,1</w:t>
      </w:r>
      <w:r w:rsidR="00321892">
        <w:rPr>
          <w:rFonts w:eastAsia="SimSun"/>
          <w:vertAlign w:val="superscript"/>
          <w:lang w:eastAsia="zh-CN"/>
        </w:rPr>
        <w:t>7,21,</w:t>
      </w:r>
      <w:r w:rsidR="00B31BBF">
        <w:rPr>
          <w:rFonts w:eastAsia="SimSun"/>
          <w:vertAlign w:val="superscript"/>
          <w:lang w:eastAsia="zh-CN"/>
        </w:rPr>
        <w:t>24</w:t>
      </w:r>
      <w:r w:rsidR="00F366FD">
        <w:rPr>
          <w:rFonts w:eastAsia="SimSun"/>
          <w:vertAlign w:val="superscript"/>
          <w:lang w:eastAsia="zh-CN"/>
        </w:rPr>
        <w:t>,</w:t>
      </w:r>
      <w:r w:rsidRPr="008E6658">
        <w:rPr>
          <w:rFonts w:eastAsia="SimSun"/>
          <w:vertAlign w:val="superscript"/>
          <w:lang w:eastAsia="zh-CN"/>
        </w:rPr>
        <w:t>2</w:t>
      </w:r>
      <w:r w:rsidR="00B31BBF">
        <w:rPr>
          <w:rFonts w:eastAsia="SimSun"/>
          <w:vertAlign w:val="superscript"/>
          <w:lang w:eastAsia="zh-CN"/>
        </w:rPr>
        <w:t>5</w:t>
      </w:r>
      <w:r w:rsidRPr="008E6658">
        <w:rPr>
          <w:rFonts w:eastAsia="SimSun"/>
          <w:lang w:eastAsia="zh-CN"/>
        </w:rPr>
        <w:t>.  These factors are reflected, to some extent, in the routine monitoring of patient satisfaction in the GP Patient Survey</w:t>
      </w:r>
      <w:r w:rsidRPr="008E6658">
        <w:rPr>
          <w:rFonts w:eastAsia="SimSun"/>
          <w:vertAlign w:val="superscript"/>
          <w:lang w:eastAsia="zh-CN"/>
        </w:rPr>
        <w:t>2</w:t>
      </w:r>
      <w:r w:rsidR="00B31BBF">
        <w:rPr>
          <w:rFonts w:eastAsia="SimSun"/>
          <w:vertAlign w:val="superscript"/>
          <w:lang w:eastAsia="zh-CN"/>
        </w:rPr>
        <w:t>6</w:t>
      </w:r>
      <w:r w:rsidRPr="008E6658">
        <w:rPr>
          <w:rFonts w:eastAsia="SimSun"/>
          <w:lang w:eastAsia="zh-CN"/>
        </w:rPr>
        <w:t>.  In this study key characteristics were distilled into four distinct attributes.</w:t>
      </w:r>
      <w:r w:rsidR="00E01B72" w:rsidRPr="00E01B72">
        <w:t xml:space="preserve"> </w:t>
      </w:r>
    </w:p>
    <w:p w:rsidR="009F63E5" w:rsidRDefault="009F63E5" w:rsidP="007D1917">
      <w:pPr>
        <w:spacing w:line="480" w:lineRule="auto"/>
      </w:pPr>
    </w:p>
    <w:p w:rsidR="009F63E5" w:rsidRDefault="008E6658" w:rsidP="00B31BBF">
      <w:pPr>
        <w:spacing w:line="480" w:lineRule="auto"/>
      </w:pPr>
      <w:r w:rsidRPr="008E6658">
        <w:rPr>
          <w:rFonts w:eastAsia="SimSun"/>
          <w:lang w:eastAsia="zh-CN"/>
        </w:rPr>
        <w:t xml:space="preserve">The alternative-specific attribute ‘accessibility’ (ACCESS) was used for capturing differences in </w:t>
      </w:r>
      <w:r w:rsidRPr="008E6658">
        <w:rPr>
          <w:rFonts w:eastAsia="SimSun"/>
          <w:i/>
          <w:iCs/>
          <w:lang w:eastAsia="zh-CN"/>
        </w:rPr>
        <w:t>where</w:t>
      </w:r>
      <w:r w:rsidRPr="008E6658">
        <w:rPr>
          <w:rFonts w:eastAsia="SimSun"/>
          <w:lang w:eastAsia="zh-CN"/>
        </w:rPr>
        <w:t xml:space="preserve"> the patient wanted to make an appointment and </w:t>
      </w:r>
      <w:r w:rsidRPr="008E6658">
        <w:rPr>
          <w:rFonts w:eastAsia="SimSun"/>
          <w:i/>
          <w:iCs/>
          <w:lang w:eastAsia="zh-CN"/>
        </w:rPr>
        <w:t>length of time</w:t>
      </w:r>
      <w:r w:rsidRPr="008E6658">
        <w:rPr>
          <w:rFonts w:eastAsia="SimSun"/>
          <w:lang w:eastAsia="zh-CN"/>
        </w:rPr>
        <w:t xml:space="preserve"> to obtain one – the premise being that NIP appointments may be easier to obtain (patients are seen the next day at the surgery or same day at the Walk-in Centre (WiC) but it is usual to wait longer for a GP appointment) but more familiar premises (i.e. GP surgery) may be more preferred</w:t>
      </w:r>
      <w:r w:rsidR="00357EE7">
        <w:rPr>
          <w:rFonts w:eastAsia="SimSun"/>
          <w:vertAlign w:val="subscript"/>
          <w:lang w:eastAsia="zh-CN"/>
        </w:rPr>
        <w:t>.</w:t>
      </w:r>
      <w:r w:rsidR="00C95CEA">
        <w:rPr>
          <w:rFonts w:eastAsia="SimSun"/>
          <w:lang w:eastAsia="zh-CN"/>
        </w:rPr>
        <w:t xml:space="preserve">  </w:t>
      </w:r>
      <w:r w:rsidRPr="008E6658">
        <w:rPr>
          <w:rFonts w:eastAsia="SimSun"/>
          <w:lang w:eastAsia="zh-CN"/>
        </w:rPr>
        <w:t>The alternative-specific attribute ‘length of consultation’ (LENGTH) was used as studies have shown the importance of the length of a primary care consultation in patients’ experience of satisfactory consultations</w:t>
      </w:r>
      <w:r w:rsidRPr="008E6658">
        <w:rPr>
          <w:rFonts w:eastAsia="SimSun"/>
          <w:vertAlign w:val="superscript"/>
          <w:lang w:eastAsia="zh-CN"/>
        </w:rPr>
        <w:t>5,2</w:t>
      </w:r>
      <w:r w:rsidR="00B31BBF">
        <w:rPr>
          <w:rFonts w:eastAsia="SimSun"/>
          <w:vertAlign w:val="superscript"/>
          <w:lang w:eastAsia="zh-CN"/>
        </w:rPr>
        <w:t>7</w:t>
      </w:r>
      <w:r w:rsidRPr="008E6658">
        <w:rPr>
          <w:rFonts w:eastAsia="SimSun"/>
          <w:lang w:eastAsia="zh-CN"/>
        </w:rPr>
        <w:t>.  Further, the NIP survey of working practices showed NIP consultations are typically longer than a usual GP consultation</w:t>
      </w:r>
      <w:r w:rsidR="00357EE7">
        <w:rPr>
          <w:rFonts w:eastAsia="SimSun"/>
          <w:vertAlign w:val="superscript"/>
          <w:lang w:eastAsia="zh-CN"/>
        </w:rPr>
        <w:t>20</w:t>
      </w:r>
      <w:r w:rsidRPr="008E6658">
        <w:rPr>
          <w:rFonts w:eastAsia="SimSun"/>
          <w:lang w:eastAsia="zh-CN"/>
        </w:rPr>
        <w:t>, which, if they also enable high quality patient-professional interaction alongside competency in diagnosis and prescribing, may be more preferred.</w:t>
      </w:r>
      <w:r w:rsidR="009F63E5">
        <w:t xml:space="preserve"> </w:t>
      </w:r>
    </w:p>
    <w:p w:rsidR="009F63E5" w:rsidRDefault="009F63E5" w:rsidP="007D1917">
      <w:pPr>
        <w:spacing w:line="480" w:lineRule="auto"/>
      </w:pPr>
    </w:p>
    <w:p w:rsidR="009F63E5" w:rsidRDefault="008E6658" w:rsidP="00B31BBF">
      <w:pPr>
        <w:spacing w:line="480" w:lineRule="auto"/>
      </w:pPr>
      <w:r w:rsidRPr="008E6658">
        <w:rPr>
          <w:rFonts w:eastAsia="SimSun"/>
          <w:lang w:eastAsia="zh-CN"/>
        </w:rPr>
        <w:t>The attribute ‘professional’s attention paid to your views on your problem/medicines’  (ATTENTION) captured evidence that patients’, based on experience of consultations with NIPs, find them more approachable than GPs</w:t>
      </w:r>
      <w:r w:rsidR="00357EE7">
        <w:rPr>
          <w:rFonts w:eastAsia="SimSun"/>
          <w:vertAlign w:val="superscript"/>
          <w:lang w:eastAsia="zh-CN"/>
        </w:rPr>
        <w:t>11</w:t>
      </w:r>
      <w:r w:rsidRPr="008E6658">
        <w:rPr>
          <w:rFonts w:eastAsia="SimSun"/>
          <w:vertAlign w:val="superscript"/>
          <w:lang w:eastAsia="zh-CN"/>
        </w:rPr>
        <w:t>,1</w:t>
      </w:r>
      <w:r w:rsidR="00357EE7">
        <w:rPr>
          <w:rFonts w:eastAsia="SimSun"/>
          <w:vertAlign w:val="superscript"/>
          <w:lang w:eastAsia="zh-CN"/>
        </w:rPr>
        <w:t>2</w:t>
      </w:r>
      <w:r w:rsidRPr="008E6658">
        <w:rPr>
          <w:rFonts w:eastAsia="SimSun"/>
          <w:vertAlign w:val="superscript"/>
          <w:lang w:eastAsia="zh-CN"/>
        </w:rPr>
        <w:t>,2</w:t>
      </w:r>
      <w:r w:rsidR="00B31BBF">
        <w:rPr>
          <w:rFonts w:eastAsia="SimSun"/>
          <w:vertAlign w:val="superscript"/>
          <w:lang w:eastAsia="zh-CN"/>
        </w:rPr>
        <w:t>7</w:t>
      </w:r>
      <w:r w:rsidR="00357EE7">
        <w:rPr>
          <w:rFonts w:eastAsia="SimSun"/>
          <w:vertAlign w:val="superscript"/>
          <w:lang w:eastAsia="zh-CN"/>
        </w:rPr>
        <w:t>-2</w:t>
      </w:r>
      <w:r w:rsidR="00B31BBF">
        <w:rPr>
          <w:rFonts w:eastAsia="SimSun"/>
          <w:vertAlign w:val="superscript"/>
          <w:lang w:eastAsia="zh-CN"/>
        </w:rPr>
        <w:t>9</w:t>
      </w:r>
      <w:r w:rsidRPr="008E6658">
        <w:rPr>
          <w:rFonts w:eastAsia="SimSun"/>
          <w:lang w:eastAsia="zh-CN"/>
        </w:rPr>
        <w:t xml:space="preserve"> and more likely to elicit patient’s concerns and beliefs about the necessity of taking medicines, in turn more likely to lead to better adherence to medications</w:t>
      </w:r>
      <w:r w:rsidR="00B31BBF">
        <w:rPr>
          <w:rFonts w:eastAsia="SimSun"/>
          <w:vertAlign w:val="superscript"/>
          <w:lang w:eastAsia="zh-CN"/>
        </w:rPr>
        <w:t>30</w:t>
      </w:r>
      <w:r w:rsidRPr="008E6658">
        <w:rPr>
          <w:rFonts w:eastAsia="SimSun"/>
          <w:lang w:eastAsia="zh-CN"/>
        </w:rPr>
        <w:t>.</w:t>
      </w:r>
      <w:r w:rsidR="009F63E5">
        <w:t xml:space="preserve"> </w:t>
      </w:r>
      <w:r w:rsidR="006A3AAD">
        <w:t xml:space="preserve"> </w:t>
      </w:r>
      <w:r w:rsidR="00C95CEA">
        <w:t xml:space="preserve"> </w:t>
      </w:r>
      <w:r w:rsidRPr="008E6658">
        <w:rPr>
          <w:rFonts w:eastAsia="SimSun"/>
          <w:lang w:eastAsia="zh-CN"/>
        </w:rPr>
        <w:t xml:space="preserve">The attribute, ‘help offered’ (HELP), reflected the aim of NIP to offer complete episodes of care by offering prescribing </w:t>
      </w:r>
      <w:r w:rsidRPr="008E6658">
        <w:rPr>
          <w:rFonts w:eastAsia="SimSun"/>
          <w:lang w:eastAsia="zh-CN"/>
        </w:rPr>
        <w:lastRenderedPageBreak/>
        <w:t>alongside diagnosis within their area of competency.  In turn, extending the nursing role in primary care in this way offers patients a different choice from traditional nurse consultations in which prescribing would not have featured.</w:t>
      </w:r>
      <w:r w:rsidR="00191CAC">
        <w:t xml:space="preserve"> </w:t>
      </w:r>
    </w:p>
    <w:p w:rsidR="009F63E5" w:rsidRDefault="009F63E5" w:rsidP="007D1917">
      <w:pPr>
        <w:spacing w:line="480" w:lineRule="auto"/>
      </w:pPr>
    </w:p>
    <w:p w:rsidR="009F63E5" w:rsidRDefault="008E6658" w:rsidP="00B31BBF">
      <w:pPr>
        <w:spacing w:line="480" w:lineRule="auto"/>
      </w:pPr>
      <w:r w:rsidRPr="008E6658">
        <w:rPr>
          <w:rFonts w:eastAsia="SimSun"/>
          <w:lang w:eastAsia="zh-CN"/>
        </w:rPr>
        <w:t>The levels assigned to attributes were identified with the help of NIP national survey data, GP Patient Survey</w:t>
      </w:r>
      <w:r w:rsidRPr="008E6658">
        <w:rPr>
          <w:rFonts w:eastAsia="SimSun"/>
          <w:vertAlign w:val="superscript"/>
          <w:lang w:eastAsia="zh-CN"/>
        </w:rPr>
        <w:t>2</w:t>
      </w:r>
      <w:r w:rsidR="00B31BBF">
        <w:rPr>
          <w:rFonts w:eastAsia="SimSun"/>
          <w:vertAlign w:val="superscript"/>
          <w:lang w:eastAsia="zh-CN"/>
        </w:rPr>
        <w:t>6</w:t>
      </w:r>
      <w:r w:rsidRPr="008E6658">
        <w:rPr>
          <w:rFonts w:eastAsia="SimSun"/>
          <w:lang w:eastAsia="zh-CN"/>
        </w:rPr>
        <w:t>, expertise within the research team and literature</w:t>
      </w:r>
      <w:r w:rsidRPr="008E6658">
        <w:rPr>
          <w:rFonts w:eastAsia="SimSun"/>
          <w:vertAlign w:val="superscript"/>
          <w:lang w:eastAsia="zh-CN"/>
        </w:rPr>
        <w:t xml:space="preserve">5,7,11,12  </w:t>
      </w:r>
      <w:r w:rsidRPr="008E6658">
        <w:rPr>
          <w:rFonts w:eastAsia="SimSun"/>
          <w:lang w:eastAsia="zh-CN"/>
        </w:rPr>
        <w:t>(Table 1).</w:t>
      </w:r>
      <w:r w:rsidR="009F63E5">
        <w:t xml:space="preserve"> </w:t>
      </w:r>
    </w:p>
    <w:p w:rsidR="00CC51C4" w:rsidRDefault="00CC51C4" w:rsidP="007D1917">
      <w:pPr>
        <w:spacing w:line="480" w:lineRule="auto"/>
      </w:pPr>
    </w:p>
    <w:p w:rsidR="00CC51C4" w:rsidRDefault="008E6658" w:rsidP="007D1917">
      <w:pPr>
        <w:spacing w:line="480" w:lineRule="auto"/>
      </w:pPr>
      <w:r w:rsidRPr="008E6658">
        <w:rPr>
          <w:rFonts w:eastAsia="SimSun"/>
          <w:lang w:eastAsia="zh-CN"/>
        </w:rPr>
        <w:t>INSERT TABLE 1 ABOUT HERE</w:t>
      </w:r>
    </w:p>
    <w:p w:rsidR="009F63E5" w:rsidRDefault="009F63E5" w:rsidP="007D1917">
      <w:pPr>
        <w:spacing w:line="480" w:lineRule="auto"/>
      </w:pPr>
    </w:p>
    <w:p w:rsidR="009F63E5" w:rsidRPr="009F63E5" w:rsidRDefault="008E6658" w:rsidP="007D1917">
      <w:pPr>
        <w:spacing w:line="480" w:lineRule="auto"/>
        <w:rPr>
          <w:u w:val="single"/>
        </w:rPr>
      </w:pPr>
      <w:r w:rsidRPr="008E6658">
        <w:rPr>
          <w:rFonts w:eastAsia="SimSun"/>
          <w:u w:val="single"/>
          <w:lang w:eastAsia="zh-CN"/>
        </w:rPr>
        <w:t>Experimental design</w:t>
      </w:r>
    </w:p>
    <w:p w:rsidR="009F63E5" w:rsidRDefault="008E6658" w:rsidP="007D1917">
      <w:pPr>
        <w:spacing w:line="480" w:lineRule="auto"/>
      </w:pPr>
      <w:r w:rsidRPr="008E6658">
        <w:rPr>
          <w:rFonts w:eastAsia="SimSun"/>
          <w:lang w:eastAsia="zh-CN"/>
        </w:rPr>
        <w:t>Current practice was followed to design the choice sets for the health professional alternatives</w:t>
      </w:r>
      <w:r w:rsidRPr="008E6658">
        <w:rPr>
          <w:rFonts w:eastAsia="SimSun"/>
          <w:vertAlign w:val="superscript"/>
          <w:lang w:eastAsia="zh-CN"/>
        </w:rPr>
        <w:t>14,17</w:t>
      </w:r>
      <w:r w:rsidRPr="008E6658">
        <w:rPr>
          <w:rFonts w:eastAsia="SimSun"/>
          <w:lang w:eastAsia="zh-CN"/>
        </w:rPr>
        <w:t>.   An online design catalogue was used to derive an orthogonal fractional factorial design (i.e. uncorrelated levels of attributes) with 16 profiles (</w:t>
      </w:r>
      <w:hyperlink r:id="rId10" w:history="1">
        <w:r w:rsidRPr="008E6658">
          <w:rPr>
            <w:rStyle w:val="Hyperlink"/>
            <w:rFonts w:eastAsia="SimSun"/>
            <w:lang w:eastAsia="zh-CN"/>
          </w:rPr>
          <w:t>www.research.att.com/~njas/oadir/</w:t>
        </w:r>
      </w:hyperlink>
      <w:r w:rsidRPr="008E6658">
        <w:rPr>
          <w:rFonts w:eastAsia="SimSun"/>
          <w:lang w:eastAsia="zh-CN"/>
        </w:rPr>
        <w:t>).  The second choice was created using a systematic level change (a standard approach where design codes assigned to the attribute increases by a constant factor to produce a uniquely different set of alternatives.  Presenting a third fixed choice (‘do nothing’) meant statistical properties and statistical efficiency of the final design was checked following piloting and the identification of attribute levels for this fixed option.   Total number of choices to individuals was minimised by blocking the experimental design into four different questionnaire versions incorporating four choices each.  The design allows for a main effects model to be estimated. (Details available upon request.)</w:t>
      </w:r>
    </w:p>
    <w:p w:rsidR="009F63E5" w:rsidRDefault="009F63E5" w:rsidP="007D1917">
      <w:pPr>
        <w:spacing w:line="480" w:lineRule="auto"/>
      </w:pPr>
    </w:p>
    <w:p w:rsidR="009F63E5" w:rsidRPr="009F63E5" w:rsidRDefault="002A1342" w:rsidP="007D1917">
      <w:pPr>
        <w:spacing w:line="480" w:lineRule="auto"/>
        <w:rPr>
          <w:u w:val="single"/>
        </w:rPr>
      </w:pPr>
      <w:r>
        <w:rPr>
          <w:rFonts w:eastAsia="SimSun"/>
          <w:u w:val="single"/>
          <w:lang w:eastAsia="zh-CN"/>
        </w:rPr>
        <w:t>Survey</w:t>
      </w:r>
    </w:p>
    <w:p w:rsidR="009E3053" w:rsidRDefault="008E6658" w:rsidP="00B31BBF">
      <w:pPr>
        <w:spacing w:line="480" w:lineRule="auto"/>
      </w:pPr>
      <w:r w:rsidRPr="008E6658">
        <w:rPr>
          <w:rFonts w:eastAsia="SimSun"/>
          <w:lang w:eastAsia="zh-CN"/>
        </w:rPr>
        <w:t>Data were collected through a self-complete DCE questionnaire.  This was piloted with twelve patients attending a general practice.  The instrument included a section on the choices (an additional pseudo choice was added to check ‘consistency’ of responses using a choice with one alternative clearly better and therefore preferred). It also included a section asking about socio-economic background, current health and use of primary care services.</w:t>
      </w:r>
      <w:r w:rsidR="002A1342">
        <w:rPr>
          <w:rFonts w:eastAsia="SimSun"/>
          <w:lang w:eastAsia="zh-CN"/>
        </w:rPr>
        <w:t xml:space="preserve">  </w:t>
      </w:r>
      <w:r w:rsidRPr="008E6658">
        <w:rPr>
          <w:rFonts w:eastAsia="SimSun"/>
          <w:lang w:eastAsia="zh-CN"/>
        </w:rPr>
        <w:t xml:space="preserve">The survey was conducted during Winter 2009 in five general practices geographically spread across England whose practitioner teams included non-medical prescribers. Respondents were current patients waiting to see health professionals on the days of data collection. It was not of concern what health problem respondents were waiting to be seen for on the day, rather they were regarded as typical general practice patients.  Each practice was asked to personally hand out 150 questionnaires. As each practice was unable to keep close track of numbers of questionnaires distributed it was not possible to calculate a response rate. Each practice had a minimum target response of 105 questionnaires (70%). This sample size provided opportunity to explore subgroup analysis and respondent </w:t>
      </w:r>
      <w:r w:rsidR="002A1342">
        <w:rPr>
          <w:rFonts w:eastAsia="SimSun"/>
          <w:lang w:eastAsia="zh-CN"/>
        </w:rPr>
        <w:t>variation</w:t>
      </w:r>
      <w:r w:rsidR="00B42A1D">
        <w:rPr>
          <w:rFonts w:eastAsia="SimSun"/>
          <w:vertAlign w:val="superscript"/>
          <w:lang w:eastAsia="zh-CN"/>
        </w:rPr>
        <w:t>3</w:t>
      </w:r>
      <w:r w:rsidR="00B31BBF">
        <w:rPr>
          <w:rFonts w:eastAsia="SimSun"/>
          <w:vertAlign w:val="superscript"/>
          <w:lang w:eastAsia="zh-CN"/>
        </w:rPr>
        <w:t>1</w:t>
      </w:r>
      <w:r w:rsidR="00801A61">
        <w:rPr>
          <w:rFonts w:eastAsia="SimSun"/>
          <w:vertAlign w:val="superscript"/>
          <w:lang w:eastAsia="zh-CN"/>
        </w:rPr>
        <w:t>-3</w:t>
      </w:r>
      <w:r w:rsidR="00B31BBF">
        <w:rPr>
          <w:rFonts w:eastAsia="SimSun"/>
          <w:vertAlign w:val="superscript"/>
          <w:lang w:eastAsia="zh-CN"/>
        </w:rPr>
        <w:t>3</w:t>
      </w:r>
      <w:r w:rsidRPr="008E6658">
        <w:rPr>
          <w:rFonts w:eastAsia="SimSun"/>
          <w:lang w:eastAsia="zh-CN"/>
        </w:rPr>
        <w:t>.</w:t>
      </w:r>
      <w:r w:rsidR="009F63E5">
        <w:t xml:space="preserve">  </w:t>
      </w:r>
      <w:r w:rsidR="002A1342">
        <w:t xml:space="preserve">  </w:t>
      </w:r>
      <w:r w:rsidRPr="008E6658">
        <w:rPr>
          <w:rFonts w:eastAsia="SimSun"/>
          <w:lang w:eastAsia="zh-CN"/>
        </w:rPr>
        <w:t>NHS Ethics approval was obtained from Dorset Research Ethics Committee in February 2009, REC Ref No 08/H0201/163.</w:t>
      </w:r>
      <w:r w:rsidR="00C5161A" w:rsidRPr="00C5161A">
        <w:t xml:space="preserve">  </w:t>
      </w:r>
    </w:p>
    <w:p w:rsidR="00C5161A" w:rsidRDefault="00C5161A" w:rsidP="007D1917">
      <w:pPr>
        <w:spacing w:line="480" w:lineRule="auto"/>
      </w:pPr>
    </w:p>
    <w:p w:rsidR="00FA3FF1" w:rsidRPr="003B11AC" w:rsidRDefault="008E6658" w:rsidP="007D1917">
      <w:pPr>
        <w:spacing w:line="480" w:lineRule="auto"/>
        <w:rPr>
          <w:u w:val="single"/>
        </w:rPr>
      </w:pPr>
      <w:r w:rsidRPr="008E6658">
        <w:rPr>
          <w:rFonts w:eastAsia="SimSun"/>
          <w:u w:val="single"/>
          <w:lang w:eastAsia="zh-CN"/>
        </w:rPr>
        <w:t>Data analysis and validity</w:t>
      </w:r>
    </w:p>
    <w:p w:rsidR="00497DDD" w:rsidRPr="00497DDD" w:rsidRDefault="008E6658" w:rsidP="00B31BBF">
      <w:pPr>
        <w:spacing w:line="480" w:lineRule="auto"/>
        <w:jc w:val="both"/>
      </w:pPr>
      <w:r w:rsidRPr="008E6658">
        <w:rPr>
          <w:rFonts w:eastAsia="SimSun"/>
          <w:lang w:eastAsia="zh-CN"/>
        </w:rPr>
        <w:t>Alternative econometric models are available to analyse choice data</w:t>
      </w:r>
      <w:r w:rsidR="00B42A1D">
        <w:rPr>
          <w:rFonts w:eastAsia="SimSun"/>
          <w:vertAlign w:val="superscript"/>
          <w:lang w:eastAsia="zh-CN"/>
        </w:rPr>
        <w:t>19</w:t>
      </w:r>
      <w:r w:rsidRPr="008E6658">
        <w:rPr>
          <w:rFonts w:eastAsia="SimSun"/>
          <w:vertAlign w:val="superscript"/>
          <w:lang w:eastAsia="zh-CN"/>
        </w:rPr>
        <w:t>,</w:t>
      </w:r>
      <w:r w:rsidR="00B42A1D">
        <w:rPr>
          <w:rFonts w:eastAsia="SimSun"/>
          <w:vertAlign w:val="superscript"/>
          <w:lang w:eastAsia="zh-CN"/>
        </w:rPr>
        <w:t>2</w:t>
      </w:r>
      <w:r w:rsidR="00B31BBF">
        <w:rPr>
          <w:rFonts w:eastAsia="SimSun"/>
          <w:vertAlign w:val="superscript"/>
          <w:lang w:eastAsia="zh-CN"/>
        </w:rPr>
        <w:t>1</w:t>
      </w:r>
      <w:r w:rsidRPr="008E6658">
        <w:rPr>
          <w:rFonts w:eastAsia="SimSun"/>
          <w:lang w:eastAsia="zh-CN"/>
        </w:rPr>
        <w:t xml:space="preserve">, we present results using the multinomial logit model (MNL).  This was found to be the most statistically efficient of a number of models tested using BIOGEME software </w:t>
      </w:r>
      <w:r w:rsidRPr="008E6658">
        <w:rPr>
          <w:rFonts w:eastAsia="SimSun"/>
          <w:lang w:eastAsia="zh-CN"/>
        </w:rPr>
        <w:lastRenderedPageBreak/>
        <w:t>(</w:t>
      </w:r>
      <w:hyperlink r:id="rId11" w:history="1">
        <w:r w:rsidRPr="008E6658">
          <w:rPr>
            <w:rStyle w:val="Hyperlink"/>
            <w:rFonts w:eastAsia="SimSun"/>
            <w:lang w:eastAsia="zh-CN"/>
          </w:rPr>
          <w:t>http://biogeme.epfl.ch/</w:t>
        </w:r>
      </w:hyperlink>
      <w:r w:rsidRPr="008E6658">
        <w:rPr>
          <w:rFonts w:eastAsia="SimSun"/>
          <w:lang w:eastAsia="zh-CN"/>
        </w:rPr>
        <w:t>) (details upon request).</w:t>
      </w:r>
      <w:r w:rsidR="005212CD">
        <w:t xml:space="preserve">  </w:t>
      </w:r>
      <w:r w:rsidRPr="008E6658">
        <w:rPr>
          <w:rFonts w:eastAsia="SimSun"/>
          <w:lang w:eastAsia="zh-CN"/>
        </w:rPr>
        <w:t xml:space="preserve">Prior to full analysis the estimated models were checked for theoretical validity by considering the sign on the coefficients of the alternative-specific constants and attributes. Table 2 shows the descriptions of the variables included and the </w:t>
      </w:r>
      <w:r w:rsidRPr="008E6658">
        <w:rPr>
          <w:rFonts w:eastAsia="SimSun"/>
          <w:i/>
          <w:iCs/>
          <w:lang w:eastAsia="zh-CN"/>
        </w:rPr>
        <w:t>a priori</w:t>
      </w:r>
      <w:r w:rsidRPr="008E6658">
        <w:rPr>
          <w:rFonts w:eastAsia="SimSun"/>
          <w:lang w:eastAsia="zh-CN"/>
        </w:rPr>
        <w:t xml:space="preserve"> hypothesis expected for the sign of each coefficient. T</w:t>
      </w:r>
      <w:r w:rsidR="002A1342">
        <w:rPr>
          <w:rFonts w:eastAsia="SimSun"/>
          <w:lang w:eastAsia="zh-CN"/>
        </w:rPr>
        <w:t>he t</w:t>
      </w:r>
      <w:r w:rsidRPr="008E6658">
        <w:rPr>
          <w:rFonts w:eastAsia="SimSun"/>
          <w:lang w:eastAsia="zh-CN"/>
        </w:rPr>
        <w:t>able then describe</w:t>
      </w:r>
      <w:r w:rsidR="002A1342">
        <w:rPr>
          <w:rFonts w:eastAsia="SimSun"/>
          <w:lang w:eastAsia="zh-CN"/>
        </w:rPr>
        <w:t>s</w:t>
      </w:r>
      <w:r w:rsidRPr="008E6658">
        <w:rPr>
          <w:rFonts w:eastAsia="SimSun"/>
          <w:lang w:eastAsia="zh-CN"/>
        </w:rPr>
        <w:t xml:space="preserve"> the arguments in the </w:t>
      </w:r>
      <w:r w:rsidR="002A1342" w:rsidRPr="002A1342">
        <w:rPr>
          <w:rFonts w:eastAsia="SimSun"/>
          <w:lang w:eastAsia="zh-CN"/>
        </w:rPr>
        <w:t xml:space="preserve">‘own doctor’ </w:t>
      </w:r>
      <w:r w:rsidRPr="008E6658">
        <w:rPr>
          <w:rFonts w:eastAsia="SimSun"/>
          <w:lang w:eastAsia="zh-CN"/>
        </w:rPr>
        <w:t>utility function</w:t>
      </w:r>
      <w:r w:rsidR="002A1342">
        <w:rPr>
          <w:rFonts w:eastAsia="SimSun"/>
          <w:lang w:eastAsia="zh-CN"/>
        </w:rPr>
        <w:t xml:space="preserve"> </w:t>
      </w:r>
      <w:r w:rsidR="002A1342" w:rsidRPr="002A1342">
        <w:rPr>
          <w:rFonts w:eastAsia="SimSun"/>
          <w:lang w:eastAsia="zh-CN"/>
        </w:rPr>
        <w:t xml:space="preserve">(Equation 1) </w:t>
      </w:r>
      <w:r w:rsidRPr="008E6658">
        <w:rPr>
          <w:rFonts w:eastAsia="SimSun"/>
          <w:lang w:eastAsia="zh-CN"/>
        </w:rPr>
        <w:t>and ‘</w:t>
      </w:r>
      <w:r w:rsidR="002A1342">
        <w:rPr>
          <w:rFonts w:eastAsia="SimSun"/>
          <w:lang w:eastAsia="zh-CN"/>
        </w:rPr>
        <w:t>NIP</w:t>
      </w:r>
      <w:r w:rsidRPr="008E6658">
        <w:rPr>
          <w:rFonts w:eastAsia="SimSun"/>
          <w:lang w:eastAsia="zh-CN"/>
        </w:rPr>
        <w:t xml:space="preserve">’ </w:t>
      </w:r>
      <w:r w:rsidR="002A1342" w:rsidRPr="002A1342">
        <w:rPr>
          <w:rFonts w:eastAsia="SimSun"/>
          <w:lang w:eastAsia="zh-CN"/>
        </w:rPr>
        <w:t xml:space="preserve">utility function </w:t>
      </w:r>
      <w:r w:rsidRPr="008E6658">
        <w:rPr>
          <w:rFonts w:eastAsia="SimSun"/>
          <w:lang w:eastAsia="zh-CN"/>
        </w:rPr>
        <w:t xml:space="preserve">(Equation 2) respectively. </w:t>
      </w:r>
      <w:r w:rsidR="002A1342">
        <w:rPr>
          <w:rFonts w:eastAsia="SimSun"/>
          <w:lang w:eastAsia="zh-CN"/>
        </w:rPr>
        <w:t xml:space="preserve"> The labels for ‘own doctor’ ‘prescribing nurse’ alternatives are accounted for as alternative-specific constants (</w:t>
      </w:r>
      <w:r w:rsidR="002A1342">
        <w:rPr>
          <w:rFonts w:ascii="Cambria Math" w:eastAsia="SimSun" w:hAnsi="Cambria Math"/>
          <w:lang w:eastAsia="zh-CN"/>
        </w:rPr>
        <w:t>𝛼</w:t>
      </w:r>
      <w:r w:rsidR="002A1342">
        <w:rPr>
          <w:rFonts w:eastAsia="SimSun"/>
          <w:lang w:eastAsia="zh-CN"/>
        </w:rPr>
        <w:t xml:space="preserve">1 and </w:t>
      </w:r>
      <w:r w:rsidR="002A1342">
        <w:rPr>
          <w:rFonts w:ascii="Cambria Math" w:eastAsia="SimSun" w:hAnsi="Cambria Math"/>
          <w:lang w:eastAsia="zh-CN"/>
        </w:rPr>
        <w:t>𝛼</w:t>
      </w:r>
      <w:r w:rsidR="002A1342">
        <w:rPr>
          <w:rFonts w:eastAsia="SimSun"/>
          <w:lang w:eastAsia="zh-CN"/>
        </w:rPr>
        <w:t xml:space="preserve">2) within each utility function respectively. </w:t>
      </w:r>
      <w:r w:rsidRPr="008E6658">
        <w:rPr>
          <w:rFonts w:eastAsia="SimSun"/>
          <w:lang w:eastAsia="zh-CN"/>
        </w:rPr>
        <w:t>We expected respondents to prefer longer consultations and higher levels of quality relating to the patient-professional interaction of their patient experience.  In other words positive signs for all attributes were expected.</w:t>
      </w:r>
      <w:r w:rsidR="00497DDD">
        <w:t xml:space="preserve"> </w:t>
      </w:r>
    </w:p>
    <w:p w:rsidR="00497DDD" w:rsidRDefault="00497DDD" w:rsidP="007D1917">
      <w:pPr>
        <w:spacing w:line="480" w:lineRule="auto"/>
        <w:jc w:val="both"/>
      </w:pPr>
    </w:p>
    <w:p w:rsidR="00497DDD" w:rsidRDefault="008E6658" w:rsidP="007D1917">
      <w:pPr>
        <w:spacing w:line="480" w:lineRule="auto"/>
        <w:jc w:val="both"/>
      </w:pPr>
      <w:r w:rsidRPr="008E6658">
        <w:rPr>
          <w:rFonts w:eastAsia="SimSun"/>
          <w:lang w:eastAsia="zh-CN"/>
        </w:rPr>
        <w:t>INSERT TABLE 2 ABOUT HERE</w:t>
      </w:r>
    </w:p>
    <w:p w:rsidR="00497DDD" w:rsidRDefault="00497DDD" w:rsidP="007D1917">
      <w:pPr>
        <w:spacing w:line="480" w:lineRule="auto"/>
        <w:jc w:val="both"/>
      </w:pPr>
    </w:p>
    <w:p w:rsidR="005212CD" w:rsidRDefault="008E6658" w:rsidP="007D1917">
      <w:pPr>
        <w:spacing w:line="480" w:lineRule="auto"/>
      </w:pPr>
      <w:r w:rsidRPr="008E6658">
        <w:rPr>
          <w:rFonts w:eastAsia="SimSun"/>
          <w:lang w:eastAsia="zh-CN"/>
        </w:rPr>
        <w:t>We investigated the impact differences in patient characteristics had on choice through a number of hypotheses.  For example, we hypothesised that individuals with poorer health may be more likely to choose the ‘own doctor’ alternative on the basis that these individuals are more likely to have a pre-existing relationship with their doctor</w:t>
      </w:r>
      <w:r w:rsidRPr="008E6658">
        <w:rPr>
          <w:rFonts w:eastAsia="SimSun"/>
          <w:vertAlign w:val="superscript"/>
          <w:lang w:eastAsia="zh-CN"/>
        </w:rPr>
        <w:t>5</w:t>
      </w:r>
      <w:r w:rsidRPr="008E6658">
        <w:rPr>
          <w:rFonts w:eastAsia="SimSun"/>
          <w:lang w:eastAsia="zh-CN"/>
        </w:rPr>
        <w:t xml:space="preserve">.  However, as we found no significant </w:t>
      </w:r>
      <w:r w:rsidR="00351BC4">
        <w:rPr>
          <w:rFonts w:eastAsia="SimSun"/>
          <w:lang w:eastAsia="zh-CN"/>
        </w:rPr>
        <w:t xml:space="preserve">variation </w:t>
      </w:r>
      <w:r w:rsidRPr="008E6658">
        <w:rPr>
          <w:rFonts w:eastAsia="SimSun"/>
          <w:lang w:eastAsia="zh-CN"/>
        </w:rPr>
        <w:t>to report we use the results and findings from the basic main effects regression, Model 1.</w:t>
      </w:r>
      <w:r w:rsidR="003C2A04">
        <w:t xml:space="preserve">  </w:t>
      </w:r>
      <w:r w:rsidRPr="008E6658">
        <w:rPr>
          <w:rFonts w:eastAsia="SimSun"/>
          <w:lang w:eastAsia="zh-CN"/>
        </w:rPr>
        <w:t xml:space="preserve">It was expected that patients with experience of consulting a NIP previously would be more likely to choose the ‘nurse prescribing’ alternative given the importance of experience has previously been </w:t>
      </w:r>
      <w:r w:rsidRPr="00740D82">
        <w:rPr>
          <w:rFonts w:eastAsia="SimSun"/>
          <w:lang w:eastAsia="zh-CN"/>
        </w:rPr>
        <w:t>demonstrated</w:t>
      </w:r>
      <w:r w:rsidR="00740D82" w:rsidRPr="00740D82">
        <w:rPr>
          <w:rFonts w:eastAsia="SimSun"/>
          <w:vertAlign w:val="superscript"/>
          <w:lang w:eastAsia="zh-CN"/>
        </w:rPr>
        <w:t>11</w:t>
      </w:r>
      <w:r w:rsidRPr="00740D82">
        <w:rPr>
          <w:rFonts w:eastAsia="SimSun"/>
          <w:vertAlign w:val="superscript"/>
          <w:lang w:eastAsia="zh-CN"/>
        </w:rPr>
        <w:t>,</w:t>
      </w:r>
      <w:r w:rsidR="00740D82" w:rsidRPr="00740D82">
        <w:rPr>
          <w:rFonts w:eastAsia="SimSun"/>
          <w:vertAlign w:val="superscript"/>
          <w:lang w:eastAsia="zh-CN"/>
        </w:rPr>
        <w:t>12</w:t>
      </w:r>
      <w:r w:rsidR="006553F8">
        <w:rPr>
          <w:rFonts w:eastAsia="SimSun"/>
          <w:vertAlign w:val="superscript"/>
          <w:lang w:eastAsia="zh-CN"/>
        </w:rPr>
        <w:t>,15</w:t>
      </w:r>
      <w:r w:rsidRPr="00740D82">
        <w:rPr>
          <w:rFonts w:eastAsia="SimSun"/>
          <w:lang w:eastAsia="zh-CN"/>
        </w:rPr>
        <w:t xml:space="preserve">.   </w:t>
      </w:r>
      <w:r w:rsidR="00351BC4" w:rsidRPr="00740D82">
        <w:rPr>
          <w:rFonts w:eastAsia="SimSun"/>
          <w:lang w:eastAsia="zh-CN"/>
        </w:rPr>
        <w:t>Model</w:t>
      </w:r>
      <w:r w:rsidR="00351BC4">
        <w:rPr>
          <w:rFonts w:eastAsia="SimSun"/>
          <w:lang w:eastAsia="zh-CN"/>
        </w:rPr>
        <w:t xml:space="preserve"> 2</w:t>
      </w:r>
      <w:r w:rsidRPr="008E6658">
        <w:rPr>
          <w:rFonts w:eastAsia="SimSun"/>
          <w:lang w:eastAsia="zh-CN"/>
        </w:rPr>
        <w:t xml:space="preserve"> estimate</w:t>
      </w:r>
      <w:r w:rsidR="00351BC4">
        <w:rPr>
          <w:rFonts w:eastAsia="SimSun"/>
          <w:lang w:eastAsia="zh-CN"/>
        </w:rPr>
        <w:t>s</w:t>
      </w:r>
      <w:r w:rsidRPr="008E6658">
        <w:rPr>
          <w:rFonts w:eastAsia="SimSun"/>
          <w:lang w:eastAsia="zh-CN"/>
        </w:rPr>
        <w:t xml:space="preserve"> the utility function </w:t>
      </w:r>
      <w:r w:rsidR="00351BC4">
        <w:rPr>
          <w:rFonts w:eastAsia="SimSun"/>
          <w:lang w:eastAsia="zh-CN"/>
        </w:rPr>
        <w:t>of the</w:t>
      </w:r>
      <w:r w:rsidRPr="008E6658">
        <w:rPr>
          <w:rFonts w:eastAsia="SimSun"/>
          <w:lang w:eastAsia="zh-CN"/>
        </w:rPr>
        <w:t xml:space="preserve"> sub-group of respondents with previous experience of NIP.</w:t>
      </w:r>
      <w:r w:rsidR="00351BC4">
        <w:rPr>
          <w:rFonts w:eastAsia="SimSun"/>
          <w:lang w:eastAsia="zh-CN"/>
        </w:rPr>
        <w:t xml:space="preserve">  </w:t>
      </w:r>
      <w:r w:rsidR="00EB3992" w:rsidRPr="00EB3992">
        <w:rPr>
          <w:rFonts w:eastAsia="SimSun"/>
          <w:lang w:eastAsia="zh-CN"/>
        </w:rPr>
        <w:t xml:space="preserve">A main effects model of consistent </w:t>
      </w:r>
      <w:r w:rsidR="00EB3992" w:rsidRPr="00EB3992">
        <w:rPr>
          <w:rFonts w:eastAsia="SimSun"/>
          <w:lang w:eastAsia="zh-CN"/>
        </w:rPr>
        <w:lastRenderedPageBreak/>
        <w:t xml:space="preserve">respondents is presented as regression Model 3. </w:t>
      </w:r>
      <w:r w:rsidR="00EB3992">
        <w:rPr>
          <w:rFonts w:eastAsia="SimSun"/>
          <w:lang w:eastAsia="zh-CN"/>
        </w:rPr>
        <w:t xml:space="preserve"> </w:t>
      </w:r>
      <w:r w:rsidR="00EB3992" w:rsidRPr="00EB3992">
        <w:rPr>
          <w:rFonts w:eastAsia="SimSun"/>
          <w:lang w:eastAsia="zh-CN"/>
        </w:rPr>
        <w:t xml:space="preserve">We investigated </w:t>
      </w:r>
      <w:r w:rsidR="00EB3992">
        <w:rPr>
          <w:rFonts w:eastAsia="SimSun"/>
          <w:lang w:eastAsia="zh-CN"/>
        </w:rPr>
        <w:t xml:space="preserve">this sub-group </w:t>
      </w:r>
      <w:r w:rsidR="00EB3992" w:rsidRPr="00EB3992">
        <w:rPr>
          <w:rFonts w:eastAsia="SimSun"/>
          <w:lang w:eastAsia="zh-CN"/>
        </w:rPr>
        <w:t xml:space="preserve">by using the test of consistency </w:t>
      </w:r>
      <w:r w:rsidR="00EB3992">
        <w:rPr>
          <w:rFonts w:eastAsia="SimSun"/>
          <w:lang w:eastAsia="zh-CN"/>
        </w:rPr>
        <w:t xml:space="preserve">to distinguish so called </w:t>
      </w:r>
      <w:r w:rsidR="00EB3992" w:rsidRPr="00EB3992">
        <w:rPr>
          <w:rFonts w:eastAsia="SimSun"/>
          <w:lang w:eastAsia="zh-CN"/>
        </w:rPr>
        <w:t xml:space="preserve">‘rational’ choosers.  </w:t>
      </w:r>
      <w:r w:rsidR="00EB3992">
        <w:rPr>
          <w:rFonts w:eastAsia="SimSun"/>
          <w:lang w:eastAsia="zh-CN"/>
        </w:rPr>
        <w:t>A</w:t>
      </w:r>
      <w:r w:rsidRPr="008E6658">
        <w:rPr>
          <w:rFonts w:eastAsia="SimSun"/>
          <w:lang w:eastAsia="zh-CN"/>
        </w:rPr>
        <w:t>s DCEs rely on hypothetical choices there has been much debate around the issue of whether to include all respondents or only those that have answered ‘consistently’</w:t>
      </w:r>
      <w:r w:rsidR="00740D82">
        <w:rPr>
          <w:rFonts w:eastAsia="SimSun"/>
          <w:vertAlign w:val="superscript"/>
          <w:lang w:eastAsia="zh-CN"/>
        </w:rPr>
        <w:t>14</w:t>
      </w:r>
      <w:r w:rsidRPr="008E6658">
        <w:rPr>
          <w:rFonts w:eastAsia="SimSun"/>
          <w:lang w:eastAsia="zh-CN"/>
        </w:rPr>
        <w:t>.  As currently available tests of consistency are not conclusive, best practice is to explore the impact of ‘consistency’ by considering utility models with/without consistent respondents but remain cautious of deleting responses as this may be inappropriate for policy making purposes</w:t>
      </w:r>
      <w:r w:rsidR="00740D82">
        <w:rPr>
          <w:rFonts w:eastAsia="SimSun"/>
          <w:vertAlign w:val="superscript"/>
          <w:lang w:eastAsia="zh-CN"/>
        </w:rPr>
        <w:t>14</w:t>
      </w:r>
      <w:r w:rsidRPr="008E6658">
        <w:rPr>
          <w:rFonts w:eastAsia="SimSun"/>
          <w:lang w:eastAsia="zh-CN"/>
        </w:rPr>
        <w:t xml:space="preserve">.  </w:t>
      </w:r>
    </w:p>
    <w:p w:rsidR="005212CD" w:rsidRDefault="005212CD" w:rsidP="007D1917">
      <w:pPr>
        <w:spacing w:line="480" w:lineRule="auto"/>
      </w:pPr>
    </w:p>
    <w:p w:rsidR="00492CB7" w:rsidRPr="00492CB7" w:rsidRDefault="008E6658" w:rsidP="007D1917">
      <w:pPr>
        <w:spacing w:line="480" w:lineRule="auto"/>
        <w:rPr>
          <w:u w:val="single"/>
        </w:rPr>
      </w:pPr>
      <w:r w:rsidRPr="008E6658">
        <w:rPr>
          <w:rFonts w:eastAsia="SimSun"/>
          <w:u w:val="single"/>
          <w:lang w:eastAsia="zh-CN"/>
        </w:rPr>
        <w:t>Using the regression results</w:t>
      </w:r>
    </w:p>
    <w:p w:rsidR="00492CB7" w:rsidRDefault="008E6658" w:rsidP="007D1917">
      <w:pPr>
        <w:spacing w:line="480" w:lineRule="auto"/>
      </w:pPr>
      <w:r w:rsidRPr="008E6658">
        <w:rPr>
          <w:rFonts w:eastAsia="SimSun"/>
          <w:lang w:eastAsia="zh-CN"/>
        </w:rPr>
        <w:t xml:space="preserve">The coefficients generated by a regression analysis can be used to evaluate overall utility of  particular services of interest so long as they can be described using the attribute level space and a comparative ranking of the alternatives established.  The regression analysis results for Model 1 were used in this way to </w:t>
      </w:r>
      <w:r w:rsidR="00EB3992">
        <w:rPr>
          <w:rFonts w:eastAsia="SimSun"/>
          <w:lang w:eastAsia="zh-CN"/>
        </w:rPr>
        <w:t>calibrate</w:t>
      </w:r>
      <w:r w:rsidRPr="008E6658">
        <w:rPr>
          <w:rFonts w:eastAsia="SimSun"/>
          <w:lang w:eastAsia="zh-CN"/>
        </w:rPr>
        <w:t xml:space="preserve"> estimates of total utility for different c</w:t>
      </w:r>
      <w:r w:rsidR="00EB3992">
        <w:rPr>
          <w:rFonts w:eastAsia="SimSun"/>
          <w:lang w:eastAsia="zh-CN"/>
        </w:rPr>
        <w:t>onsultations</w:t>
      </w:r>
      <w:r w:rsidRPr="008E6658">
        <w:rPr>
          <w:rFonts w:eastAsia="SimSun"/>
          <w:lang w:eastAsia="zh-CN"/>
        </w:rPr>
        <w:t xml:space="preserve">.  The output represents a relative utility score for a set combination of attribute levels </w:t>
      </w:r>
      <w:r w:rsidR="00EB3992">
        <w:rPr>
          <w:rFonts w:eastAsia="SimSun"/>
          <w:lang w:eastAsia="zh-CN"/>
        </w:rPr>
        <w:t xml:space="preserve">describing </w:t>
      </w:r>
      <w:r w:rsidRPr="008E6658">
        <w:rPr>
          <w:rFonts w:eastAsia="SimSun"/>
          <w:lang w:eastAsia="zh-CN"/>
        </w:rPr>
        <w:t>a ‘style</w:t>
      </w:r>
      <w:r w:rsidR="00EB3992">
        <w:rPr>
          <w:rFonts w:eastAsia="SimSun"/>
          <w:lang w:eastAsia="zh-CN"/>
        </w:rPr>
        <w:t>’ of consultation</w:t>
      </w:r>
      <w:r w:rsidRPr="008E6658">
        <w:rPr>
          <w:rFonts w:eastAsia="SimSun"/>
          <w:lang w:eastAsia="zh-CN"/>
        </w:rPr>
        <w:t>.</w:t>
      </w:r>
    </w:p>
    <w:p w:rsidR="00492CB7" w:rsidRDefault="00492CB7" w:rsidP="007D1917">
      <w:pPr>
        <w:spacing w:line="480" w:lineRule="auto"/>
      </w:pPr>
    </w:p>
    <w:p w:rsidR="00E01BAC" w:rsidRPr="00BE3ACE" w:rsidRDefault="008E6658" w:rsidP="007D1917">
      <w:pPr>
        <w:spacing w:line="480" w:lineRule="auto"/>
        <w:rPr>
          <w:b/>
        </w:rPr>
      </w:pPr>
      <w:r w:rsidRPr="008E6658">
        <w:rPr>
          <w:rFonts w:eastAsia="SimSun"/>
          <w:b/>
          <w:lang w:eastAsia="zh-CN"/>
        </w:rPr>
        <w:t>Results</w:t>
      </w:r>
    </w:p>
    <w:p w:rsidR="009F63E5" w:rsidRPr="00205B23" w:rsidRDefault="008E6658" w:rsidP="007D1917">
      <w:pPr>
        <w:spacing w:line="480" w:lineRule="auto"/>
        <w:rPr>
          <w:bCs/>
          <w:u w:val="single"/>
        </w:rPr>
      </w:pPr>
      <w:r w:rsidRPr="008E6658">
        <w:rPr>
          <w:rFonts w:eastAsia="SimSun"/>
          <w:bCs/>
          <w:u w:val="single"/>
          <w:lang w:eastAsia="zh-CN"/>
        </w:rPr>
        <w:t>Patients’ responses and background characteristics</w:t>
      </w:r>
    </w:p>
    <w:p w:rsidR="009F63E5" w:rsidRPr="00BE3ACE" w:rsidRDefault="008E6658" w:rsidP="007D1917">
      <w:pPr>
        <w:spacing w:line="480" w:lineRule="auto"/>
      </w:pPr>
      <w:r w:rsidRPr="008E6658">
        <w:rPr>
          <w:rFonts w:eastAsia="SimSun"/>
          <w:lang w:eastAsia="zh-CN"/>
        </w:rPr>
        <w:t xml:space="preserve">Questionnaires were completed by 451 patients waiting to see a health professional.  All respondents completed the choices and therefore no missing values were generated.  Table 3 shows background characteristics for the 451 respondents, 355 of whom (78.7%) passed the consistency test.  The table also shows the distribution of choices across the </w:t>
      </w:r>
      <w:r w:rsidRPr="008E6658">
        <w:rPr>
          <w:rFonts w:eastAsia="SimSun"/>
          <w:lang w:eastAsia="zh-CN"/>
        </w:rPr>
        <w:lastRenderedPageBreak/>
        <w:t xml:space="preserve">alternatives.  </w:t>
      </w:r>
      <w:r w:rsidR="00EB3992">
        <w:rPr>
          <w:rFonts w:eastAsia="SimSun"/>
          <w:lang w:eastAsia="zh-CN"/>
        </w:rPr>
        <w:t>‘D</w:t>
      </w:r>
      <w:r w:rsidRPr="008E6658">
        <w:rPr>
          <w:rFonts w:eastAsia="SimSun"/>
          <w:lang w:eastAsia="zh-CN"/>
        </w:rPr>
        <w:t>o nothing’ was infrequently chosen (2%), most choices were more evenly distributed between ‘prescribing nurse’ (41%) and ‘own doctor’ (55%).</w:t>
      </w:r>
    </w:p>
    <w:p w:rsidR="009F63E5" w:rsidRDefault="009F63E5" w:rsidP="007D1917">
      <w:pPr>
        <w:spacing w:line="480" w:lineRule="auto"/>
      </w:pPr>
    </w:p>
    <w:p w:rsidR="00DB258E" w:rsidRDefault="008E6658" w:rsidP="007D1917">
      <w:pPr>
        <w:spacing w:line="480" w:lineRule="auto"/>
      </w:pPr>
      <w:r w:rsidRPr="008E6658">
        <w:rPr>
          <w:rFonts w:eastAsia="SimSun"/>
          <w:lang w:eastAsia="zh-CN"/>
        </w:rPr>
        <w:t>INSERT TABLE 3 ABOUT HERE</w:t>
      </w:r>
    </w:p>
    <w:p w:rsidR="00DB258E" w:rsidRPr="00DB258E" w:rsidRDefault="00DB258E" w:rsidP="007D1917">
      <w:pPr>
        <w:spacing w:line="480" w:lineRule="auto"/>
      </w:pPr>
    </w:p>
    <w:p w:rsidR="00EB3992" w:rsidRPr="00EB3992" w:rsidRDefault="00EB3992" w:rsidP="007D1917">
      <w:pPr>
        <w:spacing w:line="480" w:lineRule="auto"/>
        <w:rPr>
          <w:rFonts w:eastAsia="SimSun"/>
          <w:u w:val="single"/>
          <w:lang w:eastAsia="zh-CN"/>
        </w:rPr>
      </w:pPr>
      <w:r w:rsidRPr="00EB3992">
        <w:rPr>
          <w:rFonts w:eastAsia="SimSun"/>
          <w:u w:val="single"/>
          <w:lang w:eastAsia="zh-CN"/>
        </w:rPr>
        <w:t>Patients’ preferences</w:t>
      </w:r>
    </w:p>
    <w:p w:rsidR="00325A6F" w:rsidRDefault="008E6658" w:rsidP="007D1917">
      <w:pPr>
        <w:spacing w:line="480" w:lineRule="auto"/>
      </w:pPr>
      <w:r w:rsidRPr="008E6658">
        <w:rPr>
          <w:rFonts w:eastAsia="SimSun"/>
          <w:lang w:eastAsia="zh-CN"/>
        </w:rPr>
        <w:t>Table 4 shows the regression results.  The preferred model, Model 1 demonstrated a reasonable model fit (Log likelihood = -1559, Pseudo R</w:t>
      </w:r>
      <w:r w:rsidRPr="008E6658">
        <w:rPr>
          <w:rFonts w:eastAsia="SimSun"/>
          <w:vertAlign w:val="superscript"/>
          <w:lang w:eastAsia="zh-CN"/>
        </w:rPr>
        <w:t>2</w:t>
      </w:r>
      <w:r w:rsidRPr="008E6658">
        <w:rPr>
          <w:rFonts w:eastAsia="SimSun"/>
          <w:lang w:eastAsia="zh-CN"/>
        </w:rPr>
        <w:t xml:space="preserve"> = 0.193) and distinctive respondent preferences for consulting the different primary care health professionals for the minor illness vignette.</w:t>
      </w:r>
      <w:r w:rsidR="009F63E5">
        <w:t xml:space="preserve">  </w:t>
      </w:r>
    </w:p>
    <w:p w:rsidR="00325A6F" w:rsidRDefault="00325A6F" w:rsidP="007D1917">
      <w:pPr>
        <w:spacing w:line="480" w:lineRule="auto"/>
      </w:pPr>
    </w:p>
    <w:p w:rsidR="002317E8" w:rsidRDefault="008E6658" w:rsidP="007D1917">
      <w:pPr>
        <w:spacing w:line="480" w:lineRule="auto"/>
      </w:pPr>
      <w:r w:rsidRPr="008E6658">
        <w:rPr>
          <w:rFonts w:eastAsia="SimSun"/>
          <w:lang w:eastAsia="zh-CN"/>
        </w:rPr>
        <w:t>INSERT TABLE 4 ABOUT HERE</w:t>
      </w:r>
      <w:r w:rsidR="002317E8">
        <w:br/>
      </w:r>
    </w:p>
    <w:p w:rsidR="00C375EB" w:rsidRDefault="008E6658" w:rsidP="007D1917">
      <w:pPr>
        <w:spacing w:line="480" w:lineRule="auto"/>
      </w:pPr>
      <w:r w:rsidRPr="008E6658">
        <w:rPr>
          <w:rFonts w:eastAsia="SimSun"/>
          <w:lang w:eastAsia="zh-CN"/>
        </w:rPr>
        <w:t>The label ‘own doctor’ was found to be a significant determinant in choosing an alternative for managing the minor illness condition.  This is shown by the statistically significant coefficient (α1 = 1.02, p&lt;0.01).  It can be interpreted as a strong general preference to see the doctor relative to doing nothing.  However choosing is also a function of the interpersonal relationship with the professional.  This is shown by the statistically significant coefficients ATTENTION (β</w:t>
      </w:r>
      <w:r w:rsidRPr="008E6658">
        <w:rPr>
          <w:rFonts w:eastAsia="SimSun"/>
          <w:vertAlign w:val="subscript"/>
          <w:lang w:eastAsia="zh-CN"/>
        </w:rPr>
        <w:t>5</w:t>
      </w:r>
      <w:r w:rsidRPr="008E6658">
        <w:rPr>
          <w:rFonts w:eastAsia="SimSun"/>
          <w:lang w:eastAsia="zh-CN"/>
        </w:rPr>
        <w:t xml:space="preserve"> = 0.958, p&lt;0.01) and HELP (β</w:t>
      </w:r>
      <w:r w:rsidRPr="008E6658">
        <w:rPr>
          <w:rFonts w:eastAsia="SimSun"/>
          <w:vertAlign w:val="subscript"/>
          <w:lang w:eastAsia="zh-CN"/>
        </w:rPr>
        <w:t>6</w:t>
      </w:r>
      <w:r w:rsidRPr="008E6658">
        <w:rPr>
          <w:rFonts w:eastAsia="SimSun"/>
          <w:lang w:eastAsia="zh-CN"/>
        </w:rPr>
        <w:t xml:space="preserve"> = 0.370, p&lt;0.01) and, in turn, ‘appearing to listen to your views about your problem/medicines’ was more strongly preferred. To a lesser extent </w:t>
      </w:r>
      <w:r w:rsidR="007C39B6">
        <w:rPr>
          <w:rFonts w:eastAsia="SimSun"/>
          <w:lang w:eastAsia="zh-CN"/>
        </w:rPr>
        <w:t>t</w:t>
      </w:r>
      <w:r w:rsidRPr="008E6658">
        <w:rPr>
          <w:rFonts w:eastAsia="SimSun"/>
          <w:lang w:eastAsia="zh-CN"/>
        </w:rPr>
        <w:t>he time spent in the consultation</w:t>
      </w:r>
      <w:r w:rsidR="007C39B6">
        <w:rPr>
          <w:rFonts w:eastAsia="SimSun"/>
          <w:lang w:eastAsia="zh-CN"/>
        </w:rPr>
        <w:t xml:space="preserve"> with the doctor was important (</w:t>
      </w:r>
      <w:r w:rsidRPr="008E6658">
        <w:rPr>
          <w:rFonts w:eastAsia="SimSun"/>
          <w:lang w:eastAsia="zh-CN"/>
        </w:rPr>
        <w:t>LENGTH</w:t>
      </w:r>
      <w:r w:rsidRPr="008E6658">
        <w:rPr>
          <w:rFonts w:eastAsia="SimSun"/>
          <w:vertAlign w:val="subscript"/>
          <w:lang w:eastAsia="zh-CN"/>
        </w:rPr>
        <w:t>own doctor</w:t>
      </w:r>
      <w:r w:rsidRPr="008E6658">
        <w:rPr>
          <w:rFonts w:eastAsia="SimSun"/>
          <w:lang w:eastAsia="zh-CN"/>
        </w:rPr>
        <w:t xml:space="preserve"> </w:t>
      </w:r>
      <w:r w:rsidR="007C39B6">
        <w:rPr>
          <w:rFonts w:eastAsia="SimSun"/>
          <w:lang w:eastAsia="zh-CN"/>
        </w:rPr>
        <w:t>,</w:t>
      </w:r>
      <w:r w:rsidRPr="008E6658">
        <w:rPr>
          <w:rFonts w:eastAsia="SimSun"/>
          <w:lang w:eastAsia="zh-CN"/>
        </w:rPr>
        <w:t>β</w:t>
      </w:r>
      <w:r w:rsidRPr="008E6658">
        <w:rPr>
          <w:rFonts w:eastAsia="SimSun"/>
          <w:vertAlign w:val="subscript"/>
          <w:lang w:eastAsia="zh-CN"/>
        </w:rPr>
        <w:t>3</w:t>
      </w:r>
      <w:r w:rsidRPr="008E6658">
        <w:rPr>
          <w:rFonts w:eastAsia="SimSun"/>
          <w:lang w:eastAsia="zh-CN"/>
        </w:rPr>
        <w:t xml:space="preserve"> = -0.046, p&lt;0.0</w:t>
      </w:r>
      <w:r w:rsidR="004B75B6">
        <w:rPr>
          <w:rFonts w:eastAsia="SimSun"/>
          <w:lang w:eastAsia="zh-CN"/>
        </w:rPr>
        <w:t xml:space="preserve">1) but </w:t>
      </w:r>
      <w:r w:rsidR="004B75B6">
        <w:rPr>
          <w:rFonts w:eastAsia="SimSun"/>
          <w:lang w:eastAsia="zh-CN"/>
        </w:rPr>
        <w:lastRenderedPageBreak/>
        <w:t>not the</w:t>
      </w:r>
      <w:r w:rsidRPr="008E6658">
        <w:rPr>
          <w:rFonts w:eastAsia="SimSun"/>
          <w:lang w:eastAsia="zh-CN"/>
        </w:rPr>
        <w:t xml:space="preserve"> wait to get an appointment; (ACCESS</w:t>
      </w:r>
      <w:r w:rsidRPr="008E6658">
        <w:rPr>
          <w:rFonts w:eastAsia="SimSun"/>
          <w:vertAlign w:val="subscript"/>
          <w:lang w:eastAsia="zh-CN"/>
        </w:rPr>
        <w:t>own doctor</w:t>
      </w:r>
      <w:r w:rsidRPr="008E6658">
        <w:rPr>
          <w:rFonts w:eastAsia="SimSun"/>
          <w:lang w:eastAsia="zh-CN"/>
        </w:rPr>
        <w:t xml:space="preserve">).  </w:t>
      </w:r>
      <w:r w:rsidR="004B75B6">
        <w:rPr>
          <w:rFonts w:eastAsia="SimSun"/>
          <w:lang w:eastAsia="zh-CN"/>
        </w:rPr>
        <w:t>This means r</w:t>
      </w:r>
      <w:r w:rsidRPr="008E6658">
        <w:rPr>
          <w:rFonts w:eastAsia="SimSun"/>
          <w:lang w:eastAsia="zh-CN"/>
        </w:rPr>
        <w:t>espondents were indifferent to being asked to wait to be seen the next day or in 2 days’ time.</w:t>
      </w:r>
      <w:r w:rsidR="007D08FA">
        <w:t xml:space="preserve">  </w:t>
      </w:r>
    </w:p>
    <w:p w:rsidR="00C375EB" w:rsidRDefault="00C375EB" w:rsidP="007D1917">
      <w:pPr>
        <w:spacing w:line="480" w:lineRule="auto"/>
      </w:pPr>
    </w:p>
    <w:p w:rsidR="002E6860" w:rsidRDefault="008E6658" w:rsidP="007D1917">
      <w:pPr>
        <w:spacing w:line="480" w:lineRule="auto"/>
      </w:pPr>
      <w:r w:rsidRPr="008E6658">
        <w:rPr>
          <w:rFonts w:eastAsia="SimSun"/>
          <w:lang w:eastAsia="zh-CN"/>
        </w:rPr>
        <w:t>Both the statistically significant attributes ATTENTION and HELP have expected signs (i.e. showing that higher levels of these attributes are more preferred).  However, contrary to expectation, the attribute LENGTH</w:t>
      </w:r>
      <w:r w:rsidRPr="008E6658">
        <w:rPr>
          <w:rFonts w:eastAsia="SimSun"/>
          <w:vertAlign w:val="subscript"/>
          <w:lang w:eastAsia="zh-CN"/>
        </w:rPr>
        <w:t>own</w:t>
      </w:r>
      <w:r w:rsidRPr="008E6658">
        <w:rPr>
          <w:rFonts w:eastAsia="SimSun"/>
          <w:lang w:eastAsia="zh-CN"/>
        </w:rPr>
        <w:t xml:space="preserve"> </w:t>
      </w:r>
      <w:r w:rsidRPr="008E6658">
        <w:rPr>
          <w:rFonts w:eastAsia="SimSun"/>
          <w:vertAlign w:val="subscript"/>
          <w:lang w:eastAsia="zh-CN"/>
        </w:rPr>
        <w:t>doctor</w:t>
      </w:r>
      <w:r w:rsidRPr="008E6658">
        <w:rPr>
          <w:rFonts w:eastAsia="SimSun"/>
          <w:lang w:eastAsia="zh-CN"/>
        </w:rPr>
        <w:t xml:space="preserve"> has a negative sign. This means that for the sample surveyed shorter consultations with own doctor were more preferred than longer consultations with own doctor.</w:t>
      </w:r>
    </w:p>
    <w:p w:rsidR="00D028C5" w:rsidRDefault="00D028C5" w:rsidP="007D1917">
      <w:pPr>
        <w:spacing w:line="480" w:lineRule="auto"/>
      </w:pPr>
    </w:p>
    <w:p w:rsidR="008F0333" w:rsidRDefault="008E6658" w:rsidP="007D1917">
      <w:pPr>
        <w:spacing w:line="480" w:lineRule="auto"/>
      </w:pPr>
      <w:r w:rsidRPr="008E6658">
        <w:rPr>
          <w:rFonts w:eastAsia="SimSun"/>
          <w:lang w:eastAsia="zh-CN"/>
        </w:rPr>
        <w:t>Only the two quality indicators used to describe the patient-nurse interaction (i.e. ATTENTION and HELP) were statistically significant determinants of choosing a NIP consultation. There was no general preference for consulting with a nurse (as evident by the statistically non-significant label ‘prescribing nurse’) or for the other patient experience factors; LENGTH</w:t>
      </w:r>
      <w:r w:rsidRPr="008E6658">
        <w:rPr>
          <w:rFonts w:eastAsia="SimSun"/>
          <w:vertAlign w:val="subscript"/>
          <w:lang w:eastAsia="zh-CN"/>
        </w:rPr>
        <w:t>NIP</w:t>
      </w:r>
      <w:r w:rsidRPr="008E6658">
        <w:rPr>
          <w:rFonts w:eastAsia="SimSun"/>
          <w:lang w:eastAsia="zh-CN"/>
        </w:rPr>
        <w:t xml:space="preserve"> and ACCESS</w:t>
      </w:r>
      <w:r w:rsidRPr="008E6658">
        <w:rPr>
          <w:rFonts w:eastAsia="SimSun"/>
          <w:vertAlign w:val="subscript"/>
          <w:lang w:eastAsia="zh-CN"/>
        </w:rPr>
        <w:t>NIP</w:t>
      </w:r>
      <w:r w:rsidRPr="008E6658">
        <w:rPr>
          <w:rFonts w:eastAsia="SimSun"/>
          <w:lang w:eastAsia="zh-CN"/>
        </w:rPr>
        <w:t>.  This is interpreted for the respondents in our sample as showing no preference over how quickly to access a prescribing nurse (the same day in a Walk-in-Centre or the next day at the surgery) or to any longer time consulting with them.  It would seem that a high-quality interaction with prescribing nurse whilst valued is not necessarily linked to the ability to offer longer appointments, at least not in the case of the condition presented.</w:t>
      </w:r>
    </w:p>
    <w:p w:rsidR="00D06256" w:rsidRDefault="00D06256" w:rsidP="007D1917">
      <w:pPr>
        <w:spacing w:line="480" w:lineRule="auto"/>
      </w:pPr>
    </w:p>
    <w:p w:rsidR="005B632D" w:rsidRDefault="008E6658" w:rsidP="007D1917">
      <w:pPr>
        <w:spacing w:line="480" w:lineRule="auto"/>
      </w:pPr>
      <w:r w:rsidRPr="008E6658">
        <w:rPr>
          <w:rFonts w:eastAsia="SimSun"/>
          <w:lang w:eastAsia="zh-CN"/>
        </w:rPr>
        <w:t>Model 2 in Table 4 shows the impact of past experience of nurse prescribing on preference for consultation.  The model has an acceptable model fit (Psuedo R</w:t>
      </w:r>
      <w:r w:rsidRPr="00B31BBF">
        <w:rPr>
          <w:rFonts w:eastAsia="SimSun"/>
          <w:vertAlign w:val="superscript"/>
          <w:lang w:eastAsia="zh-CN"/>
        </w:rPr>
        <w:t>2</w:t>
      </w:r>
      <w:r w:rsidRPr="008E6658">
        <w:rPr>
          <w:rFonts w:eastAsia="SimSun"/>
          <w:lang w:eastAsia="zh-CN"/>
        </w:rPr>
        <w:t xml:space="preserve"> = 0.296).  The key difference when compared with Model 1 is that a statistically significant general </w:t>
      </w:r>
      <w:r w:rsidRPr="008E6658">
        <w:rPr>
          <w:rFonts w:eastAsia="SimSun"/>
          <w:lang w:eastAsia="zh-CN"/>
        </w:rPr>
        <w:lastRenderedPageBreak/>
        <w:t>preference for prescribing nurse (</w:t>
      </w:r>
      <w:r w:rsidRPr="00F11402">
        <w:rPr>
          <w:rFonts w:ascii="Cambria Math" w:hAnsi="Cambria Math" w:cs="Cambria Math"/>
          <w:lang w:eastAsia="zh-CN"/>
        </w:rPr>
        <w:t>𝛼</w:t>
      </w:r>
      <w:r w:rsidRPr="008E6658">
        <w:rPr>
          <w:rFonts w:eastAsia="SimSun"/>
          <w:lang w:eastAsia="zh-CN"/>
        </w:rPr>
        <w:t>2 = 1.69, P&lt;0.01) compared to ‘do nothing’ enters the utility function.   Whilst not as strong a general preference as found for ‘own doctor’ (</w:t>
      </w:r>
      <w:r w:rsidRPr="00B0089D">
        <w:rPr>
          <w:rFonts w:ascii="Cambria Math" w:hAnsi="Cambria Math" w:cs="Cambria Math"/>
          <w:lang w:eastAsia="zh-CN"/>
        </w:rPr>
        <w:t>𝛼</w:t>
      </w:r>
      <w:r w:rsidRPr="008E6658">
        <w:rPr>
          <w:rFonts w:eastAsia="SimSun"/>
          <w:lang w:eastAsia="zh-CN"/>
        </w:rPr>
        <w:t>1 = 2.04, P&lt;0.01) respondents with past experience of NIP consultations are more likely to consult a nurse for minor illness than ‘do nothing’.</w:t>
      </w:r>
    </w:p>
    <w:p w:rsidR="005B632D" w:rsidRDefault="005B632D" w:rsidP="007D1917">
      <w:pPr>
        <w:spacing w:line="480" w:lineRule="auto"/>
      </w:pPr>
    </w:p>
    <w:p w:rsidR="005B632D" w:rsidRDefault="008E6658" w:rsidP="007D1917">
      <w:pPr>
        <w:spacing w:line="480" w:lineRule="auto"/>
      </w:pPr>
      <w:r w:rsidRPr="008E6658">
        <w:rPr>
          <w:rFonts w:eastAsia="SimSun"/>
          <w:lang w:eastAsia="zh-CN"/>
        </w:rPr>
        <w:t>The sub-group of respondents who were judged to have passed the test of consistency, are modelled in Model 3, Table 4.  Again this model showed an acceptable model fit (pseudo R</w:t>
      </w:r>
      <w:r w:rsidRPr="00B31BBF">
        <w:rPr>
          <w:rFonts w:eastAsia="SimSun"/>
          <w:vertAlign w:val="superscript"/>
          <w:lang w:eastAsia="zh-CN"/>
        </w:rPr>
        <w:t>2</w:t>
      </w:r>
      <w:r w:rsidRPr="008E6658">
        <w:rPr>
          <w:rFonts w:eastAsia="SimSun"/>
          <w:lang w:eastAsia="zh-CN"/>
        </w:rPr>
        <w:t xml:space="preserve"> = 0.289).  On this occasion findings also showed the </w:t>
      </w:r>
      <w:r w:rsidR="00B73449">
        <w:rPr>
          <w:rFonts w:eastAsia="SimSun"/>
          <w:lang w:eastAsia="zh-CN"/>
        </w:rPr>
        <w:t xml:space="preserve">determinates of </w:t>
      </w:r>
      <w:r w:rsidRPr="008E6658">
        <w:rPr>
          <w:rFonts w:eastAsia="SimSun"/>
          <w:lang w:eastAsia="zh-CN"/>
        </w:rPr>
        <w:t xml:space="preserve">utility of a </w:t>
      </w:r>
      <w:r w:rsidR="00287649">
        <w:rPr>
          <w:rFonts w:eastAsia="SimSun"/>
          <w:lang w:eastAsia="zh-CN"/>
        </w:rPr>
        <w:t>NIP c</w:t>
      </w:r>
      <w:r w:rsidRPr="008E6658">
        <w:rPr>
          <w:rFonts w:eastAsia="SimSun"/>
          <w:lang w:eastAsia="zh-CN"/>
        </w:rPr>
        <w:t>onsultation compris</w:t>
      </w:r>
      <w:r w:rsidR="00287649">
        <w:rPr>
          <w:rFonts w:eastAsia="SimSun"/>
          <w:lang w:eastAsia="zh-CN"/>
        </w:rPr>
        <w:t>ed</w:t>
      </w:r>
      <w:r w:rsidRPr="008E6658">
        <w:rPr>
          <w:rFonts w:eastAsia="SimSun"/>
          <w:lang w:eastAsia="zh-CN"/>
        </w:rPr>
        <w:t xml:space="preserve"> a general preference for prescribing nurse (</w:t>
      </w:r>
      <w:r w:rsidRPr="00F11402">
        <w:rPr>
          <w:rFonts w:ascii="Cambria Math" w:hAnsi="Cambria Math" w:cs="Cambria Math"/>
          <w:lang w:eastAsia="zh-CN"/>
        </w:rPr>
        <w:t>𝛼</w:t>
      </w:r>
      <w:r w:rsidRPr="008E6658">
        <w:rPr>
          <w:rFonts w:eastAsia="SimSun"/>
          <w:lang w:eastAsia="zh-CN"/>
        </w:rPr>
        <w:t xml:space="preserve">2 = 0.61, P&lt;0.01) </w:t>
      </w:r>
      <w:r w:rsidR="00287649">
        <w:rPr>
          <w:rFonts w:eastAsia="SimSun"/>
          <w:lang w:eastAsia="zh-CN"/>
        </w:rPr>
        <w:t>and the attributes</w:t>
      </w:r>
      <w:r w:rsidRPr="008E6658">
        <w:rPr>
          <w:rFonts w:eastAsia="SimSun"/>
          <w:lang w:eastAsia="zh-CN"/>
        </w:rPr>
        <w:t xml:space="preserve"> ATTENTION and HELP.  </w:t>
      </w:r>
      <w:r w:rsidR="00287649">
        <w:rPr>
          <w:rFonts w:eastAsia="SimSun"/>
          <w:lang w:eastAsia="zh-CN"/>
        </w:rPr>
        <w:t xml:space="preserve"> Similarly, the determinants </w:t>
      </w:r>
      <w:r w:rsidRPr="008E6658">
        <w:rPr>
          <w:rFonts w:eastAsia="SimSun"/>
          <w:lang w:eastAsia="zh-CN"/>
        </w:rPr>
        <w:t>for a doctor consultation comprised a general preference (α1 = 0.995, p&lt;0.01), the attributes ATTENTION and HELP and both access attributes LENGTH</w:t>
      </w:r>
      <w:r w:rsidRPr="008E6658">
        <w:rPr>
          <w:rFonts w:eastAsia="SimSun"/>
          <w:vertAlign w:val="subscript"/>
          <w:lang w:eastAsia="zh-CN"/>
        </w:rPr>
        <w:t xml:space="preserve">own doctor  </w:t>
      </w:r>
      <w:r w:rsidRPr="008E6658">
        <w:rPr>
          <w:rFonts w:eastAsia="SimSun"/>
          <w:lang w:eastAsia="zh-CN"/>
        </w:rPr>
        <w:t>and ACCESS</w:t>
      </w:r>
      <w:r w:rsidRPr="008E6658">
        <w:rPr>
          <w:rFonts w:eastAsia="SimSun"/>
          <w:vertAlign w:val="subscript"/>
          <w:lang w:eastAsia="zh-CN"/>
        </w:rPr>
        <w:t>own doctor</w:t>
      </w:r>
      <w:r w:rsidRPr="008E6658">
        <w:rPr>
          <w:rFonts w:eastAsia="SimSun"/>
          <w:lang w:eastAsia="zh-CN"/>
        </w:rPr>
        <w:t>.</w:t>
      </w:r>
    </w:p>
    <w:p w:rsidR="005B632D" w:rsidRDefault="005B632D" w:rsidP="007D1917">
      <w:pPr>
        <w:spacing w:line="480" w:lineRule="auto"/>
      </w:pPr>
    </w:p>
    <w:p w:rsidR="00016DF6" w:rsidRDefault="008E6658" w:rsidP="007D1917">
      <w:pPr>
        <w:spacing w:line="480" w:lineRule="auto"/>
      </w:pPr>
      <w:r w:rsidRPr="008E6658">
        <w:rPr>
          <w:rFonts w:eastAsia="SimSun"/>
          <w:lang w:eastAsia="zh-CN"/>
        </w:rPr>
        <w:t>Whilst the regression results of Model 1 show a strong general preference for doctor consultations all else being equal, it does not necessarily suggest NIP consultations will not be chosen.  This is because other attributes relating to patient experience also have an impact on choice.  Table 5 uses the regression results to estimate total utility of different consultation styles to show there are combinations of less positive attribute levels for a doctor consultation which can be offset by more positive attributes of the NIP consultation to yield higher levels of relative utility.</w:t>
      </w:r>
    </w:p>
    <w:p w:rsidR="00016DF6" w:rsidRDefault="00016DF6" w:rsidP="007D1917">
      <w:pPr>
        <w:spacing w:line="480" w:lineRule="auto"/>
      </w:pPr>
    </w:p>
    <w:p w:rsidR="00016DF6" w:rsidRDefault="008E6658" w:rsidP="007D1917">
      <w:pPr>
        <w:spacing w:line="480" w:lineRule="auto"/>
      </w:pPr>
      <w:r w:rsidRPr="008E6658">
        <w:rPr>
          <w:rFonts w:eastAsia="SimSun"/>
          <w:lang w:eastAsia="zh-CN"/>
        </w:rPr>
        <w:t>INSERT TABLE 5 ABOUT HERE</w:t>
      </w:r>
    </w:p>
    <w:p w:rsidR="00016DF6" w:rsidRDefault="00016DF6" w:rsidP="007D1917">
      <w:pPr>
        <w:spacing w:line="480" w:lineRule="auto"/>
      </w:pPr>
    </w:p>
    <w:p w:rsidR="00F85618" w:rsidRDefault="008E6658" w:rsidP="007D1917">
      <w:pPr>
        <w:spacing w:line="480" w:lineRule="auto"/>
      </w:pPr>
      <w:r w:rsidRPr="008E6658">
        <w:rPr>
          <w:rFonts w:eastAsia="SimSun"/>
          <w:lang w:eastAsia="zh-CN"/>
        </w:rPr>
        <w:t>In Table 5, for example, the consultation described as ‘A’ provides the best level of service; yielding 2.0 units of utility.  Consultation configurations ‘B’ through ‘H’ yield lower utility, all else equal.  Yet, whilst highest total utility is estimated for consultation ‘A’ (a consultation with the doctor with positive patient experience factors) other consultations styles with the prescribing nurse are more preferred to doctor consultations.  For example, consultation ‘C’ is a style described by being seen by a prescribing nurse the same day at the Walk-in-Centre for a 15 minute consultation during which the nurse pays attention to the patient views on her condition/medicines and offers diagnosis and advice.  It is a more preferred style to doctor consultations ‘G’ or ‘H’.  The style of consultation more than compensates for a doctor consultation where there is no attention paid to the patient’s view, all else being equal. Using the regression results in this way it is possible to identify styles of NIP consultation for minor illness that can substitute for doctor consultations</w:t>
      </w:r>
      <w:r w:rsidR="00452849">
        <w:t xml:space="preserve"> </w:t>
      </w:r>
    </w:p>
    <w:p w:rsidR="00F85618" w:rsidRDefault="00F85618" w:rsidP="007D1917">
      <w:pPr>
        <w:spacing w:line="480" w:lineRule="auto"/>
      </w:pPr>
    </w:p>
    <w:p w:rsidR="00433B48" w:rsidRPr="00BE3ACE" w:rsidRDefault="008E6658" w:rsidP="007D1917">
      <w:pPr>
        <w:spacing w:line="480" w:lineRule="auto"/>
        <w:rPr>
          <w:b/>
        </w:rPr>
      </w:pPr>
      <w:r w:rsidRPr="008E6658">
        <w:rPr>
          <w:rFonts w:eastAsia="SimSun"/>
          <w:b/>
          <w:lang w:eastAsia="zh-CN"/>
        </w:rPr>
        <w:t>Discussion</w:t>
      </w:r>
    </w:p>
    <w:p w:rsidR="003B1BE7" w:rsidRDefault="008E6658" w:rsidP="00524320">
      <w:pPr>
        <w:spacing w:line="480" w:lineRule="auto"/>
      </w:pPr>
      <w:r w:rsidRPr="008E6658">
        <w:rPr>
          <w:rFonts w:eastAsia="SimSun"/>
          <w:lang w:eastAsia="zh-CN"/>
        </w:rPr>
        <w:t>This study was part of a wider study that set out to evaluate non-medical prescribing in England</w:t>
      </w:r>
      <w:r w:rsidR="00F366FD">
        <w:rPr>
          <w:rFonts w:eastAsia="SimSun"/>
          <w:vertAlign w:val="superscript"/>
          <w:lang w:eastAsia="zh-CN"/>
        </w:rPr>
        <w:t>20</w:t>
      </w:r>
      <w:r w:rsidRPr="008E6658">
        <w:rPr>
          <w:rFonts w:eastAsia="SimSun"/>
          <w:lang w:eastAsia="zh-CN"/>
        </w:rPr>
        <w:t xml:space="preserve">.  In this study we see that respondents’ preferences for consulting their own primary care doctor for managing the minor acute condition remained strong. </w:t>
      </w:r>
      <w:r w:rsidR="00F529D1" w:rsidRPr="008E6658">
        <w:rPr>
          <w:rFonts w:eastAsia="SimSun"/>
          <w:lang w:eastAsia="zh-CN"/>
        </w:rPr>
        <w:t>Similar</w:t>
      </w:r>
      <w:r w:rsidRPr="008E6658">
        <w:rPr>
          <w:rFonts w:eastAsia="SimSun"/>
          <w:lang w:eastAsia="zh-CN"/>
        </w:rPr>
        <w:t xml:space="preserve"> DCE studies conducted in a primary care setting have showed patients generally prefer a doctor to a nurse</w:t>
      </w:r>
      <w:r w:rsidRPr="008E6658">
        <w:rPr>
          <w:rFonts w:eastAsia="SimSun"/>
          <w:vertAlign w:val="superscript"/>
          <w:lang w:eastAsia="zh-CN"/>
        </w:rPr>
        <w:t>,</w:t>
      </w:r>
      <w:r w:rsidR="00F366FD">
        <w:rPr>
          <w:rFonts w:eastAsia="SimSun"/>
          <w:vertAlign w:val="superscript"/>
          <w:lang w:eastAsia="zh-CN"/>
        </w:rPr>
        <w:t>5,</w:t>
      </w:r>
      <w:r w:rsidRPr="008E6658">
        <w:rPr>
          <w:rFonts w:eastAsia="SimSun"/>
          <w:vertAlign w:val="superscript"/>
          <w:lang w:eastAsia="zh-CN"/>
        </w:rPr>
        <w:t>6,</w:t>
      </w:r>
      <w:r w:rsidR="00F366FD">
        <w:rPr>
          <w:rFonts w:eastAsia="SimSun"/>
          <w:vertAlign w:val="superscript"/>
          <w:lang w:eastAsia="zh-CN"/>
        </w:rPr>
        <w:t>12</w:t>
      </w:r>
      <w:r w:rsidRPr="008E6658">
        <w:rPr>
          <w:rFonts w:eastAsia="SimSun"/>
          <w:lang w:eastAsia="zh-CN"/>
        </w:rPr>
        <w:t>.  At one level this should not be surprising given that a significant proportion of GP consultations still involve minor illnesses making this a common patient experience</w:t>
      </w:r>
      <w:r w:rsidR="00F366FD">
        <w:rPr>
          <w:rFonts w:eastAsia="SimSun"/>
          <w:vertAlign w:val="superscript"/>
          <w:lang w:eastAsia="zh-CN"/>
        </w:rPr>
        <w:t>3</w:t>
      </w:r>
      <w:r w:rsidR="00EA2681">
        <w:rPr>
          <w:rFonts w:eastAsia="SimSun"/>
          <w:vertAlign w:val="superscript"/>
          <w:lang w:eastAsia="zh-CN"/>
        </w:rPr>
        <w:t>3</w:t>
      </w:r>
      <w:r w:rsidRPr="008E6658">
        <w:rPr>
          <w:rFonts w:eastAsia="SimSun"/>
          <w:lang w:eastAsia="zh-CN"/>
        </w:rPr>
        <w:t xml:space="preserve">.  However, our results also showed that many respondents were happy to </w:t>
      </w:r>
      <w:r w:rsidRPr="008E6658">
        <w:rPr>
          <w:rFonts w:eastAsia="SimSun"/>
          <w:lang w:eastAsia="zh-CN"/>
        </w:rPr>
        <w:lastRenderedPageBreak/>
        <w:t>consult with a NIP if other aspects of the consultation were improved.  This too fits w</w:t>
      </w:r>
      <w:r w:rsidR="00826757">
        <w:rPr>
          <w:rFonts w:eastAsia="SimSun"/>
          <w:lang w:eastAsia="zh-CN"/>
        </w:rPr>
        <w:t xml:space="preserve">ith </w:t>
      </w:r>
      <w:r w:rsidRPr="008E6658">
        <w:rPr>
          <w:rFonts w:eastAsia="SimSun"/>
          <w:lang w:eastAsia="zh-CN"/>
        </w:rPr>
        <w:t>other evidence</w:t>
      </w:r>
      <w:r w:rsidRPr="008E6658">
        <w:rPr>
          <w:rFonts w:eastAsia="SimSun"/>
          <w:vertAlign w:val="superscript"/>
          <w:lang w:eastAsia="zh-CN"/>
        </w:rPr>
        <w:t>6</w:t>
      </w:r>
      <w:r w:rsidRPr="008E6658">
        <w:rPr>
          <w:rFonts w:eastAsia="SimSun"/>
          <w:lang w:eastAsia="zh-CN"/>
        </w:rPr>
        <w:t>.</w:t>
      </w:r>
      <w:r w:rsidR="005845C4">
        <w:t xml:space="preserve"> </w:t>
      </w:r>
      <w:r w:rsidR="00826757">
        <w:t xml:space="preserve"> </w:t>
      </w:r>
      <w:r w:rsidRPr="008E6658">
        <w:rPr>
          <w:rFonts w:eastAsia="SimSun"/>
          <w:lang w:eastAsia="zh-CN"/>
        </w:rPr>
        <w:t xml:space="preserve">Importantly, our findings also show a general preference for who to consult is not the only valued factor in choice of consultation for minor illness.  The DCE approach deconstructed the consultation experience into a number of key attributes which highlighted different consultation styles of both doctor and </w:t>
      </w:r>
      <w:r w:rsidR="00B31BBF">
        <w:rPr>
          <w:rFonts w:eastAsia="SimSun"/>
          <w:lang w:eastAsia="zh-CN"/>
        </w:rPr>
        <w:t>nurse prescribers</w:t>
      </w:r>
      <w:r w:rsidRPr="008E6658">
        <w:rPr>
          <w:rFonts w:eastAsia="SimSun"/>
          <w:lang w:eastAsia="zh-CN"/>
        </w:rPr>
        <w:t>.   These attributes reflected aspects of what is known to be important to patients – better access and quality inter-personal relationships</w:t>
      </w:r>
      <w:r w:rsidR="00F366FD">
        <w:rPr>
          <w:rFonts w:eastAsia="SimSun"/>
          <w:vertAlign w:val="superscript"/>
          <w:lang w:eastAsia="zh-CN"/>
        </w:rPr>
        <w:t>5,6</w:t>
      </w:r>
      <w:r w:rsidRPr="008E6658">
        <w:rPr>
          <w:rFonts w:eastAsia="SimSun"/>
          <w:vertAlign w:val="superscript"/>
          <w:lang w:eastAsia="zh-CN"/>
        </w:rPr>
        <w:t>,</w:t>
      </w:r>
      <w:r w:rsidR="00F366FD">
        <w:rPr>
          <w:rFonts w:eastAsia="SimSun"/>
          <w:vertAlign w:val="superscript"/>
          <w:lang w:eastAsia="zh-CN"/>
        </w:rPr>
        <w:t>16-18,2</w:t>
      </w:r>
      <w:r w:rsidR="00524320">
        <w:rPr>
          <w:rFonts w:eastAsia="SimSun"/>
          <w:vertAlign w:val="superscript"/>
          <w:lang w:eastAsia="zh-CN"/>
        </w:rPr>
        <w:t>3</w:t>
      </w:r>
      <w:r w:rsidR="00F366FD">
        <w:rPr>
          <w:rFonts w:eastAsia="SimSun"/>
          <w:vertAlign w:val="superscript"/>
          <w:lang w:eastAsia="zh-CN"/>
        </w:rPr>
        <w:t>,</w:t>
      </w:r>
      <w:r w:rsidRPr="008E6658">
        <w:rPr>
          <w:rFonts w:eastAsia="SimSun"/>
          <w:vertAlign w:val="superscript"/>
          <w:lang w:eastAsia="zh-CN"/>
        </w:rPr>
        <w:t>2</w:t>
      </w:r>
      <w:r w:rsidR="00524320">
        <w:rPr>
          <w:rFonts w:eastAsia="SimSun"/>
          <w:vertAlign w:val="superscript"/>
          <w:lang w:eastAsia="zh-CN"/>
        </w:rPr>
        <w:t>7</w:t>
      </w:r>
      <w:r w:rsidR="00F366FD">
        <w:rPr>
          <w:rFonts w:eastAsia="SimSun"/>
          <w:vertAlign w:val="superscript"/>
          <w:lang w:eastAsia="zh-CN"/>
        </w:rPr>
        <w:t>-2</w:t>
      </w:r>
      <w:r w:rsidR="00524320">
        <w:rPr>
          <w:rFonts w:eastAsia="SimSun"/>
          <w:vertAlign w:val="superscript"/>
          <w:lang w:eastAsia="zh-CN"/>
        </w:rPr>
        <w:t>9</w:t>
      </w:r>
      <w:r w:rsidR="00F366FD">
        <w:rPr>
          <w:rFonts w:eastAsia="SimSun"/>
          <w:vertAlign w:val="superscript"/>
          <w:lang w:eastAsia="zh-CN"/>
        </w:rPr>
        <w:t>,3</w:t>
      </w:r>
      <w:r w:rsidR="00524320">
        <w:rPr>
          <w:rFonts w:eastAsia="SimSun"/>
          <w:vertAlign w:val="superscript"/>
          <w:lang w:eastAsia="zh-CN"/>
        </w:rPr>
        <w:t>5</w:t>
      </w:r>
      <w:r w:rsidRPr="008E6658">
        <w:rPr>
          <w:rFonts w:eastAsia="SimSun"/>
          <w:lang w:eastAsia="zh-CN"/>
        </w:rPr>
        <w:t>.  The study showed that the generic attributes reporting on the quality of the patient-professional interaction mattered the most.  In order of relative importance these were; ‘attention paid by the professional to the patient’s views about medicines’ followed by the level of ‘professional’s help offered’.  In particular the  expanded NIP role for qualified nurses has potential to offer consultation styles that patients value building on earlier evidence that patients’ find them approachable</w:t>
      </w:r>
      <w:r w:rsidR="00A74AB5">
        <w:rPr>
          <w:rFonts w:eastAsia="SimSun"/>
          <w:vertAlign w:val="superscript"/>
          <w:lang w:eastAsia="zh-CN"/>
        </w:rPr>
        <w:t xml:space="preserve">5,6, </w:t>
      </w:r>
      <w:r w:rsidRPr="008E6658">
        <w:rPr>
          <w:rFonts w:eastAsia="SimSun"/>
          <w:vertAlign w:val="superscript"/>
          <w:lang w:eastAsia="zh-CN"/>
        </w:rPr>
        <w:t>2</w:t>
      </w:r>
      <w:r w:rsidR="00A74AB5">
        <w:rPr>
          <w:rFonts w:eastAsia="SimSun"/>
          <w:vertAlign w:val="superscript"/>
          <w:lang w:eastAsia="zh-CN"/>
        </w:rPr>
        <w:t>6</w:t>
      </w:r>
      <w:r w:rsidRPr="008E6658">
        <w:rPr>
          <w:rFonts w:eastAsia="SimSun"/>
          <w:vertAlign w:val="superscript"/>
          <w:lang w:eastAsia="zh-CN"/>
        </w:rPr>
        <w:t>-2</w:t>
      </w:r>
      <w:r w:rsidR="00A74AB5">
        <w:rPr>
          <w:rFonts w:eastAsia="SimSun"/>
          <w:vertAlign w:val="superscript"/>
          <w:lang w:eastAsia="zh-CN"/>
        </w:rPr>
        <w:t>8</w:t>
      </w:r>
      <w:r w:rsidRPr="008E6658">
        <w:rPr>
          <w:rFonts w:eastAsia="SimSun"/>
          <w:lang w:eastAsia="zh-CN"/>
        </w:rPr>
        <w:t xml:space="preserve"> and able to discuss concerns and beliefs about illness/treatment and talking medicines</w:t>
      </w:r>
      <w:r w:rsidRPr="008E6658">
        <w:rPr>
          <w:rFonts w:eastAsia="SimSun"/>
          <w:vertAlign w:val="superscript"/>
          <w:lang w:eastAsia="zh-CN"/>
        </w:rPr>
        <w:t>2</w:t>
      </w:r>
      <w:r w:rsidR="00A74AB5">
        <w:rPr>
          <w:rFonts w:eastAsia="SimSun"/>
          <w:vertAlign w:val="superscript"/>
          <w:lang w:eastAsia="zh-CN"/>
        </w:rPr>
        <w:t>9</w:t>
      </w:r>
      <w:r w:rsidRPr="008E6658">
        <w:rPr>
          <w:rFonts w:eastAsia="SimSun"/>
          <w:lang w:eastAsia="zh-CN"/>
        </w:rPr>
        <w:t>.</w:t>
      </w:r>
      <w:r w:rsidR="003B1BE7">
        <w:t xml:space="preserve"> </w:t>
      </w:r>
    </w:p>
    <w:p w:rsidR="003B1BE7" w:rsidRDefault="003B1BE7" w:rsidP="007D1917">
      <w:pPr>
        <w:spacing w:line="480" w:lineRule="auto"/>
      </w:pPr>
    </w:p>
    <w:p w:rsidR="00AC471F" w:rsidRDefault="008E6658" w:rsidP="00524320">
      <w:pPr>
        <w:spacing w:line="480" w:lineRule="auto"/>
      </w:pPr>
      <w:r w:rsidRPr="008E6658">
        <w:rPr>
          <w:rFonts w:eastAsia="SimSun"/>
          <w:lang w:eastAsia="zh-CN"/>
        </w:rPr>
        <w:t>The study also showed that, in the case of seeing a doctor, the alternative-specific attribute ‘length of consultation’ was important but the direction of the relationship to utility was counter to expectations. One explanation for this finding may lie with respondent’s perception of the severity of the symptoms</w:t>
      </w:r>
      <w:r w:rsidR="00524320">
        <w:rPr>
          <w:rFonts w:eastAsia="SimSun"/>
          <w:lang w:eastAsia="zh-CN"/>
        </w:rPr>
        <w:t xml:space="preserve"> described</w:t>
      </w:r>
      <w:r w:rsidRPr="008E6658">
        <w:rPr>
          <w:rFonts w:eastAsia="SimSun"/>
          <w:lang w:eastAsia="zh-CN"/>
        </w:rPr>
        <w:t xml:space="preserve">.  If these are considered tolerable the usual length of a typical consultation may be sufficient to obtain the information/reassurance and, if necessary, prescription required.  This view is supported in a recent DCE study of managing minor symptoms: here there was a </w:t>
      </w:r>
      <w:r w:rsidRPr="008E6658">
        <w:rPr>
          <w:rFonts w:eastAsia="SimSun"/>
          <w:lang w:eastAsia="zh-CN"/>
        </w:rPr>
        <w:lastRenderedPageBreak/>
        <w:t>continuum of decreasing preference associated with the amount of waiting time to deal with symptoms as severity of the condition increased</w:t>
      </w:r>
      <w:r w:rsidRPr="008E6658">
        <w:rPr>
          <w:rFonts w:eastAsia="SimSun"/>
          <w:vertAlign w:val="superscript"/>
          <w:lang w:eastAsia="zh-CN"/>
        </w:rPr>
        <w:t>3</w:t>
      </w:r>
      <w:r w:rsidR="00524320">
        <w:rPr>
          <w:rFonts w:eastAsia="SimSun"/>
          <w:vertAlign w:val="superscript"/>
          <w:lang w:eastAsia="zh-CN"/>
        </w:rPr>
        <w:t>6</w:t>
      </w:r>
      <w:r w:rsidRPr="008E6658">
        <w:rPr>
          <w:rFonts w:eastAsia="SimSun"/>
          <w:lang w:eastAsia="zh-CN"/>
        </w:rPr>
        <w:t>.</w:t>
      </w:r>
    </w:p>
    <w:p w:rsidR="00354535" w:rsidRDefault="00354535" w:rsidP="007D1917">
      <w:pPr>
        <w:spacing w:line="480" w:lineRule="auto"/>
      </w:pPr>
    </w:p>
    <w:p w:rsidR="0076060B" w:rsidRDefault="008E6658" w:rsidP="007D1917">
      <w:pPr>
        <w:spacing w:line="480" w:lineRule="auto"/>
      </w:pPr>
      <w:r w:rsidRPr="008E6658">
        <w:rPr>
          <w:rFonts w:eastAsia="SimSun"/>
          <w:lang w:eastAsia="zh-CN"/>
        </w:rPr>
        <w:t>Interestingly, accessibility to consultations as assessed by the attributes ACCESS (where and how long to make an appointment) and LENGTH (length of time spent in the consultation) were found not to influence choice.  Respondents in our sample were indifferent to being asked to wait to be seen the next day or in 2 days’ time to see a doctor.  Rather it was more important, all else being equal, to see a doctor regardless of the wait time.  Respondents further showed no preference over how quickly they could access NIP consultations (same day in a Walk-in-Centre or next day at the surgery) nor a preference for spending longer time consulting with them.  It would seem that a high-quality interaction with a prescribing nurse whilst valued is not necessarily linked to the ability to offer longer appointments</w:t>
      </w:r>
      <w:r w:rsidR="00524320">
        <w:rPr>
          <w:rFonts w:eastAsia="SimSun"/>
          <w:lang w:eastAsia="zh-CN"/>
        </w:rPr>
        <w:t xml:space="preserve"> or primary care location</w:t>
      </w:r>
      <w:r w:rsidRPr="008E6658">
        <w:rPr>
          <w:rFonts w:eastAsia="SimSun"/>
          <w:lang w:eastAsia="zh-CN"/>
        </w:rPr>
        <w:t>, at least not in the case of the minor illness</w:t>
      </w:r>
      <w:r w:rsidR="00826757">
        <w:rPr>
          <w:rFonts w:eastAsia="SimSun"/>
          <w:lang w:eastAsia="zh-CN"/>
        </w:rPr>
        <w:t xml:space="preserve"> presented</w:t>
      </w:r>
      <w:r w:rsidRPr="008E6658">
        <w:rPr>
          <w:rFonts w:eastAsia="SimSun"/>
          <w:lang w:eastAsia="zh-CN"/>
        </w:rPr>
        <w:t>.</w:t>
      </w:r>
    </w:p>
    <w:p w:rsidR="006B4E15" w:rsidRDefault="006B4E15" w:rsidP="007D1917">
      <w:pPr>
        <w:spacing w:line="480" w:lineRule="auto"/>
      </w:pPr>
    </w:p>
    <w:p w:rsidR="0076060B" w:rsidRDefault="008E6658" w:rsidP="00524320">
      <w:pPr>
        <w:spacing w:line="480" w:lineRule="auto"/>
      </w:pPr>
      <w:r w:rsidRPr="008E6658">
        <w:rPr>
          <w:rFonts w:eastAsia="SimSun"/>
          <w:lang w:eastAsia="zh-CN"/>
        </w:rPr>
        <w:t>There were noteworthy differences between relative preferences obtained from the complete sample and from the sub-groups with past experience of consulting with a NIP and those who answered the DCE ‘consistently’. The importance of experience has previously been demonstrated</w:t>
      </w:r>
      <w:r w:rsidR="00801A61">
        <w:rPr>
          <w:rFonts w:eastAsia="SimSun"/>
          <w:vertAlign w:val="superscript"/>
          <w:lang w:eastAsia="zh-CN"/>
        </w:rPr>
        <w:t>10-13,15</w:t>
      </w:r>
      <w:r w:rsidRPr="008E6658">
        <w:rPr>
          <w:rFonts w:eastAsia="SimSun"/>
          <w:lang w:eastAsia="zh-CN"/>
        </w:rPr>
        <w:t xml:space="preserve"> and our findings provide further support that relevant experience influences choice; demonstrating a stronger general preference for the newer NIP role.   This suggests it takes time for patients to get accustomed to</w:t>
      </w:r>
      <w:r w:rsidR="00524320">
        <w:rPr>
          <w:rFonts w:eastAsia="SimSun"/>
          <w:lang w:eastAsia="zh-CN"/>
        </w:rPr>
        <w:t>,</w:t>
      </w:r>
      <w:r w:rsidR="00826757">
        <w:rPr>
          <w:rFonts w:eastAsia="SimSun"/>
          <w:lang w:eastAsia="zh-CN"/>
        </w:rPr>
        <w:t xml:space="preserve"> or </w:t>
      </w:r>
      <w:r w:rsidRPr="008E6658">
        <w:rPr>
          <w:rFonts w:eastAsia="SimSun"/>
          <w:lang w:eastAsia="zh-CN"/>
        </w:rPr>
        <w:t>gain experience of</w:t>
      </w:r>
      <w:r w:rsidR="00524320">
        <w:rPr>
          <w:rFonts w:eastAsia="SimSun"/>
          <w:lang w:eastAsia="zh-CN"/>
        </w:rPr>
        <w:t>,</w:t>
      </w:r>
      <w:r w:rsidRPr="008E6658">
        <w:rPr>
          <w:rFonts w:eastAsia="SimSun"/>
          <w:lang w:eastAsia="zh-CN"/>
        </w:rPr>
        <w:t xml:space="preserve"> </w:t>
      </w:r>
      <w:r w:rsidR="00524320">
        <w:rPr>
          <w:rFonts w:eastAsia="SimSun"/>
          <w:lang w:eastAsia="zh-CN"/>
        </w:rPr>
        <w:t xml:space="preserve">such </w:t>
      </w:r>
      <w:r w:rsidRPr="008E6658">
        <w:rPr>
          <w:rFonts w:eastAsia="SimSun"/>
          <w:lang w:eastAsia="zh-CN"/>
        </w:rPr>
        <w:t xml:space="preserve">new professional roles </w:t>
      </w:r>
      <w:r w:rsidR="00826757">
        <w:rPr>
          <w:rFonts w:eastAsia="SimSun"/>
          <w:lang w:eastAsia="zh-CN"/>
        </w:rPr>
        <w:t xml:space="preserve">but </w:t>
      </w:r>
      <w:r w:rsidRPr="008E6658">
        <w:rPr>
          <w:rFonts w:eastAsia="SimSun"/>
          <w:lang w:eastAsia="zh-CN"/>
        </w:rPr>
        <w:t>once gained, our findings suggest, will be more likely to state a preference for a nurse prescriber again.</w:t>
      </w:r>
      <w:r w:rsidR="00826757">
        <w:rPr>
          <w:rFonts w:eastAsia="SimSun"/>
          <w:lang w:eastAsia="zh-CN"/>
        </w:rPr>
        <w:t xml:space="preserve">  </w:t>
      </w:r>
      <w:r w:rsidRPr="008E6658">
        <w:rPr>
          <w:rFonts w:eastAsia="SimSun"/>
          <w:lang w:eastAsia="zh-CN"/>
        </w:rPr>
        <w:t xml:space="preserve">”Consistent” respondents </w:t>
      </w:r>
      <w:r w:rsidRPr="008E6658">
        <w:rPr>
          <w:rFonts w:eastAsia="SimSun"/>
          <w:lang w:eastAsia="zh-CN"/>
        </w:rPr>
        <w:lastRenderedPageBreak/>
        <w:t>appeared to be more accepting of a ‘prescribing nurse’ than the whole sample, although debate continues in the literature about what to do with such preferences</w:t>
      </w:r>
      <w:r w:rsidR="00801A61">
        <w:rPr>
          <w:rFonts w:eastAsia="SimSun"/>
          <w:vertAlign w:val="superscript"/>
          <w:lang w:eastAsia="zh-CN"/>
        </w:rPr>
        <w:t>14</w:t>
      </w:r>
      <w:r w:rsidRPr="008E6658">
        <w:rPr>
          <w:rFonts w:eastAsia="SimSun"/>
          <w:lang w:eastAsia="zh-CN"/>
        </w:rPr>
        <w:t>.  The main impact of our sub-group of consistent respondents served to strengthen the relative importance of ‘prescribing nurse’.</w:t>
      </w:r>
    </w:p>
    <w:p w:rsidR="0076060B" w:rsidRDefault="0076060B" w:rsidP="007D1917">
      <w:pPr>
        <w:spacing w:line="480" w:lineRule="auto"/>
      </w:pPr>
    </w:p>
    <w:p w:rsidR="00EC58B9" w:rsidRDefault="008E6658" w:rsidP="00524320">
      <w:pPr>
        <w:spacing w:line="480" w:lineRule="auto"/>
      </w:pPr>
      <w:r w:rsidRPr="008E6658">
        <w:rPr>
          <w:rFonts w:eastAsia="SimSun"/>
          <w:lang w:eastAsia="zh-CN"/>
        </w:rPr>
        <w:t xml:space="preserve">A key challenge facing commissioners is to make best use of skills of different clinicians in primary care as well as recognise the importance that patients place on certain patient experience factors. The results of this study can begin to demonstrate how commissioners can explore alternative configurations in line with both these objectives.  By using the estimated parameters from a well-fitting regression model, we demonstrated acceptability to patients’ of using prescribing nurses to consult for a minor </w:t>
      </w:r>
      <w:r w:rsidR="00524320">
        <w:rPr>
          <w:rFonts w:eastAsia="SimSun"/>
          <w:lang w:eastAsia="zh-CN"/>
        </w:rPr>
        <w:t xml:space="preserve">illness </w:t>
      </w:r>
      <w:r w:rsidRPr="008E6658">
        <w:rPr>
          <w:rFonts w:eastAsia="SimSun"/>
          <w:lang w:eastAsia="zh-CN"/>
        </w:rPr>
        <w:t>by exploring the attributes which compensate for not consulting the doctor if the NIP consultation offers other valued aspects of the consultation.  Further research is needed, but our results suggest that, for minor illness consultations, a patient-focused nurse prescribing service in general practice is more acceptable to patients than a poorer quality service provided by doctors. Furthermore, as more patients experience NIP care, our findings would also suggest preferences for NIP consultations will strengthen.</w:t>
      </w:r>
    </w:p>
    <w:p w:rsidR="00B1065A" w:rsidRPr="00B1065A" w:rsidRDefault="00826757" w:rsidP="007D1917">
      <w:pPr>
        <w:tabs>
          <w:tab w:val="left" w:pos="6346"/>
        </w:tabs>
        <w:spacing w:line="480" w:lineRule="auto"/>
      </w:pPr>
      <w:r>
        <w:tab/>
      </w:r>
    </w:p>
    <w:p w:rsidR="002D3894" w:rsidRDefault="008E6658" w:rsidP="007D1917">
      <w:pPr>
        <w:spacing w:line="480" w:lineRule="auto"/>
      </w:pPr>
      <w:r w:rsidRPr="008E6658">
        <w:rPr>
          <w:rFonts w:eastAsia="SimSun"/>
          <w:lang w:eastAsia="zh-CN"/>
        </w:rPr>
        <w:t>A particular strength of the study was using an evidence-based approach in designing the vignettes used in the research.  We paid careful attention to the choice context of the study.   At the commencement of the study there was limited information on current working practices for NIP professionals working in primary care in the NHS in England and whether patients’ valued this role</w:t>
      </w:r>
      <w:r w:rsidR="00801A61">
        <w:rPr>
          <w:rFonts w:eastAsia="SimSun"/>
          <w:vertAlign w:val="superscript"/>
          <w:lang w:eastAsia="zh-CN"/>
        </w:rPr>
        <w:t>20</w:t>
      </w:r>
      <w:r w:rsidRPr="008E6658">
        <w:rPr>
          <w:rFonts w:eastAsia="SimSun"/>
          <w:lang w:eastAsia="zh-CN"/>
        </w:rPr>
        <w:t xml:space="preserve">.  Informed by the national survey of NIPs the </w:t>
      </w:r>
      <w:r w:rsidRPr="008E6658">
        <w:rPr>
          <w:rFonts w:eastAsia="SimSun"/>
          <w:lang w:eastAsia="zh-CN"/>
        </w:rPr>
        <w:lastRenderedPageBreak/>
        <w:t>decision was taken to elicit patient preferences within a familiar context of consulting about a common minor acute illness commonly reported by NIP professionals working in the field.  The study assessed the relative importance of attributes around the decision to consult capturing key patient experience factors.  This choice context is likely to remain relevant in the future development of NIP-led services of this kind.</w:t>
      </w:r>
    </w:p>
    <w:p w:rsidR="002D3894" w:rsidRDefault="002D3894" w:rsidP="007D1917">
      <w:pPr>
        <w:spacing w:line="480" w:lineRule="auto"/>
      </w:pPr>
    </w:p>
    <w:p w:rsidR="00DD7A27" w:rsidRPr="00DD7A27" w:rsidRDefault="008E6658" w:rsidP="007D1917">
      <w:pPr>
        <w:spacing w:line="480" w:lineRule="auto"/>
      </w:pPr>
      <w:r w:rsidRPr="008E6658">
        <w:rPr>
          <w:rFonts w:eastAsia="SimSun"/>
          <w:lang w:eastAsia="zh-CN"/>
        </w:rPr>
        <w:t>Other study strengths were: in the process of creating the experiment, contemporary issues about measuring design efficiency and choosing the most appropriate design were considered; and the impact of ‘consistency’ of responses and patient experience of nurse prescribing on regression modelling was investigated.</w:t>
      </w:r>
      <w:r w:rsidR="00DD7A27" w:rsidRPr="00DD7A27">
        <w:t xml:space="preserve"> </w:t>
      </w:r>
      <w:r w:rsidR="00E318D2">
        <w:t xml:space="preserve"> </w:t>
      </w:r>
    </w:p>
    <w:p w:rsidR="00DD7A27" w:rsidRPr="00DD7A27" w:rsidRDefault="00DD7A27" w:rsidP="007D1917">
      <w:pPr>
        <w:spacing w:line="480" w:lineRule="auto"/>
      </w:pPr>
    </w:p>
    <w:p w:rsidR="00DD7A27" w:rsidRDefault="008E6658" w:rsidP="00524320">
      <w:pPr>
        <w:spacing w:line="480" w:lineRule="auto"/>
      </w:pPr>
      <w:r w:rsidRPr="008E6658">
        <w:rPr>
          <w:rFonts w:eastAsia="SimSun"/>
          <w:lang w:eastAsia="zh-CN"/>
        </w:rPr>
        <w:t>In paying careful attention to the choice context we included a ‘do nothing’ alternative which reinforced the realism of the context and the plausibility of the modelling</w:t>
      </w:r>
      <w:r w:rsidRPr="008E6658">
        <w:rPr>
          <w:rFonts w:eastAsia="SimSun"/>
          <w:vertAlign w:val="superscript"/>
          <w:lang w:eastAsia="zh-CN"/>
        </w:rPr>
        <w:t>3</w:t>
      </w:r>
      <w:r w:rsidR="00524320">
        <w:rPr>
          <w:rFonts w:eastAsia="SimSun"/>
          <w:vertAlign w:val="superscript"/>
          <w:lang w:eastAsia="zh-CN"/>
        </w:rPr>
        <w:t>7</w:t>
      </w:r>
      <w:r w:rsidRPr="008E6658">
        <w:rPr>
          <w:rFonts w:eastAsia="SimSun"/>
          <w:lang w:eastAsia="zh-CN"/>
        </w:rPr>
        <w:t>.  However, using an umbrella term to capture all the other alternatives together also masks the impact of the specific alternatives (such as ‘watchful waiting’ or self-medication).  There are always trade-offs in designing a DCE, future research may wish to explore how a more complex experiment might capture a fuller range of alternatives.</w:t>
      </w:r>
      <w:r w:rsidR="00826757">
        <w:rPr>
          <w:rFonts w:eastAsia="SimSun"/>
          <w:lang w:eastAsia="zh-CN"/>
        </w:rPr>
        <w:t xml:space="preserve">  </w:t>
      </w:r>
      <w:r w:rsidRPr="008E6658">
        <w:rPr>
          <w:rFonts w:eastAsia="SimSun"/>
          <w:lang w:eastAsia="zh-CN"/>
        </w:rPr>
        <w:t>Another possible limitation of the study was the representativeness of the respondents and therefore generalisability of findings.  Although field sites involved in the study were spread across England and delivered comparable services</w:t>
      </w:r>
      <w:r w:rsidR="00801A61">
        <w:rPr>
          <w:rFonts w:eastAsia="SimSun"/>
          <w:vertAlign w:val="superscript"/>
          <w:lang w:eastAsia="zh-CN"/>
        </w:rPr>
        <w:t>20</w:t>
      </w:r>
      <w:r w:rsidRPr="008E6658">
        <w:rPr>
          <w:rFonts w:eastAsia="SimSun"/>
          <w:lang w:eastAsia="zh-CN"/>
        </w:rPr>
        <w:t xml:space="preserve"> the overall representativeness of the sample remains unknown.  Any possible issue in the representativeness of the sample could have an impact on policy analysis and the use of findings to support any policy change.  For this reason it is important that future research pays close attention to </w:t>
      </w:r>
      <w:r w:rsidRPr="008E6658">
        <w:rPr>
          <w:rFonts w:eastAsia="SimSun"/>
          <w:lang w:eastAsia="zh-CN"/>
        </w:rPr>
        <w:lastRenderedPageBreak/>
        <w:t>understanding the limits of generalising results, particularly in areas where there is greater social disadvantage.</w:t>
      </w:r>
    </w:p>
    <w:p w:rsidR="00CA4520" w:rsidRDefault="00CA4520" w:rsidP="007D1917">
      <w:pPr>
        <w:spacing w:line="480" w:lineRule="auto"/>
      </w:pPr>
    </w:p>
    <w:p w:rsidR="00B1065A" w:rsidRDefault="008E6658" w:rsidP="007D1917">
      <w:pPr>
        <w:spacing w:line="480" w:lineRule="auto"/>
      </w:pPr>
      <w:r w:rsidRPr="008E6658">
        <w:rPr>
          <w:rFonts w:eastAsia="SimSun"/>
          <w:lang w:eastAsia="zh-CN"/>
        </w:rPr>
        <w:t>The DCE approach for valuing health care has become widely used in recent years.  Whilst it is true that much of the evidence gathered in this way has been shown to be reliable and internally valid more ought to be researched into demonstrating the external validity of results.  External validity is, however, challenging for any value-based measure applied to publicly funded health care services given the lack of a market.</w:t>
      </w:r>
      <w:r w:rsidR="00826757">
        <w:rPr>
          <w:rFonts w:eastAsia="SimSun"/>
          <w:lang w:eastAsia="zh-CN"/>
        </w:rPr>
        <w:t xml:space="preserve">  </w:t>
      </w:r>
      <w:r w:rsidRPr="008E6658">
        <w:rPr>
          <w:rFonts w:eastAsia="SimSun"/>
          <w:lang w:eastAsia="zh-CN"/>
        </w:rPr>
        <w:t>Other aspects, such as possible concerns about the appropriateness of the health care received might be important to patients when choosing between different health care packages, although for our study the choice of these specific DCE attributes was supported by evidence from the literature, discussion with experts and pilot work with patients.  Unfortunately no costing data on the delivery of the alternative services were considered.  Future work should integrate costing and DCE output within a cost effectiveness framework to investigate how preferences (and their heterogeneity) might influence cost-effective decisions.</w:t>
      </w:r>
    </w:p>
    <w:p w:rsidR="00E61333" w:rsidRDefault="00E61333" w:rsidP="007D1917">
      <w:pPr>
        <w:spacing w:line="480" w:lineRule="auto"/>
        <w:rPr>
          <w:b/>
          <w:bCs/>
        </w:rPr>
      </w:pPr>
    </w:p>
    <w:p w:rsidR="00E61333" w:rsidRDefault="008E6658" w:rsidP="007D1917">
      <w:pPr>
        <w:spacing w:line="480" w:lineRule="auto"/>
        <w:rPr>
          <w:b/>
          <w:bCs/>
        </w:rPr>
      </w:pPr>
      <w:r w:rsidRPr="008E6658">
        <w:rPr>
          <w:rFonts w:eastAsia="SimSun"/>
          <w:b/>
          <w:bCs/>
          <w:lang w:eastAsia="zh-CN"/>
        </w:rPr>
        <w:t>Conclusion</w:t>
      </w:r>
    </w:p>
    <w:p w:rsidR="001F710E" w:rsidRDefault="008E6658" w:rsidP="007D1917">
      <w:pPr>
        <w:spacing w:line="480" w:lineRule="auto"/>
      </w:pPr>
      <w:r w:rsidRPr="008E6658">
        <w:rPr>
          <w:rFonts w:eastAsia="SimSun"/>
          <w:lang w:eastAsia="zh-CN"/>
        </w:rPr>
        <w:t xml:space="preserve">Patients in this study tended to express a strong general preference for consulting their own doctor for minor illness. We investigated and provided new empirical evidence of strength of patient preferences for using a ‘prescribing nurse’ in a general practice setting. A minor illness consultation with a nurse prescriber </w:t>
      </w:r>
      <w:r w:rsidR="00826757">
        <w:rPr>
          <w:rFonts w:eastAsia="SimSun"/>
          <w:lang w:eastAsia="zh-CN"/>
        </w:rPr>
        <w:t xml:space="preserve">with positive </w:t>
      </w:r>
      <w:r w:rsidRPr="008E6658">
        <w:rPr>
          <w:rFonts w:eastAsia="SimSun"/>
          <w:lang w:eastAsia="zh-CN"/>
        </w:rPr>
        <w:t>pat</w:t>
      </w:r>
      <w:r w:rsidR="00826757">
        <w:rPr>
          <w:rFonts w:eastAsia="SimSun"/>
          <w:lang w:eastAsia="zh-CN"/>
        </w:rPr>
        <w:t>i</w:t>
      </w:r>
      <w:r w:rsidRPr="008E6658">
        <w:rPr>
          <w:rFonts w:eastAsia="SimSun"/>
          <w:lang w:eastAsia="zh-CN"/>
        </w:rPr>
        <w:t xml:space="preserve">ent-focused </w:t>
      </w:r>
      <w:r w:rsidR="00826757">
        <w:rPr>
          <w:rFonts w:eastAsia="SimSun"/>
          <w:lang w:eastAsia="zh-CN"/>
        </w:rPr>
        <w:t xml:space="preserve">attributes can be </w:t>
      </w:r>
      <w:r w:rsidRPr="008E6658">
        <w:rPr>
          <w:rFonts w:eastAsia="SimSun"/>
          <w:lang w:eastAsia="zh-CN"/>
        </w:rPr>
        <w:t xml:space="preserve">more acceptable to patients than a consultation provided by a doctor. </w:t>
      </w:r>
      <w:r w:rsidRPr="008E6658">
        <w:rPr>
          <w:rFonts w:eastAsia="SimSun"/>
          <w:lang w:eastAsia="zh-CN"/>
        </w:rPr>
        <w:lastRenderedPageBreak/>
        <w:t>The general preference to see a doctor for the minor illness was less strong in those who had experience of consultations with a prescribing nurse. Our findings can be used by commissioners who are making decisions about future service provision.</w:t>
      </w:r>
    </w:p>
    <w:p w:rsidR="007D1917" w:rsidRDefault="007D1917" w:rsidP="000B0BE4">
      <w:pPr>
        <w:spacing w:line="360" w:lineRule="auto"/>
        <w:rPr>
          <w:rFonts w:eastAsia="SimSun"/>
          <w:b/>
          <w:bCs/>
          <w:lang w:eastAsia="zh-CN"/>
        </w:rPr>
      </w:pPr>
    </w:p>
    <w:p w:rsidR="000B0BE4" w:rsidRPr="000B0BE4" w:rsidRDefault="008E6658" w:rsidP="000B0BE4">
      <w:pPr>
        <w:spacing w:line="360" w:lineRule="auto"/>
        <w:rPr>
          <w:b/>
          <w:bCs/>
        </w:rPr>
      </w:pPr>
      <w:r w:rsidRPr="008E6658">
        <w:rPr>
          <w:rFonts w:eastAsia="SimSun"/>
          <w:b/>
          <w:bCs/>
          <w:lang w:eastAsia="zh-CN"/>
        </w:rPr>
        <w:t>References</w:t>
      </w:r>
    </w:p>
    <w:p w:rsidR="000B0BE4" w:rsidRPr="000B0BE4" w:rsidRDefault="008E6658" w:rsidP="007D1917">
      <w:pPr>
        <w:rPr>
          <w:sz w:val="20"/>
          <w:szCs w:val="20"/>
        </w:rPr>
      </w:pPr>
      <w:r w:rsidRPr="008E6658">
        <w:rPr>
          <w:rFonts w:eastAsia="SimSun"/>
          <w:sz w:val="20"/>
          <w:szCs w:val="20"/>
          <w:lang w:eastAsia="zh-CN"/>
        </w:rPr>
        <w:t>1.</w:t>
      </w:r>
      <w:r w:rsidRPr="000B0BE4">
        <w:rPr>
          <w:sz w:val="20"/>
          <w:szCs w:val="20"/>
          <w:lang w:eastAsia="zh-CN"/>
        </w:rPr>
        <w:tab/>
      </w:r>
      <w:r w:rsidRPr="008E6658">
        <w:rPr>
          <w:rFonts w:eastAsia="SimSun"/>
          <w:sz w:val="20"/>
          <w:szCs w:val="20"/>
          <w:lang w:eastAsia="zh-CN"/>
        </w:rPr>
        <w:t>Latter S, Blenkinsopp A. Non-medical prescribing: current and future contributions of pharmacists and nurses. Int</w:t>
      </w:r>
      <w:r w:rsidR="00561E36">
        <w:rPr>
          <w:rFonts w:eastAsia="SimSun"/>
          <w:sz w:val="20"/>
          <w:szCs w:val="20"/>
          <w:lang w:eastAsia="zh-CN"/>
        </w:rPr>
        <w:t xml:space="preserve">ernational </w:t>
      </w:r>
      <w:r w:rsidRPr="008E6658">
        <w:rPr>
          <w:rFonts w:eastAsia="SimSun"/>
          <w:sz w:val="20"/>
          <w:szCs w:val="20"/>
          <w:lang w:eastAsia="zh-CN"/>
        </w:rPr>
        <w:t>J</w:t>
      </w:r>
      <w:r w:rsidR="00561E36">
        <w:rPr>
          <w:rFonts w:eastAsia="SimSun"/>
          <w:sz w:val="20"/>
          <w:szCs w:val="20"/>
          <w:lang w:eastAsia="zh-CN"/>
        </w:rPr>
        <w:t>ournal of</w:t>
      </w:r>
      <w:r w:rsidRPr="008E6658">
        <w:rPr>
          <w:rFonts w:eastAsia="SimSun"/>
          <w:sz w:val="20"/>
          <w:szCs w:val="20"/>
          <w:lang w:eastAsia="zh-CN"/>
        </w:rPr>
        <w:t xml:space="preserve"> Pharm</w:t>
      </w:r>
      <w:r w:rsidR="00561E36">
        <w:rPr>
          <w:rFonts w:eastAsia="SimSun"/>
          <w:sz w:val="20"/>
          <w:szCs w:val="20"/>
          <w:lang w:eastAsia="zh-CN"/>
        </w:rPr>
        <w:t>acy</w:t>
      </w:r>
      <w:r w:rsidRPr="008E6658">
        <w:rPr>
          <w:rFonts w:eastAsia="SimSun"/>
          <w:sz w:val="20"/>
          <w:szCs w:val="20"/>
          <w:lang w:eastAsia="zh-CN"/>
        </w:rPr>
        <w:t xml:space="preserve"> Pract</w:t>
      </w:r>
      <w:r w:rsidR="00561E36">
        <w:rPr>
          <w:rFonts w:eastAsia="SimSun"/>
          <w:sz w:val="20"/>
          <w:szCs w:val="20"/>
          <w:lang w:eastAsia="zh-CN"/>
        </w:rPr>
        <w:t>ice.</w:t>
      </w:r>
      <w:r w:rsidRPr="008E6658">
        <w:rPr>
          <w:rFonts w:eastAsia="SimSun"/>
          <w:sz w:val="20"/>
          <w:szCs w:val="20"/>
          <w:lang w:eastAsia="zh-CN"/>
        </w:rPr>
        <w:t xml:space="preserve"> 2011; 196:381-82. DOI: 10.1111/j.2042-7174.2011.00183.x</w:t>
      </w:r>
    </w:p>
    <w:p w:rsidR="000B0BE4" w:rsidRPr="000B0BE4" w:rsidRDefault="008E6658" w:rsidP="007D1917">
      <w:pPr>
        <w:rPr>
          <w:sz w:val="20"/>
          <w:szCs w:val="20"/>
        </w:rPr>
      </w:pPr>
      <w:r w:rsidRPr="008E6658">
        <w:rPr>
          <w:rFonts w:eastAsia="SimSun"/>
          <w:sz w:val="20"/>
          <w:szCs w:val="20"/>
          <w:lang w:eastAsia="zh-CN"/>
        </w:rPr>
        <w:t>2.</w:t>
      </w:r>
      <w:r w:rsidRPr="000B0BE4">
        <w:rPr>
          <w:sz w:val="20"/>
          <w:szCs w:val="20"/>
          <w:lang w:eastAsia="zh-CN"/>
        </w:rPr>
        <w:tab/>
      </w:r>
      <w:r w:rsidRPr="008E6658">
        <w:rPr>
          <w:rFonts w:eastAsia="SimSun"/>
          <w:sz w:val="20"/>
          <w:szCs w:val="20"/>
          <w:lang w:eastAsia="zh-CN"/>
        </w:rPr>
        <w:t xml:space="preserve">Department of Health. Extending Independent Nurse Prescribing within the NHS in England: a guide for implementation.6 Oct 2006. </w:t>
      </w:r>
      <w:r w:rsidR="00EA2681">
        <w:rPr>
          <w:rFonts w:eastAsia="SimSun"/>
          <w:sz w:val="20"/>
          <w:szCs w:val="20"/>
          <w:lang w:eastAsia="zh-CN"/>
        </w:rPr>
        <w:t>w</w:t>
      </w:r>
      <w:r w:rsidRPr="008E6658">
        <w:rPr>
          <w:rFonts w:eastAsia="SimSun"/>
          <w:sz w:val="20"/>
          <w:szCs w:val="20"/>
          <w:lang w:eastAsia="zh-CN"/>
        </w:rPr>
        <w:t>ww.dh.gov.uk/en/PublicationsandStatistics/PublicationsPolicyAndGuideance/DH_4006775. [Accessed 27th February 2012].</w:t>
      </w:r>
    </w:p>
    <w:p w:rsidR="000B0BE4" w:rsidRPr="000B0BE4" w:rsidRDefault="008E6658" w:rsidP="007D1917">
      <w:pPr>
        <w:rPr>
          <w:sz w:val="20"/>
          <w:szCs w:val="20"/>
        </w:rPr>
      </w:pPr>
      <w:r w:rsidRPr="008E6658">
        <w:rPr>
          <w:rFonts w:eastAsia="SimSun"/>
          <w:sz w:val="20"/>
          <w:szCs w:val="20"/>
          <w:lang w:eastAsia="zh-CN"/>
        </w:rPr>
        <w:t>3.</w:t>
      </w:r>
      <w:r w:rsidRPr="000B0BE4">
        <w:rPr>
          <w:sz w:val="20"/>
          <w:szCs w:val="20"/>
          <w:lang w:eastAsia="zh-CN"/>
        </w:rPr>
        <w:tab/>
      </w:r>
      <w:r w:rsidRPr="008E6658">
        <w:rPr>
          <w:rFonts w:eastAsia="SimSun"/>
          <w:sz w:val="20"/>
          <w:szCs w:val="20"/>
          <w:lang w:eastAsia="zh-CN"/>
        </w:rPr>
        <w:t>Latter S, Smith A, Blenkinsopp A, Nichols P, Little P, Chapman S.  Are nurse and pharmacist independent prescribers making clinically appropriate prescribing decisions?  An analysis of consultations.  J</w:t>
      </w:r>
      <w:r w:rsidR="00561E36">
        <w:rPr>
          <w:rFonts w:eastAsia="SimSun"/>
          <w:sz w:val="20"/>
          <w:szCs w:val="20"/>
          <w:lang w:eastAsia="zh-CN"/>
        </w:rPr>
        <w:t xml:space="preserve">ournal of </w:t>
      </w:r>
      <w:r w:rsidRPr="008E6658">
        <w:rPr>
          <w:rFonts w:eastAsia="SimSun"/>
          <w:sz w:val="20"/>
          <w:szCs w:val="20"/>
          <w:lang w:eastAsia="zh-CN"/>
        </w:rPr>
        <w:t>H</w:t>
      </w:r>
      <w:r w:rsidR="00561E36">
        <w:rPr>
          <w:rFonts w:eastAsia="SimSun"/>
          <w:sz w:val="20"/>
          <w:szCs w:val="20"/>
          <w:lang w:eastAsia="zh-CN"/>
        </w:rPr>
        <w:t xml:space="preserve">ealth </w:t>
      </w:r>
      <w:r w:rsidRPr="008E6658">
        <w:rPr>
          <w:rFonts w:eastAsia="SimSun"/>
          <w:sz w:val="20"/>
          <w:szCs w:val="20"/>
          <w:lang w:eastAsia="zh-CN"/>
        </w:rPr>
        <w:t>S</w:t>
      </w:r>
      <w:r w:rsidR="00561E36">
        <w:rPr>
          <w:rFonts w:eastAsia="SimSun"/>
          <w:sz w:val="20"/>
          <w:szCs w:val="20"/>
          <w:lang w:eastAsia="zh-CN"/>
        </w:rPr>
        <w:t xml:space="preserve">ervices </w:t>
      </w:r>
      <w:r w:rsidRPr="008E6658">
        <w:rPr>
          <w:rFonts w:eastAsia="SimSun"/>
          <w:sz w:val="20"/>
          <w:szCs w:val="20"/>
          <w:lang w:eastAsia="zh-CN"/>
        </w:rPr>
        <w:t>R</w:t>
      </w:r>
      <w:r w:rsidR="00561E36">
        <w:rPr>
          <w:rFonts w:eastAsia="SimSun"/>
          <w:sz w:val="20"/>
          <w:szCs w:val="20"/>
          <w:lang w:eastAsia="zh-CN"/>
        </w:rPr>
        <w:t xml:space="preserve">esearch and </w:t>
      </w:r>
      <w:r w:rsidRPr="008E6658">
        <w:rPr>
          <w:rFonts w:eastAsia="SimSun"/>
          <w:sz w:val="20"/>
          <w:szCs w:val="20"/>
          <w:lang w:eastAsia="zh-CN"/>
        </w:rPr>
        <w:t>P</w:t>
      </w:r>
      <w:r w:rsidR="00561E36">
        <w:rPr>
          <w:rFonts w:eastAsia="SimSun"/>
          <w:sz w:val="20"/>
          <w:szCs w:val="20"/>
          <w:lang w:eastAsia="zh-CN"/>
        </w:rPr>
        <w:t>ractice.</w:t>
      </w:r>
      <w:r w:rsidRPr="008E6658">
        <w:rPr>
          <w:rFonts w:eastAsia="SimSun"/>
          <w:sz w:val="20"/>
          <w:szCs w:val="20"/>
          <w:lang w:eastAsia="zh-CN"/>
        </w:rPr>
        <w:t xml:space="preserve"> 2012 17:3; 149-157. DOI: 10.1258/jhsrp.2012.011090</w:t>
      </w:r>
    </w:p>
    <w:p w:rsidR="000B0BE4" w:rsidRPr="000B0BE4" w:rsidRDefault="008E6658" w:rsidP="007D1917">
      <w:pPr>
        <w:rPr>
          <w:sz w:val="20"/>
          <w:szCs w:val="20"/>
        </w:rPr>
      </w:pPr>
      <w:r w:rsidRPr="008E6658">
        <w:rPr>
          <w:rFonts w:eastAsia="SimSun"/>
          <w:sz w:val="20"/>
          <w:szCs w:val="20"/>
          <w:lang w:eastAsia="zh-CN"/>
        </w:rPr>
        <w:t>4.</w:t>
      </w:r>
      <w:r w:rsidRPr="000B0BE4">
        <w:rPr>
          <w:sz w:val="20"/>
          <w:szCs w:val="20"/>
          <w:lang w:eastAsia="zh-CN"/>
        </w:rPr>
        <w:tab/>
      </w:r>
      <w:r w:rsidRPr="008E6658">
        <w:rPr>
          <w:rFonts w:eastAsia="SimSun"/>
          <w:sz w:val="20"/>
          <w:szCs w:val="20"/>
          <w:lang w:eastAsia="zh-CN"/>
        </w:rPr>
        <w:t>Williamson C. Towards the emancipation of patients: patients’ experiences and the patient movement. Bristol</w:t>
      </w:r>
      <w:r w:rsidR="00561E36">
        <w:rPr>
          <w:rFonts w:eastAsia="SimSun"/>
          <w:sz w:val="20"/>
          <w:szCs w:val="20"/>
          <w:lang w:eastAsia="zh-CN"/>
        </w:rPr>
        <w:t>:</w:t>
      </w:r>
      <w:r w:rsidRPr="008E6658">
        <w:rPr>
          <w:rFonts w:eastAsia="SimSun"/>
          <w:sz w:val="20"/>
          <w:szCs w:val="20"/>
          <w:lang w:eastAsia="zh-CN"/>
        </w:rPr>
        <w:t xml:space="preserve"> Policy Press, 2010. ISBN: 978187427441</w:t>
      </w:r>
    </w:p>
    <w:p w:rsidR="000B0BE4" w:rsidRDefault="008E6658" w:rsidP="007D1917">
      <w:pPr>
        <w:rPr>
          <w:sz w:val="20"/>
          <w:szCs w:val="20"/>
        </w:rPr>
      </w:pPr>
      <w:r w:rsidRPr="008E6658">
        <w:rPr>
          <w:rFonts w:eastAsia="SimSun"/>
          <w:sz w:val="20"/>
          <w:szCs w:val="20"/>
          <w:lang w:eastAsia="zh-CN"/>
        </w:rPr>
        <w:t xml:space="preserve">5 </w:t>
      </w:r>
      <w:r w:rsidRPr="000B0BE4">
        <w:rPr>
          <w:sz w:val="20"/>
          <w:szCs w:val="20"/>
          <w:lang w:eastAsia="zh-CN"/>
        </w:rPr>
        <w:tab/>
      </w:r>
      <w:r w:rsidRPr="008E6658">
        <w:rPr>
          <w:rFonts w:eastAsia="SimSun"/>
          <w:sz w:val="20"/>
          <w:szCs w:val="20"/>
          <w:lang w:eastAsia="zh-CN"/>
        </w:rPr>
        <w:t>Caldow J, Bond C, Ryan M, Campbell N, Miguel F, Kiger A and Lee A. Treatment of minor illness in primary care: a national survey of patient satisfaction, attitudes and preferences regarding a wider nursing role. Health Expectations</w:t>
      </w:r>
      <w:r w:rsidR="00561E36">
        <w:rPr>
          <w:rFonts w:eastAsia="SimSun"/>
          <w:sz w:val="20"/>
          <w:szCs w:val="20"/>
          <w:lang w:eastAsia="zh-CN"/>
        </w:rPr>
        <w:t>.</w:t>
      </w:r>
      <w:r w:rsidRPr="008E6658">
        <w:rPr>
          <w:rFonts w:eastAsia="SimSun"/>
          <w:sz w:val="20"/>
          <w:szCs w:val="20"/>
          <w:lang w:eastAsia="zh-CN"/>
        </w:rPr>
        <w:t xml:space="preserve"> 2006; 10: 30–45.</w:t>
      </w:r>
    </w:p>
    <w:p w:rsidR="00F8310B" w:rsidRDefault="008E6658" w:rsidP="007D1917">
      <w:pPr>
        <w:rPr>
          <w:sz w:val="20"/>
          <w:szCs w:val="20"/>
        </w:rPr>
      </w:pPr>
      <w:r w:rsidRPr="008E6658">
        <w:rPr>
          <w:rFonts w:eastAsia="SimSun"/>
          <w:sz w:val="20"/>
          <w:szCs w:val="20"/>
          <w:lang w:eastAsia="zh-CN"/>
        </w:rPr>
        <w:t>6.</w:t>
      </w:r>
      <w:r>
        <w:rPr>
          <w:sz w:val="20"/>
          <w:szCs w:val="20"/>
          <w:lang w:eastAsia="zh-CN"/>
        </w:rPr>
        <w:tab/>
      </w:r>
      <w:r w:rsidRPr="008E6658">
        <w:rPr>
          <w:rFonts w:eastAsia="SimSun"/>
          <w:sz w:val="20"/>
          <w:szCs w:val="20"/>
          <w:lang w:eastAsia="zh-CN"/>
        </w:rPr>
        <w:t xml:space="preserve"> Shaum C, Humphreys A, Wheeler D, Cochrane M-A, Skoda A, Clement S. Nurse management of patients with minor illnesses in general practice: multicentre, randomised controlled trial. B</w:t>
      </w:r>
      <w:r w:rsidR="00561E36">
        <w:rPr>
          <w:rFonts w:eastAsia="SimSun"/>
          <w:sz w:val="20"/>
          <w:szCs w:val="20"/>
          <w:lang w:eastAsia="zh-CN"/>
        </w:rPr>
        <w:t xml:space="preserve">ritish </w:t>
      </w:r>
      <w:r w:rsidRPr="008E6658">
        <w:rPr>
          <w:rFonts w:eastAsia="SimSun"/>
          <w:sz w:val="20"/>
          <w:szCs w:val="20"/>
          <w:lang w:eastAsia="zh-CN"/>
        </w:rPr>
        <w:t>M</w:t>
      </w:r>
      <w:r w:rsidR="00561E36">
        <w:rPr>
          <w:rFonts w:eastAsia="SimSun"/>
          <w:sz w:val="20"/>
          <w:szCs w:val="20"/>
          <w:lang w:eastAsia="zh-CN"/>
        </w:rPr>
        <w:t xml:space="preserve">edical </w:t>
      </w:r>
      <w:r w:rsidRPr="008E6658">
        <w:rPr>
          <w:rFonts w:eastAsia="SimSun"/>
          <w:sz w:val="20"/>
          <w:szCs w:val="20"/>
          <w:lang w:eastAsia="zh-CN"/>
        </w:rPr>
        <w:t>J</w:t>
      </w:r>
      <w:r w:rsidR="00561E36">
        <w:rPr>
          <w:rFonts w:eastAsia="SimSun"/>
          <w:sz w:val="20"/>
          <w:szCs w:val="20"/>
          <w:lang w:eastAsia="zh-CN"/>
        </w:rPr>
        <w:t>ournal.</w:t>
      </w:r>
      <w:r w:rsidRPr="008E6658">
        <w:rPr>
          <w:rFonts w:eastAsia="SimSun"/>
          <w:sz w:val="20"/>
          <w:szCs w:val="20"/>
          <w:lang w:eastAsia="zh-CN"/>
        </w:rPr>
        <w:t xml:space="preserve"> 2000: 320; 1038-43.</w:t>
      </w:r>
    </w:p>
    <w:p w:rsidR="00501AA1" w:rsidRPr="00C523EB" w:rsidRDefault="008E6658" w:rsidP="007D1917">
      <w:pPr>
        <w:rPr>
          <w:sz w:val="20"/>
          <w:szCs w:val="20"/>
        </w:rPr>
      </w:pPr>
      <w:r w:rsidRPr="008E6658">
        <w:rPr>
          <w:rFonts w:eastAsia="SimSun"/>
          <w:sz w:val="20"/>
          <w:szCs w:val="20"/>
          <w:lang w:eastAsia="zh-CN"/>
        </w:rPr>
        <w:t xml:space="preserve">7. </w:t>
      </w:r>
      <w:r>
        <w:rPr>
          <w:sz w:val="20"/>
          <w:szCs w:val="20"/>
          <w:lang w:eastAsia="zh-CN"/>
        </w:rPr>
        <w:tab/>
      </w:r>
      <w:r w:rsidRPr="008E6658">
        <w:rPr>
          <w:rFonts w:eastAsia="SimSun"/>
          <w:sz w:val="20"/>
          <w:szCs w:val="20"/>
          <w:lang w:eastAsia="zh-CN"/>
        </w:rPr>
        <w:t xml:space="preserve">Horrocks S, Anderson E, Salisbury C,  Systematic review of whether nurse practitioners working </w:t>
      </w:r>
      <w:r w:rsidRPr="00C523EB">
        <w:rPr>
          <w:rFonts w:eastAsia="SimSun"/>
          <w:sz w:val="20"/>
          <w:szCs w:val="20"/>
          <w:lang w:eastAsia="zh-CN"/>
        </w:rPr>
        <w:t>in primary care can provide equivalent care to doctors. B</w:t>
      </w:r>
      <w:r w:rsidR="00561E36">
        <w:rPr>
          <w:rFonts w:eastAsia="SimSun"/>
          <w:sz w:val="20"/>
          <w:szCs w:val="20"/>
          <w:lang w:eastAsia="zh-CN"/>
        </w:rPr>
        <w:t xml:space="preserve">ritish </w:t>
      </w:r>
      <w:r w:rsidRPr="00C523EB">
        <w:rPr>
          <w:rFonts w:eastAsia="SimSun"/>
          <w:sz w:val="20"/>
          <w:szCs w:val="20"/>
          <w:lang w:eastAsia="zh-CN"/>
        </w:rPr>
        <w:t>M</w:t>
      </w:r>
      <w:r w:rsidR="00561E36">
        <w:rPr>
          <w:rFonts w:eastAsia="SimSun"/>
          <w:sz w:val="20"/>
          <w:szCs w:val="20"/>
          <w:lang w:eastAsia="zh-CN"/>
        </w:rPr>
        <w:t xml:space="preserve">edical </w:t>
      </w:r>
      <w:r w:rsidRPr="00C523EB">
        <w:rPr>
          <w:rFonts w:eastAsia="SimSun"/>
          <w:sz w:val="20"/>
          <w:szCs w:val="20"/>
          <w:lang w:eastAsia="zh-CN"/>
        </w:rPr>
        <w:t>J</w:t>
      </w:r>
      <w:r w:rsidR="00561E36">
        <w:rPr>
          <w:rFonts w:eastAsia="SimSun"/>
          <w:sz w:val="20"/>
          <w:szCs w:val="20"/>
          <w:lang w:eastAsia="zh-CN"/>
        </w:rPr>
        <w:t>ournal.</w:t>
      </w:r>
      <w:r w:rsidRPr="00C523EB">
        <w:rPr>
          <w:rFonts w:eastAsia="SimSun"/>
          <w:sz w:val="20"/>
          <w:szCs w:val="20"/>
          <w:lang w:eastAsia="zh-CN"/>
        </w:rPr>
        <w:t xml:space="preserve"> 2002: 324; 819-23.</w:t>
      </w:r>
    </w:p>
    <w:p w:rsidR="000B0BE4" w:rsidRPr="00C523EB" w:rsidRDefault="00C523EB" w:rsidP="007D1917">
      <w:pPr>
        <w:rPr>
          <w:sz w:val="20"/>
          <w:szCs w:val="20"/>
        </w:rPr>
      </w:pPr>
      <w:r w:rsidRPr="00C523EB">
        <w:rPr>
          <w:rFonts w:eastAsia="SimSun"/>
          <w:sz w:val="20"/>
          <w:szCs w:val="20"/>
          <w:lang w:eastAsia="zh-CN"/>
        </w:rPr>
        <w:t>8</w:t>
      </w:r>
      <w:r w:rsidR="008E6658" w:rsidRPr="00C523EB">
        <w:rPr>
          <w:rFonts w:eastAsia="SimSun"/>
          <w:sz w:val="20"/>
          <w:szCs w:val="20"/>
          <w:lang w:eastAsia="zh-CN"/>
        </w:rPr>
        <w:t>.</w:t>
      </w:r>
      <w:r w:rsidR="008E6658" w:rsidRPr="00C523EB">
        <w:rPr>
          <w:sz w:val="20"/>
          <w:szCs w:val="20"/>
          <w:lang w:eastAsia="zh-CN"/>
        </w:rPr>
        <w:tab/>
      </w:r>
      <w:r w:rsidR="008E6658" w:rsidRPr="00C523EB">
        <w:rPr>
          <w:rFonts w:eastAsia="SimSun"/>
          <w:sz w:val="20"/>
          <w:szCs w:val="20"/>
          <w:lang w:eastAsia="zh-CN"/>
        </w:rPr>
        <w:t>Tinelli M, Ryan M, Bond C. Patient preferences for an increased pharmacist role in the management of drug therapy. In</w:t>
      </w:r>
      <w:r w:rsidR="00561E36">
        <w:rPr>
          <w:rFonts w:eastAsia="SimSun"/>
          <w:sz w:val="20"/>
          <w:szCs w:val="20"/>
          <w:lang w:eastAsia="zh-CN"/>
        </w:rPr>
        <w:t>ternational</w:t>
      </w:r>
      <w:r w:rsidR="008E6658" w:rsidRPr="00C523EB">
        <w:rPr>
          <w:rFonts w:eastAsia="SimSun"/>
          <w:sz w:val="20"/>
          <w:szCs w:val="20"/>
          <w:lang w:eastAsia="zh-CN"/>
        </w:rPr>
        <w:t xml:space="preserve"> J</w:t>
      </w:r>
      <w:r w:rsidR="00561E36">
        <w:rPr>
          <w:rFonts w:eastAsia="SimSun"/>
          <w:sz w:val="20"/>
          <w:szCs w:val="20"/>
          <w:lang w:eastAsia="zh-CN"/>
        </w:rPr>
        <w:t>ournal of</w:t>
      </w:r>
      <w:r w:rsidR="008E6658" w:rsidRPr="00C523EB">
        <w:rPr>
          <w:rFonts w:eastAsia="SimSun"/>
          <w:sz w:val="20"/>
          <w:szCs w:val="20"/>
          <w:lang w:eastAsia="zh-CN"/>
        </w:rPr>
        <w:t xml:space="preserve"> Pharm</w:t>
      </w:r>
      <w:r w:rsidR="00561E36">
        <w:rPr>
          <w:rFonts w:eastAsia="SimSun"/>
          <w:sz w:val="20"/>
          <w:szCs w:val="20"/>
          <w:lang w:eastAsia="zh-CN"/>
        </w:rPr>
        <w:t>acy</w:t>
      </w:r>
      <w:r w:rsidR="008E6658" w:rsidRPr="00C523EB">
        <w:rPr>
          <w:rFonts w:eastAsia="SimSun"/>
          <w:sz w:val="20"/>
          <w:szCs w:val="20"/>
          <w:lang w:eastAsia="zh-CN"/>
        </w:rPr>
        <w:t xml:space="preserve"> Pract</w:t>
      </w:r>
      <w:r w:rsidR="00561E36">
        <w:rPr>
          <w:rFonts w:eastAsia="SimSun"/>
          <w:sz w:val="20"/>
          <w:szCs w:val="20"/>
          <w:lang w:eastAsia="zh-CN"/>
        </w:rPr>
        <w:t>ice.</w:t>
      </w:r>
      <w:r w:rsidR="008E6658" w:rsidRPr="00C523EB">
        <w:rPr>
          <w:rFonts w:eastAsia="SimSun"/>
          <w:sz w:val="20"/>
          <w:szCs w:val="20"/>
          <w:lang w:eastAsia="zh-CN"/>
        </w:rPr>
        <w:t xml:space="preserve"> 2009; 17:275-82.</w:t>
      </w:r>
    </w:p>
    <w:p w:rsidR="000B0BE4" w:rsidRPr="000B0BE4" w:rsidRDefault="00C523EB" w:rsidP="007D1917">
      <w:pPr>
        <w:rPr>
          <w:sz w:val="20"/>
          <w:szCs w:val="20"/>
        </w:rPr>
      </w:pPr>
      <w:r w:rsidRPr="00C523EB">
        <w:rPr>
          <w:rFonts w:eastAsia="SimSun"/>
          <w:sz w:val="20"/>
          <w:szCs w:val="20"/>
          <w:lang w:eastAsia="zh-CN"/>
        </w:rPr>
        <w:t>9</w:t>
      </w:r>
      <w:r w:rsidR="008E6658" w:rsidRPr="00C523EB">
        <w:rPr>
          <w:rFonts w:eastAsia="SimSun"/>
          <w:sz w:val="20"/>
          <w:szCs w:val="20"/>
          <w:lang w:eastAsia="zh-CN"/>
        </w:rPr>
        <w:t>.</w:t>
      </w:r>
      <w:r w:rsidR="008E6658" w:rsidRPr="00C523EB">
        <w:rPr>
          <w:sz w:val="20"/>
          <w:szCs w:val="20"/>
          <w:lang w:eastAsia="zh-CN"/>
        </w:rPr>
        <w:tab/>
      </w:r>
      <w:r w:rsidR="008E6658" w:rsidRPr="00C523EB">
        <w:rPr>
          <w:rFonts w:eastAsia="SimSun"/>
          <w:sz w:val="20"/>
          <w:szCs w:val="20"/>
          <w:lang w:eastAsia="zh-CN"/>
        </w:rPr>
        <w:t>Gerard</w:t>
      </w:r>
      <w:r w:rsidR="008E6658" w:rsidRPr="008E6658">
        <w:rPr>
          <w:rFonts w:eastAsia="SimSun"/>
          <w:sz w:val="20"/>
          <w:szCs w:val="20"/>
          <w:lang w:eastAsia="zh-CN"/>
        </w:rPr>
        <w:t xml:space="preserve"> K, Tinelli M, Latter S, Blenkinsopp A and Smith A. Valuing the extended role of prescribing pharmacist in general practice: Results from a discrete choice experiment. Value in Health</w:t>
      </w:r>
      <w:r w:rsidR="00561E36">
        <w:rPr>
          <w:rFonts w:eastAsia="SimSun"/>
          <w:sz w:val="20"/>
          <w:szCs w:val="20"/>
          <w:lang w:eastAsia="zh-CN"/>
        </w:rPr>
        <w:t>.</w:t>
      </w:r>
      <w:r w:rsidR="008E6658" w:rsidRPr="008E6658">
        <w:rPr>
          <w:rFonts w:eastAsia="SimSun"/>
          <w:sz w:val="20"/>
          <w:szCs w:val="20"/>
          <w:lang w:eastAsia="zh-CN"/>
        </w:rPr>
        <w:t xml:space="preserve"> 2012</w:t>
      </w:r>
      <w:r w:rsidR="00EA2681">
        <w:rPr>
          <w:rFonts w:eastAsia="SimSun"/>
          <w:sz w:val="20"/>
          <w:szCs w:val="20"/>
          <w:lang w:eastAsia="zh-CN"/>
        </w:rPr>
        <w:t>;</w:t>
      </w:r>
      <w:r w:rsidR="008E6658" w:rsidRPr="008E6658">
        <w:rPr>
          <w:rFonts w:eastAsia="SimSun"/>
          <w:sz w:val="20"/>
          <w:szCs w:val="20"/>
          <w:lang w:eastAsia="zh-CN"/>
        </w:rPr>
        <w:t xml:space="preserve"> 15: 699-707. DOI: 10.1016/jval.2012.02.006</w:t>
      </w:r>
    </w:p>
    <w:p w:rsidR="000B0BE4" w:rsidRPr="00C523EB" w:rsidRDefault="00C523EB" w:rsidP="007D1917">
      <w:pPr>
        <w:rPr>
          <w:sz w:val="20"/>
          <w:szCs w:val="20"/>
        </w:rPr>
      </w:pPr>
      <w:r w:rsidRPr="00C523EB">
        <w:rPr>
          <w:rFonts w:eastAsia="SimSun"/>
          <w:sz w:val="20"/>
          <w:szCs w:val="20"/>
          <w:lang w:eastAsia="zh-CN"/>
        </w:rPr>
        <w:t>10</w:t>
      </w:r>
      <w:r w:rsidR="008E6658" w:rsidRPr="00C523EB">
        <w:rPr>
          <w:rFonts w:eastAsia="SimSun"/>
          <w:sz w:val="20"/>
          <w:szCs w:val="20"/>
          <w:lang w:eastAsia="zh-CN"/>
        </w:rPr>
        <w:t>.</w:t>
      </w:r>
      <w:r w:rsidR="008E6658" w:rsidRPr="00C523EB">
        <w:rPr>
          <w:sz w:val="20"/>
          <w:szCs w:val="20"/>
          <w:lang w:eastAsia="zh-CN"/>
        </w:rPr>
        <w:tab/>
      </w:r>
      <w:r w:rsidR="008E6658" w:rsidRPr="00C523EB">
        <w:rPr>
          <w:rFonts w:eastAsia="SimSun"/>
          <w:sz w:val="20"/>
          <w:szCs w:val="20"/>
          <w:lang w:eastAsia="zh-CN"/>
        </w:rPr>
        <w:t xml:space="preserve">Entwistle V, Firnigl D, Ryan M, Francis J and Kinghorn P. Which experiences of health care delivery matter to service users and why? A critical interpretive synthesis and conceptual map.  </w:t>
      </w:r>
      <w:r w:rsidR="00561E36" w:rsidRPr="00561E36">
        <w:rPr>
          <w:rFonts w:eastAsia="SimSun"/>
          <w:sz w:val="20"/>
          <w:szCs w:val="20"/>
          <w:lang w:eastAsia="zh-CN"/>
        </w:rPr>
        <w:t xml:space="preserve">Journal of Health Services Research and Practice. </w:t>
      </w:r>
      <w:r w:rsidR="00EA2681">
        <w:rPr>
          <w:rFonts w:eastAsia="SimSun"/>
          <w:sz w:val="20"/>
          <w:szCs w:val="20"/>
          <w:lang w:eastAsia="zh-CN"/>
        </w:rPr>
        <w:t xml:space="preserve"> </w:t>
      </w:r>
      <w:r w:rsidR="008E6658" w:rsidRPr="00C523EB">
        <w:rPr>
          <w:rFonts w:eastAsia="SimSun"/>
          <w:sz w:val="20"/>
          <w:szCs w:val="20"/>
          <w:lang w:eastAsia="zh-CN"/>
        </w:rPr>
        <w:t>2012 17:2; 70-78. DOI: 10.125/jhsrp.2011.011029</w:t>
      </w:r>
    </w:p>
    <w:p w:rsidR="00E82ADA" w:rsidRDefault="008E6658" w:rsidP="007D1917">
      <w:pPr>
        <w:rPr>
          <w:sz w:val="20"/>
          <w:szCs w:val="20"/>
        </w:rPr>
      </w:pPr>
      <w:r w:rsidRPr="00C523EB">
        <w:rPr>
          <w:rFonts w:eastAsia="SimSun"/>
          <w:sz w:val="20"/>
          <w:szCs w:val="20"/>
          <w:lang w:eastAsia="zh-CN"/>
        </w:rPr>
        <w:t>1</w:t>
      </w:r>
      <w:r w:rsidR="004A3A30">
        <w:rPr>
          <w:rFonts w:eastAsia="SimSun"/>
          <w:sz w:val="20"/>
          <w:szCs w:val="20"/>
          <w:lang w:eastAsia="zh-CN"/>
        </w:rPr>
        <w:t>1</w:t>
      </w:r>
      <w:r w:rsidRPr="00C523EB">
        <w:rPr>
          <w:rFonts w:eastAsia="SimSun"/>
          <w:sz w:val="20"/>
          <w:szCs w:val="20"/>
          <w:lang w:eastAsia="zh-CN"/>
        </w:rPr>
        <w:t xml:space="preserve">. </w:t>
      </w:r>
      <w:r w:rsidRPr="00C523EB">
        <w:rPr>
          <w:sz w:val="20"/>
          <w:szCs w:val="20"/>
          <w:lang w:eastAsia="zh-CN"/>
        </w:rPr>
        <w:tab/>
      </w:r>
      <w:r w:rsidRPr="00C523EB">
        <w:rPr>
          <w:rFonts w:eastAsia="SimSun"/>
          <w:sz w:val="20"/>
          <w:szCs w:val="20"/>
          <w:lang w:eastAsia="zh-CN"/>
        </w:rPr>
        <w:t>Redsell S, Stokes T, Jackson C, Hastings A, Baker R. Patients’ accounts of differences in nurses’ and general practitioners’</w:t>
      </w:r>
      <w:r w:rsidRPr="008E6658">
        <w:rPr>
          <w:rFonts w:eastAsia="SimSun"/>
          <w:sz w:val="20"/>
          <w:szCs w:val="20"/>
          <w:lang w:eastAsia="zh-CN"/>
        </w:rPr>
        <w:t xml:space="preserve"> roles in primary care.  Journal of Advanced Nursing,  200</w:t>
      </w:r>
      <w:r w:rsidR="004A3A30">
        <w:rPr>
          <w:rFonts w:eastAsia="SimSun"/>
          <w:sz w:val="20"/>
          <w:szCs w:val="20"/>
          <w:lang w:eastAsia="zh-CN"/>
        </w:rPr>
        <w:t>6</w:t>
      </w:r>
      <w:r w:rsidRPr="008E6658">
        <w:rPr>
          <w:rFonts w:eastAsia="SimSun"/>
          <w:sz w:val="20"/>
          <w:szCs w:val="20"/>
          <w:lang w:eastAsia="zh-CN"/>
        </w:rPr>
        <w:t>: 57(2); 172-80.</w:t>
      </w:r>
    </w:p>
    <w:p w:rsidR="00DD0CFF" w:rsidRDefault="008E6658" w:rsidP="007D1917">
      <w:pPr>
        <w:rPr>
          <w:sz w:val="20"/>
          <w:szCs w:val="20"/>
        </w:rPr>
      </w:pPr>
      <w:r w:rsidRPr="008E6658">
        <w:rPr>
          <w:rFonts w:eastAsia="SimSun"/>
          <w:sz w:val="20"/>
          <w:szCs w:val="20"/>
          <w:lang w:eastAsia="zh-CN"/>
        </w:rPr>
        <w:t>1</w:t>
      </w:r>
      <w:r w:rsidR="004A3A30">
        <w:rPr>
          <w:rFonts w:eastAsia="SimSun"/>
          <w:sz w:val="20"/>
          <w:szCs w:val="20"/>
          <w:lang w:eastAsia="zh-CN"/>
        </w:rPr>
        <w:t>2</w:t>
      </w:r>
      <w:r w:rsidRPr="008E6658">
        <w:rPr>
          <w:rFonts w:eastAsia="SimSun"/>
          <w:sz w:val="20"/>
          <w:szCs w:val="20"/>
          <w:lang w:eastAsia="zh-CN"/>
        </w:rPr>
        <w:t xml:space="preserve">. </w:t>
      </w:r>
      <w:r>
        <w:rPr>
          <w:sz w:val="20"/>
          <w:szCs w:val="20"/>
          <w:lang w:eastAsia="zh-CN"/>
        </w:rPr>
        <w:tab/>
      </w:r>
      <w:r w:rsidRPr="008E6658">
        <w:rPr>
          <w:rFonts w:eastAsia="SimSun"/>
          <w:sz w:val="20"/>
          <w:szCs w:val="20"/>
          <w:lang w:eastAsia="zh-CN"/>
        </w:rPr>
        <w:t>Hobson R, Scott J, Sutton J. Pharmacists and nurses as independent prescribers: exploring the patient’s perspective. Family Practice</w:t>
      </w:r>
      <w:r w:rsidR="00561E36">
        <w:rPr>
          <w:rFonts w:eastAsia="SimSun"/>
          <w:sz w:val="20"/>
          <w:szCs w:val="20"/>
          <w:lang w:eastAsia="zh-CN"/>
        </w:rPr>
        <w:t>.</w:t>
      </w:r>
      <w:r w:rsidRPr="008E6658">
        <w:rPr>
          <w:rFonts w:eastAsia="SimSun"/>
          <w:sz w:val="20"/>
          <w:szCs w:val="20"/>
          <w:lang w:eastAsia="zh-CN"/>
        </w:rPr>
        <w:t xml:space="preserve"> 2010: 27; 110-120.</w:t>
      </w:r>
      <w:r w:rsidR="004A3A30">
        <w:rPr>
          <w:rFonts w:eastAsia="SimSun"/>
          <w:sz w:val="20"/>
          <w:szCs w:val="20"/>
          <w:lang w:eastAsia="zh-CN"/>
        </w:rPr>
        <w:t xml:space="preserve"> DOI: 10.10093/fampra/cmp070.</w:t>
      </w:r>
    </w:p>
    <w:p w:rsidR="00E82ADA" w:rsidRPr="000B0BE4" w:rsidRDefault="008E6658" w:rsidP="007D1917">
      <w:pPr>
        <w:rPr>
          <w:sz w:val="20"/>
          <w:szCs w:val="20"/>
        </w:rPr>
      </w:pPr>
      <w:r w:rsidRPr="008E6658">
        <w:rPr>
          <w:rFonts w:eastAsia="SimSun"/>
          <w:sz w:val="20"/>
          <w:szCs w:val="20"/>
          <w:lang w:eastAsia="zh-CN"/>
        </w:rPr>
        <w:t>1</w:t>
      </w:r>
      <w:r w:rsidR="004A3A30">
        <w:rPr>
          <w:rFonts w:eastAsia="SimSun"/>
          <w:sz w:val="20"/>
          <w:szCs w:val="20"/>
          <w:lang w:eastAsia="zh-CN"/>
        </w:rPr>
        <w:t>3</w:t>
      </w:r>
      <w:r w:rsidRPr="008E6658">
        <w:rPr>
          <w:rFonts w:eastAsia="SimSun"/>
          <w:sz w:val="20"/>
          <w:szCs w:val="20"/>
          <w:lang w:eastAsia="zh-CN"/>
        </w:rPr>
        <w:t xml:space="preserve">. </w:t>
      </w:r>
      <w:r>
        <w:rPr>
          <w:sz w:val="20"/>
          <w:szCs w:val="20"/>
          <w:lang w:eastAsia="zh-CN"/>
        </w:rPr>
        <w:tab/>
      </w:r>
      <w:r w:rsidRPr="008E6658">
        <w:rPr>
          <w:rFonts w:eastAsia="SimSun"/>
          <w:sz w:val="20"/>
          <w:szCs w:val="20"/>
          <w:lang w:eastAsia="zh-CN"/>
        </w:rPr>
        <w:t>Tinelli M, Blenkinsopp A, Latter S, Smith A, Chapman S. Survey of patients’ experiences and perceptions of care provided by nurse and pharmacist independent prescribers in primary care. Health Expectations</w:t>
      </w:r>
      <w:r w:rsidR="00561E36">
        <w:rPr>
          <w:rFonts w:eastAsia="SimSun"/>
          <w:sz w:val="20"/>
          <w:szCs w:val="20"/>
          <w:lang w:eastAsia="zh-CN"/>
        </w:rPr>
        <w:t>.</w:t>
      </w:r>
      <w:r w:rsidRPr="008E6658">
        <w:rPr>
          <w:rFonts w:eastAsia="SimSun"/>
          <w:sz w:val="20"/>
          <w:szCs w:val="20"/>
          <w:lang w:eastAsia="zh-CN"/>
        </w:rPr>
        <w:t xml:space="preserve"> (</w:t>
      </w:r>
      <w:r w:rsidR="00561E36">
        <w:rPr>
          <w:rFonts w:eastAsia="SimSun"/>
          <w:sz w:val="20"/>
          <w:szCs w:val="20"/>
          <w:lang w:eastAsia="zh-CN"/>
        </w:rPr>
        <w:t>F</w:t>
      </w:r>
      <w:r w:rsidRPr="008E6658">
        <w:rPr>
          <w:rFonts w:eastAsia="SimSun"/>
          <w:sz w:val="20"/>
          <w:szCs w:val="20"/>
          <w:lang w:eastAsia="zh-CN"/>
        </w:rPr>
        <w:t>orthcoming).</w:t>
      </w:r>
    </w:p>
    <w:p w:rsidR="000B0BE4" w:rsidRPr="000B0BE4" w:rsidRDefault="00F868D7" w:rsidP="007D1917">
      <w:pPr>
        <w:rPr>
          <w:sz w:val="20"/>
          <w:szCs w:val="20"/>
        </w:rPr>
      </w:pPr>
      <w:r w:rsidRPr="00F868D7">
        <w:rPr>
          <w:rFonts w:eastAsia="SimSun"/>
          <w:sz w:val="20"/>
          <w:szCs w:val="20"/>
          <w:lang w:eastAsia="zh-CN"/>
        </w:rPr>
        <w:t>14</w:t>
      </w:r>
      <w:r w:rsidR="008E6658" w:rsidRPr="00F868D7">
        <w:rPr>
          <w:rFonts w:eastAsia="SimSun"/>
          <w:sz w:val="20"/>
          <w:szCs w:val="20"/>
          <w:lang w:eastAsia="zh-CN"/>
        </w:rPr>
        <w:t>.</w:t>
      </w:r>
      <w:r w:rsidR="008E6658" w:rsidRPr="00F868D7">
        <w:rPr>
          <w:sz w:val="20"/>
          <w:szCs w:val="20"/>
          <w:lang w:eastAsia="zh-CN"/>
        </w:rPr>
        <w:tab/>
      </w:r>
      <w:r w:rsidR="008E6658" w:rsidRPr="00F868D7">
        <w:rPr>
          <w:rFonts w:eastAsia="SimSun"/>
          <w:sz w:val="20"/>
          <w:szCs w:val="20"/>
          <w:lang w:eastAsia="zh-CN"/>
        </w:rPr>
        <w:t>de Bekker-Grob E , Ryan M, Gerard K. Discrete choice experiments in health economics: A review of the</w:t>
      </w:r>
      <w:r w:rsidR="008E6658" w:rsidRPr="008E6658">
        <w:rPr>
          <w:rFonts w:eastAsia="SimSun"/>
          <w:sz w:val="20"/>
          <w:szCs w:val="20"/>
          <w:lang w:eastAsia="zh-CN"/>
        </w:rPr>
        <w:t xml:space="preserve"> literature. Health Econ</w:t>
      </w:r>
      <w:r w:rsidR="00561E36">
        <w:rPr>
          <w:rFonts w:eastAsia="SimSun"/>
          <w:sz w:val="20"/>
          <w:szCs w:val="20"/>
          <w:lang w:eastAsia="zh-CN"/>
        </w:rPr>
        <w:t>omics.</w:t>
      </w:r>
      <w:r w:rsidR="008E6658" w:rsidRPr="008E6658">
        <w:rPr>
          <w:rFonts w:eastAsia="SimSun"/>
          <w:sz w:val="20"/>
          <w:szCs w:val="20"/>
          <w:lang w:eastAsia="zh-CN"/>
        </w:rPr>
        <w:t xml:space="preserve"> 2012: 21; 145-172. DOI: 10.1002/hec.1697</w:t>
      </w:r>
    </w:p>
    <w:p w:rsidR="000B0BE4" w:rsidRPr="000B0BE4" w:rsidRDefault="008E6658" w:rsidP="007D1917">
      <w:pPr>
        <w:rPr>
          <w:sz w:val="20"/>
          <w:szCs w:val="20"/>
        </w:rPr>
      </w:pPr>
      <w:r w:rsidRPr="008E6658">
        <w:rPr>
          <w:rFonts w:eastAsia="SimSun"/>
          <w:sz w:val="20"/>
          <w:szCs w:val="20"/>
          <w:lang w:eastAsia="zh-CN"/>
        </w:rPr>
        <w:t>1</w:t>
      </w:r>
      <w:r w:rsidR="00F868D7">
        <w:rPr>
          <w:rFonts w:eastAsia="SimSun"/>
          <w:sz w:val="20"/>
          <w:szCs w:val="20"/>
          <w:lang w:eastAsia="zh-CN"/>
        </w:rPr>
        <w:t>5</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van der Pol M, Shiell A, Au F, Johnston D and Tough S. Eliciting individual preferences for health care: a case study of perinatal care. Health Expectations.  2010; 13: 4-12</w:t>
      </w:r>
      <w:r w:rsidR="00F868D7">
        <w:rPr>
          <w:rFonts w:eastAsia="SimSun"/>
          <w:sz w:val="20"/>
          <w:szCs w:val="20"/>
          <w:lang w:eastAsia="zh-CN"/>
        </w:rPr>
        <w:t>.  DOI: 10.1111/j.1369-7625.2009.00551.x</w:t>
      </w:r>
    </w:p>
    <w:p w:rsidR="000B0BE4" w:rsidRPr="000B0BE4" w:rsidRDefault="008E6658" w:rsidP="007D1917">
      <w:pPr>
        <w:rPr>
          <w:sz w:val="20"/>
          <w:szCs w:val="20"/>
        </w:rPr>
      </w:pPr>
      <w:r w:rsidRPr="008E6658">
        <w:rPr>
          <w:rFonts w:eastAsia="SimSun"/>
          <w:sz w:val="20"/>
          <w:szCs w:val="20"/>
          <w:lang w:eastAsia="zh-CN"/>
        </w:rPr>
        <w:t>1</w:t>
      </w:r>
      <w:r w:rsidR="00F868D7">
        <w:rPr>
          <w:rFonts w:eastAsia="SimSun"/>
          <w:sz w:val="20"/>
          <w:szCs w:val="20"/>
          <w:lang w:eastAsia="zh-CN"/>
        </w:rPr>
        <w:t>6</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 xml:space="preserve">Turner D, Tarrant C, Windridge K, Bryan S, Boulton M, Freeman G and Baker R.  Do patients value continuity of care in general practice? An investigation using stated preference discrete choice experiments. </w:t>
      </w:r>
      <w:r w:rsidR="00561E36" w:rsidRPr="00561E36">
        <w:rPr>
          <w:rFonts w:eastAsia="SimSun"/>
          <w:sz w:val="20"/>
          <w:szCs w:val="20"/>
          <w:lang w:eastAsia="zh-CN"/>
        </w:rPr>
        <w:t xml:space="preserve">Journal of Health Services Research and Practice.  </w:t>
      </w:r>
      <w:r w:rsidRPr="008E6658">
        <w:rPr>
          <w:rFonts w:eastAsia="SimSun"/>
          <w:sz w:val="20"/>
          <w:szCs w:val="20"/>
          <w:lang w:eastAsia="zh-CN"/>
        </w:rPr>
        <w:t>2007; 12; 3 132-137.</w:t>
      </w:r>
    </w:p>
    <w:p w:rsidR="000B0BE4" w:rsidRPr="000B0BE4" w:rsidRDefault="008E6658" w:rsidP="007D1917">
      <w:pPr>
        <w:rPr>
          <w:sz w:val="20"/>
          <w:szCs w:val="20"/>
        </w:rPr>
      </w:pPr>
      <w:r w:rsidRPr="008E6658">
        <w:rPr>
          <w:rFonts w:eastAsia="SimSun"/>
          <w:sz w:val="20"/>
          <w:szCs w:val="20"/>
          <w:lang w:eastAsia="zh-CN"/>
        </w:rPr>
        <w:lastRenderedPageBreak/>
        <w:t>1</w:t>
      </w:r>
      <w:r w:rsidR="00F868D7">
        <w:rPr>
          <w:rFonts w:eastAsia="SimSun"/>
          <w:sz w:val="20"/>
          <w:szCs w:val="20"/>
          <w:lang w:eastAsia="zh-CN"/>
        </w:rPr>
        <w:t>7</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Rubin G, Bate A, George A, Shackley P and Hall N. Preferences for access to the GP: a discrete choice experiment. B</w:t>
      </w:r>
      <w:r w:rsidR="00561E36">
        <w:rPr>
          <w:rFonts w:eastAsia="SimSun"/>
          <w:sz w:val="20"/>
          <w:szCs w:val="20"/>
          <w:lang w:eastAsia="zh-CN"/>
        </w:rPr>
        <w:t xml:space="preserve">ritish </w:t>
      </w:r>
      <w:r w:rsidRPr="008E6658">
        <w:rPr>
          <w:rFonts w:eastAsia="SimSun"/>
          <w:sz w:val="20"/>
          <w:szCs w:val="20"/>
          <w:lang w:eastAsia="zh-CN"/>
        </w:rPr>
        <w:t>J</w:t>
      </w:r>
      <w:r w:rsidR="00561E36">
        <w:rPr>
          <w:rFonts w:eastAsia="SimSun"/>
          <w:sz w:val="20"/>
          <w:szCs w:val="20"/>
          <w:lang w:eastAsia="zh-CN"/>
        </w:rPr>
        <w:t xml:space="preserve">ournal of </w:t>
      </w:r>
      <w:r w:rsidRPr="008E6658">
        <w:rPr>
          <w:rFonts w:eastAsia="SimSun"/>
          <w:sz w:val="20"/>
          <w:szCs w:val="20"/>
          <w:lang w:eastAsia="zh-CN"/>
        </w:rPr>
        <w:t>G</w:t>
      </w:r>
      <w:r w:rsidR="00561E36">
        <w:rPr>
          <w:rFonts w:eastAsia="SimSun"/>
          <w:sz w:val="20"/>
          <w:szCs w:val="20"/>
          <w:lang w:eastAsia="zh-CN"/>
        </w:rPr>
        <w:t xml:space="preserve">eneral </w:t>
      </w:r>
      <w:r w:rsidRPr="008E6658">
        <w:rPr>
          <w:rFonts w:eastAsia="SimSun"/>
          <w:sz w:val="20"/>
          <w:szCs w:val="20"/>
          <w:lang w:eastAsia="zh-CN"/>
        </w:rPr>
        <w:t>P</w:t>
      </w:r>
      <w:r w:rsidR="00561E36">
        <w:rPr>
          <w:rFonts w:eastAsia="SimSun"/>
          <w:sz w:val="20"/>
          <w:szCs w:val="20"/>
          <w:lang w:eastAsia="zh-CN"/>
        </w:rPr>
        <w:t>ractice.</w:t>
      </w:r>
      <w:r w:rsidRPr="008E6658">
        <w:rPr>
          <w:rFonts w:eastAsia="SimSun"/>
          <w:sz w:val="20"/>
          <w:szCs w:val="20"/>
          <w:lang w:eastAsia="zh-CN"/>
        </w:rPr>
        <w:t xml:space="preserve"> 2006; Oct: 743-748.</w:t>
      </w:r>
    </w:p>
    <w:p w:rsidR="000B0BE4" w:rsidRPr="000B0BE4" w:rsidRDefault="008E6658" w:rsidP="007D1917">
      <w:pPr>
        <w:rPr>
          <w:sz w:val="20"/>
          <w:szCs w:val="20"/>
        </w:rPr>
      </w:pPr>
      <w:r w:rsidRPr="008E6658">
        <w:rPr>
          <w:rFonts w:eastAsia="SimSun"/>
          <w:sz w:val="20"/>
          <w:szCs w:val="20"/>
          <w:lang w:eastAsia="zh-CN"/>
        </w:rPr>
        <w:t>1</w:t>
      </w:r>
      <w:r w:rsidR="00F868D7">
        <w:rPr>
          <w:rFonts w:eastAsia="SimSun"/>
          <w:sz w:val="20"/>
          <w:szCs w:val="20"/>
          <w:lang w:eastAsia="zh-CN"/>
        </w:rPr>
        <w:t>8</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 xml:space="preserve">Gerard, K., Salisbury, C., Street, D., Pope, C. and Baxter H. Is fast access to general practice all that should matter? A discrete choice experiment of patients' preference.  </w:t>
      </w:r>
      <w:r w:rsidR="00561E36" w:rsidRPr="00561E36">
        <w:rPr>
          <w:rFonts w:eastAsia="SimSun"/>
          <w:sz w:val="20"/>
          <w:szCs w:val="20"/>
          <w:lang w:eastAsia="zh-CN"/>
        </w:rPr>
        <w:t xml:space="preserve">Journal of Health Services Research and Practice.  </w:t>
      </w:r>
      <w:r w:rsidRPr="008E6658">
        <w:rPr>
          <w:rFonts w:eastAsia="SimSun"/>
          <w:sz w:val="20"/>
          <w:szCs w:val="20"/>
          <w:lang w:eastAsia="zh-CN"/>
        </w:rPr>
        <w:t>2008, 13 Suppl. 2, 3–10.</w:t>
      </w:r>
      <w:r w:rsidR="00561E36">
        <w:rPr>
          <w:rFonts w:eastAsia="SimSun"/>
          <w:sz w:val="20"/>
          <w:szCs w:val="20"/>
          <w:lang w:eastAsia="zh-CN"/>
        </w:rPr>
        <w:t xml:space="preserve"> </w:t>
      </w:r>
      <w:r w:rsidR="008966B9" w:rsidRPr="008966B9">
        <w:rPr>
          <w:rFonts w:eastAsia="SimSun"/>
          <w:sz w:val="20"/>
          <w:szCs w:val="20"/>
          <w:lang w:eastAsia="zh-CN"/>
        </w:rPr>
        <w:t>DOI:10.1002/hec.1414.</w:t>
      </w:r>
    </w:p>
    <w:p w:rsidR="000B0BE4" w:rsidRPr="000B0BE4" w:rsidRDefault="008E6658" w:rsidP="007D1917">
      <w:pPr>
        <w:rPr>
          <w:sz w:val="20"/>
          <w:szCs w:val="20"/>
        </w:rPr>
      </w:pPr>
      <w:r w:rsidRPr="008E6658">
        <w:rPr>
          <w:rFonts w:eastAsia="SimSun"/>
          <w:sz w:val="20"/>
          <w:szCs w:val="20"/>
          <w:lang w:eastAsia="zh-CN"/>
        </w:rPr>
        <w:t>1</w:t>
      </w:r>
      <w:r w:rsidR="00D93427">
        <w:rPr>
          <w:rFonts w:eastAsia="SimSun"/>
          <w:sz w:val="20"/>
          <w:szCs w:val="20"/>
          <w:lang w:eastAsia="zh-CN"/>
        </w:rPr>
        <w:t>9</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Lancsar E, Louviere J. Conducting discrete choice experiments to inform healthcare decision making. A user's guide. Pharmacoeconomics</w:t>
      </w:r>
      <w:r w:rsidR="007D1917">
        <w:rPr>
          <w:rFonts w:eastAsia="SimSun"/>
          <w:sz w:val="20"/>
          <w:szCs w:val="20"/>
          <w:lang w:eastAsia="zh-CN"/>
        </w:rPr>
        <w:t>.</w:t>
      </w:r>
      <w:r w:rsidRPr="008E6658">
        <w:rPr>
          <w:rFonts w:eastAsia="SimSun"/>
          <w:sz w:val="20"/>
          <w:szCs w:val="20"/>
          <w:lang w:eastAsia="zh-CN"/>
        </w:rPr>
        <w:t xml:space="preserve"> 2008; 26:661-77.</w:t>
      </w:r>
    </w:p>
    <w:p w:rsidR="000B0BE4" w:rsidRPr="000B0BE4" w:rsidRDefault="00D93427" w:rsidP="007D1917">
      <w:pPr>
        <w:rPr>
          <w:sz w:val="20"/>
          <w:szCs w:val="20"/>
        </w:rPr>
      </w:pPr>
      <w:r>
        <w:rPr>
          <w:rFonts w:eastAsia="SimSun"/>
          <w:sz w:val="20"/>
          <w:szCs w:val="20"/>
          <w:lang w:eastAsia="zh-CN"/>
        </w:rPr>
        <w:t>20</w:t>
      </w:r>
      <w:r w:rsidR="008E6658" w:rsidRPr="008E6658">
        <w:rPr>
          <w:rFonts w:eastAsia="SimSun"/>
          <w:sz w:val="20"/>
          <w:szCs w:val="20"/>
          <w:lang w:eastAsia="zh-CN"/>
        </w:rPr>
        <w:t>.</w:t>
      </w:r>
      <w:r w:rsidR="008E6658" w:rsidRPr="000B0BE4">
        <w:rPr>
          <w:sz w:val="20"/>
          <w:szCs w:val="20"/>
          <w:lang w:eastAsia="zh-CN"/>
        </w:rPr>
        <w:tab/>
      </w:r>
      <w:r w:rsidR="008E6658" w:rsidRPr="008E6658">
        <w:rPr>
          <w:rFonts w:eastAsia="SimSun"/>
          <w:sz w:val="20"/>
          <w:szCs w:val="20"/>
          <w:lang w:eastAsia="zh-CN"/>
        </w:rPr>
        <w:t>Latter S, Blenkinsopp A, Smith A, Chapman S, Tinelli M, Gerard K, Little P, et al. Evaluation of nurse and pharmacist independent prescribing. Universities of Southampton and Keele Final Report, Department of Health, Policy Research Programme Project 016 0108, October 2010.</w:t>
      </w:r>
    </w:p>
    <w:p w:rsidR="004570CE" w:rsidRDefault="004570CE" w:rsidP="004570CE">
      <w:pPr>
        <w:rPr>
          <w:rFonts w:eastAsia="SimSun"/>
          <w:sz w:val="20"/>
          <w:szCs w:val="20"/>
          <w:lang w:eastAsia="zh-CN"/>
        </w:rPr>
      </w:pPr>
      <w:r w:rsidRPr="004570CE">
        <w:rPr>
          <w:rFonts w:eastAsia="SimSun"/>
          <w:sz w:val="20"/>
          <w:szCs w:val="20"/>
          <w:lang w:eastAsia="zh-CN"/>
        </w:rPr>
        <w:t>2</w:t>
      </w:r>
      <w:r>
        <w:rPr>
          <w:rFonts w:eastAsia="SimSun"/>
          <w:sz w:val="20"/>
          <w:szCs w:val="20"/>
          <w:lang w:eastAsia="zh-CN"/>
        </w:rPr>
        <w:t>1</w:t>
      </w:r>
      <w:r w:rsidRPr="004570CE">
        <w:rPr>
          <w:rFonts w:eastAsia="SimSun"/>
          <w:sz w:val="20"/>
          <w:szCs w:val="20"/>
          <w:lang w:eastAsia="zh-CN"/>
        </w:rPr>
        <w:t>.</w:t>
      </w:r>
      <w:r w:rsidRPr="004570CE">
        <w:rPr>
          <w:rFonts w:eastAsia="SimSun"/>
          <w:sz w:val="20"/>
          <w:szCs w:val="20"/>
          <w:lang w:eastAsia="zh-CN"/>
        </w:rPr>
        <w:tab/>
        <w:t>Hensher D, Rose J, Greene W. Applied Choice Analysis: A primer. Cambridge: Cambridge University Press; 2005. IBSN: 13 978-0-521-60577-9.</w:t>
      </w:r>
    </w:p>
    <w:p w:rsidR="004570CE" w:rsidRDefault="004570CE" w:rsidP="004570CE">
      <w:pPr>
        <w:rPr>
          <w:rFonts w:eastAsia="SimSun"/>
          <w:sz w:val="20"/>
          <w:szCs w:val="20"/>
          <w:lang w:eastAsia="zh-CN"/>
        </w:rPr>
      </w:pPr>
      <w:r>
        <w:rPr>
          <w:rFonts w:eastAsia="SimSun"/>
          <w:sz w:val="20"/>
          <w:szCs w:val="20"/>
          <w:lang w:eastAsia="zh-CN"/>
        </w:rPr>
        <w:t>22. Hensher D. How do respondents process stated choice experiments? Attribute considerations under varying information load. Journal of Applied Econometrics. 2006: 21; 861-878.</w:t>
      </w:r>
    </w:p>
    <w:p w:rsidR="000B0BE4" w:rsidRPr="000B0BE4" w:rsidRDefault="001A125B" w:rsidP="004570CE">
      <w:pPr>
        <w:rPr>
          <w:sz w:val="20"/>
          <w:szCs w:val="20"/>
        </w:rPr>
      </w:pPr>
      <w:r>
        <w:rPr>
          <w:rFonts w:eastAsia="SimSun"/>
          <w:sz w:val="20"/>
          <w:szCs w:val="20"/>
          <w:lang w:eastAsia="zh-CN"/>
        </w:rPr>
        <w:t>2</w:t>
      </w:r>
      <w:r w:rsidR="004570CE">
        <w:rPr>
          <w:rFonts w:eastAsia="SimSun"/>
          <w:sz w:val="20"/>
          <w:szCs w:val="20"/>
          <w:lang w:eastAsia="zh-CN"/>
        </w:rPr>
        <w:t>3</w:t>
      </w:r>
      <w:r w:rsidR="008E6658" w:rsidRPr="008E6658">
        <w:rPr>
          <w:rFonts w:eastAsia="SimSun"/>
          <w:sz w:val="20"/>
          <w:szCs w:val="20"/>
          <w:lang w:eastAsia="zh-CN"/>
        </w:rPr>
        <w:t>.</w:t>
      </w:r>
      <w:r w:rsidR="008E6658" w:rsidRPr="000B0BE4">
        <w:rPr>
          <w:sz w:val="20"/>
          <w:szCs w:val="20"/>
          <w:lang w:eastAsia="zh-CN"/>
        </w:rPr>
        <w:tab/>
      </w:r>
      <w:r w:rsidR="008E6658" w:rsidRPr="008E6658">
        <w:rPr>
          <w:rFonts w:eastAsia="SimSun"/>
          <w:sz w:val="20"/>
          <w:szCs w:val="20"/>
          <w:lang w:eastAsia="zh-CN"/>
        </w:rPr>
        <w:t>Baker R, Freeman G, Boulton M, et al. Continuity of care: Patients’ and carers’ views and choices in their use of primary care services. 2001. SDO/13b/2011/ Report for the National Co-ordinating Centre for NHS Service Delivery and Organisation R+D.  www.sdo.nihr.ac.uk/files/project13b-finalreport.pdf.  [Accessed 27th February 2012].</w:t>
      </w:r>
    </w:p>
    <w:p w:rsidR="000B0BE4" w:rsidRPr="000B0BE4" w:rsidRDefault="007D1CA6" w:rsidP="004570CE">
      <w:pPr>
        <w:rPr>
          <w:sz w:val="20"/>
          <w:szCs w:val="20"/>
        </w:rPr>
      </w:pPr>
      <w:r>
        <w:rPr>
          <w:rFonts w:eastAsia="SimSun"/>
          <w:sz w:val="20"/>
          <w:szCs w:val="20"/>
          <w:lang w:eastAsia="zh-CN"/>
        </w:rPr>
        <w:t>2</w:t>
      </w:r>
      <w:r w:rsidR="004570CE">
        <w:rPr>
          <w:rFonts w:eastAsia="SimSun"/>
          <w:sz w:val="20"/>
          <w:szCs w:val="20"/>
          <w:lang w:eastAsia="zh-CN"/>
        </w:rPr>
        <w:t>4</w:t>
      </w:r>
      <w:r>
        <w:rPr>
          <w:rFonts w:eastAsia="SimSun"/>
          <w:sz w:val="20"/>
          <w:szCs w:val="20"/>
          <w:lang w:eastAsia="zh-CN"/>
        </w:rPr>
        <w:t>.</w:t>
      </w:r>
      <w:r w:rsidR="008E6658" w:rsidRPr="000B0BE4">
        <w:rPr>
          <w:sz w:val="20"/>
          <w:szCs w:val="20"/>
          <w:lang w:eastAsia="zh-CN"/>
        </w:rPr>
        <w:tab/>
      </w:r>
      <w:r w:rsidR="008E6658" w:rsidRPr="008E6658">
        <w:rPr>
          <w:rFonts w:eastAsia="SimSun"/>
          <w:sz w:val="20"/>
          <w:szCs w:val="20"/>
          <w:lang w:eastAsia="zh-CN"/>
        </w:rPr>
        <w:t>National Primary Care Research and Development Centre. What patie</w:t>
      </w:r>
      <w:r w:rsidR="007D1917">
        <w:rPr>
          <w:rFonts w:eastAsia="SimSun"/>
          <w:sz w:val="20"/>
          <w:szCs w:val="20"/>
          <w:lang w:eastAsia="zh-CN"/>
        </w:rPr>
        <w:t xml:space="preserve">nts want from primary care. </w:t>
      </w:r>
      <w:r w:rsidR="008E6658" w:rsidRPr="008E6658">
        <w:rPr>
          <w:rFonts w:eastAsia="SimSun"/>
          <w:sz w:val="20"/>
          <w:szCs w:val="20"/>
          <w:lang w:eastAsia="zh-CN"/>
        </w:rPr>
        <w:t>Manchester</w:t>
      </w:r>
      <w:r w:rsidR="007D1917">
        <w:rPr>
          <w:rFonts w:eastAsia="SimSun"/>
          <w:sz w:val="20"/>
          <w:szCs w:val="20"/>
          <w:lang w:eastAsia="zh-CN"/>
        </w:rPr>
        <w:t>: University of Manchester</w:t>
      </w:r>
      <w:r w:rsidR="008E6658" w:rsidRPr="008E6658">
        <w:rPr>
          <w:rFonts w:eastAsia="SimSun"/>
          <w:sz w:val="20"/>
          <w:szCs w:val="20"/>
          <w:lang w:eastAsia="zh-CN"/>
        </w:rPr>
        <w:t>. 2005.</w:t>
      </w:r>
    </w:p>
    <w:p w:rsidR="000B0BE4" w:rsidRPr="000B0BE4" w:rsidRDefault="008E6658" w:rsidP="004570CE">
      <w:pPr>
        <w:rPr>
          <w:sz w:val="20"/>
          <w:szCs w:val="20"/>
        </w:rPr>
      </w:pPr>
      <w:r w:rsidRPr="008E6658">
        <w:rPr>
          <w:rFonts w:eastAsia="SimSun"/>
          <w:sz w:val="20"/>
          <w:szCs w:val="20"/>
          <w:lang w:eastAsia="zh-CN"/>
        </w:rPr>
        <w:t>2</w:t>
      </w:r>
      <w:r w:rsidR="004570CE">
        <w:rPr>
          <w:rFonts w:eastAsia="SimSun"/>
          <w:sz w:val="20"/>
          <w:szCs w:val="20"/>
          <w:lang w:eastAsia="zh-CN"/>
        </w:rPr>
        <w:t>5</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 xml:space="preserve">National Primary Care Research and Development Centre. What do patients want from their GP? </w:t>
      </w:r>
      <w:r w:rsidR="007D1917">
        <w:rPr>
          <w:rFonts w:eastAsia="SimSun"/>
          <w:sz w:val="20"/>
          <w:szCs w:val="20"/>
          <w:lang w:eastAsia="zh-CN"/>
        </w:rPr>
        <w:t xml:space="preserve">Manchester: </w:t>
      </w:r>
      <w:r w:rsidRPr="008E6658">
        <w:rPr>
          <w:rFonts w:eastAsia="SimSun"/>
          <w:sz w:val="20"/>
          <w:szCs w:val="20"/>
          <w:lang w:eastAsia="zh-CN"/>
        </w:rPr>
        <w:t>University of Manchester, 2008.</w:t>
      </w:r>
    </w:p>
    <w:p w:rsidR="000B0BE4" w:rsidRPr="000B0BE4" w:rsidRDefault="008E6658" w:rsidP="004570CE">
      <w:pPr>
        <w:rPr>
          <w:sz w:val="20"/>
          <w:szCs w:val="20"/>
        </w:rPr>
      </w:pPr>
      <w:r w:rsidRPr="008E6658">
        <w:rPr>
          <w:rFonts w:eastAsia="SimSun"/>
          <w:sz w:val="20"/>
          <w:szCs w:val="20"/>
          <w:lang w:eastAsia="zh-CN"/>
        </w:rPr>
        <w:t>2</w:t>
      </w:r>
      <w:r w:rsidR="004570CE">
        <w:rPr>
          <w:rFonts w:eastAsia="SimSun"/>
          <w:sz w:val="20"/>
          <w:szCs w:val="20"/>
          <w:lang w:eastAsia="zh-CN"/>
        </w:rPr>
        <w:t>6</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Th</w:t>
      </w:r>
      <w:r w:rsidR="00EA2681">
        <w:rPr>
          <w:rFonts w:eastAsia="SimSun"/>
          <w:sz w:val="20"/>
          <w:szCs w:val="20"/>
          <w:lang w:eastAsia="zh-CN"/>
        </w:rPr>
        <w:t>e GP Patient Survey.  Available: www.gp-patient.co.uk/results</w:t>
      </w:r>
      <w:r w:rsidRPr="008E6658">
        <w:rPr>
          <w:rFonts w:eastAsia="SimSun"/>
          <w:sz w:val="20"/>
          <w:szCs w:val="20"/>
          <w:lang w:eastAsia="zh-CN"/>
        </w:rPr>
        <w:t>. [Last accessed 17 Apr 2013].</w:t>
      </w:r>
    </w:p>
    <w:p w:rsidR="000B0BE4" w:rsidRPr="000B0BE4" w:rsidRDefault="008E6658" w:rsidP="004570CE">
      <w:pPr>
        <w:rPr>
          <w:sz w:val="20"/>
          <w:szCs w:val="20"/>
        </w:rPr>
      </w:pPr>
      <w:r w:rsidRPr="008E6658">
        <w:rPr>
          <w:rFonts w:eastAsia="SimSun"/>
          <w:sz w:val="20"/>
          <w:szCs w:val="20"/>
          <w:lang w:eastAsia="zh-CN"/>
        </w:rPr>
        <w:t>2</w:t>
      </w:r>
      <w:r w:rsidR="004570CE">
        <w:rPr>
          <w:rFonts w:eastAsia="SimSun"/>
          <w:sz w:val="20"/>
          <w:szCs w:val="20"/>
          <w:lang w:eastAsia="zh-CN"/>
        </w:rPr>
        <w:t>7</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Wensing K, Jumg H, Mainz I, et al.  A syst</w:t>
      </w:r>
      <w:r w:rsidR="00EA2681">
        <w:rPr>
          <w:rFonts w:eastAsia="SimSun"/>
          <w:sz w:val="20"/>
          <w:szCs w:val="20"/>
          <w:lang w:eastAsia="zh-CN"/>
        </w:rPr>
        <w:t xml:space="preserve">ematic review of the literature </w:t>
      </w:r>
      <w:r w:rsidRPr="008E6658">
        <w:rPr>
          <w:rFonts w:eastAsia="SimSun"/>
          <w:sz w:val="20"/>
          <w:szCs w:val="20"/>
          <w:lang w:eastAsia="zh-CN"/>
        </w:rPr>
        <w:t>on patient preferences for general practice care. Part 1: Description of the research domain. Soc</w:t>
      </w:r>
      <w:r w:rsidR="007D1917">
        <w:rPr>
          <w:rFonts w:eastAsia="SimSun"/>
          <w:sz w:val="20"/>
          <w:szCs w:val="20"/>
          <w:lang w:eastAsia="zh-CN"/>
        </w:rPr>
        <w:t xml:space="preserve">ial </w:t>
      </w:r>
      <w:r w:rsidRPr="008E6658">
        <w:rPr>
          <w:rFonts w:eastAsia="SimSun"/>
          <w:sz w:val="20"/>
          <w:szCs w:val="20"/>
          <w:lang w:eastAsia="zh-CN"/>
        </w:rPr>
        <w:t>Sci</w:t>
      </w:r>
      <w:r w:rsidR="007D1917">
        <w:rPr>
          <w:rFonts w:eastAsia="SimSun"/>
          <w:sz w:val="20"/>
          <w:szCs w:val="20"/>
          <w:lang w:eastAsia="zh-CN"/>
        </w:rPr>
        <w:t xml:space="preserve">ence and </w:t>
      </w:r>
      <w:r w:rsidRPr="008E6658">
        <w:rPr>
          <w:rFonts w:eastAsia="SimSun"/>
          <w:sz w:val="20"/>
          <w:szCs w:val="20"/>
          <w:lang w:eastAsia="zh-CN"/>
        </w:rPr>
        <w:t xml:space="preserve"> Med</w:t>
      </w:r>
      <w:r w:rsidR="007D1917">
        <w:rPr>
          <w:rFonts w:eastAsia="SimSun"/>
          <w:sz w:val="20"/>
          <w:szCs w:val="20"/>
          <w:lang w:eastAsia="zh-CN"/>
        </w:rPr>
        <w:t>icine.</w:t>
      </w:r>
      <w:r w:rsidRPr="008E6658">
        <w:rPr>
          <w:rFonts w:eastAsia="SimSun"/>
          <w:sz w:val="20"/>
          <w:szCs w:val="20"/>
          <w:lang w:eastAsia="zh-CN"/>
        </w:rPr>
        <w:t xml:space="preserve"> 1998; 47:1573-88.</w:t>
      </w:r>
    </w:p>
    <w:p w:rsidR="000B0BE4" w:rsidRPr="000B0BE4" w:rsidRDefault="008E6658" w:rsidP="004570CE">
      <w:pPr>
        <w:rPr>
          <w:sz w:val="20"/>
          <w:szCs w:val="20"/>
        </w:rPr>
      </w:pPr>
      <w:r w:rsidRPr="008E6658">
        <w:rPr>
          <w:rFonts w:eastAsia="SimSun"/>
          <w:sz w:val="20"/>
          <w:szCs w:val="20"/>
          <w:lang w:eastAsia="zh-CN"/>
        </w:rPr>
        <w:t>2</w:t>
      </w:r>
      <w:r w:rsidR="004570CE">
        <w:rPr>
          <w:rFonts w:eastAsia="SimSun"/>
          <w:sz w:val="20"/>
          <w:szCs w:val="20"/>
          <w:lang w:eastAsia="zh-CN"/>
        </w:rPr>
        <w:t>8</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Luker K, Austin L, Hogg C, Ferguson B, and Smith K. Patient’s views of nurse prescribing. Nursing Times</w:t>
      </w:r>
      <w:r w:rsidR="007D1917">
        <w:rPr>
          <w:rFonts w:eastAsia="SimSun"/>
          <w:sz w:val="20"/>
          <w:szCs w:val="20"/>
          <w:lang w:eastAsia="zh-CN"/>
        </w:rPr>
        <w:t>.</w:t>
      </w:r>
      <w:r w:rsidRPr="008E6658">
        <w:rPr>
          <w:rFonts w:eastAsia="SimSun"/>
          <w:sz w:val="20"/>
          <w:szCs w:val="20"/>
          <w:lang w:eastAsia="zh-CN"/>
        </w:rPr>
        <w:t xml:space="preserve"> 1997, 93; 515–518.</w:t>
      </w:r>
    </w:p>
    <w:p w:rsidR="000B0BE4" w:rsidRPr="000B0BE4" w:rsidRDefault="008E6658" w:rsidP="004570CE">
      <w:pPr>
        <w:rPr>
          <w:sz w:val="20"/>
          <w:szCs w:val="20"/>
        </w:rPr>
      </w:pPr>
      <w:r w:rsidRPr="008E6658">
        <w:rPr>
          <w:rFonts w:eastAsia="SimSun"/>
          <w:sz w:val="20"/>
          <w:szCs w:val="20"/>
          <w:lang w:eastAsia="zh-CN"/>
        </w:rPr>
        <w:t>2</w:t>
      </w:r>
      <w:r w:rsidR="004570CE">
        <w:rPr>
          <w:rFonts w:eastAsia="SimSun"/>
          <w:sz w:val="20"/>
          <w:szCs w:val="20"/>
          <w:lang w:eastAsia="zh-CN"/>
        </w:rPr>
        <w:t>9</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Luker K, Austin L, Hogg C, Ferguson B, and Smith K. Nurse-patient relationships: the context of nurse prescribing. Journal of Advanced Nursing</w:t>
      </w:r>
      <w:r w:rsidR="007D1917">
        <w:rPr>
          <w:rFonts w:eastAsia="SimSun"/>
          <w:sz w:val="20"/>
          <w:szCs w:val="20"/>
          <w:lang w:eastAsia="zh-CN"/>
        </w:rPr>
        <w:t>.</w:t>
      </w:r>
      <w:r w:rsidRPr="008E6658">
        <w:rPr>
          <w:rFonts w:eastAsia="SimSun"/>
          <w:sz w:val="20"/>
          <w:szCs w:val="20"/>
          <w:lang w:eastAsia="zh-CN"/>
        </w:rPr>
        <w:t xml:space="preserve"> 1998, 28; 235–242.</w:t>
      </w:r>
    </w:p>
    <w:p w:rsidR="000B0BE4" w:rsidRPr="000B0BE4" w:rsidRDefault="004570CE" w:rsidP="007D1917">
      <w:pPr>
        <w:rPr>
          <w:sz w:val="20"/>
          <w:szCs w:val="20"/>
        </w:rPr>
      </w:pPr>
      <w:r>
        <w:rPr>
          <w:rFonts w:eastAsia="SimSun"/>
          <w:sz w:val="20"/>
          <w:szCs w:val="20"/>
          <w:lang w:eastAsia="zh-CN"/>
        </w:rPr>
        <w:t>30</w:t>
      </w:r>
      <w:r w:rsidR="008E6658" w:rsidRPr="008E6658">
        <w:rPr>
          <w:rFonts w:eastAsia="SimSun"/>
          <w:sz w:val="20"/>
          <w:szCs w:val="20"/>
          <w:lang w:eastAsia="zh-CN"/>
        </w:rPr>
        <w:t>.</w:t>
      </w:r>
      <w:r w:rsidR="008E6658" w:rsidRPr="000B0BE4">
        <w:rPr>
          <w:sz w:val="20"/>
          <w:szCs w:val="20"/>
          <w:lang w:eastAsia="zh-CN"/>
        </w:rPr>
        <w:tab/>
      </w:r>
      <w:r w:rsidR="008E6658" w:rsidRPr="008E6658">
        <w:rPr>
          <w:rFonts w:eastAsia="SimSun"/>
          <w:sz w:val="20"/>
          <w:szCs w:val="20"/>
          <w:lang w:eastAsia="zh-CN"/>
        </w:rPr>
        <w:t>National Institute for Health and Clinical Excellence. Medicines adherence: involving patients in decisions about prescribed medicines and supporting adherence. Jan 2009. Available: www.publications.nice.org.uk/medicines-adherence-cg76.  [Accessed 27th February 2012].</w:t>
      </w:r>
    </w:p>
    <w:p w:rsidR="000B0BE4" w:rsidRPr="000B0BE4" w:rsidRDefault="00533345" w:rsidP="004570CE">
      <w:pPr>
        <w:rPr>
          <w:sz w:val="20"/>
          <w:szCs w:val="20"/>
        </w:rPr>
      </w:pPr>
      <w:r>
        <w:rPr>
          <w:rFonts w:eastAsia="SimSun"/>
          <w:sz w:val="20"/>
          <w:szCs w:val="20"/>
          <w:lang w:eastAsia="zh-CN"/>
        </w:rPr>
        <w:t>3</w:t>
      </w:r>
      <w:r w:rsidR="004570CE">
        <w:rPr>
          <w:rFonts w:eastAsia="SimSun"/>
          <w:sz w:val="20"/>
          <w:szCs w:val="20"/>
          <w:lang w:eastAsia="zh-CN"/>
        </w:rPr>
        <w:t>1</w:t>
      </w:r>
      <w:r w:rsidR="008E6658" w:rsidRPr="008E6658">
        <w:rPr>
          <w:rFonts w:eastAsia="SimSun"/>
          <w:sz w:val="20"/>
          <w:szCs w:val="20"/>
          <w:lang w:eastAsia="zh-CN"/>
        </w:rPr>
        <w:t>.</w:t>
      </w:r>
      <w:r w:rsidR="008E6658" w:rsidRPr="000B0BE4">
        <w:rPr>
          <w:sz w:val="20"/>
          <w:szCs w:val="20"/>
          <w:lang w:eastAsia="zh-CN"/>
        </w:rPr>
        <w:tab/>
      </w:r>
      <w:r w:rsidR="008E6658" w:rsidRPr="008E6658">
        <w:rPr>
          <w:rFonts w:eastAsia="SimSun"/>
          <w:sz w:val="20"/>
          <w:szCs w:val="20"/>
          <w:lang w:eastAsia="zh-CN"/>
        </w:rPr>
        <w:t>Louviere J, Hensher D, Swait J. Stated Choice Methods: Analysis and Application. Cambridge: Cambridge University Press; 2000. ISBN: 0 521 78830 7.</w:t>
      </w:r>
    </w:p>
    <w:p w:rsidR="000B0BE4" w:rsidRDefault="004570CE" w:rsidP="007D1917">
      <w:pPr>
        <w:rPr>
          <w:rFonts w:eastAsia="SimSun"/>
          <w:sz w:val="20"/>
          <w:szCs w:val="20"/>
          <w:lang w:eastAsia="zh-CN"/>
        </w:rPr>
      </w:pPr>
      <w:r>
        <w:rPr>
          <w:rFonts w:eastAsia="SimSun"/>
          <w:sz w:val="20"/>
          <w:szCs w:val="20"/>
          <w:lang w:eastAsia="zh-CN"/>
        </w:rPr>
        <w:t>32</w:t>
      </w:r>
      <w:r w:rsidR="008E6658" w:rsidRPr="008E6658">
        <w:rPr>
          <w:rFonts w:eastAsia="SimSun"/>
          <w:sz w:val="20"/>
          <w:szCs w:val="20"/>
          <w:lang w:eastAsia="zh-CN"/>
        </w:rPr>
        <w:t>.</w:t>
      </w:r>
      <w:r w:rsidR="008E6658" w:rsidRPr="000B0BE4">
        <w:rPr>
          <w:sz w:val="20"/>
          <w:szCs w:val="20"/>
          <w:lang w:eastAsia="zh-CN"/>
        </w:rPr>
        <w:tab/>
      </w:r>
      <w:r w:rsidR="008E6658" w:rsidRPr="008E6658">
        <w:rPr>
          <w:rFonts w:eastAsia="SimSun"/>
          <w:sz w:val="20"/>
          <w:szCs w:val="20"/>
          <w:lang w:eastAsia="zh-CN"/>
        </w:rPr>
        <w:t xml:space="preserve">Pearmain D, Swanson J, Kroes E, Bradley M. Stated preference techniques: a guide </w:t>
      </w:r>
      <w:r w:rsidR="007D1917">
        <w:rPr>
          <w:rFonts w:eastAsia="SimSun"/>
          <w:sz w:val="20"/>
          <w:szCs w:val="20"/>
          <w:lang w:eastAsia="zh-CN"/>
        </w:rPr>
        <w:t>to practice. Richmond and</w:t>
      </w:r>
      <w:r w:rsidR="008E6658" w:rsidRPr="008E6658">
        <w:rPr>
          <w:rFonts w:eastAsia="SimSun"/>
          <w:sz w:val="20"/>
          <w:szCs w:val="20"/>
          <w:lang w:eastAsia="zh-CN"/>
        </w:rPr>
        <w:t xml:space="preserve"> The Haag: 1991.</w:t>
      </w:r>
    </w:p>
    <w:p w:rsidR="00801A61" w:rsidRPr="000B0BE4" w:rsidRDefault="004570CE" w:rsidP="004570CE">
      <w:pPr>
        <w:rPr>
          <w:sz w:val="20"/>
          <w:szCs w:val="20"/>
        </w:rPr>
      </w:pPr>
      <w:r>
        <w:rPr>
          <w:sz w:val="20"/>
          <w:szCs w:val="20"/>
        </w:rPr>
        <w:t>33.</w:t>
      </w:r>
      <w:r w:rsidR="00801A61" w:rsidRPr="00801A61">
        <w:rPr>
          <w:sz w:val="20"/>
          <w:szCs w:val="20"/>
        </w:rPr>
        <w:tab/>
        <w:t xml:space="preserve">Rose J. Issues in Experimental Design and sample Size for Discrete Choice Experiments. The Third Conjoint Analysis in Health Conference 2010. Newport Beach, California, USA.   </w:t>
      </w:r>
    </w:p>
    <w:p w:rsidR="000B0BE4" w:rsidRPr="00EA2681" w:rsidRDefault="00F366FD" w:rsidP="007D1917">
      <w:pPr>
        <w:rPr>
          <w:sz w:val="20"/>
          <w:szCs w:val="20"/>
          <w:lang w:val="fr-FR"/>
        </w:rPr>
      </w:pPr>
      <w:r w:rsidRPr="00EA2681">
        <w:rPr>
          <w:rFonts w:eastAsia="SimSun"/>
          <w:sz w:val="20"/>
          <w:szCs w:val="20"/>
          <w:lang w:eastAsia="zh-CN"/>
        </w:rPr>
        <w:t>3</w:t>
      </w:r>
      <w:r w:rsidR="004570CE">
        <w:rPr>
          <w:rFonts w:eastAsia="SimSun"/>
          <w:sz w:val="20"/>
          <w:szCs w:val="20"/>
          <w:lang w:eastAsia="zh-CN"/>
        </w:rPr>
        <w:t>4</w:t>
      </w:r>
      <w:r w:rsidR="008E6658" w:rsidRPr="00EA2681">
        <w:rPr>
          <w:rFonts w:eastAsia="SimSun"/>
          <w:sz w:val="20"/>
          <w:szCs w:val="20"/>
          <w:lang w:eastAsia="zh-CN"/>
        </w:rPr>
        <w:t>.</w:t>
      </w:r>
      <w:r w:rsidR="008E6658" w:rsidRPr="00EA2681">
        <w:rPr>
          <w:sz w:val="20"/>
          <w:szCs w:val="20"/>
          <w:lang w:eastAsia="zh-CN"/>
        </w:rPr>
        <w:tab/>
      </w:r>
      <w:r w:rsidR="008E6658" w:rsidRPr="00EA2681">
        <w:rPr>
          <w:rFonts w:eastAsia="SimSun"/>
          <w:sz w:val="20"/>
          <w:szCs w:val="20"/>
          <w:lang w:eastAsia="zh-CN"/>
        </w:rPr>
        <w:t>Hippisley-Cox J, Vinogradova Y. Trends in consultation rates in general practice 1995-2008: analysis of the QResearch database. NHS Information Centre for Health and S</w:t>
      </w:r>
      <w:r w:rsidR="00EA2681">
        <w:rPr>
          <w:rFonts w:eastAsia="SimSun"/>
          <w:sz w:val="20"/>
          <w:szCs w:val="20"/>
          <w:lang w:eastAsia="zh-CN"/>
        </w:rPr>
        <w:t xml:space="preserve">ocial Care, 2009. </w:t>
      </w:r>
      <w:r w:rsidR="00EA2681">
        <w:rPr>
          <w:rFonts w:eastAsia="SimSun"/>
          <w:sz w:val="20"/>
          <w:szCs w:val="20"/>
          <w:lang w:val="fr-FR" w:eastAsia="zh-CN"/>
        </w:rPr>
        <w:t>Available</w:t>
      </w:r>
      <w:r w:rsidR="008E6658" w:rsidRPr="00EA2681">
        <w:rPr>
          <w:rFonts w:eastAsia="SimSun"/>
          <w:sz w:val="20"/>
          <w:szCs w:val="20"/>
          <w:lang w:val="fr-FR" w:eastAsia="zh-CN"/>
        </w:rPr>
        <w:t>: http/www.dh.gov.uk/en/Pubicationsandstatsistics/PublicationsPoicyAndGuidance/</w:t>
      </w:r>
    </w:p>
    <w:p w:rsidR="000B0BE4" w:rsidRPr="000B0BE4" w:rsidRDefault="008E6658" w:rsidP="007D1917">
      <w:pPr>
        <w:rPr>
          <w:sz w:val="20"/>
          <w:szCs w:val="20"/>
        </w:rPr>
      </w:pPr>
      <w:r w:rsidRPr="008E6658">
        <w:rPr>
          <w:rFonts w:eastAsia="SimSun"/>
          <w:sz w:val="20"/>
          <w:szCs w:val="20"/>
          <w:lang w:eastAsia="zh-CN"/>
        </w:rPr>
        <w:t>DH_4100717. [Last accessed 15 April 2013].</w:t>
      </w:r>
    </w:p>
    <w:p w:rsidR="000B0BE4" w:rsidRPr="000B0BE4" w:rsidRDefault="00771739" w:rsidP="004570CE">
      <w:pPr>
        <w:rPr>
          <w:sz w:val="20"/>
          <w:szCs w:val="20"/>
        </w:rPr>
      </w:pPr>
      <w:r>
        <w:rPr>
          <w:rFonts w:eastAsia="SimSun"/>
          <w:sz w:val="20"/>
          <w:szCs w:val="20"/>
          <w:lang w:eastAsia="zh-CN"/>
        </w:rPr>
        <w:t>3</w:t>
      </w:r>
      <w:r w:rsidR="004570CE">
        <w:rPr>
          <w:rFonts w:eastAsia="SimSun"/>
          <w:sz w:val="20"/>
          <w:szCs w:val="20"/>
          <w:lang w:eastAsia="zh-CN"/>
        </w:rPr>
        <w:t>5.</w:t>
      </w:r>
      <w:r w:rsidR="004570CE">
        <w:rPr>
          <w:rFonts w:eastAsia="SimSun"/>
          <w:sz w:val="20"/>
          <w:szCs w:val="20"/>
          <w:lang w:eastAsia="zh-CN"/>
        </w:rPr>
        <w:tab/>
      </w:r>
      <w:r w:rsidR="008E6658" w:rsidRPr="008E6658">
        <w:rPr>
          <w:rFonts w:eastAsia="SimSun"/>
          <w:sz w:val="20"/>
          <w:szCs w:val="20"/>
          <w:lang w:eastAsia="zh-CN"/>
        </w:rPr>
        <w:t>Cheraghi-Sohi S, Risa A, Mead N, et al. What patients want from primary care consultations:  A discrete choice experiment to identify patients’ priorities.   Annals of Family Medicine. 2008: 6;2; 107-115. DOI: 10.1370/afm.816</w:t>
      </w:r>
    </w:p>
    <w:p w:rsidR="000B0BE4" w:rsidRPr="000B0BE4" w:rsidRDefault="008E6658" w:rsidP="007D1917">
      <w:pPr>
        <w:rPr>
          <w:sz w:val="20"/>
          <w:szCs w:val="20"/>
        </w:rPr>
      </w:pPr>
      <w:r w:rsidRPr="008E6658">
        <w:rPr>
          <w:rFonts w:eastAsia="SimSun"/>
          <w:sz w:val="20"/>
          <w:szCs w:val="20"/>
          <w:lang w:eastAsia="zh-CN"/>
        </w:rPr>
        <w:t>3</w:t>
      </w:r>
      <w:r w:rsidR="004570CE">
        <w:rPr>
          <w:rFonts w:eastAsia="SimSun"/>
          <w:sz w:val="20"/>
          <w:szCs w:val="20"/>
          <w:lang w:eastAsia="zh-CN"/>
        </w:rPr>
        <w:t>6</w:t>
      </w:r>
      <w:r w:rsidRPr="008E6658">
        <w:rPr>
          <w:rFonts w:eastAsia="SimSun"/>
          <w:sz w:val="20"/>
          <w:szCs w:val="20"/>
          <w:lang w:eastAsia="zh-CN"/>
        </w:rPr>
        <w:t xml:space="preserve">. </w:t>
      </w:r>
      <w:r w:rsidRPr="000B0BE4">
        <w:rPr>
          <w:sz w:val="20"/>
          <w:szCs w:val="20"/>
          <w:lang w:eastAsia="zh-CN"/>
        </w:rPr>
        <w:tab/>
      </w:r>
      <w:r w:rsidRPr="008E6658">
        <w:rPr>
          <w:rFonts w:eastAsia="SimSun"/>
          <w:sz w:val="20"/>
          <w:szCs w:val="20"/>
          <w:lang w:eastAsia="zh-CN"/>
        </w:rPr>
        <w:t>Rennie L, Porteous T and Ryan M.  Preferences for managing symptoms of differing severity: a discrete choice experiment. Value in Health</w:t>
      </w:r>
      <w:r w:rsidR="007D1917">
        <w:rPr>
          <w:rFonts w:eastAsia="SimSun"/>
          <w:sz w:val="20"/>
          <w:szCs w:val="20"/>
          <w:lang w:eastAsia="zh-CN"/>
        </w:rPr>
        <w:t>.</w:t>
      </w:r>
      <w:r w:rsidRPr="008E6658">
        <w:rPr>
          <w:rFonts w:eastAsia="SimSun"/>
          <w:sz w:val="20"/>
          <w:szCs w:val="20"/>
          <w:lang w:eastAsia="zh-CN"/>
        </w:rPr>
        <w:t xml:space="preserve"> 2012: 15; 1069-1076. DOI: 10.1016/jval.2012.06.013</w:t>
      </w:r>
    </w:p>
    <w:p w:rsidR="000B0BE4" w:rsidRDefault="008E6658" w:rsidP="004570CE">
      <w:pPr>
        <w:rPr>
          <w:rFonts w:eastAsia="SimSun"/>
          <w:sz w:val="20"/>
          <w:szCs w:val="20"/>
          <w:lang w:eastAsia="zh-CN"/>
        </w:rPr>
      </w:pPr>
      <w:r w:rsidRPr="008E6658">
        <w:rPr>
          <w:rFonts w:eastAsia="SimSun"/>
          <w:sz w:val="20"/>
          <w:szCs w:val="20"/>
          <w:lang w:eastAsia="zh-CN"/>
        </w:rPr>
        <w:t>3</w:t>
      </w:r>
      <w:r w:rsidR="004570CE">
        <w:rPr>
          <w:rFonts w:eastAsia="SimSun"/>
          <w:sz w:val="20"/>
          <w:szCs w:val="20"/>
          <w:lang w:eastAsia="zh-CN"/>
        </w:rPr>
        <w:t>7</w:t>
      </w:r>
      <w:r w:rsidRPr="008E6658">
        <w:rPr>
          <w:rFonts w:eastAsia="SimSun"/>
          <w:sz w:val="20"/>
          <w:szCs w:val="20"/>
          <w:lang w:eastAsia="zh-CN"/>
        </w:rPr>
        <w:t>.</w:t>
      </w:r>
      <w:r w:rsidRPr="000B0BE4">
        <w:rPr>
          <w:sz w:val="20"/>
          <w:szCs w:val="20"/>
          <w:lang w:eastAsia="zh-CN"/>
        </w:rPr>
        <w:tab/>
      </w:r>
      <w:r w:rsidRPr="008E6658">
        <w:rPr>
          <w:rFonts w:eastAsia="SimSun"/>
          <w:sz w:val="20"/>
          <w:szCs w:val="20"/>
          <w:lang w:eastAsia="zh-CN"/>
        </w:rPr>
        <w:t>Boyle KL, Holmes KJ, Teisl TP, et al. A comparison of conjoint analysis response formats. Am</w:t>
      </w:r>
      <w:r w:rsidR="007D1917">
        <w:rPr>
          <w:rFonts w:eastAsia="SimSun"/>
          <w:sz w:val="20"/>
          <w:szCs w:val="20"/>
          <w:lang w:eastAsia="zh-CN"/>
        </w:rPr>
        <w:t>erican</w:t>
      </w:r>
      <w:r w:rsidRPr="008E6658">
        <w:rPr>
          <w:rFonts w:eastAsia="SimSun"/>
          <w:sz w:val="20"/>
          <w:szCs w:val="20"/>
          <w:lang w:eastAsia="zh-CN"/>
        </w:rPr>
        <w:t xml:space="preserve"> J</w:t>
      </w:r>
      <w:r w:rsidR="007D1917">
        <w:rPr>
          <w:rFonts w:eastAsia="SimSun"/>
          <w:sz w:val="20"/>
          <w:szCs w:val="20"/>
          <w:lang w:eastAsia="zh-CN"/>
        </w:rPr>
        <w:t xml:space="preserve">ournal of </w:t>
      </w:r>
      <w:r w:rsidRPr="008E6658">
        <w:rPr>
          <w:rFonts w:eastAsia="SimSun"/>
          <w:sz w:val="20"/>
          <w:szCs w:val="20"/>
          <w:lang w:eastAsia="zh-CN"/>
        </w:rPr>
        <w:t>Agric</w:t>
      </w:r>
      <w:r w:rsidR="007D1917">
        <w:rPr>
          <w:rFonts w:eastAsia="SimSun"/>
          <w:sz w:val="20"/>
          <w:szCs w:val="20"/>
          <w:lang w:eastAsia="zh-CN"/>
        </w:rPr>
        <w:t>ultural</w:t>
      </w:r>
      <w:r w:rsidRPr="008E6658">
        <w:rPr>
          <w:rFonts w:eastAsia="SimSun"/>
          <w:sz w:val="20"/>
          <w:szCs w:val="20"/>
          <w:lang w:eastAsia="zh-CN"/>
        </w:rPr>
        <w:t xml:space="preserve"> </w:t>
      </w:r>
      <w:r w:rsidR="007D1917" w:rsidRPr="008E6658">
        <w:rPr>
          <w:rFonts w:eastAsia="SimSun"/>
          <w:sz w:val="20"/>
          <w:szCs w:val="20"/>
          <w:lang w:eastAsia="zh-CN"/>
        </w:rPr>
        <w:t>Econ</w:t>
      </w:r>
      <w:r w:rsidR="007D1917">
        <w:rPr>
          <w:rFonts w:eastAsia="SimSun"/>
          <w:sz w:val="20"/>
          <w:szCs w:val="20"/>
          <w:lang w:eastAsia="zh-CN"/>
        </w:rPr>
        <w:t>omics.</w:t>
      </w:r>
      <w:r w:rsidRPr="008E6658">
        <w:rPr>
          <w:rFonts w:eastAsia="SimSun"/>
          <w:sz w:val="20"/>
          <w:szCs w:val="20"/>
          <w:lang w:eastAsia="zh-CN"/>
        </w:rPr>
        <w:t xml:space="preserve"> 2001;83:441-54.</w:t>
      </w:r>
    </w:p>
    <w:p w:rsidR="00140D8B" w:rsidRDefault="00140D8B" w:rsidP="004570CE">
      <w:pPr>
        <w:rPr>
          <w:rFonts w:eastAsia="SimSun"/>
          <w:sz w:val="20"/>
          <w:szCs w:val="20"/>
          <w:lang w:eastAsia="zh-CN"/>
        </w:rPr>
      </w:pPr>
    </w:p>
    <w:p w:rsidR="00140D8B" w:rsidRDefault="00140D8B" w:rsidP="00140D8B">
      <w:r>
        <w:rPr>
          <w:rFonts w:eastAsia="SimSun"/>
          <w:sz w:val="20"/>
          <w:szCs w:val="20"/>
          <w:lang w:eastAsia="zh-CN"/>
        </w:rPr>
        <w:br w:type="page"/>
      </w:r>
    </w:p>
    <w:p w:rsidR="00140D8B" w:rsidRPr="00BF62F1" w:rsidRDefault="00140D8B" w:rsidP="00140D8B">
      <w:pPr>
        <w:spacing w:line="480" w:lineRule="auto"/>
        <w:rPr>
          <w:b/>
          <w:bCs/>
          <w:sz w:val="20"/>
          <w:szCs w:val="20"/>
          <w:lang w:eastAsia="en-US"/>
        </w:rPr>
      </w:pPr>
      <w:r w:rsidRPr="00BF62F1">
        <w:rPr>
          <w:b/>
          <w:bCs/>
          <w:sz w:val="20"/>
          <w:szCs w:val="20"/>
          <w:lang w:eastAsia="en-US"/>
        </w:rPr>
        <w:t>TABLE 1 – Attributes and levels</w:t>
      </w:r>
    </w:p>
    <w:p w:rsidR="00140D8B" w:rsidRPr="00BF62F1" w:rsidRDefault="00140D8B" w:rsidP="00140D8B">
      <w:pPr>
        <w:spacing w:line="480" w:lineRule="auto"/>
        <w:rPr>
          <w:sz w:val="20"/>
          <w:szCs w:val="20"/>
          <w:lang w:eastAsia="en-US"/>
        </w:rPr>
      </w:pPr>
    </w:p>
    <w:tbl>
      <w:tblPr>
        <w:tblW w:w="7292" w:type="dxa"/>
        <w:tblBorders>
          <w:top w:val="single" w:sz="12" w:space="0" w:color="008000"/>
          <w:bottom w:val="single" w:sz="12" w:space="0" w:color="008000"/>
        </w:tblBorders>
        <w:tblLayout w:type="fixed"/>
        <w:tblLook w:val="01E0" w:firstRow="1" w:lastRow="1" w:firstColumn="1" w:lastColumn="1" w:noHBand="0" w:noVBand="0"/>
      </w:tblPr>
      <w:tblGrid>
        <w:gridCol w:w="4786"/>
        <w:gridCol w:w="2506"/>
      </w:tblGrid>
      <w:tr w:rsidR="00140D8B" w:rsidRPr="00BF62F1" w:rsidTr="00417324">
        <w:trPr>
          <w:trHeight w:val="579"/>
        </w:trPr>
        <w:tc>
          <w:tcPr>
            <w:tcW w:w="4786" w:type="dxa"/>
            <w:tcBorders>
              <w:top w:val="single" w:sz="12" w:space="0" w:color="008000"/>
              <w:bottom w:val="single" w:sz="6" w:space="0" w:color="008000"/>
            </w:tcBorders>
          </w:tcPr>
          <w:p w:rsidR="00140D8B" w:rsidRPr="00BF62F1" w:rsidRDefault="00140D8B" w:rsidP="00417324">
            <w:pPr>
              <w:spacing w:line="360" w:lineRule="auto"/>
              <w:rPr>
                <w:rFonts w:ascii="Gill Sans MT" w:hAnsi="Gill Sans MT"/>
                <w:b/>
                <w:sz w:val="18"/>
                <w:szCs w:val="18"/>
              </w:rPr>
            </w:pPr>
          </w:p>
          <w:p w:rsidR="00140D8B" w:rsidRPr="00BF62F1" w:rsidRDefault="00140D8B" w:rsidP="00417324">
            <w:pPr>
              <w:spacing w:line="360" w:lineRule="auto"/>
              <w:rPr>
                <w:rFonts w:ascii="Gill Sans MT" w:hAnsi="Gill Sans MT"/>
                <w:b/>
                <w:sz w:val="18"/>
                <w:szCs w:val="18"/>
              </w:rPr>
            </w:pPr>
            <w:r w:rsidRPr="00BF62F1">
              <w:rPr>
                <w:rFonts w:ascii="Gill Sans MT" w:hAnsi="Gill Sans MT"/>
                <w:b/>
                <w:sz w:val="18"/>
                <w:szCs w:val="18"/>
              </w:rPr>
              <w:t xml:space="preserve">Attribute </w:t>
            </w:r>
            <w:r w:rsidRPr="00AF3CA1">
              <w:rPr>
                <w:rFonts w:ascii="Gill Sans MT" w:hAnsi="Gill Sans MT"/>
                <w:bCs/>
                <w:sz w:val="18"/>
                <w:szCs w:val="18"/>
              </w:rPr>
              <w:t>(</w:t>
            </w:r>
            <w:r w:rsidRPr="00BF62F1">
              <w:rPr>
                <w:rFonts w:ascii="Gill Sans MT" w:hAnsi="Gill Sans MT"/>
                <w:b/>
                <w:sz w:val="18"/>
                <w:szCs w:val="18"/>
              </w:rPr>
              <w:t>Short name</w:t>
            </w:r>
            <w:r w:rsidRPr="00AF3CA1">
              <w:rPr>
                <w:rFonts w:ascii="Gill Sans MT" w:hAnsi="Gill Sans MT"/>
                <w:bCs/>
                <w:sz w:val="18"/>
                <w:szCs w:val="18"/>
              </w:rPr>
              <w:t>)</w:t>
            </w:r>
          </w:p>
        </w:tc>
        <w:tc>
          <w:tcPr>
            <w:tcW w:w="2506" w:type="dxa"/>
            <w:tcBorders>
              <w:top w:val="single" w:sz="12" w:space="0" w:color="008000"/>
              <w:bottom w:val="single" w:sz="6" w:space="0" w:color="008000"/>
            </w:tcBorders>
          </w:tcPr>
          <w:p w:rsidR="00140D8B" w:rsidRPr="00BF62F1" w:rsidRDefault="00140D8B" w:rsidP="00417324">
            <w:pPr>
              <w:spacing w:line="360" w:lineRule="auto"/>
              <w:rPr>
                <w:rFonts w:ascii="Gill Sans MT" w:hAnsi="Gill Sans MT"/>
                <w:b/>
                <w:sz w:val="18"/>
                <w:szCs w:val="18"/>
              </w:rPr>
            </w:pPr>
          </w:p>
          <w:p w:rsidR="00140D8B" w:rsidRPr="00BF62F1" w:rsidRDefault="00140D8B" w:rsidP="00417324">
            <w:pPr>
              <w:spacing w:line="360" w:lineRule="auto"/>
              <w:rPr>
                <w:rFonts w:ascii="Gill Sans MT" w:hAnsi="Gill Sans MT"/>
                <w:b/>
                <w:sz w:val="18"/>
                <w:szCs w:val="18"/>
              </w:rPr>
            </w:pPr>
            <w:r w:rsidRPr="00BF62F1">
              <w:rPr>
                <w:rFonts w:ascii="Gill Sans MT" w:hAnsi="Gill Sans MT"/>
                <w:b/>
                <w:sz w:val="18"/>
                <w:szCs w:val="18"/>
              </w:rPr>
              <w:t>Level</w:t>
            </w:r>
          </w:p>
        </w:tc>
      </w:tr>
      <w:tr w:rsidR="00140D8B" w:rsidRPr="00BF62F1" w:rsidTr="00417324">
        <w:trPr>
          <w:trHeight w:val="1453"/>
        </w:trPr>
        <w:tc>
          <w:tcPr>
            <w:tcW w:w="4786" w:type="dxa"/>
          </w:tcPr>
          <w:p w:rsidR="00140D8B" w:rsidRPr="00BF62F1" w:rsidRDefault="00140D8B" w:rsidP="00417324">
            <w:pPr>
              <w:spacing w:line="360" w:lineRule="auto"/>
              <w:rPr>
                <w:rFonts w:ascii="Gill Sans MT" w:hAnsi="Gill Sans MT"/>
                <w:b/>
                <w:sz w:val="18"/>
                <w:szCs w:val="18"/>
              </w:rPr>
            </w:pPr>
          </w:p>
          <w:p w:rsidR="00140D8B" w:rsidRPr="00BF62F1" w:rsidRDefault="00140D8B" w:rsidP="00417324">
            <w:pPr>
              <w:spacing w:line="360" w:lineRule="auto"/>
              <w:rPr>
                <w:rFonts w:ascii="Gill Sans MT" w:hAnsi="Gill Sans MT"/>
                <w:b/>
                <w:sz w:val="18"/>
                <w:szCs w:val="18"/>
              </w:rPr>
            </w:pPr>
            <w:r w:rsidRPr="00BF62F1">
              <w:rPr>
                <w:rFonts w:ascii="Gill Sans MT" w:hAnsi="Gill Sans MT"/>
                <w:bCs/>
                <w:sz w:val="18"/>
                <w:szCs w:val="18"/>
              </w:rPr>
              <w:t>Accessibility</w:t>
            </w:r>
            <w:r>
              <w:t xml:space="preserve"> </w:t>
            </w:r>
            <w:r w:rsidRPr="00AF3CA1">
              <w:rPr>
                <w:rFonts w:ascii="Gill Sans MT" w:hAnsi="Gill Sans MT"/>
                <w:bCs/>
                <w:sz w:val="18"/>
                <w:szCs w:val="18"/>
              </w:rPr>
              <w:t>(</w:t>
            </w:r>
            <w:r w:rsidRPr="00BF62F1">
              <w:rPr>
                <w:rFonts w:ascii="Gill Sans MT" w:hAnsi="Gill Sans MT"/>
                <w:b/>
                <w:sz w:val="18"/>
                <w:szCs w:val="18"/>
              </w:rPr>
              <w:t>ACCESS</w:t>
            </w:r>
            <w:r w:rsidRPr="00AF3CA1">
              <w:rPr>
                <w:rFonts w:ascii="Gill Sans MT" w:hAnsi="Gill Sans MT"/>
                <w:bCs/>
                <w:sz w:val="18"/>
                <w:szCs w:val="18"/>
                <w:vertAlign w:val="subscript"/>
              </w:rPr>
              <w:t>NIP</w:t>
            </w:r>
            <w:r w:rsidRPr="00AF3CA1">
              <w:rPr>
                <w:rFonts w:ascii="Gill Sans MT" w:hAnsi="Gill Sans MT"/>
                <w:bCs/>
                <w:sz w:val="18"/>
                <w:szCs w:val="18"/>
              </w:rPr>
              <w:t>,</w:t>
            </w:r>
            <w:r w:rsidRPr="00BF62F1">
              <w:rPr>
                <w:rFonts w:ascii="Gill Sans MT" w:hAnsi="Gill Sans MT"/>
                <w:b/>
                <w:sz w:val="18"/>
                <w:szCs w:val="18"/>
              </w:rPr>
              <w:t xml:space="preserve"> ACCESS</w:t>
            </w:r>
            <w:r w:rsidRPr="00BF62F1">
              <w:rPr>
                <w:rFonts w:ascii="Gill Sans MT" w:hAnsi="Gill Sans MT"/>
                <w:sz w:val="18"/>
                <w:szCs w:val="18"/>
                <w:vertAlign w:val="subscript"/>
              </w:rPr>
              <w:t>Own doctor</w:t>
            </w:r>
            <w:r w:rsidRPr="00AF3CA1">
              <w:rPr>
                <w:rFonts w:ascii="Gill Sans MT" w:hAnsi="Gill Sans MT"/>
                <w:sz w:val="18"/>
                <w:szCs w:val="18"/>
              </w:rPr>
              <w:t>)</w:t>
            </w:r>
          </w:p>
        </w:tc>
        <w:tc>
          <w:tcPr>
            <w:tcW w:w="2506" w:type="dxa"/>
          </w:tcPr>
          <w:p w:rsidR="00140D8B" w:rsidRDefault="00140D8B" w:rsidP="00417324">
            <w:pPr>
              <w:spacing w:line="360" w:lineRule="auto"/>
              <w:rPr>
                <w:rFonts w:ascii="Gill Sans MT" w:hAnsi="Gill Sans MT"/>
                <w:sz w:val="18"/>
                <w:szCs w:val="18"/>
              </w:rPr>
            </w:pPr>
          </w:p>
          <w:p w:rsidR="00140D8B" w:rsidRDefault="00140D8B" w:rsidP="00417324">
            <w:pPr>
              <w:spacing w:line="360" w:lineRule="auto"/>
              <w:rPr>
                <w:rFonts w:ascii="Gill Sans MT" w:hAnsi="Gill Sans MT"/>
                <w:sz w:val="18"/>
                <w:szCs w:val="18"/>
              </w:rPr>
            </w:pPr>
            <w:r w:rsidRPr="0038603B">
              <w:rPr>
                <w:rFonts w:ascii="Gill Sans MT" w:hAnsi="Gill Sans MT"/>
                <w:sz w:val="18"/>
                <w:szCs w:val="18"/>
              </w:rPr>
              <w:t>next day at surgery (</w:t>
            </w:r>
            <w:r>
              <w:rPr>
                <w:rFonts w:ascii="Gill Sans MT" w:hAnsi="Gill Sans MT"/>
                <w:sz w:val="18"/>
                <w:szCs w:val="18"/>
              </w:rPr>
              <w:t>NIP</w:t>
            </w:r>
            <w:r w:rsidRPr="0038603B">
              <w:rPr>
                <w:rFonts w:ascii="Gill Sans MT" w:hAnsi="Gill Sans MT"/>
                <w:sz w:val="18"/>
                <w:szCs w:val="18"/>
              </w:rPr>
              <w:t>)</w:t>
            </w:r>
          </w:p>
          <w:p w:rsidR="00140D8B" w:rsidRDefault="00140D8B" w:rsidP="00417324">
            <w:pPr>
              <w:spacing w:line="360" w:lineRule="auto"/>
              <w:rPr>
                <w:rFonts w:ascii="Gill Sans MT" w:hAnsi="Gill Sans MT"/>
                <w:sz w:val="18"/>
                <w:szCs w:val="18"/>
              </w:rPr>
            </w:pPr>
            <w:r>
              <w:rPr>
                <w:rFonts w:ascii="Gill Sans MT" w:hAnsi="Gill Sans MT"/>
                <w:sz w:val="18"/>
                <w:szCs w:val="18"/>
              </w:rPr>
              <w:t>same day at WiC (NIP</w:t>
            </w:r>
            <w:r w:rsidRPr="0038603B">
              <w:rPr>
                <w:rFonts w:ascii="Gill Sans MT" w:hAnsi="Gill Sans MT"/>
                <w:sz w:val="18"/>
                <w:szCs w:val="18"/>
              </w:rPr>
              <w:t>)</w:t>
            </w:r>
          </w:p>
          <w:p w:rsidR="00140D8B" w:rsidRDefault="00140D8B" w:rsidP="00417324">
            <w:pPr>
              <w:spacing w:line="360" w:lineRule="auto"/>
              <w:rPr>
                <w:rFonts w:ascii="Gill Sans MT" w:hAnsi="Gill Sans MT"/>
                <w:sz w:val="18"/>
                <w:szCs w:val="18"/>
              </w:rPr>
            </w:pPr>
            <w:r w:rsidRPr="00BF62F1">
              <w:rPr>
                <w:rFonts w:ascii="Gill Sans MT" w:hAnsi="Gill Sans MT"/>
                <w:sz w:val="18"/>
                <w:szCs w:val="18"/>
              </w:rPr>
              <w:t xml:space="preserve">2 days later at surgery </w:t>
            </w:r>
            <w:r>
              <w:rPr>
                <w:rFonts w:ascii="Gill Sans MT" w:hAnsi="Gill Sans MT"/>
                <w:sz w:val="18"/>
                <w:szCs w:val="18"/>
              </w:rPr>
              <w:t>(</w:t>
            </w:r>
            <w:r w:rsidRPr="00BF62F1">
              <w:rPr>
                <w:rFonts w:ascii="Gill Sans MT" w:hAnsi="Gill Sans MT"/>
                <w:sz w:val="18"/>
                <w:szCs w:val="18"/>
              </w:rPr>
              <w:t>doctor</w:t>
            </w:r>
            <w:r>
              <w:rPr>
                <w:rFonts w:ascii="Gill Sans MT" w:hAnsi="Gill Sans MT"/>
                <w:sz w:val="18"/>
                <w:szCs w:val="18"/>
              </w:rPr>
              <w:t>)</w:t>
            </w:r>
          </w:p>
          <w:p w:rsidR="00140D8B" w:rsidRPr="00BF62F1" w:rsidRDefault="00140D8B" w:rsidP="00417324">
            <w:pPr>
              <w:spacing w:line="360" w:lineRule="auto"/>
              <w:rPr>
                <w:rFonts w:ascii="Gill Sans MT" w:hAnsi="Gill Sans MT"/>
                <w:sz w:val="18"/>
                <w:szCs w:val="18"/>
              </w:rPr>
            </w:pPr>
            <w:r w:rsidRPr="0038603B">
              <w:rPr>
                <w:rFonts w:ascii="Gill Sans MT" w:hAnsi="Gill Sans MT"/>
                <w:sz w:val="18"/>
                <w:szCs w:val="18"/>
              </w:rPr>
              <w:t>next day at surgery (doctor)</w:t>
            </w:r>
          </w:p>
        </w:tc>
      </w:tr>
      <w:tr w:rsidR="00140D8B" w:rsidRPr="00BF62F1" w:rsidTr="00417324">
        <w:trPr>
          <w:trHeight w:val="579"/>
        </w:trPr>
        <w:tc>
          <w:tcPr>
            <w:tcW w:w="4786" w:type="dxa"/>
            <w:tcBorders>
              <w:bottom w:val="nil"/>
            </w:tcBorders>
          </w:tcPr>
          <w:p w:rsidR="00140D8B" w:rsidRDefault="00140D8B" w:rsidP="00417324">
            <w:pPr>
              <w:spacing w:line="360" w:lineRule="auto"/>
              <w:rPr>
                <w:rFonts w:ascii="Gill Sans MT" w:hAnsi="Gill Sans MT"/>
                <w:bCs/>
                <w:sz w:val="18"/>
                <w:szCs w:val="18"/>
              </w:rPr>
            </w:pPr>
          </w:p>
          <w:p w:rsidR="00140D8B" w:rsidRPr="00BF62F1" w:rsidRDefault="00140D8B" w:rsidP="00417324">
            <w:pPr>
              <w:spacing w:line="360" w:lineRule="auto"/>
              <w:rPr>
                <w:rFonts w:ascii="Gill Sans MT" w:hAnsi="Gill Sans MT"/>
                <w:bCs/>
                <w:sz w:val="18"/>
                <w:szCs w:val="18"/>
              </w:rPr>
            </w:pPr>
            <w:r>
              <w:rPr>
                <w:rFonts w:ascii="Gill Sans MT" w:hAnsi="Gill Sans MT"/>
                <w:bCs/>
                <w:sz w:val="18"/>
                <w:szCs w:val="18"/>
              </w:rPr>
              <w:t>L</w:t>
            </w:r>
            <w:r w:rsidRPr="00BF62F1">
              <w:rPr>
                <w:rFonts w:ascii="Gill Sans MT" w:hAnsi="Gill Sans MT"/>
                <w:bCs/>
                <w:sz w:val="18"/>
                <w:szCs w:val="18"/>
              </w:rPr>
              <w:t>ength of consultation (minutes)</w:t>
            </w:r>
          </w:p>
          <w:p w:rsidR="00140D8B" w:rsidRPr="00BF62F1" w:rsidRDefault="00140D8B" w:rsidP="00417324">
            <w:pPr>
              <w:spacing w:line="360" w:lineRule="auto"/>
              <w:rPr>
                <w:rFonts w:ascii="Gill Sans MT" w:hAnsi="Gill Sans MT"/>
                <w:b/>
                <w:sz w:val="18"/>
                <w:szCs w:val="18"/>
              </w:rPr>
            </w:pPr>
            <w:r w:rsidRPr="00AF3CA1">
              <w:rPr>
                <w:rFonts w:ascii="Gill Sans MT" w:hAnsi="Gill Sans MT"/>
                <w:bCs/>
                <w:sz w:val="18"/>
                <w:szCs w:val="18"/>
              </w:rPr>
              <w:t>(</w:t>
            </w:r>
            <w:r w:rsidRPr="00BF62F1">
              <w:rPr>
                <w:rFonts w:ascii="Gill Sans MT" w:hAnsi="Gill Sans MT"/>
                <w:b/>
                <w:sz w:val="18"/>
                <w:szCs w:val="18"/>
              </w:rPr>
              <w:t>LENGTH</w:t>
            </w:r>
            <w:r w:rsidRPr="00AF3CA1">
              <w:rPr>
                <w:rFonts w:ascii="Gill Sans MT" w:hAnsi="Gill Sans MT"/>
                <w:bCs/>
                <w:sz w:val="18"/>
                <w:szCs w:val="18"/>
                <w:vertAlign w:val="subscript"/>
              </w:rPr>
              <w:t>NIP</w:t>
            </w:r>
            <w:r w:rsidRPr="00AF3CA1">
              <w:rPr>
                <w:rFonts w:ascii="Gill Sans MT" w:hAnsi="Gill Sans MT"/>
                <w:bCs/>
                <w:sz w:val="18"/>
                <w:szCs w:val="18"/>
              </w:rPr>
              <w:t>,</w:t>
            </w:r>
            <w:r w:rsidRPr="00BF62F1">
              <w:rPr>
                <w:rFonts w:ascii="Gill Sans MT" w:hAnsi="Gill Sans MT"/>
                <w:b/>
                <w:sz w:val="18"/>
                <w:szCs w:val="18"/>
              </w:rPr>
              <w:t xml:space="preserve"> LENGTH</w:t>
            </w:r>
            <w:r w:rsidRPr="00BF62F1">
              <w:rPr>
                <w:rFonts w:ascii="Gill Sans MT" w:hAnsi="Gill Sans MT"/>
                <w:sz w:val="18"/>
                <w:szCs w:val="18"/>
                <w:vertAlign w:val="subscript"/>
              </w:rPr>
              <w:t>Own doctor</w:t>
            </w:r>
            <w:r w:rsidRPr="00AF3CA1">
              <w:rPr>
                <w:rFonts w:ascii="Gill Sans MT" w:hAnsi="Gill Sans MT"/>
                <w:bCs/>
                <w:sz w:val="18"/>
                <w:szCs w:val="18"/>
              </w:rPr>
              <w:t>)</w:t>
            </w:r>
          </w:p>
        </w:tc>
        <w:tc>
          <w:tcPr>
            <w:tcW w:w="2506" w:type="dxa"/>
            <w:tcBorders>
              <w:bottom w:val="nil"/>
            </w:tcBorders>
          </w:tcPr>
          <w:p w:rsidR="00140D8B" w:rsidRDefault="00140D8B" w:rsidP="00417324">
            <w:pPr>
              <w:spacing w:line="360" w:lineRule="auto"/>
              <w:rPr>
                <w:rFonts w:ascii="Gill Sans MT" w:hAnsi="Gill Sans MT"/>
                <w:sz w:val="18"/>
                <w:szCs w:val="18"/>
              </w:rPr>
            </w:pPr>
          </w:p>
          <w:p w:rsidR="00140D8B" w:rsidRPr="00BF62F1" w:rsidRDefault="00140D8B" w:rsidP="00417324">
            <w:pPr>
              <w:spacing w:line="360" w:lineRule="auto"/>
              <w:rPr>
                <w:rFonts w:ascii="Gill Sans MT" w:hAnsi="Gill Sans MT"/>
                <w:sz w:val="18"/>
                <w:szCs w:val="18"/>
              </w:rPr>
            </w:pPr>
            <w:r w:rsidRPr="00BF62F1">
              <w:rPr>
                <w:rFonts w:ascii="Gill Sans MT" w:hAnsi="Gill Sans MT"/>
                <w:sz w:val="18"/>
                <w:szCs w:val="18"/>
              </w:rPr>
              <w:t xml:space="preserve">10, 20,30,40 </w:t>
            </w:r>
            <w:r>
              <w:rPr>
                <w:rFonts w:ascii="Gill Sans MT" w:hAnsi="Gill Sans MT"/>
                <w:sz w:val="18"/>
                <w:szCs w:val="18"/>
              </w:rPr>
              <w:t>mins (NIP)</w:t>
            </w:r>
          </w:p>
          <w:p w:rsidR="00140D8B" w:rsidRPr="00BF62F1" w:rsidRDefault="00140D8B" w:rsidP="00417324">
            <w:pPr>
              <w:spacing w:line="360" w:lineRule="auto"/>
              <w:rPr>
                <w:rFonts w:ascii="Gill Sans MT" w:hAnsi="Gill Sans MT"/>
                <w:sz w:val="18"/>
                <w:szCs w:val="18"/>
              </w:rPr>
            </w:pPr>
            <w:r w:rsidRPr="00BF62F1">
              <w:rPr>
                <w:rFonts w:ascii="Gill Sans MT" w:hAnsi="Gill Sans MT"/>
                <w:sz w:val="18"/>
                <w:szCs w:val="18"/>
              </w:rPr>
              <w:t xml:space="preserve">5,10,15,20 </w:t>
            </w:r>
            <w:r>
              <w:rPr>
                <w:rFonts w:ascii="Gill Sans MT" w:hAnsi="Gill Sans MT"/>
                <w:sz w:val="18"/>
                <w:szCs w:val="18"/>
              </w:rPr>
              <w:t>mins (</w:t>
            </w:r>
            <w:r w:rsidRPr="00BF62F1">
              <w:rPr>
                <w:rFonts w:ascii="Gill Sans MT" w:hAnsi="Gill Sans MT"/>
                <w:sz w:val="18"/>
                <w:szCs w:val="18"/>
              </w:rPr>
              <w:t>doctor</w:t>
            </w:r>
            <w:r>
              <w:rPr>
                <w:rFonts w:ascii="Gill Sans MT" w:hAnsi="Gill Sans MT"/>
                <w:sz w:val="18"/>
                <w:szCs w:val="18"/>
              </w:rPr>
              <w:t>)</w:t>
            </w:r>
          </w:p>
        </w:tc>
      </w:tr>
      <w:tr w:rsidR="00140D8B" w:rsidRPr="00BF62F1" w:rsidTr="00417324">
        <w:trPr>
          <w:trHeight w:val="579"/>
        </w:trPr>
        <w:tc>
          <w:tcPr>
            <w:tcW w:w="4786" w:type="dxa"/>
            <w:tcBorders>
              <w:top w:val="nil"/>
              <w:bottom w:val="nil"/>
            </w:tcBorders>
          </w:tcPr>
          <w:p w:rsidR="00140D8B" w:rsidRDefault="00140D8B" w:rsidP="00417324">
            <w:pPr>
              <w:spacing w:line="360" w:lineRule="auto"/>
              <w:rPr>
                <w:rFonts w:ascii="Gill Sans MT" w:hAnsi="Gill Sans MT"/>
                <w:b/>
                <w:sz w:val="18"/>
                <w:szCs w:val="18"/>
              </w:rPr>
            </w:pPr>
          </w:p>
          <w:p w:rsidR="00140D8B" w:rsidRDefault="00140D8B" w:rsidP="00417324">
            <w:pPr>
              <w:spacing w:line="360" w:lineRule="auto"/>
              <w:rPr>
                <w:rFonts w:ascii="Gill Sans MT" w:hAnsi="Gill Sans MT"/>
                <w:b/>
                <w:sz w:val="18"/>
                <w:szCs w:val="18"/>
              </w:rPr>
            </w:pPr>
            <w:r w:rsidRPr="00BF62F1">
              <w:rPr>
                <w:rFonts w:ascii="Gill Sans MT" w:hAnsi="Gill Sans MT"/>
                <w:bCs/>
                <w:sz w:val="18"/>
                <w:szCs w:val="18"/>
              </w:rPr>
              <w:t>Professional’s attention</w:t>
            </w:r>
            <w:r>
              <w:rPr>
                <w:rFonts w:ascii="Gill Sans MT" w:hAnsi="Gill Sans MT"/>
                <w:bCs/>
                <w:sz w:val="18"/>
                <w:szCs w:val="18"/>
              </w:rPr>
              <w:t xml:space="preserve"> paid </w:t>
            </w:r>
            <w:r w:rsidRPr="00BF62F1">
              <w:rPr>
                <w:rFonts w:ascii="Gill Sans MT" w:hAnsi="Gill Sans MT"/>
                <w:bCs/>
                <w:sz w:val="18"/>
                <w:szCs w:val="18"/>
              </w:rPr>
              <w:t xml:space="preserve">to your views on </w:t>
            </w:r>
            <w:r>
              <w:rPr>
                <w:rFonts w:ascii="Gill Sans MT" w:hAnsi="Gill Sans MT"/>
                <w:bCs/>
                <w:sz w:val="18"/>
                <w:szCs w:val="18"/>
              </w:rPr>
              <w:t xml:space="preserve">your </w:t>
            </w:r>
            <w:r w:rsidRPr="00BF62F1">
              <w:rPr>
                <w:rFonts w:ascii="Gill Sans MT" w:hAnsi="Gill Sans MT"/>
                <w:bCs/>
                <w:sz w:val="18"/>
                <w:szCs w:val="18"/>
              </w:rPr>
              <w:t>problem/medicine</w:t>
            </w:r>
            <w:r>
              <w:rPr>
                <w:rFonts w:ascii="Gill Sans MT" w:hAnsi="Gill Sans MT"/>
                <w:bCs/>
                <w:sz w:val="18"/>
                <w:szCs w:val="18"/>
              </w:rPr>
              <w:t>(</w:t>
            </w:r>
            <w:r w:rsidRPr="00BF62F1">
              <w:rPr>
                <w:rFonts w:ascii="Gill Sans MT" w:hAnsi="Gill Sans MT"/>
                <w:bCs/>
                <w:sz w:val="18"/>
                <w:szCs w:val="18"/>
              </w:rPr>
              <w:t>s</w:t>
            </w:r>
            <w:r>
              <w:rPr>
                <w:rFonts w:ascii="Gill Sans MT" w:hAnsi="Gill Sans MT"/>
                <w:bCs/>
                <w:sz w:val="18"/>
                <w:szCs w:val="18"/>
              </w:rPr>
              <w:t>)</w:t>
            </w:r>
            <w:r w:rsidRPr="00BF62F1">
              <w:rPr>
                <w:rFonts w:ascii="Gill Sans MT" w:hAnsi="Gill Sans MT"/>
                <w:b/>
                <w:sz w:val="18"/>
                <w:szCs w:val="18"/>
              </w:rPr>
              <w:t xml:space="preserve"> </w:t>
            </w:r>
            <w:r w:rsidRPr="00AF3CA1">
              <w:rPr>
                <w:rFonts w:ascii="Gill Sans MT" w:hAnsi="Gill Sans MT"/>
                <w:bCs/>
                <w:sz w:val="18"/>
                <w:szCs w:val="18"/>
              </w:rPr>
              <w:t>(</w:t>
            </w:r>
            <w:r w:rsidRPr="00BF62F1">
              <w:rPr>
                <w:rFonts w:ascii="Gill Sans MT" w:hAnsi="Gill Sans MT"/>
                <w:b/>
                <w:sz w:val="18"/>
                <w:szCs w:val="18"/>
              </w:rPr>
              <w:t>ATTENTION</w:t>
            </w:r>
            <w:r w:rsidRPr="00AF3CA1">
              <w:rPr>
                <w:rFonts w:ascii="Gill Sans MT" w:hAnsi="Gill Sans MT"/>
                <w:bCs/>
                <w:sz w:val="18"/>
                <w:szCs w:val="18"/>
              </w:rPr>
              <w:t>)</w:t>
            </w:r>
          </w:p>
          <w:p w:rsidR="00140D8B" w:rsidRPr="00BF62F1" w:rsidRDefault="00140D8B" w:rsidP="00417324">
            <w:pPr>
              <w:spacing w:line="360" w:lineRule="auto"/>
              <w:rPr>
                <w:rFonts w:ascii="Gill Sans MT" w:hAnsi="Gill Sans MT"/>
                <w:b/>
                <w:sz w:val="18"/>
                <w:szCs w:val="18"/>
              </w:rPr>
            </w:pPr>
          </w:p>
        </w:tc>
        <w:tc>
          <w:tcPr>
            <w:tcW w:w="2506" w:type="dxa"/>
            <w:tcBorders>
              <w:top w:val="nil"/>
              <w:bottom w:val="nil"/>
            </w:tcBorders>
          </w:tcPr>
          <w:p w:rsidR="00140D8B" w:rsidRDefault="00140D8B" w:rsidP="00417324">
            <w:pPr>
              <w:spacing w:line="360" w:lineRule="auto"/>
              <w:rPr>
                <w:rFonts w:ascii="Gill Sans MT" w:hAnsi="Gill Sans MT"/>
                <w:sz w:val="18"/>
                <w:szCs w:val="18"/>
              </w:rPr>
            </w:pPr>
          </w:p>
          <w:p w:rsidR="00140D8B" w:rsidRDefault="00140D8B" w:rsidP="00417324">
            <w:pPr>
              <w:spacing w:line="360" w:lineRule="auto"/>
              <w:rPr>
                <w:rFonts w:ascii="Gill Sans MT" w:hAnsi="Gill Sans MT"/>
                <w:sz w:val="18"/>
                <w:szCs w:val="18"/>
              </w:rPr>
            </w:pPr>
            <w:r w:rsidRPr="00BF62F1">
              <w:rPr>
                <w:rFonts w:ascii="Gill Sans MT" w:hAnsi="Gill Sans MT"/>
                <w:sz w:val="18"/>
                <w:szCs w:val="18"/>
              </w:rPr>
              <w:t>appears not listen</w:t>
            </w:r>
          </w:p>
          <w:p w:rsidR="00140D8B" w:rsidRPr="00BF62F1" w:rsidRDefault="00140D8B" w:rsidP="00417324">
            <w:pPr>
              <w:spacing w:line="360" w:lineRule="auto"/>
              <w:rPr>
                <w:rFonts w:ascii="Gill Sans MT" w:hAnsi="Gill Sans MT"/>
                <w:sz w:val="18"/>
                <w:szCs w:val="18"/>
              </w:rPr>
            </w:pPr>
            <w:r w:rsidRPr="00BF62F1">
              <w:rPr>
                <w:rFonts w:ascii="Gill Sans MT" w:hAnsi="Gill Sans MT"/>
                <w:sz w:val="18"/>
                <w:szCs w:val="18"/>
              </w:rPr>
              <w:t>appears to listen</w:t>
            </w:r>
          </w:p>
        </w:tc>
      </w:tr>
      <w:tr w:rsidR="00140D8B" w:rsidRPr="00BF62F1" w:rsidTr="00417324">
        <w:trPr>
          <w:trHeight w:val="579"/>
        </w:trPr>
        <w:tc>
          <w:tcPr>
            <w:tcW w:w="4786" w:type="dxa"/>
            <w:tcBorders>
              <w:top w:val="nil"/>
              <w:bottom w:val="single" w:sz="12" w:space="0" w:color="008000"/>
            </w:tcBorders>
          </w:tcPr>
          <w:p w:rsidR="00140D8B" w:rsidRPr="00BF62F1" w:rsidRDefault="00140D8B" w:rsidP="00417324">
            <w:pPr>
              <w:spacing w:line="360" w:lineRule="auto"/>
              <w:rPr>
                <w:rFonts w:ascii="Gill Sans MT" w:hAnsi="Gill Sans MT"/>
                <w:b/>
                <w:sz w:val="18"/>
                <w:szCs w:val="18"/>
              </w:rPr>
            </w:pPr>
            <w:r w:rsidRPr="00BF62F1">
              <w:rPr>
                <w:rFonts w:ascii="Gill Sans MT" w:hAnsi="Gill Sans MT"/>
                <w:bCs/>
                <w:sz w:val="18"/>
                <w:szCs w:val="18"/>
              </w:rPr>
              <w:t>Help offered by professional</w:t>
            </w:r>
            <w:r w:rsidRPr="00BF62F1">
              <w:rPr>
                <w:rFonts w:ascii="Gill Sans MT" w:hAnsi="Gill Sans MT"/>
                <w:b/>
                <w:sz w:val="18"/>
                <w:szCs w:val="18"/>
              </w:rPr>
              <w:t xml:space="preserve"> </w:t>
            </w:r>
            <w:r w:rsidRPr="00AF3CA1">
              <w:rPr>
                <w:rFonts w:ascii="Gill Sans MT" w:hAnsi="Gill Sans MT"/>
                <w:bCs/>
                <w:sz w:val="18"/>
                <w:szCs w:val="18"/>
              </w:rPr>
              <w:t>(</w:t>
            </w:r>
            <w:r w:rsidRPr="00BF62F1">
              <w:rPr>
                <w:rFonts w:ascii="Gill Sans MT" w:hAnsi="Gill Sans MT"/>
                <w:b/>
                <w:sz w:val="18"/>
                <w:szCs w:val="18"/>
              </w:rPr>
              <w:t>HELP</w:t>
            </w:r>
            <w:r w:rsidRPr="00AF3CA1">
              <w:rPr>
                <w:rFonts w:ascii="Gill Sans MT" w:hAnsi="Gill Sans MT"/>
                <w:bCs/>
                <w:sz w:val="18"/>
                <w:szCs w:val="18"/>
              </w:rPr>
              <w:t>)</w:t>
            </w:r>
          </w:p>
        </w:tc>
        <w:tc>
          <w:tcPr>
            <w:tcW w:w="2506" w:type="dxa"/>
            <w:tcBorders>
              <w:top w:val="nil"/>
              <w:bottom w:val="single" w:sz="12" w:space="0" w:color="008000"/>
            </w:tcBorders>
          </w:tcPr>
          <w:p w:rsidR="00140D8B" w:rsidRPr="00BF62F1" w:rsidRDefault="00140D8B" w:rsidP="00417324">
            <w:pPr>
              <w:spacing w:line="360" w:lineRule="auto"/>
              <w:rPr>
                <w:rFonts w:ascii="Gill Sans MT" w:hAnsi="Gill Sans MT"/>
                <w:sz w:val="18"/>
                <w:szCs w:val="18"/>
              </w:rPr>
            </w:pPr>
            <w:r w:rsidRPr="00BF62F1">
              <w:rPr>
                <w:rFonts w:ascii="Gill Sans MT" w:hAnsi="Gill Sans MT"/>
                <w:sz w:val="18"/>
                <w:szCs w:val="18"/>
              </w:rPr>
              <w:t>only advice provided</w:t>
            </w:r>
          </w:p>
          <w:p w:rsidR="00140D8B" w:rsidRPr="00BF62F1" w:rsidRDefault="00140D8B" w:rsidP="00417324">
            <w:pPr>
              <w:spacing w:line="360" w:lineRule="auto"/>
              <w:rPr>
                <w:rFonts w:ascii="Gill Sans MT" w:hAnsi="Gill Sans MT"/>
                <w:sz w:val="18"/>
                <w:szCs w:val="18"/>
              </w:rPr>
            </w:pPr>
            <w:r w:rsidRPr="00BF62F1">
              <w:rPr>
                <w:rFonts w:ascii="Gill Sans MT" w:hAnsi="Gill Sans MT"/>
                <w:sz w:val="18"/>
                <w:szCs w:val="18"/>
              </w:rPr>
              <w:t>diagnosis and advice provided</w:t>
            </w:r>
          </w:p>
        </w:tc>
      </w:tr>
    </w:tbl>
    <w:p w:rsidR="00140D8B" w:rsidRPr="00BF62F1" w:rsidRDefault="00140D8B" w:rsidP="00140D8B">
      <w:pPr>
        <w:spacing w:line="480" w:lineRule="auto"/>
        <w:rPr>
          <w:sz w:val="20"/>
          <w:szCs w:val="20"/>
          <w:lang w:eastAsia="en-US"/>
        </w:rPr>
      </w:pPr>
    </w:p>
    <w:p w:rsidR="00140D8B" w:rsidRDefault="00140D8B" w:rsidP="00140D8B">
      <w:pPr>
        <w:rPr>
          <w:b/>
          <w:bCs/>
          <w:sz w:val="20"/>
          <w:szCs w:val="20"/>
        </w:rPr>
      </w:pPr>
      <w:r>
        <w:rPr>
          <w:sz w:val="20"/>
          <w:szCs w:val="20"/>
        </w:rPr>
        <w:br w:type="page"/>
      </w:r>
      <w:r w:rsidRPr="006B1D63">
        <w:rPr>
          <w:b/>
          <w:bCs/>
          <w:sz w:val="20"/>
          <w:szCs w:val="20"/>
        </w:rPr>
        <w:lastRenderedPageBreak/>
        <w:t xml:space="preserve">TABLE </w:t>
      </w:r>
      <w:r>
        <w:rPr>
          <w:b/>
          <w:bCs/>
          <w:sz w:val="20"/>
          <w:szCs w:val="20"/>
        </w:rPr>
        <w:t>2</w:t>
      </w:r>
      <w:r w:rsidRPr="006B1D63">
        <w:rPr>
          <w:b/>
          <w:bCs/>
          <w:sz w:val="20"/>
          <w:szCs w:val="20"/>
        </w:rPr>
        <w:t xml:space="preserve"> – </w:t>
      </w:r>
      <w:r>
        <w:rPr>
          <w:b/>
          <w:bCs/>
          <w:sz w:val="20"/>
          <w:szCs w:val="20"/>
        </w:rPr>
        <w:t xml:space="preserve">Variables included in discrete choice experiment multinomial logit </w:t>
      </w:r>
      <w:r w:rsidRPr="006B1D63">
        <w:rPr>
          <w:b/>
          <w:bCs/>
          <w:sz w:val="20"/>
          <w:szCs w:val="20"/>
        </w:rPr>
        <w:t xml:space="preserve">regression </w:t>
      </w:r>
      <w:r>
        <w:rPr>
          <w:b/>
          <w:bCs/>
          <w:sz w:val="20"/>
          <w:szCs w:val="20"/>
        </w:rPr>
        <w:t>models</w:t>
      </w:r>
    </w:p>
    <w:p w:rsidR="00140D8B" w:rsidRDefault="00140D8B" w:rsidP="00140D8B">
      <w:pPr>
        <w:rPr>
          <w:b/>
          <w:bCs/>
          <w:sz w:val="20"/>
          <w:szCs w:val="20"/>
        </w:rPr>
      </w:pPr>
    </w:p>
    <w:tbl>
      <w:tblPr>
        <w:tblW w:w="8428" w:type="dxa"/>
        <w:tblBorders>
          <w:top w:val="single" w:sz="12" w:space="0" w:color="008000"/>
          <w:bottom w:val="single" w:sz="12" w:space="0" w:color="008000"/>
        </w:tblBorders>
        <w:tblLayout w:type="fixed"/>
        <w:tblLook w:val="01E0" w:firstRow="1" w:lastRow="1" w:firstColumn="1" w:lastColumn="1" w:noHBand="0" w:noVBand="0"/>
      </w:tblPr>
      <w:tblGrid>
        <w:gridCol w:w="2218"/>
        <w:gridCol w:w="1831"/>
        <w:gridCol w:w="1316"/>
        <w:gridCol w:w="1622"/>
        <w:gridCol w:w="1441"/>
      </w:tblGrid>
      <w:tr w:rsidR="00140D8B" w:rsidRPr="006B1D63" w:rsidTr="00417324">
        <w:trPr>
          <w:trHeight w:val="656"/>
        </w:trPr>
        <w:tc>
          <w:tcPr>
            <w:tcW w:w="2218" w:type="dxa"/>
            <w:tcBorders>
              <w:bottom w:val="single" w:sz="6" w:space="0" w:color="008000"/>
            </w:tcBorders>
          </w:tcPr>
          <w:p w:rsidR="00140D8B" w:rsidRPr="006B63F2" w:rsidRDefault="00140D8B" w:rsidP="00417324">
            <w:pPr>
              <w:rPr>
                <w:rFonts w:ascii="Gill Sans MT" w:hAnsi="Gill Sans MT" w:cs="Arial"/>
                <w:b/>
                <w:bCs/>
                <w:sz w:val="16"/>
                <w:szCs w:val="16"/>
              </w:rPr>
            </w:pPr>
          </w:p>
          <w:p w:rsidR="00140D8B" w:rsidRPr="006B63F2" w:rsidRDefault="00140D8B" w:rsidP="00417324">
            <w:pPr>
              <w:rPr>
                <w:rFonts w:ascii="Gill Sans MT" w:hAnsi="Gill Sans MT" w:cs="Arial"/>
                <w:b/>
                <w:bCs/>
                <w:sz w:val="16"/>
                <w:szCs w:val="16"/>
              </w:rPr>
            </w:pPr>
            <w:r w:rsidRPr="006B63F2">
              <w:rPr>
                <w:rFonts w:ascii="Gill Sans MT" w:hAnsi="Gill Sans MT" w:cs="Arial"/>
                <w:b/>
                <w:bCs/>
                <w:sz w:val="16"/>
                <w:szCs w:val="16"/>
              </w:rPr>
              <w:t>Variable</w:t>
            </w:r>
          </w:p>
        </w:tc>
        <w:tc>
          <w:tcPr>
            <w:tcW w:w="1831" w:type="dxa"/>
            <w:tcBorders>
              <w:top w:val="single" w:sz="12" w:space="0" w:color="008000"/>
              <w:bottom w:val="single" w:sz="6" w:space="0" w:color="008000"/>
            </w:tcBorders>
            <w:shd w:val="clear" w:color="auto" w:fill="auto"/>
          </w:tcPr>
          <w:p w:rsidR="00140D8B" w:rsidRPr="006B63F2" w:rsidRDefault="00140D8B" w:rsidP="00417324">
            <w:pPr>
              <w:rPr>
                <w:rFonts w:ascii="Gill Sans MT" w:hAnsi="Gill Sans MT"/>
                <w:b/>
                <w:bCs/>
                <w:sz w:val="16"/>
                <w:szCs w:val="16"/>
              </w:rPr>
            </w:pPr>
          </w:p>
          <w:p w:rsidR="00140D8B" w:rsidRPr="006B63F2" w:rsidRDefault="00140D8B" w:rsidP="00417324">
            <w:pPr>
              <w:rPr>
                <w:rFonts w:ascii="Gill Sans MT" w:hAnsi="Gill Sans MT"/>
                <w:b/>
                <w:bCs/>
                <w:sz w:val="16"/>
                <w:szCs w:val="16"/>
              </w:rPr>
            </w:pPr>
            <w:r w:rsidRPr="006B63F2">
              <w:rPr>
                <w:rFonts w:ascii="Gill Sans MT" w:hAnsi="Gill Sans MT"/>
                <w:b/>
                <w:bCs/>
                <w:sz w:val="16"/>
                <w:szCs w:val="16"/>
              </w:rPr>
              <w:t>Coefficient</w:t>
            </w:r>
          </w:p>
        </w:tc>
        <w:tc>
          <w:tcPr>
            <w:tcW w:w="2938" w:type="dxa"/>
            <w:gridSpan w:val="2"/>
            <w:tcBorders>
              <w:top w:val="single" w:sz="12" w:space="0" w:color="008000"/>
              <w:bottom w:val="single" w:sz="6" w:space="0" w:color="008000"/>
            </w:tcBorders>
            <w:shd w:val="clear" w:color="auto" w:fill="auto"/>
          </w:tcPr>
          <w:p w:rsidR="00140D8B" w:rsidRPr="006B1D63" w:rsidRDefault="00140D8B" w:rsidP="00417324">
            <w:pPr>
              <w:rPr>
                <w:rFonts w:ascii="Gill Sans MT" w:hAnsi="Gill Sans MT"/>
                <w:b/>
                <w:bCs/>
                <w:sz w:val="16"/>
                <w:szCs w:val="16"/>
              </w:rPr>
            </w:pPr>
          </w:p>
          <w:p w:rsidR="00140D8B" w:rsidRPr="006B1D63" w:rsidRDefault="00140D8B" w:rsidP="00417324">
            <w:pPr>
              <w:rPr>
                <w:rFonts w:ascii="Gill Sans MT" w:hAnsi="Gill Sans MT"/>
                <w:b/>
                <w:bCs/>
                <w:sz w:val="16"/>
                <w:szCs w:val="16"/>
              </w:rPr>
            </w:pPr>
            <w:r>
              <w:rPr>
                <w:rFonts w:ascii="Gill Sans MT" w:hAnsi="Gill Sans MT"/>
                <w:b/>
                <w:bCs/>
                <w:sz w:val="16"/>
                <w:szCs w:val="16"/>
              </w:rPr>
              <w:t>Definition</w:t>
            </w:r>
          </w:p>
        </w:tc>
        <w:tc>
          <w:tcPr>
            <w:tcW w:w="1441" w:type="dxa"/>
            <w:tcBorders>
              <w:top w:val="single" w:sz="12" w:space="0" w:color="008000"/>
              <w:bottom w:val="single" w:sz="6" w:space="0" w:color="008000"/>
            </w:tcBorders>
            <w:shd w:val="clear" w:color="auto" w:fill="auto"/>
          </w:tcPr>
          <w:p w:rsidR="00140D8B" w:rsidRPr="006B1D63" w:rsidRDefault="00140D8B" w:rsidP="00417324">
            <w:pPr>
              <w:rPr>
                <w:rFonts w:ascii="Gill Sans MT" w:hAnsi="Gill Sans MT"/>
                <w:b/>
                <w:bCs/>
                <w:sz w:val="16"/>
                <w:szCs w:val="16"/>
              </w:rPr>
            </w:pPr>
          </w:p>
          <w:p w:rsidR="00140D8B" w:rsidRPr="006B1D63" w:rsidRDefault="00140D8B" w:rsidP="00417324">
            <w:pPr>
              <w:rPr>
                <w:rFonts w:ascii="Gill Sans MT" w:hAnsi="Gill Sans MT"/>
                <w:b/>
                <w:bCs/>
                <w:sz w:val="16"/>
                <w:szCs w:val="16"/>
              </w:rPr>
            </w:pPr>
            <w:r w:rsidRPr="006B63F2">
              <w:rPr>
                <w:rFonts w:ascii="Gill Sans MT" w:hAnsi="Gill Sans MT"/>
                <w:b/>
                <w:bCs/>
                <w:sz w:val="16"/>
                <w:szCs w:val="16"/>
              </w:rPr>
              <w:t>H</w:t>
            </w:r>
            <w:r>
              <w:rPr>
                <w:rFonts w:ascii="Gill Sans MT" w:hAnsi="Gill Sans MT"/>
                <w:b/>
                <w:bCs/>
                <w:sz w:val="16"/>
                <w:szCs w:val="16"/>
              </w:rPr>
              <w:t>ypothesis</w:t>
            </w:r>
          </w:p>
        </w:tc>
      </w:tr>
      <w:tr w:rsidR="00140D8B" w:rsidRPr="006B1D63" w:rsidTr="00417324">
        <w:trPr>
          <w:trHeight w:val="373"/>
        </w:trPr>
        <w:tc>
          <w:tcPr>
            <w:tcW w:w="2218" w:type="dxa"/>
            <w:tcBorders>
              <w:top w:val="single" w:sz="6" w:space="0" w:color="008000"/>
              <w:bottom w:val="nil"/>
            </w:tcBorders>
            <w:shd w:val="clear" w:color="auto" w:fill="auto"/>
          </w:tcPr>
          <w:p w:rsidR="00140D8B" w:rsidRDefault="00140D8B" w:rsidP="00417324">
            <w:pPr>
              <w:rPr>
                <w:rFonts w:ascii="Gill Sans MT" w:hAnsi="Gill Sans MT" w:cs="Arial"/>
                <w:sz w:val="16"/>
                <w:szCs w:val="16"/>
              </w:rPr>
            </w:pPr>
          </w:p>
          <w:p w:rsidR="00140D8B" w:rsidRPr="006B1D63" w:rsidRDefault="00140D8B" w:rsidP="00417324">
            <w:pPr>
              <w:rPr>
                <w:rFonts w:ascii="Gill Sans MT" w:hAnsi="Gill Sans MT" w:cs="Arial"/>
                <w:sz w:val="16"/>
                <w:szCs w:val="16"/>
              </w:rPr>
            </w:pPr>
            <w:r>
              <w:rPr>
                <w:rFonts w:ascii="Gill Sans MT" w:hAnsi="Gill Sans MT" w:cs="Arial"/>
                <w:sz w:val="16"/>
                <w:szCs w:val="16"/>
              </w:rPr>
              <w:t>Own D</w:t>
            </w:r>
            <w:r w:rsidRPr="006B1D63">
              <w:rPr>
                <w:rFonts w:ascii="Gill Sans MT" w:hAnsi="Gill Sans MT" w:cs="Arial"/>
                <w:sz w:val="16"/>
                <w:szCs w:val="16"/>
              </w:rPr>
              <w:t xml:space="preserve">octor </w:t>
            </w:r>
          </w:p>
        </w:tc>
        <w:tc>
          <w:tcPr>
            <w:tcW w:w="1831" w:type="dxa"/>
            <w:tcBorders>
              <w:top w:val="single" w:sz="6" w:space="0" w:color="008000"/>
              <w:bottom w:val="nil"/>
            </w:tcBorders>
            <w:shd w:val="clear" w:color="auto" w:fill="auto"/>
          </w:tcPr>
          <w:p w:rsidR="00140D8B" w:rsidRDefault="00140D8B" w:rsidP="00417324">
            <w:pPr>
              <w:rPr>
                <w:rFonts w:ascii="Gill Sans MT" w:hAnsi="Gill Sans MT" w:cs="Arial"/>
                <w:sz w:val="16"/>
                <w:szCs w:val="16"/>
              </w:rPr>
            </w:pPr>
          </w:p>
          <w:p w:rsidR="00140D8B" w:rsidRPr="006B1D63" w:rsidRDefault="00140D8B" w:rsidP="00417324">
            <w:pPr>
              <w:rPr>
                <w:rFonts w:ascii="Gill Sans MT" w:hAnsi="Gill Sans MT" w:cs="Arial"/>
                <w:sz w:val="16"/>
                <w:szCs w:val="16"/>
              </w:rPr>
            </w:pPr>
            <w:r w:rsidRPr="006B1D63">
              <w:rPr>
                <w:rFonts w:ascii="Arial" w:hAnsi="Arial" w:cs="Arial"/>
                <w:sz w:val="16"/>
                <w:szCs w:val="16"/>
              </w:rPr>
              <w:t>α</w:t>
            </w:r>
            <w:r>
              <w:rPr>
                <w:rFonts w:ascii="Gill Sans MT" w:hAnsi="Gill Sans MT" w:cs="Arial"/>
                <w:sz w:val="16"/>
                <w:szCs w:val="16"/>
              </w:rPr>
              <w:t>1</w:t>
            </w:r>
          </w:p>
        </w:tc>
        <w:tc>
          <w:tcPr>
            <w:tcW w:w="2938" w:type="dxa"/>
            <w:gridSpan w:val="2"/>
            <w:tcBorders>
              <w:top w:val="single" w:sz="6" w:space="0" w:color="008000"/>
              <w:bottom w:val="nil"/>
            </w:tcBorders>
            <w:shd w:val="clear" w:color="auto" w:fill="auto"/>
          </w:tcPr>
          <w:p w:rsidR="00140D8B" w:rsidRDefault="00140D8B" w:rsidP="00417324">
            <w:pPr>
              <w:rPr>
                <w:rFonts w:ascii="Gill Sans MT" w:hAnsi="Gill Sans MT"/>
                <w:sz w:val="16"/>
                <w:szCs w:val="16"/>
              </w:rPr>
            </w:pPr>
          </w:p>
          <w:p w:rsidR="00140D8B" w:rsidRPr="006B1D63" w:rsidRDefault="00140D8B" w:rsidP="00417324">
            <w:pPr>
              <w:rPr>
                <w:rFonts w:ascii="Gill Sans MT" w:hAnsi="Gill Sans MT"/>
                <w:sz w:val="16"/>
                <w:szCs w:val="16"/>
              </w:rPr>
            </w:pPr>
            <w:r>
              <w:rPr>
                <w:rFonts w:ascii="Gill Sans MT" w:hAnsi="Gill Sans MT"/>
                <w:sz w:val="16"/>
                <w:szCs w:val="16"/>
              </w:rPr>
              <w:t>General preference for own doctor compared with ‘do nothing’</w:t>
            </w:r>
          </w:p>
        </w:tc>
        <w:tc>
          <w:tcPr>
            <w:tcW w:w="1441" w:type="dxa"/>
            <w:tcBorders>
              <w:top w:val="single" w:sz="6" w:space="0" w:color="008000"/>
              <w:bottom w:val="nil"/>
            </w:tcBorders>
            <w:shd w:val="clear" w:color="auto" w:fill="auto"/>
          </w:tcPr>
          <w:p w:rsidR="00140D8B" w:rsidRDefault="00140D8B" w:rsidP="00417324">
            <w:pPr>
              <w:rPr>
                <w:rFonts w:ascii="Gill Sans MT" w:hAnsi="Gill Sans MT"/>
                <w:sz w:val="16"/>
                <w:szCs w:val="16"/>
              </w:rPr>
            </w:pPr>
          </w:p>
          <w:p w:rsidR="00140D8B" w:rsidRPr="006B1D63" w:rsidRDefault="00140D8B" w:rsidP="00417324">
            <w:pPr>
              <w:rPr>
                <w:rFonts w:ascii="Gill Sans MT" w:hAnsi="Gill Sans MT"/>
                <w:sz w:val="16"/>
                <w:szCs w:val="16"/>
              </w:rPr>
            </w:pPr>
            <w:r w:rsidRPr="002F31AA">
              <w:rPr>
                <w:rFonts w:ascii="Gill Sans MT" w:hAnsi="Gill Sans MT"/>
                <w:sz w:val="16"/>
                <w:szCs w:val="16"/>
              </w:rPr>
              <w:t xml:space="preserve">No </w:t>
            </w:r>
            <w:r w:rsidRPr="006B63F2">
              <w:rPr>
                <w:rFonts w:ascii="Gill Sans MT" w:hAnsi="Gill Sans MT"/>
                <w:i/>
                <w:iCs/>
                <w:sz w:val="16"/>
                <w:szCs w:val="16"/>
              </w:rPr>
              <w:t>a priori</w:t>
            </w:r>
            <w:r w:rsidRPr="002F31AA">
              <w:rPr>
                <w:rFonts w:ascii="Gill Sans MT" w:hAnsi="Gill Sans MT"/>
                <w:sz w:val="16"/>
                <w:szCs w:val="16"/>
              </w:rPr>
              <w:t xml:space="preserve"> hypothesis</w:t>
            </w: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Pr>
                <w:rFonts w:ascii="Gill Sans MT" w:hAnsi="Gill Sans MT" w:cs="Arial"/>
                <w:sz w:val="16"/>
                <w:szCs w:val="16"/>
              </w:rPr>
              <w:t xml:space="preserve">Prescribing </w:t>
            </w:r>
            <w:r w:rsidRPr="006B1D63">
              <w:rPr>
                <w:rFonts w:ascii="Gill Sans MT" w:hAnsi="Gill Sans MT" w:cs="Arial"/>
                <w:sz w:val="16"/>
                <w:szCs w:val="16"/>
              </w:rPr>
              <w:t xml:space="preserve">Nurse </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Arial" w:hAnsi="Arial" w:cs="Arial"/>
                <w:sz w:val="16"/>
                <w:szCs w:val="16"/>
              </w:rPr>
              <w:t>α</w:t>
            </w:r>
            <w:r>
              <w:rPr>
                <w:rFonts w:ascii="Gill Sans MT" w:hAnsi="Gill Sans MT" w:cs="Arial"/>
                <w:sz w:val="16"/>
                <w:szCs w:val="16"/>
              </w:rPr>
              <w:t>2</w:t>
            </w: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General preference for prescribing nurse compared with ‘do nothing’</w:t>
            </w: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 xml:space="preserve">No </w:t>
            </w:r>
            <w:r w:rsidRPr="006B63F2">
              <w:rPr>
                <w:rFonts w:ascii="Gill Sans MT" w:hAnsi="Gill Sans MT"/>
                <w:i/>
                <w:iCs/>
                <w:sz w:val="16"/>
                <w:szCs w:val="16"/>
              </w:rPr>
              <w:t>a priori</w:t>
            </w:r>
            <w:r>
              <w:rPr>
                <w:rFonts w:ascii="Gill Sans MT" w:hAnsi="Gill Sans MT"/>
                <w:sz w:val="16"/>
                <w:szCs w:val="16"/>
              </w:rPr>
              <w:t xml:space="preserve"> hypothesis</w:t>
            </w: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A</w:t>
            </w:r>
            <w:r>
              <w:rPr>
                <w:rFonts w:ascii="Gill Sans MT" w:hAnsi="Gill Sans MT" w:cs="Arial"/>
                <w:sz w:val="16"/>
                <w:szCs w:val="16"/>
              </w:rPr>
              <w:t>CCESS</w:t>
            </w:r>
            <w:r w:rsidRPr="000034BD">
              <w:rPr>
                <w:rFonts w:ascii="Gill Sans MT" w:hAnsi="Gill Sans MT" w:cs="Arial"/>
                <w:sz w:val="16"/>
                <w:szCs w:val="16"/>
                <w:vertAlign w:val="subscript"/>
              </w:rPr>
              <w:t>own</w:t>
            </w:r>
            <w:r>
              <w:rPr>
                <w:rFonts w:ascii="Gill Sans MT" w:hAnsi="Gill Sans MT" w:cs="Arial"/>
                <w:sz w:val="16"/>
                <w:szCs w:val="16"/>
              </w:rPr>
              <w:t xml:space="preserve"> </w:t>
            </w:r>
            <w:r w:rsidRPr="006B1D63">
              <w:rPr>
                <w:rFonts w:ascii="Gill Sans MT" w:hAnsi="Gill Sans MT" w:cs="Arial"/>
                <w:sz w:val="16"/>
                <w:szCs w:val="16"/>
                <w:vertAlign w:val="subscript"/>
              </w:rPr>
              <w:t>doctor</w:t>
            </w:r>
          </w:p>
        </w:tc>
        <w:tc>
          <w:tcPr>
            <w:tcW w:w="1831" w:type="dxa"/>
            <w:tcBorders>
              <w:top w:val="nil"/>
              <w:bottom w:val="nil"/>
            </w:tcBorders>
            <w:shd w:val="clear" w:color="auto" w:fill="auto"/>
          </w:tcPr>
          <w:p w:rsidR="00140D8B" w:rsidRPr="006B1D63" w:rsidRDefault="00140D8B" w:rsidP="00417324">
            <w:pPr>
              <w:rPr>
                <w:rFonts w:ascii="Gill Sans MT" w:hAnsi="Gill Sans MT"/>
                <w:sz w:val="16"/>
                <w:szCs w:val="16"/>
              </w:rPr>
            </w:pPr>
            <w:r w:rsidRPr="006B1D63">
              <w:rPr>
                <w:rFonts w:ascii="Arial" w:hAnsi="Arial" w:cs="Arial"/>
                <w:sz w:val="16"/>
                <w:szCs w:val="16"/>
              </w:rPr>
              <w:t>β</w:t>
            </w:r>
            <w:r>
              <w:rPr>
                <w:rFonts w:ascii="Gill Sans MT" w:hAnsi="Gill Sans MT" w:cs="Arial"/>
                <w:sz w:val="16"/>
                <w:szCs w:val="16"/>
              </w:rPr>
              <w:t>1</w:t>
            </w:r>
          </w:p>
        </w:tc>
        <w:tc>
          <w:tcPr>
            <w:tcW w:w="2938" w:type="dxa"/>
            <w:gridSpan w:val="2"/>
            <w:tcBorders>
              <w:top w:val="nil"/>
              <w:bottom w:val="nil"/>
            </w:tcBorders>
            <w:shd w:val="clear" w:color="auto" w:fill="auto"/>
          </w:tcPr>
          <w:p w:rsidR="00140D8B" w:rsidRPr="00812A12" w:rsidRDefault="00140D8B" w:rsidP="00417324">
            <w:pPr>
              <w:rPr>
                <w:rFonts w:ascii="Gill Sans MT" w:hAnsi="Gill Sans MT"/>
                <w:sz w:val="16"/>
                <w:szCs w:val="16"/>
              </w:rPr>
            </w:pPr>
          </w:p>
          <w:p w:rsidR="00140D8B" w:rsidRPr="006B1D63" w:rsidRDefault="00140D8B" w:rsidP="00417324">
            <w:pPr>
              <w:rPr>
                <w:rFonts w:ascii="Gill Sans MT" w:hAnsi="Gill Sans MT"/>
                <w:sz w:val="16"/>
                <w:szCs w:val="16"/>
              </w:rPr>
            </w:pPr>
            <w:r w:rsidRPr="00812A12">
              <w:rPr>
                <w:rFonts w:ascii="Gill Sans MT" w:hAnsi="Gill Sans MT"/>
                <w:sz w:val="16"/>
                <w:szCs w:val="16"/>
              </w:rPr>
              <w:t xml:space="preserve">1= seen by </w:t>
            </w:r>
            <w:r>
              <w:rPr>
                <w:rFonts w:ascii="Gill Sans MT" w:hAnsi="Gill Sans MT"/>
                <w:sz w:val="16"/>
                <w:szCs w:val="16"/>
              </w:rPr>
              <w:t xml:space="preserve">doctor next day at the </w:t>
            </w:r>
            <w:r w:rsidRPr="00812A12">
              <w:rPr>
                <w:rFonts w:ascii="Gill Sans MT" w:hAnsi="Gill Sans MT"/>
                <w:sz w:val="16"/>
                <w:szCs w:val="16"/>
              </w:rPr>
              <w:t xml:space="preserve">surgery; 0 = seen by </w:t>
            </w:r>
            <w:r>
              <w:rPr>
                <w:rFonts w:ascii="Gill Sans MT" w:hAnsi="Gill Sans MT"/>
                <w:sz w:val="16"/>
                <w:szCs w:val="16"/>
              </w:rPr>
              <w:t>doctor 2</w:t>
            </w:r>
            <w:r w:rsidRPr="00812A12">
              <w:rPr>
                <w:rFonts w:ascii="Gill Sans MT" w:hAnsi="Gill Sans MT"/>
                <w:sz w:val="16"/>
                <w:szCs w:val="16"/>
              </w:rPr>
              <w:t xml:space="preserve"> day</w:t>
            </w:r>
            <w:r>
              <w:rPr>
                <w:rFonts w:ascii="Gill Sans MT" w:hAnsi="Gill Sans MT"/>
                <w:sz w:val="16"/>
                <w:szCs w:val="16"/>
              </w:rPr>
              <w:t>s later at the</w:t>
            </w:r>
            <w:r w:rsidRPr="00812A12">
              <w:rPr>
                <w:rFonts w:ascii="Gill Sans MT" w:hAnsi="Gill Sans MT"/>
                <w:sz w:val="16"/>
                <w:szCs w:val="16"/>
              </w:rPr>
              <w:t xml:space="preserve"> surgery</w:t>
            </w:r>
          </w:p>
        </w:tc>
        <w:tc>
          <w:tcPr>
            <w:tcW w:w="1441" w:type="dxa"/>
            <w:tcBorders>
              <w:top w:val="nil"/>
              <w:bottom w:val="nil"/>
            </w:tcBorders>
            <w:shd w:val="clear" w:color="auto" w:fill="auto"/>
          </w:tcPr>
          <w:p w:rsidR="00140D8B" w:rsidRDefault="00140D8B" w:rsidP="00417324">
            <w:pPr>
              <w:rPr>
                <w:rFonts w:ascii="Gill Sans MT" w:hAnsi="Gill Sans MT"/>
                <w:sz w:val="16"/>
                <w:szCs w:val="16"/>
              </w:rPr>
            </w:pPr>
          </w:p>
          <w:p w:rsidR="00140D8B" w:rsidRPr="006B1D63" w:rsidRDefault="00140D8B" w:rsidP="00417324">
            <w:pPr>
              <w:rPr>
                <w:rFonts w:ascii="Gill Sans MT" w:hAnsi="Gill Sans MT"/>
                <w:sz w:val="16"/>
                <w:szCs w:val="16"/>
              </w:rPr>
            </w:pPr>
            <w:r>
              <w:rPr>
                <w:rFonts w:ascii="Gill Sans MT" w:hAnsi="Gill Sans MT"/>
                <w:sz w:val="16"/>
                <w:szCs w:val="16"/>
              </w:rPr>
              <w:t>+ sign</w:t>
            </w:r>
          </w:p>
        </w:tc>
      </w:tr>
      <w:tr w:rsidR="00140D8B" w:rsidRPr="006B1D63" w:rsidTr="00417324">
        <w:trPr>
          <w:trHeight w:val="373"/>
        </w:trPr>
        <w:tc>
          <w:tcPr>
            <w:tcW w:w="2218" w:type="dxa"/>
            <w:tcBorders>
              <w:top w:val="nil"/>
              <w:bottom w:val="nil"/>
            </w:tcBorders>
            <w:shd w:val="clear" w:color="auto" w:fill="auto"/>
          </w:tcPr>
          <w:p w:rsidR="00140D8B" w:rsidRDefault="00140D8B" w:rsidP="00417324">
            <w:pPr>
              <w:rPr>
                <w:rFonts w:ascii="Gill Sans MT" w:hAnsi="Gill Sans MT" w:cs="Arial"/>
                <w:sz w:val="16"/>
                <w:szCs w:val="16"/>
              </w:rPr>
            </w:pPr>
          </w:p>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A</w:t>
            </w:r>
            <w:r>
              <w:rPr>
                <w:rFonts w:ascii="Gill Sans MT" w:hAnsi="Gill Sans MT" w:cs="Arial"/>
                <w:sz w:val="16"/>
                <w:szCs w:val="16"/>
              </w:rPr>
              <w:t>CCESS</w:t>
            </w:r>
            <w:r>
              <w:rPr>
                <w:rFonts w:ascii="Gill Sans MT" w:hAnsi="Gill Sans MT" w:cs="Arial"/>
                <w:sz w:val="16"/>
                <w:szCs w:val="16"/>
                <w:vertAlign w:val="subscript"/>
              </w:rPr>
              <w:t>NIP</w:t>
            </w:r>
          </w:p>
        </w:tc>
        <w:tc>
          <w:tcPr>
            <w:tcW w:w="1831" w:type="dxa"/>
            <w:tcBorders>
              <w:top w:val="nil"/>
              <w:bottom w:val="nil"/>
            </w:tcBorders>
            <w:shd w:val="clear" w:color="auto" w:fill="auto"/>
          </w:tcPr>
          <w:p w:rsidR="00140D8B" w:rsidRDefault="00140D8B" w:rsidP="00417324">
            <w:pPr>
              <w:rPr>
                <w:rFonts w:ascii="Gill Sans MT" w:hAnsi="Gill Sans MT" w:cs="Arial"/>
                <w:sz w:val="16"/>
                <w:szCs w:val="16"/>
              </w:rPr>
            </w:pPr>
          </w:p>
          <w:p w:rsidR="00140D8B" w:rsidRPr="006B1D63" w:rsidRDefault="00140D8B" w:rsidP="00417324">
            <w:pPr>
              <w:rPr>
                <w:rFonts w:ascii="Gill Sans MT" w:hAnsi="Gill Sans MT" w:cs="Arial"/>
                <w:sz w:val="16"/>
                <w:szCs w:val="16"/>
              </w:rPr>
            </w:pPr>
            <w:r w:rsidRPr="006B1D63">
              <w:rPr>
                <w:rFonts w:ascii="Arial" w:hAnsi="Arial" w:cs="Arial"/>
                <w:sz w:val="16"/>
                <w:szCs w:val="16"/>
              </w:rPr>
              <w:t>β</w:t>
            </w:r>
            <w:r>
              <w:rPr>
                <w:rFonts w:ascii="Gill Sans MT" w:hAnsi="Gill Sans MT" w:cs="Arial"/>
                <w:sz w:val="16"/>
                <w:szCs w:val="16"/>
              </w:rPr>
              <w:t>2</w:t>
            </w:r>
          </w:p>
        </w:tc>
        <w:tc>
          <w:tcPr>
            <w:tcW w:w="2938" w:type="dxa"/>
            <w:gridSpan w:val="2"/>
            <w:tcBorders>
              <w:top w:val="nil"/>
              <w:bottom w:val="nil"/>
            </w:tcBorders>
            <w:shd w:val="clear" w:color="auto" w:fill="auto"/>
          </w:tcPr>
          <w:p w:rsidR="00140D8B" w:rsidRDefault="00140D8B" w:rsidP="00417324">
            <w:pPr>
              <w:rPr>
                <w:rFonts w:ascii="Gill Sans MT" w:hAnsi="Gill Sans MT"/>
                <w:b/>
                <w:sz w:val="16"/>
                <w:szCs w:val="16"/>
              </w:rPr>
            </w:pPr>
          </w:p>
          <w:p w:rsidR="00140D8B" w:rsidRPr="006B1D63" w:rsidRDefault="00140D8B" w:rsidP="00417324">
            <w:pPr>
              <w:rPr>
                <w:rFonts w:ascii="Gill Sans MT" w:hAnsi="Gill Sans MT"/>
                <w:sz w:val="16"/>
                <w:szCs w:val="16"/>
              </w:rPr>
            </w:pPr>
            <w:r>
              <w:rPr>
                <w:rFonts w:ascii="Gill Sans MT" w:hAnsi="Gill Sans MT"/>
                <w:sz w:val="16"/>
                <w:szCs w:val="16"/>
              </w:rPr>
              <w:t xml:space="preserve">1= seen by nurse prescriber same day at the Walk in Centre; 0 = </w:t>
            </w:r>
            <w:r w:rsidRPr="00812A12">
              <w:rPr>
                <w:rFonts w:ascii="Gill Sans MT" w:hAnsi="Gill Sans MT"/>
                <w:sz w:val="16"/>
                <w:szCs w:val="16"/>
              </w:rPr>
              <w:t>seen by nurse prescriber next day at the surgery</w:t>
            </w:r>
          </w:p>
        </w:tc>
        <w:tc>
          <w:tcPr>
            <w:tcW w:w="1441" w:type="dxa"/>
            <w:tcBorders>
              <w:top w:val="nil"/>
              <w:bottom w:val="nil"/>
            </w:tcBorders>
            <w:shd w:val="clear" w:color="auto" w:fill="auto"/>
          </w:tcPr>
          <w:p w:rsidR="00140D8B" w:rsidRDefault="00140D8B" w:rsidP="00417324">
            <w:pPr>
              <w:rPr>
                <w:rFonts w:ascii="Gill Sans MT" w:hAnsi="Gill Sans MT"/>
                <w:sz w:val="16"/>
                <w:szCs w:val="16"/>
              </w:rPr>
            </w:pPr>
          </w:p>
          <w:p w:rsidR="00140D8B" w:rsidRPr="006B1D63" w:rsidRDefault="00140D8B" w:rsidP="00417324">
            <w:pPr>
              <w:rPr>
                <w:rFonts w:ascii="Gill Sans MT" w:hAnsi="Gill Sans MT"/>
                <w:sz w:val="16"/>
                <w:szCs w:val="16"/>
              </w:rPr>
            </w:pPr>
            <w:r>
              <w:rPr>
                <w:rFonts w:ascii="Gill Sans MT" w:hAnsi="Gill Sans MT"/>
                <w:sz w:val="16"/>
                <w:szCs w:val="16"/>
              </w:rPr>
              <w:t>+ sign</w:t>
            </w:r>
          </w:p>
        </w:tc>
      </w:tr>
      <w:tr w:rsidR="00140D8B" w:rsidRPr="006B1D63" w:rsidTr="00417324">
        <w:trPr>
          <w:trHeight w:val="193"/>
        </w:trPr>
        <w:tc>
          <w:tcPr>
            <w:tcW w:w="2218" w:type="dxa"/>
            <w:tcBorders>
              <w:top w:val="nil"/>
              <w:bottom w:val="nil"/>
            </w:tcBorders>
            <w:shd w:val="clear" w:color="auto" w:fill="auto"/>
          </w:tcPr>
          <w:p w:rsidR="00140D8B" w:rsidRDefault="00140D8B" w:rsidP="00417324">
            <w:pPr>
              <w:rPr>
                <w:rFonts w:ascii="Gill Sans MT" w:hAnsi="Gill Sans MT" w:cs="Arial"/>
                <w:sz w:val="16"/>
                <w:szCs w:val="16"/>
              </w:rPr>
            </w:pPr>
          </w:p>
        </w:tc>
        <w:tc>
          <w:tcPr>
            <w:tcW w:w="1831" w:type="dxa"/>
            <w:tcBorders>
              <w:top w:val="nil"/>
              <w:bottom w:val="nil"/>
            </w:tcBorders>
            <w:shd w:val="clear" w:color="auto" w:fill="auto"/>
          </w:tcPr>
          <w:p w:rsidR="00140D8B" w:rsidRDefault="00140D8B" w:rsidP="00417324">
            <w:pPr>
              <w:rPr>
                <w:rFonts w:ascii="Gill Sans MT" w:hAnsi="Gill Sans MT" w:cs="Arial"/>
                <w:sz w:val="16"/>
                <w:szCs w:val="16"/>
              </w:rPr>
            </w:pPr>
          </w:p>
        </w:tc>
        <w:tc>
          <w:tcPr>
            <w:tcW w:w="2938" w:type="dxa"/>
            <w:gridSpan w:val="2"/>
            <w:tcBorders>
              <w:top w:val="nil"/>
              <w:bottom w:val="nil"/>
            </w:tcBorders>
            <w:shd w:val="clear" w:color="auto" w:fill="auto"/>
          </w:tcPr>
          <w:p w:rsidR="00140D8B"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L</w:t>
            </w:r>
            <w:r>
              <w:rPr>
                <w:rFonts w:ascii="Gill Sans MT" w:hAnsi="Gill Sans MT" w:cs="Arial"/>
                <w:sz w:val="16"/>
                <w:szCs w:val="16"/>
              </w:rPr>
              <w:t>ENGTH</w:t>
            </w:r>
            <w:r w:rsidRPr="000034BD">
              <w:rPr>
                <w:rFonts w:ascii="Gill Sans MT" w:hAnsi="Gill Sans MT" w:cs="Arial"/>
                <w:sz w:val="16"/>
                <w:szCs w:val="16"/>
                <w:vertAlign w:val="subscript"/>
              </w:rPr>
              <w:t>own</w:t>
            </w:r>
            <w:r>
              <w:rPr>
                <w:rFonts w:ascii="Gill Sans MT" w:hAnsi="Gill Sans MT" w:cs="Arial"/>
                <w:sz w:val="16"/>
                <w:szCs w:val="16"/>
              </w:rPr>
              <w:t xml:space="preserve"> </w:t>
            </w:r>
            <w:r w:rsidRPr="006B1D63">
              <w:rPr>
                <w:rFonts w:ascii="Gill Sans MT" w:hAnsi="Gill Sans MT" w:cs="Arial"/>
                <w:sz w:val="16"/>
                <w:szCs w:val="16"/>
                <w:vertAlign w:val="subscript"/>
              </w:rPr>
              <w:t>doctor</w:t>
            </w:r>
          </w:p>
        </w:tc>
        <w:tc>
          <w:tcPr>
            <w:tcW w:w="1831" w:type="dxa"/>
            <w:tcBorders>
              <w:top w:val="nil"/>
              <w:bottom w:val="nil"/>
            </w:tcBorders>
            <w:shd w:val="clear" w:color="auto" w:fill="auto"/>
          </w:tcPr>
          <w:p w:rsidR="00140D8B" w:rsidRPr="006B1D63" w:rsidRDefault="00140D8B" w:rsidP="00417324">
            <w:pPr>
              <w:rPr>
                <w:rFonts w:ascii="Gill Sans MT" w:hAnsi="Gill Sans MT"/>
                <w:sz w:val="16"/>
                <w:szCs w:val="16"/>
              </w:rPr>
            </w:pPr>
            <w:r w:rsidRPr="006B1D63">
              <w:rPr>
                <w:rFonts w:ascii="Arial" w:hAnsi="Arial" w:cs="Arial"/>
                <w:sz w:val="16"/>
                <w:szCs w:val="16"/>
              </w:rPr>
              <w:t>β</w:t>
            </w:r>
            <w:r>
              <w:rPr>
                <w:rFonts w:ascii="Gill Sans MT" w:hAnsi="Gill Sans MT" w:cs="Arial"/>
                <w:sz w:val="16"/>
                <w:szCs w:val="16"/>
              </w:rPr>
              <w:t>3</w:t>
            </w: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5 minute difference in length of consultation time with own doctor</w:t>
            </w: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r w:rsidRPr="00CB74CD">
              <w:rPr>
                <w:rFonts w:ascii="Gill Sans MT" w:hAnsi="Gill Sans MT"/>
                <w:sz w:val="16"/>
                <w:szCs w:val="16"/>
              </w:rPr>
              <w:t>+ sign</w:t>
            </w: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 </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2938" w:type="dxa"/>
            <w:gridSpan w:val="2"/>
            <w:vMerge w:val="restart"/>
            <w:tcBorders>
              <w:top w:val="nil"/>
              <w:bottom w:val="nil"/>
            </w:tcBorders>
            <w:shd w:val="clear" w:color="auto" w:fill="auto"/>
          </w:tcPr>
          <w:p w:rsidR="00140D8B" w:rsidRDefault="00140D8B" w:rsidP="00417324">
            <w:pPr>
              <w:rPr>
                <w:rFonts w:ascii="Gill Sans MT" w:hAnsi="Gill Sans MT"/>
                <w:sz w:val="16"/>
                <w:szCs w:val="16"/>
              </w:rPr>
            </w:pPr>
          </w:p>
          <w:p w:rsidR="00140D8B" w:rsidRPr="006B1D63" w:rsidRDefault="00140D8B" w:rsidP="00417324">
            <w:pPr>
              <w:rPr>
                <w:rFonts w:ascii="Gill Sans MT" w:hAnsi="Gill Sans MT"/>
                <w:sz w:val="16"/>
                <w:szCs w:val="16"/>
              </w:rPr>
            </w:pPr>
            <w:r>
              <w:rPr>
                <w:rFonts w:ascii="Gill Sans MT" w:hAnsi="Gill Sans MT"/>
                <w:sz w:val="16"/>
                <w:szCs w:val="16"/>
              </w:rPr>
              <w:t>10 minute d</w:t>
            </w:r>
            <w:r w:rsidRPr="00C77731">
              <w:rPr>
                <w:rFonts w:ascii="Gill Sans MT" w:hAnsi="Gill Sans MT"/>
                <w:sz w:val="16"/>
                <w:szCs w:val="16"/>
              </w:rPr>
              <w:t xml:space="preserve">ifference in length of consultation time with </w:t>
            </w:r>
            <w:r>
              <w:rPr>
                <w:rFonts w:ascii="Gill Sans MT" w:hAnsi="Gill Sans MT"/>
                <w:sz w:val="16"/>
                <w:szCs w:val="16"/>
              </w:rPr>
              <w:t>prescribing nurse</w:t>
            </w: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79"/>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L</w:t>
            </w:r>
            <w:r w:rsidRPr="000034BD">
              <w:rPr>
                <w:rFonts w:ascii="Gill Sans MT" w:hAnsi="Gill Sans MT" w:cs="Arial"/>
                <w:sz w:val="16"/>
                <w:szCs w:val="16"/>
              </w:rPr>
              <w:t>ENGTH</w:t>
            </w:r>
            <w:r>
              <w:rPr>
                <w:rFonts w:ascii="Gill Sans MT" w:hAnsi="Gill Sans MT" w:cs="Arial"/>
                <w:sz w:val="16"/>
                <w:szCs w:val="16"/>
                <w:vertAlign w:val="subscript"/>
              </w:rPr>
              <w:t>NIP</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Arial" w:hAnsi="Arial" w:cs="Arial"/>
                <w:sz w:val="16"/>
                <w:szCs w:val="16"/>
              </w:rPr>
              <w:t>β</w:t>
            </w:r>
            <w:r>
              <w:rPr>
                <w:rFonts w:ascii="Gill Sans MT" w:hAnsi="Gill Sans MT" w:cs="Arial"/>
                <w:sz w:val="16"/>
                <w:szCs w:val="16"/>
              </w:rPr>
              <w:t>4</w:t>
            </w:r>
          </w:p>
        </w:tc>
        <w:tc>
          <w:tcPr>
            <w:tcW w:w="2938" w:type="dxa"/>
            <w:gridSpan w:val="2"/>
            <w:vMerge/>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vAlign w:val="center"/>
          </w:tcPr>
          <w:p w:rsidR="00140D8B" w:rsidRDefault="00140D8B" w:rsidP="00417324">
            <w:pPr>
              <w:rPr>
                <w:rFonts w:ascii="Gill Sans MT" w:hAnsi="Gill Sans MT"/>
                <w:sz w:val="16"/>
                <w:szCs w:val="16"/>
              </w:rPr>
            </w:pPr>
            <w:r>
              <w:rPr>
                <w:rFonts w:ascii="Gill Sans MT" w:hAnsi="Gill Sans MT"/>
                <w:sz w:val="16"/>
                <w:szCs w:val="16"/>
              </w:rPr>
              <w:t>+ sign</w:t>
            </w:r>
          </w:p>
          <w:p w:rsidR="00140D8B" w:rsidRPr="006B1D63"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 </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Pr>
                <w:rFonts w:ascii="Gill Sans MT" w:hAnsi="Gill Sans MT" w:cs="Arial"/>
                <w:sz w:val="16"/>
                <w:szCs w:val="16"/>
              </w:rPr>
              <w:t>ATTENTION</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Arial" w:hAnsi="Arial" w:cs="Arial"/>
                <w:sz w:val="16"/>
                <w:szCs w:val="16"/>
              </w:rPr>
              <w:t>β</w:t>
            </w:r>
            <w:r>
              <w:rPr>
                <w:rFonts w:ascii="Gill Sans MT" w:hAnsi="Gill Sans MT" w:cs="Arial"/>
                <w:sz w:val="16"/>
                <w:szCs w:val="16"/>
              </w:rPr>
              <w:t>5</w:t>
            </w: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 xml:space="preserve">1 = professional appears to listen to your views; 0 = professional does not appear to listen to your views </w:t>
            </w: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 sign</w:t>
            </w: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 </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H</w:t>
            </w:r>
            <w:r>
              <w:rPr>
                <w:rFonts w:ascii="Gill Sans MT" w:hAnsi="Gill Sans MT" w:cs="Arial"/>
                <w:sz w:val="16"/>
                <w:szCs w:val="16"/>
              </w:rPr>
              <w:t>ELP</w:t>
            </w:r>
          </w:p>
        </w:tc>
        <w:tc>
          <w:tcPr>
            <w:tcW w:w="1831"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Arial" w:hAnsi="Arial" w:cs="Arial"/>
                <w:sz w:val="16"/>
                <w:szCs w:val="16"/>
              </w:rPr>
              <w:t>β</w:t>
            </w:r>
            <w:r>
              <w:rPr>
                <w:rFonts w:ascii="Gill Sans MT" w:hAnsi="Gill Sans MT" w:cs="Arial"/>
                <w:sz w:val="16"/>
                <w:szCs w:val="16"/>
              </w:rPr>
              <w:t>6</w:t>
            </w: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1 = diagnosis and advice provided; 0 = only advice provided</w:t>
            </w: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r>
              <w:rPr>
                <w:rFonts w:ascii="Gill Sans MT" w:hAnsi="Gill Sans MT"/>
                <w:sz w:val="16"/>
                <w:szCs w:val="16"/>
              </w:rPr>
              <w:t>+ sign</w:t>
            </w:r>
          </w:p>
        </w:tc>
      </w:tr>
      <w:tr w:rsidR="00140D8B" w:rsidRPr="006B1D63" w:rsidTr="00417324">
        <w:trPr>
          <w:trHeight w:val="179"/>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r w:rsidRPr="006B1D63">
              <w:rPr>
                <w:rFonts w:ascii="Gill Sans MT" w:hAnsi="Gill Sans MT" w:cs="Arial"/>
                <w:sz w:val="16"/>
                <w:szCs w:val="16"/>
              </w:rPr>
              <w:t> </w:t>
            </w:r>
          </w:p>
        </w:tc>
        <w:tc>
          <w:tcPr>
            <w:tcW w:w="1831" w:type="dxa"/>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2218" w:type="dxa"/>
            <w:tcBorders>
              <w:top w:val="nil"/>
              <w:bottom w:val="nil"/>
            </w:tcBorders>
            <w:shd w:val="clear" w:color="auto" w:fill="auto"/>
          </w:tcPr>
          <w:p w:rsidR="00140D8B" w:rsidRPr="006B1D63" w:rsidRDefault="00140D8B" w:rsidP="00417324">
            <w:pPr>
              <w:rPr>
                <w:rFonts w:ascii="Gill Sans MT" w:hAnsi="Gill Sans MT" w:cs="Arial"/>
                <w:sz w:val="16"/>
                <w:szCs w:val="16"/>
              </w:rPr>
            </w:pPr>
          </w:p>
        </w:tc>
        <w:tc>
          <w:tcPr>
            <w:tcW w:w="1831" w:type="dxa"/>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2938"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4049" w:type="dxa"/>
            <w:gridSpan w:val="2"/>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316" w:type="dxa"/>
            <w:tcBorders>
              <w:top w:val="nil"/>
              <w:bottom w:val="nil"/>
            </w:tcBorders>
            <w:shd w:val="clear" w:color="auto" w:fill="auto"/>
          </w:tcPr>
          <w:p w:rsidR="00140D8B" w:rsidRPr="006B1D63" w:rsidRDefault="00140D8B" w:rsidP="00417324">
            <w:pPr>
              <w:rPr>
                <w:rFonts w:ascii="Gill Sans MT" w:hAnsi="Gill Sans MT"/>
                <w:b/>
                <w:sz w:val="16"/>
                <w:szCs w:val="16"/>
              </w:rPr>
            </w:pPr>
          </w:p>
        </w:tc>
        <w:tc>
          <w:tcPr>
            <w:tcW w:w="1622" w:type="dxa"/>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193"/>
        </w:trPr>
        <w:tc>
          <w:tcPr>
            <w:tcW w:w="4049" w:type="dxa"/>
            <w:gridSpan w:val="2"/>
            <w:tcBorders>
              <w:top w:val="nil"/>
              <w:bottom w:val="nil"/>
            </w:tcBorders>
            <w:shd w:val="clear" w:color="auto" w:fill="auto"/>
          </w:tcPr>
          <w:p w:rsidR="00140D8B" w:rsidRDefault="00140D8B" w:rsidP="00417324">
            <w:pPr>
              <w:rPr>
                <w:rFonts w:ascii="Gill Sans MT" w:hAnsi="Gill Sans MT"/>
                <w:b/>
                <w:bCs/>
                <w:sz w:val="16"/>
                <w:szCs w:val="16"/>
              </w:rPr>
            </w:pPr>
            <w:r w:rsidRPr="00D763C8">
              <w:rPr>
                <w:rFonts w:ascii="Gill Sans MT" w:hAnsi="Gill Sans MT"/>
                <w:b/>
                <w:bCs/>
                <w:sz w:val="16"/>
                <w:szCs w:val="16"/>
              </w:rPr>
              <w:t>Utility functions</w:t>
            </w:r>
            <w:r>
              <w:rPr>
                <w:rFonts w:ascii="Gill Sans MT" w:hAnsi="Gill Sans MT"/>
                <w:b/>
                <w:bCs/>
                <w:sz w:val="16"/>
                <w:szCs w:val="16"/>
              </w:rPr>
              <w:t xml:space="preserve"> estimated</w:t>
            </w:r>
            <w:r w:rsidRPr="00D763C8">
              <w:rPr>
                <w:rFonts w:ascii="Gill Sans MT" w:hAnsi="Gill Sans MT"/>
                <w:b/>
                <w:bCs/>
                <w:sz w:val="16"/>
                <w:szCs w:val="16"/>
              </w:rPr>
              <w:t>:</w:t>
            </w:r>
          </w:p>
          <w:p w:rsidR="00140D8B" w:rsidRPr="00D763C8" w:rsidRDefault="00140D8B" w:rsidP="00417324">
            <w:pPr>
              <w:rPr>
                <w:rFonts w:ascii="Gill Sans MT" w:hAnsi="Gill Sans MT"/>
                <w:b/>
                <w:bCs/>
                <w:sz w:val="16"/>
                <w:szCs w:val="16"/>
              </w:rPr>
            </w:pPr>
          </w:p>
        </w:tc>
        <w:tc>
          <w:tcPr>
            <w:tcW w:w="1316" w:type="dxa"/>
            <w:tcBorders>
              <w:top w:val="nil"/>
              <w:bottom w:val="nil"/>
            </w:tcBorders>
            <w:shd w:val="clear" w:color="auto" w:fill="auto"/>
          </w:tcPr>
          <w:p w:rsidR="00140D8B" w:rsidRPr="006B1D63" w:rsidRDefault="00140D8B" w:rsidP="00417324">
            <w:pPr>
              <w:rPr>
                <w:rFonts w:ascii="Gill Sans MT" w:hAnsi="Gill Sans MT"/>
                <w:b/>
                <w:sz w:val="16"/>
                <w:szCs w:val="16"/>
              </w:rPr>
            </w:pPr>
          </w:p>
        </w:tc>
        <w:tc>
          <w:tcPr>
            <w:tcW w:w="1622" w:type="dxa"/>
            <w:tcBorders>
              <w:top w:val="nil"/>
              <w:bottom w:val="nil"/>
            </w:tcBorders>
            <w:shd w:val="clear" w:color="auto" w:fill="auto"/>
          </w:tcPr>
          <w:p w:rsidR="00140D8B" w:rsidRPr="006B1D63" w:rsidRDefault="00140D8B" w:rsidP="00417324">
            <w:pPr>
              <w:rPr>
                <w:rFonts w:ascii="Gill Sans MT" w:hAnsi="Gill Sans MT"/>
                <w:sz w:val="16"/>
                <w:szCs w:val="16"/>
              </w:rPr>
            </w:pPr>
          </w:p>
        </w:tc>
        <w:tc>
          <w:tcPr>
            <w:tcW w:w="1441" w:type="dxa"/>
            <w:tcBorders>
              <w:top w:val="nil"/>
              <w:bottom w:val="nil"/>
            </w:tcBorders>
            <w:shd w:val="clear" w:color="auto" w:fill="auto"/>
          </w:tcPr>
          <w:p w:rsidR="00140D8B" w:rsidRPr="006B1D63" w:rsidRDefault="00140D8B" w:rsidP="00417324">
            <w:pPr>
              <w:rPr>
                <w:rFonts w:ascii="Gill Sans MT" w:hAnsi="Gill Sans MT"/>
                <w:sz w:val="16"/>
                <w:szCs w:val="16"/>
              </w:rPr>
            </w:pPr>
          </w:p>
        </w:tc>
      </w:tr>
      <w:tr w:rsidR="00140D8B" w:rsidRPr="006B1D63" w:rsidTr="00417324">
        <w:trPr>
          <w:trHeight w:val="570"/>
        </w:trPr>
        <w:tc>
          <w:tcPr>
            <w:tcW w:w="8428" w:type="dxa"/>
            <w:gridSpan w:val="5"/>
            <w:tcBorders>
              <w:top w:val="nil"/>
              <w:bottom w:val="nil"/>
            </w:tcBorders>
            <w:shd w:val="clear" w:color="auto" w:fill="auto"/>
          </w:tcPr>
          <w:p w:rsidR="00140D8B" w:rsidRDefault="00140D8B" w:rsidP="00417324">
            <w:pPr>
              <w:rPr>
                <w:rFonts w:ascii="Gill Sans MT" w:hAnsi="Gill Sans MT" w:cs="Arial"/>
                <w:sz w:val="16"/>
                <w:szCs w:val="16"/>
              </w:rPr>
            </w:pPr>
            <w:r>
              <w:rPr>
                <w:rFonts w:ascii="Gill Sans MT" w:hAnsi="Gill Sans MT"/>
                <w:sz w:val="16"/>
                <w:szCs w:val="16"/>
              </w:rPr>
              <w:t>Utility</w:t>
            </w:r>
            <w:r w:rsidRPr="000034BD">
              <w:rPr>
                <w:rFonts w:ascii="Gill Sans MT" w:hAnsi="Gill Sans MT"/>
                <w:sz w:val="16"/>
                <w:szCs w:val="16"/>
                <w:vertAlign w:val="subscript"/>
              </w:rPr>
              <w:t>Own</w:t>
            </w:r>
            <w:r>
              <w:rPr>
                <w:rFonts w:ascii="Gill Sans MT" w:hAnsi="Gill Sans MT"/>
                <w:sz w:val="16"/>
                <w:szCs w:val="16"/>
              </w:rPr>
              <w:t xml:space="preserve"> </w:t>
            </w:r>
            <w:r w:rsidRPr="000034BD">
              <w:rPr>
                <w:rFonts w:ascii="Gill Sans MT" w:hAnsi="Gill Sans MT"/>
                <w:sz w:val="16"/>
                <w:szCs w:val="16"/>
                <w:vertAlign w:val="subscript"/>
              </w:rPr>
              <w:t>d</w:t>
            </w:r>
            <w:r w:rsidRPr="00D763C8">
              <w:rPr>
                <w:rFonts w:ascii="Gill Sans MT" w:hAnsi="Gill Sans MT"/>
                <w:sz w:val="16"/>
                <w:szCs w:val="16"/>
                <w:vertAlign w:val="subscript"/>
              </w:rPr>
              <w:t>octor</w:t>
            </w:r>
            <w:r>
              <w:rPr>
                <w:rFonts w:ascii="Gill Sans MT" w:hAnsi="Gill Sans MT"/>
                <w:sz w:val="16"/>
                <w:szCs w:val="16"/>
              </w:rPr>
              <w:t xml:space="preserve"> =  </w:t>
            </w:r>
            <w:r w:rsidRPr="00D763C8">
              <w:rPr>
                <w:rFonts w:ascii="Arial" w:hAnsi="Arial" w:cs="Arial"/>
                <w:sz w:val="16"/>
                <w:szCs w:val="16"/>
              </w:rPr>
              <w:t>α</w:t>
            </w:r>
            <w:r w:rsidRPr="00D763C8">
              <w:rPr>
                <w:rFonts w:ascii="Gill Sans MT" w:hAnsi="Gill Sans MT"/>
                <w:sz w:val="16"/>
                <w:szCs w:val="16"/>
              </w:rPr>
              <w:t>1</w:t>
            </w:r>
            <w:r>
              <w:rPr>
                <w:rFonts w:ascii="Gill Sans MT" w:hAnsi="Gill Sans MT"/>
                <w:sz w:val="16"/>
                <w:szCs w:val="16"/>
              </w:rPr>
              <w:t xml:space="preserve">Own Doctor + </w:t>
            </w:r>
            <w:r w:rsidRPr="00D763C8">
              <w:rPr>
                <w:rFonts w:ascii="Arial" w:hAnsi="Arial" w:cs="Arial"/>
                <w:sz w:val="16"/>
                <w:szCs w:val="16"/>
              </w:rPr>
              <w:t>β</w:t>
            </w:r>
            <w:r w:rsidRPr="00D763C8">
              <w:rPr>
                <w:rFonts w:ascii="Gill Sans MT" w:hAnsi="Gill Sans MT"/>
                <w:sz w:val="16"/>
                <w:szCs w:val="16"/>
              </w:rPr>
              <w:t>1</w:t>
            </w:r>
            <w:r>
              <w:t xml:space="preserve"> </w:t>
            </w:r>
            <w:r w:rsidRPr="000034BD">
              <w:rPr>
                <w:rFonts w:ascii="Gill Sans MT" w:hAnsi="Gill Sans MT"/>
                <w:sz w:val="16"/>
                <w:szCs w:val="16"/>
              </w:rPr>
              <w:t>ACCESS</w:t>
            </w:r>
            <w:r>
              <w:rPr>
                <w:rFonts w:ascii="Gill Sans MT" w:hAnsi="Gill Sans MT"/>
                <w:sz w:val="16"/>
                <w:szCs w:val="16"/>
                <w:vertAlign w:val="subscript"/>
              </w:rPr>
              <w:t xml:space="preserve">own </w:t>
            </w:r>
            <w:r w:rsidRPr="000034BD">
              <w:rPr>
                <w:rFonts w:ascii="Gill Sans MT" w:hAnsi="Gill Sans MT"/>
                <w:sz w:val="16"/>
                <w:szCs w:val="16"/>
                <w:vertAlign w:val="subscript"/>
              </w:rPr>
              <w:t>doctor</w:t>
            </w:r>
            <w:r>
              <w:rPr>
                <w:rFonts w:ascii="Gill Sans MT" w:hAnsi="Gill Sans MT"/>
                <w:sz w:val="16"/>
                <w:szCs w:val="16"/>
              </w:rPr>
              <w:t xml:space="preserve"> + </w:t>
            </w:r>
            <w:r w:rsidRPr="00D763C8">
              <w:rPr>
                <w:rFonts w:ascii="Arial" w:hAnsi="Arial" w:cs="Arial"/>
                <w:sz w:val="16"/>
                <w:szCs w:val="16"/>
              </w:rPr>
              <w:t>β</w:t>
            </w:r>
            <w:r w:rsidRPr="00D763C8">
              <w:rPr>
                <w:rFonts w:ascii="Gill Sans MT" w:hAnsi="Gill Sans MT"/>
                <w:sz w:val="16"/>
                <w:szCs w:val="16"/>
              </w:rPr>
              <w:t>3</w:t>
            </w:r>
            <w:r>
              <w:rPr>
                <w:rFonts w:ascii="Gill Sans MT" w:hAnsi="Gill Sans MT"/>
                <w:sz w:val="16"/>
                <w:szCs w:val="16"/>
              </w:rPr>
              <w:t xml:space="preserve"> </w:t>
            </w:r>
            <w:r w:rsidRPr="006B1D63">
              <w:rPr>
                <w:rFonts w:ascii="Gill Sans MT" w:hAnsi="Gill Sans MT" w:cs="Arial"/>
                <w:sz w:val="16"/>
                <w:szCs w:val="16"/>
              </w:rPr>
              <w:t>L</w:t>
            </w:r>
            <w:r w:rsidRPr="000034BD">
              <w:rPr>
                <w:rFonts w:ascii="Gill Sans MT" w:hAnsi="Gill Sans MT" w:cs="Arial"/>
                <w:sz w:val="16"/>
                <w:szCs w:val="16"/>
              </w:rPr>
              <w:t>ENGTH</w:t>
            </w:r>
            <w:r>
              <w:rPr>
                <w:rFonts w:ascii="Gill Sans MT" w:hAnsi="Gill Sans MT" w:cs="Arial"/>
                <w:sz w:val="16"/>
                <w:szCs w:val="16"/>
                <w:vertAlign w:val="subscript"/>
              </w:rPr>
              <w:t xml:space="preserve">own </w:t>
            </w:r>
            <w:r w:rsidRPr="006B1D63">
              <w:rPr>
                <w:rFonts w:ascii="Gill Sans MT" w:hAnsi="Gill Sans MT" w:cs="Arial"/>
                <w:sz w:val="16"/>
                <w:szCs w:val="16"/>
                <w:vertAlign w:val="subscript"/>
              </w:rPr>
              <w:t>doctor</w:t>
            </w:r>
            <w:r>
              <w:rPr>
                <w:rFonts w:ascii="Gill Sans MT" w:hAnsi="Gill Sans MT" w:cs="Arial"/>
                <w:sz w:val="16"/>
                <w:szCs w:val="16"/>
                <w:vertAlign w:val="subscript"/>
              </w:rPr>
              <w:t xml:space="preserve"> </w:t>
            </w:r>
            <w:r w:rsidRPr="00D763C8">
              <w:rPr>
                <w:rFonts w:ascii="Gill Sans MT" w:hAnsi="Gill Sans MT" w:cs="Arial"/>
                <w:sz w:val="16"/>
                <w:szCs w:val="16"/>
              </w:rPr>
              <w:t>+</w:t>
            </w:r>
            <w:r>
              <w:rPr>
                <w:rFonts w:ascii="Gill Sans MT" w:hAnsi="Gill Sans MT" w:cs="Arial"/>
                <w:sz w:val="16"/>
                <w:szCs w:val="16"/>
              </w:rPr>
              <w:t xml:space="preserve"> </w:t>
            </w:r>
            <w:r w:rsidRPr="006B1D63">
              <w:rPr>
                <w:rFonts w:ascii="Arial" w:hAnsi="Arial" w:cs="Arial"/>
                <w:sz w:val="16"/>
                <w:szCs w:val="16"/>
              </w:rPr>
              <w:t>β</w:t>
            </w:r>
            <w:r>
              <w:rPr>
                <w:rFonts w:ascii="Gill Sans MT" w:hAnsi="Gill Sans MT" w:cs="Arial"/>
                <w:sz w:val="16"/>
                <w:szCs w:val="16"/>
              </w:rPr>
              <w:t xml:space="preserve">5 ATTENTION + </w:t>
            </w:r>
            <w:r w:rsidRPr="00D763C8">
              <w:rPr>
                <w:rFonts w:ascii="Arial" w:hAnsi="Arial" w:cs="Arial"/>
                <w:sz w:val="16"/>
                <w:szCs w:val="16"/>
              </w:rPr>
              <w:t>β</w:t>
            </w:r>
            <w:r w:rsidRPr="00D763C8">
              <w:rPr>
                <w:rFonts w:ascii="Gill Sans MT" w:hAnsi="Gill Sans MT" w:cs="Arial"/>
                <w:sz w:val="16"/>
                <w:szCs w:val="16"/>
              </w:rPr>
              <w:t>6</w:t>
            </w:r>
            <w:r>
              <w:rPr>
                <w:rFonts w:ascii="Gill Sans MT" w:hAnsi="Gill Sans MT" w:cs="Arial"/>
                <w:sz w:val="16"/>
                <w:szCs w:val="16"/>
              </w:rPr>
              <w:t xml:space="preserve"> </w:t>
            </w:r>
            <w:r w:rsidRPr="006B1D63">
              <w:rPr>
                <w:rFonts w:ascii="Gill Sans MT" w:hAnsi="Gill Sans MT" w:cs="Arial"/>
                <w:sz w:val="16"/>
                <w:szCs w:val="16"/>
              </w:rPr>
              <w:t>H</w:t>
            </w:r>
            <w:r>
              <w:rPr>
                <w:rFonts w:ascii="Gill Sans MT" w:hAnsi="Gill Sans MT" w:cs="Arial"/>
                <w:sz w:val="16"/>
                <w:szCs w:val="16"/>
              </w:rPr>
              <w:t xml:space="preserve">ELP        </w:t>
            </w:r>
            <w:r w:rsidRPr="000A2D7B">
              <w:rPr>
                <w:rFonts w:ascii="Gill Sans MT" w:hAnsi="Gill Sans MT" w:cs="Arial"/>
                <w:i/>
                <w:iCs/>
                <w:sz w:val="16"/>
                <w:szCs w:val="16"/>
              </w:rPr>
              <w:t>Equation 1</w:t>
            </w:r>
          </w:p>
          <w:p w:rsidR="00140D8B" w:rsidRDefault="00140D8B" w:rsidP="00417324">
            <w:pPr>
              <w:rPr>
                <w:rFonts w:ascii="Gill Sans MT" w:hAnsi="Gill Sans MT" w:cs="Arial"/>
                <w:sz w:val="16"/>
                <w:szCs w:val="16"/>
              </w:rPr>
            </w:pPr>
          </w:p>
          <w:p w:rsidR="00140D8B" w:rsidRDefault="00140D8B" w:rsidP="00417324">
            <w:pPr>
              <w:rPr>
                <w:rFonts w:ascii="Gill Sans MT" w:hAnsi="Gill Sans MT" w:cs="Arial"/>
                <w:sz w:val="16"/>
                <w:szCs w:val="16"/>
              </w:rPr>
            </w:pPr>
            <w:r w:rsidRPr="000034BD">
              <w:rPr>
                <w:rFonts w:ascii="Gill Sans MT" w:hAnsi="Gill Sans MT"/>
                <w:sz w:val="16"/>
                <w:szCs w:val="16"/>
              </w:rPr>
              <w:t>Utility</w:t>
            </w:r>
            <w:r>
              <w:rPr>
                <w:rFonts w:ascii="Gill Sans MT" w:hAnsi="Gill Sans MT"/>
                <w:sz w:val="16"/>
                <w:szCs w:val="16"/>
                <w:vertAlign w:val="subscript"/>
              </w:rPr>
              <w:t>NIP</w:t>
            </w:r>
            <w:r>
              <w:rPr>
                <w:rFonts w:ascii="Gill Sans MT" w:hAnsi="Gill Sans MT"/>
                <w:sz w:val="16"/>
                <w:szCs w:val="16"/>
              </w:rPr>
              <w:t xml:space="preserve"> =  </w:t>
            </w:r>
            <w:r w:rsidRPr="00D763C8">
              <w:rPr>
                <w:rFonts w:ascii="Arial" w:hAnsi="Arial" w:cs="Arial"/>
                <w:sz w:val="16"/>
                <w:szCs w:val="16"/>
              </w:rPr>
              <w:t>α</w:t>
            </w:r>
            <w:r>
              <w:rPr>
                <w:rFonts w:ascii="Gill Sans MT" w:hAnsi="Gill Sans MT"/>
                <w:sz w:val="16"/>
                <w:szCs w:val="16"/>
              </w:rPr>
              <w:t xml:space="preserve">2Prescribing Nurse + </w:t>
            </w:r>
            <w:r w:rsidRPr="00D763C8">
              <w:rPr>
                <w:rFonts w:ascii="Arial" w:hAnsi="Arial" w:cs="Arial"/>
                <w:sz w:val="16"/>
                <w:szCs w:val="16"/>
              </w:rPr>
              <w:t>β</w:t>
            </w:r>
            <w:r>
              <w:rPr>
                <w:rFonts w:ascii="Gill Sans MT" w:hAnsi="Gill Sans MT"/>
                <w:sz w:val="16"/>
                <w:szCs w:val="16"/>
              </w:rPr>
              <w:t>2</w:t>
            </w:r>
            <w:r>
              <w:t xml:space="preserve"> </w:t>
            </w:r>
            <w:r w:rsidRPr="00D763C8">
              <w:rPr>
                <w:rFonts w:ascii="Gill Sans MT" w:hAnsi="Gill Sans MT"/>
                <w:sz w:val="16"/>
                <w:szCs w:val="16"/>
              </w:rPr>
              <w:t>ACCESS</w:t>
            </w:r>
            <w:r>
              <w:rPr>
                <w:rFonts w:ascii="Gill Sans MT" w:hAnsi="Gill Sans MT"/>
                <w:sz w:val="16"/>
                <w:szCs w:val="16"/>
                <w:vertAlign w:val="subscript"/>
              </w:rPr>
              <w:t>NIP</w:t>
            </w:r>
            <w:r>
              <w:rPr>
                <w:rFonts w:ascii="Gill Sans MT" w:hAnsi="Gill Sans MT"/>
                <w:sz w:val="16"/>
                <w:szCs w:val="16"/>
              </w:rPr>
              <w:t xml:space="preserve"> + </w:t>
            </w:r>
            <w:r w:rsidRPr="00D763C8">
              <w:rPr>
                <w:rFonts w:ascii="Arial" w:hAnsi="Arial" w:cs="Arial"/>
                <w:sz w:val="16"/>
                <w:szCs w:val="16"/>
              </w:rPr>
              <w:t>β</w:t>
            </w:r>
            <w:r>
              <w:rPr>
                <w:rFonts w:ascii="Gill Sans MT" w:hAnsi="Gill Sans MT"/>
                <w:sz w:val="16"/>
                <w:szCs w:val="16"/>
              </w:rPr>
              <w:t xml:space="preserve">4 </w:t>
            </w:r>
            <w:r w:rsidRPr="006B1D63">
              <w:rPr>
                <w:rFonts w:ascii="Gill Sans MT" w:hAnsi="Gill Sans MT" w:cs="Arial"/>
                <w:sz w:val="16"/>
                <w:szCs w:val="16"/>
              </w:rPr>
              <w:t>L</w:t>
            </w:r>
            <w:r>
              <w:rPr>
                <w:rFonts w:ascii="Gill Sans MT" w:hAnsi="Gill Sans MT" w:cs="Arial"/>
                <w:sz w:val="16"/>
                <w:szCs w:val="16"/>
              </w:rPr>
              <w:t>ENGTH</w:t>
            </w:r>
            <w:r>
              <w:rPr>
                <w:rFonts w:ascii="Gill Sans MT" w:hAnsi="Gill Sans MT" w:cs="Arial"/>
                <w:sz w:val="16"/>
                <w:szCs w:val="16"/>
                <w:vertAlign w:val="subscript"/>
              </w:rPr>
              <w:t xml:space="preserve">NIP </w:t>
            </w:r>
            <w:r w:rsidRPr="00D763C8">
              <w:rPr>
                <w:rFonts w:ascii="Gill Sans MT" w:hAnsi="Gill Sans MT" w:cs="Arial"/>
                <w:sz w:val="16"/>
                <w:szCs w:val="16"/>
              </w:rPr>
              <w:t>+</w:t>
            </w:r>
            <w:r>
              <w:rPr>
                <w:rFonts w:ascii="Gill Sans MT" w:hAnsi="Gill Sans MT" w:cs="Arial"/>
                <w:sz w:val="16"/>
                <w:szCs w:val="16"/>
              </w:rPr>
              <w:t xml:space="preserve"> </w:t>
            </w:r>
            <w:r w:rsidRPr="006B1D63">
              <w:rPr>
                <w:rFonts w:ascii="Arial" w:hAnsi="Arial" w:cs="Arial"/>
                <w:sz w:val="16"/>
                <w:szCs w:val="16"/>
              </w:rPr>
              <w:t>β</w:t>
            </w:r>
            <w:r>
              <w:rPr>
                <w:rFonts w:ascii="Gill Sans MT" w:hAnsi="Gill Sans MT" w:cs="Arial"/>
                <w:sz w:val="16"/>
                <w:szCs w:val="16"/>
              </w:rPr>
              <w:t xml:space="preserve">5 ATTENTION + </w:t>
            </w:r>
            <w:r w:rsidRPr="00D763C8">
              <w:rPr>
                <w:rFonts w:ascii="Arial" w:hAnsi="Arial" w:cs="Arial"/>
                <w:sz w:val="16"/>
                <w:szCs w:val="16"/>
              </w:rPr>
              <w:t>β</w:t>
            </w:r>
            <w:r w:rsidRPr="00D763C8">
              <w:rPr>
                <w:rFonts w:ascii="Gill Sans MT" w:hAnsi="Gill Sans MT" w:cs="Arial"/>
                <w:sz w:val="16"/>
                <w:szCs w:val="16"/>
              </w:rPr>
              <w:t>6</w:t>
            </w:r>
            <w:r>
              <w:rPr>
                <w:rFonts w:ascii="Gill Sans MT" w:hAnsi="Gill Sans MT" w:cs="Arial"/>
                <w:sz w:val="16"/>
                <w:szCs w:val="16"/>
              </w:rPr>
              <w:t xml:space="preserve"> </w:t>
            </w:r>
            <w:r w:rsidRPr="006B1D63">
              <w:rPr>
                <w:rFonts w:ascii="Gill Sans MT" w:hAnsi="Gill Sans MT" w:cs="Arial"/>
                <w:sz w:val="16"/>
                <w:szCs w:val="16"/>
              </w:rPr>
              <w:t>H</w:t>
            </w:r>
            <w:r>
              <w:rPr>
                <w:rFonts w:ascii="Gill Sans MT" w:hAnsi="Gill Sans MT" w:cs="Arial"/>
                <w:sz w:val="16"/>
                <w:szCs w:val="16"/>
              </w:rPr>
              <w:t xml:space="preserve">ELP                        </w:t>
            </w:r>
            <w:r w:rsidRPr="000A2D7B">
              <w:rPr>
                <w:rFonts w:ascii="Gill Sans MT" w:hAnsi="Gill Sans MT" w:cs="Arial"/>
                <w:i/>
                <w:iCs/>
                <w:sz w:val="16"/>
                <w:szCs w:val="16"/>
              </w:rPr>
              <w:t>Equation 2</w:t>
            </w:r>
          </w:p>
          <w:p w:rsidR="00140D8B" w:rsidRPr="006B1D63" w:rsidRDefault="00140D8B" w:rsidP="00417324">
            <w:pPr>
              <w:rPr>
                <w:rFonts w:ascii="Gill Sans MT" w:hAnsi="Gill Sans MT"/>
                <w:sz w:val="16"/>
                <w:szCs w:val="16"/>
              </w:rPr>
            </w:pPr>
          </w:p>
        </w:tc>
      </w:tr>
      <w:tr w:rsidR="00140D8B" w:rsidRPr="006B1D63" w:rsidTr="00417324">
        <w:trPr>
          <w:trHeight w:val="570"/>
        </w:trPr>
        <w:tc>
          <w:tcPr>
            <w:tcW w:w="8428" w:type="dxa"/>
            <w:gridSpan w:val="5"/>
            <w:tcBorders>
              <w:top w:val="nil"/>
              <w:bottom w:val="single" w:sz="12" w:space="0" w:color="008000"/>
            </w:tcBorders>
            <w:shd w:val="clear" w:color="auto" w:fill="auto"/>
          </w:tcPr>
          <w:p w:rsidR="00140D8B" w:rsidRDefault="00140D8B" w:rsidP="00417324">
            <w:pPr>
              <w:rPr>
                <w:rFonts w:ascii="Gill Sans MT" w:hAnsi="Gill Sans MT"/>
                <w:sz w:val="16"/>
                <w:szCs w:val="16"/>
              </w:rPr>
            </w:pPr>
          </w:p>
        </w:tc>
      </w:tr>
    </w:tbl>
    <w:p w:rsidR="00140D8B" w:rsidRPr="00B50CEB" w:rsidRDefault="00140D8B" w:rsidP="00140D8B">
      <w:pPr>
        <w:rPr>
          <w:sz w:val="16"/>
          <w:szCs w:val="16"/>
        </w:rPr>
      </w:pPr>
      <w:r w:rsidRPr="00B50CEB">
        <w:rPr>
          <w:sz w:val="16"/>
          <w:szCs w:val="16"/>
        </w:rPr>
        <w:t xml:space="preserve"> </w:t>
      </w:r>
    </w:p>
    <w:p w:rsidR="00112794" w:rsidRPr="00AD62D3" w:rsidRDefault="00140D8B" w:rsidP="00112794">
      <w:pPr>
        <w:spacing w:line="480" w:lineRule="auto"/>
        <w:rPr>
          <w:b/>
          <w:bCs/>
          <w:sz w:val="20"/>
          <w:szCs w:val="20"/>
        </w:rPr>
      </w:pPr>
      <w:r>
        <w:rPr>
          <w:sz w:val="20"/>
          <w:szCs w:val="20"/>
        </w:rPr>
        <w:br w:type="page"/>
      </w:r>
      <w:r w:rsidR="00112794" w:rsidRPr="00AD62D3">
        <w:rPr>
          <w:b/>
          <w:bCs/>
          <w:sz w:val="20"/>
          <w:szCs w:val="20"/>
        </w:rPr>
        <w:lastRenderedPageBreak/>
        <w:t xml:space="preserve">TABLE </w:t>
      </w:r>
      <w:r w:rsidR="00112794">
        <w:rPr>
          <w:b/>
          <w:bCs/>
          <w:sz w:val="20"/>
          <w:szCs w:val="20"/>
        </w:rPr>
        <w:t>3 –</w:t>
      </w:r>
      <w:r w:rsidR="00112794" w:rsidRPr="00AD62D3">
        <w:rPr>
          <w:b/>
          <w:bCs/>
          <w:sz w:val="20"/>
          <w:szCs w:val="20"/>
        </w:rPr>
        <w:t xml:space="preserve"> </w:t>
      </w:r>
      <w:r w:rsidR="00112794">
        <w:rPr>
          <w:b/>
          <w:bCs/>
          <w:sz w:val="20"/>
          <w:szCs w:val="20"/>
        </w:rPr>
        <w:t xml:space="preserve">Descriptive statistics </w:t>
      </w:r>
      <w:r w:rsidR="00112794" w:rsidRPr="00AD62D3">
        <w:rPr>
          <w:b/>
          <w:bCs/>
          <w:sz w:val="20"/>
          <w:szCs w:val="20"/>
        </w:rPr>
        <w:t>of sample and choices</w:t>
      </w:r>
      <w:r w:rsidR="00112794">
        <w:rPr>
          <w:b/>
          <w:bCs/>
          <w:sz w:val="20"/>
          <w:szCs w:val="20"/>
        </w:rPr>
        <w:t xml:space="preserve"> (n=451)</w:t>
      </w:r>
    </w:p>
    <w:tbl>
      <w:tblPr>
        <w:tblW w:w="0" w:type="auto"/>
        <w:tblBorders>
          <w:top w:val="single" w:sz="12" w:space="0" w:color="008000"/>
          <w:bottom w:val="single" w:sz="12" w:space="0" w:color="008000"/>
        </w:tblBorders>
        <w:tblLook w:val="01E0" w:firstRow="1" w:lastRow="1" w:firstColumn="1" w:lastColumn="1" w:noHBand="0" w:noVBand="0"/>
      </w:tblPr>
      <w:tblGrid>
        <w:gridCol w:w="4968"/>
        <w:gridCol w:w="1777"/>
        <w:gridCol w:w="1777"/>
      </w:tblGrid>
      <w:tr w:rsidR="00112794" w:rsidRPr="00AD62D3" w:rsidTr="00417324">
        <w:tc>
          <w:tcPr>
            <w:tcW w:w="4968" w:type="dxa"/>
            <w:tcBorders>
              <w:top w:val="single" w:sz="12" w:space="0" w:color="008000"/>
              <w:bottom w:val="single" w:sz="6" w:space="0" w:color="008000"/>
            </w:tcBorders>
          </w:tcPr>
          <w:p w:rsidR="00112794" w:rsidRDefault="00112794" w:rsidP="00417324">
            <w:pPr>
              <w:spacing w:line="480" w:lineRule="auto"/>
              <w:rPr>
                <w:rFonts w:ascii="Gill Sans MT" w:hAnsi="Gill Sans MT"/>
                <w:sz w:val="18"/>
                <w:szCs w:val="18"/>
              </w:rPr>
            </w:pPr>
          </w:p>
          <w:p w:rsidR="00112794" w:rsidRPr="00AD62D3" w:rsidRDefault="00112794" w:rsidP="00417324">
            <w:pPr>
              <w:spacing w:line="480" w:lineRule="auto"/>
              <w:jc w:val="right"/>
              <w:rPr>
                <w:rFonts w:ascii="Gill Sans MT" w:hAnsi="Gill Sans MT"/>
                <w:sz w:val="18"/>
                <w:szCs w:val="18"/>
              </w:rPr>
            </w:pPr>
            <w:r>
              <w:rPr>
                <w:rFonts w:ascii="Gill Sans MT" w:hAnsi="Gill Sans MT"/>
                <w:b/>
                <w:bCs/>
                <w:sz w:val="18"/>
                <w:szCs w:val="18"/>
              </w:rPr>
              <w:t>Variable</w:t>
            </w:r>
          </w:p>
        </w:tc>
        <w:tc>
          <w:tcPr>
            <w:tcW w:w="3554" w:type="dxa"/>
            <w:gridSpan w:val="2"/>
            <w:tcBorders>
              <w:top w:val="single" w:sz="12" w:space="0" w:color="008000"/>
              <w:bottom w:val="single" w:sz="6" w:space="0" w:color="008000"/>
            </w:tcBorders>
          </w:tcPr>
          <w:p w:rsidR="00112794" w:rsidRDefault="00112794" w:rsidP="00417324">
            <w:pPr>
              <w:spacing w:line="480" w:lineRule="auto"/>
              <w:rPr>
                <w:rFonts w:ascii="Gill Sans MT" w:hAnsi="Gill Sans MT"/>
                <w:sz w:val="18"/>
                <w:szCs w:val="18"/>
              </w:rPr>
            </w:pPr>
          </w:p>
          <w:p w:rsidR="00112794" w:rsidRPr="00844DE9" w:rsidRDefault="00112794" w:rsidP="00417324">
            <w:pPr>
              <w:spacing w:line="480" w:lineRule="auto"/>
              <w:rPr>
                <w:rFonts w:ascii="Gill Sans MT" w:hAnsi="Gill Sans MT"/>
                <w:b/>
                <w:bCs/>
                <w:sz w:val="18"/>
                <w:szCs w:val="18"/>
              </w:rPr>
            </w:pPr>
            <w:r>
              <w:rPr>
                <w:rFonts w:ascii="Gill Sans MT" w:hAnsi="Gill Sans MT"/>
                <w:b/>
                <w:bCs/>
                <w:sz w:val="18"/>
                <w:szCs w:val="18"/>
              </w:rPr>
              <w:t xml:space="preserve">     </w:t>
            </w:r>
            <w:r w:rsidRPr="00844DE9">
              <w:rPr>
                <w:rFonts w:ascii="Gill Sans MT" w:hAnsi="Gill Sans MT"/>
                <w:b/>
                <w:bCs/>
                <w:sz w:val="18"/>
                <w:szCs w:val="18"/>
              </w:rPr>
              <w:t>Freq</w:t>
            </w:r>
            <w:r>
              <w:rPr>
                <w:rFonts w:ascii="Gill Sans MT" w:hAnsi="Gill Sans MT"/>
                <w:b/>
                <w:bCs/>
                <w:sz w:val="18"/>
                <w:szCs w:val="18"/>
              </w:rPr>
              <w:t xml:space="preserve">uency             </w:t>
            </w:r>
            <w:r w:rsidRPr="00844DE9">
              <w:rPr>
                <w:rFonts w:ascii="Gill Sans MT" w:hAnsi="Gill Sans MT"/>
                <w:b/>
                <w:bCs/>
                <w:sz w:val="18"/>
                <w:szCs w:val="18"/>
              </w:rPr>
              <w:t>%</w:t>
            </w:r>
          </w:p>
        </w:tc>
      </w:tr>
      <w:tr w:rsidR="00112794" w:rsidRPr="00AD62D3" w:rsidTr="00417324">
        <w:tc>
          <w:tcPr>
            <w:tcW w:w="4968" w:type="dxa"/>
          </w:tcPr>
          <w:p w:rsidR="00112794" w:rsidRDefault="00112794" w:rsidP="00417324">
            <w:pPr>
              <w:spacing w:line="480" w:lineRule="auto"/>
              <w:jc w:val="right"/>
              <w:rPr>
                <w:rFonts w:ascii="Gill Sans MT" w:hAnsi="Gill Sans MT"/>
                <w:bCs/>
                <w:sz w:val="18"/>
                <w:szCs w:val="18"/>
              </w:rPr>
            </w:pPr>
          </w:p>
          <w:p w:rsidR="00112794" w:rsidRPr="00AD62D3" w:rsidRDefault="00112794" w:rsidP="00417324">
            <w:pPr>
              <w:spacing w:line="480" w:lineRule="auto"/>
              <w:jc w:val="right"/>
              <w:rPr>
                <w:rFonts w:ascii="Gill Sans MT" w:hAnsi="Gill Sans MT"/>
                <w:bCs/>
                <w:sz w:val="18"/>
                <w:szCs w:val="18"/>
              </w:rPr>
            </w:pPr>
            <w:r>
              <w:rPr>
                <w:rFonts w:ascii="Gill Sans MT" w:hAnsi="Gill Sans MT"/>
                <w:bCs/>
                <w:sz w:val="18"/>
                <w:szCs w:val="18"/>
              </w:rPr>
              <w:t xml:space="preserve">Gender </w:t>
            </w:r>
            <w:r w:rsidRPr="00AD62D3">
              <w:rPr>
                <w:rFonts w:ascii="Gill Sans MT" w:hAnsi="Gill Sans MT"/>
                <w:bCs/>
                <w:sz w:val="18"/>
                <w:szCs w:val="18"/>
              </w:rPr>
              <w:t>(female)</w:t>
            </w:r>
          </w:p>
        </w:tc>
        <w:tc>
          <w:tcPr>
            <w:tcW w:w="1777" w:type="dxa"/>
          </w:tcPr>
          <w:p w:rsidR="00112794" w:rsidRDefault="00112794" w:rsidP="00417324">
            <w:pPr>
              <w:spacing w:line="480" w:lineRule="auto"/>
              <w:jc w:val="center"/>
              <w:rPr>
                <w:rFonts w:ascii="Gill Sans MT" w:hAnsi="Gill Sans MT"/>
                <w:sz w:val="18"/>
                <w:szCs w:val="18"/>
              </w:rPr>
            </w:pPr>
          </w:p>
          <w:p w:rsidR="00112794" w:rsidRPr="00AD62D3" w:rsidRDefault="00112794" w:rsidP="00417324">
            <w:pPr>
              <w:spacing w:line="480" w:lineRule="auto"/>
              <w:jc w:val="center"/>
              <w:rPr>
                <w:rFonts w:ascii="Gill Sans MT" w:hAnsi="Gill Sans MT"/>
                <w:sz w:val="18"/>
                <w:szCs w:val="18"/>
              </w:rPr>
            </w:pPr>
            <w:r w:rsidRPr="00AD62D3">
              <w:rPr>
                <w:rFonts w:ascii="Gill Sans MT" w:hAnsi="Gill Sans MT"/>
                <w:sz w:val="18"/>
                <w:szCs w:val="18"/>
              </w:rPr>
              <w:t>217</w:t>
            </w:r>
          </w:p>
        </w:tc>
        <w:tc>
          <w:tcPr>
            <w:tcW w:w="1777" w:type="dxa"/>
          </w:tcPr>
          <w:p w:rsidR="00112794" w:rsidRDefault="00112794" w:rsidP="00417324">
            <w:pPr>
              <w:spacing w:line="480" w:lineRule="auto"/>
              <w:rPr>
                <w:rFonts w:ascii="Gill Sans MT" w:hAnsi="Gill Sans MT"/>
                <w:sz w:val="18"/>
                <w:szCs w:val="18"/>
              </w:rPr>
            </w:pPr>
          </w:p>
          <w:p w:rsidR="00112794" w:rsidRPr="00AD62D3" w:rsidRDefault="00112794" w:rsidP="00417324">
            <w:pPr>
              <w:spacing w:line="480" w:lineRule="auto"/>
              <w:rPr>
                <w:rFonts w:ascii="Gill Sans MT" w:hAnsi="Gill Sans MT"/>
                <w:sz w:val="18"/>
                <w:szCs w:val="18"/>
              </w:rPr>
            </w:pPr>
            <w:r w:rsidRPr="00AD62D3">
              <w:rPr>
                <w:rFonts w:ascii="Gill Sans MT" w:hAnsi="Gill Sans MT"/>
                <w:sz w:val="18"/>
                <w:szCs w:val="18"/>
              </w:rPr>
              <w:t>51.9</w:t>
            </w:r>
          </w:p>
        </w:tc>
      </w:tr>
      <w:tr w:rsidR="00112794" w:rsidRPr="00AD62D3" w:rsidTr="00417324">
        <w:tc>
          <w:tcPr>
            <w:tcW w:w="4968" w:type="dxa"/>
          </w:tcPr>
          <w:p w:rsidR="00112794" w:rsidRPr="00AD62D3" w:rsidRDefault="00112794" w:rsidP="00417324">
            <w:pPr>
              <w:spacing w:line="480" w:lineRule="auto"/>
              <w:jc w:val="right"/>
              <w:rPr>
                <w:rFonts w:ascii="Gill Sans MT" w:hAnsi="Gill Sans MT"/>
                <w:bCs/>
                <w:sz w:val="18"/>
                <w:szCs w:val="18"/>
              </w:rPr>
            </w:pPr>
            <w:r w:rsidRPr="00AD62D3">
              <w:rPr>
                <w:rFonts w:ascii="Gill Sans MT" w:hAnsi="Gill Sans MT"/>
                <w:bCs/>
                <w:sz w:val="18"/>
                <w:szCs w:val="18"/>
              </w:rPr>
              <w:t>Age [Median</w:t>
            </w:r>
            <w:r>
              <w:rPr>
                <w:rFonts w:ascii="Gill Sans MT" w:hAnsi="Gill Sans MT"/>
                <w:bCs/>
                <w:sz w:val="18"/>
                <w:szCs w:val="18"/>
              </w:rPr>
              <w:t>]</w:t>
            </w:r>
            <w:r w:rsidRPr="00AD62D3">
              <w:rPr>
                <w:rFonts w:ascii="Gill Sans MT" w:hAnsi="Gill Sans MT"/>
                <w:bCs/>
                <w:sz w:val="18"/>
                <w:szCs w:val="18"/>
              </w:rPr>
              <w:t xml:space="preserve"> (IQR*)</w:t>
            </w:r>
          </w:p>
        </w:tc>
        <w:tc>
          <w:tcPr>
            <w:tcW w:w="1777" w:type="dxa"/>
          </w:tcPr>
          <w:p w:rsidR="00112794" w:rsidRPr="00AD62D3" w:rsidRDefault="00112794" w:rsidP="00417324">
            <w:pPr>
              <w:spacing w:line="480" w:lineRule="auto"/>
              <w:jc w:val="center"/>
              <w:rPr>
                <w:rFonts w:ascii="Gill Sans MT" w:hAnsi="Gill Sans MT"/>
                <w:sz w:val="18"/>
                <w:szCs w:val="18"/>
              </w:rPr>
            </w:pPr>
            <w:r w:rsidRPr="00AD62D3">
              <w:rPr>
                <w:rFonts w:ascii="Gill Sans MT" w:hAnsi="Gill Sans MT"/>
                <w:sz w:val="18"/>
                <w:szCs w:val="18"/>
              </w:rPr>
              <w:t>48</w:t>
            </w:r>
          </w:p>
        </w:tc>
        <w:tc>
          <w:tcPr>
            <w:tcW w:w="1777" w:type="dxa"/>
          </w:tcPr>
          <w:p w:rsidR="00112794" w:rsidRPr="00AD62D3" w:rsidRDefault="00112794" w:rsidP="00417324">
            <w:pPr>
              <w:spacing w:line="480" w:lineRule="auto"/>
              <w:rPr>
                <w:rFonts w:ascii="Gill Sans MT" w:hAnsi="Gill Sans MT"/>
                <w:sz w:val="18"/>
                <w:szCs w:val="18"/>
              </w:rPr>
            </w:pPr>
            <w:r>
              <w:rPr>
                <w:rFonts w:ascii="Gill Sans MT" w:hAnsi="Gill Sans MT"/>
                <w:sz w:val="18"/>
                <w:szCs w:val="18"/>
              </w:rPr>
              <w:t>(</w:t>
            </w:r>
            <w:r w:rsidRPr="00AD62D3">
              <w:rPr>
                <w:rFonts w:ascii="Gill Sans MT" w:hAnsi="Gill Sans MT"/>
                <w:sz w:val="18"/>
                <w:szCs w:val="18"/>
              </w:rPr>
              <w:t>35-62</w:t>
            </w:r>
            <w:r>
              <w:rPr>
                <w:rFonts w:ascii="Gill Sans MT" w:hAnsi="Gill Sans MT"/>
                <w:sz w:val="18"/>
                <w:szCs w:val="18"/>
              </w:rPr>
              <w:t>)</w:t>
            </w:r>
          </w:p>
        </w:tc>
      </w:tr>
      <w:tr w:rsidR="00112794" w:rsidRPr="00AD62D3" w:rsidTr="00417324">
        <w:tc>
          <w:tcPr>
            <w:tcW w:w="4968" w:type="dxa"/>
          </w:tcPr>
          <w:p w:rsidR="00112794" w:rsidRPr="00AD62D3" w:rsidRDefault="00112794" w:rsidP="00417324">
            <w:pPr>
              <w:spacing w:line="480" w:lineRule="auto"/>
              <w:jc w:val="right"/>
              <w:rPr>
                <w:rFonts w:ascii="Gill Sans MT" w:hAnsi="Gill Sans MT"/>
                <w:bCs/>
                <w:sz w:val="18"/>
                <w:szCs w:val="18"/>
              </w:rPr>
            </w:pPr>
            <w:r w:rsidRPr="00AD62D3">
              <w:rPr>
                <w:rFonts w:ascii="Gill Sans MT" w:hAnsi="Gill Sans MT"/>
                <w:bCs/>
                <w:sz w:val="18"/>
                <w:szCs w:val="18"/>
              </w:rPr>
              <w:t>Lives with a chronic disease</w:t>
            </w:r>
          </w:p>
        </w:tc>
        <w:tc>
          <w:tcPr>
            <w:tcW w:w="1777" w:type="dxa"/>
          </w:tcPr>
          <w:p w:rsidR="00112794" w:rsidRPr="00AD62D3" w:rsidRDefault="00112794" w:rsidP="00417324">
            <w:pPr>
              <w:spacing w:line="480" w:lineRule="auto"/>
              <w:jc w:val="center"/>
              <w:rPr>
                <w:rFonts w:ascii="Gill Sans MT" w:hAnsi="Gill Sans MT"/>
                <w:sz w:val="18"/>
                <w:szCs w:val="18"/>
              </w:rPr>
            </w:pPr>
            <w:r w:rsidRPr="00AD62D3">
              <w:rPr>
                <w:rFonts w:ascii="Gill Sans MT" w:hAnsi="Gill Sans MT"/>
                <w:sz w:val="18"/>
                <w:szCs w:val="18"/>
              </w:rPr>
              <w:t>181</w:t>
            </w:r>
          </w:p>
        </w:tc>
        <w:tc>
          <w:tcPr>
            <w:tcW w:w="1777" w:type="dxa"/>
          </w:tcPr>
          <w:p w:rsidR="00112794" w:rsidRPr="00AD62D3" w:rsidRDefault="00112794" w:rsidP="00417324">
            <w:pPr>
              <w:spacing w:line="480" w:lineRule="auto"/>
              <w:rPr>
                <w:rFonts w:ascii="Gill Sans MT" w:hAnsi="Gill Sans MT"/>
                <w:sz w:val="18"/>
                <w:szCs w:val="18"/>
              </w:rPr>
            </w:pPr>
            <w:r w:rsidRPr="00AD62D3">
              <w:rPr>
                <w:rFonts w:ascii="Gill Sans MT" w:hAnsi="Gill Sans MT"/>
                <w:sz w:val="18"/>
                <w:szCs w:val="18"/>
              </w:rPr>
              <w:t>40.3</w:t>
            </w:r>
          </w:p>
        </w:tc>
      </w:tr>
      <w:tr w:rsidR="00112794" w:rsidRPr="00AD62D3" w:rsidTr="00417324">
        <w:tc>
          <w:tcPr>
            <w:tcW w:w="4968" w:type="dxa"/>
          </w:tcPr>
          <w:p w:rsidR="00112794" w:rsidRDefault="00112794" w:rsidP="00417324">
            <w:pPr>
              <w:jc w:val="right"/>
              <w:rPr>
                <w:rFonts w:ascii="Gill Sans MT" w:hAnsi="Gill Sans MT"/>
                <w:bCs/>
                <w:sz w:val="18"/>
                <w:szCs w:val="18"/>
              </w:rPr>
            </w:pPr>
            <w:r w:rsidRPr="00AD62D3">
              <w:rPr>
                <w:rFonts w:ascii="Gill Sans MT" w:hAnsi="Gill Sans MT"/>
                <w:bCs/>
                <w:sz w:val="18"/>
                <w:szCs w:val="18"/>
              </w:rPr>
              <w:t>Health today:</w:t>
            </w:r>
          </w:p>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Very good</w:t>
            </w:r>
          </w:p>
        </w:tc>
        <w:tc>
          <w:tcPr>
            <w:tcW w:w="1777" w:type="dxa"/>
          </w:tcPr>
          <w:p w:rsidR="00112794" w:rsidRDefault="00112794" w:rsidP="00417324">
            <w:pPr>
              <w:jc w:val="center"/>
              <w:rPr>
                <w:rFonts w:ascii="Gill Sans MT" w:hAnsi="Gill Sans MT"/>
                <w:sz w:val="18"/>
                <w:szCs w:val="18"/>
              </w:rPr>
            </w:pPr>
          </w:p>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50</w:t>
            </w:r>
          </w:p>
        </w:tc>
        <w:tc>
          <w:tcPr>
            <w:tcW w:w="1777" w:type="dxa"/>
          </w:tcPr>
          <w:p w:rsidR="00112794" w:rsidRDefault="00112794" w:rsidP="00417324">
            <w:pPr>
              <w:jc w:val="center"/>
              <w:rPr>
                <w:rFonts w:ascii="Gill Sans MT" w:hAnsi="Gill Sans MT"/>
                <w:sz w:val="18"/>
                <w:szCs w:val="18"/>
              </w:rPr>
            </w:pPr>
          </w:p>
          <w:p w:rsidR="00112794" w:rsidRPr="00AD62D3" w:rsidRDefault="00112794" w:rsidP="00417324">
            <w:pPr>
              <w:rPr>
                <w:rFonts w:ascii="Gill Sans MT" w:hAnsi="Gill Sans MT"/>
                <w:sz w:val="18"/>
                <w:szCs w:val="18"/>
              </w:rPr>
            </w:pPr>
            <w:r w:rsidRPr="00AD62D3">
              <w:rPr>
                <w:rFonts w:ascii="Gill Sans MT" w:hAnsi="Gill Sans MT"/>
                <w:sz w:val="18"/>
                <w:szCs w:val="18"/>
              </w:rPr>
              <w:t>11.2</w:t>
            </w:r>
          </w:p>
        </w:tc>
      </w:tr>
      <w:tr w:rsidR="00112794" w:rsidRPr="00AD62D3" w:rsidTr="00417324">
        <w:tc>
          <w:tcPr>
            <w:tcW w:w="4968" w:type="dxa"/>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Good</w:t>
            </w:r>
          </w:p>
        </w:tc>
        <w:tc>
          <w:tcPr>
            <w:tcW w:w="1777" w:type="dxa"/>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137</w:t>
            </w:r>
          </w:p>
        </w:tc>
        <w:tc>
          <w:tcPr>
            <w:tcW w:w="1777" w:type="dxa"/>
          </w:tcPr>
          <w:p w:rsidR="00112794" w:rsidRPr="00AD62D3" w:rsidRDefault="00112794" w:rsidP="00417324">
            <w:pPr>
              <w:rPr>
                <w:rFonts w:ascii="Gill Sans MT" w:hAnsi="Gill Sans MT"/>
                <w:sz w:val="18"/>
                <w:szCs w:val="18"/>
              </w:rPr>
            </w:pPr>
            <w:r w:rsidRPr="00AD62D3">
              <w:rPr>
                <w:rFonts w:ascii="Gill Sans MT" w:hAnsi="Gill Sans MT"/>
                <w:sz w:val="18"/>
                <w:szCs w:val="18"/>
              </w:rPr>
              <w:t>30.7</w:t>
            </w:r>
          </w:p>
        </w:tc>
      </w:tr>
      <w:tr w:rsidR="00112794" w:rsidRPr="00AD62D3" w:rsidTr="00417324">
        <w:tc>
          <w:tcPr>
            <w:tcW w:w="4968" w:type="dxa"/>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Neither good nor poor</w:t>
            </w:r>
          </w:p>
        </w:tc>
        <w:tc>
          <w:tcPr>
            <w:tcW w:w="1777" w:type="dxa"/>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118</w:t>
            </w:r>
          </w:p>
        </w:tc>
        <w:tc>
          <w:tcPr>
            <w:tcW w:w="1777" w:type="dxa"/>
          </w:tcPr>
          <w:p w:rsidR="00112794" w:rsidRPr="00AD62D3" w:rsidRDefault="00112794" w:rsidP="00417324">
            <w:pPr>
              <w:rPr>
                <w:rFonts w:ascii="Gill Sans MT" w:hAnsi="Gill Sans MT"/>
                <w:sz w:val="18"/>
                <w:szCs w:val="18"/>
              </w:rPr>
            </w:pPr>
            <w:r w:rsidRPr="00AD62D3">
              <w:rPr>
                <w:rFonts w:ascii="Gill Sans MT" w:hAnsi="Gill Sans MT"/>
                <w:sz w:val="18"/>
                <w:szCs w:val="18"/>
              </w:rPr>
              <w:t>26.5</w:t>
            </w:r>
          </w:p>
        </w:tc>
      </w:tr>
      <w:tr w:rsidR="00112794" w:rsidRPr="00AD62D3" w:rsidTr="00417324">
        <w:tc>
          <w:tcPr>
            <w:tcW w:w="4968" w:type="dxa"/>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Poor</w:t>
            </w:r>
          </w:p>
        </w:tc>
        <w:tc>
          <w:tcPr>
            <w:tcW w:w="1777" w:type="dxa"/>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121</w:t>
            </w:r>
          </w:p>
        </w:tc>
        <w:tc>
          <w:tcPr>
            <w:tcW w:w="1777" w:type="dxa"/>
          </w:tcPr>
          <w:p w:rsidR="00112794" w:rsidRPr="00AD62D3" w:rsidRDefault="00112794" w:rsidP="00417324">
            <w:pPr>
              <w:rPr>
                <w:rFonts w:ascii="Gill Sans MT" w:hAnsi="Gill Sans MT"/>
                <w:sz w:val="18"/>
                <w:szCs w:val="18"/>
              </w:rPr>
            </w:pPr>
            <w:r w:rsidRPr="00AD62D3">
              <w:rPr>
                <w:rFonts w:ascii="Gill Sans MT" w:hAnsi="Gill Sans MT"/>
                <w:sz w:val="18"/>
                <w:szCs w:val="18"/>
              </w:rPr>
              <w:t>27.1</w:t>
            </w:r>
          </w:p>
        </w:tc>
      </w:tr>
      <w:tr w:rsidR="00112794" w:rsidRPr="00AD62D3" w:rsidTr="00417324">
        <w:tc>
          <w:tcPr>
            <w:tcW w:w="4968" w:type="dxa"/>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Very poor</w:t>
            </w:r>
          </w:p>
        </w:tc>
        <w:tc>
          <w:tcPr>
            <w:tcW w:w="1777" w:type="dxa"/>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20</w:t>
            </w:r>
          </w:p>
        </w:tc>
        <w:tc>
          <w:tcPr>
            <w:tcW w:w="1777" w:type="dxa"/>
          </w:tcPr>
          <w:p w:rsidR="00112794" w:rsidRPr="00AD62D3" w:rsidRDefault="00112794" w:rsidP="00417324">
            <w:pPr>
              <w:rPr>
                <w:rFonts w:ascii="Gill Sans MT" w:hAnsi="Gill Sans MT"/>
                <w:sz w:val="18"/>
                <w:szCs w:val="18"/>
              </w:rPr>
            </w:pPr>
            <w:r w:rsidRPr="00AD62D3">
              <w:rPr>
                <w:rFonts w:ascii="Gill Sans MT" w:hAnsi="Gill Sans MT"/>
                <w:sz w:val="18"/>
                <w:szCs w:val="18"/>
              </w:rPr>
              <w:t>4.5</w:t>
            </w:r>
          </w:p>
        </w:tc>
      </w:tr>
      <w:tr w:rsidR="00112794" w:rsidRPr="00AD62D3" w:rsidTr="00417324">
        <w:tc>
          <w:tcPr>
            <w:tcW w:w="4968" w:type="dxa"/>
          </w:tcPr>
          <w:p w:rsidR="00112794" w:rsidRDefault="00112794" w:rsidP="00417324">
            <w:pPr>
              <w:spacing w:line="480" w:lineRule="auto"/>
              <w:jc w:val="right"/>
              <w:rPr>
                <w:rFonts w:ascii="Gill Sans MT" w:hAnsi="Gill Sans MT"/>
                <w:bCs/>
                <w:sz w:val="18"/>
                <w:szCs w:val="18"/>
              </w:rPr>
            </w:pPr>
          </w:p>
          <w:p w:rsidR="00112794" w:rsidRPr="00AD62D3" w:rsidRDefault="00112794" w:rsidP="00417324">
            <w:pPr>
              <w:spacing w:line="480" w:lineRule="auto"/>
              <w:jc w:val="right"/>
              <w:rPr>
                <w:rFonts w:ascii="Gill Sans MT" w:hAnsi="Gill Sans MT"/>
                <w:bCs/>
                <w:sz w:val="18"/>
                <w:szCs w:val="18"/>
              </w:rPr>
            </w:pPr>
            <w:r w:rsidRPr="00AD62D3">
              <w:rPr>
                <w:rFonts w:ascii="Gill Sans MT" w:hAnsi="Gill Sans MT"/>
                <w:bCs/>
                <w:sz w:val="18"/>
                <w:szCs w:val="18"/>
              </w:rPr>
              <w:t>Usually pays for NHS prescription</w:t>
            </w:r>
          </w:p>
        </w:tc>
        <w:tc>
          <w:tcPr>
            <w:tcW w:w="1777" w:type="dxa"/>
          </w:tcPr>
          <w:p w:rsidR="00112794" w:rsidRDefault="00112794" w:rsidP="00417324">
            <w:pPr>
              <w:spacing w:line="480" w:lineRule="auto"/>
              <w:jc w:val="center"/>
              <w:rPr>
                <w:rFonts w:ascii="Gill Sans MT" w:hAnsi="Gill Sans MT"/>
                <w:sz w:val="18"/>
                <w:szCs w:val="18"/>
              </w:rPr>
            </w:pPr>
          </w:p>
          <w:p w:rsidR="00112794" w:rsidRPr="00AD62D3" w:rsidRDefault="00112794" w:rsidP="00417324">
            <w:pPr>
              <w:spacing w:line="480" w:lineRule="auto"/>
              <w:jc w:val="center"/>
              <w:rPr>
                <w:rFonts w:ascii="Gill Sans MT" w:hAnsi="Gill Sans MT"/>
                <w:sz w:val="18"/>
                <w:szCs w:val="18"/>
              </w:rPr>
            </w:pPr>
            <w:r w:rsidRPr="00AD62D3">
              <w:rPr>
                <w:rFonts w:ascii="Gill Sans MT" w:hAnsi="Gill Sans MT"/>
                <w:sz w:val="18"/>
                <w:szCs w:val="18"/>
              </w:rPr>
              <w:t>289</w:t>
            </w:r>
          </w:p>
        </w:tc>
        <w:tc>
          <w:tcPr>
            <w:tcW w:w="1777" w:type="dxa"/>
          </w:tcPr>
          <w:p w:rsidR="00112794" w:rsidRDefault="00112794" w:rsidP="00417324">
            <w:pPr>
              <w:spacing w:line="480" w:lineRule="auto"/>
              <w:jc w:val="center"/>
              <w:rPr>
                <w:rFonts w:ascii="Gill Sans MT" w:hAnsi="Gill Sans MT"/>
                <w:sz w:val="18"/>
                <w:szCs w:val="18"/>
              </w:rPr>
            </w:pPr>
          </w:p>
          <w:p w:rsidR="00112794" w:rsidRPr="00AD62D3" w:rsidRDefault="00112794" w:rsidP="00417324">
            <w:pPr>
              <w:spacing w:line="480" w:lineRule="auto"/>
              <w:rPr>
                <w:rFonts w:ascii="Gill Sans MT" w:hAnsi="Gill Sans MT"/>
                <w:sz w:val="18"/>
                <w:szCs w:val="18"/>
              </w:rPr>
            </w:pPr>
            <w:r w:rsidRPr="00AD62D3">
              <w:rPr>
                <w:rFonts w:ascii="Gill Sans MT" w:hAnsi="Gill Sans MT"/>
                <w:sz w:val="18"/>
                <w:szCs w:val="18"/>
              </w:rPr>
              <w:t>72.3</w:t>
            </w:r>
          </w:p>
        </w:tc>
      </w:tr>
      <w:tr w:rsidR="00112794" w:rsidRPr="00AD62D3" w:rsidTr="00417324">
        <w:tc>
          <w:tcPr>
            <w:tcW w:w="4968" w:type="dxa"/>
          </w:tcPr>
          <w:p w:rsidR="00112794" w:rsidRDefault="00112794" w:rsidP="00417324">
            <w:pPr>
              <w:jc w:val="right"/>
              <w:rPr>
                <w:rFonts w:ascii="Gill Sans MT" w:hAnsi="Gill Sans MT"/>
                <w:bCs/>
                <w:sz w:val="18"/>
                <w:szCs w:val="18"/>
              </w:rPr>
            </w:pPr>
            <w:r w:rsidRPr="00AD62D3">
              <w:rPr>
                <w:rFonts w:ascii="Gill Sans MT" w:hAnsi="Gill Sans MT"/>
                <w:bCs/>
                <w:sz w:val="18"/>
                <w:szCs w:val="18"/>
              </w:rPr>
              <w:t>Income status</w:t>
            </w:r>
          </w:p>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Up to £20,000</w:t>
            </w:r>
          </w:p>
        </w:tc>
        <w:tc>
          <w:tcPr>
            <w:tcW w:w="1777" w:type="dxa"/>
          </w:tcPr>
          <w:p w:rsidR="00112794" w:rsidRDefault="00112794" w:rsidP="00417324">
            <w:pPr>
              <w:jc w:val="center"/>
              <w:rPr>
                <w:rFonts w:ascii="Gill Sans MT" w:hAnsi="Gill Sans MT"/>
                <w:sz w:val="18"/>
                <w:szCs w:val="18"/>
              </w:rPr>
            </w:pPr>
          </w:p>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119</w:t>
            </w:r>
          </w:p>
        </w:tc>
        <w:tc>
          <w:tcPr>
            <w:tcW w:w="1777" w:type="dxa"/>
          </w:tcPr>
          <w:p w:rsidR="00112794" w:rsidRDefault="00112794" w:rsidP="00417324">
            <w:pPr>
              <w:jc w:val="center"/>
              <w:rPr>
                <w:rFonts w:ascii="Gill Sans MT" w:hAnsi="Gill Sans MT"/>
                <w:sz w:val="18"/>
                <w:szCs w:val="18"/>
              </w:rPr>
            </w:pPr>
          </w:p>
          <w:p w:rsidR="00112794" w:rsidRPr="00AD62D3" w:rsidRDefault="00112794" w:rsidP="00417324">
            <w:pPr>
              <w:rPr>
                <w:rFonts w:ascii="Gill Sans MT" w:hAnsi="Gill Sans MT"/>
                <w:sz w:val="18"/>
                <w:szCs w:val="18"/>
              </w:rPr>
            </w:pPr>
            <w:r w:rsidRPr="00AD62D3">
              <w:rPr>
                <w:rFonts w:ascii="Gill Sans MT" w:hAnsi="Gill Sans MT"/>
                <w:sz w:val="18"/>
                <w:szCs w:val="18"/>
              </w:rPr>
              <w:t>28.2</w:t>
            </w:r>
          </w:p>
        </w:tc>
      </w:tr>
      <w:tr w:rsidR="00112794" w:rsidRPr="00AD62D3" w:rsidTr="00417324">
        <w:tc>
          <w:tcPr>
            <w:tcW w:w="4968" w:type="dxa"/>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£21,000 - £40,000</w:t>
            </w:r>
          </w:p>
        </w:tc>
        <w:tc>
          <w:tcPr>
            <w:tcW w:w="1777" w:type="dxa"/>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165</w:t>
            </w:r>
          </w:p>
        </w:tc>
        <w:tc>
          <w:tcPr>
            <w:tcW w:w="1777" w:type="dxa"/>
          </w:tcPr>
          <w:p w:rsidR="00112794" w:rsidRPr="00AD62D3" w:rsidRDefault="00112794" w:rsidP="00417324">
            <w:pPr>
              <w:rPr>
                <w:rFonts w:ascii="Gill Sans MT" w:hAnsi="Gill Sans MT"/>
                <w:sz w:val="18"/>
                <w:szCs w:val="18"/>
              </w:rPr>
            </w:pPr>
            <w:r w:rsidRPr="00AD62D3">
              <w:rPr>
                <w:rFonts w:ascii="Gill Sans MT" w:hAnsi="Gill Sans MT"/>
                <w:sz w:val="18"/>
                <w:szCs w:val="18"/>
              </w:rPr>
              <w:t>39.1</w:t>
            </w:r>
          </w:p>
        </w:tc>
      </w:tr>
      <w:tr w:rsidR="00112794" w:rsidRPr="00AD62D3" w:rsidTr="00417324">
        <w:tc>
          <w:tcPr>
            <w:tcW w:w="4968" w:type="dxa"/>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More than £40,000</w:t>
            </w:r>
          </w:p>
        </w:tc>
        <w:tc>
          <w:tcPr>
            <w:tcW w:w="1777" w:type="dxa"/>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138</w:t>
            </w:r>
          </w:p>
        </w:tc>
        <w:tc>
          <w:tcPr>
            <w:tcW w:w="1777" w:type="dxa"/>
          </w:tcPr>
          <w:p w:rsidR="00112794" w:rsidRPr="00AD62D3" w:rsidRDefault="00112794" w:rsidP="00417324">
            <w:pPr>
              <w:rPr>
                <w:rFonts w:ascii="Gill Sans MT" w:hAnsi="Gill Sans MT"/>
                <w:sz w:val="18"/>
                <w:szCs w:val="18"/>
              </w:rPr>
            </w:pPr>
            <w:r w:rsidRPr="00AD62D3">
              <w:rPr>
                <w:rFonts w:ascii="Gill Sans MT" w:hAnsi="Gill Sans MT"/>
                <w:sz w:val="18"/>
                <w:szCs w:val="18"/>
              </w:rPr>
              <w:t>32.7</w:t>
            </w:r>
          </w:p>
        </w:tc>
      </w:tr>
      <w:tr w:rsidR="00112794" w:rsidRPr="00AD62D3" w:rsidTr="00417324">
        <w:tc>
          <w:tcPr>
            <w:tcW w:w="4968" w:type="dxa"/>
          </w:tcPr>
          <w:p w:rsidR="00112794" w:rsidRDefault="00112794" w:rsidP="00417324">
            <w:pPr>
              <w:spacing w:line="480" w:lineRule="auto"/>
              <w:jc w:val="right"/>
              <w:rPr>
                <w:rFonts w:ascii="Gill Sans MT" w:hAnsi="Gill Sans MT"/>
                <w:bCs/>
                <w:sz w:val="18"/>
                <w:szCs w:val="18"/>
              </w:rPr>
            </w:pPr>
          </w:p>
          <w:p w:rsidR="00112794" w:rsidRPr="00AD62D3" w:rsidRDefault="00112794" w:rsidP="00417324">
            <w:pPr>
              <w:spacing w:line="480" w:lineRule="auto"/>
              <w:jc w:val="right"/>
              <w:rPr>
                <w:rFonts w:ascii="Gill Sans MT" w:hAnsi="Gill Sans MT"/>
                <w:bCs/>
                <w:sz w:val="18"/>
                <w:szCs w:val="18"/>
              </w:rPr>
            </w:pPr>
            <w:r w:rsidRPr="00AD62D3">
              <w:rPr>
                <w:rFonts w:ascii="Gill Sans MT" w:hAnsi="Gill Sans MT"/>
                <w:bCs/>
                <w:sz w:val="18"/>
                <w:szCs w:val="18"/>
              </w:rPr>
              <w:t>Expecting a prescription today</w:t>
            </w:r>
          </w:p>
        </w:tc>
        <w:tc>
          <w:tcPr>
            <w:tcW w:w="1777" w:type="dxa"/>
          </w:tcPr>
          <w:p w:rsidR="00112794" w:rsidRDefault="00112794" w:rsidP="00417324">
            <w:pPr>
              <w:spacing w:line="480" w:lineRule="auto"/>
              <w:jc w:val="center"/>
              <w:rPr>
                <w:rFonts w:ascii="Gill Sans MT" w:hAnsi="Gill Sans MT"/>
                <w:sz w:val="18"/>
                <w:szCs w:val="18"/>
              </w:rPr>
            </w:pPr>
          </w:p>
          <w:p w:rsidR="00112794" w:rsidRPr="00AD62D3" w:rsidRDefault="00112794" w:rsidP="00417324">
            <w:pPr>
              <w:spacing w:line="480" w:lineRule="auto"/>
              <w:jc w:val="center"/>
              <w:rPr>
                <w:rFonts w:ascii="Gill Sans MT" w:hAnsi="Gill Sans MT"/>
                <w:sz w:val="18"/>
                <w:szCs w:val="18"/>
              </w:rPr>
            </w:pPr>
            <w:r w:rsidRPr="00AD62D3">
              <w:rPr>
                <w:rFonts w:ascii="Gill Sans MT" w:hAnsi="Gill Sans MT"/>
                <w:sz w:val="18"/>
                <w:szCs w:val="18"/>
              </w:rPr>
              <w:t>250</w:t>
            </w:r>
          </w:p>
        </w:tc>
        <w:tc>
          <w:tcPr>
            <w:tcW w:w="1777" w:type="dxa"/>
          </w:tcPr>
          <w:p w:rsidR="00112794" w:rsidRDefault="00112794" w:rsidP="00417324">
            <w:pPr>
              <w:spacing w:line="480" w:lineRule="auto"/>
              <w:jc w:val="center"/>
              <w:rPr>
                <w:rFonts w:ascii="Gill Sans MT" w:hAnsi="Gill Sans MT"/>
                <w:sz w:val="18"/>
                <w:szCs w:val="18"/>
              </w:rPr>
            </w:pPr>
          </w:p>
          <w:p w:rsidR="00112794" w:rsidRPr="00AD62D3" w:rsidRDefault="00112794" w:rsidP="00417324">
            <w:pPr>
              <w:spacing w:line="480" w:lineRule="auto"/>
              <w:rPr>
                <w:rFonts w:ascii="Gill Sans MT" w:hAnsi="Gill Sans MT"/>
                <w:sz w:val="18"/>
                <w:szCs w:val="18"/>
              </w:rPr>
            </w:pPr>
            <w:r w:rsidRPr="00AD62D3">
              <w:rPr>
                <w:rFonts w:ascii="Gill Sans MT" w:hAnsi="Gill Sans MT"/>
                <w:sz w:val="18"/>
                <w:szCs w:val="18"/>
              </w:rPr>
              <w:t>56.1</w:t>
            </w:r>
          </w:p>
        </w:tc>
      </w:tr>
      <w:tr w:rsidR="00112794" w:rsidRPr="00AD62D3" w:rsidTr="00417324">
        <w:tc>
          <w:tcPr>
            <w:tcW w:w="4968" w:type="dxa"/>
          </w:tcPr>
          <w:p w:rsidR="00112794" w:rsidRPr="00AD62D3" w:rsidRDefault="00112794" w:rsidP="00417324">
            <w:pPr>
              <w:spacing w:line="480" w:lineRule="auto"/>
              <w:jc w:val="right"/>
              <w:rPr>
                <w:rFonts w:ascii="Gill Sans MT" w:hAnsi="Gill Sans MT"/>
                <w:bCs/>
                <w:sz w:val="18"/>
                <w:szCs w:val="18"/>
              </w:rPr>
            </w:pPr>
            <w:r>
              <w:rPr>
                <w:rFonts w:ascii="Gill Sans MT" w:hAnsi="Gill Sans MT"/>
                <w:bCs/>
                <w:sz w:val="18"/>
                <w:szCs w:val="18"/>
              </w:rPr>
              <w:t>E</w:t>
            </w:r>
            <w:r w:rsidRPr="00AD62D3">
              <w:rPr>
                <w:rFonts w:ascii="Gill Sans MT" w:hAnsi="Gill Sans MT"/>
                <w:bCs/>
                <w:sz w:val="18"/>
                <w:szCs w:val="18"/>
              </w:rPr>
              <w:t>xpecting to see nurse today</w:t>
            </w:r>
          </w:p>
        </w:tc>
        <w:tc>
          <w:tcPr>
            <w:tcW w:w="1777" w:type="dxa"/>
            <w:vAlign w:val="center"/>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26</w:t>
            </w:r>
          </w:p>
        </w:tc>
        <w:tc>
          <w:tcPr>
            <w:tcW w:w="1777" w:type="dxa"/>
            <w:vAlign w:val="center"/>
          </w:tcPr>
          <w:p w:rsidR="00112794" w:rsidRPr="00AD62D3" w:rsidRDefault="00112794" w:rsidP="00417324">
            <w:pPr>
              <w:rPr>
                <w:rFonts w:ascii="Gill Sans MT" w:hAnsi="Gill Sans MT"/>
                <w:sz w:val="18"/>
                <w:szCs w:val="18"/>
              </w:rPr>
            </w:pPr>
            <w:r w:rsidRPr="00AD62D3">
              <w:rPr>
                <w:rFonts w:ascii="Gill Sans MT" w:hAnsi="Gill Sans MT"/>
                <w:sz w:val="18"/>
                <w:szCs w:val="18"/>
              </w:rPr>
              <w:t>10.4</w:t>
            </w:r>
          </w:p>
        </w:tc>
      </w:tr>
      <w:tr w:rsidR="00112794" w:rsidRPr="00AD62D3" w:rsidTr="00417324">
        <w:tc>
          <w:tcPr>
            <w:tcW w:w="4968" w:type="dxa"/>
          </w:tcPr>
          <w:p w:rsidR="00112794" w:rsidRPr="00AD62D3" w:rsidRDefault="00112794" w:rsidP="00417324">
            <w:pPr>
              <w:spacing w:line="480" w:lineRule="auto"/>
              <w:jc w:val="right"/>
              <w:rPr>
                <w:rFonts w:ascii="Gill Sans MT" w:hAnsi="Gill Sans MT"/>
                <w:bCs/>
                <w:sz w:val="18"/>
                <w:szCs w:val="18"/>
              </w:rPr>
            </w:pPr>
            <w:r>
              <w:rPr>
                <w:rFonts w:ascii="Gill Sans MT" w:hAnsi="Gill Sans MT"/>
                <w:bCs/>
                <w:sz w:val="18"/>
                <w:szCs w:val="18"/>
              </w:rPr>
              <w:t>P</w:t>
            </w:r>
            <w:r w:rsidRPr="00AD62D3">
              <w:rPr>
                <w:rFonts w:ascii="Gill Sans MT" w:hAnsi="Gill Sans MT"/>
                <w:bCs/>
                <w:sz w:val="18"/>
                <w:szCs w:val="18"/>
              </w:rPr>
              <w:t>ast experience of medicines prescribed by nurse</w:t>
            </w:r>
            <w:r>
              <w:rPr>
                <w:rFonts w:ascii="Gill Sans MT" w:hAnsi="Gill Sans MT"/>
                <w:bCs/>
                <w:sz w:val="18"/>
                <w:szCs w:val="18"/>
              </w:rPr>
              <w:t xml:space="preserve">    </w:t>
            </w:r>
          </w:p>
        </w:tc>
        <w:tc>
          <w:tcPr>
            <w:tcW w:w="1777" w:type="dxa"/>
            <w:vAlign w:val="center"/>
          </w:tcPr>
          <w:p w:rsidR="00112794" w:rsidRPr="00AD62D3" w:rsidRDefault="00112794" w:rsidP="00417324">
            <w:pPr>
              <w:rPr>
                <w:rFonts w:ascii="Gill Sans MT" w:hAnsi="Gill Sans MT"/>
                <w:sz w:val="18"/>
                <w:szCs w:val="18"/>
              </w:rPr>
            </w:pPr>
            <w:r>
              <w:rPr>
                <w:rFonts w:ascii="Gill Sans MT" w:hAnsi="Gill Sans MT"/>
                <w:sz w:val="18"/>
                <w:szCs w:val="18"/>
              </w:rPr>
              <w:t xml:space="preserve">             1</w:t>
            </w:r>
            <w:r w:rsidRPr="00AD62D3">
              <w:rPr>
                <w:rFonts w:ascii="Gill Sans MT" w:hAnsi="Gill Sans MT"/>
                <w:sz w:val="18"/>
                <w:szCs w:val="18"/>
              </w:rPr>
              <w:t>21</w:t>
            </w:r>
          </w:p>
        </w:tc>
        <w:tc>
          <w:tcPr>
            <w:tcW w:w="1777" w:type="dxa"/>
            <w:vAlign w:val="center"/>
          </w:tcPr>
          <w:p w:rsidR="00112794" w:rsidRPr="00AD62D3" w:rsidRDefault="00112794" w:rsidP="00417324">
            <w:pPr>
              <w:rPr>
                <w:rFonts w:ascii="Gill Sans MT" w:hAnsi="Gill Sans MT"/>
                <w:sz w:val="18"/>
                <w:szCs w:val="18"/>
              </w:rPr>
            </w:pPr>
            <w:r w:rsidRPr="00AD62D3">
              <w:rPr>
                <w:rFonts w:ascii="Gill Sans MT" w:hAnsi="Gill Sans MT"/>
                <w:sz w:val="18"/>
                <w:szCs w:val="18"/>
              </w:rPr>
              <w:t>31.3</w:t>
            </w:r>
          </w:p>
        </w:tc>
      </w:tr>
      <w:tr w:rsidR="00112794" w:rsidRPr="00AD62D3" w:rsidTr="00417324">
        <w:tc>
          <w:tcPr>
            <w:tcW w:w="4968" w:type="dxa"/>
          </w:tcPr>
          <w:p w:rsidR="00112794" w:rsidRPr="00AD62D3" w:rsidRDefault="00112794" w:rsidP="00417324">
            <w:pPr>
              <w:spacing w:line="480" w:lineRule="auto"/>
              <w:jc w:val="right"/>
              <w:rPr>
                <w:rFonts w:ascii="Gill Sans MT" w:hAnsi="Gill Sans MT"/>
                <w:bCs/>
                <w:sz w:val="18"/>
                <w:szCs w:val="18"/>
              </w:rPr>
            </w:pPr>
            <w:r w:rsidRPr="00AD62D3">
              <w:rPr>
                <w:rFonts w:ascii="Gill Sans MT" w:hAnsi="Gill Sans MT"/>
                <w:bCs/>
                <w:sz w:val="18"/>
                <w:szCs w:val="18"/>
              </w:rPr>
              <w:t>Passed consistency test</w:t>
            </w:r>
            <w:r w:rsidRPr="00AD62D3">
              <w:rPr>
                <w:rFonts w:ascii="Gill Sans MT" w:hAnsi="Gill Sans MT"/>
                <w:bCs/>
                <w:sz w:val="20"/>
                <w:szCs w:val="20"/>
                <w:vertAlign w:val="superscript"/>
              </w:rPr>
              <w:sym w:font="Wingdings" w:char="F055"/>
            </w:r>
          </w:p>
        </w:tc>
        <w:tc>
          <w:tcPr>
            <w:tcW w:w="1777" w:type="dxa"/>
          </w:tcPr>
          <w:p w:rsidR="00112794" w:rsidRPr="00AD62D3" w:rsidRDefault="00112794" w:rsidP="00417324">
            <w:pPr>
              <w:spacing w:line="480" w:lineRule="auto"/>
              <w:jc w:val="center"/>
              <w:rPr>
                <w:rFonts w:ascii="Gill Sans MT" w:hAnsi="Gill Sans MT"/>
                <w:sz w:val="18"/>
                <w:szCs w:val="18"/>
              </w:rPr>
            </w:pPr>
            <w:r w:rsidRPr="00AD62D3">
              <w:rPr>
                <w:rFonts w:ascii="Gill Sans MT" w:hAnsi="Gill Sans MT"/>
                <w:sz w:val="18"/>
                <w:szCs w:val="18"/>
              </w:rPr>
              <w:t>355</w:t>
            </w:r>
          </w:p>
        </w:tc>
        <w:tc>
          <w:tcPr>
            <w:tcW w:w="1777" w:type="dxa"/>
          </w:tcPr>
          <w:p w:rsidR="00112794" w:rsidRPr="00AD62D3" w:rsidRDefault="00112794" w:rsidP="00417324">
            <w:pPr>
              <w:spacing w:line="480" w:lineRule="auto"/>
              <w:rPr>
                <w:rFonts w:ascii="Gill Sans MT" w:hAnsi="Gill Sans MT"/>
                <w:sz w:val="18"/>
                <w:szCs w:val="18"/>
              </w:rPr>
            </w:pPr>
            <w:r w:rsidRPr="00AD62D3">
              <w:rPr>
                <w:rFonts w:ascii="Gill Sans MT" w:hAnsi="Gill Sans MT"/>
                <w:sz w:val="18"/>
                <w:szCs w:val="18"/>
              </w:rPr>
              <w:t>78.7</w:t>
            </w:r>
          </w:p>
        </w:tc>
      </w:tr>
      <w:tr w:rsidR="00112794" w:rsidRPr="00AD62D3" w:rsidTr="00417324">
        <w:tc>
          <w:tcPr>
            <w:tcW w:w="4968" w:type="dxa"/>
          </w:tcPr>
          <w:p w:rsidR="00112794" w:rsidRDefault="00112794" w:rsidP="00417324">
            <w:pPr>
              <w:spacing w:line="480" w:lineRule="auto"/>
              <w:jc w:val="right"/>
              <w:rPr>
                <w:rFonts w:ascii="Gill Sans MT" w:hAnsi="Gill Sans MT"/>
                <w:b/>
                <w:sz w:val="18"/>
                <w:szCs w:val="18"/>
              </w:rPr>
            </w:pPr>
          </w:p>
          <w:p w:rsidR="00112794" w:rsidRPr="00AD62D3" w:rsidRDefault="00112794" w:rsidP="00417324">
            <w:pPr>
              <w:spacing w:line="480" w:lineRule="auto"/>
              <w:jc w:val="right"/>
              <w:rPr>
                <w:rFonts w:ascii="Gill Sans MT" w:hAnsi="Gill Sans MT"/>
                <w:b/>
                <w:sz w:val="18"/>
                <w:szCs w:val="18"/>
              </w:rPr>
            </w:pPr>
            <w:r>
              <w:rPr>
                <w:rFonts w:ascii="Gill Sans MT" w:hAnsi="Gill Sans MT"/>
                <w:b/>
                <w:sz w:val="18"/>
                <w:szCs w:val="18"/>
              </w:rPr>
              <w:t>Choice</w:t>
            </w:r>
            <w:r w:rsidRPr="0063461D">
              <w:rPr>
                <w:rFonts w:ascii="Gill Sans MT" w:hAnsi="Gill Sans MT"/>
                <w:b/>
                <w:sz w:val="18"/>
                <w:szCs w:val="18"/>
              </w:rPr>
              <w:t>s</w:t>
            </w:r>
          </w:p>
        </w:tc>
        <w:tc>
          <w:tcPr>
            <w:tcW w:w="3554" w:type="dxa"/>
            <w:gridSpan w:val="2"/>
          </w:tcPr>
          <w:p w:rsidR="00112794" w:rsidRDefault="00112794" w:rsidP="00417324">
            <w:pPr>
              <w:spacing w:line="480" w:lineRule="auto"/>
              <w:rPr>
                <w:rFonts w:ascii="Gill Sans MT" w:hAnsi="Gill Sans MT"/>
                <w:bCs/>
                <w:sz w:val="18"/>
                <w:szCs w:val="18"/>
              </w:rPr>
            </w:pPr>
            <w:r>
              <w:rPr>
                <w:rFonts w:ascii="Gill Sans MT" w:hAnsi="Gill Sans MT"/>
                <w:bCs/>
                <w:sz w:val="18"/>
                <w:szCs w:val="18"/>
              </w:rPr>
              <w:t xml:space="preserve">          </w:t>
            </w:r>
          </w:p>
          <w:p w:rsidR="00112794" w:rsidRPr="00AD62D3" w:rsidRDefault="00112794" w:rsidP="00417324">
            <w:pPr>
              <w:spacing w:line="480" w:lineRule="auto"/>
              <w:rPr>
                <w:rFonts w:ascii="Gill Sans MT" w:hAnsi="Gill Sans MT"/>
                <w:bCs/>
                <w:i/>
                <w:iCs/>
                <w:sz w:val="18"/>
                <w:szCs w:val="18"/>
              </w:rPr>
            </w:pPr>
            <w:r>
              <w:rPr>
                <w:rFonts w:ascii="Gill Sans MT" w:hAnsi="Gill Sans MT"/>
                <w:bCs/>
                <w:sz w:val="18"/>
                <w:szCs w:val="18"/>
              </w:rPr>
              <w:t xml:space="preserve">         </w:t>
            </w:r>
            <w:r w:rsidRPr="0063461D">
              <w:rPr>
                <w:rFonts w:ascii="Gill Sans MT" w:hAnsi="Gill Sans MT"/>
                <w:bCs/>
                <w:i/>
                <w:iCs/>
                <w:sz w:val="18"/>
                <w:szCs w:val="18"/>
              </w:rPr>
              <w:t>N=1779</w:t>
            </w:r>
          </w:p>
        </w:tc>
      </w:tr>
      <w:tr w:rsidR="00112794" w:rsidRPr="00AD62D3" w:rsidTr="00417324">
        <w:tc>
          <w:tcPr>
            <w:tcW w:w="4968" w:type="dxa"/>
            <w:tcBorders>
              <w:bottom w:val="nil"/>
            </w:tcBorders>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Prescribing nurse</w:t>
            </w:r>
          </w:p>
        </w:tc>
        <w:tc>
          <w:tcPr>
            <w:tcW w:w="1777" w:type="dxa"/>
            <w:tcBorders>
              <w:bottom w:val="nil"/>
            </w:tcBorders>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722</w:t>
            </w:r>
          </w:p>
        </w:tc>
        <w:tc>
          <w:tcPr>
            <w:tcW w:w="1777" w:type="dxa"/>
            <w:tcBorders>
              <w:bottom w:val="nil"/>
            </w:tcBorders>
          </w:tcPr>
          <w:p w:rsidR="00112794" w:rsidRPr="00AD62D3" w:rsidRDefault="00112794" w:rsidP="00417324">
            <w:pPr>
              <w:rPr>
                <w:rFonts w:ascii="Gill Sans MT" w:hAnsi="Gill Sans MT"/>
                <w:sz w:val="18"/>
                <w:szCs w:val="18"/>
              </w:rPr>
            </w:pPr>
            <w:r w:rsidRPr="00AD62D3">
              <w:rPr>
                <w:rFonts w:ascii="Gill Sans MT" w:hAnsi="Gill Sans MT"/>
                <w:sz w:val="18"/>
                <w:szCs w:val="18"/>
              </w:rPr>
              <w:t>40.8</w:t>
            </w:r>
          </w:p>
        </w:tc>
      </w:tr>
      <w:tr w:rsidR="00112794" w:rsidRPr="00AD62D3" w:rsidTr="00417324">
        <w:tc>
          <w:tcPr>
            <w:tcW w:w="4968" w:type="dxa"/>
            <w:tcBorders>
              <w:top w:val="nil"/>
              <w:bottom w:val="nil"/>
            </w:tcBorders>
          </w:tcPr>
          <w:p w:rsidR="00112794" w:rsidRPr="00AD62D3" w:rsidRDefault="00112794" w:rsidP="00417324">
            <w:pPr>
              <w:jc w:val="right"/>
              <w:rPr>
                <w:rFonts w:ascii="Gill Sans MT" w:hAnsi="Gill Sans MT"/>
                <w:bCs/>
                <w:sz w:val="18"/>
                <w:szCs w:val="18"/>
              </w:rPr>
            </w:pPr>
            <w:r>
              <w:rPr>
                <w:rFonts w:ascii="Gill Sans MT" w:hAnsi="Gill Sans MT"/>
                <w:bCs/>
                <w:sz w:val="18"/>
                <w:szCs w:val="18"/>
              </w:rPr>
              <w:t>O</w:t>
            </w:r>
            <w:r w:rsidRPr="00AD62D3">
              <w:rPr>
                <w:rFonts w:ascii="Gill Sans MT" w:hAnsi="Gill Sans MT"/>
                <w:bCs/>
                <w:sz w:val="18"/>
                <w:szCs w:val="18"/>
              </w:rPr>
              <w:t>wn doctor</w:t>
            </w:r>
          </w:p>
        </w:tc>
        <w:tc>
          <w:tcPr>
            <w:tcW w:w="1777" w:type="dxa"/>
            <w:tcBorders>
              <w:top w:val="nil"/>
              <w:bottom w:val="nil"/>
            </w:tcBorders>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984</w:t>
            </w:r>
          </w:p>
        </w:tc>
        <w:tc>
          <w:tcPr>
            <w:tcW w:w="1777" w:type="dxa"/>
            <w:tcBorders>
              <w:top w:val="nil"/>
              <w:bottom w:val="nil"/>
            </w:tcBorders>
          </w:tcPr>
          <w:p w:rsidR="00112794" w:rsidRPr="00AD62D3" w:rsidRDefault="00112794" w:rsidP="00417324">
            <w:pPr>
              <w:rPr>
                <w:rFonts w:ascii="Gill Sans MT" w:hAnsi="Gill Sans MT"/>
                <w:sz w:val="18"/>
                <w:szCs w:val="18"/>
              </w:rPr>
            </w:pPr>
            <w:r w:rsidRPr="00AD62D3">
              <w:rPr>
                <w:rFonts w:ascii="Gill Sans MT" w:hAnsi="Gill Sans MT"/>
                <w:sz w:val="18"/>
                <w:szCs w:val="18"/>
              </w:rPr>
              <w:t>55.3</w:t>
            </w:r>
          </w:p>
        </w:tc>
      </w:tr>
      <w:tr w:rsidR="00112794" w:rsidRPr="00AD62D3" w:rsidTr="00417324">
        <w:tc>
          <w:tcPr>
            <w:tcW w:w="4968" w:type="dxa"/>
            <w:tcBorders>
              <w:top w:val="nil"/>
              <w:bottom w:val="nil"/>
            </w:tcBorders>
          </w:tcPr>
          <w:p w:rsidR="00112794" w:rsidRPr="00AD62D3" w:rsidRDefault="00112794" w:rsidP="00417324">
            <w:pPr>
              <w:jc w:val="right"/>
              <w:rPr>
                <w:rFonts w:ascii="Gill Sans MT" w:hAnsi="Gill Sans MT"/>
                <w:bCs/>
                <w:sz w:val="18"/>
                <w:szCs w:val="18"/>
              </w:rPr>
            </w:pPr>
            <w:r w:rsidRPr="00AD62D3">
              <w:rPr>
                <w:rFonts w:ascii="Gill Sans MT" w:hAnsi="Gill Sans MT"/>
                <w:bCs/>
                <w:sz w:val="18"/>
                <w:szCs w:val="18"/>
              </w:rPr>
              <w:t>Do nothing</w:t>
            </w:r>
          </w:p>
        </w:tc>
        <w:tc>
          <w:tcPr>
            <w:tcW w:w="1777" w:type="dxa"/>
            <w:tcBorders>
              <w:top w:val="nil"/>
              <w:bottom w:val="nil"/>
            </w:tcBorders>
          </w:tcPr>
          <w:p w:rsidR="00112794" w:rsidRPr="00AD62D3" w:rsidRDefault="00112794" w:rsidP="00417324">
            <w:pPr>
              <w:jc w:val="center"/>
              <w:rPr>
                <w:rFonts w:ascii="Gill Sans MT" w:hAnsi="Gill Sans MT"/>
                <w:sz w:val="18"/>
                <w:szCs w:val="18"/>
              </w:rPr>
            </w:pPr>
            <w:r w:rsidRPr="00AD62D3">
              <w:rPr>
                <w:rFonts w:ascii="Gill Sans MT" w:hAnsi="Gill Sans MT"/>
                <w:sz w:val="18"/>
                <w:szCs w:val="18"/>
              </w:rPr>
              <w:t>34</w:t>
            </w:r>
          </w:p>
        </w:tc>
        <w:tc>
          <w:tcPr>
            <w:tcW w:w="1777" w:type="dxa"/>
            <w:tcBorders>
              <w:top w:val="nil"/>
              <w:bottom w:val="nil"/>
            </w:tcBorders>
          </w:tcPr>
          <w:p w:rsidR="00112794" w:rsidRPr="00AD62D3" w:rsidRDefault="00112794" w:rsidP="00417324">
            <w:pPr>
              <w:rPr>
                <w:rFonts w:ascii="Gill Sans MT" w:hAnsi="Gill Sans MT"/>
                <w:sz w:val="18"/>
                <w:szCs w:val="18"/>
              </w:rPr>
            </w:pPr>
            <w:r w:rsidRPr="00AD62D3">
              <w:rPr>
                <w:rFonts w:ascii="Gill Sans MT" w:hAnsi="Gill Sans MT"/>
                <w:sz w:val="18"/>
                <w:szCs w:val="18"/>
              </w:rPr>
              <w:t>1.9</w:t>
            </w:r>
          </w:p>
        </w:tc>
      </w:tr>
      <w:tr w:rsidR="00112794" w:rsidRPr="00AD62D3" w:rsidTr="00417324">
        <w:tc>
          <w:tcPr>
            <w:tcW w:w="4968" w:type="dxa"/>
            <w:tcBorders>
              <w:top w:val="nil"/>
              <w:bottom w:val="single" w:sz="12" w:space="0" w:color="008000"/>
            </w:tcBorders>
          </w:tcPr>
          <w:p w:rsidR="00112794" w:rsidRPr="00AD62D3" w:rsidRDefault="00112794" w:rsidP="00417324">
            <w:pPr>
              <w:jc w:val="right"/>
              <w:rPr>
                <w:rFonts w:ascii="Gill Sans MT" w:hAnsi="Gill Sans MT"/>
                <w:bCs/>
                <w:sz w:val="18"/>
                <w:szCs w:val="18"/>
              </w:rPr>
            </w:pPr>
          </w:p>
        </w:tc>
        <w:tc>
          <w:tcPr>
            <w:tcW w:w="1777" w:type="dxa"/>
            <w:tcBorders>
              <w:top w:val="nil"/>
              <w:bottom w:val="single" w:sz="12" w:space="0" w:color="008000"/>
            </w:tcBorders>
          </w:tcPr>
          <w:p w:rsidR="00112794" w:rsidRPr="00AD62D3" w:rsidRDefault="00112794" w:rsidP="00417324">
            <w:pPr>
              <w:jc w:val="center"/>
              <w:rPr>
                <w:rFonts w:ascii="Gill Sans MT" w:hAnsi="Gill Sans MT"/>
                <w:sz w:val="18"/>
                <w:szCs w:val="18"/>
              </w:rPr>
            </w:pPr>
          </w:p>
        </w:tc>
        <w:tc>
          <w:tcPr>
            <w:tcW w:w="1777" w:type="dxa"/>
            <w:tcBorders>
              <w:top w:val="nil"/>
              <w:bottom w:val="single" w:sz="12" w:space="0" w:color="008000"/>
            </w:tcBorders>
          </w:tcPr>
          <w:p w:rsidR="00112794" w:rsidRPr="00AD62D3" w:rsidRDefault="00112794" w:rsidP="00417324">
            <w:pPr>
              <w:jc w:val="center"/>
              <w:rPr>
                <w:rFonts w:ascii="Gill Sans MT" w:hAnsi="Gill Sans MT"/>
                <w:sz w:val="18"/>
                <w:szCs w:val="18"/>
              </w:rPr>
            </w:pPr>
          </w:p>
        </w:tc>
      </w:tr>
    </w:tbl>
    <w:p w:rsidR="00112794" w:rsidRPr="00AD62D3" w:rsidRDefault="00112794" w:rsidP="00112794">
      <w:pPr>
        <w:rPr>
          <w:sz w:val="20"/>
          <w:szCs w:val="20"/>
        </w:rPr>
      </w:pPr>
      <w:r w:rsidRPr="00AD62D3">
        <w:rPr>
          <w:sz w:val="20"/>
          <w:szCs w:val="20"/>
        </w:rPr>
        <w:t xml:space="preserve">* </w:t>
      </w:r>
      <w:r w:rsidRPr="00AD62D3">
        <w:rPr>
          <w:sz w:val="16"/>
          <w:szCs w:val="16"/>
        </w:rPr>
        <w:t>IQR – Inter Quartile Range</w:t>
      </w:r>
    </w:p>
    <w:p w:rsidR="00112794" w:rsidRPr="006B1D63" w:rsidRDefault="00112794" w:rsidP="00112794">
      <w:pPr>
        <w:rPr>
          <w:sz w:val="16"/>
          <w:szCs w:val="16"/>
        </w:rPr>
      </w:pPr>
      <w:r>
        <w:rPr>
          <w:sz w:val="16"/>
          <w:szCs w:val="16"/>
        </w:rPr>
        <w:t>*</w:t>
      </w:r>
      <w:r w:rsidRPr="006B1D63">
        <w:rPr>
          <w:sz w:val="16"/>
          <w:szCs w:val="16"/>
        </w:rPr>
        <w:t xml:space="preserve"> Consistent responses were identified by building in a test of ‘consistency’ into the questionnaire.  A pseudo choice was added which contained one superior option in a set of choices, i.e. dominated on all, the attribute levels - a ‘pass’ was given for the dominant option being selected.</w:t>
      </w:r>
    </w:p>
    <w:p w:rsidR="00140D8B" w:rsidRDefault="00140D8B" w:rsidP="004570CE">
      <w:pPr>
        <w:rPr>
          <w:sz w:val="20"/>
          <w:szCs w:val="20"/>
        </w:rPr>
      </w:pPr>
    </w:p>
    <w:p w:rsidR="00D256A2" w:rsidRDefault="00112794" w:rsidP="00D256A2">
      <w:pPr>
        <w:rPr>
          <w:b/>
          <w:bCs/>
          <w:sz w:val="20"/>
          <w:szCs w:val="20"/>
        </w:rPr>
      </w:pPr>
      <w:r>
        <w:rPr>
          <w:sz w:val="20"/>
          <w:szCs w:val="20"/>
        </w:rPr>
        <w:br w:type="page"/>
      </w:r>
      <w:r w:rsidR="00D256A2" w:rsidRPr="006B1D63">
        <w:rPr>
          <w:b/>
          <w:bCs/>
          <w:sz w:val="20"/>
          <w:szCs w:val="20"/>
        </w:rPr>
        <w:lastRenderedPageBreak/>
        <w:t xml:space="preserve">TABLE </w:t>
      </w:r>
      <w:r w:rsidR="00D256A2">
        <w:rPr>
          <w:b/>
          <w:bCs/>
          <w:sz w:val="20"/>
          <w:szCs w:val="20"/>
        </w:rPr>
        <w:t>4</w:t>
      </w:r>
      <w:r w:rsidR="00D256A2" w:rsidRPr="006B1D63">
        <w:rPr>
          <w:b/>
          <w:bCs/>
          <w:sz w:val="20"/>
          <w:szCs w:val="20"/>
        </w:rPr>
        <w:t xml:space="preserve"> – The regression results</w:t>
      </w:r>
    </w:p>
    <w:p w:rsidR="00D256A2" w:rsidRDefault="00D256A2" w:rsidP="00D256A2">
      <w:pPr>
        <w:rPr>
          <w:b/>
          <w:bCs/>
          <w:sz w:val="20"/>
          <w:szCs w:val="20"/>
        </w:rPr>
      </w:pPr>
    </w:p>
    <w:tbl>
      <w:tblPr>
        <w:tblW w:w="8428" w:type="dxa"/>
        <w:tblBorders>
          <w:top w:val="single" w:sz="12" w:space="0" w:color="008000"/>
          <w:bottom w:val="single" w:sz="12" w:space="0" w:color="008000"/>
        </w:tblBorders>
        <w:tblLayout w:type="fixed"/>
        <w:tblLook w:val="01E0" w:firstRow="1" w:lastRow="1" w:firstColumn="1" w:lastColumn="1" w:noHBand="0" w:noVBand="0"/>
      </w:tblPr>
      <w:tblGrid>
        <w:gridCol w:w="2218"/>
        <w:gridCol w:w="442"/>
        <w:gridCol w:w="2126"/>
        <w:gridCol w:w="1985"/>
        <w:gridCol w:w="1657"/>
      </w:tblGrid>
      <w:tr w:rsidR="00D256A2" w:rsidRPr="006B1D63" w:rsidTr="00417324">
        <w:trPr>
          <w:trHeight w:val="656"/>
        </w:trPr>
        <w:tc>
          <w:tcPr>
            <w:tcW w:w="2218" w:type="dxa"/>
            <w:tcBorders>
              <w:top w:val="single" w:sz="12" w:space="0" w:color="008000"/>
              <w:bottom w:val="single" w:sz="6" w:space="0" w:color="008000"/>
            </w:tcBorders>
            <w:shd w:val="clear" w:color="auto" w:fill="auto"/>
          </w:tcPr>
          <w:p w:rsidR="00D256A2" w:rsidRPr="006B1D63" w:rsidRDefault="00D256A2" w:rsidP="00417324">
            <w:pPr>
              <w:rPr>
                <w:rFonts w:ascii="Gill Sans MT" w:hAnsi="Gill Sans MT" w:cs="Arial"/>
                <w:sz w:val="16"/>
                <w:szCs w:val="16"/>
              </w:rPr>
            </w:pPr>
          </w:p>
        </w:tc>
        <w:tc>
          <w:tcPr>
            <w:tcW w:w="442" w:type="dxa"/>
            <w:tcBorders>
              <w:top w:val="single" w:sz="12" w:space="0" w:color="008000"/>
              <w:bottom w:val="single" w:sz="6" w:space="0" w:color="008000"/>
            </w:tcBorders>
            <w:shd w:val="clear" w:color="auto" w:fill="auto"/>
          </w:tcPr>
          <w:p w:rsidR="00D256A2" w:rsidRPr="006B1D63" w:rsidRDefault="00D256A2" w:rsidP="00417324">
            <w:pPr>
              <w:rPr>
                <w:rFonts w:ascii="Gill Sans MT" w:hAnsi="Gill Sans MT"/>
                <w:sz w:val="16"/>
                <w:szCs w:val="16"/>
              </w:rPr>
            </w:pPr>
          </w:p>
        </w:tc>
        <w:tc>
          <w:tcPr>
            <w:tcW w:w="2126" w:type="dxa"/>
            <w:tcBorders>
              <w:top w:val="single" w:sz="12" w:space="0" w:color="008000"/>
              <w:bottom w:val="single" w:sz="6" w:space="0" w:color="008000"/>
            </w:tcBorders>
            <w:shd w:val="clear" w:color="auto" w:fill="auto"/>
          </w:tcPr>
          <w:p w:rsidR="00D256A2" w:rsidRPr="006B1D63" w:rsidRDefault="00D256A2" w:rsidP="00417324">
            <w:pPr>
              <w:rPr>
                <w:rFonts w:ascii="Gill Sans MT" w:hAnsi="Gill Sans MT"/>
                <w:b/>
                <w:bCs/>
                <w:sz w:val="16"/>
                <w:szCs w:val="16"/>
              </w:rPr>
            </w:pPr>
          </w:p>
          <w:p w:rsidR="00D256A2" w:rsidRDefault="00D256A2" w:rsidP="00417324">
            <w:pPr>
              <w:rPr>
                <w:rFonts w:ascii="Gill Sans MT" w:hAnsi="Gill Sans MT"/>
                <w:b/>
                <w:bCs/>
                <w:sz w:val="16"/>
                <w:szCs w:val="16"/>
              </w:rPr>
            </w:pPr>
            <w:r>
              <w:rPr>
                <w:rFonts w:ascii="Gill Sans MT" w:hAnsi="Gill Sans MT"/>
                <w:b/>
                <w:bCs/>
                <w:sz w:val="16"/>
                <w:szCs w:val="16"/>
              </w:rPr>
              <w:t>Model (1)</w:t>
            </w:r>
          </w:p>
          <w:p w:rsidR="00D256A2" w:rsidRDefault="00D256A2" w:rsidP="00417324">
            <w:pPr>
              <w:rPr>
                <w:rFonts w:ascii="Gill Sans MT" w:hAnsi="Gill Sans MT"/>
                <w:b/>
                <w:bCs/>
                <w:sz w:val="16"/>
                <w:szCs w:val="16"/>
              </w:rPr>
            </w:pPr>
          </w:p>
          <w:p w:rsidR="00D256A2" w:rsidRPr="00EA02D9" w:rsidRDefault="00D256A2" w:rsidP="00417324">
            <w:pPr>
              <w:rPr>
                <w:rFonts w:ascii="Gill Sans MT" w:hAnsi="Gill Sans MT"/>
                <w:sz w:val="16"/>
                <w:szCs w:val="16"/>
              </w:rPr>
            </w:pPr>
            <w:r w:rsidRPr="00EA02D9">
              <w:rPr>
                <w:rFonts w:ascii="Gill Sans MT" w:hAnsi="Gill Sans MT"/>
                <w:sz w:val="16"/>
                <w:szCs w:val="16"/>
              </w:rPr>
              <w:t>All respondents</w:t>
            </w:r>
          </w:p>
          <w:p w:rsidR="00D256A2" w:rsidRPr="006B1D63" w:rsidRDefault="00D256A2" w:rsidP="00417324">
            <w:pPr>
              <w:rPr>
                <w:rFonts w:ascii="Gill Sans MT" w:hAnsi="Gill Sans MT"/>
                <w:b/>
                <w:bCs/>
                <w:sz w:val="16"/>
                <w:szCs w:val="16"/>
              </w:rPr>
            </w:pPr>
          </w:p>
        </w:tc>
        <w:tc>
          <w:tcPr>
            <w:tcW w:w="1985" w:type="dxa"/>
            <w:tcBorders>
              <w:top w:val="single" w:sz="12" w:space="0" w:color="008000"/>
              <w:bottom w:val="single" w:sz="6" w:space="0" w:color="008000"/>
            </w:tcBorders>
            <w:shd w:val="clear" w:color="auto" w:fill="auto"/>
          </w:tcPr>
          <w:p w:rsidR="00D256A2" w:rsidRPr="00D421B2" w:rsidRDefault="00D256A2" w:rsidP="00417324">
            <w:pPr>
              <w:rPr>
                <w:rFonts w:ascii="Gill Sans MT" w:hAnsi="Gill Sans MT"/>
                <w:b/>
                <w:bCs/>
                <w:sz w:val="16"/>
                <w:szCs w:val="16"/>
              </w:rPr>
            </w:pPr>
          </w:p>
          <w:p w:rsidR="00D256A2" w:rsidRDefault="00D256A2" w:rsidP="00417324">
            <w:pPr>
              <w:rPr>
                <w:rFonts w:ascii="Gill Sans MT" w:hAnsi="Gill Sans MT"/>
                <w:b/>
                <w:bCs/>
                <w:sz w:val="16"/>
                <w:szCs w:val="16"/>
              </w:rPr>
            </w:pPr>
            <w:r>
              <w:rPr>
                <w:rFonts w:ascii="Gill Sans MT" w:hAnsi="Gill Sans MT"/>
                <w:b/>
                <w:bCs/>
                <w:sz w:val="16"/>
                <w:szCs w:val="16"/>
              </w:rPr>
              <w:t xml:space="preserve">Model (2) </w:t>
            </w:r>
          </w:p>
          <w:p w:rsidR="00D256A2" w:rsidRDefault="00D256A2" w:rsidP="00417324">
            <w:pPr>
              <w:rPr>
                <w:rFonts w:ascii="Gill Sans MT" w:hAnsi="Gill Sans MT"/>
                <w:b/>
                <w:bCs/>
                <w:sz w:val="16"/>
                <w:szCs w:val="16"/>
              </w:rPr>
            </w:pPr>
          </w:p>
          <w:p w:rsidR="00D256A2" w:rsidRPr="00EA02D9" w:rsidRDefault="00D256A2" w:rsidP="00417324">
            <w:pPr>
              <w:rPr>
                <w:rFonts w:ascii="Gill Sans MT" w:hAnsi="Gill Sans MT"/>
                <w:sz w:val="16"/>
                <w:szCs w:val="16"/>
              </w:rPr>
            </w:pPr>
            <w:r w:rsidRPr="00EA02D9">
              <w:rPr>
                <w:rFonts w:ascii="Gill Sans MT" w:hAnsi="Gill Sans MT"/>
                <w:sz w:val="16"/>
                <w:szCs w:val="16"/>
              </w:rPr>
              <w:t>Subgroup past experience NIP</w:t>
            </w:r>
            <w:r w:rsidRPr="00EA02D9">
              <w:rPr>
                <w:rFonts w:ascii="Gill Sans MT" w:hAnsi="Gill Sans MT"/>
                <w:sz w:val="16"/>
                <w:szCs w:val="16"/>
              </w:rPr>
              <w:sym w:font="Wingdings" w:char="F055"/>
            </w:r>
          </w:p>
        </w:tc>
        <w:tc>
          <w:tcPr>
            <w:tcW w:w="1657" w:type="dxa"/>
            <w:tcBorders>
              <w:top w:val="single" w:sz="12" w:space="0" w:color="008000"/>
              <w:bottom w:val="single" w:sz="6" w:space="0" w:color="008000"/>
            </w:tcBorders>
            <w:shd w:val="clear" w:color="auto" w:fill="auto"/>
          </w:tcPr>
          <w:p w:rsidR="00D256A2" w:rsidRPr="00D421B2" w:rsidRDefault="00D256A2" w:rsidP="00417324">
            <w:pPr>
              <w:rPr>
                <w:rFonts w:ascii="Gill Sans MT" w:hAnsi="Gill Sans MT"/>
                <w:b/>
                <w:bCs/>
                <w:sz w:val="16"/>
                <w:szCs w:val="16"/>
              </w:rPr>
            </w:pPr>
          </w:p>
          <w:p w:rsidR="00D256A2" w:rsidRDefault="00D256A2" w:rsidP="00417324">
            <w:pPr>
              <w:rPr>
                <w:rFonts w:ascii="Gill Sans MT" w:hAnsi="Gill Sans MT"/>
                <w:b/>
                <w:bCs/>
                <w:sz w:val="16"/>
                <w:szCs w:val="16"/>
              </w:rPr>
            </w:pPr>
            <w:r w:rsidRPr="00D421B2">
              <w:rPr>
                <w:rFonts w:ascii="Gill Sans MT" w:hAnsi="Gill Sans MT"/>
                <w:b/>
                <w:bCs/>
                <w:sz w:val="16"/>
                <w:szCs w:val="16"/>
              </w:rPr>
              <w:t xml:space="preserve">Model (3) </w:t>
            </w:r>
          </w:p>
          <w:p w:rsidR="00D256A2" w:rsidRDefault="00D256A2" w:rsidP="00417324">
            <w:pPr>
              <w:rPr>
                <w:rFonts w:ascii="Gill Sans MT" w:hAnsi="Gill Sans MT"/>
                <w:b/>
                <w:bCs/>
                <w:sz w:val="16"/>
                <w:szCs w:val="16"/>
              </w:rPr>
            </w:pPr>
          </w:p>
          <w:p w:rsidR="00D256A2" w:rsidRPr="00EA02D9" w:rsidRDefault="00D256A2" w:rsidP="00417324">
            <w:pPr>
              <w:rPr>
                <w:rFonts w:ascii="Gill Sans MT" w:hAnsi="Gill Sans MT"/>
                <w:sz w:val="16"/>
                <w:szCs w:val="16"/>
              </w:rPr>
            </w:pPr>
            <w:r w:rsidRPr="00EA02D9">
              <w:rPr>
                <w:rFonts w:ascii="Gill Sans MT" w:hAnsi="Gill Sans MT"/>
                <w:sz w:val="16"/>
                <w:szCs w:val="16"/>
              </w:rPr>
              <w:t>Subgroup ‘consistent’ respondents</w:t>
            </w:r>
          </w:p>
        </w:tc>
      </w:tr>
      <w:tr w:rsidR="00D256A2" w:rsidRPr="006B1D63" w:rsidTr="00417324">
        <w:trPr>
          <w:trHeight w:val="387"/>
        </w:trPr>
        <w:tc>
          <w:tcPr>
            <w:tcW w:w="2218" w:type="dxa"/>
            <w:shd w:val="clear" w:color="auto" w:fill="auto"/>
          </w:tcPr>
          <w:p w:rsidR="00D256A2" w:rsidRPr="006B1D63" w:rsidRDefault="00D256A2" w:rsidP="00417324">
            <w:pPr>
              <w:rPr>
                <w:rFonts w:ascii="Gill Sans MT" w:hAnsi="Gill Sans MT" w:cs="Arial"/>
                <w:sz w:val="16"/>
                <w:szCs w:val="16"/>
              </w:rPr>
            </w:pP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373"/>
        </w:trPr>
        <w:tc>
          <w:tcPr>
            <w:tcW w:w="2218" w:type="dxa"/>
            <w:shd w:val="clear" w:color="auto" w:fill="auto"/>
          </w:tcPr>
          <w:p w:rsidR="00D256A2" w:rsidRDefault="00D256A2" w:rsidP="00417324">
            <w:pPr>
              <w:rPr>
                <w:rFonts w:ascii="Gill Sans MT" w:hAnsi="Gill Sans MT" w:cs="Arial"/>
                <w:sz w:val="16"/>
                <w:szCs w:val="16"/>
              </w:rPr>
            </w:pPr>
          </w:p>
          <w:p w:rsidR="00D256A2" w:rsidRPr="006B1D63" w:rsidRDefault="00D256A2" w:rsidP="00417324">
            <w:pPr>
              <w:rPr>
                <w:rFonts w:ascii="Gill Sans MT" w:hAnsi="Gill Sans MT" w:cs="Arial"/>
                <w:sz w:val="16"/>
                <w:szCs w:val="16"/>
              </w:rPr>
            </w:pPr>
            <w:r>
              <w:rPr>
                <w:rFonts w:ascii="Gill Sans MT" w:hAnsi="Gill Sans MT" w:cs="Arial"/>
                <w:sz w:val="16"/>
                <w:szCs w:val="16"/>
              </w:rPr>
              <w:t>Own D</w:t>
            </w:r>
            <w:r w:rsidRPr="006B1D63">
              <w:rPr>
                <w:rFonts w:ascii="Gill Sans MT" w:hAnsi="Gill Sans MT" w:cs="Arial"/>
                <w:sz w:val="16"/>
                <w:szCs w:val="16"/>
              </w:rPr>
              <w:t xml:space="preserve">octor </w:t>
            </w:r>
          </w:p>
        </w:tc>
        <w:tc>
          <w:tcPr>
            <w:tcW w:w="442" w:type="dxa"/>
            <w:shd w:val="clear" w:color="auto" w:fill="auto"/>
          </w:tcPr>
          <w:p w:rsidR="00D256A2" w:rsidRDefault="00D256A2" w:rsidP="00417324">
            <w:pPr>
              <w:rPr>
                <w:rFonts w:ascii="Gill Sans MT" w:hAnsi="Gill Sans MT" w:cs="Arial"/>
                <w:sz w:val="16"/>
                <w:szCs w:val="16"/>
              </w:rPr>
            </w:pPr>
          </w:p>
          <w:p w:rsidR="00D256A2" w:rsidRPr="006B1D63" w:rsidRDefault="00D256A2" w:rsidP="00417324">
            <w:pPr>
              <w:rPr>
                <w:rFonts w:ascii="Gill Sans MT" w:hAnsi="Gill Sans MT" w:cs="Arial"/>
                <w:sz w:val="16"/>
                <w:szCs w:val="16"/>
              </w:rPr>
            </w:pPr>
          </w:p>
        </w:tc>
        <w:tc>
          <w:tcPr>
            <w:tcW w:w="2126" w:type="dxa"/>
            <w:shd w:val="clear" w:color="auto" w:fill="auto"/>
          </w:tcPr>
          <w:p w:rsidR="00D256A2" w:rsidRDefault="00D256A2" w:rsidP="00417324">
            <w:pPr>
              <w:rPr>
                <w:rFonts w:ascii="Gill Sans MT" w:hAnsi="Gill Sans MT"/>
                <w:b/>
                <w:sz w:val="16"/>
                <w:szCs w:val="16"/>
              </w:rPr>
            </w:pPr>
          </w:p>
          <w:p w:rsidR="00D256A2" w:rsidRPr="006B1D63" w:rsidRDefault="00D256A2" w:rsidP="00417324">
            <w:pPr>
              <w:rPr>
                <w:rFonts w:ascii="Gill Sans MT" w:hAnsi="Gill Sans MT"/>
                <w:b/>
                <w:sz w:val="16"/>
                <w:szCs w:val="16"/>
              </w:rPr>
            </w:pPr>
            <w:r w:rsidRPr="006B1D63">
              <w:rPr>
                <w:rFonts w:ascii="Gill Sans MT" w:hAnsi="Gill Sans MT"/>
                <w:b/>
                <w:sz w:val="16"/>
                <w:szCs w:val="16"/>
              </w:rPr>
              <w:t>1.02**</w:t>
            </w:r>
          </w:p>
        </w:tc>
        <w:tc>
          <w:tcPr>
            <w:tcW w:w="1985" w:type="dxa"/>
            <w:shd w:val="clear" w:color="auto" w:fill="auto"/>
          </w:tcPr>
          <w:p w:rsidR="00D256A2" w:rsidRDefault="00D256A2" w:rsidP="00417324">
            <w:pPr>
              <w:rPr>
                <w:rFonts w:ascii="Gill Sans MT" w:hAnsi="Gill Sans MT"/>
                <w:sz w:val="16"/>
                <w:szCs w:val="16"/>
              </w:rPr>
            </w:pPr>
          </w:p>
          <w:p w:rsidR="00D256A2" w:rsidRPr="006B1D63" w:rsidRDefault="00D256A2" w:rsidP="00417324">
            <w:pPr>
              <w:rPr>
                <w:rFonts w:ascii="Gill Sans MT" w:hAnsi="Gill Sans MT"/>
                <w:sz w:val="16"/>
                <w:szCs w:val="16"/>
              </w:rPr>
            </w:pPr>
            <w:r w:rsidRPr="006B1D63">
              <w:rPr>
                <w:rFonts w:ascii="Gill Sans MT" w:hAnsi="Gill Sans MT"/>
                <w:sz w:val="16"/>
                <w:szCs w:val="16"/>
              </w:rPr>
              <w:t>2.04</w:t>
            </w:r>
            <w:r>
              <w:rPr>
                <w:rFonts w:ascii="Gill Sans MT" w:hAnsi="Gill Sans MT"/>
                <w:sz w:val="16"/>
                <w:szCs w:val="16"/>
              </w:rPr>
              <w:t>0</w:t>
            </w:r>
            <w:r w:rsidRPr="006B1D63">
              <w:rPr>
                <w:rFonts w:ascii="Gill Sans MT" w:hAnsi="Gill Sans MT"/>
                <w:sz w:val="16"/>
                <w:szCs w:val="16"/>
              </w:rPr>
              <w:t>**</w:t>
            </w:r>
          </w:p>
        </w:tc>
        <w:tc>
          <w:tcPr>
            <w:tcW w:w="1657" w:type="dxa"/>
            <w:shd w:val="clear" w:color="auto" w:fill="auto"/>
          </w:tcPr>
          <w:p w:rsidR="00D256A2" w:rsidRDefault="00D256A2" w:rsidP="00417324">
            <w:pPr>
              <w:rPr>
                <w:rFonts w:ascii="Gill Sans MT" w:hAnsi="Gill Sans MT"/>
                <w:sz w:val="16"/>
                <w:szCs w:val="16"/>
              </w:rPr>
            </w:pPr>
          </w:p>
          <w:p w:rsidR="00D256A2" w:rsidRPr="006B1D63" w:rsidRDefault="00D256A2" w:rsidP="00417324">
            <w:pPr>
              <w:rPr>
                <w:rFonts w:ascii="Gill Sans MT" w:hAnsi="Gill Sans MT"/>
                <w:sz w:val="16"/>
                <w:szCs w:val="16"/>
              </w:rPr>
            </w:pPr>
            <w:r w:rsidRPr="006B1D63">
              <w:rPr>
                <w:rFonts w:ascii="Gill Sans MT" w:hAnsi="Gill Sans MT"/>
                <w:sz w:val="16"/>
                <w:szCs w:val="16"/>
              </w:rPr>
              <w:t>0.995**</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Pr>
                <w:rFonts w:ascii="Gill Sans MT" w:hAnsi="Gill Sans MT" w:cs="Arial"/>
                <w:sz w:val="16"/>
                <w:szCs w:val="16"/>
              </w:rPr>
              <w:t xml:space="preserve">Prescribing </w:t>
            </w:r>
            <w:r w:rsidRPr="006B1D63">
              <w:rPr>
                <w:rFonts w:ascii="Gill Sans MT" w:hAnsi="Gill Sans MT" w:cs="Arial"/>
                <w:sz w:val="16"/>
                <w:szCs w:val="16"/>
              </w:rPr>
              <w:t xml:space="preserve">Nurse </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0.243</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1.69</w:t>
            </w:r>
            <w:r>
              <w:rPr>
                <w:rFonts w:ascii="Gill Sans MT" w:hAnsi="Gill Sans MT"/>
                <w:sz w:val="16"/>
                <w:szCs w:val="16"/>
              </w:rPr>
              <w:t>0</w:t>
            </w:r>
            <w:r w:rsidRPr="006B1D63">
              <w:rPr>
                <w:rFonts w:ascii="Gill Sans MT" w:hAnsi="Gill Sans MT"/>
                <w:sz w:val="16"/>
                <w:szCs w:val="16"/>
              </w:rPr>
              <w:t>**</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0.610**</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A</w:t>
            </w:r>
            <w:r>
              <w:rPr>
                <w:rFonts w:ascii="Gill Sans MT" w:hAnsi="Gill Sans MT" w:cs="Arial"/>
                <w:sz w:val="16"/>
                <w:szCs w:val="16"/>
              </w:rPr>
              <w:t>CCESS</w:t>
            </w:r>
            <w:r w:rsidRPr="000034BD">
              <w:rPr>
                <w:rFonts w:ascii="Gill Sans MT" w:hAnsi="Gill Sans MT" w:cs="Arial"/>
                <w:sz w:val="16"/>
                <w:szCs w:val="16"/>
                <w:vertAlign w:val="subscript"/>
              </w:rPr>
              <w:t>own</w:t>
            </w:r>
            <w:r>
              <w:rPr>
                <w:rFonts w:ascii="Gill Sans MT" w:hAnsi="Gill Sans MT" w:cs="Arial"/>
                <w:sz w:val="16"/>
                <w:szCs w:val="16"/>
              </w:rPr>
              <w:t xml:space="preserve"> </w:t>
            </w:r>
            <w:r w:rsidRPr="006B1D63">
              <w:rPr>
                <w:rFonts w:ascii="Gill Sans MT" w:hAnsi="Gill Sans MT" w:cs="Arial"/>
                <w:sz w:val="16"/>
                <w:szCs w:val="16"/>
                <w:vertAlign w:val="subscript"/>
              </w:rPr>
              <w:t>doctor</w:t>
            </w: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0.131</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0.684</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0.449*</w:t>
            </w:r>
          </w:p>
        </w:tc>
      </w:tr>
      <w:tr w:rsidR="00D256A2" w:rsidRPr="006B1D63" w:rsidTr="00417324">
        <w:trPr>
          <w:trHeight w:val="373"/>
        </w:trPr>
        <w:tc>
          <w:tcPr>
            <w:tcW w:w="2218" w:type="dxa"/>
            <w:shd w:val="clear" w:color="auto" w:fill="auto"/>
          </w:tcPr>
          <w:p w:rsidR="00D256A2" w:rsidRDefault="00D256A2" w:rsidP="00417324">
            <w:pPr>
              <w:rPr>
                <w:rFonts w:ascii="Gill Sans MT" w:hAnsi="Gill Sans MT" w:cs="Arial"/>
                <w:sz w:val="16"/>
                <w:szCs w:val="16"/>
              </w:rPr>
            </w:pPr>
          </w:p>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A</w:t>
            </w:r>
            <w:r>
              <w:rPr>
                <w:rFonts w:ascii="Gill Sans MT" w:hAnsi="Gill Sans MT" w:cs="Arial"/>
                <w:sz w:val="16"/>
                <w:szCs w:val="16"/>
              </w:rPr>
              <w:t>CCESS</w:t>
            </w:r>
            <w:r>
              <w:rPr>
                <w:rFonts w:ascii="Gill Sans MT" w:hAnsi="Gill Sans MT" w:cs="Arial"/>
                <w:sz w:val="16"/>
                <w:szCs w:val="16"/>
                <w:vertAlign w:val="subscript"/>
              </w:rPr>
              <w:t>NIP</w:t>
            </w:r>
          </w:p>
        </w:tc>
        <w:tc>
          <w:tcPr>
            <w:tcW w:w="442" w:type="dxa"/>
            <w:shd w:val="clear" w:color="auto" w:fill="auto"/>
          </w:tcPr>
          <w:p w:rsidR="00D256A2" w:rsidRDefault="00D256A2" w:rsidP="00417324">
            <w:pPr>
              <w:rPr>
                <w:rFonts w:ascii="Gill Sans MT" w:hAnsi="Gill Sans MT" w:cs="Arial"/>
                <w:sz w:val="16"/>
                <w:szCs w:val="16"/>
              </w:rPr>
            </w:pPr>
          </w:p>
          <w:p w:rsidR="00D256A2" w:rsidRPr="006B1D63" w:rsidRDefault="00D256A2" w:rsidP="00417324">
            <w:pPr>
              <w:rPr>
                <w:rFonts w:ascii="Gill Sans MT" w:hAnsi="Gill Sans MT" w:cs="Arial"/>
                <w:sz w:val="16"/>
                <w:szCs w:val="16"/>
              </w:rPr>
            </w:pPr>
          </w:p>
        </w:tc>
        <w:tc>
          <w:tcPr>
            <w:tcW w:w="2126" w:type="dxa"/>
            <w:shd w:val="clear" w:color="auto" w:fill="auto"/>
          </w:tcPr>
          <w:p w:rsidR="00D256A2" w:rsidRDefault="00D256A2" w:rsidP="00417324">
            <w:pPr>
              <w:rPr>
                <w:rFonts w:ascii="Gill Sans MT" w:hAnsi="Gill Sans MT"/>
                <w:b/>
                <w:sz w:val="16"/>
                <w:szCs w:val="16"/>
              </w:rPr>
            </w:pPr>
          </w:p>
          <w:p w:rsidR="00D256A2" w:rsidRPr="006B1D63" w:rsidRDefault="00D256A2" w:rsidP="00417324">
            <w:pPr>
              <w:rPr>
                <w:rFonts w:ascii="Gill Sans MT" w:hAnsi="Gill Sans MT"/>
                <w:b/>
                <w:sz w:val="16"/>
                <w:szCs w:val="16"/>
              </w:rPr>
            </w:pPr>
            <w:r w:rsidRPr="006B1D63">
              <w:rPr>
                <w:rFonts w:ascii="Gill Sans MT" w:hAnsi="Gill Sans MT"/>
                <w:b/>
                <w:sz w:val="16"/>
                <w:szCs w:val="16"/>
              </w:rPr>
              <w:t>0.112</w:t>
            </w:r>
          </w:p>
        </w:tc>
        <w:tc>
          <w:tcPr>
            <w:tcW w:w="1985" w:type="dxa"/>
            <w:shd w:val="clear" w:color="auto" w:fill="auto"/>
          </w:tcPr>
          <w:p w:rsidR="00D256A2" w:rsidRDefault="00D256A2" w:rsidP="00417324">
            <w:pPr>
              <w:rPr>
                <w:rFonts w:ascii="Gill Sans MT" w:hAnsi="Gill Sans MT"/>
                <w:sz w:val="16"/>
                <w:szCs w:val="16"/>
              </w:rPr>
            </w:pPr>
          </w:p>
          <w:p w:rsidR="00D256A2" w:rsidRPr="006B1D63" w:rsidRDefault="00D256A2" w:rsidP="00417324">
            <w:pPr>
              <w:rPr>
                <w:rFonts w:ascii="Gill Sans MT" w:hAnsi="Gill Sans MT"/>
                <w:sz w:val="16"/>
                <w:szCs w:val="16"/>
              </w:rPr>
            </w:pPr>
            <w:r w:rsidRPr="006B1D63">
              <w:rPr>
                <w:rFonts w:ascii="Gill Sans MT" w:hAnsi="Gill Sans MT"/>
                <w:sz w:val="16"/>
                <w:szCs w:val="16"/>
              </w:rPr>
              <w:t>-0.175</w:t>
            </w:r>
          </w:p>
        </w:tc>
        <w:tc>
          <w:tcPr>
            <w:tcW w:w="1657" w:type="dxa"/>
            <w:shd w:val="clear" w:color="auto" w:fill="auto"/>
          </w:tcPr>
          <w:p w:rsidR="00D256A2" w:rsidRDefault="00D256A2" w:rsidP="00417324">
            <w:pPr>
              <w:rPr>
                <w:rFonts w:ascii="Gill Sans MT" w:hAnsi="Gill Sans MT"/>
                <w:sz w:val="16"/>
                <w:szCs w:val="16"/>
              </w:rPr>
            </w:pPr>
          </w:p>
          <w:p w:rsidR="00D256A2" w:rsidRPr="006B1D63" w:rsidRDefault="00D256A2" w:rsidP="00417324">
            <w:pPr>
              <w:rPr>
                <w:rFonts w:ascii="Gill Sans MT" w:hAnsi="Gill Sans MT"/>
                <w:sz w:val="16"/>
                <w:szCs w:val="16"/>
              </w:rPr>
            </w:pPr>
            <w:r w:rsidRPr="006B1D63">
              <w:rPr>
                <w:rFonts w:ascii="Gill Sans MT" w:hAnsi="Gill Sans MT"/>
                <w:sz w:val="16"/>
                <w:szCs w:val="16"/>
              </w:rPr>
              <w:t>0.0756</w:t>
            </w:r>
          </w:p>
        </w:tc>
      </w:tr>
      <w:tr w:rsidR="00D256A2" w:rsidRPr="006B1D63" w:rsidTr="00417324">
        <w:trPr>
          <w:trHeight w:val="193"/>
        </w:trPr>
        <w:tc>
          <w:tcPr>
            <w:tcW w:w="2218" w:type="dxa"/>
            <w:shd w:val="clear" w:color="auto" w:fill="auto"/>
          </w:tcPr>
          <w:p w:rsidR="00D256A2" w:rsidRDefault="00D256A2" w:rsidP="00417324">
            <w:pPr>
              <w:rPr>
                <w:rFonts w:ascii="Gill Sans MT" w:hAnsi="Gill Sans MT" w:cs="Arial"/>
                <w:sz w:val="16"/>
                <w:szCs w:val="16"/>
              </w:rPr>
            </w:pPr>
          </w:p>
        </w:tc>
        <w:tc>
          <w:tcPr>
            <w:tcW w:w="442" w:type="dxa"/>
            <w:shd w:val="clear" w:color="auto" w:fill="auto"/>
          </w:tcPr>
          <w:p w:rsidR="00D256A2" w:rsidRDefault="00D256A2" w:rsidP="00417324">
            <w:pPr>
              <w:rPr>
                <w:rFonts w:ascii="Gill Sans MT" w:hAnsi="Gill Sans MT" w:cs="Arial"/>
                <w:sz w:val="16"/>
                <w:szCs w:val="16"/>
              </w:rPr>
            </w:pPr>
          </w:p>
        </w:tc>
        <w:tc>
          <w:tcPr>
            <w:tcW w:w="2126" w:type="dxa"/>
            <w:shd w:val="clear" w:color="auto" w:fill="auto"/>
          </w:tcPr>
          <w:p w:rsidR="00D256A2" w:rsidRDefault="00D256A2" w:rsidP="00417324">
            <w:pPr>
              <w:rPr>
                <w:rFonts w:ascii="Gill Sans MT" w:hAnsi="Gill Sans MT"/>
                <w:b/>
                <w:sz w:val="16"/>
                <w:szCs w:val="16"/>
              </w:rPr>
            </w:pPr>
          </w:p>
        </w:tc>
        <w:tc>
          <w:tcPr>
            <w:tcW w:w="1985" w:type="dxa"/>
            <w:shd w:val="clear" w:color="auto" w:fill="auto"/>
          </w:tcPr>
          <w:p w:rsidR="00D256A2" w:rsidRDefault="00D256A2" w:rsidP="00417324">
            <w:pPr>
              <w:rPr>
                <w:rFonts w:ascii="Gill Sans MT" w:hAnsi="Gill Sans MT"/>
                <w:sz w:val="16"/>
                <w:szCs w:val="16"/>
              </w:rPr>
            </w:pPr>
          </w:p>
        </w:tc>
        <w:tc>
          <w:tcPr>
            <w:tcW w:w="1657" w:type="dxa"/>
            <w:shd w:val="clear" w:color="auto" w:fill="auto"/>
          </w:tcPr>
          <w:p w:rsidR="00D256A2" w:rsidRDefault="00D256A2" w:rsidP="00417324">
            <w:pPr>
              <w:rPr>
                <w:rFonts w:ascii="Gill Sans MT" w:hAnsi="Gill Sans MT"/>
                <w:sz w:val="16"/>
                <w:szCs w:val="16"/>
              </w:rPr>
            </w:pP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L</w:t>
            </w:r>
            <w:r>
              <w:rPr>
                <w:rFonts w:ascii="Gill Sans MT" w:hAnsi="Gill Sans MT" w:cs="Arial"/>
                <w:sz w:val="16"/>
                <w:szCs w:val="16"/>
              </w:rPr>
              <w:t>ENGTH</w:t>
            </w:r>
            <w:r w:rsidRPr="000034BD">
              <w:rPr>
                <w:rFonts w:ascii="Gill Sans MT" w:hAnsi="Gill Sans MT" w:cs="Arial"/>
                <w:sz w:val="16"/>
                <w:szCs w:val="16"/>
                <w:vertAlign w:val="subscript"/>
              </w:rPr>
              <w:t>own</w:t>
            </w:r>
            <w:r>
              <w:rPr>
                <w:rFonts w:ascii="Gill Sans MT" w:hAnsi="Gill Sans MT" w:cs="Arial"/>
                <w:sz w:val="16"/>
                <w:szCs w:val="16"/>
              </w:rPr>
              <w:t xml:space="preserve"> </w:t>
            </w:r>
            <w:r w:rsidRPr="006B1D63">
              <w:rPr>
                <w:rFonts w:ascii="Gill Sans MT" w:hAnsi="Gill Sans MT" w:cs="Arial"/>
                <w:sz w:val="16"/>
                <w:szCs w:val="16"/>
                <w:vertAlign w:val="subscript"/>
              </w:rPr>
              <w:t>doctor</w:t>
            </w: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-0.046**</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-0.089**</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-0.060**</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 </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79"/>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L</w:t>
            </w:r>
            <w:r w:rsidRPr="000034BD">
              <w:rPr>
                <w:rFonts w:ascii="Gill Sans MT" w:hAnsi="Gill Sans MT" w:cs="Arial"/>
                <w:sz w:val="16"/>
                <w:szCs w:val="16"/>
              </w:rPr>
              <w:t>ENGTH</w:t>
            </w:r>
            <w:r>
              <w:rPr>
                <w:rFonts w:ascii="Gill Sans MT" w:hAnsi="Gill Sans MT" w:cs="Arial"/>
                <w:sz w:val="16"/>
                <w:szCs w:val="16"/>
                <w:vertAlign w:val="subscript"/>
              </w:rPr>
              <w:t>NIP</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Pr>
                <w:rFonts w:ascii="Gill Sans MT" w:hAnsi="Gill Sans MT"/>
                <w:b/>
                <w:sz w:val="16"/>
                <w:szCs w:val="16"/>
              </w:rPr>
              <w:t>0.001</w:t>
            </w:r>
          </w:p>
        </w:tc>
        <w:tc>
          <w:tcPr>
            <w:tcW w:w="1985" w:type="dxa"/>
            <w:shd w:val="clear" w:color="auto" w:fill="auto"/>
          </w:tcPr>
          <w:p w:rsidR="00D256A2" w:rsidRPr="006B1D63" w:rsidRDefault="00D256A2" w:rsidP="00417324">
            <w:pPr>
              <w:rPr>
                <w:rFonts w:ascii="Gill Sans MT" w:hAnsi="Gill Sans MT"/>
                <w:sz w:val="16"/>
                <w:szCs w:val="16"/>
              </w:rPr>
            </w:pPr>
            <w:r>
              <w:rPr>
                <w:rFonts w:ascii="Gill Sans MT" w:hAnsi="Gill Sans MT"/>
                <w:sz w:val="16"/>
                <w:szCs w:val="16"/>
              </w:rPr>
              <w:t>0.004</w:t>
            </w:r>
          </w:p>
        </w:tc>
        <w:tc>
          <w:tcPr>
            <w:tcW w:w="1657" w:type="dxa"/>
            <w:shd w:val="clear" w:color="auto" w:fill="auto"/>
            <w:vAlign w:val="center"/>
          </w:tcPr>
          <w:p w:rsidR="00D256A2" w:rsidRPr="006B1D63" w:rsidRDefault="00D256A2" w:rsidP="00417324">
            <w:pPr>
              <w:rPr>
                <w:rFonts w:ascii="Gill Sans MT" w:hAnsi="Gill Sans MT"/>
                <w:sz w:val="16"/>
                <w:szCs w:val="16"/>
              </w:rPr>
            </w:pPr>
            <w:r w:rsidRPr="006B1D63">
              <w:rPr>
                <w:rFonts w:ascii="Gill Sans MT" w:hAnsi="Gill Sans MT"/>
                <w:sz w:val="16"/>
                <w:szCs w:val="16"/>
              </w:rPr>
              <w:t>0.005</w:t>
            </w:r>
            <w:r>
              <w:rPr>
                <w:rFonts w:ascii="Gill Sans MT" w:hAnsi="Gill Sans MT"/>
                <w:sz w:val="16"/>
                <w:szCs w:val="16"/>
              </w:rPr>
              <w:t>5</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 </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Pr>
                <w:rFonts w:ascii="Gill Sans MT" w:hAnsi="Gill Sans MT" w:cs="Arial"/>
                <w:sz w:val="16"/>
                <w:szCs w:val="16"/>
              </w:rPr>
              <w:t>ATTENTION</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0.958**</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0.826**</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1.19</w:t>
            </w:r>
            <w:r>
              <w:rPr>
                <w:rFonts w:ascii="Gill Sans MT" w:hAnsi="Gill Sans MT"/>
                <w:sz w:val="16"/>
                <w:szCs w:val="16"/>
              </w:rPr>
              <w:t>0</w:t>
            </w:r>
            <w:r w:rsidRPr="006B1D63">
              <w:rPr>
                <w:rFonts w:ascii="Gill Sans MT" w:hAnsi="Gill Sans MT"/>
                <w:sz w:val="16"/>
                <w:szCs w:val="16"/>
              </w:rPr>
              <w:t>**</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 </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H</w:t>
            </w:r>
            <w:r>
              <w:rPr>
                <w:rFonts w:ascii="Gill Sans MT" w:hAnsi="Gill Sans MT" w:cs="Arial"/>
                <w:sz w:val="16"/>
                <w:szCs w:val="16"/>
              </w:rPr>
              <w:t>ELP</w:t>
            </w:r>
          </w:p>
        </w:tc>
        <w:tc>
          <w:tcPr>
            <w:tcW w:w="442" w:type="dxa"/>
            <w:shd w:val="clear" w:color="auto" w:fill="auto"/>
          </w:tcPr>
          <w:p w:rsidR="00D256A2" w:rsidRPr="006B1D63" w:rsidRDefault="00D256A2" w:rsidP="00417324">
            <w:pPr>
              <w:rPr>
                <w:rFonts w:ascii="Gill Sans MT" w:hAnsi="Gill Sans MT" w:cs="Arial"/>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0.370**</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0.401**</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0.494**</w:t>
            </w:r>
          </w:p>
        </w:tc>
      </w:tr>
      <w:tr w:rsidR="00D256A2" w:rsidRPr="006B1D63" w:rsidTr="00417324">
        <w:trPr>
          <w:trHeight w:val="179"/>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 </w:t>
            </w: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93"/>
        </w:trPr>
        <w:tc>
          <w:tcPr>
            <w:tcW w:w="2218" w:type="dxa"/>
            <w:tcBorders>
              <w:top w:val="nil"/>
              <w:bottom w:val="nil"/>
            </w:tcBorders>
            <w:shd w:val="clear" w:color="auto" w:fill="auto"/>
          </w:tcPr>
          <w:p w:rsidR="00D256A2" w:rsidRPr="006B1D63" w:rsidRDefault="00D256A2" w:rsidP="00417324">
            <w:pPr>
              <w:rPr>
                <w:rFonts w:ascii="Gill Sans MT" w:hAnsi="Gill Sans MT" w:cs="Arial"/>
                <w:sz w:val="16"/>
                <w:szCs w:val="16"/>
              </w:rPr>
            </w:pPr>
          </w:p>
        </w:tc>
        <w:tc>
          <w:tcPr>
            <w:tcW w:w="442" w:type="dxa"/>
            <w:tcBorders>
              <w:top w:val="nil"/>
              <w:bottom w:val="nil"/>
            </w:tcBorders>
            <w:shd w:val="clear" w:color="auto" w:fill="auto"/>
          </w:tcPr>
          <w:p w:rsidR="00D256A2" w:rsidRPr="006B1D63" w:rsidRDefault="00D256A2" w:rsidP="00417324">
            <w:pPr>
              <w:rPr>
                <w:rFonts w:ascii="Gill Sans MT" w:hAnsi="Gill Sans MT"/>
                <w:sz w:val="16"/>
                <w:szCs w:val="16"/>
              </w:rPr>
            </w:pPr>
          </w:p>
        </w:tc>
        <w:tc>
          <w:tcPr>
            <w:tcW w:w="2126" w:type="dxa"/>
            <w:tcBorders>
              <w:top w:val="nil"/>
              <w:bottom w:val="nil"/>
            </w:tcBorders>
            <w:shd w:val="clear" w:color="auto" w:fill="auto"/>
          </w:tcPr>
          <w:p w:rsidR="00D256A2" w:rsidRPr="006B1D63" w:rsidRDefault="00D256A2" w:rsidP="00417324">
            <w:pPr>
              <w:rPr>
                <w:rFonts w:ascii="Gill Sans MT" w:hAnsi="Gill Sans MT"/>
                <w:b/>
                <w:sz w:val="16"/>
                <w:szCs w:val="16"/>
              </w:rPr>
            </w:pPr>
          </w:p>
        </w:tc>
        <w:tc>
          <w:tcPr>
            <w:tcW w:w="1985" w:type="dxa"/>
            <w:tcBorders>
              <w:top w:val="nil"/>
              <w:bottom w:val="nil"/>
            </w:tcBorders>
            <w:shd w:val="clear" w:color="auto" w:fill="auto"/>
          </w:tcPr>
          <w:p w:rsidR="00D256A2" w:rsidRPr="006B1D63" w:rsidRDefault="00D256A2" w:rsidP="00417324">
            <w:pPr>
              <w:rPr>
                <w:rFonts w:ascii="Gill Sans MT" w:hAnsi="Gill Sans MT"/>
                <w:sz w:val="16"/>
                <w:szCs w:val="16"/>
              </w:rPr>
            </w:pPr>
          </w:p>
        </w:tc>
        <w:tc>
          <w:tcPr>
            <w:tcW w:w="1657" w:type="dxa"/>
            <w:tcBorders>
              <w:top w:val="nil"/>
              <w:bottom w:val="nil"/>
            </w:tcBorders>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193"/>
        </w:trPr>
        <w:tc>
          <w:tcPr>
            <w:tcW w:w="2218" w:type="dxa"/>
            <w:tcBorders>
              <w:top w:val="nil"/>
            </w:tcBorders>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No. responses</w:t>
            </w:r>
          </w:p>
        </w:tc>
        <w:tc>
          <w:tcPr>
            <w:tcW w:w="442" w:type="dxa"/>
            <w:tcBorders>
              <w:top w:val="nil"/>
            </w:tcBorders>
            <w:shd w:val="clear" w:color="auto" w:fill="auto"/>
          </w:tcPr>
          <w:p w:rsidR="00D256A2" w:rsidRPr="006B1D63" w:rsidRDefault="00D256A2" w:rsidP="00417324">
            <w:pPr>
              <w:rPr>
                <w:rFonts w:ascii="Gill Sans MT" w:hAnsi="Gill Sans MT"/>
                <w:sz w:val="16"/>
                <w:szCs w:val="16"/>
              </w:rPr>
            </w:pPr>
          </w:p>
        </w:tc>
        <w:tc>
          <w:tcPr>
            <w:tcW w:w="2126" w:type="dxa"/>
            <w:tcBorders>
              <w:top w:val="nil"/>
            </w:tcBorders>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1770</w:t>
            </w:r>
          </w:p>
        </w:tc>
        <w:tc>
          <w:tcPr>
            <w:tcW w:w="1985" w:type="dxa"/>
            <w:tcBorders>
              <w:top w:val="nil"/>
            </w:tcBorders>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342</w:t>
            </w:r>
          </w:p>
        </w:tc>
        <w:tc>
          <w:tcPr>
            <w:tcW w:w="1657" w:type="dxa"/>
            <w:tcBorders>
              <w:top w:val="nil"/>
            </w:tcBorders>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1395</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No. respondents</w:t>
            </w: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451</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121</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355</w:t>
            </w:r>
          </w:p>
        </w:tc>
      </w:tr>
      <w:tr w:rsidR="00D256A2" w:rsidRPr="006B1D63" w:rsidTr="00417324">
        <w:trPr>
          <w:trHeight w:val="373"/>
        </w:trPr>
        <w:tc>
          <w:tcPr>
            <w:tcW w:w="2660" w:type="dxa"/>
            <w:gridSpan w:val="2"/>
            <w:shd w:val="clear" w:color="auto" w:fill="auto"/>
          </w:tcPr>
          <w:p w:rsidR="00D256A2" w:rsidRDefault="00D256A2" w:rsidP="00417324">
            <w:pPr>
              <w:rPr>
                <w:rFonts w:ascii="Gill Sans MT" w:hAnsi="Gill Sans MT" w:cs="Arial"/>
                <w:b/>
                <w:sz w:val="16"/>
                <w:szCs w:val="16"/>
              </w:rPr>
            </w:pPr>
          </w:p>
          <w:p w:rsidR="00D256A2" w:rsidRPr="006B1D63" w:rsidRDefault="00D256A2" w:rsidP="00417324">
            <w:pPr>
              <w:rPr>
                <w:rFonts w:ascii="Gill Sans MT" w:hAnsi="Gill Sans MT"/>
                <w:b/>
                <w:sz w:val="16"/>
                <w:szCs w:val="16"/>
              </w:rPr>
            </w:pPr>
            <w:r w:rsidRPr="006B1D63">
              <w:rPr>
                <w:rFonts w:ascii="Gill Sans MT" w:hAnsi="Gill Sans MT" w:cs="Arial"/>
                <w:b/>
                <w:sz w:val="16"/>
                <w:szCs w:val="16"/>
              </w:rPr>
              <w:t>Goodness of fit measures</w:t>
            </w:r>
          </w:p>
        </w:tc>
        <w:tc>
          <w:tcPr>
            <w:tcW w:w="2126" w:type="dxa"/>
            <w:shd w:val="clear" w:color="auto" w:fill="auto"/>
          </w:tcPr>
          <w:p w:rsidR="00D256A2" w:rsidRPr="006B1D63" w:rsidRDefault="00D256A2" w:rsidP="00417324">
            <w:pPr>
              <w:rPr>
                <w:rFonts w:ascii="Gill Sans MT" w:hAnsi="Gill Sans MT"/>
                <w:b/>
                <w:sz w:val="16"/>
                <w:szCs w:val="16"/>
              </w:rPr>
            </w:pPr>
          </w:p>
        </w:tc>
        <w:tc>
          <w:tcPr>
            <w:tcW w:w="1985" w:type="dxa"/>
            <w:shd w:val="clear" w:color="auto" w:fill="auto"/>
          </w:tcPr>
          <w:p w:rsidR="00D256A2" w:rsidRPr="006B1D63" w:rsidRDefault="00D256A2" w:rsidP="00417324">
            <w:pPr>
              <w:rPr>
                <w:rFonts w:ascii="Gill Sans MT" w:hAnsi="Gill Sans MT"/>
                <w:sz w:val="16"/>
                <w:szCs w:val="16"/>
              </w:rPr>
            </w:pPr>
          </w:p>
        </w:tc>
        <w:tc>
          <w:tcPr>
            <w:tcW w:w="1657" w:type="dxa"/>
            <w:shd w:val="clear" w:color="auto" w:fill="auto"/>
          </w:tcPr>
          <w:p w:rsidR="00D256A2" w:rsidRPr="006B1D63" w:rsidRDefault="00D256A2" w:rsidP="00417324">
            <w:pPr>
              <w:rPr>
                <w:rFonts w:ascii="Gill Sans MT" w:hAnsi="Gill Sans MT"/>
                <w:sz w:val="16"/>
                <w:szCs w:val="16"/>
              </w:rPr>
            </w:pPr>
          </w:p>
        </w:tc>
      </w:tr>
      <w:tr w:rsidR="00D256A2" w:rsidRPr="006B1D63" w:rsidTr="00417324">
        <w:trPr>
          <w:trHeight w:val="82"/>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Log likelihood (0)</w:t>
            </w: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-1944.544</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-375.725</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-1532.564</w:t>
            </w:r>
          </w:p>
        </w:tc>
      </w:tr>
      <w:tr w:rsidR="00D256A2" w:rsidRPr="006B1D63" w:rsidTr="00417324">
        <w:trPr>
          <w:trHeight w:val="193"/>
        </w:trPr>
        <w:tc>
          <w:tcPr>
            <w:tcW w:w="2218" w:type="dxa"/>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Log likelihood (model)</w:t>
            </w:r>
          </w:p>
        </w:tc>
        <w:tc>
          <w:tcPr>
            <w:tcW w:w="442" w:type="dxa"/>
            <w:shd w:val="clear" w:color="auto" w:fill="auto"/>
          </w:tcPr>
          <w:p w:rsidR="00D256A2" w:rsidRPr="006B1D63" w:rsidRDefault="00D256A2" w:rsidP="00417324">
            <w:pPr>
              <w:rPr>
                <w:rFonts w:ascii="Gill Sans MT" w:hAnsi="Gill Sans MT"/>
                <w:sz w:val="16"/>
                <w:szCs w:val="16"/>
              </w:rPr>
            </w:pPr>
          </w:p>
        </w:tc>
        <w:tc>
          <w:tcPr>
            <w:tcW w:w="2126" w:type="dxa"/>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-1559.040</w:t>
            </w:r>
          </w:p>
        </w:tc>
        <w:tc>
          <w:tcPr>
            <w:tcW w:w="1985"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-256.647</w:t>
            </w:r>
          </w:p>
        </w:tc>
        <w:tc>
          <w:tcPr>
            <w:tcW w:w="1657" w:type="dxa"/>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-1079.919</w:t>
            </w:r>
          </w:p>
        </w:tc>
      </w:tr>
      <w:tr w:rsidR="00D256A2" w:rsidRPr="006B1D63" w:rsidTr="00417324">
        <w:trPr>
          <w:trHeight w:val="179"/>
        </w:trPr>
        <w:tc>
          <w:tcPr>
            <w:tcW w:w="2218" w:type="dxa"/>
            <w:tcBorders>
              <w:bottom w:val="nil"/>
            </w:tcBorders>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Pseudo Rho-square</w:t>
            </w:r>
            <w:r>
              <w:rPr>
                <w:rFonts w:ascii="Gill Sans MT" w:hAnsi="Gill Sans MT" w:cs="Arial"/>
                <w:sz w:val="16"/>
                <w:szCs w:val="16"/>
              </w:rPr>
              <w:t>#</w:t>
            </w:r>
          </w:p>
        </w:tc>
        <w:tc>
          <w:tcPr>
            <w:tcW w:w="442" w:type="dxa"/>
            <w:tcBorders>
              <w:bottom w:val="nil"/>
            </w:tcBorders>
            <w:shd w:val="clear" w:color="auto" w:fill="auto"/>
          </w:tcPr>
          <w:p w:rsidR="00D256A2" w:rsidRPr="006B1D63" w:rsidRDefault="00D256A2" w:rsidP="00417324">
            <w:pPr>
              <w:rPr>
                <w:rFonts w:ascii="Gill Sans MT" w:hAnsi="Gill Sans MT"/>
                <w:sz w:val="16"/>
                <w:szCs w:val="16"/>
              </w:rPr>
            </w:pPr>
          </w:p>
        </w:tc>
        <w:tc>
          <w:tcPr>
            <w:tcW w:w="2126" w:type="dxa"/>
            <w:tcBorders>
              <w:bottom w:val="nil"/>
            </w:tcBorders>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0.193</w:t>
            </w:r>
          </w:p>
        </w:tc>
        <w:tc>
          <w:tcPr>
            <w:tcW w:w="1985" w:type="dxa"/>
            <w:tcBorders>
              <w:bottom w:val="nil"/>
            </w:tcBorders>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0.296</w:t>
            </w:r>
          </w:p>
        </w:tc>
        <w:tc>
          <w:tcPr>
            <w:tcW w:w="1657" w:type="dxa"/>
            <w:tcBorders>
              <w:bottom w:val="nil"/>
            </w:tcBorders>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0.289</w:t>
            </w:r>
          </w:p>
        </w:tc>
      </w:tr>
      <w:tr w:rsidR="00D256A2" w:rsidRPr="006B1D63" w:rsidTr="00417324">
        <w:trPr>
          <w:trHeight w:val="193"/>
        </w:trPr>
        <w:tc>
          <w:tcPr>
            <w:tcW w:w="2660" w:type="dxa"/>
            <w:gridSpan w:val="2"/>
            <w:tcBorders>
              <w:top w:val="nil"/>
              <w:bottom w:val="nil"/>
            </w:tcBorders>
            <w:shd w:val="clear" w:color="auto" w:fill="auto"/>
          </w:tcPr>
          <w:p w:rsidR="00D256A2" w:rsidRPr="006B1D63" w:rsidRDefault="00D256A2" w:rsidP="00417324">
            <w:pPr>
              <w:rPr>
                <w:rFonts w:ascii="Gill Sans MT" w:hAnsi="Gill Sans MT" w:cs="Arial"/>
                <w:sz w:val="16"/>
                <w:szCs w:val="16"/>
              </w:rPr>
            </w:pPr>
            <w:r w:rsidRPr="006B1D63">
              <w:rPr>
                <w:rFonts w:ascii="Gill Sans MT" w:hAnsi="Gill Sans MT" w:cs="Arial"/>
                <w:sz w:val="16"/>
                <w:szCs w:val="16"/>
              </w:rPr>
              <w:t>Likelihood ratio-test</w:t>
            </w:r>
          </w:p>
        </w:tc>
        <w:tc>
          <w:tcPr>
            <w:tcW w:w="2126" w:type="dxa"/>
            <w:tcBorders>
              <w:top w:val="nil"/>
              <w:bottom w:val="nil"/>
            </w:tcBorders>
            <w:shd w:val="clear" w:color="auto" w:fill="auto"/>
          </w:tcPr>
          <w:p w:rsidR="00D256A2" w:rsidRPr="006B1D63" w:rsidRDefault="00D256A2" w:rsidP="00417324">
            <w:pPr>
              <w:rPr>
                <w:rFonts w:ascii="Gill Sans MT" w:hAnsi="Gill Sans MT"/>
                <w:b/>
                <w:sz w:val="16"/>
                <w:szCs w:val="16"/>
              </w:rPr>
            </w:pPr>
            <w:r w:rsidRPr="006B1D63">
              <w:rPr>
                <w:rFonts w:ascii="Gill Sans MT" w:hAnsi="Gill Sans MT"/>
                <w:b/>
                <w:sz w:val="16"/>
                <w:szCs w:val="16"/>
              </w:rPr>
              <w:t>771.007</w:t>
            </w:r>
          </w:p>
        </w:tc>
        <w:tc>
          <w:tcPr>
            <w:tcW w:w="1985" w:type="dxa"/>
            <w:tcBorders>
              <w:top w:val="nil"/>
              <w:bottom w:val="nil"/>
            </w:tcBorders>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238.156</w:t>
            </w:r>
          </w:p>
        </w:tc>
        <w:tc>
          <w:tcPr>
            <w:tcW w:w="1657" w:type="dxa"/>
            <w:tcBorders>
              <w:top w:val="nil"/>
              <w:bottom w:val="nil"/>
            </w:tcBorders>
            <w:shd w:val="clear" w:color="auto" w:fill="auto"/>
          </w:tcPr>
          <w:p w:rsidR="00D256A2" w:rsidRPr="006B1D63" w:rsidRDefault="00D256A2" w:rsidP="00417324">
            <w:pPr>
              <w:rPr>
                <w:rFonts w:ascii="Gill Sans MT" w:hAnsi="Gill Sans MT"/>
                <w:sz w:val="16"/>
                <w:szCs w:val="16"/>
              </w:rPr>
            </w:pPr>
            <w:r w:rsidRPr="006B1D63">
              <w:rPr>
                <w:rFonts w:ascii="Gill Sans MT" w:hAnsi="Gill Sans MT"/>
                <w:sz w:val="16"/>
                <w:szCs w:val="16"/>
              </w:rPr>
              <w:t>905.291</w:t>
            </w:r>
          </w:p>
        </w:tc>
      </w:tr>
      <w:tr w:rsidR="00D256A2" w:rsidRPr="006B1D63" w:rsidTr="00417324">
        <w:trPr>
          <w:trHeight w:val="570"/>
        </w:trPr>
        <w:tc>
          <w:tcPr>
            <w:tcW w:w="8428" w:type="dxa"/>
            <w:gridSpan w:val="5"/>
            <w:tcBorders>
              <w:top w:val="nil"/>
              <w:bottom w:val="single" w:sz="12" w:space="0" w:color="008000"/>
            </w:tcBorders>
            <w:shd w:val="clear" w:color="auto" w:fill="auto"/>
          </w:tcPr>
          <w:p w:rsidR="00D256A2" w:rsidRDefault="00D256A2" w:rsidP="00417324">
            <w:pPr>
              <w:rPr>
                <w:rFonts w:ascii="Gill Sans MT" w:hAnsi="Gill Sans MT"/>
                <w:sz w:val="16"/>
                <w:szCs w:val="16"/>
              </w:rPr>
            </w:pPr>
          </w:p>
        </w:tc>
      </w:tr>
    </w:tbl>
    <w:p w:rsidR="00D256A2" w:rsidRPr="00B50CEB" w:rsidRDefault="00D256A2" w:rsidP="00D256A2">
      <w:pPr>
        <w:rPr>
          <w:sz w:val="16"/>
          <w:szCs w:val="16"/>
        </w:rPr>
      </w:pPr>
      <w:r w:rsidRPr="00B50CEB">
        <w:rPr>
          <w:sz w:val="16"/>
          <w:szCs w:val="16"/>
        </w:rPr>
        <w:sym w:font="Wingdings" w:char="F055"/>
      </w:r>
      <w:r w:rsidRPr="00B50CEB">
        <w:rPr>
          <w:sz w:val="16"/>
          <w:szCs w:val="16"/>
        </w:rPr>
        <w:t>N</w:t>
      </w:r>
      <w:r>
        <w:rPr>
          <w:sz w:val="16"/>
          <w:szCs w:val="16"/>
        </w:rPr>
        <w:t>I</w:t>
      </w:r>
      <w:r w:rsidRPr="00B50CEB">
        <w:rPr>
          <w:sz w:val="16"/>
          <w:szCs w:val="16"/>
        </w:rPr>
        <w:t>P, N</w:t>
      </w:r>
      <w:r>
        <w:rPr>
          <w:sz w:val="16"/>
          <w:szCs w:val="16"/>
        </w:rPr>
        <w:t>urse independent</w:t>
      </w:r>
      <w:r w:rsidRPr="00B50CEB">
        <w:rPr>
          <w:sz w:val="16"/>
          <w:szCs w:val="16"/>
        </w:rPr>
        <w:t xml:space="preserve"> prescribing</w:t>
      </w:r>
    </w:p>
    <w:p w:rsidR="00D256A2" w:rsidRDefault="00D256A2" w:rsidP="00D256A2">
      <w:pPr>
        <w:rPr>
          <w:sz w:val="16"/>
          <w:szCs w:val="16"/>
        </w:rPr>
      </w:pPr>
      <w:r w:rsidRPr="00B50CEB">
        <w:rPr>
          <w:sz w:val="16"/>
          <w:szCs w:val="16"/>
        </w:rPr>
        <w:t>** Statistically significant at 1% level * Statistically significant at 5% level</w:t>
      </w:r>
    </w:p>
    <w:p w:rsidR="00D256A2" w:rsidRPr="00B50CEB" w:rsidRDefault="00D256A2" w:rsidP="00D256A2">
      <w:pPr>
        <w:rPr>
          <w:sz w:val="16"/>
          <w:szCs w:val="16"/>
        </w:rPr>
      </w:pPr>
      <w:r w:rsidRPr="0052084D">
        <w:rPr>
          <w:sz w:val="16"/>
          <w:szCs w:val="16"/>
        </w:rPr>
        <w:t>#</w:t>
      </w:r>
      <w:r>
        <w:rPr>
          <w:sz w:val="16"/>
          <w:szCs w:val="16"/>
        </w:rPr>
        <w:t xml:space="preserve"> Psuedo-Rho-square  for logit regression is analogous to R</w:t>
      </w:r>
      <w:r w:rsidRPr="0052084D">
        <w:rPr>
          <w:sz w:val="16"/>
          <w:szCs w:val="16"/>
          <w:vertAlign w:val="superscript"/>
        </w:rPr>
        <w:t>2</w:t>
      </w:r>
      <w:r>
        <w:rPr>
          <w:sz w:val="16"/>
          <w:szCs w:val="16"/>
        </w:rPr>
        <w:t xml:space="preserve"> in linear regression but values do not translate linearly; so for example, pseudo-R</w:t>
      </w:r>
      <w:r w:rsidRPr="0052084D">
        <w:rPr>
          <w:sz w:val="16"/>
          <w:szCs w:val="16"/>
          <w:vertAlign w:val="superscript"/>
        </w:rPr>
        <w:t>2</w:t>
      </w:r>
      <w:r>
        <w:rPr>
          <w:sz w:val="16"/>
          <w:szCs w:val="16"/>
        </w:rPr>
        <w:t xml:space="preserve"> values of between 0.3 to 0.4 translate as an R</w:t>
      </w:r>
      <w:r w:rsidRPr="0052084D">
        <w:rPr>
          <w:sz w:val="16"/>
          <w:szCs w:val="16"/>
          <w:vertAlign w:val="superscript"/>
        </w:rPr>
        <w:t>2</w:t>
      </w:r>
      <w:r>
        <w:rPr>
          <w:sz w:val="16"/>
          <w:szCs w:val="16"/>
        </w:rPr>
        <w:t xml:space="preserve"> of between 0.6 to 0.8. </w:t>
      </w:r>
    </w:p>
    <w:p w:rsidR="00D256A2" w:rsidRPr="00B50CEB" w:rsidRDefault="00D256A2" w:rsidP="00D256A2">
      <w:pPr>
        <w:rPr>
          <w:sz w:val="16"/>
          <w:szCs w:val="16"/>
        </w:rPr>
      </w:pPr>
      <w:r w:rsidRPr="00B50CEB">
        <w:rPr>
          <w:sz w:val="16"/>
          <w:szCs w:val="16"/>
        </w:rPr>
        <w:t xml:space="preserve">Note: The preferred model MNL1 used for policy analysis is reported in bold. </w:t>
      </w:r>
    </w:p>
    <w:p w:rsidR="00112794" w:rsidRDefault="00112794" w:rsidP="004570CE">
      <w:pPr>
        <w:rPr>
          <w:sz w:val="20"/>
          <w:szCs w:val="20"/>
        </w:rPr>
      </w:pPr>
    </w:p>
    <w:p w:rsidR="005B3B0C" w:rsidRDefault="00D256A2" w:rsidP="005B3B0C">
      <w:pPr>
        <w:rPr>
          <w:b/>
          <w:bCs/>
          <w:sz w:val="20"/>
          <w:szCs w:val="20"/>
        </w:rPr>
      </w:pPr>
      <w:r>
        <w:rPr>
          <w:sz w:val="20"/>
          <w:szCs w:val="20"/>
        </w:rPr>
        <w:br w:type="page"/>
      </w:r>
      <w:r w:rsidR="005B3B0C">
        <w:rPr>
          <w:sz w:val="20"/>
          <w:szCs w:val="20"/>
        </w:rPr>
        <w:lastRenderedPageBreak/>
        <w:br w:type="page"/>
      </w:r>
      <w:r w:rsidR="005B3B0C" w:rsidRPr="005A30E8">
        <w:rPr>
          <w:b/>
          <w:bCs/>
          <w:sz w:val="20"/>
          <w:szCs w:val="20"/>
        </w:rPr>
        <w:lastRenderedPageBreak/>
        <w:t xml:space="preserve">TABLE </w:t>
      </w:r>
      <w:r w:rsidR="005B3B0C">
        <w:rPr>
          <w:b/>
          <w:bCs/>
          <w:sz w:val="20"/>
          <w:szCs w:val="20"/>
        </w:rPr>
        <w:t>5</w:t>
      </w:r>
      <w:r w:rsidR="005B3B0C" w:rsidRPr="005A30E8">
        <w:rPr>
          <w:b/>
          <w:bCs/>
          <w:sz w:val="20"/>
          <w:szCs w:val="20"/>
        </w:rPr>
        <w:t xml:space="preserve"> – </w:t>
      </w:r>
      <w:r w:rsidR="005B3B0C">
        <w:rPr>
          <w:b/>
          <w:bCs/>
          <w:sz w:val="20"/>
          <w:szCs w:val="20"/>
        </w:rPr>
        <w:t>Estimating utility for various consultation styles</w:t>
      </w:r>
    </w:p>
    <w:p w:rsidR="005B3B0C" w:rsidRDefault="005B3B0C" w:rsidP="005B3B0C">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
        <w:gridCol w:w="901"/>
      </w:tblGrid>
      <w:tr w:rsidR="001D080D" w:rsidTr="001D080D">
        <w:tc>
          <w:tcPr>
            <w:tcW w:w="5670" w:type="dxa"/>
            <w:tcBorders>
              <w:top w:val="single" w:sz="18" w:space="0" w:color="009900"/>
              <w:left w:val="nil"/>
              <w:bottom w:val="single" w:sz="12" w:space="0" w:color="009900"/>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417324">
            <w:pPr>
              <w:rPr>
                <w:rFonts w:ascii="Gill Sans MT" w:hAnsi="Gill Sans MT"/>
                <w:b/>
                <w:bCs/>
                <w:sz w:val="16"/>
                <w:szCs w:val="16"/>
              </w:rPr>
            </w:pPr>
            <w:r w:rsidRPr="001D080D">
              <w:rPr>
                <w:rFonts w:ascii="Gill Sans MT" w:hAnsi="Gill Sans MT"/>
                <w:b/>
                <w:bCs/>
                <w:sz w:val="16"/>
                <w:szCs w:val="16"/>
              </w:rPr>
              <w:t>Description (attribute levels given in parenthesis)*</w:t>
            </w:r>
          </w:p>
        </w:tc>
        <w:tc>
          <w:tcPr>
            <w:tcW w:w="1326" w:type="dxa"/>
            <w:gridSpan w:val="2"/>
            <w:tcBorders>
              <w:top w:val="single" w:sz="18" w:space="0" w:color="009900"/>
              <w:left w:val="nil"/>
              <w:bottom w:val="single" w:sz="12" w:space="0" w:color="009900"/>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417324">
            <w:pPr>
              <w:rPr>
                <w:rFonts w:ascii="Gill Sans MT" w:hAnsi="Gill Sans MT"/>
                <w:b/>
                <w:bCs/>
                <w:sz w:val="16"/>
                <w:szCs w:val="16"/>
              </w:rPr>
            </w:pPr>
            <w:r w:rsidRPr="001D080D">
              <w:rPr>
                <w:rFonts w:ascii="Gill Sans MT" w:hAnsi="Gill Sans MT"/>
                <w:b/>
                <w:bCs/>
                <w:sz w:val="16"/>
                <w:szCs w:val="16"/>
              </w:rPr>
              <w:t xml:space="preserve">Estimated total utility </w:t>
            </w:r>
          </w:p>
          <w:p w:rsidR="005B3B0C" w:rsidRPr="001D080D" w:rsidRDefault="005B3B0C" w:rsidP="00417324">
            <w:pPr>
              <w:rPr>
                <w:rFonts w:ascii="Gill Sans MT" w:hAnsi="Gill Sans MT"/>
                <w:b/>
                <w:bCs/>
                <w:sz w:val="16"/>
                <w:szCs w:val="16"/>
              </w:rPr>
            </w:pPr>
          </w:p>
        </w:tc>
      </w:tr>
      <w:tr w:rsidR="001D080D" w:rsidTr="001D080D">
        <w:tc>
          <w:tcPr>
            <w:tcW w:w="6095" w:type="dxa"/>
            <w:gridSpan w:val="2"/>
            <w:tcBorders>
              <w:top w:val="single" w:sz="12" w:space="0" w:color="009900"/>
              <w:left w:val="nil"/>
              <w:bottom w:val="single" w:sz="4" w:space="0" w:color="EEECE1"/>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Doctor (see next day, 10 min consult, pays attention, diagnosis &amp; advice)</w:t>
            </w:r>
          </w:p>
        </w:tc>
        <w:tc>
          <w:tcPr>
            <w:tcW w:w="901" w:type="dxa"/>
            <w:tcBorders>
              <w:top w:val="single" w:sz="12" w:space="0" w:color="009900"/>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2.0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Doctor (see 2 days later, 10 min consult, pays attention, diagnosis &amp; advice)</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1.9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NIP (same day at WIC, 15 mins, pays attention, diagnosis &amp; advice)</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1.7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NIP  (next day at surgery, 15 mins, pays attention, diagnosis &amp; advice)</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1.6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1D080D">
            <w:pPr>
              <w:pStyle w:val="ListParagraph"/>
              <w:numPr>
                <w:ilvl w:val="0"/>
                <w:numId w:val="17"/>
              </w:numPr>
              <w:rPr>
                <w:rFonts w:ascii="Gill Sans MT" w:hAnsi="Gill Sans MT"/>
                <w:b/>
                <w:bCs/>
                <w:sz w:val="16"/>
                <w:szCs w:val="16"/>
              </w:rPr>
            </w:pPr>
            <w:r w:rsidRPr="001D080D">
              <w:rPr>
                <w:rFonts w:ascii="Gill Sans MT" w:hAnsi="Gill Sans MT"/>
                <w:sz w:val="16"/>
                <w:szCs w:val="16"/>
              </w:rPr>
              <w:t>NIP (same day at WIC, 15 mins, pays attention, advice only)</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1.4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b/>
                <w:bCs/>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NIP  (next day at surgery, 15 mins, pays attention, advice only)</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1.2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Doctor (see next day, 10 min consult, not pay attention, diagnosis &amp; advice)</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1.0  </w:t>
            </w:r>
          </w:p>
        </w:tc>
      </w:tr>
      <w:tr w:rsidR="001D080D" w:rsidTr="001D080D">
        <w:tc>
          <w:tcPr>
            <w:tcW w:w="6095" w:type="dxa"/>
            <w:gridSpan w:val="2"/>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1D080D">
            <w:pPr>
              <w:pStyle w:val="ListParagraph"/>
              <w:numPr>
                <w:ilvl w:val="0"/>
                <w:numId w:val="17"/>
              </w:numPr>
              <w:rPr>
                <w:rFonts w:ascii="Gill Sans MT" w:hAnsi="Gill Sans MT"/>
                <w:sz w:val="16"/>
                <w:szCs w:val="16"/>
              </w:rPr>
            </w:pPr>
            <w:r w:rsidRPr="001D080D">
              <w:rPr>
                <w:rFonts w:ascii="Gill Sans MT" w:hAnsi="Gill Sans MT"/>
                <w:sz w:val="16"/>
                <w:szCs w:val="16"/>
              </w:rPr>
              <w:t>Doctor (see 2 days later. 10 min consult, not pay attention, diagnosis &amp; advice)</w:t>
            </w:r>
          </w:p>
        </w:tc>
        <w:tc>
          <w:tcPr>
            <w:tcW w:w="901" w:type="dxa"/>
            <w:tcBorders>
              <w:top w:val="single" w:sz="4" w:space="0" w:color="EEECE1"/>
              <w:left w:val="nil"/>
              <w:bottom w:val="single" w:sz="4" w:space="0" w:color="EEECE1"/>
              <w:right w:val="nil"/>
            </w:tcBorders>
            <w:shd w:val="clear" w:color="auto" w:fill="auto"/>
          </w:tcPr>
          <w:p w:rsidR="005B3B0C" w:rsidRPr="001D080D" w:rsidRDefault="005B3B0C" w:rsidP="00417324">
            <w:pPr>
              <w:rPr>
                <w:rFonts w:ascii="Gill Sans MT" w:hAnsi="Gill Sans MT"/>
                <w:sz w:val="16"/>
                <w:szCs w:val="16"/>
              </w:rPr>
            </w:pPr>
          </w:p>
          <w:p w:rsidR="005B3B0C" w:rsidRPr="001D080D" w:rsidRDefault="005B3B0C" w:rsidP="00417324">
            <w:pPr>
              <w:rPr>
                <w:rFonts w:ascii="Gill Sans MT" w:hAnsi="Gill Sans MT"/>
                <w:sz w:val="16"/>
                <w:szCs w:val="16"/>
              </w:rPr>
            </w:pPr>
            <w:r w:rsidRPr="001D080D">
              <w:rPr>
                <w:rFonts w:ascii="Gill Sans MT" w:hAnsi="Gill Sans MT"/>
                <w:sz w:val="16"/>
                <w:szCs w:val="16"/>
              </w:rPr>
              <w:t xml:space="preserve">0.9  </w:t>
            </w:r>
          </w:p>
        </w:tc>
      </w:tr>
    </w:tbl>
    <w:p w:rsidR="005B3B0C" w:rsidRDefault="005B3B0C" w:rsidP="005B3B0C">
      <w:pPr>
        <w:rPr>
          <w:b/>
          <w:bCs/>
          <w:sz w:val="20"/>
          <w:szCs w:val="20"/>
        </w:rPr>
      </w:pPr>
    </w:p>
    <w:p w:rsidR="005B3B0C" w:rsidRPr="005B3B0C" w:rsidRDefault="005B3B0C" w:rsidP="005B3B0C">
      <w:pPr>
        <w:rPr>
          <w:rFonts w:ascii="Calibri" w:hAnsi="Calibri" w:cs="Calibri"/>
          <w:sz w:val="18"/>
          <w:szCs w:val="18"/>
        </w:rPr>
      </w:pPr>
      <w:r w:rsidRPr="005B3B0C">
        <w:rPr>
          <w:rFonts w:ascii="Calibri" w:hAnsi="Calibri" w:cs="Calibri"/>
          <w:sz w:val="18"/>
          <w:szCs w:val="18"/>
        </w:rPr>
        <w:t xml:space="preserve">*Focus is on </w:t>
      </w:r>
      <w:r w:rsidRPr="005B3B0C">
        <w:rPr>
          <w:rFonts w:ascii="Calibri" w:hAnsi="Calibri" w:cs="Calibri"/>
          <w:i/>
          <w:iCs/>
          <w:sz w:val="18"/>
          <w:szCs w:val="18"/>
        </w:rPr>
        <w:t>differences</w:t>
      </w:r>
      <w:r w:rsidRPr="005B3B0C">
        <w:rPr>
          <w:rFonts w:ascii="Calibri" w:hAnsi="Calibri" w:cs="Calibri"/>
          <w:sz w:val="18"/>
          <w:szCs w:val="18"/>
        </w:rPr>
        <w:t xml:space="preserve"> in consultations (taken as given that all consultations provide patient with prescription if needed.</w:t>
      </w:r>
    </w:p>
    <w:p w:rsidR="00D256A2" w:rsidRDefault="00D256A2" w:rsidP="004570CE">
      <w:pPr>
        <w:rPr>
          <w:sz w:val="20"/>
          <w:szCs w:val="20"/>
        </w:rPr>
      </w:pPr>
    </w:p>
    <w:p w:rsidR="005B3B0C" w:rsidRPr="005B3B0C" w:rsidRDefault="005B3B0C" w:rsidP="005B3B0C">
      <w:pPr>
        <w:rPr>
          <w:rFonts w:eastAsia="SimSun"/>
          <w:b/>
          <w:bCs/>
          <w:sz w:val="20"/>
          <w:szCs w:val="20"/>
          <w:lang w:eastAsia="zh-CN"/>
        </w:rPr>
      </w:pPr>
      <w:r>
        <w:rPr>
          <w:sz w:val="20"/>
          <w:szCs w:val="20"/>
        </w:rPr>
        <w:br w:type="page"/>
      </w:r>
      <w:r w:rsidRPr="005B3B0C">
        <w:rPr>
          <w:rFonts w:eastAsia="SimSun"/>
          <w:b/>
          <w:bCs/>
          <w:sz w:val="20"/>
          <w:szCs w:val="20"/>
          <w:lang w:eastAsia="zh-CN"/>
        </w:rPr>
        <w:lastRenderedPageBreak/>
        <w:t>FIGURE 1 - Vignette and example of a choice</w:t>
      </w:r>
    </w:p>
    <w:p w:rsidR="005B3B0C" w:rsidRPr="005B3B0C" w:rsidRDefault="005B3B0C" w:rsidP="005B3B0C">
      <w:pPr>
        <w:rPr>
          <w:rFonts w:eastAsia="SimSun"/>
          <w:lang w:eastAsia="zh-CN"/>
        </w:rPr>
      </w:pPr>
    </w:p>
    <w:p w:rsidR="005B3B0C" w:rsidRPr="005B3B0C" w:rsidRDefault="005B3B0C" w:rsidP="005B3B0C">
      <w:pPr>
        <w:jc w:val="both"/>
        <w:rPr>
          <w:rFonts w:ascii="Calibri" w:eastAsia="SimSun" w:hAnsi="Calibri" w:cs="Calibri"/>
          <w:sz w:val="20"/>
          <w:szCs w:val="20"/>
          <w:lang w:eastAsia="zh-CN"/>
        </w:rPr>
      </w:pPr>
      <w:r w:rsidRPr="005B3B0C">
        <w:rPr>
          <w:rFonts w:ascii="Calibri" w:eastAsia="SimSun" w:hAnsi="Calibri" w:cs="Calibri"/>
          <w:sz w:val="20"/>
          <w:szCs w:val="20"/>
          <w:lang w:eastAsia="zh-CN"/>
        </w:rPr>
        <w:t>Imagine you have a headache and fever, your bones are aching and your throat is sore. You are still able to do all the things you usually do but are more tired than usual. The symptoms started to appear about 3 days ago and were slightly worse when you woke up this morning. Your symptoms are unlikely to get better quickly without help from a professional about your diagnosis and their advice including any prescription medicine to treat the condition.</w:t>
      </w:r>
    </w:p>
    <w:p w:rsidR="005B3B0C" w:rsidRPr="005B3B0C" w:rsidRDefault="005B3B0C" w:rsidP="005B3B0C">
      <w:pPr>
        <w:jc w:val="both"/>
        <w:rPr>
          <w:rFonts w:ascii="Calibri" w:eastAsia="SimSun" w:hAnsi="Calibri" w:cs="Calibri"/>
          <w:sz w:val="20"/>
          <w:szCs w:val="20"/>
          <w:lang w:eastAsia="zh-CN"/>
        </w:rPr>
      </w:pPr>
    </w:p>
    <w:p w:rsidR="005B3B0C" w:rsidRPr="005B3B0C" w:rsidRDefault="005B3B0C" w:rsidP="005B3B0C">
      <w:pPr>
        <w:rPr>
          <w:rFonts w:eastAsia="SimSun"/>
          <w:lang w:eastAsia="zh-CN"/>
        </w:rPr>
      </w:pPr>
    </w:p>
    <w:p w:rsidR="005B3B0C" w:rsidRPr="005B3B0C" w:rsidRDefault="005B3B0C" w:rsidP="005B3B0C">
      <w:pPr>
        <w:rPr>
          <w:rFonts w:eastAsia="SimSun"/>
          <w:lang w:eastAsia="zh-CN"/>
        </w:rPr>
      </w:pPr>
    </w:p>
    <w:p w:rsidR="005B3B0C" w:rsidRPr="005B3B0C" w:rsidRDefault="005B3B0C" w:rsidP="005B3B0C">
      <w:pPr>
        <w:rPr>
          <w:rFonts w:eastAsia="SimSun"/>
          <w:lang w:eastAsia="zh-CN"/>
        </w:rPr>
      </w:pPr>
    </w:p>
    <w:p w:rsidR="005B3B0C" w:rsidRPr="005B3B0C" w:rsidRDefault="005B3B0C" w:rsidP="005B3B0C">
      <w:pPr>
        <w:rPr>
          <w:rFonts w:eastAsia="SimSun"/>
          <w:sz w:val="20"/>
          <w:szCs w:val="20"/>
          <w:lang w:eastAsia="zh-CN"/>
        </w:rPr>
      </w:pPr>
      <w:r w:rsidRPr="005B3B0C">
        <w:rPr>
          <w:rFonts w:eastAsia="SimSun"/>
          <w:sz w:val="20"/>
          <w:szCs w:val="20"/>
          <w:lang w:eastAsia="zh-CN"/>
        </w:rPr>
        <w:t>*WIC = Walk in Centre</w:t>
      </w:r>
    </w:p>
    <w:p w:rsidR="005B3B0C" w:rsidRPr="005B3B0C" w:rsidRDefault="005B3B0C" w:rsidP="005B3B0C">
      <w:pPr>
        <w:rPr>
          <w:rFonts w:eastAsia="SimSun"/>
          <w:lang w:eastAsia="zh-CN"/>
        </w:rPr>
      </w:pPr>
    </w:p>
    <w:tbl>
      <w:tblPr>
        <w:tblpPr w:leftFromText="180" w:rightFromText="180" w:vertAnchor="page" w:horzAnchor="margin" w:tblpY="3986"/>
        <w:tblW w:w="8255" w:type="dxa"/>
        <w:tblCellMar>
          <w:left w:w="0" w:type="dxa"/>
          <w:right w:w="0" w:type="dxa"/>
        </w:tblCellMar>
        <w:tblLook w:val="01E0" w:firstRow="1" w:lastRow="1" w:firstColumn="1" w:lastColumn="1" w:noHBand="0" w:noVBand="0"/>
      </w:tblPr>
      <w:tblGrid>
        <w:gridCol w:w="1989"/>
        <w:gridCol w:w="2071"/>
        <w:gridCol w:w="2071"/>
        <w:gridCol w:w="2124"/>
      </w:tblGrid>
      <w:tr w:rsidR="005B3B0C" w:rsidRPr="005B3B0C" w:rsidTr="00417324">
        <w:trPr>
          <w:trHeight w:val="391"/>
        </w:trPr>
        <w:tc>
          <w:tcPr>
            <w:tcW w:w="1989"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hAnsi="Gill Sans MT" w:cs="Arial"/>
                <w:sz w:val="20"/>
                <w:szCs w:val="20"/>
                <w:lang w:eastAsia="zh-CN"/>
              </w:rPr>
            </w:pPr>
            <w:r w:rsidRPr="005B3B0C">
              <w:rPr>
                <w:rFonts w:ascii="Gill Sans MT" w:eastAsia="Tahoma" w:hAnsi="Gill Sans MT" w:cs="Tahoma"/>
                <w:b/>
                <w:bCs/>
                <w:color w:val="1F497D"/>
                <w:kern w:val="24"/>
                <w:sz w:val="28"/>
                <w:szCs w:val="28"/>
                <w:lang w:eastAsia="zh-CN"/>
              </w:rPr>
              <w:t xml:space="preserve"> </w:t>
            </w:r>
          </w:p>
        </w:tc>
        <w:tc>
          <w:tcPr>
            <w:tcW w:w="2071"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spacing w:after="120"/>
              <w:jc w:val="center"/>
              <w:rPr>
                <w:rFonts w:ascii="Gill Sans MT" w:eastAsia="Tahoma" w:hAnsi="Gill Sans MT" w:cs="Tahoma"/>
                <w:b/>
                <w:bCs/>
                <w:color w:val="1F497D"/>
                <w:kern w:val="24"/>
                <w:sz w:val="20"/>
                <w:szCs w:val="20"/>
                <w:lang w:eastAsia="zh-CN"/>
              </w:rPr>
            </w:pPr>
          </w:p>
          <w:p w:rsidR="005B3B0C" w:rsidRPr="005B3B0C" w:rsidRDefault="005B3B0C" w:rsidP="005B3B0C">
            <w:pPr>
              <w:spacing w:after="120"/>
              <w:jc w:val="center"/>
              <w:rPr>
                <w:rFonts w:ascii="Gill Sans MT" w:hAnsi="Gill Sans MT" w:cs="Arial"/>
                <w:sz w:val="20"/>
                <w:szCs w:val="20"/>
                <w:lang w:eastAsia="zh-CN"/>
              </w:rPr>
            </w:pPr>
            <w:r w:rsidRPr="005B3B0C">
              <w:rPr>
                <w:rFonts w:ascii="Gill Sans MT" w:eastAsia="Tahoma" w:hAnsi="Gill Sans MT" w:cs="Tahoma"/>
                <w:b/>
                <w:bCs/>
                <w:color w:val="1F497D"/>
                <w:kern w:val="24"/>
                <w:sz w:val="20"/>
                <w:szCs w:val="20"/>
                <w:lang w:eastAsia="zh-CN"/>
              </w:rPr>
              <w:t>Prescribing Nurse</w:t>
            </w:r>
          </w:p>
        </w:tc>
        <w:tc>
          <w:tcPr>
            <w:tcW w:w="2071"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spacing w:after="120"/>
              <w:jc w:val="center"/>
              <w:rPr>
                <w:rFonts w:ascii="Gill Sans MT" w:eastAsia="Tahoma" w:hAnsi="Gill Sans MT" w:cs="Tahoma"/>
                <w:b/>
                <w:bCs/>
                <w:color w:val="1F497D"/>
                <w:kern w:val="24"/>
                <w:sz w:val="20"/>
                <w:szCs w:val="20"/>
                <w:lang w:eastAsia="zh-CN"/>
              </w:rPr>
            </w:pPr>
          </w:p>
          <w:p w:rsidR="005B3B0C" w:rsidRPr="005B3B0C" w:rsidRDefault="005B3B0C" w:rsidP="005B3B0C">
            <w:pPr>
              <w:spacing w:after="120"/>
              <w:jc w:val="center"/>
              <w:rPr>
                <w:rFonts w:ascii="Gill Sans MT" w:hAnsi="Gill Sans MT" w:cs="Arial"/>
                <w:sz w:val="20"/>
                <w:szCs w:val="20"/>
                <w:lang w:eastAsia="zh-CN"/>
              </w:rPr>
            </w:pPr>
            <w:r w:rsidRPr="005B3B0C">
              <w:rPr>
                <w:rFonts w:ascii="Gill Sans MT" w:eastAsia="Tahoma" w:hAnsi="Gill Sans MT" w:cs="Tahoma"/>
                <w:b/>
                <w:bCs/>
                <w:color w:val="1F497D"/>
                <w:kern w:val="24"/>
                <w:sz w:val="20"/>
                <w:szCs w:val="20"/>
                <w:lang w:eastAsia="zh-CN"/>
              </w:rPr>
              <w:t>Own Doctor</w:t>
            </w:r>
          </w:p>
        </w:tc>
        <w:tc>
          <w:tcPr>
            <w:tcW w:w="2124"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5" w:type="dxa"/>
              <w:bottom w:w="0" w:type="dxa"/>
              <w:right w:w="15" w:type="dxa"/>
            </w:tcMar>
            <w:vAlign w:val="center"/>
            <w:hideMark/>
          </w:tcPr>
          <w:p w:rsidR="005B3B0C" w:rsidRPr="005B3B0C" w:rsidRDefault="005B3B0C" w:rsidP="005B3B0C">
            <w:pPr>
              <w:jc w:val="center"/>
              <w:rPr>
                <w:rFonts w:ascii="Gill Sans MT" w:eastAsia="Tahoma" w:hAnsi="Gill Sans MT" w:cs="Tahoma"/>
                <w:b/>
                <w:bCs/>
                <w:color w:val="1F497D"/>
                <w:kern w:val="24"/>
                <w:sz w:val="20"/>
                <w:szCs w:val="20"/>
                <w:lang w:eastAsia="zh-CN"/>
              </w:rPr>
            </w:pPr>
            <w:r w:rsidRPr="005B3B0C">
              <w:rPr>
                <w:rFonts w:ascii="Gill Sans MT" w:eastAsia="Tahoma" w:hAnsi="Gill Sans MT" w:cs="Tahoma"/>
                <w:b/>
                <w:bCs/>
                <w:color w:val="1F497D"/>
                <w:kern w:val="24"/>
                <w:sz w:val="20"/>
                <w:szCs w:val="20"/>
                <w:lang w:eastAsia="zh-CN"/>
              </w:rPr>
              <w:t> </w:t>
            </w:r>
          </w:p>
          <w:p w:rsidR="005B3B0C" w:rsidRPr="005B3B0C" w:rsidRDefault="005B3B0C" w:rsidP="005B3B0C">
            <w:pPr>
              <w:jc w:val="center"/>
              <w:rPr>
                <w:rFonts w:ascii="Gill Sans MT" w:hAnsi="Gill Sans MT" w:cs="Arial"/>
                <w:sz w:val="20"/>
                <w:szCs w:val="20"/>
                <w:lang w:eastAsia="zh-CN"/>
              </w:rPr>
            </w:pPr>
            <w:r w:rsidRPr="005B3B0C">
              <w:rPr>
                <w:rFonts w:ascii="Gill Sans MT" w:eastAsia="Tahoma" w:hAnsi="Gill Sans MT" w:cs="Tahoma"/>
                <w:b/>
                <w:bCs/>
                <w:color w:val="1F497D"/>
                <w:kern w:val="24"/>
                <w:sz w:val="20"/>
                <w:szCs w:val="20"/>
                <w:lang w:eastAsia="zh-CN"/>
              </w:rPr>
              <w:t>Do Nothing</w:t>
            </w:r>
          </w:p>
        </w:tc>
      </w:tr>
      <w:tr w:rsidR="005B3B0C" w:rsidRPr="005B3B0C" w:rsidTr="00417324">
        <w:trPr>
          <w:trHeight w:val="651"/>
        </w:trPr>
        <w:tc>
          <w:tcPr>
            <w:tcW w:w="1989"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b/>
                <w:bCs/>
                <w:color w:val="000000"/>
                <w:kern w:val="24"/>
                <w:sz w:val="20"/>
                <w:szCs w:val="20"/>
                <w:lang w:eastAsia="zh-CN"/>
              </w:rPr>
            </w:pPr>
          </w:p>
          <w:p w:rsidR="005B3B0C" w:rsidRPr="005B3B0C" w:rsidRDefault="005B3B0C" w:rsidP="005B3B0C">
            <w:pPr>
              <w:jc w:val="center"/>
              <w:rPr>
                <w:rFonts w:ascii="Gill Sans MT" w:hAnsi="Gill Sans MT" w:cs="Arial"/>
                <w:sz w:val="20"/>
                <w:szCs w:val="20"/>
                <w:lang w:eastAsia="zh-CN"/>
              </w:rPr>
            </w:pPr>
            <w:r w:rsidRPr="005B3B0C">
              <w:rPr>
                <w:rFonts w:ascii="Gill Sans MT" w:eastAsia="Tahoma" w:hAnsi="Gill Sans MT" w:cs="Tahoma"/>
                <w:b/>
                <w:bCs/>
                <w:color w:val="000000"/>
                <w:kern w:val="24"/>
                <w:sz w:val="20"/>
                <w:szCs w:val="20"/>
                <w:lang w:eastAsia="zh-CN"/>
              </w:rPr>
              <w:t>ACCESS</w:t>
            </w:r>
          </w:p>
        </w:tc>
        <w:tc>
          <w:tcPr>
            <w:tcW w:w="2071"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see same day at WIC*</w:t>
            </w:r>
          </w:p>
        </w:tc>
        <w:tc>
          <w:tcPr>
            <w:tcW w:w="2071"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see 2 days later at surgery</w:t>
            </w:r>
          </w:p>
        </w:tc>
        <w:tc>
          <w:tcPr>
            <w:tcW w:w="2124"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5" w:type="dxa"/>
              <w:bottom w:w="0" w:type="dxa"/>
              <w:right w:w="15" w:type="dxa"/>
            </w:tcMar>
            <w:vAlign w:val="center"/>
            <w:hideMark/>
          </w:tcPr>
          <w:p w:rsidR="005B3B0C" w:rsidRPr="005B3B0C" w:rsidRDefault="005B3B0C" w:rsidP="005B3B0C">
            <w:pPr>
              <w:jc w:val="center"/>
              <w:rPr>
                <w:rFonts w:ascii="Gill Sans MT" w:hAnsi="Gill Sans MT" w:cs="Arial"/>
                <w:sz w:val="18"/>
                <w:szCs w:val="18"/>
                <w:lang w:eastAsia="zh-CN"/>
              </w:rPr>
            </w:pPr>
            <w:r w:rsidRPr="005B3B0C">
              <w:rPr>
                <w:rFonts w:ascii="Gill Sans MT" w:hAnsi="Gill Sans MT" w:cs="Arial"/>
                <w:sz w:val="18"/>
                <w:szCs w:val="18"/>
                <w:lang w:eastAsia="zh-CN"/>
              </w:rPr>
              <w:t>-</w:t>
            </w:r>
          </w:p>
        </w:tc>
      </w:tr>
      <w:tr w:rsidR="005B3B0C" w:rsidRPr="005B3B0C" w:rsidTr="00417324">
        <w:trPr>
          <w:trHeight w:val="391"/>
        </w:trPr>
        <w:tc>
          <w:tcPr>
            <w:tcW w:w="1989" w:type="dxa"/>
            <w:tcBorders>
              <w:top w:val="single" w:sz="8"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b/>
                <w:bCs/>
                <w:color w:val="000000"/>
                <w:kern w:val="24"/>
                <w:sz w:val="20"/>
                <w:szCs w:val="20"/>
                <w:lang w:eastAsia="zh-CN"/>
              </w:rPr>
            </w:pPr>
          </w:p>
          <w:p w:rsidR="005B3B0C" w:rsidRPr="005B3B0C" w:rsidRDefault="005B3B0C" w:rsidP="005B3B0C">
            <w:pPr>
              <w:jc w:val="center"/>
              <w:rPr>
                <w:rFonts w:ascii="Gill Sans MT" w:hAnsi="Gill Sans MT" w:cs="Arial"/>
                <w:sz w:val="20"/>
                <w:szCs w:val="20"/>
                <w:lang w:eastAsia="zh-CN"/>
              </w:rPr>
            </w:pPr>
            <w:r w:rsidRPr="005B3B0C">
              <w:rPr>
                <w:rFonts w:ascii="Gill Sans MT" w:eastAsia="Tahoma" w:hAnsi="Gill Sans MT" w:cs="Tahoma"/>
                <w:b/>
                <w:bCs/>
                <w:color w:val="000000"/>
                <w:kern w:val="24"/>
                <w:sz w:val="20"/>
                <w:szCs w:val="20"/>
                <w:lang w:eastAsia="zh-CN"/>
              </w:rPr>
              <w:t>LENGTH</w:t>
            </w:r>
          </w:p>
        </w:tc>
        <w:tc>
          <w:tcPr>
            <w:tcW w:w="2071" w:type="dxa"/>
            <w:tcBorders>
              <w:top w:val="single" w:sz="8"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Consultation is 40 min</w:t>
            </w:r>
          </w:p>
        </w:tc>
        <w:tc>
          <w:tcPr>
            <w:tcW w:w="2071" w:type="dxa"/>
            <w:tcBorders>
              <w:top w:val="single" w:sz="8"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Consultation is 5 min</w:t>
            </w:r>
          </w:p>
        </w:tc>
        <w:tc>
          <w:tcPr>
            <w:tcW w:w="2124" w:type="dxa"/>
            <w:tcBorders>
              <w:top w:val="single" w:sz="8" w:space="0" w:color="FFFFFF"/>
              <w:left w:val="single" w:sz="8" w:space="0" w:color="FFFFFF"/>
              <w:bottom w:val="single" w:sz="8" w:space="0" w:color="FFFFFF"/>
              <w:right w:val="single" w:sz="8" w:space="0" w:color="FFFFFF"/>
            </w:tcBorders>
            <w:shd w:val="clear" w:color="auto" w:fill="C6D9F1"/>
            <w:tcMar>
              <w:top w:w="15" w:type="dxa"/>
              <w:left w:w="15" w:type="dxa"/>
              <w:bottom w:w="0" w:type="dxa"/>
              <w:right w:w="15" w:type="dxa"/>
            </w:tcMar>
            <w:vAlign w:val="center"/>
            <w:hideMark/>
          </w:tcPr>
          <w:p w:rsidR="005B3B0C" w:rsidRPr="005B3B0C" w:rsidRDefault="005B3B0C" w:rsidP="005B3B0C">
            <w:pPr>
              <w:jc w:val="center"/>
              <w:rPr>
                <w:rFonts w:ascii="Gill Sans MT" w:hAnsi="Gill Sans MT" w:cs="Arial"/>
                <w:sz w:val="18"/>
                <w:szCs w:val="18"/>
                <w:lang w:eastAsia="zh-CN"/>
              </w:rPr>
            </w:pPr>
            <w:r w:rsidRPr="005B3B0C">
              <w:rPr>
                <w:rFonts w:ascii="Gill Sans MT" w:hAnsi="Gill Sans MT" w:cs="Arial"/>
                <w:sz w:val="18"/>
                <w:szCs w:val="18"/>
                <w:lang w:eastAsia="zh-CN"/>
              </w:rPr>
              <w:t>-</w:t>
            </w:r>
          </w:p>
        </w:tc>
      </w:tr>
      <w:tr w:rsidR="005B3B0C" w:rsidRPr="005B3B0C" w:rsidTr="00417324">
        <w:trPr>
          <w:trHeight w:val="651"/>
        </w:trPr>
        <w:tc>
          <w:tcPr>
            <w:tcW w:w="1989" w:type="dxa"/>
            <w:tcBorders>
              <w:top w:val="single" w:sz="8"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b/>
                <w:bCs/>
                <w:color w:val="000000"/>
                <w:kern w:val="24"/>
                <w:sz w:val="20"/>
                <w:szCs w:val="20"/>
                <w:lang w:eastAsia="zh-CN"/>
              </w:rPr>
            </w:pPr>
          </w:p>
          <w:p w:rsidR="005B3B0C" w:rsidRPr="005B3B0C" w:rsidRDefault="005B3B0C" w:rsidP="005B3B0C">
            <w:pPr>
              <w:jc w:val="center"/>
              <w:rPr>
                <w:rFonts w:ascii="Gill Sans MT" w:hAnsi="Gill Sans MT" w:cs="Arial"/>
                <w:sz w:val="20"/>
                <w:szCs w:val="20"/>
                <w:lang w:eastAsia="zh-CN"/>
              </w:rPr>
            </w:pPr>
            <w:r w:rsidRPr="005B3B0C">
              <w:rPr>
                <w:rFonts w:ascii="Gill Sans MT" w:eastAsia="Tahoma" w:hAnsi="Gill Sans MT" w:cs="Tahoma"/>
                <w:b/>
                <w:bCs/>
                <w:color w:val="000000"/>
                <w:kern w:val="24"/>
                <w:sz w:val="20"/>
                <w:szCs w:val="20"/>
                <w:lang w:eastAsia="zh-CN"/>
              </w:rPr>
              <w:t>ATTENTION</w:t>
            </w:r>
          </w:p>
        </w:tc>
        <w:tc>
          <w:tcPr>
            <w:tcW w:w="2071" w:type="dxa"/>
            <w:tcBorders>
              <w:top w:val="single" w:sz="8"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Professional appears to listen</w:t>
            </w:r>
          </w:p>
        </w:tc>
        <w:tc>
          <w:tcPr>
            <w:tcW w:w="2071" w:type="dxa"/>
            <w:tcBorders>
              <w:top w:val="single" w:sz="8"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Professional appears not to listen</w:t>
            </w:r>
          </w:p>
        </w:tc>
        <w:tc>
          <w:tcPr>
            <w:tcW w:w="2124" w:type="dxa"/>
            <w:tcBorders>
              <w:top w:val="single" w:sz="8" w:space="0" w:color="FFFFFF"/>
              <w:left w:val="single" w:sz="8" w:space="0" w:color="FFFFFF"/>
              <w:bottom w:val="single" w:sz="8" w:space="0" w:color="FFFFFF"/>
              <w:right w:val="single" w:sz="8" w:space="0" w:color="FFFFFF"/>
            </w:tcBorders>
            <w:shd w:val="clear" w:color="auto" w:fill="C6D9F1"/>
            <w:tcMar>
              <w:top w:w="15" w:type="dxa"/>
              <w:left w:w="15" w:type="dxa"/>
              <w:bottom w:w="0" w:type="dxa"/>
              <w:right w:w="15" w:type="dxa"/>
            </w:tcMar>
            <w:vAlign w:val="center"/>
            <w:hideMark/>
          </w:tcPr>
          <w:p w:rsidR="005B3B0C" w:rsidRPr="005B3B0C" w:rsidRDefault="005B3B0C" w:rsidP="005B3B0C">
            <w:pPr>
              <w:jc w:val="center"/>
              <w:rPr>
                <w:rFonts w:ascii="Gill Sans MT" w:hAnsi="Gill Sans MT" w:cs="Arial"/>
                <w:sz w:val="18"/>
                <w:szCs w:val="18"/>
                <w:lang w:eastAsia="zh-CN"/>
              </w:rPr>
            </w:pPr>
            <w:r w:rsidRPr="005B3B0C">
              <w:rPr>
                <w:rFonts w:ascii="Gill Sans MT" w:hAnsi="Gill Sans MT" w:cs="Arial"/>
                <w:sz w:val="18"/>
                <w:szCs w:val="18"/>
                <w:lang w:eastAsia="zh-CN"/>
              </w:rPr>
              <w:t>-</w:t>
            </w:r>
          </w:p>
        </w:tc>
      </w:tr>
      <w:tr w:rsidR="005B3B0C" w:rsidRPr="005B3B0C" w:rsidTr="00417324">
        <w:trPr>
          <w:trHeight w:val="651"/>
        </w:trPr>
        <w:tc>
          <w:tcPr>
            <w:tcW w:w="1989"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b/>
                <w:bCs/>
                <w:color w:val="000000"/>
                <w:kern w:val="24"/>
                <w:sz w:val="20"/>
                <w:szCs w:val="20"/>
                <w:lang w:eastAsia="zh-CN"/>
              </w:rPr>
            </w:pPr>
          </w:p>
          <w:p w:rsidR="005B3B0C" w:rsidRPr="005B3B0C" w:rsidRDefault="005B3B0C" w:rsidP="005B3B0C">
            <w:pPr>
              <w:jc w:val="center"/>
              <w:rPr>
                <w:rFonts w:ascii="Gill Sans MT" w:hAnsi="Gill Sans MT" w:cs="Arial"/>
                <w:sz w:val="20"/>
                <w:szCs w:val="20"/>
                <w:lang w:eastAsia="zh-CN"/>
              </w:rPr>
            </w:pPr>
            <w:r w:rsidRPr="005B3B0C">
              <w:rPr>
                <w:rFonts w:ascii="Gill Sans MT" w:eastAsia="Tahoma" w:hAnsi="Gill Sans MT" w:cs="Tahoma"/>
                <w:b/>
                <w:bCs/>
                <w:color w:val="000000"/>
                <w:kern w:val="24"/>
                <w:sz w:val="20"/>
                <w:szCs w:val="20"/>
                <w:lang w:eastAsia="zh-CN"/>
              </w:rPr>
              <w:t>HELP</w:t>
            </w:r>
          </w:p>
        </w:tc>
        <w:tc>
          <w:tcPr>
            <w:tcW w:w="2071"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Professional offers diagnosis &amp; medicines advice</w:t>
            </w:r>
          </w:p>
        </w:tc>
        <w:tc>
          <w:tcPr>
            <w:tcW w:w="2071"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jc w:val="center"/>
              <w:rPr>
                <w:rFonts w:ascii="Gill Sans MT" w:eastAsia="Tahoma" w:hAnsi="Gill Sans MT" w:cs="Tahoma"/>
                <w:color w:val="000000"/>
                <w:kern w:val="24"/>
                <w:sz w:val="18"/>
                <w:szCs w:val="18"/>
                <w:lang w:eastAsia="zh-CN"/>
              </w:rPr>
            </w:pPr>
          </w:p>
          <w:p w:rsidR="005B3B0C" w:rsidRPr="005B3B0C" w:rsidRDefault="005B3B0C" w:rsidP="005B3B0C">
            <w:pPr>
              <w:jc w:val="center"/>
              <w:rPr>
                <w:rFonts w:ascii="Gill Sans MT" w:hAnsi="Gill Sans MT" w:cs="Arial"/>
                <w:sz w:val="18"/>
                <w:szCs w:val="18"/>
                <w:lang w:eastAsia="zh-CN"/>
              </w:rPr>
            </w:pPr>
            <w:r w:rsidRPr="005B3B0C">
              <w:rPr>
                <w:rFonts w:ascii="Gill Sans MT" w:eastAsia="Tahoma" w:hAnsi="Gill Sans MT" w:cs="Tahoma"/>
                <w:color w:val="000000"/>
                <w:kern w:val="24"/>
                <w:sz w:val="18"/>
                <w:szCs w:val="18"/>
                <w:lang w:eastAsia="zh-CN"/>
              </w:rPr>
              <w:t>Professional offers only diagnosis</w:t>
            </w:r>
          </w:p>
        </w:tc>
        <w:tc>
          <w:tcPr>
            <w:tcW w:w="2124" w:type="dxa"/>
            <w:tcBorders>
              <w:top w:val="single" w:sz="8" w:space="0" w:color="FFFFFF"/>
              <w:left w:val="single" w:sz="8" w:space="0" w:color="FFFFFF"/>
              <w:bottom w:val="single" w:sz="24" w:space="0" w:color="FFFFFF"/>
              <w:right w:val="single" w:sz="8" w:space="0" w:color="FFFFFF"/>
            </w:tcBorders>
            <w:shd w:val="clear" w:color="auto" w:fill="C6D9F1"/>
            <w:tcMar>
              <w:top w:w="15" w:type="dxa"/>
              <w:left w:w="15" w:type="dxa"/>
              <w:bottom w:w="0" w:type="dxa"/>
              <w:right w:w="15" w:type="dxa"/>
            </w:tcMar>
            <w:vAlign w:val="center"/>
            <w:hideMark/>
          </w:tcPr>
          <w:p w:rsidR="005B3B0C" w:rsidRPr="005B3B0C" w:rsidRDefault="005B3B0C" w:rsidP="005B3B0C">
            <w:pPr>
              <w:jc w:val="center"/>
              <w:rPr>
                <w:rFonts w:ascii="Gill Sans MT" w:hAnsi="Gill Sans MT" w:cs="Arial"/>
                <w:sz w:val="18"/>
                <w:szCs w:val="18"/>
                <w:lang w:eastAsia="zh-CN"/>
              </w:rPr>
            </w:pPr>
            <w:r w:rsidRPr="005B3B0C">
              <w:rPr>
                <w:rFonts w:ascii="Gill Sans MT" w:hAnsi="Gill Sans MT" w:cs="Arial"/>
                <w:sz w:val="18"/>
                <w:szCs w:val="18"/>
                <w:lang w:eastAsia="zh-CN"/>
              </w:rPr>
              <w:t>-</w:t>
            </w:r>
          </w:p>
        </w:tc>
      </w:tr>
      <w:tr w:rsidR="005B3B0C" w:rsidRPr="005B3B0C" w:rsidTr="00417324">
        <w:trPr>
          <w:trHeight w:val="754"/>
        </w:trPr>
        <w:tc>
          <w:tcPr>
            <w:tcW w:w="1989"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rPr>
                <w:rFonts w:ascii="Gill Sans MT" w:eastAsia="Tahoma" w:hAnsi="Gill Sans MT" w:cs="Tahoma"/>
                <w:b/>
                <w:bCs/>
                <w:color w:val="000000"/>
                <w:kern w:val="24"/>
                <w:sz w:val="18"/>
                <w:szCs w:val="18"/>
                <w:lang w:eastAsia="zh-CN"/>
              </w:rPr>
            </w:pPr>
          </w:p>
          <w:p w:rsidR="005B3B0C" w:rsidRPr="005B3B0C" w:rsidRDefault="005B3B0C" w:rsidP="005B3B0C">
            <w:pPr>
              <w:rPr>
                <w:rFonts w:ascii="Gill Sans MT" w:eastAsia="Tahoma" w:hAnsi="Gill Sans MT" w:cs="Tahoma"/>
                <w:b/>
                <w:bCs/>
                <w:color w:val="000000"/>
                <w:kern w:val="24"/>
                <w:sz w:val="18"/>
                <w:szCs w:val="18"/>
                <w:lang w:eastAsia="zh-CN"/>
              </w:rPr>
            </w:pPr>
            <w:r w:rsidRPr="005B3B0C">
              <w:rPr>
                <w:rFonts w:ascii="Gill Sans MT" w:eastAsia="Tahoma" w:hAnsi="Gill Sans MT" w:cs="Tahoma"/>
                <w:b/>
                <w:bCs/>
                <w:color w:val="000000"/>
                <w:kern w:val="24"/>
                <w:sz w:val="18"/>
                <w:szCs w:val="18"/>
                <w:lang w:eastAsia="zh-CN"/>
              </w:rPr>
              <w:t>Which consultation would you choose?</w:t>
            </w:r>
          </w:p>
          <w:p w:rsidR="005B3B0C" w:rsidRPr="005B3B0C" w:rsidRDefault="005B3B0C" w:rsidP="005B3B0C">
            <w:pPr>
              <w:rPr>
                <w:rFonts w:ascii="Gill Sans MT" w:eastAsia="Tahoma" w:hAnsi="Gill Sans MT" w:cs="Tahoma"/>
                <w:b/>
                <w:bCs/>
                <w:color w:val="000000"/>
                <w:kern w:val="24"/>
                <w:sz w:val="18"/>
                <w:szCs w:val="18"/>
                <w:lang w:eastAsia="zh-CN"/>
              </w:rPr>
            </w:pPr>
          </w:p>
          <w:p w:rsidR="005B3B0C" w:rsidRPr="005B3B0C" w:rsidRDefault="005B3B0C" w:rsidP="005B3B0C">
            <w:pPr>
              <w:rPr>
                <w:rFonts w:ascii="Gill Sans MT" w:hAnsi="Gill Sans MT" w:cs="Arial"/>
                <w:sz w:val="18"/>
                <w:szCs w:val="18"/>
                <w:lang w:eastAsia="zh-CN"/>
              </w:rPr>
            </w:pPr>
            <w:r w:rsidRPr="005B3B0C">
              <w:rPr>
                <w:rFonts w:ascii="Gill Sans MT" w:eastAsia="Tahoma" w:hAnsi="Gill Sans MT" w:cs="Tahoma"/>
                <w:b/>
                <w:bCs/>
                <w:color w:val="000000"/>
                <w:kern w:val="24"/>
                <w:sz w:val="18"/>
                <w:szCs w:val="18"/>
                <w:lang w:eastAsia="zh-CN"/>
              </w:rPr>
              <w:lastRenderedPageBreak/>
              <w:t xml:space="preserve"> (Tick one box only)</w:t>
            </w:r>
          </w:p>
        </w:tc>
        <w:tc>
          <w:tcPr>
            <w:tcW w:w="2071"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ind w:right="101"/>
              <w:jc w:val="center"/>
              <w:rPr>
                <w:rFonts w:ascii="Gill Sans MT" w:eastAsia="Tahoma" w:hAnsi="Gill Sans MT" w:cs="Tahoma"/>
                <w:b/>
                <w:bCs/>
                <w:color w:val="1F497D"/>
                <w:kern w:val="24"/>
                <w:sz w:val="20"/>
                <w:szCs w:val="20"/>
                <w:lang w:eastAsia="zh-CN"/>
              </w:rPr>
            </w:pPr>
          </w:p>
          <w:p w:rsidR="005B3B0C" w:rsidRPr="005B3B0C" w:rsidRDefault="005B3B0C" w:rsidP="005B3B0C">
            <w:pPr>
              <w:ind w:right="101"/>
              <w:jc w:val="center"/>
              <w:rPr>
                <w:rFonts w:ascii="Gill Sans MT" w:eastAsia="Tahoma" w:hAnsi="Gill Sans MT" w:cs="Tahoma"/>
                <w:b/>
                <w:bCs/>
                <w:color w:val="1F497D"/>
                <w:kern w:val="24"/>
                <w:sz w:val="20"/>
                <w:szCs w:val="20"/>
                <w:lang w:eastAsia="zh-CN"/>
              </w:rPr>
            </w:pPr>
          </w:p>
          <w:p w:rsidR="005B3B0C" w:rsidRPr="005B3B0C" w:rsidRDefault="005B3B0C" w:rsidP="005B3B0C">
            <w:pPr>
              <w:ind w:right="101"/>
              <w:jc w:val="center"/>
              <w:rPr>
                <w:rFonts w:ascii="Gill Sans MT" w:hAnsi="Gill Sans MT" w:cs="Arial"/>
                <w:b/>
                <w:bCs/>
                <w:color w:val="1F497D"/>
                <w:sz w:val="32"/>
                <w:szCs w:val="32"/>
                <w:lang w:eastAsia="zh-CN"/>
              </w:rPr>
            </w:pPr>
            <w:r w:rsidRPr="005B3B0C">
              <w:rPr>
                <w:rFonts w:ascii="Gill Sans MT" w:eastAsia="Tahoma" w:hAnsi="Gill Sans MT" w:cs="Tahoma"/>
                <w:b/>
                <w:bCs/>
                <w:color w:val="1F497D"/>
                <w:kern w:val="24"/>
                <w:sz w:val="32"/>
                <w:szCs w:val="32"/>
                <w:lang w:eastAsia="zh-CN"/>
              </w:rPr>
              <w:sym w:font="Wingdings 2" w:char="F030"/>
            </w:r>
          </w:p>
        </w:tc>
        <w:tc>
          <w:tcPr>
            <w:tcW w:w="2071"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rPr>
                <w:rFonts w:ascii="Gill Sans MT" w:eastAsia="Tahoma" w:hAnsi="Gill Sans MT" w:cs="Tahoma"/>
                <w:b/>
                <w:bCs/>
                <w:color w:val="1F497D"/>
                <w:kern w:val="24"/>
                <w:sz w:val="20"/>
                <w:szCs w:val="20"/>
                <w:lang w:eastAsia="zh-CN"/>
              </w:rPr>
            </w:pPr>
          </w:p>
          <w:p w:rsidR="005B3B0C" w:rsidRPr="005B3B0C" w:rsidRDefault="005B3B0C" w:rsidP="005B3B0C">
            <w:pPr>
              <w:rPr>
                <w:rFonts w:ascii="Gill Sans MT" w:eastAsia="Tahoma" w:hAnsi="Gill Sans MT" w:cs="Tahoma"/>
                <w:b/>
                <w:bCs/>
                <w:color w:val="1F497D"/>
                <w:kern w:val="24"/>
                <w:sz w:val="20"/>
                <w:szCs w:val="20"/>
                <w:lang w:eastAsia="zh-CN"/>
              </w:rPr>
            </w:pPr>
          </w:p>
          <w:p w:rsidR="005B3B0C" w:rsidRPr="005B3B0C" w:rsidRDefault="005B3B0C" w:rsidP="005B3B0C">
            <w:pPr>
              <w:jc w:val="center"/>
              <w:rPr>
                <w:rFonts w:ascii="Gill Sans MT" w:hAnsi="Gill Sans MT" w:cs="Arial"/>
                <w:b/>
                <w:bCs/>
                <w:color w:val="1F497D"/>
                <w:sz w:val="32"/>
                <w:szCs w:val="32"/>
                <w:lang w:eastAsia="zh-CN"/>
              </w:rPr>
            </w:pPr>
            <w:r w:rsidRPr="005B3B0C">
              <w:rPr>
                <w:rFonts w:ascii="Gill Sans MT" w:eastAsia="Tahoma" w:hAnsi="Gill Sans MT" w:cs="Tahoma"/>
                <w:b/>
                <w:bCs/>
                <w:color w:val="1F497D"/>
                <w:kern w:val="24"/>
                <w:sz w:val="32"/>
                <w:szCs w:val="32"/>
                <w:lang w:eastAsia="zh-CN"/>
              </w:rPr>
              <w:sym w:font="Wingdings 2" w:char="F030"/>
            </w:r>
          </w:p>
        </w:tc>
        <w:tc>
          <w:tcPr>
            <w:tcW w:w="2124" w:type="dxa"/>
            <w:tcBorders>
              <w:top w:val="single" w:sz="24" w:space="0" w:color="FFFFFF"/>
              <w:left w:val="single" w:sz="8" w:space="0" w:color="FFFFFF"/>
              <w:bottom w:val="single" w:sz="8" w:space="0" w:color="FFFFFF"/>
              <w:right w:val="single" w:sz="8" w:space="0" w:color="FFFFFF"/>
            </w:tcBorders>
            <w:shd w:val="clear" w:color="auto" w:fill="C6D9F1"/>
            <w:tcMar>
              <w:top w:w="15" w:type="dxa"/>
              <w:left w:w="108" w:type="dxa"/>
              <w:bottom w:w="0" w:type="dxa"/>
              <w:right w:w="108" w:type="dxa"/>
            </w:tcMar>
            <w:hideMark/>
          </w:tcPr>
          <w:p w:rsidR="005B3B0C" w:rsidRPr="005B3B0C" w:rsidRDefault="005B3B0C" w:rsidP="005B3B0C">
            <w:pPr>
              <w:ind w:right="101"/>
              <w:jc w:val="center"/>
              <w:rPr>
                <w:rFonts w:ascii="Gill Sans MT" w:eastAsia="Tahoma" w:hAnsi="Gill Sans MT" w:cs="Tahoma"/>
                <w:b/>
                <w:bCs/>
                <w:color w:val="1F497D"/>
                <w:kern w:val="24"/>
                <w:sz w:val="20"/>
                <w:szCs w:val="20"/>
                <w:lang w:eastAsia="zh-CN"/>
              </w:rPr>
            </w:pPr>
          </w:p>
          <w:p w:rsidR="005B3B0C" w:rsidRPr="005B3B0C" w:rsidRDefault="005B3B0C" w:rsidP="005B3B0C">
            <w:pPr>
              <w:ind w:right="101"/>
              <w:jc w:val="center"/>
              <w:rPr>
                <w:rFonts w:ascii="Gill Sans MT" w:eastAsia="Tahoma" w:hAnsi="Gill Sans MT" w:cs="Tahoma"/>
                <w:b/>
                <w:bCs/>
                <w:color w:val="1F497D"/>
                <w:kern w:val="24"/>
                <w:sz w:val="20"/>
                <w:szCs w:val="20"/>
                <w:lang w:eastAsia="zh-CN"/>
              </w:rPr>
            </w:pPr>
          </w:p>
          <w:p w:rsidR="005B3B0C" w:rsidRPr="005B3B0C" w:rsidRDefault="005B3B0C" w:rsidP="005B3B0C">
            <w:pPr>
              <w:ind w:right="101"/>
              <w:jc w:val="center"/>
              <w:rPr>
                <w:rFonts w:ascii="Gill Sans MT" w:hAnsi="Gill Sans MT" w:cs="Arial"/>
                <w:b/>
                <w:bCs/>
                <w:color w:val="1F497D"/>
                <w:sz w:val="32"/>
                <w:szCs w:val="32"/>
                <w:lang w:eastAsia="zh-CN"/>
              </w:rPr>
            </w:pPr>
            <w:r w:rsidRPr="005B3B0C">
              <w:rPr>
                <w:rFonts w:ascii="Gill Sans MT" w:eastAsia="Tahoma" w:hAnsi="Gill Sans MT" w:cs="Tahoma"/>
                <w:b/>
                <w:bCs/>
                <w:color w:val="1F497D"/>
                <w:kern w:val="24"/>
                <w:sz w:val="32"/>
                <w:szCs w:val="32"/>
                <w:lang w:eastAsia="zh-CN"/>
              </w:rPr>
              <w:sym w:font="Wingdings 2" w:char="F030"/>
            </w:r>
          </w:p>
        </w:tc>
      </w:tr>
    </w:tbl>
    <w:p w:rsidR="005B3B0C" w:rsidRPr="005B3B0C" w:rsidRDefault="005B3B0C" w:rsidP="005B3B0C">
      <w:pPr>
        <w:rPr>
          <w:rFonts w:eastAsia="SimSun"/>
          <w:lang w:eastAsia="zh-CN"/>
        </w:rPr>
      </w:pPr>
    </w:p>
    <w:p w:rsidR="005B3B0C" w:rsidRPr="005B3B0C" w:rsidRDefault="005B3B0C" w:rsidP="005B3B0C">
      <w:pPr>
        <w:kinsoku w:val="0"/>
        <w:overflowPunct w:val="0"/>
        <w:jc w:val="center"/>
        <w:textAlignment w:val="baseline"/>
        <w:rPr>
          <w:lang w:eastAsia="zh-CN"/>
        </w:rPr>
      </w:pPr>
    </w:p>
    <w:p w:rsidR="005B3B0C" w:rsidRPr="005B3B0C" w:rsidRDefault="005B3B0C" w:rsidP="005B3B0C">
      <w:pPr>
        <w:rPr>
          <w:rFonts w:eastAsia="SimSun"/>
          <w:lang w:eastAsia="zh-CN"/>
        </w:rPr>
      </w:pPr>
    </w:p>
    <w:p w:rsidR="005B3B0C" w:rsidRPr="000B0BE4" w:rsidRDefault="005B3B0C" w:rsidP="004570CE">
      <w:pPr>
        <w:rPr>
          <w:sz w:val="20"/>
          <w:szCs w:val="20"/>
        </w:rPr>
      </w:pPr>
    </w:p>
    <w:sectPr w:rsidR="005B3B0C" w:rsidRPr="000B0BE4">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0D" w:rsidRDefault="001D080D" w:rsidP="003934D6">
      <w:r>
        <w:separator/>
      </w:r>
    </w:p>
  </w:endnote>
  <w:endnote w:type="continuationSeparator" w:id="0">
    <w:p w:rsidR="001D080D" w:rsidRDefault="001D080D" w:rsidP="0039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eo Sans Std">
    <w:altName w:val="Neo Sans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AF" w:rsidRPr="00724AB2" w:rsidRDefault="004938AF" w:rsidP="00C523EB">
    <w:pPr>
      <w:pStyle w:val="Footer"/>
      <w:rPr>
        <w:sz w:val="18"/>
        <w:szCs w:val="18"/>
      </w:rPr>
    </w:pPr>
    <w:r w:rsidRPr="00724AB2">
      <w:rPr>
        <w:sz w:val="18"/>
        <w:szCs w:val="18"/>
        <w:lang w:eastAsia="zh-CN"/>
      </w:rPr>
      <w:tab/>
    </w:r>
    <w:r w:rsidRPr="00724AB2">
      <w:rPr>
        <w:sz w:val="18"/>
        <w:szCs w:val="18"/>
      </w:rPr>
      <w:fldChar w:fldCharType="begin"/>
    </w:r>
    <w:r w:rsidRPr="00724AB2">
      <w:rPr>
        <w:sz w:val="18"/>
        <w:szCs w:val="18"/>
      </w:rPr>
      <w:instrText xml:space="preserve"> PAGE   \* MERGEFORMAT </w:instrText>
    </w:r>
    <w:r w:rsidRPr="00724AB2">
      <w:rPr>
        <w:sz w:val="18"/>
        <w:szCs w:val="18"/>
      </w:rPr>
      <w:fldChar w:fldCharType="separate"/>
    </w:r>
    <w:r w:rsidR="0051440B" w:rsidRPr="0051440B">
      <w:rPr>
        <w:rFonts w:eastAsia="SimSun"/>
        <w:noProof/>
        <w:sz w:val="18"/>
        <w:szCs w:val="18"/>
        <w:lang w:eastAsia="zh-CN"/>
      </w:rPr>
      <w:t>1</w:t>
    </w:r>
    <w:r w:rsidRPr="00724AB2">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0D" w:rsidRDefault="001D080D" w:rsidP="003934D6">
      <w:r>
        <w:separator/>
      </w:r>
    </w:p>
  </w:footnote>
  <w:footnote w:type="continuationSeparator" w:id="0">
    <w:p w:rsidR="001D080D" w:rsidRDefault="001D080D" w:rsidP="00393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0268_"/>
      </v:shape>
    </w:pict>
  </w:numPicBullet>
  <w:abstractNum w:abstractNumId="0">
    <w:nsid w:val="03714479"/>
    <w:multiLevelType w:val="hybridMultilevel"/>
    <w:tmpl w:val="E4F4206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CA3181"/>
    <w:multiLevelType w:val="hybridMultilevel"/>
    <w:tmpl w:val="7DF0DB70"/>
    <w:lvl w:ilvl="0" w:tplc="34E6C08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6E324F"/>
    <w:multiLevelType w:val="hybridMultilevel"/>
    <w:tmpl w:val="6AEE88D0"/>
    <w:lvl w:ilvl="0" w:tplc="0EBA3248">
      <w:start w:val="1"/>
      <w:numFmt w:val="bullet"/>
      <w:lvlText w:val="o"/>
      <w:lvlJc w:val="left"/>
      <w:pPr>
        <w:tabs>
          <w:tab w:val="num" w:pos="720"/>
        </w:tabs>
        <w:ind w:left="720" w:hanging="360"/>
      </w:pPr>
      <w:rPr>
        <w:rFonts w:ascii="Times New Roman" w:hAnsi="Times New Roman" w:hint="default"/>
      </w:rPr>
    </w:lvl>
    <w:lvl w:ilvl="1" w:tplc="66E61FE4">
      <w:start w:val="1"/>
      <w:numFmt w:val="bullet"/>
      <w:lvlText w:val="o"/>
      <w:lvlJc w:val="left"/>
      <w:pPr>
        <w:tabs>
          <w:tab w:val="num" w:pos="1440"/>
        </w:tabs>
        <w:ind w:left="1440" w:hanging="360"/>
      </w:pPr>
      <w:rPr>
        <w:rFonts w:ascii="Times New Roman" w:hAnsi="Times New Roman" w:hint="default"/>
      </w:rPr>
    </w:lvl>
    <w:lvl w:ilvl="2" w:tplc="F50A1808" w:tentative="1">
      <w:start w:val="1"/>
      <w:numFmt w:val="bullet"/>
      <w:lvlText w:val="o"/>
      <w:lvlJc w:val="left"/>
      <w:pPr>
        <w:tabs>
          <w:tab w:val="num" w:pos="2160"/>
        </w:tabs>
        <w:ind w:left="2160" w:hanging="360"/>
      </w:pPr>
      <w:rPr>
        <w:rFonts w:ascii="Times New Roman" w:hAnsi="Times New Roman" w:hint="default"/>
      </w:rPr>
    </w:lvl>
    <w:lvl w:ilvl="3" w:tplc="5BC030E8" w:tentative="1">
      <w:start w:val="1"/>
      <w:numFmt w:val="bullet"/>
      <w:lvlText w:val="o"/>
      <w:lvlJc w:val="left"/>
      <w:pPr>
        <w:tabs>
          <w:tab w:val="num" w:pos="2880"/>
        </w:tabs>
        <w:ind w:left="2880" w:hanging="360"/>
      </w:pPr>
      <w:rPr>
        <w:rFonts w:ascii="Times New Roman" w:hAnsi="Times New Roman" w:hint="default"/>
      </w:rPr>
    </w:lvl>
    <w:lvl w:ilvl="4" w:tplc="7D686D66" w:tentative="1">
      <w:start w:val="1"/>
      <w:numFmt w:val="bullet"/>
      <w:lvlText w:val="o"/>
      <w:lvlJc w:val="left"/>
      <w:pPr>
        <w:tabs>
          <w:tab w:val="num" w:pos="3600"/>
        </w:tabs>
        <w:ind w:left="3600" w:hanging="360"/>
      </w:pPr>
      <w:rPr>
        <w:rFonts w:ascii="Times New Roman" w:hAnsi="Times New Roman" w:hint="default"/>
      </w:rPr>
    </w:lvl>
    <w:lvl w:ilvl="5" w:tplc="41CED484" w:tentative="1">
      <w:start w:val="1"/>
      <w:numFmt w:val="bullet"/>
      <w:lvlText w:val="o"/>
      <w:lvlJc w:val="left"/>
      <w:pPr>
        <w:tabs>
          <w:tab w:val="num" w:pos="4320"/>
        </w:tabs>
        <w:ind w:left="4320" w:hanging="360"/>
      </w:pPr>
      <w:rPr>
        <w:rFonts w:ascii="Times New Roman" w:hAnsi="Times New Roman" w:hint="default"/>
      </w:rPr>
    </w:lvl>
    <w:lvl w:ilvl="6" w:tplc="6616B516" w:tentative="1">
      <w:start w:val="1"/>
      <w:numFmt w:val="bullet"/>
      <w:lvlText w:val="o"/>
      <w:lvlJc w:val="left"/>
      <w:pPr>
        <w:tabs>
          <w:tab w:val="num" w:pos="5040"/>
        </w:tabs>
        <w:ind w:left="5040" w:hanging="360"/>
      </w:pPr>
      <w:rPr>
        <w:rFonts w:ascii="Times New Roman" w:hAnsi="Times New Roman" w:hint="default"/>
      </w:rPr>
    </w:lvl>
    <w:lvl w:ilvl="7" w:tplc="C0A4EF60" w:tentative="1">
      <w:start w:val="1"/>
      <w:numFmt w:val="bullet"/>
      <w:lvlText w:val="o"/>
      <w:lvlJc w:val="left"/>
      <w:pPr>
        <w:tabs>
          <w:tab w:val="num" w:pos="5760"/>
        </w:tabs>
        <w:ind w:left="5760" w:hanging="360"/>
      </w:pPr>
      <w:rPr>
        <w:rFonts w:ascii="Times New Roman" w:hAnsi="Times New Roman" w:hint="default"/>
      </w:rPr>
    </w:lvl>
    <w:lvl w:ilvl="8" w:tplc="F8649AD4" w:tentative="1">
      <w:start w:val="1"/>
      <w:numFmt w:val="bullet"/>
      <w:lvlText w:val="o"/>
      <w:lvlJc w:val="left"/>
      <w:pPr>
        <w:tabs>
          <w:tab w:val="num" w:pos="6480"/>
        </w:tabs>
        <w:ind w:left="6480" w:hanging="360"/>
      </w:pPr>
      <w:rPr>
        <w:rFonts w:ascii="Times New Roman" w:hAnsi="Times New Roman" w:hint="default"/>
      </w:rPr>
    </w:lvl>
  </w:abstractNum>
  <w:abstractNum w:abstractNumId="3">
    <w:nsid w:val="1A974094"/>
    <w:multiLevelType w:val="hybridMultilevel"/>
    <w:tmpl w:val="4B1E28B6"/>
    <w:lvl w:ilvl="0" w:tplc="1B828DA4">
      <w:start w:val="1"/>
      <w:numFmt w:val="bullet"/>
      <w:lvlText w:val="o"/>
      <w:lvlJc w:val="left"/>
      <w:pPr>
        <w:tabs>
          <w:tab w:val="num" w:pos="720"/>
        </w:tabs>
        <w:ind w:left="720" w:hanging="360"/>
      </w:pPr>
      <w:rPr>
        <w:rFonts w:ascii="Times New Roman" w:hAnsi="Times New Roman" w:hint="default"/>
      </w:rPr>
    </w:lvl>
    <w:lvl w:ilvl="1" w:tplc="3258BBC2">
      <w:start w:val="1"/>
      <w:numFmt w:val="bullet"/>
      <w:lvlText w:val="o"/>
      <w:lvlJc w:val="left"/>
      <w:pPr>
        <w:tabs>
          <w:tab w:val="num" w:pos="1440"/>
        </w:tabs>
        <w:ind w:left="1440" w:hanging="360"/>
      </w:pPr>
      <w:rPr>
        <w:rFonts w:ascii="Times New Roman" w:hAnsi="Times New Roman" w:hint="default"/>
      </w:rPr>
    </w:lvl>
    <w:lvl w:ilvl="2" w:tplc="B0FC35AA" w:tentative="1">
      <w:start w:val="1"/>
      <w:numFmt w:val="bullet"/>
      <w:lvlText w:val="o"/>
      <w:lvlJc w:val="left"/>
      <w:pPr>
        <w:tabs>
          <w:tab w:val="num" w:pos="2160"/>
        </w:tabs>
        <w:ind w:left="2160" w:hanging="360"/>
      </w:pPr>
      <w:rPr>
        <w:rFonts w:ascii="Times New Roman" w:hAnsi="Times New Roman" w:hint="default"/>
      </w:rPr>
    </w:lvl>
    <w:lvl w:ilvl="3" w:tplc="38A209CC" w:tentative="1">
      <w:start w:val="1"/>
      <w:numFmt w:val="bullet"/>
      <w:lvlText w:val="o"/>
      <w:lvlJc w:val="left"/>
      <w:pPr>
        <w:tabs>
          <w:tab w:val="num" w:pos="2880"/>
        </w:tabs>
        <w:ind w:left="2880" w:hanging="360"/>
      </w:pPr>
      <w:rPr>
        <w:rFonts w:ascii="Times New Roman" w:hAnsi="Times New Roman" w:hint="default"/>
      </w:rPr>
    </w:lvl>
    <w:lvl w:ilvl="4" w:tplc="30209D76" w:tentative="1">
      <w:start w:val="1"/>
      <w:numFmt w:val="bullet"/>
      <w:lvlText w:val="o"/>
      <w:lvlJc w:val="left"/>
      <w:pPr>
        <w:tabs>
          <w:tab w:val="num" w:pos="3600"/>
        </w:tabs>
        <w:ind w:left="3600" w:hanging="360"/>
      </w:pPr>
      <w:rPr>
        <w:rFonts w:ascii="Times New Roman" w:hAnsi="Times New Roman" w:hint="default"/>
      </w:rPr>
    </w:lvl>
    <w:lvl w:ilvl="5" w:tplc="204A121E" w:tentative="1">
      <w:start w:val="1"/>
      <w:numFmt w:val="bullet"/>
      <w:lvlText w:val="o"/>
      <w:lvlJc w:val="left"/>
      <w:pPr>
        <w:tabs>
          <w:tab w:val="num" w:pos="4320"/>
        </w:tabs>
        <w:ind w:left="4320" w:hanging="360"/>
      </w:pPr>
      <w:rPr>
        <w:rFonts w:ascii="Times New Roman" w:hAnsi="Times New Roman" w:hint="default"/>
      </w:rPr>
    </w:lvl>
    <w:lvl w:ilvl="6" w:tplc="83667960" w:tentative="1">
      <w:start w:val="1"/>
      <w:numFmt w:val="bullet"/>
      <w:lvlText w:val="o"/>
      <w:lvlJc w:val="left"/>
      <w:pPr>
        <w:tabs>
          <w:tab w:val="num" w:pos="5040"/>
        </w:tabs>
        <w:ind w:left="5040" w:hanging="360"/>
      </w:pPr>
      <w:rPr>
        <w:rFonts w:ascii="Times New Roman" w:hAnsi="Times New Roman" w:hint="default"/>
      </w:rPr>
    </w:lvl>
    <w:lvl w:ilvl="7" w:tplc="F11204F4" w:tentative="1">
      <w:start w:val="1"/>
      <w:numFmt w:val="bullet"/>
      <w:lvlText w:val="o"/>
      <w:lvlJc w:val="left"/>
      <w:pPr>
        <w:tabs>
          <w:tab w:val="num" w:pos="5760"/>
        </w:tabs>
        <w:ind w:left="5760" w:hanging="360"/>
      </w:pPr>
      <w:rPr>
        <w:rFonts w:ascii="Times New Roman" w:hAnsi="Times New Roman" w:hint="default"/>
      </w:rPr>
    </w:lvl>
    <w:lvl w:ilvl="8" w:tplc="69DE0126" w:tentative="1">
      <w:start w:val="1"/>
      <w:numFmt w:val="bullet"/>
      <w:lvlText w:val="o"/>
      <w:lvlJc w:val="left"/>
      <w:pPr>
        <w:tabs>
          <w:tab w:val="num" w:pos="6480"/>
        </w:tabs>
        <w:ind w:left="6480" w:hanging="360"/>
      </w:pPr>
      <w:rPr>
        <w:rFonts w:ascii="Times New Roman" w:hAnsi="Times New Roman" w:hint="default"/>
      </w:rPr>
    </w:lvl>
  </w:abstractNum>
  <w:abstractNum w:abstractNumId="4">
    <w:nsid w:val="210F01DB"/>
    <w:multiLevelType w:val="hybridMultilevel"/>
    <w:tmpl w:val="B8AC1BC8"/>
    <w:lvl w:ilvl="0" w:tplc="3E2CAB06">
      <w:start w:val="1"/>
      <w:numFmt w:val="bullet"/>
      <w:lvlText w:val="o"/>
      <w:lvlJc w:val="left"/>
      <w:pPr>
        <w:tabs>
          <w:tab w:val="num" w:pos="720"/>
        </w:tabs>
        <w:ind w:left="720" w:hanging="360"/>
      </w:pPr>
      <w:rPr>
        <w:rFonts w:ascii="Times New Roman" w:hAnsi="Times New Roman" w:hint="default"/>
      </w:rPr>
    </w:lvl>
    <w:lvl w:ilvl="1" w:tplc="AA922496">
      <w:start w:val="1623"/>
      <w:numFmt w:val="bullet"/>
      <w:lvlText w:val="•"/>
      <w:lvlJc w:val="left"/>
      <w:pPr>
        <w:tabs>
          <w:tab w:val="num" w:pos="1440"/>
        </w:tabs>
        <w:ind w:left="1440" w:hanging="360"/>
      </w:pPr>
      <w:rPr>
        <w:rFonts w:ascii="Arial" w:hAnsi="Arial" w:hint="default"/>
      </w:rPr>
    </w:lvl>
    <w:lvl w:ilvl="2" w:tplc="E9FAB856" w:tentative="1">
      <w:start w:val="1"/>
      <w:numFmt w:val="bullet"/>
      <w:lvlText w:val="o"/>
      <w:lvlJc w:val="left"/>
      <w:pPr>
        <w:tabs>
          <w:tab w:val="num" w:pos="2160"/>
        </w:tabs>
        <w:ind w:left="2160" w:hanging="360"/>
      </w:pPr>
      <w:rPr>
        <w:rFonts w:ascii="Times New Roman" w:hAnsi="Times New Roman" w:hint="default"/>
      </w:rPr>
    </w:lvl>
    <w:lvl w:ilvl="3" w:tplc="67F82144" w:tentative="1">
      <w:start w:val="1"/>
      <w:numFmt w:val="bullet"/>
      <w:lvlText w:val="o"/>
      <w:lvlJc w:val="left"/>
      <w:pPr>
        <w:tabs>
          <w:tab w:val="num" w:pos="2880"/>
        </w:tabs>
        <w:ind w:left="2880" w:hanging="360"/>
      </w:pPr>
      <w:rPr>
        <w:rFonts w:ascii="Times New Roman" w:hAnsi="Times New Roman" w:hint="default"/>
      </w:rPr>
    </w:lvl>
    <w:lvl w:ilvl="4" w:tplc="A9E668A0" w:tentative="1">
      <w:start w:val="1"/>
      <w:numFmt w:val="bullet"/>
      <w:lvlText w:val="o"/>
      <w:lvlJc w:val="left"/>
      <w:pPr>
        <w:tabs>
          <w:tab w:val="num" w:pos="3600"/>
        </w:tabs>
        <w:ind w:left="3600" w:hanging="360"/>
      </w:pPr>
      <w:rPr>
        <w:rFonts w:ascii="Times New Roman" w:hAnsi="Times New Roman" w:hint="default"/>
      </w:rPr>
    </w:lvl>
    <w:lvl w:ilvl="5" w:tplc="2256BB4E" w:tentative="1">
      <w:start w:val="1"/>
      <w:numFmt w:val="bullet"/>
      <w:lvlText w:val="o"/>
      <w:lvlJc w:val="left"/>
      <w:pPr>
        <w:tabs>
          <w:tab w:val="num" w:pos="4320"/>
        </w:tabs>
        <w:ind w:left="4320" w:hanging="360"/>
      </w:pPr>
      <w:rPr>
        <w:rFonts w:ascii="Times New Roman" w:hAnsi="Times New Roman" w:hint="default"/>
      </w:rPr>
    </w:lvl>
    <w:lvl w:ilvl="6" w:tplc="2C120308" w:tentative="1">
      <w:start w:val="1"/>
      <w:numFmt w:val="bullet"/>
      <w:lvlText w:val="o"/>
      <w:lvlJc w:val="left"/>
      <w:pPr>
        <w:tabs>
          <w:tab w:val="num" w:pos="5040"/>
        </w:tabs>
        <w:ind w:left="5040" w:hanging="360"/>
      </w:pPr>
      <w:rPr>
        <w:rFonts w:ascii="Times New Roman" w:hAnsi="Times New Roman" w:hint="default"/>
      </w:rPr>
    </w:lvl>
    <w:lvl w:ilvl="7" w:tplc="9C2A9F18" w:tentative="1">
      <w:start w:val="1"/>
      <w:numFmt w:val="bullet"/>
      <w:lvlText w:val="o"/>
      <w:lvlJc w:val="left"/>
      <w:pPr>
        <w:tabs>
          <w:tab w:val="num" w:pos="5760"/>
        </w:tabs>
        <w:ind w:left="5760" w:hanging="360"/>
      </w:pPr>
      <w:rPr>
        <w:rFonts w:ascii="Times New Roman" w:hAnsi="Times New Roman" w:hint="default"/>
      </w:rPr>
    </w:lvl>
    <w:lvl w:ilvl="8" w:tplc="F6DC0FF6" w:tentative="1">
      <w:start w:val="1"/>
      <w:numFmt w:val="bullet"/>
      <w:lvlText w:val="o"/>
      <w:lvlJc w:val="left"/>
      <w:pPr>
        <w:tabs>
          <w:tab w:val="num" w:pos="6480"/>
        </w:tabs>
        <w:ind w:left="6480" w:hanging="360"/>
      </w:pPr>
      <w:rPr>
        <w:rFonts w:ascii="Times New Roman" w:hAnsi="Times New Roman" w:hint="default"/>
      </w:rPr>
    </w:lvl>
  </w:abstractNum>
  <w:abstractNum w:abstractNumId="5">
    <w:nsid w:val="2A5A749D"/>
    <w:multiLevelType w:val="hybridMultilevel"/>
    <w:tmpl w:val="62B641FC"/>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3F7529"/>
    <w:multiLevelType w:val="hybridMultilevel"/>
    <w:tmpl w:val="D0889062"/>
    <w:lvl w:ilvl="0" w:tplc="A984D5D8">
      <w:start w:val="1"/>
      <w:numFmt w:val="bullet"/>
      <w:lvlText w:val="o"/>
      <w:lvlJc w:val="left"/>
      <w:pPr>
        <w:tabs>
          <w:tab w:val="num" w:pos="720"/>
        </w:tabs>
        <w:ind w:left="720" w:hanging="360"/>
      </w:pPr>
      <w:rPr>
        <w:rFonts w:ascii="Times New Roman" w:hAnsi="Times New Roman" w:hint="default"/>
      </w:rPr>
    </w:lvl>
    <w:lvl w:ilvl="1" w:tplc="7BE6863A">
      <w:start w:val="1"/>
      <w:numFmt w:val="bullet"/>
      <w:lvlText w:val="o"/>
      <w:lvlJc w:val="left"/>
      <w:pPr>
        <w:tabs>
          <w:tab w:val="num" w:pos="1440"/>
        </w:tabs>
        <w:ind w:left="1440" w:hanging="360"/>
      </w:pPr>
      <w:rPr>
        <w:rFonts w:ascii="Times New Roman" w:hAnsi="Times New Roman" w:hint="default"/>
      </w:rPr>
    </w:lvl>
    <w:lvl w:ilvl="2" w:tplc="BE8809C8" w:tentative="1">
      <w:start w:val="1"/>
      <w:numFmt w:val="bullet"/>
      <w:lvlText w:val="o"/>
      <w:lvlJc w:val="left"/>
      <w:pPr>
        <w:tabs>
          <w:tab w:val="num" w:pos="2160"/>
        </w:tabs>
        <w:ind w:left="2160" w:hanging="360"/>
      </w:pPr>
      <w:rPr>
        <w:rFonts w:ascii="Times New Roman" w:hAnsi="Times New Roman" w:hint="default"/>
      </w:rPr>
    </w:lvl>
    <w:lvl w:ilvl="3" w:tplc="7DF49492" w:tentative="1">
      <w:start w:val="1"/>
      <w:numFmt w:val="bullet"/>
      <w:lvlText w:val="o"/>
      <w:lvlJc w:val="left"/>
      <w:pPr>
        <w:tabs>
          <w:tab w:val="num" w:pos="2880"/>
        </w:tabs>
        <w:ind w:left="2880" w:hanging="360"/>
      </w:pPr>
      <w:rPr>
        <w:rFonts w:ascii="Times New Roman" w:hAnsi="Times New Roman" w:hint="default"/>
      </w:rPr>
    </w:lvl>
    <w:lvl w:ilvl="4" w:tplc="2B5E0710" w:tentative="1">
      <w:start w:val="1"/>
      <w:numFmt w:val="bullet"/>
      <w:lvlText w:val="o"/>
      <w:lvlJc w:val="left"/>
      <w:pPr>
        <w:tabs>
          <w:tab w:val="num" w:pos="3600"/>
        </w:tabs>
        <w:ind w:left="3600" w:hanging="360"/>
      </w:pPr>
      <w:rPr>
        <w:rFonts w:ascii="Times New Roman" w:hAnsi="Times New Roman" w:hint="default"/>
      </w:rPr>
    </w:lvl>
    <w:lvl w:ilvl="5" w:tplc="5630F2B6" w:tentative="1">
      <w:start w:val="1"/>
      <w:numFmt w:val="bullet"/>
      <w:lvlText w:val="o"/>
      <w:lvlJc w:val="left"/>
      <w:pPr>
        <w:tabs>
          <w:tab w:val="num" w:pos="4320"/>
        </w:tabs>
        <w:ind w:left="4320" w:hanging="360"/>
      </w:pPr>
      <w:rPr>
        <w:rFonts w:ascii="Times New Roman" w:hAnsi="Times New Roman" w:hint="default"/>
      </w:rPr>
    </w:lvl>
    <w:lvl w:ilvl="6" w:tplc="D99A8954" w:tentative="1">
      <w:start w:val="1"/>
      <w:numFmt w:val="bullet"/>
      <w:lvlText w:val="o"/>
      <w:lvlJc w:val="left"/>
      <w:pPr>
        <w:tabs>
          <w:tab w:val="num" w:pos="5040"/>
        </w:tabs>
        <w:ind w:left="5040" w:hanging="360"/>
      </w:pPr>
      <w:rPr>
        <w:rFonts w:ascii="Times New Roman" w:hAnsi="Times New Roman" w:hint="default"/>
      </w:rPr>
    </w:lvl>
    <w:lvl w:ilvl="7" w:tplc="FAE0FD96" w:tentative="1">
      <w:start w:val="1"/>
      <w:numFmt w:val="bullet"/>
      <w:lvlText w:val="o"/>
      <w:lvlJc w:val="left"/>
      <w:pPr>
        <w:tabs>
          <w:tab w:val="num" w:pos="5760"/>
        </w:tabs>
        <w:ind w:left="5760" w:hanging="360"/>
      </w:pPr>
      <w:rPr>
        <w:rFonts w:ascii="Times New Roman" w:hAnsi="Times New Roman" w:hint="default"/>
      </w:rPr>
    </w:lvl>
    <w:lvl w:ilvl="8" w:tplc="E84A0CEE" w:tentative="1">
      <w:start w:val="1"/>
      <w:numFmt w:val="bullet"/>
      <w:lvlText w:val="o"/>
      <w:lvlJc w:val="left"/>
      <w:pPr>
        <w:tabs>
          <w:tab w:val="num" w:pos="6480"/>
        </w:tabs>
        <w:ind w:left="6480" w:hanging="360"/>
      </w:pPr>
      <w:rPr>
        <w:rFonts w:ascii="Times New Roman" w:hAnsi="Times New Roman" w:hint="default"/>
      </w:rPr>
    </w:lvl>
  </w:abstractNum>
  <w:abstractNum w:abstractNumId="7">
    <w:nsid w:val="2FE644ED"/>
    <w:multiLevelType w:val="hybridMultilevel"/>
    <w:tmpl w:val="F528A3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D63930"/>
    <w:multiLevelType w:val="hybridMultilevel"/>
    <w:tmpl w:val="A2F87AD0"/>
    <w:lvl w:ilvl="0" w:tplc="D37494D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944288D"/>
    <w:multiLevelType w:val="hybridMultilevel"/>
    <w:tmpl w:val="B5AE89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CF739A"/>
    <w:multiLevelType w:val="hybridMultilevel"/>
    <w:tmpl w:val="5BA683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AE0C76"/>
    <w:multiLevelType w:val="hybridMultilevel"/>
    <w:tmpl w:val="EF901858"/>
    <w:lvl w:ilvl="0" w:tplc="3926FA50">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CE81B29"/>
    <w:multiLevelType w:val="hybridMultilevel"/>
    <w:tmpl w:val="5874CA96"/>
    <w:lvl w:ilvl="0" w:tplc="E7D42E34">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927A78"/>
    <w:multiLevelType w:val="hybridMultilevel"/>
    <w:tmpl w:val="582056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29A3036"/>
    <w:multiLevelType w:val="hybridMultilevel"/>
    <w:tmpl w:val="7F880610"/>
    <w:lvl w:ilvl="0" w:tplc="017672E0">
      <w:start w:val="1"/>
      <w:numFmt w:val="bullet"/>
      <w:lvlText w:val="o"/>
      <w:lvlJc w:val="left"/>
      <w:pPr>
        <w:tabs>
          <w:tab w:val="num" w:pos="720"/>
        </w:tabs>
        <w:ind w:left="720" w:hanging="360"/>
      </w:pPr>
      <w:rPr>
        <w:rFonts w:ascii="Times New Roman" w:hAnsi="Times New Roman" w:hint="default"/>
      </w:rPr>
    </w:lvl>
    <w:lvl w:ilvl="1" w:tplc="8C74C4D2">
      <w:start w:val="1"/>
      <w:numFmt w:val="bullet"/>
      <w:lvlText w:val="o"/>
      <w:lvlJc w:val="left"/>
      <w:pPr>
        <w:tabs>
          <w:tab w:val="num" w:pos="1440"/>
        </w:tabs>
        <w:ind w:left="1440" w:hanging="360"/>
      </w:pPr>
      <w:rPr>
        <w:rFonts w:ascii="Times New Roman" w:hAnsi="Times New Roman" w:hint="default"/>
      </w:rPr>
    </w:lvl>
    <w:lvl w:ilvl="2" w:tplc="4126A6B2" w:tentative="1">
      <w:start w:val="1"/>
      <w:numFmt w:val="bullet"/>
      <w:lvlText w:val="o"/>
      <w:lvlJc w:val="left"/>
      <w:pPr>
        <w:tabs>
          <w:tab w:val="num" w:pos="2160"/>
        </w:tabs>
        <w:ind w:left="2160" w:hanging="360"/>
      </w:pPr>
      <w:rPr>
        <w:rFonts w:ascii="Times New Roman" w:hAnsi="Times New Roman" w:hint="default"/>
      </w:rPr>
    </w:lvl>
    <w:lvl w:ilvl="3" w:tplc="911439F0" w:tentative="1">
      <w:start w:val="1"/>
      <w:numFmt w:val="bullet"/>
      <w:lvlText w:val="o"/>
      <w:lvlJc w:val="left"/>
      <w:pPr>
        <w:tabs>
          <w:tab w:val="num" w:pos="2880"/>
        </w:tabs>
        <w:ind w:left="2880" w:hanging="360"/>
      </w:pPr>
      <w:rPr>
        <w:rFonts w:ascii="Times New Roman" w:hAnsi="Times New Roman" w:hint="default"/>
      </w:rPr>
    </w:lvl>
    <w:lvl w:ilvl="4" w:tplc="FB081E3C" w:tentative="1">
      <w:start w:val="1"/>
      <w:numFmt w:val="bullet"/>
      <w:lvlText w:val="o"/>
      <w:lvlJc w:val="left"/>
      <w:pPr>
        <w:tabs>
          <w:tab w:val="num" w:pos="3600"/>
        </w:tabs>
        <w:ind w:left="3600" w:hanging="360"/>
      </w:pPr>
      <w:rPr>
        <w:rFonts w:ascii="Times New Roman" w:hAnsi="Times New Roman" w:hint="default"/>
      </w:rPr>
    </w:lvl>
    <w:lvl w:ilvl="5" w:tplc="5C581876" w:tentative="1">
      <w:start w:val="1"/>
      <w:numFmt w:val="bullet"/>
      <w:lvlText w:val="o"/>
      <w:lvlJc w:val="left"/>
      <w:pPr>
        <w:tabs>
          <w:tab w:val="num" w:pos="4320"/>
        </w:tabs>
        <w:ind w:left="4320" w:hanging="360"/>
      </w:pPr>
      <w:rPr>
        <w:rFonts w:ascii="Times New Roman" w:hAnsi="Times New Roman" w:hint="default"/>
      </w:rPr>
    </w:lvl>
    <w:lvl w:ilvl="6" w:tplc="D1D687C0" w:tentative="1">
      <w:start w:val="1"/>
      <w:numFmt w:val="bullet"/>
      <w:lvlText w:val="o"/>
      <w:lvlJc w:val="left"/>
      <w:pPr>
        <w:tabs>
          <w:tab w:val="num" w:pos="5040"/>
        </w:tabs>
        <w:ind w:left="5040" w:hanging="360"/>
      </w:pPr>
      <w:rPr>
        <w:rFonts w:ascii="Times New Roman" w:hAnsi="Times New Roman" w:hint="default"/>
      </w:rPr>
    </w:lvl>
    <w:lvl w:ilvl="7" w:tplc="4EC65376" w:tentative="1">
      <w:start w:val="1"/>
      <w:numFmt w:val="bullet"/>
      <w:lvlText w:val="o"/>
      <w:lvlJc w:val="left"/>
      <w:pPr>
        <w:tabs>
          <w:tab w:val="num" w:pos="5760"/>
        </w:tabs>
        <w:ind w:left="5760" w:hanging="360"/>
      </w:pPr>
      <w:rPr>
        <w:rFonts w:ascii="Times New Roman" w:hAnsi="Times New Roman" w:hint="default"/>
      </w:rPr>
    </w:lvl>
    <w:lvl w:ilvl="8" w:tplc="6A8CF748" w:tentative="1">
      <w:start w:val="1"/>
      <w:numFmt w:val="bullet"/>
      <w:lvlText w:val="o"/>
      <w:lvlJc w:val="left"/>
      <w:pPr>
        <w:tabs>
          <w:tab w:val="num" w:pos="6480"/>
        </w:tabs>
        <w:ind w:left="6480" w:hanging="360"/>
      </w:pPr>
      <w:rPr>
        <w:rFonts w:ascii="Times New Roman" w:hAnsi="Times New Roman" w:hint="default"/>
      </w:rPr>
    </w:lvl>
  </w:abstractNum>
  <w:abstractNum w:abstractNumId="15">
    <w:nsid w:val="5494687C"/>
    <w:multiLevelType w:val="hybridMultilevel"/>
    <w:tmpl w:val="5B6249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914533E"/>
    <w:multiLevelType w:val="multilevel"/>
    <w:tmpl w:val="A2F87AD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14"/>
  </w:num>
  <w:num w:numId="5">
    <w:abstractNumId w:val="3"/>
  </w:num>
  <w:num w:numId="6">
    <w:abstractNumId w:val="12"/>
  </w:num>
  <w:num w:numId="7">
    <w:abstractNumId w:val="8"/>
  </w:num>
  <w:num w:numId="8">
    <w:abstractNumId w:val="16"/>
  </w:num>
  <w:num w:numId="9">
    <w:abstractNumId w:val="7"/>
  </w:num>
  <w:num w:numId="10">
    <w:abstractNumId w:val="13"/>
  </w:num>
  <w:num w:numId="11">
    <w:abstractNumId w:val="15"/>
  </w:num>
  <w:num w:numId="12">
    <w:abstractNumId w:val="10"/>
  </w:num>
  <w:num w:numId="13">
    <w:abstractNumId w:val="9"/>
  </w:num>
  <w:num w:numId="14">
    <w:abstractNumId w:val="0"/>
  </w:num>
  <w:num w:numId="15">
    <w:abstractNumId w:val="1"/>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D3"/>
    <w:rsid w:val="000001DF"/>
    <w:rsid w:val="00000315"/>
    <w:rsid w:val="0000149C"/>
    <w:rsid w:val="000022B9"/>
    <w:rsid w:val="00004A60"/>
    <w:rsid w:val="00004E38"/>
    <w:rsid w:val="0000525F"/>
    <w:rsid w:val="00006E55"/>
    <w:rsid w:val="00007674"/>
    <w:rsid w:val="00010578"/>
    <w:rsid w:val="000119C6"/>
    <w:rsid w:val="00016280"/>
    <w:rsid w:val="00016DF6"/>
    <w:rsid w:val="0002293A"/>
    <w:rsid w:val="00023E94"/>
    <w:rsid w:val="00025028"/>
    <w:rsid w:val="00027DD2"/>
    <w:rsid w:val="000343A7"/>
    <w:rsid w:val="0003516C"/>
    <w:rsid w:val="00050729"/>
    <w:rsid w:val="00050F39"/>
    <w:rsid w:val="00052421"/>
    <w:rsid w:val="00052B5D"/>
    <w:rsid w:val="00053FA6"/>
    <w:rsid w:val="000553FE"/>
    <w:rsid w:val="000574EF"/>
    <w:rsid w:val="000622A3"/>
    <w:rsid w:val="000658B0"/>
    <w:rsid w:val="00070E2D"/>
    <w:rsid w:val="00077F82"/>
    <w:rsid w:val="00081429"/>
    <w:rsid w:val="00087450"/>
    <w:rsid w:val="00090275"/>
    <w:rsid w:val="00090B8F"/>
    <w:rsid w:val="0009437E"/>
    <w:rsid w:val="000A1F28"/>
    <w:rsid w:val="000A3FAB"/>
    <w:rsid w:val="000B0BE4"/>
    <w:rsid w:val="000B0D41"/>
    <w:rsid w:val="000B23B5"/>
    <w:rsid w:val="000B2E79"/>
    <w:rsid w:val="000B3F55"/>
    <w:rsid w:val="000C0204"/>
    <w:rsid w:val="000C36C9"/>
    <w:rsid w:val="000C3A09"/>
    <w:rsid w:val="000C3D12"/>
    <w:rsid w:val="000C4497"/>
    <w:rsid w:val="000C69E0"/>
    <w:rsid w:val="000D1EA2"/>
    <w:rsid w:val="000D63D0"/>
    <w:rsid w:val="000E2718"/>
    <w:rsid w:val="000E3F80"/>
    <w:rsid w:val="000E5C6B"/>
    <w:rsid w:val="000E610D"/>
    <w:rsid w:val="000E7ADB"/>
    <w:rsid w:val="000F1321"/>
    <w:rsid w:val="000F2E3C"/>
    <w:rsid w:val="000F32E6"/>
    <w:rsid w:val="000F4C41"/>
    <w:rsid w:val="00101F5D"/>
    <w:rsid w:val="0010449D"/>
    <w:rsid w:val="00112044"/>
    <w:rsid w:val="001125D6"/>
    <w:rsid w:val="00112794"/>
    <w:rsid w:val="001215D6"/>
    <w:rsid w:val="00121C5B"/>
    <w:rsid w:val="001225F0"/>
    <w:rsid w:val="00130786"/>
    <w:rsid w:val="00133232"/>
    <w:rsid w:val="00140C66"/>
    <w:rsid w:val="00140D8B"/>
    <w:rsid w:val="00141642"/>
    <w:rsid w:val="001429D1"/>
    <w:rsid w:val="001454D2"/>
    <w:rsid w:val="00151850"/>
    <w:rsid w:val="00151CEF"/>
    <w:rsid w:val="00152BBF"/>
    <w:rsid w:val="00154AF9"/>
    <w:rsid w:val="001637B6"/>
    <w:rsid w:val="00163CC1"/>
    <w:rsid w:val="001711C0"/>
    <w:rsid w:val="00176A2C"/>
    <w:rsid w:val="00176C7D"/>
    <w:rsid w:val="00184F36"/>
    <w:rsid w:val="00190A25"/>
    <w:rsid w:val="00191CAC"/>
    <w:rsid w:val="001920A6"/>
    <w:rsid w:val="001961C7"/>
    <w:rsid w:val="001972A4"/>
    <w:rsid w:val="001A125B"/>
    <w:rsid w:val="001A175C"/>
    <w:rsid w:val="001A6E6A"/>
    <w:rsid w:val="001B00EC"/>
    <w:rsid w:val="001C02F6"/>
    <w:rsid w:val="001C24A2"/>
    <w:rsid w:val="001C45C7"/>
    <w:rsid w:val="001C5FDB"/>
    <w:rsid w:val="001C78F5"/>
    <w:rsid w:val="001D080D"/>
    <w:rsid w:val="001D3BA1"/>
    <w:rsid w:val="001D42F2"/>
    <w:rsid w:val="001D5F6E"/>
    <w:rsid w:val="001D7CD1"/>
    <w:rsid w:val="001E13C1"/>
    <w:rsid w:val="001E3196"/>
    <w:rsid w:val="001E40C4"/>
    <w:rsid w:val="001E5EA2"/>
    <w:rsid w:val="001F1AFB"/>
    <w:rsid w:val="001F211B"/>
    <w:rsid w:val="001F710E"/>
    <w:rsid w:val="002035B7"/>
    <w:rsid w:val="00203F1A"/>
    <w:rsid w:val="00204E90"/>
    <w:rsid w:val="00205DC6"/>
    <w:rsid w:val="00207893"/>
    <w:rsid w:val="0021608A"/>
    <w:rsid w:val="002312CD"/>
    <w:rsid w:val="002317E8"/>
    <w:rsid w:val="00232BB5"/>
    <w:rsid w:val="002409EC"/>
    <w:rsid w:val="00242BBC"/>
    <w:rsid w:val="00245064"/>
    <w:rsid w:val="00246175"/>
    <w:rsid w:val="00247329"/>
    <w:rsid w:val="00251A33"/>
    <w:rsid w:val="00251F29"/>
    <w:rsid w:val="0026079D"/>
    <w:rsid w:val="0026137B"/>
    <w:rsid w:val="00267D46"/>
    <w:rsid w:val="002727AD"/>
    <w:rsid w:val="00281F41"/>
    <w:rsid w:val="00285D58"/>
    <w:rsid w:val="00287649"/>
    <w:rsid w:val="002904A6"/>
    <w:rsid w:val="00293AFD"/>
    <w:rsid w:val="002942F8"/>
    <w:rsid w:val="00294481"/>
    <w:rsid w:val="002A1342"/>
    <w:rsid w:val="002A2BC0"/>
    <w:rsid w:val="002A5BC3"/>
    <w:rsid w:val="002A67F9"/>
    <w:rsid w:val="002A79FE"/>
    <w:rsid w:val="002B03B0"/>
    <w:rsid w:val="002B04B0"/>
    <w:rsid w:val="002B4CA7"/>
    <w:rsid w:val="002B6116"/>
    <w:rsid w:val="002C0BC7"/>
    <w:rsid w:val="002C261B"/>
    <w:rsid w:val="002C7EE9"/>
    <w:rsid w:val="002D186A"/>
    <w:rsid w:val="002D3106"/>
    <w:rsid w:val="002D3894"/>
    <w:rsid w:val="002D4046"/>
    <w:rsid w:val="002D783E"/>
    <w:rsid w:val="002E1DE0"/>
    <w:rsid w:val="002E46C3"/>
    <w:rsid w:val="002E52CF"/>
    <w:rsid w:val="002E6860"/>
    <w:rsid w:val="00301E4F"/>
    <w:rsid w:val="00302AD4"/>
    <w:rsid w:val="00313AA2"/>
    <w:rsid w:val="00314718"/>
    <w:rsid w:val="003161FE"/>
    <w:rsid w:val="00316A00"/>
    <w:rsid w:val="00321892"/>
    <w:rsid w:val="00325859"/>
    <w:rsid w:val="00325A6F"/>
    <w:rsid w:val="00325EF6"/>
    <w:rsid w:val="003264D3"/>
    <w:rsid w:val="00332737"/>
    <w:rsid w:val="00334482"/>
    <w:rsid w:val="0033721C"/>
    <w:rsid w:val="003423C6"/>
    <w:rsid w:val="00343BA4"/>
    <w:rsid w:val="00344FEE"/>
    <w:rsid w:val="00345594"/>
    <w:rsid w:val="00350D63"/>
    <w:rsid w:val="00350DCA"/>
    <w:rsid w:val="00351BC4"/>
    <w:rsid w:val="0035366B"/>
    <w:rsid w:val="00354535"/>
    <w:rsid w:val="0035785A"/>
    <w:rsid w:val="00357EE7"/>
    <w:rsid w:val="003603C1"/>
    <w:rsid w:val="00360E96"/>
    <w:rsid w:val="00363A41"/>
    <w:rsid w:val="0036423B"/>
    <w:rsid w:val="00370477"/>
    <w:rsid w:val="00372A11"/>
    <w:rsid w:val="00372DA2"/>
    <w:rsid w:val="00374A34"/>
    <w:rsid w:val="003802A6"/>
    <w:rsid w:val="00386EC8"/>
    <w:rsid w:val="00390DE1"/>
    <w:rsid w:val="00392061"/>
    <w:rsid w:val="003934D6"/>
    <w:rsid w:val="00394FF1"/>
    <w:rsid w:val="00395EF9"/>
    <w:rsid w:val="00395FCC"/>
    <w:rsid w:val="00396A71"/>
    <w:rsid w:val="003A13CD"/>
    <w:rsid w:val="003A186C"/>
    <w:rsid w:val="003A7672"/>
    <w:rsid w:val="003B11AC"/>
    <w:rsid w:val="003B1BE7"/>
    <w:rsid w:val="003B3133"/>
    <w:rsid w:val="003B4410"/>
    <w:rsid w:val="003C0406"/>
    <w:rsid w:val="003C0FA1"/>
    <w:rsid w:val="003C2788"/>
    <w:rsid w:val="003C2A04"/>
    <w:rsid w:val="003C4807"/>
    <w:rsid w:val="003C6F71"/>
    <w:rsid w:val="003D1DB0"/>
    <w:rsid w:val="003D24E1"/>
    <w:rsid w:val="003D44AF"/>
    <w:rsid w:val="003D532B"/>
    <w:rsid w:val="003D708B"/>
    <w:rsid w:val="003E11F4"/>
    <w:rsid w:val="003E2371"/>
    <w:rsid w:val="003E61F5"/>
    <w:rsid w:val="003F0A62"/>
    <w:rsid w:val="003F15AA"/>
    <w:rsid w:val="003F16AB"/>
    <w:rsid w:val="003F4BF6"/>
    <w:rsid w:val="003F4C8A"/>
    <w:rsid w:val="00402C76"/>
    <w:rsid w:val="00403D0E"/>
    <w:rsid w:val="0040764B"/>
    <w:rsid w:val="00410548"/>
    <w:rsid w:val="00415665"/>
    <w:rsid w:val="00422605"/>
    <w:rsid w:val="00423E5F"/>
    <w:rsid w:val="00424005"/>
    <w:rsid w:val="004258DA"/>
    <w:rsid w:val="0043026B"/>
    <w:rsid w:val="0043175E"/>
    <w:rsid w:val="004323B3"/>
    <w:rsid w:val="00432978"/>
    <w:rsid w:val="00432E05"/>
    <w:rsid w:val="00433B48"/>
    <w:rsid w:val="00443FFE"/>
    <w:rsid w:val="00452849"/>
    <w:rsid w:val="00452D24"/>
    <w:rsid w:val="00452F3D"/>
    <w:rsid w:val="004549B9"/>
    <w:rsid w:val="00454EBA"/>
    <w:rsid w:val="004570CE"/>
    <w:rsid w:val="00457211"/>
    <w:rsid w:val="00462473"/>
    <w:rsid w:val="004629AF"/>
    <w:rsid w:val="00464BD0"/>
    <w:rsid w:val="00466828"/>
    <w:rsid w:val="00467993"/>
    <w:rsid w:val="00471185"/>
    <w:rsid w:val="00474093"/>
    <w:rsid w:val="00474C06"/>
    <w:rsid w:val="00475AFA"/>
    <w:rsid w:val="004813AF"/>
    <w:rsid w:val="00481FC8"/>
    <w:rsid w:val="0048217A"/>
    <w:rsid w:val="00482500"/>
    <w:rsid w:val="004826C2"/>
    <w:rsid w:val="0048296D"/>
    <w:rsid w:val="004839E3"/>
    <w:rsid w:val="00484EFE"/>
    <w:rsid w:val="00487FA7"/>
    <w:rsid w:val="00492CB7"/>
    <w:rsid w:val="004938AF"/>
    <w:rsid w:val="00495954"/>
    <w:rsid w:val="00497DDD"/>
    <w:rsid w:val="004A1BFE"/>
    <w:rsid w:val="004A2808"/>
    <w:rsid w:val="004A3A30"/>
    <w:rsid w:val="004A725F"/>
    <w:rsid w:val="004B0CE3"/>
    <w:rsid w:val="004B4DC5"/>
    <w:rsid w:val="004B555E"/>
    <w:rsid w:val="004B72E7"/>
    <w:rsid w:val="004B75B6"/>
    <w:rsid w:val="004C0573"/>
    <w:rsid w:val="004C13DC"/>
    <w:rsid w:val="004C2FC6"/>
    <w:rsid w:val="004C35B9"/>
    <w:rsid w:val="004C54DA"/>
    <w:rsid w:val="004C6D37"/>
    <w:rsid w:val="004C73E4"/>
    <w:rsid w:val="004D4297"/>
    <w:rsid w:val="004E07BA"/>
    <w:rsid w:val="004E4534"/>
    <w:rsid w:val="004E6FAE"/>
    <w:rsid w:val="004F0EBE"/>
    <w:rsid w:val="004F2160"/>
    <w:rsid w:val="004F2AAC"/>
    <w:rsid w:val="004F3BB2"/>
    <w:rsid w:val="004F55B0"/>
    <w:rsid w:val="004F7856"/>
    <w:rsid w:val="00501AA1"/>
    <w:rsid w:val="0050792F"/>
    <w:rsid w:val="0051440B"/>
    <w:rsid w:val="005158C0"/>
    <w:rsid w:val="0051607F"/>
    <w:rsid w:val="00520647"/>
    <w:rsid w:val="005212CD"/>
    <w:rsid w:val="00521A8B"/>
    <w:rsid w:val="00523C8B"/>
    <w:rsid w:val="00524320"/>
    <w:rsid w:val="00524358"/>
    <w:rsid w:val="00533345"/>
    <w:rsid w:val="00536D39"/>
    <w:rsid w:val="00537AF4"/>
    <w:rsid w:val="00540755"/>
    <w:rsid w:val="00551468"/>
    <w:rsid w:val="005525F2"/>
    <w:rsid w:val="005548D9"/>
    <w:rsid w:val="00555BFD"/>
    <w:rsid w:val="0055766C"/>
    <w:rsid w:val="00561877"/>
    <w:rsid w:val="00561E36"/>
    <w:rsid w:val="005632E2"/>
    <w:rsid w:val="005670A4"/>
    <w:rsid w:val="00575352"/>
    <w:rsid w:val="00575757"/>
    <w:rsid w:val="005777ED"/>
    <w:rsid w:val="005845C4"/>
    <w:rsid w:val="005916B7"/>
    <w:rsid w:val="005950C9"/>
    <w:rsid w:val="00596AEA"/>
    <w:rsid w:val="0059778F"/>
    <w:rsid w:val="005A5C6D"/>
    <w:rsid w:val="005A62C8"/>
    <w:rsid w:val="005B1FF2"/>
    <w:rsid w:val="005B3B0C"/>
    <w:rsid w:val="005B43B6"/>
    <w:rsid w:val="005B55C1"/>
    <w:rsid w:val="005B632D"/>
    <w:rsid w:val="005B743F"/>
    <w:rsid w:val="005C018B"/>
    <w:rsid w:val="005C0B67"/>
    <w:rsid w:val="005C53AC"/>
    <w:rsid w:val="005C6010"/>
    <w:rsid w:val="005C65DF"/>
    <w:rsid w:val="005D49D1"/>
    <w:rsid w:val="005E274D"/>
    <w:rsid w:val="005E62D9"/>
    <w:rsid w:val="005E742D"/>
    <w:rsid w:val="005F1847"/>
    <w:rsid w:val="005F603A"/>
    <w:rsid w:val="005F6543"/>
    <w:rsid w:val="005F7ECE"/>
    <w:rsid w:val="00601023"/>
    <w:rsid w:val="006011BF"/>
    <w:rsid w:val="006011EE"/>
    <w:rsid w:val="00602E89"/>
    <w:rsid w:val="006069DD"/>
    <w:rsid w:val="0061023D"/>
    <w:rsid w:val="00610D18"/>
    <w:rsid w:val="006118C3"/>
    <w:rsid w:val="00614B68"/>
    <w:rsid w:val="006224C4"/>
    <w:rsid w:val="00622F8C"/>
    <w:rsid w:val="0062721B"/>
    <w:rsid w:val="006307A6"/>
    <w:rsid w:val="00632E99"/>
    <w:rsid w:val="00640873"/>
    <w:rsid w:val="0064304F"/>
    <w:rsid w:val="00646142"/>
    <w:rsid w:val="0065054A"/>
    <w:rsid w:val="00651FD7"/>
    <w:rsid w:val="006553F8"/>
    <w:rsid w:val="00655F38"/>
    <w:rsid w:val="00657D56"/>
    <w:rsid w:val="00657F98"/>
    <w:rsid w:val="006659CE"/>
    <w:rsid w:val="006720BF"/>
    <w:rsid w:val="0067217F"/>
    <w:rsid w:val="00675BAC"/>
    <w:rsid w:val="0067681F"/>
    <w:rsid w:val="00684C87"/>
    <w:rsid w:val="006878BF"/>
    <w:rsid w:val="00690089"/>
    <w:rsid w:val="00692CAD"/>
    <w:rsid w:val="00694B6B"/>
    <w:rsid w:val="00697D4C"/>
    <w:rsid w:val="006A3AAD"/>
    <w:rsid w:val="006A7461"/>
    <w:rsid w:val="006B07EE"/>
    <w:rsid w:val="006B2BF0"/>
    <w:rsid w:val="006B4E15"/>
    <w:rsid w:val="006C0B8B"/>
    <w:rsid w:val="006C4340"/>
    <w:rsid w:val="006C5279"/>
    <w:rsid w:val="006D0A33"/>
    <w:rsid w:val="006D0FE9"/>
    <w:rsid w:val="006D35EE"/>
    <w:rsid w:val="006E0DF1"/>
    <w:rsid w:val="006E7027"/>
    <w:rsid w:val="006F0DB3"/>
    <w:rsid w:val="006F1028"/>
    <w:rsid w:val="006F40A6"/>
    <w:rsid w:val="006F4FC6"/>
    <w:rsid w:val="006F77EC"/>
    <w:rsid w:val="00702231"/>
    <w:rsid w:val="007023FE"/>
    <w:rsid w:val="00705687"/>
    <w:rsid w:val="007114A2"/>
    <w:rsid w:val="0071422F"/>
    <w:rsid w:val="007144FB"/>
    <w:rsid w:val="00715E7A"/>
    <w:rsid w:val="00715EEE"/>
    <w:rsid w:val="0072141D"/>
    <w:rsid w:val="007223A0"/>
    <w:rsid w:val="00724AB2"/>
    <w:rsid w:val="00724CCA"/>
    <w:rsid w:val="00726252"/>
    <w:rsid w:val="007267A7"/>
    <w:rsid w:val="00727631"/>
    <w:rsid w:val="0073275E"/>
    <w:rsid w:val="00733402"/>
    <w:rsid w:val="00733DB5"/>
    <w:rsid w:val="00734D34"/>
    <w:rsid w:val="00735038"/>
    <w:rsid w:val="00740D82"/>
    <w:rsid w:val="00740FBF"/>
    <w:rsid w:val="00741D9C"/>
    <w:rsid w:val="00742729"/>
    <w:rsid w:val="00743D6B"/>
    <w:rsid w:val="00743FFD"/>
    <w:rsid w:val="00754A2F"/>
    <w:rsid w:val="00754BD3"/>
    <w:rsid w:val="0076060B"/>
    <w:rsid w:val="0076373D"/>
    <w:rsid w:val="007637DF"/>
    <w:rsid w:val="007648E0"/>
    <w:rsid w:val="00765E9A"/>
    <w:rsid w:val="00766065"/>
    <w:rsid w:val="00766D46"/>
    <w:rsid w:val="0077167F"/>
    <w:rsid w:val="00771739"/>
    <w:rsid w:val="00776A90"/>
    <w:rsid w:val="00777A05"/>
    <w:rsid w:val="0078312C"/>
    <w:rsid w:val="007831C5"/>
    <w:rsid w:val="00783ABF"/>
    <w:rsid w:val="00783EF7"/>
    <w:rsid w:val="00791431"/>
    <w:rsid w:val="00793881"/>
    <w:rsid w:val="00793D5A"/>
    <w:rsid w:val="007A3E06"/>
    <w:rsid w:val="007B773B"/>
    <w:rsid w:val="007B7F3E"/>
    <w:rsid w:val="007C1389"/>
    <w:rsid w:val="007C2DC9"/>
    <w:rsid w:val="007C39B6"/>
    <w:rsid w:val="007C4ABD"/>
    <w:rsid w:val="007C4EFC"/>
    <w:rsid w:val="007C5796"/>
    <w:rsid w:val="007C58C9"/>
    <w:rsid w:val="007C6BDE"/>
    <w:rsid w:val="007D08FA"/>
    <w:rsid w:val="007D0F08"/>
    <w:rsid w:val="007D1917"/>
    <w:rsid w:val="007D1CA6"/>
    <w:rsid w:val="007D33BF"/>
    <w:rsid w:val="007D33EA"/>
    <w:rsid w:val="007D597E"/>
    <w:rsid w:val="007D5C68"/>
    <w:rsid w:val="007E33A1"/>
    <w:rsid w:val="007E43F0"/>
    <w:rsid w:val="007E4A89"/>
    <w:rsid w:val="007F0DED"/>
    <w:rsid w:val="007F0EF9"/>
    <w:rsid w:val="007F3F53"/>
    <w:rsid w:val="007F5B2E"/>
    <w:rsid w:val="00801A61"/>
    <w:rsid w:val="00806A51"/>
    <w:rsid w:val="0081192C"/>
    <w:rsid w:val="00812410"/>
    <w:rsid w:val="00813F33"/>
    <w:rsid w:val="00816F4A"/>
    <w:rsid w:val="00817665"/>
    <w:rsid w:val="00820653"/>
    <w:rsid w:val="00821EB6"/>
    <w:rsid w:val="008237C4"/>
    <w:rsid w:val="008239B4"/>
    <w:rsid w:val="00826757"/>
    <w:rsid w:val="0083506D"/>
    <w:rsid w:val="008356A3"/>
    <w:rsid w:val="00837174"/>
    <w:rsid w:val="00841AD4"/>
    <w:rsid w:val="00842025"/>
    <w:rsid w:val="00842B03"/>
    <w:rsid w:val="00843529"/>
    <w:rsid w:val="00847EA5"/>
    <w:rsid w:val="008623C6"/>
    <w:rsid w:val="008668E0"/>
    <w:rsid w:val="00867131"/>
    <w:rsid w:val="00877389"/>
    <w:rsid w:val="008800AE"/>
    <w:rsid w:val="00883E07"/>
    <w:rsid w:val="0088643E"/>
    <w:rsid w:val="00887328"/>
    <w:rsid w:val="008913B0"/>
    <w:rsid w:val="00891903"/>
    <w:rsid w:val="00894D61"/>
    <w:rsid w:val="00895859"/>
    <w:rsid w:val="00896576"/>
    <w:rsid w:val="008966B9"/>
    <w:rsid w:val="008968AD"/>
    <w:rsid w:val="00897479"/>
    <w:rsid w:val="008A17B1"/>
    <w:rsid w:val="008A4914"/>
    <w:rsid w:val="008B5F54"/>
    <w:rsid w:val="008C33B3"/>
    <w:rsid w:val="008D0F0F"/>
    <w:rsid w:val="008D4DFA"/>
    <w:rsid w:val="008D51EE"/>
    <w:rsid w:val="008D587E"/>
    <w:rsid w:val="008D7A91"/>
    <w:rsid w:val="008E0FF6"/>
    <w:rsid w:val="008E3AFD"/>
    <w:rsid w:val="008E5CAB"/>
    <w:rsid w:val="008E6658"/>
    <w:rsid w:val="008E7A84"/>
    <w:rsid w:val="008F0333"/>
    <w:rsid w:val="008F2FB4"/>
    <w:rsid w:val="00905421"/>
    <w:rsid w:val="00912FE3"/>
    <w:rsid w:val="00915DB2"/>
    <w:rsid w:val="0092346B"/>
    <w:rsid w:val="00925C6B"/>
    <w:rsid w:val="00927322"/>
    <w:rsid w:val="00940571"/>
    <w:rsid w:val="009427EC"/>
    <w:rsid w:val="00943CAF"/>
    <w:rsid w:val="00947491"/>
    <w:rsid w:val="00953078"/>
    <w:rsid w:val="0095604B"/>
    <w:rsid w:val="009562A0"/>
    <w:rsid w:val="00963A0E"/>
    <w:rsid w:val="00971ED5"/>
    <w:rsid w:val="00972793"/>
    <w:rsid w:val="00974FBC"/>
    <w:rsid w:val="00975815"/>
    <w:rsid w:val="009804C0"/>
    <w:rsid w:val="00990F82"/>
    <w:rsid w:val="00991064"/>
    <w:rsid w:val="009915E2"/>
    <w:rsid w:val="0099313A"/>
    <w:rsid w:val="00993DA4"/>
    <w:rsid w:val="00993F98"/>
    <w:rsid w:val="00994178"/>
    <w:rsid w:val="00995266"/>
    <w:rsid w:val="009A5074"/>
    <w:rsid w:val="009A5300"/>
    <w:rsid w:val="009B0E10"/>
    <w:rsid w:val="009C32E9"/>
    <w:rsid w:val="009C4E28"/>
    <w:rsid w:val="009C59D4"/>
    <w:rsid w:val="009C5B6A"/>
    <w:rsid w:val="009C6471"/>
    <w:rsid w:val="009C6BEC"/>
    <w:rsid w:val="009D24BF"/>
    <w:rsid w:val="009D641D"/>
    <w:rsid w:val="009E3053"/>
    <w:rsid w:val="009E42DD"/>
    <w:rsid w:val="009E5C2B"/>
    <w:rsid w:val="009E6273"/>
    <w:rsid w:val="009E6815"/>
    <w:rsid w:val="009E70E1"/>
    <w:rsid w:val="009E74D4"/>
    <w:rsid w:val="009F63E5"/>
    <w:rsid w:val="009F721F"/>
    <w:rsid w:val="009F74C6"/>
    <w:rsid w:val="00A01CF4"/>
    <w:rsid w:val="00A0236F"/>
    <w:rsid w:val="00A07738"/>
    <w:rsid w:val="00A119F1"/>
    <w:rsid w:val="00A14C56"/>
    <w:rsid w:val="00A23832"/>
    <w:rsid w:val="00A26F8F"/>
    <w:rsid w:val="00A2782D"/>
    <w:rsid w:val="00A30107"/>
    <w:rsid w:val="00A32505"/>
    <w:rsid w:val="00A34DB0"/>
    <w:rsid w:val="00A36112"/>
    <w:rsid w:val="00A371E6"/>
    <w:rsid w:val="00A411BC"/>
    <w:rsid w:val="00A424B3"/>
    <w:rsid w:val="00A43AE3"/>
    <w:rsid w:val="00A52171"/>
    <w:rsid w:val="00A55997"/>
    <w:rsid w:val="00A57DF1"/>
    <w:rsid w:val="00A621CA"/>
    <w:rsid w:val="00A629D9"/>
    <w:rsid w:val="00A6351C"/>
    <w:rsid w:val="00A6612B"/>
    <w:rsid w:val="00A6712E"/>
    <w:rsid w:val="00A74AB5"/>
    <w:rsid w:val="00A76567"/>
    <w:rsid w:val="00A85B82"/>
    <w:rsid w:val="00A93CC9"/>
    <w:rsid w:val="00AA51CA"/>
    <w:rsid w:val="00AB1B20"/>
    <w:rsid w:val="00AB23A3"/>
    <w:rsid w:val="00AB33C3"/>
    <w:rsid w:val="00AB3FB4"/>
    <w:rsid w:val="00AB640D"/>
    <w:rsid w:val="00AC471F"/>
    <w:rsid w:val="00AC7F08"/>
    <w:rsid w:val="00AE1991"/>
    <w:rsid w:val="00AE1AD2"/>
    <w:rsid w:val="00AE71C5"/>
    <w:rsid w:val="00AE7F9D"/>
    <w:rsid w:val="00AF17F1"/>
    <w:rsid w:val="00AF550D"/>
    <w:rsid w:val="00AF5A40"/>
    <w:rsid w:val="00B0089D"/>
    <w:rsid w:val="00B00A52"/>
    <w:rsid w:val="00B03E63"/>
    <w:rsid w:val="00B074AF"/>
    <w:rsid w:val="00B1065A"/>
    <w:rsid w:val="00B10E34"/>
    <w:rsid w:val="00B1260D"/>
    <w:rsid w:val="00B153BE"/>
    <w:rsid w:val="00B20671"/>
    <w:rsid w:val="00B2346A"/>
    <w:rsid w:val="00B30FEC"/>
    <w:rsid w:val="00B31BBF"/>
    <w:rsid w:val="00B32E05"/>
    <w:rsid w:val="00B34155"/>
    <w:rsid w:val="00B35F9B"/>
    <w:rsid w:val="00B42A1D"/>
    <w:rsid w:val="00B50042"/>
    <w:rsid w:val="00B52DD2"/>
    <w:rsid w:val="00B56DA9"/>
    <w:rsid w:val="00B603B8"/>
    <w:rsid w:val="00B6042E"/>
    <w:rsid w:val="00B62A61"/>
    <w:rsid w:val="00B708B7"/>
    <w:rsid w:val="00B708FF"/>
    <w:rsid w:val="00B70A54"/>
    <w:rsid w:val="00B73449"/>
    <w:rsid w:val="00B76334"/>
    <w:rsid w:val="00B84929"/>
    <w:rsid w:val="00B858CC"/>
    <w:rsid w:val="00B926BF"/>
    <w:rsid w:val="00B93949"/>
    <w:rsid w:val="00B94378"/>
    <w:rsid w:val="00BA1153"/>
    <w:rsid w:val="00BA2F4A"/>
    <w:rsid w:val="00BA361C"/>
    <w:rsid w:val="00BA3E53"/>
    <w:rsid w:val="00BA4B97"/>
    <w:rsid w:val="00BA5AE6"/>
    <w:rsid w:val="00BA7B3A"/>
    <w:rsid w:val="00BB4B7D"/>
    <w:rsid w:val="00BB6C1D"/>
    <w:rsid w:val="00BB70F9"/>
    <w:rsid w:val="00BB7BE8"/>
    <w:rsid w:val="00BC3E7B"/>
    <w:rsid w:val="00BD1C32"/>
    <w:rsid w:val="00BD5572"/>
    <w:rsid w:val="00BD59C2"/>
    <w:rsid w:val="00BD5F7B"/>
    <w:rsid w:val="00BE152D"/>
    <w:rsid w:val="00BE3ACE"/>
    <w:rsid w:val="00BE3DBB"/>
    <w:rsid w:val="00BF1637"/>
    <w:rsid w:val="00BF4F9F"/>
    <w:rsid w:val="00BF559D"/>
    <w:rsid w:val="00C00035"/>
    <w:rsid w:val="00C02F16"/>
    <w:rsid w:val="00C06463"/>
    <w:rsid w:val="00C101BA"/>
    <w:rsid w:val="00C165B1"/>
    <w:rsid w:val="00C17D99"/>
    <w:rsid w:val="00C313BA"/>
    <w:rsid w:val="00C375EB"/>
    <w:rsid w:val="00C43BFC"/>
    <w:rsid w:val="00C46B22"/>
    <w:rsid w:val="00C47B1D"/>
    <w:rsid w:val="00C5161A"/>
    <w:rsid w:val="00C523EB"/>
    <w:rsid w:val="00C55F4C"/>
    <w:rsid w:val="00C722FB"/>
    <w:rsid w:val="00C726D7"/>
    <w:rsid w:val="00C738D4"/>
    <w:rsid w:val="00C765D5"/>
    <w:rsid w:val="00C776EF"/>
    <w:rsid w:val="00C8161B"/>
    <w:rsid w:val="00C90CA6"/>
    <w:rsid w:val="00C920CC"/>
    <w:rsid w:val="00C930EE"/>
    <w:rsid w:val="00C944AA"/>
    <w:rsid w:val="00C95CEA"/>
    <w:rsid w:val="00CA0E8A"/>
    <w:rsid w:val="00CA4520"/>
    <w:rsid w:val="00CB14F1"/>
    <w:rsid w:val="00CB1D30"/>
    <w:rsid w:val="00CB4678"/>
    <w:rsid w:val="00CB541B"/>
    <w:rsid w:val="00CC0383"/>
    <w:rsid w:val="00CC0B7E"/>
    <w:rsid w:val="00CC1EE0"/>
    <w:rsid w:val="00CC31A0"/>
    <w:rsid w:val="00CC51C4"/>
    <w:rsid w:val="00CC5786"/>
    <w:rsid w:val="00CC59DB"/>
    <w:rsid w:val="00CC787B"/>
    <w:rsid w:val="00CD03C7"/>
    <w:rsid w:val="00CD31B2"/>
    <w:rsid w:val="00CD5B65"/>
    <w:rsid w:val="00CE1854"/>
    <w:rsid w:val="00CE336D"/>
    <w:rsid w:val="00CE5B27"/>
    <w:rsid w:val="00CE72CE"/>
    <w:rsid w:val="00CF20DE"/>
    <w:rsid w:val="00D028C5"/>
    <w:rsid w:val="00D051E3"/>
    <w:rsid w:val="00D06256"/>
    <w:rsid w:val="00D06F40"/>
    <w:rsid w:val="00D11957"/>
    <w:rsid w:val="00D1494C"/>
    <w:rsid w:val="00D1783A"/>
    <w:rsid w:val="00D206CF"/>
    <w:rsid w:val="00D222BA"/>
    <w:rsid w:val="00D256A2"/>
    <w:rsid w:val="00D26CB6"/>
    <w:rsid w:val="00D33899"/>
    <w:rsid w:val="00D35725"/>
    <w:rsid w:val="00D408CC"/>
    <w:rsid w:val="00D44750"/>
    <w:rsid w:val="00D463F3"/>
    <w:rsid w:val="00D51E13"/>
    <w:rsid w:val="00D535AC"/>
    <w:rsid w:val="00D577F8"/>
    <w:rsid w:val="00D6280E"/>
    <w:rsid w:val="00D632D9"/>
    <w:rsid w:val="00D65E59"/>
    <w:rsid w:val="00D759DC"/>
    <w:rsid w:val="00D775FC"/>
    <w:rsid w:val="00D80EC6"/>
    <w:rsid w:val="00D810BB"/>
    <w:rsid w:val="00D84364"/>
    <w:rsid w:val="00D84CAA"/>
    <w:rsid w:val="00D8505D"/>
    <w:rsid w:val="00D85405"/>
    <w:rsid w:val="00D90C34"/>
    <w:rsid w:val="00D90FBE"/>
    <w:rsid w:val="00D93427"/>
    <w:rsid w:val="00D93F24"/>
    <w:rsid w:val="00D943A4"/>
    <w:rsid w:val="00DA3E1A"/>
    <w:rsid w:val="00DA4279"/>
    <w:rsid w:val="00DB1361"/>
    <w:rsid w:val="00DB2158"/>
    <w:rsid w:val="00DB258E"/>
    <w:rsid w:val="00DC1ECC"/>
    <w:rsid w:val="00DC459F"/>
    <w:rsid w:val="00DC4F1A"/>
    <w:rsid w:val="00DD04E4"/>
    <w:rsid w:val="00DD0CFF"/>
    <w:rsid w:val="00DD3951"/>
    <w:rsid w:val="00DD7A27"/>
    <w:rsid w:val="00DE2862"/>
    <w:rsid w:val="00DE2A1E"/>
    <w:rsid w:val="00DE3AA8"/>
    <w:rsid w:val="00DE5F75"/>
    <w:rsid w:val="00DE6A30"/>
    <w:rsid w:val="00DE6D11"/>
    <w:rsid w:val="00DF092C"/>
    <w:rsid w:val="00DF373A"/>
    <w:rsid w:val="00DF4812"/>
    <w:rsid w:val="00E00CFD"/>
    <w:rsid w:val="00E01B72"/>
    <w:rsid w:val="00E01BAC"/>
    <w:rsid w:val="00E06C8E"/>
    <w:rsid w:val="00E10DE6"/>
    <w:rsid w:val="00E12D02"/>
    <w:rsid w:val="00E145ED"/>
    <w:rsid w:val="00E214EA"/>
    <w:rsid w:val="00E24FED"/>
    <w:rsid w:val="00E30BBC"/>
    <w:rsid w:val="00E318D2"/>
    <w:rsid w:val="00E3384D"/>
    <w:rsid w:val="00E34556"/>
    <w:rsid w:val="00E40512"/>
    <w:rsid w:val="00E426AB"/>
    <w:rsid w:val="00E5030D"/>
    <w:rsid w:val="00E5406F"/>
    <w:rsid w:val="00E5627E"/>
    <w:rsid w:val="00E60331"/>
    <w:rsid w:val="00E604F0"/>
    <w:rsid w:val="00E61333"/>
    <w:rsid w:val="00E62063"/>
    <w:rsid w:val="00E630E7"/>
    <w:rsid w:val="00E66231"/>
    <w:rsid w:val="00E74FA4"/>
    <w:rsid w:val="00E77182"/>
    <w:rsid w:val="00E82ADA"/>
    <w:rsid w:val="00E83DA8"/>
    <w:rsid w:val="00E84728"/>
    <w:rsid w:val="00E936FC"/>
    <w:rsid w:val="00E93D13"/>
    <w:rsid w:val="00EA2681"/>
    <w:rsid w:val="00EA2859"/>
    <w:rsid w:val="00EA297A"/>
    <w:rsid w:val="00EA3456"/>
    <w:rsid w:val="00EB33E6"/>
    <w:rsid w:val="00EB3992"/>
    <w:rsid w:val="00EC58B9"/>
    <w:rsid w:val="00ED1520"/>
    <w:rsid w:val="00ED418B"/>
    <w:rsid w:val="00ED5F68"/>
    <w:rsid w:val="00EF2ED3"/>
    <w:rsid w:val="00EF5172"/>
    <w:rsid w:val="00EF5F8B"/>
    <w:rsid w:val="00F02E80"/>
    <w:rsid w:val="00F031FC"/>
    <w:rsid w:val="00F070B1"/>
    <w:rsid w:val="00F11402"/>
    <w:rsid w:val="00F11CD9"/>
    <w:rsid w:val="00F11E10"/>
    <w:rsid w:val="00F134B8"/>
    <w:rsid w:val="00F15504"/>
    <w:rsid w:val="00F1626C"/>
    <w:rsid w:val="00F20BF6"/>
    <w:rsid w:val="00F213DC"/>
    <w:rsid w:val="00F222E3"/>
    <w:rsid w:val="00F23E0C"/>
    <w:rsid w:val="00F25449"/>
    <w:rsid w:val="00F2600D"/>
    <w:rsid w:val="00F2718B"/>
    <w:rsid w:val="00F339F3"/>
    <w:rsid w:val="00F33A1A"/>
    <w:rsid w:val="00F34AEC"/>
    <w:rsid w:val="00F35568"/>
    <w:rsid w:val="00F36211"/>
    <w:rsid w:val="00F366FD"/>
    <w:rsid w:val="00F44BAF"/>
    <w:rsid w:val="00F45BA0"/>
    <w:rsid w:val="00F46210"/>
    <w:rsid w:val="00F46E36"/>
    <w:rsid w:val="00F47F58"/>
    <w:rsid w:val="00F529D1"/>
    <w:rsid w:val="00F544A7"/>
    <w:rsid w:val="00F6561A"/>
    <w:rsid w:val="00F7288A"/>
    <w:rsid w:val="00F74FDD"/>
    <w:rsid w:val="00F77B61"/>
    <w:rsid w:val="00F80EDA"/>
    <w:rsid w:val="00F8310B"/>
    <w:rsid w:val="00F85618"/>
    <w:rsid w:val="00F868D7"/>
    <w:rsid w:val="00F93202"/>
    <w:rsid w:val="00F94CE6"/>
    <w:rsid w:val="00F975DC"/>
    <w:rsid w:val="00FA0F8D"/>
    <w:rsid w:val="00FA228A"/>
    <w:rsid w:val="00FA2BA8"/>
    <w:rsid w:val="00FA3FF1"/>
    <w:rsid w:val="00FB17DB"/>
    <w:rsid w:val="00FB311F"/>
    <w:rsid w:val="00FB36BB"/>
    <w:rsid w:val="00FB66F8"/>
    <w:rsid w:val="00FB7406"/>
    <w:rsid w:val="00FB7495"/>
    <w:rsid w:val="00FC1E44"/>
    <w:rsid w:val="00FC315B"/>
    <w:rsid w:val="00FC4F43"/>
    <w:rsid w:val="00FC52C6"/>
    <w:rsid w:val="00FC72B7"/>
    <w:rsid w:val="00FD08B0"/>
    <w:rsid w:val="00FD11D5"/>
    <w:rsid w:val="00FD14F9"/>
    <w:rsid w:val="00FD1EDC"/>
    <w:rsid w:val="00FD2574"/>
    <w:rsid w:val="00FD275E"/>
    <w:rsid w:val="00FD7DB3"/>
    <w:rsid w:val="00FE03AC"/>
    <w:rsid w:val="00FE75F7"/>
    <w:rsid w:val="00FF03F2"/>
    <w:rsid w:val="00FF1DAB"/>
    <w:rsid w:val="00FF31EC"/>
    <w:rsid w:val="00FF37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F9320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F2ED3"/>
    <w:rPr>
      <w:color w:val="0000FF"/>
      <w:u w:val="single"/>
    </w:rPr>
  </w:style>
  <w:style w:type="table" w:styleId="TableGrid">
    <w:name w:val="Table Grid"/>
    <w:basedOn w:val="TableNormal"/>
    <w:rsid w:val="00457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F77EC"/>
    <w:pPr>
      <w:spacing w:after="120" w:line="300" w:lineRule="exact"/>
      <w:jc w:val="both"/>
    </w:pPr>
    <w:rPr>
      <w:rFonts w:ascii="Book Antiqua" w:hAnsi="Book Antiqua"/>
      <w:szCs w:val="20"/>
      <w:lang w:eastAsia="en-US"/>
    </w:rPr>
  </w:style>
  <w:style w:type="paragraph" w:styleId="Header">
    <w:name w:val="header"/>
    <w:basedOn w:val="Normal"/>
    <w:link w:val="HeaderChar"/>
    <w:uiPriority w:val="99"/>
    <w:rsid w:val="00FA3FF1"/>
    <w:pPr>
      <w:tabs>
        <w:tab w:val="center" w:pos="4153"/>
        <w:tab w:val="right" w:pos="8306"/>
      </w:tabs>
    </w:pPr>
    <w:rPr>
      <w:rFonts w:eastAsia="SimSun"/>
      <w:lang w:eastAsia="zh-CN"/>
    </w:rPr>
  </w:style>
  <w:style w:type="character" w:customStyle="1" w:styleId="HeaderChar">
    <w:name w:val="Header Char"/>
    <w:link w:val="Header"/>
    <w:uiPriority w:val="99"/>
    <w:rsid w:val="00FA3FF1"/>
    <w:rPr>
      <w:rFonts w:eastAsia="SimSun"/>
      <w:sz w:val="24"/>
      <w:szCs w:val="24"/>
      <w:lang w:eastAsia="zh-CN"/>
    </w:rPr>
  </w:style>
  <w:style w:type="character" w:styleId="Emphasis">
    <w:name w:val="Emphasis"/>
    <w:uiPriority w:val="20"/>
    <w:qFormat/>
    <w:rsid w:val="008D7A91"/>
    <w:rPr>
      <w:i/>
      <w:iCs/>
    </w:rPr>
  </w:style>
  <w:style w:type="character" w:customStyle="1" w:styleId="citation">
    <w:name w:val="citation"/>
    <w:rsid w:val="00963A0E"/>
  </w:style>
  <w:style w:type="character" w:customStyle="1" w:styleId="A3">
    <w:name w:val="A3"/>
    <w:uiPriority w:val="99"/>
    <w:rsid w:val="00963A0E"/>
    <w:rPr>
      <w:rFonts w:cs="Neo Sans Std"/>
      <w:color w:val="000000"/>
      <w:sz w:val="28"/>
      <w:szCs w:val="28"/>
    </w:rPr>
  </w:style>
  <w:style w:type="character" w:customStyle="1" w:styleId="cit-last-page2">
    <w:name w:val="cit-last-page2"/>
    <w:rsid w:val="00963A0E"/>
  </w:style>
  <w:style w:type="character" w:customStyle="1" w:styleId="cit-first-page">
    <w:name w:val="cit-first-page"/>
    <w:rsid w:val="00963A0E"/>
  </w:style>
  <w:style w:type="paragraph" w:styleId="Footer">
    <w:name w:val="footer"/>
    <w:basedOn w:val="Normal"/>
    <w:link w:val="FooterChar"/>
    <w:uiPriority w:val="99"/>
    <w:rsid w:val="003934D6"/>
    <w:pPr>
      <w:tabs>
        <w:tab w:val="center" w:pos="4513"/>
        <w:tab w:val="right" w:pos="9026"/>
      </w:tabs>
    </w:pPr>
  </w:style>
  <w:style w:type="character" w:customStyle="1" w:styleId="FooterChar">
    <w:name w:val="Footer Char"/>
    <w:link w:val="Footer"/>
    <w:uiPriority w:val="99"/>
    <w:rsid w:val="003934D6"/>
    <w:rPr>
      <w:sz w:val="24"/>
      <w:szCs w:val="24"/>
    </w:rPr>
  </w:style>
  <w:style w:type="paragraph" w:styleId="BalloonText">
    <w:name w:val="Balloon Text"/>
    <w:basedOn w:val="Normal"/>
    <w:link w:val="BalloonTextChar"/>
    <w:rsid w:val="0072141D"/>
    <w:rPr>
      <w:rFonts w:ascii="Tahoma" w:hAnsi="Tahoma" w:cs="Tahoma"/>
      <w:sz w:val="16"/>
      <w:szCs w:val="16"/>
    </w:rPr>
  </w:style>
  <w:style w:type="character" w:customStyle="1" w:styleId="BalloonTextChar">
    <w:name w:val="Balloon Text Char"/>
    <w:link w:val="BalloonText"/>
    <w:rsid w:val="0072141D"/>
    <w:rPr>
      <w:rFonts w:ascii="Tahoma" w:hAnsi="Tahoma" w:cs="Tahoma"/>
      <w:sz w:val="16"/>
      <w:szCs w:val="16"/>
    </w:rPr>
  </w:style>
  <w:style w:type="character" w:styleId="CommentReference">
    <w:name w:val="annotation reference"/>
    <w:semiHidden/>
    <w:rsid w:val="00ED5F68"/>
    <w:rPr>
      <w:sz w:val="16"/>
      <w:szCs w:val="16"/>
    </w:rPr>
  </w:style>
  <w:style w:type="paragraph" w:styleId="CommentText">
    <w:name w:val="annotation text"/>
    <w:basedOn w:val="Normal"/>
    <w:semiHidden/>
    <w:rsid w:val="00ED5F68"/>
    <w:rPr>
      <w:sz w:val="20"/>
      <w:szCs w:val="20"/>
    </w:rPr>
  </w:style>
  <w:style w:type="paragraph" w:styleId="CommentSubject">
    <w:name w:val="annotation subject"/>
    <w:basedOn w:val="CommentText"/>
    <w:next w:val="CommentText"/>
    <w:semiHidden/>
    <w:rsid w:val="00ED5F68"/>
    <w:rPr>
      <w:b/>
      <w:bCs/>
    </w:rPr>
  </w:style>
  <w:style w:type="paragraph" w:styleId="ListParagraph">
    <w:name w:val="List Paragraph"/>
    <w:basedOn w:val="Normal"/>
    <w:uiPriority w:val="34"/>
    <w:qFormat/>
    <w:rsid w:val="009D641D"/>
    <w:pPr>
      <w:ind w:left="720"/>
      <w:contextualSpacing/>
    </w:pPr>
    <w:rPr>
      <w:rFonts w:eastAsia="SimSun"/>
      <w:lang w:eastAsia="zh-CN"/>
    </w:rPr>
  </w:style>
  <w:style w:type="character" w:customStyle="1" w:styleId="Heading3Char">
    <w:name w:val="Heading 3 Char"/>
    <w:link w:val="Heading3"/>
    <w:uiPriority w:val="9"/>
    <w:rsid w:val="00F93202"/>
    <w:rPr>
      <w:b/>
      <w:bCs/>
      <w:sz w:val="27"/>
      <w:szCs w:val="27"/>
    </w:rPr>
  </w:style>
  <w:style w:type="paragraph" w:styleId="NormalWeb">
    <w:name w:val="Normal (Web)"/>
    <w:basedOn w:val="Normal"/>
    <w:uiPriority w:val="99"/>
    <w:unhideWhenUsed/>
    <w:rsid w:val="00F93202"/>
    <w:pPr>
      <w:spacing w:before="100" w:beforeAutospacing="1" w:after="100" w:afterAutospacing="1"/>
    </w:pPr>
  </w:style>
  <w:style w:type="character" w:customStyle="1" w:styleId="BodyTextChar">
    <w:name w:val="Body Text Char"/>
    <w:link w:val="BodyText"/>
    <w:rsid w:val="00410548"/>
    <w:rPr>
      <w:rFonts w:ascii="Book Antiqua" w:hAnsi="Book Antiqua"/>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F9320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F2ED3"/>
    <w:rPr>
      <w:color w:val="0000FF"/>
      <w:u w:val="single"/>
    </w:rPr>
  </w:style>
  <w:style w:type="table" w:styleId="TableGrid">
    <w:name w:val="Table Grid"/>
    <w:basedOn w:val="TableNormal"/>
    <w:rsid w:val="00457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F77EC"/>
    <w:pPr>
      <w:spacing w:after="120" w:line="300" w:lineRule="exact"/>
      <w:jc w:val="both"/>
    </w:pPr>
    <w:rPr>
      <w:rFonts w:ascii="Book Antiqua" w:hAnsi="Book Antiqua"/>
      <w:szCs w:val="20"/>
      <w:lang w:eastAsia="en-US"/>
    </w:rPr>
  </w:style>
  <w:style w:type="paragraph" w:styleId="Header">
    <w:name w:val="header"/>
    <w:basedOn w:val="Normal"/>
    <w:link w:val="HeaderChar"/>
    <w:uiPriority w:val="99"/>
    <w:rsid w:val="00FA3FF1"/>
    <w:pPr>
      <w:tabs>
        <w:tab w:val="center" w:pos="4153"/>
        <w:tab w:val="right" w:pos="8306"/>
      </w:tabs>
    </w:pPr>
    <w:rPr>
      <w:rFonts w:eastAsia="SimSun"/>
      <w:lang w:eastAsia="zh-CN"/>
    </w:rPr>
  </w:style>
  <w:style w:type="character" w:customStyle="1" w:styleId="HeaderChar">
    <w:name w:val="Header Char"/>
    <w:link w:val="Header"/>
    <w:uiPriority w:val="99"/>
    <w:rsid w:val="00FA3FF1"/>
    <w:rPr>
      <w:rFonts w:eastAsia="SimSun"/>
      <w:sz w:val="24"/>
      <w:szCs w:val="24"/>
      <w:lang w:eastAsia="zh-CN"/>
    </w:rPr>
  </w:style>
  <w:style w:type="character" w:styleId="Emphasis">
    <w:name w:val="Emphasis"/>
    <w:uiPriority w:val="20"/>
    <w:qFormat/>
    <w:rsid w:val="008D7A91"/>
    <w:rPr>
      <w:i/>
      <w:iCs/>
    </w:rPr>
  </w:style>
  <w:style w:type="character" w:customStyle="1" w:styleId="citation">
    <w:name w:val="citation"/>
    <w:rsid w:val="00963A0E"/>
  </w:style>
  <w:style w:type="character" w:customStyle="1" w:styleId="A3">
    <w:name w:val="A3"/>
    <w:uiPriority w:val="99"/>
    <w:rsid w:val="00963A0E"/>
    <w:rPr>
      <w:rFonts w:cs="Neo Sans Std"/>
      <w:color w:val="000000"/>
      <w:sz w:val="28"/>
      <w:szCs w:val="28"/>
    </w:rPr>
  </w:style>
  <w:style w:type="character" w:customStyle="1" w:styleId="cit-last-page2">
    <w:name w:val="cit-last-page2"/>
    <w:rsid w:val="00963A0E"/>
  </w:style>
  <w:style w:type="character" w:customStyle="1" w:styleId="cit-first-page">
    <w:name w:val="cit-first-page"/>
    <w:rsid w:val="00963A0E"/>
  </w:style>
  <w:style w:type="paragraph" w:styleId="Footer">
    <w:name w:val="footer"/>
    <w:basedOn w:val="Normal"/>
    <w:link w:val="FooterChar"/>
    <w:uiPriority w:val="99"/>
    <w:rsid w:val="003934D6"/>
    <w:pPr>
      <w:tabs>
        <w:tab w:val="center" w:pos="4513"/>
        <w:tab w:val="right" w:pos="9026"/>
      </w:tabs>
    </w:pPr>
  </w:style>
  <w:style w:type="character" w:customStyle="1" w:styleId="FooterChar">
    <w:name w:val="Footer Char"/>
    <w:link w:val="Footer"/>
    <w:uiPriority w:val="99"/>
    <w:rsid w:val="003934D6"/>
    <w:rPr>
      <w:sz w:val="24"/>
      <w:szCs w:val="24"/>
    </w:rPr>
  </w:style>
  <w:style w:type="paragraph" w:styleId="BalloonText">
    <w:name w:val="Balloon Text"/>
    <w:basedOn w:val="Normal"/>
    <w:link w:val="BalloonTextChar"/>
    <w:rsid w:val="0072141D"/>
    <w:rPr>
      <w:rFonts w:ascii="Tahoma" w:hAnsi="Tahoma" w:cs="Tahoma"/>
      <w:sz w:val="16"/>
      <w:szCs w:val="16"/>
    </w:rPr>
  </w:style>
  <w:style w:type="character" w:customStyle="1" w:styleId="BalloonTextChar">
    <w:name w:val="Balloon Text Char"/>
    <w:link w:val="BalloonText"/>
    <w:rsid w:val="0072141D"/>
    <w:rPr>
      <w:rFonts w:ascii="Tahoma" w:hAnsi="Tahoma" w:cs="Tahoma"/>
      <w:sz w:val="16"/>
      <w:szCs w:val="16"/>
    </w:rPr>
  </w:style>
  <w:style w:type="character" w:styleId="CommentReference">
    <w:name w:val="annotation reference"/>
    <w:semiHidden/>
    <w:rsid w:val="00ED5F68"/>
    <w:rPr>
      <w:sz w:val="16"/>
      <w:szCs w:val="16"/>
    </w:rPr>
  </w:style>
  <w:style w:type="paragraph" w:styleId="CommentText">
    <w:name w:val="annotation text"/>
    <w:basedOn w:val="Normal"/>
    <w:semiHidden/>
    <w:rsid w:val="00ED5F68"/>
    <w:rPr>
      <w:sz w:val="20"/>
      <w:szCs w:val="20"/>
    </w:rPr>
  </w:style>
  <w:style w:type="paragraph" w:styleId="CommentSubject">
    <w:name w:val="annotation subject"/>
    <w:basedOn w:val="CommentText"/>
    <w:next w:val="CommentText"/>
    <w:semiHidden/>
    <w:rsid w:val="00ED5F68"/>
    <w:rPr>
      <w:b/>
      <w:bCs/>
    </w:rPr>
  </w:style>
  <w:style w:type="paragraph" w:styleId="ListParagraph">
    <w:name w:val="List Paragraph"/>
    <w:basedOn w:val="Normal"/>
    <w:uiPriority w:val="34"/>
    <w:qFormat/>
    <w:rsid w:val="009D641D"/>
    <w:pPr>
      <w:ind w:left="720"/>
      <w:contextualSpacing/>
    </w:pPr>
    <w:rPr>
      <w:rFonts w:eastAsia="SimSun"/>
      <w:lang w:eastAsia="zh-CN"/>
    </w:rPr>
  </w:style>
  <w:style w:type="character" w:customStyle="1" w:styleId="Heading3Char">
    <w:name w:val="Heading 3 Char"/>
    <w:link w:val="Heading3"/>
    <w:uiPriority w:val="9"/>
    <w:rsid w:val="00F93202"/>
    <w:rPr>
      <w:b/>
      <w:bCs/>
      <w:sz w:val="27"/>
      <w:szCs w:val="27"/>
    </w:rPr>
  </w:style>
  <w:style w:type="paragraph" w:styleId="NormalWeb">
    <w:name w:val="Normal (Web)"/>
    <w:basedOn w:val="Normal"/>
    <w:uiPriority w:val="99"/>
    <w:unhideWhenUsed/>
    <w:rsid w:val="00F93202"/>
    <w:pPr>
      <w:spacing w:before="100" w:beforeAutospacing="1" w:after="100" w:afterAutospacing="1"/>
    </w:pPr>
  </w:style>
  <w:style w:type="character" w:customStyle="1" w:styleId="BodyTextChar">
    <w:name w:val="Body Text Char"/>
    <w:link w:val="BodyText"/>
    <w:rsid w:val="00410548"/>
    <w:rPr>
      <w:rFonts w:ascii="Book Antiqua" w:hAnsi="Book Antiqu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1583">
      <w:bodyDiv w:val="1"/>
      <w:marLeft w:val="0"/>
      <w:marRight w:val="0"/>
      <w:marTop w:val="0"/>
      <w:marBottom w:val="0"/>
      <w:divBdr>
        <w:top w:val="none" w:sz="0" w:space="0" w:color="auto"/>
        <w:left w:val="none" w:sz="0" w:space="0" w:color="auto"/>
        <w:bottom w:val="none" w:sz="0" w:space="0" w:color="auto"/>
        <w:right w:val="none" w:sz="0" w:space="0" w:color="auto"/>
      </w:divBdr>
      <w:divsChild>
        <w:div w:id="887031028">
          <w:marLeft w:val="0"/>
          <w:marRight w:val="0"/>
          <w:marTop w:val="0"/>
          <w:marBottom w:val="0"/>
          <w:divBdr>
            <w:top w:val="none" w:sz="0" w:space="0" w:color="auto"/>
            <w:left w:val="none" w:sz="0" w:space="0" w:color="auto"/>
            <w:bottom w:val="none" w:sz="0" w:space="0" w:color="auto"/>
            <w:right w:val="none" w:sz="0" w:space="0" w:color="auto"/>
          </w:divBdr>
        </w:div>
      </w:divsChild>
    </w:div>
    <w:div w:id="533809499">
      <w:bodyDiv w:val="1"/>
      <w:marLeft w:val="0"/>
      <w:marRight w:val="0"/>
      <w:marTop w:val="0"/>
      <w:marBottom w:val="0"/>
      <w:divBdr>
        <w:top w:val="none" w:sz="0" w:space="0" w:color="auto"/>
        <w:left w:val="none" w:sz="0" w:space="0" w:color="auto"/>
        <w:bottom w:val="none" w:sz="0" w:space="0" w:color="auto"/>
        <w:right w:val="none" w:sz="0" w:space="0" w:color="auto"/>
      </w:divBdr>
      <w:divsChild>
        <w:div w:id="1599176403">
          <w:marLeft w:val="1282"/>
          <w:marRight w:val="0"/>
          <w:marTop w:val="0"/>
          <w:marBottom w:val="192"/>
          <w:divBdr>
            <w:top w:val="none" w:sz="0" w:space="0" w:color="auto"/>
            <w:left w:val="none" w:sz="0" w:space="0" w:color="auto"/>
            <w:bottom w:val="none" w:sz="0" w:space="0" w:color="auto"/>
            <w:right w:val="none" w:sz="0" w:space="0" w:color="auto"/>
          </w:divBdr>
        </w:div>
      </w:divsChild>
    </w:div>
    <w:div w:id="566578020">
      <w:bodyDiv w:val="1"/>
      <w:marLeft w:val="0"/>
      <w:marRight w:val="0"/>
      <w:marTop w:val="0"/>
      <w:marBottom w:val="0"/>
      <w:divBdr>
        <w:top w:val="none" w:sz="0" w:space="0" w:color="auto"/>
        <w:left w:val="none" w:sz="0" w:space="0" w:color="auto"/>
        <w:bottom w:val="none" w:sz="0" w:space="0" w:color="auto"/>
        <w:right w:val="none" w:sz="0" w:space="0" w:color="auto"/>
      </w:divBdr>
      <w:divsChild>
        <w:div w:id="1398212746">
          <w:marLeft w:val="1282"/>
          <w:marRight w:val="0"/>
          <w:marTop w:val="0"/>
          <w:marBottom w:val="192"/>
          <w:divBdr>
            <w:top w:val="none" w:sz="0" w:space="0" w:color="auto"/>
            <w:left w:val="none" w:sz="0" w:space="0" w:color="auto"/>
            <w:bottom w:val="none" w:sz="0" w:space="0" w:color="auto"/>
            <w:right w:val="none" w:sz="0" w:space="0" w:color="auto"/>
          </w:divBdr>
        </w:div>
      </w:divsChild>
    </w:div>
    <w:div w:id="575936927">
      <w:bodyDiv w:val="1"/>
      <w:marLeft w:val="0"/>
      <w:marRight w:val="0"/>
      <w:marTop w:val="0"/>
      <w:marBottom w:val="0"/>
      <w:divBdr>
        <w:top w:val="none" w:sz="0" w:space="0" w:color="auto"/>
        <w:left w:val="none" w:sz="0" w:space="0" w:color="auto"/>
        <w:bottom w:val="none" w:sz="0" w:space="0" w:color="auto"/>
        <w:right w:val="none" w:sz="0" w:space="0" w:color="auto"/>
      </w:divBdr>
    </w:div>
    <w:div w:id="642926915">
      <w:bodyDiv w:val="1"/>
      <w:marLeft w:val="0"/>
      <w:marRight w:val="0"/>
      <w:marTop w:val="0"/>
      <w:marBottom w:val="0"/>
      <w:divBdr>
        <w:top w:val="none" w:sz="0" w:space="0" w:color="auto"/>
        <w:left w:val="none" w:sz="0" w:space="0" w:color="auto"/>
        <w:bottom w:val="none" w:sz="0" w:space="0" w:color="auto"/>
        <w:right w:val="none" w:sz="0" w:space="0" w:color="auto"/>
      </w:divBdr>
    </w:div>
    <w:div w:id="869993677">
      <w:bodyDiv w:val="1"/>
      <w:marLeft w:val="0"/>
      <w:marRight w:val="0"/>
      <w:marTop w:val="0"/>
      <w:marBottom w:val="0"/>
      <w:divBdr>
        <w:top w:val="none" w:sz="0" w:space="0" w:color="auto"/>
        <w:left w:val="none" w:sz="0" w:space="0" w:color="auto"/>
        <w:bottom w:val="none" w:sz="0" w:space="0" w:color="auto"/>
        <w:right w:val="none" w:sz="0" w:space="0" w:color="auto"/>
      </w:divBdr>
      <w:divsChild>
        <w:div w:id="1015494718">
          <w:marLeft w:val="1282"/>
          <w:marRight w:val="0"/>
          <w:marTop w:val="0"/>
          <w:marBottom w:val="192"/>
          <w:divBdr>
            <w:top w:val="none" w:sz="0" w:space="0" w:color="auto"/>
            <w:left w:val="none" w:sz="0" w:space="0" w:color="auto"/>
            <w:bottom w:val="none" w:sz="0" w:space="0" w:color="auto"/>
            <w:right w:val="none" w:sz="0" w:space="0" w:color="auto"/>
          </w:divBdr>
        </w:div>
      </w:divsChild>
    </w:div>
    <w:div w:id="1014769923">
      <w:bodyDiv w:val="1"/>
      <w:marLeft w:val="0"/>
      <w:marRight w:val="0"/>
      <w:marTop w:val="0"/>
      <w:marBottom w:val="0"/>
      <w:divBdr>
        <w:top w:val="none" w:sz="0" w:space="0" w:color="auto"/>
        <w:left w:val="none" w:sz="0" w:space="0" w:color="auto"/>
        <w:bottom w:val="none" w:sz="0" w:space="0" w:color="auto"/>
        <w:right w:val="none" w:sz="0" w:space="0" w:color="auto"/>
      </w:divBdr>
      <w:divsChild>
        <w:div w:id="207841122">
          <w:marLeft w:val="1915"/>
          <w:marRight w:val="0"/>
          <w:marTop w:val="0"/>
          <w:marBottom w:val="288"/>
          <w:divBdr>
            <w:top w:val="none" w:sz="0" w:space="0" w:color="auto"/>
            <w:left w:val="none" w:sz="0" w:space="0" w:color="auto"/>
            <w:bottom w:val="none" w:sz="0" w:space="0" w:color="auto"/>
            <w:right w:val="none" w:sz="0" w:space="0" w:color="auto"/>
          </w:divBdr>
        </w:div>
        <w:div w:id="583220260">
          <w:marLeft w:val="979"/>
          <w:marRight w:val="0"/>
          <w:marTop w:val="0"/>
          <w:marBottom w:val="470"/>
          <w:divBdr>
            <w:top w:val="none" w:sz="0" w:space="0" w:color="auto"/>
            <w:left w:val="none" w:sz="0" w:space="0" w:color="auto"/>
            <w:bottom w:val="none" w:sz="0" w:space="0" w:color="auto"/>
            <w:right w:val="none" w:sz="0" w:space="0" w:color="auto"/>
          </w:divBdr>
        </w:div>
        <w:div w:id="797798988">
          <w:marLeft w:val="979"/>
          <w:marRight w:val="0"/>
          <w:marTop w:val="0"/>
          <w:marBottom w:val="470"/>
          <w:divBdr>
            <w:top w:val="none" w:sz="0" w:space="0" w:color="auto"/>
            <w:left w:val="none" w:sz="0" w:space="0" w:color="auto"/>
            <w:bottom w:val="none" w:sz="0" w:space="0" w:color="auto"/>
            <w:right w:val="none" w:sz="0" w:space="0" w:color="auto"/>
          </w:divBdr>
        </w:div>
        <w:div w:id="1613172835">
          <w:marLeft w:val="1843"/>
          <w:marRight w:val="0"/>
          <w:marTop w:val="0"/>
          <w:marBottom w:val="288"/>
          <w:divBdr>
            <w:top w:val="none" w:sz="0" w:space="0" w:color="auto"/>
            <w:left w:val="none" w:sz="0" w:space="0" w:color="auto"/>
            <w:bottom w:val="none" w:sz="0" w:space="0" w:color="auto"/>
            <w:right w:val="none" w:sz="0" w:space="0" w:color="auto"/>
          </w:divBdr>
        </w:div>
      </w:divsChild>
    </w:div>
    <w:div w:id="1417559625">
      <w:bodyDiv w:val="1"/>
      <w:marLeft w:val="0"/>
      <w:marRight w:val="0"/>
      <w:marTop w:val="0"/>
      <w:marBottom w:val="0"/>
      <w:divBdr>
        <w:top w:val="none" w:sz="0" w:space="0" w:color="auto"/>
        <w:left w:val="none" w:sz="0" w:space="0" w:color="auto"/>
        <w:bottom w:val="none" w:sz="0" w:space="0" w:color="auto"/>
        <w:right w:val="none" w:sz="0" w:space="0" w:color="auto"/>
      </w:divBdr>
    </w:div>
    <w:div w:id="1929344235">
      <w:bodyDiv w:val="1"/>
      <w:marLeft w:val="0"/>
      <w:marRight w:val="0"/>
      <w:marTop w:val="0"/>
      <w:marBottom w:val="0"/>
      <w:divBdr>
        <w:top w:val="none" w:sz="0" w:space="0" w:color="auto"/>
        <w:left w:val="none" w:sz="0" w:space="0" w:color="auto"/>
        <w:bottom w:val="none" w:sz="0" w:space="0" w:color="auto"/>
        <w:right w:val="none" w:sz="0" w:space="0" w:color="auto"/>
      </w:divBdr>
      <w:divsChild>
        <w:div w:id="828137435">
          <w:marLeft w:val="1282"/>
          <w:marRight w:val="0"/>
          <w:marTop w:val="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ogeme.epfl.ch/" TargetMode="External"/><Relationship Id="rId5" Type="http://schemas.openxmlformats.org/officeDocument/2006/relationships/settings" Target="settings.xml"/><Relationship Id="rId10" Type="http://schemas.openxmlformats.org/officeDocument/2006/relationships/hyperlink" Target="http://www.research.att.com/~njas/oadir/" TargetMode="External"/><Relationship Id="rId4" Type="http://schemas.microsoft.com/office/2007/relationships/stylesWithEffects" Target="stylesWithEffects.xml"/><Relationship Id="rId9" Type="http://schemas.openxmlformats.org/officeDocument/2006/relationships/hyperlink" Target="mailto:K.M.Gerard@soton.ac.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EF4A2-ACA5-4BB9-A6B9-DB67A1B1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7365</Words>
  <Characters>41981</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Nurse paper</vt:lpstr>
    </vt:vector>
  </TitlesOfParts>
  <Company>MT</Company>
  <LinksUpToDate>false</LinksUpToDate>
  <CharactersWithSpaces>49248</CharactersWithSpaces>
  <SharedDoc>false</SharedDoc>
  <HLinks>
    <vt:vector size="12" baseType="variant">
      <vt:variant>
        <vt:i4>6488123</vt:i4>
      </vt:variant>
      <vt:variant>
        <vt:i4>3</vt:i4>
      </vt:variant>
      <vt:variant>
        <vt:i4>0</vt:i4>
      </vt:variant>
      <vt:variant>
        <vt:i4>5</vt:i4>
      </vt:variant>
      <vt:variant>
        <vt:lpwstr>http://biogeme.epfl.ch/</vt:lpwstr>
      </vt:variant>
      <vt:variant>
        <vt:lpwstr/>
      </vt:variant>
      <vt:variant>
        <vt:i4>1769551</vt:i4>
      </vt:variant>
      <vt:variant>
        <vt:i4>0</vt:i4>
      </vt:variant>
      <vt:variant>
        <vt:i4>0</vt:i4>
      </vt:variant>
      <vt:variant>
        <vt:i4>5</vt:i4>
      </vt:variant>
      <vt:variant>
        <vt:lpwstr>http://www.research.att.com/~njas/oadir/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paper</dc:title>
  <dc:creator>Michela Tinelli</dc:creator>
  <cp:lastModifiedBy>Durrant P.</cp:lastModifiedBy>
  <cp:revision>2</cp:revision>
  <cp:lastPrinted>2013-07-02T14:31:00Z</cp:lastPrinted>
  <dcterms:created xsi:type="dcterms:W3CDTF">2014-05-19T12:53:00Z</dcterms:created>
  <dcterms:modified xsi:type="dcterms:W3CDTF">2014-05-19T12:53:00Z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44480634</vt:i4>
  </property>
  <property fmtid="{D5CDD505-2E9C-101B-9397-08002B2CF9AE}" pid="4" name="_EmailSubject">
    <vt:lpwstr>new paper published</vt:lpwstr>
  </property>
  <property fmtid="{D5CDD505-2E9C-101B-9397-08002B2CF9AE}" pid="5" name="_AuthorEmail">
    <vt:lpwstr>K.M.Gerard@soton.ac.uk</vt:lpwstr>
  </property>
  <property fmtid="{D5CDD505-2E9C-101B-9397-08002B2CF9AE}" pid="6" name="_AuthorEmailDisplayName">
    <vt:lpwstr>Gerard K.M.</vt:lpwstr>
  </property>
  <property fmtid="{D5CDD505-2E9C-101B-9397-08002B2CF9AE}" pid="7" name="_ReviewingToolsShownOnce">
    <vt:lpwstr/>
  </property>
</Properties>
</file>