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872D71" w14:textId="77777777" w:rsidR="00C21745" w:rsidRPr="006811C9" w:rsidRDefault="00C21745" w:rsidP="0045343D">
      <w:pPr>
        <w:suppressLineNumbers/>
        <w:spacing w:line="480" w:lineRule="auto"/>
        <w:rPr>
          <w:b/>
          <w:bCs/>
          <w:sz w:val="28"/>
          <w:szCs w:val="28"/>
        </w:rPr>
      </w:pPr>
      <w:r w:rsidRPr="006811C9">
        <w:rPr>
          <w:b/>
          <w:bCs/>
          <w:sz w:val="28"/>
          <w:szCs w:val="28"/>
        </w:rPr>
        <w:t xml:space="preserve">Effect of sex hormones on n-3 polyunsaturated fatty acid biosynthesis in HepG2 cells and </w:t>
      </w:r>
      <w:r>
        <w:rPr>
          <w:b/>
          <w:bCs/>
          <w:sz w:val="28"/>
          <w:szCs w:val="28"/>
        </w:rPr>
        <w:t xml:space="preserve">in </w:t>
      </w:r>
      <w:r w:rsidRPr="006811C9">
        <w:rPr>
          <w:b/>
          <w:bCs/>
          <w:sz w:val="28"/>
          <w:szCs w:val="28"/>
        </w:rPr>
        <w:t>human primary hepatocytes</w:t>
      </w:r>
    </w:p>
    <w:p w14:paraId="10E70FAF" w14:textId="77777777" w:rsidR="00C21745" w:rsidRDefault="00C21745" w:rsidP="0045343D">
      <w:pPr>
        <w:suppressLineNumbers/>
        <w:spacing w:line="480" w:lineRule="auto"/>
      </w:pPr>
    </w:p>
    <w:p w14:paraId="0B5178EE" w14:textId="77777777" w:rsidR="00C21745" w:rsidRDefault="00C21745" w:rsidP="0045343D">
      <w:pPr>
        <w:suppressLineNumbers/>
        <w:spacing w:line="480" w:lineRule="auto"/>
      </w:pPr>
      <w:r>
        <w:t>Charlene M. Sibbons</w:t>
      </w:r>
      <w:r w:rsidRPr="006811C9">
        <w:rPr>
          <w:vertAlign w:val="superscript"/>
        </w:rPr>
        <w:t>a</w:t>
      </w:r>
      <w:r>
        <w:t>,  J. Thomas Brenna</w:t>
      </w:r>
      <w:r>
        <w:rPr>
          <w:vertAlign w:val="superscript"/>
        </w:rPr>
        <w:t>b</w:t>
      </w:r>
      <w:r>
        <w:t>, Peter Lawrence</w:t>
      </w:r>
      <w:r>
        <w:rPr>
          <w:vertAlign w:val="superscript"/>
        </w:rPr>
        <w:t>b</w:t>
      </w:r>
      <w:r>
        <w:t>, Samuel P. Hoile</w:t>
      </w:r>
      <w:r w:rsidRPr="006811C9">
        <w:rPr>
          <w:vertAlign w:val="superscript"/>
        </w:rPr>
        <w:t>a</w:t>
      </w:r>
      <w:r>
        <w:t>, Rebecca Clarke-Harris</w:t>
      </w:r>
      <w:r w:rsidRPr="006811C9">
        <w:rPr>
          <w:vertAlign w:val="superscript"/>
        </w:rPr>
        <w:t>a</w:t>
      </w:r>
      <w:r>
        <w:t>, Karen A. Lillycrop</w:t>
      </w:r>
      <w:r>
        <w:rPr>
          <w:vertAlign w:val="superscript"/>
        </w:rPr>
        <w:t>c</w:t>
      </w:r>
      <w:r>
        <w:t>, Graham C. Burdge</w:t>
      </w:r>
      <w:r w:rsidRPr="006811C9">
        <w:rPr>
          <w:vertAlign w:val="superscript"/>
        </w:rPr>
        <w:t>a</w:t>
      </w:r>
      <w:r>
        <w:rPr>
          <w:vertAlign w:val="superscript"/>
        </w:rPr>
        <w:t>,</w:t>
      </w:r>
      <w:r w:rsidRPr="006811C9">
        <w:t>*</w:t>
      </w:r>
    </w:p>
    <w:p w14:paraId="4F98F975" w14:textId="77777777" w:rsidR="00C21745" w:rsidRDefault="00C21745" w:rsidP="0045343D">
      <w:pPr>
        <w:suppressLineNumbers/>
        <w:spacing w:line="480" w:lineRule="auto"/>
      </w:pPr>
    </w:p>
    <w:p w14:paraId="3AA6E3C8" w14:textId="77777777" w:rsidR="00C21745" w:rsidRDefault="00C21745" w:rsidP="0045343D">
      <w:pPr>
        <w:suppressLineNumbers/>
        <w:spacing w:line="480" w:lineRule="auto"/>
      </w:pPr>
    </w:p>
    <w:p w14:paraId="2F7D472D" w14:textId="77777777" w:rsidR="00C21745" w:rsidRDefault="00C21745" w:rsidP="0045343D">
      <w:pPr>
        <w:suppressLineNumbers/>
        <w:spacing w:line="480" w:lineRule="auto"/>
        <w:rPr>
          <w:sz w:val="12"/>
          <w:szCs w:val="12"/>
        </w:rPr>
      </w:pPr>
      <w:r w:rsidRPr="006811C9">
        <w:rPr>
          <w:vertAlign w:val="superscript"/>
        </w:rPr>
        <w:t>a</w:t>
      </w:r>
      <w:r>
        <w:t>Academic Unit of Human Development and Health, Faculty of Medicine, University of Southampton, Southampton, UK</w:t>
      </w:r>
    </w:p>
    <w:p w14:paraId="742042D1" w14:textId="77777777" w:rsidR="00C21745" w:rsidRDefault="00C21745" w:rsidP="0045343D">
      <w:pPr>
        <w:suppressLineNumbers/>
        <w:spacing w:line="480" w:lineRule="auto"/>
      </w:pPr>
      <w:r w:rsidRPr="006811C9">
        <w:rPr>
          <w:vertAlign w:val="superscript"/>
        </w:rPr>
        <w:t>b</w:t>
      </w:r>
      <w:r w:rsidRPr="006811C9">
        <w:t>Division of Nutritional Sciences, Cornell University, Ithaca, New York, United States</w:t>
      </w:r>
    </w:p>
    <w:p w14:paraId="14B031FB" w14:textId="77777777" w:rsidR="00C21745" w:rsidRDefault="00C21745" w:rsidP="0045343D">
      <w:pPr>
        <w:suppressLineNumbers/>
        <w:spacing w:line="480" w:lineRule="auto"/>
      </w:pPr>
      <w:r w:rsidRPr="006811C9">
        <w:rPr>
          <w:vertAlign w:val="superscript"/>
        </w:rPr>
        <w:t>c</w:t>
      </w:r>
      <w:r>
        <w:t>Centre for Biological Sciences, Faculty of Natural and Environmental Sciences, University of Southampton, Southampton, UK</w:t>
      </w:r>
    </w:p>
    <w:p w14:paraId="467A2CF2" w14:textId="77777777" w:rsidR="00C21745" w:rsidRDefault="00C21745" w:rsidP="0045343D">
      <w:pPr>
        <w:suppressLineNumbers/>
        <w:spacing w:line="480" w:lineRule="auto"/>
      </w:pPr>
    </w:p>
    <w:p w14:paraId="581B13AF" w14:textId="77777777" w:rsidR="00C21745" w:rsidRDefault="00C21745" w:rsidP="0045343D">
      <w:pPr>
        <w:suppressLineNumbers/>
        <w:spacing w:line="480" w:lineRule="auto"/>
      </w:pPr>
      <w:r>
        <w:t xml:space="preserve">*Correspondence to: Dr Graham C Burdge, Academic Unit of Human Development and Health, Faculty of Medicine, University of Southampton, IDS Building, Southampton General Hospital, Tremona Road, Southampton, SO16 6YD, UK.  Tel. +44 (0)2380795259; Fax +44 (0)2380794221; </w:t>
      </w:r>
      <w:r w:rsidRPr="00D900C0">
        <w:t>g.c.burdge@soton.ac.uk</w:t>
      </w:r>
    </w:p>
    <w:p w14:paraId="21CEFD43" w14:textId="77777777" w:rsidR="00C21745" w:rsidRDefault="00C21745" w:rsidP="0045343D">
      <w:pPr>
        <w:suppressLineNumbers/>
        <w:spacing w:line="480" w:lineRule="auto"/>
      </w:pPr>
    </w:p>
    <w:p w14:paraId="689EEB71" w14:textId="77777777" w:rsidR="00DA56BA" w:rsidRDefault="00C21745" w:rsidP="0045343D">
      <w:pPr>
        <w:suppressLineNumbers/>
        <w:spacing w:line="480" w:lineRule="auto"/>
      </w:pPr>
      <w:r>
        <w:t>Key words:  Omega-3 polyunsaturated fatty acids, eicosapentaenoic acid, docosahexaenoic acid, estrogen, progesterone, testosterone, FADS, elongase</w:t>
      </w:r>
    </w:p>
    <w:p w14:paraId="320C786D" w14:textId="77777777" w:rsidR="00DA56BA" w:rsidRDefault="00DA56BA" w:rsidP="0045343D">
      <w:pPr>
        <w:suppressLineNumbers/>
        <w:spacing w:line="480" w:lineRule="auto"/>
      </w:pPr>
    </w:p>
    <w:p w14:paraId="1CD6C145" w14:textId="516D2CDC" w:rsidR="00C21745" w:rsidRDefault="00DA56BA" w:rsidP="0045343D">
      <w:pPr>
        <w:suppressLineNumbers/>
        <w:spacing w:line="480" w:lineRule="auto"/>
      </w:pPr>
      <w:r>
        <w:t xml:space="preserve">Source of funding:  </w:t>
      </w:r>
      <w:r>
        <w:rPr>
          <w:lang w:val="en-US"/>
        </w:rPr>
        <w:t xml:space="preserve">The work reported in this article was supported by a grant from the Nutricia </w:t>
      </w:r>
      <w:r>
        <w:rPr>
          <w:rFonts w:eastAsia="Times New Roman"/>
        </w:rPr>
        <w:t xml:space="preserve">Research Foundation (project code </w:t>
      </w:r>
      <w:r>
        <w:rPr>
          <w:sz w:val="22"/>
          <w:szCs w:val="22"/>
        </w:rPr>
        <w:t>2011-03)</w:t>
      </w:r>
      <w:r>
        <w:rPr>
          <w:lang w:val="en-US"/>
        </w:rPr>
        <w:t>.</w:t>
      </w:r>
      <w:r w:rsidR="00C21745">
        <w:br w:type="page"/>
      </w:r>
    </w:p>
    <w:p w14:paraId="7EC1F939" w14:textId="7282EC0D" w:rsidR="007709E3" w:rsidRDefault="007709E3" w:rsidP="0045343D">
      <w:pPr>
        <w:spacing w:line="480" w:lineRule="auto"/>
      </w:pPr>
      <w:r>
        <w:lastRenderedPageBreak/>
        <w:t>ABSTRACT</w:t>
      </w:r>
    </w:p>
    <w:p w14:paraId="75C123F1" w14:textId="2EB35BD0" w:rsidR="00C21745" w:rsidRPr="00D900C0" w:rsidRDefault="00C21745" w:rsidP="0045343D">
      <w:pPr>
        <w:spacing w:line="480" w:lineRule="auto"/>
        <w:rPr>
          <w:b/>
          <w:bCs/>
        </w:rPr>
      </w:pPr>
      <w:r>
        <w:t xml:space="preserve">Female humans and rodents have been shown to have higher 22:6n-3 status </w:t>
      </w:r>
      <w:r w:rsidR="007B7B61">
        <w:t xml:space="preserve">and synthesis </w:t>
      </w:r>
      <w:r>
        <w:t xml:space="preserve">than males. </w:t>
      </w:r>
      <w:r w:rsidR="0045343D">
        <w:t xml:space="preserve"> I</w:t>
      </w:r>
      <w:r>
        <w:t xml:space="preserve">t is unclear </w:t>
      </w:r>
      <w:r w:rsidR="007B7B61">
        <w:t>which sex hormone is involved</w:t>
      </w:r>
      <w:r>
        <w:t xml:space="preserve">.  We investigated the specificity of the effects of physiological concentrations of sex hormones </w:t>
      </w:r>
      <w:r w:rsidR="007B7B61" w:rsidRPr="007B7B61">
        <w:rPr>
          <w:i/>
        </w:rPr>
        <w:t>in vitro</w:t>
      </w:r>
      <w:r w:rsidR="007B7B61">
        <w:t xml:space="preserve"> </w:t>
      </w:r>
      <w:r>
        <w:t>on the mRNA expression of genes involved in polyunsaturated fatty acid (PUFA) biosynthesis and on the conversion of [d</w:t>
      </w:r>
      <w:r w:rsidRPr="007B7B61">
        <w:rPr>
          <w:vertAlign w:val="subscript"/>
        </w:rPr>
        <w:t>5</w:t>
      </w:r>
      <w:r>
        <w:t>]-18:3n-3 to longer chain fatty acids.  Progesterone, but not 17α-ethynylestradiol or testosterone, increased FADS2, FADS1, ELOVl 5 and ELOVl 2</w:t>
      </w:r>
      <w:r w:rsidR="0045343D">
        <w:t xml:space="preserve"> mRNA expression</w:t>
      </w:r>
      <w:r w:rsidR="007B7B61">
        <w:t xml:space="preserve"> in HepG2 cells and in </w:t>
      </w:r>
      <w:r>
        <w:t xml:space="preserve">primary human hepatocytes. </w:t>
      </w:r>
      <w:r w:rsidR="007B7B61">
        <w:t xml:space="preserve"> In HepG2 cells, t</w:t>
      </w:r>
      <w:r>
        <w:t>h</w:t>
      </w:r>
      <w:r w:rsidR="00380BD4">
        <w:t>ese changes</w:t>
      </w:r>
      <w:r>
        <w:t xml:space="preserve"> </w:t>
      </w:r>
      <w:r w:rsidR="00380BD4">
        <w:t>were</w:t>
      </w:r>
      <w:r>
        <w:t xml:space="preserve"> accompanied by </w:t>
      </w:r>
      <w:r w:rsidR="00380BD4">
        <w:t>hypo</w:t>
      </w:r>
      <w:r>
        <w:t xml:space="preserve">methylation of specific CpG loci in the FADS2 promoter.  Progesterone, but not </w:t>
      </w:r>
      <w:r w:rsidR="007B7B61">
        <w:t>17α-ethynylestradiol</w:t>
      </w:r>
      <w:r>
        <w:t xml:space="preserve"> or testosterone, increased conversion of [d</w:t>
      </w:r>
      <w:r w:rsidRPr="007B7B61">
        <w:rPr>
          <w:vertAlign w:val="subscript"/>
        </w:rPr>
        <w:t>5</w:t>
      </w:r>
      <w:r>
        <w:t xml:space="preserve">]-18:3n-3 to 20:5n-3, 22:5n-3 and 22:6n-3.  </w:t>
      </w:r>
      <w:r w:rsidR="007B7B61">
        <w:rPr>
          <w:lang w:val="en-US"/>
        </w:rPr>
        <w:t>T</w:t>
      </w:r>
      <w:r>
        <w:rPr>
          <w:lang w:val="en-US"/>
        </w:rPr>
        <w:t xml:space="preserve">hese findings show that progesterone </w:t>
      </w:r>
      <w:r w:rsidR="007B7B61">
        <w:rPr>
          <w:lang w:val="en-US"/>
        </w:rPr>
        <w:t xml:space="preserve">increases </w:t>
      </w:r>
      <w:r>
        <w:rPr>
          <w:lang w:val="en-US"/>
        </w:rPr>
        <w:t xml:space="preserve">n-3 PUFA biosynthesis by </w:t>
      </w:r>
      <w:r w:rsidR="007B7B61">
        <w:rPr>
          <w:lang w:val="en-US"/>
        </w:rPr>
        <w:t>up-regulating</w:t>
      </w:r>
      <w:r>
        <w:rPr>
          <w:lang w:val="en-US"/>
        </w:rPr>
        <w:t xml:space="preserve"> the mRNA expression of genes involved in this pathway, possibly via changes in the epigenetic regulation of FADS2. </w:t>
      </w:r>
      <w:r>
        <w:br w:type="page"/>
      </w:r>
      <w:r w:rsidRPr="00D900C0">
        <w:rPr>
          <w:b/>
          <w:bCs/>
        </w:rPr>
        <w:t>1. Introduction</w:t>
      </w:r>
    </w:p>
    <w:p w14:paraId="0D8CD761" w14:textId="3D44037F" w:rsidR="00C21745" w:rsidRDefault="00C21745" w:rsidP="0045343D">
      <w:pPr>
        <w:spacing w:line="480" w:lineRule="auto"/>
        <w:ind w:firstLine="720"/>
        <w:rPr>
          <w:color w:val="000000"/>
        </w:rPr>
      </w:pPr>
      <w:r>
        <w:t xml:space="preserve">The relative proportions of polyunsaturated fatty acids (PUFA) are an important influence on cell function as they influence the biophysical properties of the phospholipid bilayer and provide substrates for phospholipase-mediated signalling pathways.   20:5n-3 and 22:6n-3 can be obtained preformed from dietary sources such as oily fish.  However, most mammalian species have some capacity for the synthesis of these fatty acids from the n-3 essential fatty acid 18:3n-3 which is present in specific plant oils.  Such molecular transformation involves  desaturation at the </w:t>
      </w:r>
      <w:r w:rsidRPr="002A3C34">
        <w:rPr>
          <w:color w:val="000000"/>
        </w:rPr>
        <w:t>Δ</w:t>
      </w:r>
      <w:r>
        <w:rPr>
          <w:color w:val="000000"/>
        </w:rPr>
        <w:t xml:space="preserve">6 position by </w:t>
      </w:r>
      <w:r w:rsidRPr="002A3C34">
        <w:rPr>
          <w:color w:val="000000"/>
        </w:rPr>
        <w:t>Δ</w:t>
      </w:r>
      <w:r>
        <w:rPr>
          <w:color w:val="000000"/>
        </w:rPr>
        <w:t xml:space="preserve">6 desaturase to form 18:4n-3, elongation of the carbon chain by elongase-2 activity to form 20:4n-3, and desaturation </w:t>
      </w:r>
      <w:r>
        <w:t xml:space="preserve">at the </w:t>
      </w:r>
      <w:r w:rsidRPr="002A3C34">
        <w:rPr>
          <w:color w:val="000000"/>
        </w:rPr>
        <w:t>Δ</w:t>
      </w:r>
      <w:r>
        <w:rPr>
          <w:color w:val="000000"/>
        </w:rPr>
        <w:t xml:space="preserve">5 position by </w:t>
      </w:r>
      <w:r w:rsidRPr="002A3C34">
        <w:rPr>
          <w:color w:val="000000"/>
        </w:rPr>
        <w:t>Δ</w:t>
      </w:r>
      <w:r>
        <w:rPr>
          <w:color w:val="000000"/>
        </w:rPr>
        <w:t>5 desaturase to form 20:5n-3</w:t>
      </w:r>
      <w:r w:rsidR="007B7B61">
        <w:rPr>
          <w:color w:val="000000"/>
        </w:rPr>
        <w:t xml:space="preserve"> </w:t>
      </w:r>
      <w:r w:rsidR="007B7B61">
        <w:rPr>
          <w:noProof/>
          <w:color w:val="000000"/>
        </w:rPr>
        <w:t>[</w:t>
      </w:r>
      <w:r>
        <w:rPr>
          <w:noProof/>
          <w:color w:val="000000"/>
        </w:rPr>
        <w:t>1</w:t>
      </w:r>
      <w:r w:rsidR="007B7B61">
        <w:rPr>
          <w:noProof/>
          <w:color w:val="000000"/>
        </w:rPr>
        <w:t>]</w:t>
      </w:r>
      <w:r>
        <w:rPr>
          <w:color w:val="000000"/>
        </w:rPr>
        <w:t xml:space="preserve">.  Conversion of 20:5n-3 to 22:6n-3 involves further elongation by elongase -2 or -5 activity to form 22:5n-3 and elongation by elongase-2 activity to form 24:5n-3.  24:6n-3 is then formed by </w:t>
      </w:r>
      <w:r>
        <w:t xml:space="preserve">desaturation at the </w:t>
      </w:r>
      <w:r w:rsidRPr="002A3C34">
        <w:rPr>
          <w:color w:val="000000"/>
        </w:rPr>
        <w:t>Δ</w:t>
      </w:r>
      <w:r>
        <w:rPr>
          <w:color w:val="000000"/>
        </w:rPr>
        <w:t xml:space="preserve">6 position by </w:t>
      </w:r>
      <w:r w:rsidRPr="002A3C34">
        <w:rPr>
          <w:color w:val="000000"/>
        </w:rPr>
        <w:t>Δ</w:t>
      </w:r>
      <w:r>
        <w:rPr>
          <w:color w:val="000000"/>
        </w:rPr>
        <w:t xml:space="preserve">6 desaturase.  24:6n-6 is then translocated to peroxisomes where one cycle of fatty acid </w:t>
      </w:r>
      <w:r w:rsidRPr="00B24784">
        <w:rPr>
          <w:color w:val="000000"/>
        </w:rPr>
        <w:t>β</w:t>
      </w:r>
      <w:r>
        <w:rPr>
          <w:color w:val="000000"/>
        </w:rPr>
        <w:t>-oxid</w:t>
      </w:r>
      <w:r w:rsidRPr="00B24784">
        <w:rPr>
          <w:color w:val="000000"/>
        </w:rPr>
        <w:t xml:space="preserve">ation </w:t>
      </w:r>
      <w:r>
        <w:rPr>
          <w:color w:val="000000"/>
        </w:rPr>
        <w:t>converts 24:6n-3 to 22:6n-3 which is then returned to the endoplasmic reticulum</w:t>
      </w:r>
      <w:r w:rsidR="007B7B61">
        <w:rPr>
          <w:noProof/>
          <w:color w:val="000000"/>
        </w:rPr>
        <w:t xml:space="preserve"> [</w:t>
      </w:r>
      <w:r>
        <w:rPr>
          <w:noProof/>
          <w:color w:val="000000"/>
        </w:rPr>
        <w:t>1</w:t>
      </w:r>
      <w:r w:rsidR="007B7B61">
        <w:rPr>
          <w:noProof/>
          <w:color w:val="000000"/>
        </w:rPr>
        <w:t>]</w:t>
      </w:r>
      <w:r>
        <w:rPr>
          <w:color w:val="000000"/>
        </w:rPr>
        <w:t>.</w:t>
      </w:r>
    </w:p>
    <w:p w14:paraId="6F2F5D68" w14:textId="5761F412" w:rsidR="00C21745" w:rsidRDefault="00C21745" w:rsidP="0045343D">
      <w:pPr>
        <w:spacing w:line="480" w:lineRule="auto"/>
        <w:ind w:firstLine="720"/>
      </w:pPr>
      <w:r>
        <w:t xml:space="preserve">Sex appears to be an important influence on 22:6n-3 status and capacity for synthesis of 20:5n-3 and 22:6n-3 from 18:3n-3 in humans.  A meta-analysis of 51 studies of the PUFA content of plasma, erythrocyte or adipose tissue in 8,541 subjects has shown the proportion of 22:6n-3 to be 37% lower in men than women </w:t>
      </w:r>
      <w:r w:rsidR="007B7B61">
        <w:rPr>
          <w:noProof/>
        </w:rPr>
        <w:t>[</w:t>
      </w:r>
      <w:r>
        <w:rPr>
          <w:noProof/>
        </w:rPr>
        <w:t>2</w:t>
      </w:r>
      <w:r w:rsidR="007B7B61">
        <w:rPr>
          <w:noProof/>
        </w:rPr>
        <w:t>]</w:t>
      </w:r>
      <w:r>
        <w:t xml:space="preserve">.  In addition, a meta-analysis of 2,907 subjects also showed the proportion of 22:6n-3 to be 47% lower in men than in women </w:t>
      </w:r>
      <w:r w:rsidR="007B7B61">
        <w:rPr>
          <w:noProof/>
        </w:rPr>
        <w:t>[</w:t>
      </w:r>
      <w:r>
        <w:rPr>
          <w:noProof/>
        </w:rPr>
        <w:t>3</w:t>
      </w:r>
      <w:r w:rsidR="007B7B61">
        <w:rPr>
          <w:noProof/>
        </w:rPr>
        <w:t>]</w:t>
      </w:r>
      <w:r>
        <w:t xml:space="preserve">.  Such sex differences in 22:6n-3 status appear to be independent of dietary background </w:t>
      </w:r>
      <w:r w:rsidR="007B7B61">
        <w:rPr>
          <w:noProof/>
        </w:rPr>
        <w:t>[</w:t>
      </w:r>
      <w:r>
        <w:rPr>
          <w:noProof/>
        </w:rPr>
        <w:t>1, 4</w:t>
      </w:r>
      <w:r w:rsidR="007B7B61">
        <w:rPr>
          <w:noProof/>
        </w:rPr>
        <w:t>]</w:t>
      </w:r>
      <w:r>
        <w:t xml:space="preserve">.   Female rodents have also been shown to have higher plasma and liver 22:6n-3 status than males </w:t>
      </w:r>
      <w:r w:rsidR="007B7B61">
        <w:rPr>
          <w:noProof/>
        </w:rPr>
        <w:t>[</w:t>
      </w:r>
      <w:r>
        <w:rPr>
          <w:noProof/>
        </w:rPr>
        <w:t>5-8</w:t>
      </w:r>
      <w:r w:rsidR="007B7B61">
        <w:rPr>
          <w:noProof/>
        </w:rPr>
        <w:t>]</w:t>
      </w:r>
      <w:r>
        <w:t xml:space="preserve">.  Studies in which dietary 18:3n-3 intake was increased in men have shown a dose-related increase in 20:5n-3 and 22:5n-3, but not in 22:6n-3.  This implies constraint in the reactions that follow 22:5n-3 synthesis </w:t>
      </w:r>
      <w:r w:rsidR="007B7B61">
        <w:rPr>
          <w:noProof/>
        </w:rPr>
        <w:t>[</w:t>
      </w:r>
      <w:r>
        <w:rPr>
          <w:noProof/>
        </w:rPr>
        <w:t>5</w:t>
      </w:r>
      <w:r w:rsidR="007B7B61">
        <w:rPr>
          <w:noProof/>
        </w:rPr>
        <w:t>]</w:t>
      </w:r>
      <w:r>
        <w:t>.  The effect of 18:3n-3 supplementation on 20:5n-3 and 22:6n-3 status in women is not known.  Studies that have used 18:3n-3 labelled with stable isotopes to measure its conversion to longer chain metabolites have confirmed the findings of the observational and dietary intervention studies which showed that women were shown to convert more 18:3n-3 to 22:6n-3 than men</w:t>
      </w:r>
      <w:r w:rsidR="007B7B61">
        <w:t xml:space="preserve"> </w:t>
      </w:r>
      <w:r w:rsidR="007B7B61">
        <w:rPr>
          <w:noProof/>
        </w:rPr>
        <w:t>[</w:t>
      </w:r>
      <w:r>
        <w:rPr>
          <w:noProof/>
        </w:rPr>
        <w:t>9-11</w:t>
      </w:r>
      <w:r w:rsidR="007B7B61">
        <w:rPr>
          <w:noProof/>
        </w:rPr>
        <w:t>]</w:t>
      </w:r>
      <w:r>
        <w:t xml:space="preserve">.   In rats, the mRNA expression of Fads2, </w:t>
      </w:r>
      <w:r w:rsidRPr="00D424A7">
        <w:rPr>
          <w:lang w:val="en-US"/>
        </w:rPr>
        <w:t xml:space="preserve">which encodes </w:t>
      </w:r>
      <w:r w:rsidRPr="00D424A7">
        <w:rPr>
          <w:color w:val="000000"/>
        </w:rPr>
        <w:t>Δ6 desaturase</w:t>
      </w:r>
      <w:r>
        <w:rPr>
          <w:color w:val="000000"/>
        </w:rPr>
        <w:t xml:space="preserve">, and Fads1, which encodes </w:t>
      </w:r>
      <w:r w:rsidRPr="00D424A7">
        <w:rPr>
          <w:color w:val="000000"/>
        </w:rPr>
        <w:t>Δ</w:t>
      </w:r>
      <w:r>
        <w:rPr>
          <w:color w:val="000000"/>
        </w:rPr>
        <w:t>5</w:t>
      </w:r>
      <w:r w:rsidRPr="00D424A7">
        <w:rPr>
          <w:color w:val="000000"/>
        </w:rPr>
        <w:t xml:space="preserve"> desaturase</w:t>
      </w:r>
      <w:r>
        <w:rPr>
          <w:color w:val="000000"/>
        </w:rPr>
        <w:t xml:space="preserve">, have been shown to be higher in the liver of females than males </w:t>
      </w:r>
      <w:r w:rsidR="007B7B61">
        <w:rPr>
          <w:noProof/>
          <w:color w:val="000000"/>
        </w:rPr>
        <w:t>[</w:t>
      </w:r>
      <w:r>
        <w:rPr>
          <w:noProof/>
          <w:color w:val="000000"/>
        </w:rPr>
        <w:t>6, 12</w:t>
      </w:r>
      <w:r w:rsidR="007B7B61">
        <w:rPr>
          <w:noProof/>
          <w:color w:val="000000"/>
        </w:rPr>
        <w:t>]</w:t>
      </w:r>
      <w:r>
        <w:rPr>
          <w:color w:val="000000"/>
        </w:rPr>
        <w:t xml:space="preserve"> which demonstrates that at least part of the effect of sex hormones on n-3 PUFA metabolism is mediated through differences in mRNA expression.</w:t>
      </w:r>
      <w:r>
        <w:t xml:space="preserve"> Together the findings of these studies indicate that sex hormones play a central role in the regulation of PUFA synthesis and status.  </w:t>
      </w:r>
    </w:p>
    <w:p w14:paraId="071F4F54" w14:textId="535FA55B" w:rsidR="00C21745" w:rsidRPr="00D424A7" w:rsidRDefault="00C21745" w:rsidP="0045343D">
      <w:pPr>
        <w:spacing w:line="480" w:lineRule="auto"/>
        <w:ind w:firstLine="720"/>
        <w:rPr>
          <w:lang w:val="en-US"/>
        </w:rPr>
      </w:pPr>
      <w:r>
        <w:t xml:space="preserve">There have been relatively few studies of the effects of sex hormones on 22:6n-3 status or synthesis.  Women who use an oral contraceptive pill have higher 22:6n-3 status </w:t>
      </w:r>
      <w:r w:rsidR="007B7B61">
        <w:rPr>
          <w:noProof/>
        </w:rPr>
        <w:t>[</w:t>
      </w:r>
      <w:r>
        <w:rPr>
          <w:noProof/>
        </w:rPr>
        <w:t>13</w:t>
      </w:r>
      <w:r w:rsidR="007B7B61">
        <w:rPr>
          <w:noProof/>
        </w:rPr>
        <w:t>]</w:t>
      </w:r>
      <w:r>
        <w:t xml:space="preserve"> and greater conversion of 18:3n-3 to 22:6n-3 than those who do not.  Male transsexuals undergoing hormone therapy treated with synthetic estrogens </w:t>
      </w:r>
      <w:r>
        <w:rPr>
          <w:rFonts w:ascii="Helvetica" w:hAnsi="Helvetica" w:cs="Helvetica"/>
          <w:lang w:val="en-US"/>
        </w:rPr>
        <w:t xml:space="preserve">combined showed increased 22:6n-3 levels in blood compared to untreated men, while those treated with cyproterone acetate, and anti-androgen and weak progesterone mimetic, showed no difference to untreated men </w:t>
      </w:r>
      <w:r w:rsidR="007B7B61">
        <w:rPr>
          <w:rFonts w:ascii="Helvetica" w:hAnsi="Helvetica" w:cs="Helvetica"/>
          <w:noProof/>
          <w:lang w:val="en-US"/>
        </w:rPr>
        <w:t>[</w:t>
      </w:r>
      <w:r>
        <w:rPr>
          <w:rFonts w:ascii="Helvetica" w:hAnsi="Helvetica" w:cs="Helvetica"/>
          <w:noProof/>
          <w:lang w:val="en-US"/>
        </w:rPr>
        <w:t>13</w:t>
      </w:r>
      <w:r w:rsidR="007B7B61">
        <w:rPr>
          <w:rFonts w:ascii="Helvetica" w:hAnsi="Helvetica" w:cs="Helvetica"/>
          <w:noProof/>
          <w:lang w:val="en-US"/>
        </w:rPr>
        <w:t>]</w:t>
      </w:r>
      <w:r>
        <w:rPr>
          <w:rFonts w:ascii="Helvetica" w:hAnsi="Helvetica" w:cs="Helvetica"/>
          <w:lang w:val="en-US"/>
        </w:rPr>
        <w:t xml:space="preserve">.  Treatment of postmenopausal women with conjugated estrogens and medroxyprogesterone acetate also increased 20:4n-6 and 22:6n-3 levels in blood compared to untreated individuals </w:t>
      </w:r>
      <w:r w:rsidR="007B7B61">
        <w:rPr>
          <w:rFonts w:ascii="Helvetica" w:hAnsi="Helvetica" w:cs="Helvetica"/>
          <w:noProof/>
          <w:lang w:val="en-US"/>
        </w:rPr>
        <w:t>[</w:t>
      </w:r>
      <w:r>
        <w:rPr>
          <w:rFonts w:ascii="Helvetica" w:hAnsi="Helvetica" w:cs="Helvetica"/>
          <w:noProof/>
          <w:lang w:val="en-US"/>
        </w:rPr>
        <w:t>14</w:t>
      </w:r>
      <w:r w:rsidR="007B7B61">
        <w:rPr>
          <w:rFonts w:ascii="Helvetica" w:hAnsi="Helvetica" w:cs="Helvetica"/>
          <w:noProof/>
          <w:lang w:val="en-US"/>
        </w:rPr>
        <w:t>]</w:t>
      </w:r>
      <w:r>
        <w:rPr>
          <w:rFonts w:ascii="Helvetica" w:hAnsi="Helvetica" w:cs="Helvetica"/>
          <w:lang w:val="en-US"/>
        </w:rPr>
        <w:t xml:space="preserve">. Furthermore, female transsexuals who were treated with testosterone showed a reduction in 22:6n-3 status </w:t>
      </w:r>
      <w:r w:rsidR="007B7B61">
        <w:rPr>
          <w:rFonts w:ascii="Helvetica" w:hAnsi="Helvetica" w:cs="Helvetica"/>
          <w:noProof/>
          <w:lang w:val="en-US"/>
        </w:rPr>
        <w:t>[</w:t>
      </w:r>
      <w:r>
        <w:rPr>
          <w:rFonts w:ascii="Helvetica" w:hAnsi="Helvetica" w:cs="Helvetica"/>
          <w:noProof/>
          <w:lang w:val="en-US"/>
        </w:rPr>
        <w:t>13</w:t>
      </w:r>
      <w:r w:rsidR="007B7B61">
        <w:rPr>
          <w:rFonts w:ascii="Helvetica" w:hAnsi="Helvetica" w:cs="Helvetica"/>
          <w:noProof/>
          <w:lang w:val="en-US"/>
        </w:rPr>
        <w:t>]</w:t>
      </w:r>
      <w:r>
        <w:rPr>
          <w:rFonts w:ascii="Helvetica" w:hAnsi="Helvetica" w:cs="Helvetica"/>
          <w:lang w:val="en-US"/>
        </w:rPr>
        <w:t xml:space="preserve">.   Such findings point to a specific positive effect of females sex hormones estrogens on 22:6n-3 synthesis.  However, it is not clear which hormone is involved.  One recent study in rats has shown </w:t>
      </w:r>
      <w:r w:rsidRPr="00D424A7">
        <w:rPr>
          <w:lang w:val="en-US"/>
        </w:rPr>
        <w:t xml:space="preserve">that the increase in 22:6n-3 status associated with pregnancy was associated positively with progesterone concentration </w:t>
      </w:r>
      <w:r w:rsidR="007B7B61">
        <w:rPr>
          <w:noProof/>
          <w:lang w:val="en-US"/>
        </w:rPr>
        <w:t>[</w:t>
      </w:r>
      <w:r>
        <w:rPr>
          <w:noProof/>
          <w:lang w:val="en-US"/>
        </w:rPr>
        <w:t>6</w:t>
      </w:r>
      <w:r w:rsidR="007B7B61">
        <w:rPr>
          <w:noProof/>
          <w:lang w:val="en-US"/>
        </w:rPr>
        <w:t>]</w:t>
      </w:r>
      <w:r w:rsidRPr="00D424A7">
        <w:rPr>
          <w:lang w:val="en-US"/>
        </w:rPr>
        <w:t>.  Such effects were associated with increased mRNA expression of Fads2</w:t>
      </w:r>
      <w:r w:rsidRPr="00D424A7">
        <w:rPr>
          <w:color w:val="000000"/>
        </w:rPr>
        <w:t>.</w:t>
      </w:r>
      <w:r>
        <w:rPr>
          <w:color w:val="000000"/>
        </w:rPr>
        <w:t xml:space="preserve">  These findings imply that the regulation of PUFA synthesis by sex hormones involves effects on the transcription of genes that encode key genes in this pathway.</w:t>
      </w:r>
      <w:r w:rsidRPr="00D424A7">
        <w:rPr>
          <w:lang w:val="en-US"/>
        </w:rPr>
        <w:t xml:space="preserve"> </w:t>
      </w:r>
    </w:p>
    <w:p w14:paraId="5732F666" w14:textId="0FE26140" w:rsidR="00C21745" w:rsidRDefault="00C21745" w:rsidP="0045343D">
      <w:pPr>
        <w:spacing w:line="480" w:lineRule="auto"/>
        <w:rPr>
          <w:lang w:val="en-US"/>
        </w:rPr>
      </w:pPr>
      <w:r w:rsidRPr="00D424A7">
        <w:rPr>
          <w:lang w:val="en-US"/>
        </w:rPr>
        <w:tab/>
        <w:t xml:space="preserve">In order to investigate </w:t>
      </w:r>
      <w:r>
        <w:rPr>
          <w:lang w:val="en-US"/>
        </w:rPr>
        <w:t xml:space="preserve">the specificity of the effects of hormones on </w:t>
      </w:r>
      <w:r w:rsidRPr="00D424A7">
        <w:rPr>
          <w:lang w:val="en-US"/>
        </w:rPr>
        <w:t>the regulation of n-</w:t>
      </w:r>
      <w:r>
        <w:rPr>
          <w:lang w:val="en-US"/>
        </w:rPr>
        <w:t xml:space="preserve">3 PUFA synthesis, we treated the human hepatocarcinoma cell line HepG2 with </w:t>
      </w:r>
      <w:r w:rsidR="0057118F">
        <w:rPr>
          <w:lang w:val="en-US"/>
        </w:rPr>
        <w:t xml:space="preserve">a </w:t>
      </w:r>
      <w:r>
        <w:rPr>
          <w:lang w:val="en-US"/>
        </w:rPr>
        <w:t>physiologically relevant estrogen (17α-ethynylestradiol (EE</w:t>
      </w:r>
      <w:r w:rsidRPr="001D1EF6">
        <w:rPr>
          <w:vertAlign w:val="subscript"/>
          <w:lang w:val="en-US"/>
        </w:rPr>
        <w:t>2</w:t>
      </w:r>
      <w:r>
        <w:rPr>
          <w:lang w:val="en-US"/>
        </w:rPr>
        <w:t xml:space="preserve">) which has similar potency to naturally occurring 7β-estradiol </w:t>
      </w:r>
      <w:r w:rsidR="0057118F">
        <w:rPr>
          <w:noProof/>
          <w:lang w:val="en-US"/>
        </w:rPr>
        <w:t>[</w:t>
      </w:r>
      <w:r>
        <w:rPr>
          <w:noProof/>
          <w:lang w:val="en-US"/>
        </w:rPr>
        <w:t>15</w:t>
      </w:r>
      <w:r w:rsidR="0057118F">
        <w:rPr>
          <w:noProof/>
          <w:lang w:val="en-US"/>
        </w:rPr>
        <w:t>]</w:t>
      </w:r>
      <w:r>
        <w:rPr>
          <w:lang w:val="en-US"/>
        </w:rPr>
        <w:t>), progesterone and testosterone.  Because sex hormones have been shown previously to alter Fads2 mRNA expression in rat liver, we measured the effect of treatment with these hormones on the mRNA expression of FADS and ELOVL genes.  We then determined whether any changes in mRNA levels were associated with altered synthesis of 20:5n-3 and 22:6n-3.  In addition, we investigated whether any effects of sex hormones on genes involved in n-3 PUFA metabolism in HepG2 cells were also induced in primary human hepatocytes.</w:t>
      </w:r>
    </w:p>
    <w:p w14:paraId="59237953" w14:textId="77777777" w:rsidR="00C21745" w:rsidRDefault="00C21745" w:rsidP="0045343D">
      <w:pPr>
        <w:spacing w:line="480" w:lineRule="auto"/>
        <w:rPr>
          <w:lang w:val="en-US"/>
        </w:rPr>
      </w:pPr>
    </w:p>
    <w:p w14:paraId="40F24FED" w14:textId="77777777" w:rsidR="00C21745" w:rsidRDefault="00C21745" w:rsidP="0045343D">
      <w:pPr>
        <w:spacing w:line="480" w:lineRule="auto"/>
        <w:rPr>
          <w:b/>
          <w:bCs/>
          <w:lang w:val="en-US"/>
        </w:rPr>
      </w:pPr>
      <w:r w:rsidRPr="00751E82">
        <w:rPr>
          <w:b/>
          <w:bCs/>
          <w:lang w:val="en-US"/>
        </w:rPr>
        <w:t>2.</w:t>
      </w:r>
      <w:r w:rsidRPr="00751E82">
        <w:rPr>
          <w:b/>
          <w:bCs/>
          <w:lang w:val="en-US"/>
        </w:rPr>
        <w:tab/>
        <w:t>Materials and methods</w:t>
      </w:r>
    </w:p>
    <w:p w14:paraId="743230F8" w14:textId="77777777" w:rsidR="0057118F" w:rsidRPr="00751E82" w:rsidRDefault="0057118F" w:rsidP="0045343D">
      <w:pPr>
        <w:spacing w:line="480" w:lineRule="auto"/>
        <w:rPr>
          <w:b/>
          <w:bCs/>
          <w:lang w:val="en-US"/>
        </w:rPr>
      </w:pPr>
    </w:p>
    <w:p w14:paraId="2AF10AB8" w14:textId="77777777" w:rsidR="00C21745" w:rsidRPr="0057118F" w:rsidRDefault="00C21745" w:rsidP="0045343D">
      <w:pPr>
        <w:spacing w:line="480" w:lineRule="auto"/>
        <w:rPr>
          <w:i/>
          <w:lang w:val="en-US"/>
        </w:rPr>
      </w:pPr>
      <w:r w:rsidRPr="0057118F">
        <w:rPr>
          <w:i/>
          <w:lang w:val="en-US"/>
        </w:rPr>
        <w:t>2.1</w:t>
      </w:r>
      <w:r w:rsidRPr="0057118F">
        <w:rPr>
          <w:i/>
          <w:lang w:val="en-US"/>
        </w:rPr>
        <w:tab/>
        <w:t>Materials</w:t>
      </w:r>
    </w:p>
    <w:p w14:paraId="173E7FA4" w14:textId="77777777" w:rsidR="0057118F" w:rsidRDefault="0057118F" w:rsidP="0045343D">
      <w:pPr>
        <w:spacing w:line="480" w:lineRule="auto"/>
        <w:rPr>
          <w:lang w:val="en-US"/>
        </w:rPr>
      </w:pPr>
    </w:p>
    <w:p w14:paraId="7C350397" w14:textId="77777777" w:rsidR="00C21745" w:rsidRDefault="00C21745" w:rsidP="0045343D">
      <w:pPr>
        <w:spacing w:line="480" w:lineRule="auto"/>
        <w:rPr>
          <w:lang w:val="en-US"/>
        </w:rPr>
      </w:pPr>
      <w:r>
        <w:rPr>
          <w:lang w:val="en-US"/>
        </w:rPr>
        <w:tab/>
      </w:r>
      <w:r w:rsidRPr="00895549">
        <w:rPr>
          <w:lang w:val="en-US"/>
        </w:rPr>
        <w:t>HepG2 cells and primary hepatocytes were obtained from ECACC and Invitrogen</w:t>
      </w:r>
      <w:r>
        <w:rPr>
          <w:lang w:val="en-US"/>
        </w:rPr>
        <w:t xml:space="preserve">. </w:t>
      </w:r>
      <w:r w:rsidRPr="00895549">
        <w:rPr>
          <w:lang w:val="en-US"/>
        </w:rPr>
        <w:t xml:space="preserve"> [17,17,18,18,18-d</w:t>
      </w:r>
      <w:r w:rsidRPr="00895549">
        <w:rPr>
          <w:vertAlign w:val="subscript"/>
          <w:lang w:val="en-US"/>
        </w:rPr>
        <w:t>5</w:t>
      </w:r>
      <w:r w:rsidRPr="00895549">
        <w:rPr>
          <w:lang w:val="en-US"/>
        </w:rPr>
        <w:t>]-18:3n-3 (98%) was purchased from Cambridge Isotope Laboratories</w:t>
      </w:r>
      <w:r>
        <w:rPr>
          <w:lang w:val="en-US"/>
        </w:rPr>
        <w:t>.</w:t>
      </w:r>
      <w:r w:rsidRPr="00895549">
        <w:rPr>
          <w:lang w:val="en-US"/>
        </w:rPr>
        <w:t xml:space="preserve">  </w:t>
      </w:r>
      <w:r>
        <w:rPr>
          <w:lang w:val="en-US"/>
        </w:rPr>
        <w:t xml:space="preserve">Primers for real time PCR were </w:t>
      </w:r>
      <w:r w:rsidRPr="00895549">
        <w:rPr>
          <w:lang w:val="en-US"/>
        </w:rPr>
        <w:t>from Biomers (FADS2) and Qiagen (FADS1,ELOVL2, ELOVL5 and cyclophilin).  Pyrosequencing and PCR and sequencing primers were synthesised by Biomers.  All other reagents were obtained from Sigma and PAA, with noted exceptions.</w:t>
      </w:r>
    </w:p>
    <w:p w14:paraId="53B37CEF" w14:textId="77777777" w:rsidR="0057118F" w:rsidRDefault="0057118F" w:rsidP="0045343D">
      <w:pPr>
        <w:spacing w:line="480" w:lineRule="auto"/>
        <w:rPr>
          <w:lang w:val="en-US"/>
        </w:rPr>
      </w:pPr>
    </w:p>
    <w:p w14:paraId="18D7B464" w14:textId="77777777" w:rsidR="00C21745" w:rsidRPr="0057118F" w:rsidRDefault="00C21745" w:rsidP="0045343D">
      <w:pPr>
        <w:spacing w:line="480" w:lineRule="auto"/>
        <w:rPr>
          <w:i/>
          <w:lang w:val="en-US"/>
        </w:rPr>
      </w:pPr>
      <w:r w:rsidRPr="0057118F">
        <w:rPr>
          <w:i/>
          <w:lang w:val="en-US"/>
        </w:rPr>
        <w:t>2.2</w:t>
      </w:r>
      <w:r w:rsidRPr="0057118F">
        <w:rPr>
          <w:i/>
          <w:lang w:val="en-US"/>
        </w:rPr>
        <w:tab/>
        <w:t>Cell culture</w:t>
      </w:r>
    </w:p>
    <w:p w14:paraId="76C1644F" w14:textId="77777777" w:rsidR="0057118F" w:rsidRDefault="0057118F" w:rsidP="0045343D">
      <w:pPr>
        <w:spacing w:line="480" w:lineRule="auto"/>
        <w:rPr>
          <w:lang w:val="en-US"/>
        </w:rPr>
      </w:pPr>
    </w:p>
    <w:p w14:paraId="26300F9C" w14:textId="77777777" w:rsidR="00C21745" w:rsidRPr="00895549" w:rsidRDefault="00C21745" w:rsidP="0045343D">
      <w:pPr>
        <w:spacing w:line="480" w:lineRule="auto"/>
        <w:rPr>
          <w:lang w:val="en-US"/>
        </w:rPr>
      </w:pPr>
      <w:r w:rsidRPr="00895549">
        <w:rPr>
          <w:lang w:val="en-US"/>
        </w:rPr>
        <w:t>Cells were maintained at 37</w:t>
      </w:r>
      <w:r w:rsidRPr="00895549">
        <w:rPr>
          <w:vertAlign w:val="superscript"/>
          <w:lang w:val="en-US"/>
        </w:rPr>
        <w:t>o</w:t>
      </w:r>
      <w:r w:rsidRPr="00895549">
        <w:rPr>
          <w:lang w:val="en-US"/>
        </w:rPr>
        <w:t>C under 5% CO</w:t>
      </w:r>
      <w:r w:rsidRPr="00895549">
        <w:rPr>
          <w:vertAlign w:val="subscript"/>
          <w:lang w:val="en-US"/>
        </w:rPr>
        <w:t xml:space="preserve">2.  </w:t>
      </w:r>
      <w:r w:rsidRPr="00895549">
        <w:rPr>
          <w:lang w:val="en-US"/>
        </w:rPr>
        <w:t>HepG2 cells were grown in DMEM-high glucose (Sigma) supplemented with 2 mM L-glutamine, penicillin/streptomycin (100 U/ml and100 ug/ml, respectively) and 10% (v/v) fetal bovine serum.  HepG2 cells were transferred to 90 mm culture dishes (Greiner) and left to adhere overnight before treatment with hormones. Primary hepatocytes were grown as instructed by the manufacturers (Invitrogen).  All media was warmed to 37</w:t>
      </w:r>
      <w:r w:rsidRPr="00895549">
        <w:rPr>
          <w:vertAlign w:val="superscript"/>
          <w:lang w:val="en-US"/>
        </w:rPr>
        <w:t>o</w:t>
      </w:r>
      <w:r w:rsidRPr="00895549">
        <w:rPr>
          <w:lang w:val="en-US"/>
        </w:rPr>
        <w:t>C and primary hepatocytes were thawed in CHRM medium at 37</w:t>
      </w:r>
      <w:r w:rsidRPr="00895549">
        <w:rPr>
          <w:vertAlign w:val="superscript"/>
          <w:lang w:val="en-US"/>
        </w:rPr>
        <w:t>o</w:t>
      </w:r>
      <w:r w:rsidRPr="00895549">
        <w:rPr>
          <w:lang w:val="en-US"/>
        </w:rPr>
        <w:t>C and then added to collagen coated (5 ug/cm</w:t>
      </w:r>
      <w:r w:rsidRPr="00895549">
        <w:rPr>
          <w:vertAlign w:val="superscript"/>
          <w:lang w:val="en-US"/>
        </w:rPr>
        <w:t>2</w:t>
      </w:r>
      <w:r w:rsidRPr="00895549">
        <w:rPr>
          <w:lang w:val="en-US"/>
        </w:rPr>
        <w:t>) 6 well plates (Greiner) in 2 ml of plating medium (Williams E medium containing: 5% Fetal Bovine Serum, 1 μM DMSO and 18 ml of thawing/plating cocktail) per well. The plates were incubated for 4-6 hours after which they were agitated to loosen debris and the media was then removed and replaced with incubation medium (Williams E medium containing: 0.1 μM of DMSO and 20 ml of cell maintenance cocktail). Primary hepatocytes could not be sub-cultured so were incubated overnight and then used in directly in experiments.</w:t>
      </w:r>
    </w:p>
    <w:p w14:paraId="1CD39EC1" w14:textId="467BE455" w:rsidR="00C21745" w:rsidRDefault="00C21745" w:rsidP="0045343D">
      <w:pPr>
        <w:spacing w:line="480" w:lineRule="auto"/>
        <w:ind w:firstLine="720"/>
        <w:rPr>
          <w:lang w:val="en-US"/>
        </w:rPr>
      </w:pPr>
      <w:r w:rsidRPr="00895549">
        <w:rPr>
          <w:lang w:val="en-US"/>
        </w:rPr>
        <w:t>HepG2 cells were incubated for 72 hours with EE</w:t>
      </w:r>
      <w:r w:rsidRPr="00895549">
        <w:rPr>
          <w:vertAlign w:val="subscript"/>
          <w:lang w:val="en-US"/>
        </w:rPr>
        <w:t>2</w:t>
      </w:r>
      <w:r w:rsidRPr="00895549">
        <w:rPr>
          <w:lang w:val="en-US"/>
        </w:rPr>
        <w:t xml:space="preserve"> (0.07, 0.7 or 7 nmoles/l), progesterone (10, 25 or 50 nmoles/l) or testosterone (10, 25 or 50 nmoles/l) or no hormone supplement (untreated). Primary human hepatocytes were incubated for 72 hours with the highest concentration of EE</w:t>
      </w:r>
      <w:r w:rsidRPr="00895549">
        <w:rPr>
          <w:vertAlign w:val="subscript"/>
          <w:lang w:val="en-US"/>
        </w:rPr>
        <w:t xml:space="preserve">2 </w:t>
      </w:r>
      <w:r w:rsidRPr="00895549">
        <w:rPr>
          <w:lang w:val="en-US"/>
        </w:rPr>
        <w:t>or progesterone, 7 nM and 50 nM respectively or remained untreated. The media and hormone supplements were replenished daily.</w:t>
      </w:r>
      <w:r>
        <w:rPr>
          <w:lang w:val="en-US"/>
        </w:rPr>
        <w:t xml:space="preserve"> These concentrations of hormone were used a</w:t>
      </w:r>
      <w:r w:rsidR="0057118F">
        <w:rPr>
          <w:lang w:val="en-US"/>
        </w:rPr>
        <w:t xml:space="preserve">s they represent </w:t>
      </w:r>
      <w:r>
        <w:rPr>
          <w:lang w:val="en-US"/>
        </w:rPr>
        <w:t>concentrations observed in pla</w:t>
      </w:r>
      <w:r w:rsidR="0057118F">
        <w:rPr>
          <w:lang w:val="en-US"/>
        </w:rPr>
        <w:t>s</w:t>
      </w:r>
      <w:r>
        <w:rPr>
          <w:lang w:val="en-US"/>
        </w:rPr>
        <w:t>ma.</w:t>
      </w:r>
    </w:p>
    <w:p w14:paraId="167CA2BD" w14:textId="77777777" w:rsidR="0057118F" w:rsidRPr="00895549" w:rsidRDefault="0057118F" w:rsidP="0045343D">
      <w:pPr>
        <w:spacing w:line="480" w:lineRule="auto"/>
        <w:ind w:firstLine="720"/>
        <w:rPr>
          <w:lang w:val="en-US"/>
        </w:rPr>
      </w:pPr>
    </w:p>
    <w:p w14:paraId="7D7E05BC" w14:textId="77777777" w:rsidR="00C21745" w:rsidRPr="0057118F" w:rsidRDefault="00C21745" w:rsidP="0045343D">
      <w:pPr>
        <w:spacing w:line="480" w:lineRule="auto"/>
        <w:rPr>
          <w:i/>
          <w:lang w:val="en-US"/>
        </w:rPr>
      </w:pPr>
      <w:r w:rsidRPr="0057118F">
        <w:rPr>
          <w:i/>
          <w:lang w:val="en-US"/>
        </w:rPr>
        <w:t>2.3</w:t>
      </w:r>
      <w:r w:rsidRPr="0057118F">
        <w:rPr>
          <w:i/>
          <w:lang w:val="en-US"/>
        </w:rPr>
        <w:tab/>
        <w:t>Measurement of mRNA expression</w:t>
      </w:r>
    </w:p>
    <w:p w14:paraId="27CCCC2B" w14:textId="77777777" w:rsidR="0057118F" w:rsidRDefault="0057118F" w:rsidP="0045343D">
      <w:pPr>
        <w:spacing w:line="480" w:lineRule="auto"/>
        <w:rPr>
          <w:lang w:val="en-US"/>
        </w:rPr>
      </w:pPr>
    </w:p>
    <w:p w14:paraId="66AF0344" w14:textId="03589F87" w:rsidR="00C21745" w:rsidRDefault="00082E74" w:rsidP="0045343D">
      <w:pPr>
        <w:spacing w:line="480" w:lineRule="auto"/>
        <w:ind w:firstLine="720"/>
        <w:rPr>
          <w:lang w:val="en-US"/>
        </w:rPr>
      </w:pPr>
      <w:r>
        <w:rPr>
          <w:lang w:val="en-US"/>
        </w:rPr>
        <w:t>mRNA levels were measured by real time RTPCR essentially as described [16].  Briefly, t</w:t>
      </w:r>
      <w:r w:rsidR="00C21745" w:rsidRPr="00895549">
        <w:rPr>
          <w:lang w:val="en-US"/>
        </w:rPr>
        <w:t>otal RNA was isolated from cells using Tri</w:t>
      </w:r>
      <w:r w:rsidR="00C21745">
        <w:rPr>
          <w:lang w:val="en-US"/>
        </w:rPr>
        <w:t>-</w:t>
      </w:r>
      <w:r w:rsidR="00C21745" w:rsidRPr="00895549">
        <w:rPr>
          <w:lang w:val="en-US"/>
        </w:rPr>
        <w:t>reagent (Sigma). Complementary DNA was prepared and amplified using real-time RT PCR, which was performed using SYBR Green Jumpstart Ready Mix (Sigma) in a final volume of 25 μl. Samples were analysed in duplicate and expression was normalized to the housekeeping gene cyclophillin. Cycle parameters were 95</w:t>
      </w:r>
      <w:r w:rsidR="00C21745" w:rsidRPr="00895549">
        <w:rPr>
          <w:vertAlign w:val="superscript"/>
          <w:lang w:val="en-US"/>
        </w:rPr>
        <w:t>o</w:t>
      </w:r>
      <w:r w:rsidR="00C21745" w:rsidRPr="00895549">
        <w:rPr>
          <w:lang w:val="en-US"/>
        </w:rPr>
        <w:t>C for 2 minutes then 40 cycles of 95</w:t>
      </w:r>
      <w:r w:rsidR="00C21745" w:rsidRPr="00895549">
        <w:rPr>
          <w:vertAlign w:val="superscript"/>
          <w:lang w:val="en-US"/>
        </w:rPr>
        <w:t>o</w:t>
      </w:r>
      <w:r w:rsidR="00C21745" w:rsidRPr="00895549">
        <w:rPr>
          <w:lang w:val="en-US"/>
        </w:rPr>
        <w:t>C for 30 seconds, 55</w:t>
      </w:r>
      <w:r w:rsidR="00C21745" w:rsidRPr="00895549">
        <w:rPr>
          <w:vertAlign w:val="superscript"/>
          <w:lang w:val="en-US"/>
        </w:rPr>
        <w:t>o</w:t>
      </w:r>
      <w:r w:rsidR="00C21745" w:rsidRPr="00895549">
        <w:rPr>
          <w:lang w:val="en-US"/>
        </w:rPr>
        <w:t>C (cyclophilin, FADS1, ELOVL2 and ELOVL5) or 52</w:t>
      </w:r>
      <w:r w:rsidR="00C21745" w:rsidRPr="00895549">
        <w:rPr>
          <w:vertAlign w:val="superscript"/>
          <w:lang w:val="en-US"/>
        </w:rPr>
        <w:t>o</w:t>
      </w:r>
      <w:r w:rsidR="00C21745" w:rsidRPr="00895549">
        <w:rPr>
          <w:lang w:val="en-US"/>
        </w:rPr>
        <w:t>C (FADS2) for 1 minute and 72</w:t>
      </w:r>
      <w:r w:rsidR="00C21745" w:rsidRPr="00895549">
        <w:rPr>
          <w:vertAlign w:val="superscript"/>
          <w:lang w:val="en-US"/>
        </w:rPr>
        <w:t>o</w:t>
      </w:r>
      <w:r w:rsidR="00C21745" w:rsidRPr="00895549">
        <w:rPr>
          <w:lang w:val="en-US"/>
        </w:rPr>
        <w:t>C for 1 minute. Expression was determined by the standard curve method.</w:t>
      </w:r>
    </w:p>
    <w:p w14:paraId="19F36926" w14:textId="77777777" w:rsidR="0057118F" w:rsidRPr="00755FE6" w:rsidRDefault="0057118F" w:rsidP="0045343D">
      <w:pPr>
        <w:spacing w:line="480" w:lineRule="auto"/>
        <w:ind w:firstLine="720"/>
        <w:rPr>
          <w:color w:val="FF0000"/>
          <w:lang w:val="en-US"/>
        </w:rPr>
      </w:pPr>
    </w:p>
    <w:p w14:paraId="631D3F36" w14:textId="77777777" w:rsidR="00C21745" w:rsidRPr="0057118F" w:rsidRDefault="00C21745" w:rsidP="0045343D">
      <w:pPr>
        <w:spacing w:line="480" w:lineRule="auto"/>
        <w:rPr>
          <w:i/>
          <w:lang w:val="en-US"/>
        </w:rPr>
      </w:pPr>
      <w:r w:rsidRPr="0057118F">
        <w:rPr>
          <w:i/>
          <w:lang w:val="en-US"/>
        </w:rPr>
        <w:t>2.4</w:t>
      </w:r>
      <w:r w:rsidRPr="0057118F">
        <w:rPr>
          <w:i/>
          <w:lang w:val="en-US"/>
        </w:rPr>
        <w:tab/>
        <w:t>Measurement of DNA methylation</w:t>
      </w:r>
    </w:p>
    <w:p w14:paraId="2A15893C" w14:textId="77777777" w:rsidR="0057118F" w:rsidRDefault="0057118F" w:rsidP="0045343D">
      <w:pPr>
        <w:spacing w:line="480" w:lineRule="auto"/>
        <w:rPr>
          <w:lang w:val="en-US"/>
        </w:rPr>
      </w:pPr>
    </w:p>
    <w:p w14:paraId="740EEFF4" w14:textId="002373FB" w:rsidR="00C21745" w:rsidRDefault="00082E74" w:rsidP="0045343D">
      <w:pPr>
        <w:spacing w:line="480" w:lineRule="auto"/>
        <w:ind w:firstLine="720"/>
      </w:pPr>
      <w:r>
        <w:rPr>
          <w:lang w:val="en-US"/>
        </w:rPr>
        <w:t xml:space="preserve">The methylation status of individual CpG loci within the FADS2 promoter was measured by pyrosequencing essentially as described [16].  </w:t>
      </w:r>
      <w:r w:rsidR="00C21745" w:rsidRPr="00895549">
        <w:rPr>
          <w:lang w:val="en-US"/>
        </w:rPr>
        <w:t xml:space="preserve">HepG2 cells were incubated for 72 hours with 50 nmoles/l progesterone or left untreated. Cells were removed from plates in HBSS  and cell pellets were then frozen for subsequent DNA extraction. Bisulfite conversion was carried out using the EZ DNA methylation kit (ZymoResearch).  </w:t>
      </w:r>
      <w:r w:rsidR="00C21745" w:rsidRPr="00895549">
        <w:t xml:space="preserve">The pyrosequencing reaction was carried out using primers listed in Table </w:t>
      </w:r>
      <w:r>
        <w:t>2</w:t>
      </w:r>
      <w:r w:rsidR="00C21745" w:rsidRPr="00895549">
        <w:t>.  Modified DNA was amplified using KAPA2G Robust Hot Start Taq DNA polymerase (Labtech).  PCR products were immobilised on streptavidin–sepharose beads (GE Healthcare UK Ltd.), washed, denatured and released into annealing buffer containing the sequencing primers.  Pyrosequencing was carried out using the SQA kit on a PSQ 96MA machine (Biotage, Uppsala, Sweden), and the percentage methylation was calculated using the Pyro Q CpG software (Biotage).</w:t>
      </w:r>
    </w:p>
    <w:p w14:paraId="448D871D" w14:textId="77777777" w:rsidR="0057118F" w:rsidRPr="00EE51E2" w:rsidRDefault="0057118F" w:rsidP="0045343D">
      <w:pPr>
        <w:spacing w:line="480" w:lineRule="auto"/>
        <w:ind w:firstLine="720"/>
        <w:rPr>
          <w:color w:val="FF0000"/>
        </w:rPr>
      </w:pPr>
    </w:p>
    <w:p w14:paraId="7C184EB6" w14:textId="77777777" w:rsidR="00C21745" w:rsidRPr="0057118F" w:rsidRDefault="00C21745" w:rsidP="0045343D">
      <w:pPr>
        <w:spacing w:line="480" w:lineRule="auto"/>
        <w:rPr>
          <w:i/>
          <w:lang w:val="en-US"/>
        </w:rPr>
      </w:pPr>
      <w:r w:rsidRPr="0057118F">
        <w:rPr>
          <w:i/>
          <w:lang w:val="en-US"/>
        </w:rPr>
        <w:t>2.5</w:t>
      </w:r>
      <w:r w:rsidRPr="0057118F">
        <w:rPr>
          <w:i/>
          <w:lang w:val="en-US"/>
        </w:rPr>
        <w:tab/>
        <w:t>Measurement of PUFA synthesis</w:t>
      </w:r>
    </w:p>
    <w:p w14:paraId="04854878" w14:textId="77777777" w:rsidR="0057118F" w:rsidRDefault="0057118F" w:rsidP="0045343D">
      <w:pPr>
        <w:spacing w:line="480" w:lineRule="auto"/>
        <w:rPr>
          <w:lang w:val="en-US"/>
        </w:rPr>
      </w:pPr>
    </w:p>
    <w:p w14:paraId="4B908BAF" w14:textId="65C90155" w:rsidR="00C21745" w:rsidRPr="00BD2B03" w:rsidRDefault="00C21745" w:rsidP="0045343D">
      <w:pPr>
        <w:spacing w:line="480" w:lineRule="auto"/>
        <w:rPr>
          <w:lang w:val="en-US"/>
        </w:rPr>
      </w:pPr>
      <w:r w:rsidRPr="00BD2B03">
        <w:rPr>
          <w:lang w:val="en-US"/>
        </w:rPr>
        <w:t>HepG2 cells were incubated for 48 hours with 10 μmoles/l [d</w:t>
      </w:r>
      <w:r w:rsidRPr="00BD2B03">
        <w:rPr>
          <w:vertAlign w:val="subscript"/>
          <w:lang w:val="en-US"/>
        </w:rPr>
        <w:t>5</w:t>
      </w:r>
      <w:r w:rsidRPr="00BD2B03">
        <w:rPr>
          <w:lang w:val="en-US"/>
        </w:rPr>
        <w:t>]-18:3n-3 and EE</w:t>
      </w:r>
      <w:r w:rsidRPr="00BD2B03">
        <w:rPr>
          <w:vertAlign w:val="subscript"/>
          <w:lang w:val="en-US"/>
        </w:rPr>
        <w:t xml:space="preserve">2 </w:t>
      </w:r>
      <w:r w:rsidRPr="00BD2B03">
        <w:rPr>
          <w:lang w:val="en-US"/>
        </w:rPr>
        <w:t xml:space="preserve">(7 nmoles/l), progesterone (50 nmoles/l) and testosterone (50 nmoles/l) or left untreated. Cells were scraped from plates 0.9% (w/v) NaCl (0.8ml). Total lipids were extracted with chloroform and methanol </w:t>
      </w:r>
      <w:r w:rsidR="007D2561">
        <w:rPr>
          <w:noProof/>
          <w:lang w:val="en-US"/>
        </w:rPr>
        <w:t>[</w:t>
      </w:r>
      <w:r>
        <w:rPr>
          <w:noProof/>
          <w:lang w:val="en-US"/>
        </w:rPr>
        <w:t>1</w:t>
      </w:r>
      <w:r w:rsidR="009F70C5">
        <w:rPr>
          <w:noProof/>
          <w:lang w:val="en-US"/>
        </w:rPr>
        <w:t>7</w:t>
      </w:r>
      <w:r w:rsidR="007D2561">
        <w:rPr>
          <w:noProof/>
          <w:lang w:val="en-US"/>
        </w:rPr>
        <w:t>]</w:t>
      </w:r>
      <w:r w:rsidRPr="00BD2B03">
        <w:rPr>
          <w:lang w:val="en-US"/>
        </w:rPr>
        <w:t xml:space="preserve"> and converted to fatty acid methyl esters (FAMES) by incubation with methanol containing 2% (v/v) sulphuric acid </w:t>
      </w:r>
      <w:r w:rsidR="007D2561">
        <w:rPr>
          <w:noProof/>
          <w:lang w:val="en-US"/>
        </w:rPr>
        <w:t>[</w:t>
      </w:r>
      <w:r>
        <w:rPr>
          <w:noProof/>
          <w:lang w:val="en-US"/>
        </w:rPr>
        <w:t>1</w:t>
      </w:r>
      <w:r w:rsidR="009F70C5">
        <w:rPr>
          <w:noProof/>
          <w:lang w:val="en-US"/>
        </w:rPr>
        <w:t>8</w:t>
      </w:r>
      <w:r w:rsidR="007D2561">
        <w:rPr>
          <w:noProof/>
          <w:lang w:val="en-US"/>
        </w:rPr>
        <w:t>]</w:t>
      </w:r>
      <w:r w:rsidRPr="00BD2B03">
        <w:rPr>
          <w:lang w:val="en-US"/>
        </w:rPr>
        <w:t xml:space="preserve">.  The </w:t>
      </w:r>
      <w:r>
        <w:rPr>
          <w:lang w:val="en-US"/>
        </w:rPr>
        <w:t>concentration</w:t>
      </w:r>
      <w:r w:rsidRPr="00BD2B03">
        <w:rPr>
          <w:lang w:val="en-US"/>
        </w:rPr>
        <w:t xml:space="preserve"> of individual n-3 PUFA was determined by gas chromatography </w:t>
      </w:r>
      <w:r w:rsidR="007D2561">
        <w:rPr>
          <w:noProof/>
          <w:lang w:val="en-US"/>
        </w:rPr>
        <w:t>[</w:t>
      </w:r>
      <w:r w:rsidR="00982584">
        <w:rPr>
          <w:noProof/>
          <w:lang w:val="en-US"/>
        </w:rPr>
        <w:t>18</w:t>
      </w:r>
      <w:r w:rsidR="007D2561">
        <w:rPr>
          <w:noProof/>
          <w:lang w:val="en-US"/>
        </w:rPr>
        <w:t>]</w:t>
      </w:r>
      <w:r w:rsidRPr="00BD2B03">
        <w:rPr>
          <w:lang w:val="en-US"/>
        </w:rPr>
        <w:t xml:space="preserve">.  Incorporation of </w:t>
      </w:r>
      <w:r>
        <w:rPr>
          <w:lang w:val="en-US"/>
        </w:rPr>
        <w:t>deuterium label</w:t>
      </w:r>
      <w:r w:rsidRPr="00BD2B03">
        <w:rPr>
          <w:lang w:val="en-US"/>
        </w:rPr>
        <w:t xml:space="preserve"> into n-3 PUFA was determined by gas chromatography-mass spectrometry </w:t>
      </w:r>
      <w:r w:rsidR="007D2561">
        <w:rPr>
          <w:noProof/>
          <w:lang w:val="en-US"/>
        </w:rPr>
        <w:t>[</w:t>
      </w:r>
      <w:r w:rsidR="00982584">
        <w:rPr>
          <w:noProof/>
          <w:lang w:val="en-US"/>
        </w:rPr>
        <w:t>19</w:t>
      </w:r>
      <w:r w:rsidR="007D2561">
        <w:rPr>
          <w:noProof/>
          <w:lang w:val="en-US"/>
        </w:rPr>
        <w:t>]</w:t>
      </w:r>
      <w:r w:rsidRPr="00BD2B03">
        <w:rPr>
          <w:lang w:val="en-US"/>
        </w:rPr>
        <w:t xml:space="preserve">. </w:t>
      </w:r>
      <w:r>
        <w:rPr>
          <w:lang w:val="en-US"/>
        </w:rPr>
        <w:t xml:space="preserve">Briefly, ions corresponding to the d0 and </w:t>
      </w:r>
      <w:r w:rsidR="007D2561">
        <w:rPr>
          <w:lang w:val="en-US"/>
        </w:rPr>
        <w:t>[</w:t>
      </w:r>
      <w:r>
        <w:rPr>
          <w:lang w:val="en-US"/>
        </w:rPr>
        <w:t>d</w:t>
      </w:r>
      <w:r w:rsidRPr="007D2561">
        <w:rPr>
          <w:vertAlign w:val="subscript"/>
          <w:lang w:val="en-US"/>
        </w:rPr>
        <w:t>5</w:t>
      </w:r>
      <w:r w:rsidR="007D2561" w:rsidRPr="007D2561">
        <w:rPr>
          <w:lang w:val="en-US"/>
        </w:rPr>
        <w:t>]</w:t>
      </w:r>
      <w:r>
        <w:rPr>
          <w:lang w:val="en-US"/>
        </w:rPr>
        <w:t xml:space="preserve"> isotopologues of the four major n-3 fatty acids (18:3, 20:5, 22:5, and 22:6) were integrated.  Ratios of the d5 to d0 were calculated and used as measures of net conversion over the 48 h incubation period.  </w:t>
      </w:r>
      <w:r w:rsidRPr="00BD2B03">
        <w:t>Total cell protein was extracted from a 10 μl aliquot of cells in 0.9% (w/v) NaCl by</w:t>
      </w:r>
      <w:r w:rsidRPr="00BD2B03">
        <w:rPr>
          <w:lang w:val="en-US"/>
        </w:rPr>
        <w:t xml:space="preserve"> Pierce</w:t>
      </w:r>
      <w:r w:rsidRPr="00BD2B03">
        <w:rPr>
          <w:vertAlign w:val="superscript"/>
          <w:lang w:val="en-US"/>
        </w:rPr>
        <w:t>®</w:t>
      </w:r>
      <w:r w:rsidRPr="00BD2B03">
        <w:rPr>
          <w:lang w:val="en-US"/>
        </w:rPr>
        <w:t xml:space="preserve"> BCA Protein Assay kit (Thermo Scientific).</w:t>
      </w:r>
    </w:p>
    <w:p w14:paraId="034BA440" w14:textId="77777777" w:rsidR="00C21745" w:rsidRDefault="00C21745" w:rsidP="0045343D">
      <w:pPr>
        <w:spacing w:line="480" w:lineRule="auto"/>
        <w:rPr>
          <w:lang w:val="en-US"/>
        </w:rPr>
      </w:pPr>
    </w:p>
    <w:p w14:paraId="07E8DF67" w14:textId="77777777" w:rsidR="00C21745" w:rsidRPr="0057118F" w:rsidRDefault="00C21745" w:rsidP="0045343D">
      <w:pPr>
        <w:spacing w:line="480" w:lineRule="auto"/>
        <w:rPr>
          <w:i/>
          <w:lang w:val="en-US"/>
        </w:rPr>
      </w:pPr>
      <w:r w:rsidRPr="0057118F">
        <w:rPr>
          <w:i/>
          <w:lang w:val="en-US"/>
        </w:rPr>
        <w:t>2.6</w:t>
      </w:r>
      <w:r w:rsidRPr="0057118F">
        <w:rPr>
          <w:i/>
          <w:lang w:val="en-US"/>
        </w:rPr>
        <w:tab/>
        <w:t>Statistical analysis</w:t>
      </w:r>
    </w:p>
    <w:p w14:paraId="0839CA69" w14:textId="77777777" w:rsidR="0057118F" w:rsidRDefault="0057118F" w:rsidP="0045343D">
      <w:pPr>
        <w:spacing w:line="480" w:lineRule="auto"/>
        <w:rPr>
          <w:lang w:val="en-US"/>
        </w:rPr>
      </w:pPr>
    </w:p>
    <w:p w14:paraId="0BCF3616" w14:textId="77777777" w:rsidR="00C21745" w:rsidRDefault="00C21745" w:rsidP="0045343D">
      <w:pPr>
        <w:spacing w:line="480" w:lineRule="auto"/>
        <w:rPr>
          <w:lang w:val="en-US"/>
        </w:rPr>
      </w:pPr>
      <w:r>
        <w:rPr>
          <w:lang w:val="en-US"/>
        </w:rPr>
        <w:t>Statistical analysis was carried out using SPSS (</w:t>
      </w:r>
      <w:r>
        <w:rPr>
          <w:rFonts w:eastAsia="Times New Roman"/>
        </w:rPr>
        <w:t>Version 21.0, IBM, Armonk, NY: IBM Corp.</w:t>
      </w:r>
      <w:r>
        <w:rPr>
          <w:lang w:val="en-US"/>
        </w:rPr>
        <w:t xml:space="preserve">).  Data from dose-response experiments was analysed by 1-way ANOVA with Dunnett’s </w:t>
      </w:r>
      <w:r w:rsidRPr="0057118F">
        <w:rPr>
          <w:i/>
          <w:lang w:val="en-US"/>
        </w:rPr>
        <w:t>post hoc</w:t>
      </w:r>
      <w:r>
        <w:rPr>
          <w:lang w:val="en-US"/>
        </w:rPr>
        <w:t xml:space="preserve"> test to compare the effect of each concentration of hormone to control.  Experiments involving single concentrations of hormones were analysed by Student’s unpaired t test.  Associations between data sets were tested using linear regression analysis.  Statistical significance was assumed at probabilities less than 0.05.  The sample size of ten replicates was sufficient to detect a 10% difference in the primary outcome measures, mRNA expression and synthesis of deuterated fatty acids, with a statistical power of 85% and probability of P &lt; 0.05.  </w:t>
      </w:r>
    </w:p>
    <w:p w14:paraId="275A8EED" w14:textId="77777777" w:rsidR="00C21745" w:rsidRDefault="00C21745" w:rsidP="0045343D">
      <w:pPr>
        <w:spacing w:line="480" w:lineRule="auto"/>
        <w:rPr>
          <w:lang w:val="en-US"/>
        </w:rPr>
      </w:pPr>
    </w:p>
    <w:p w14:paraId="5829D35F" w14:textId="77777777" w:rsidR="00C21745" w:rsidRDefault="00C21745" w:rsidP="0045343D">
      <w:pPr>
        <w:spacing w:line="480" w:lineRule="auto"/>
        <w:rPr>
          <w:b/>
          <w:bCs/>
          <w:lang w:val="en-US"/>
        </w:rPr>
      </w:pPr>
      <w:r w:rsidRPr="00585D94">
        <w:rPr>
          <w:b/>
          <w:bCs/>
          <w:lang w:val="en-US"/>
        </w:rPr>
        <w:t>3.</w:t>
      </w:r>
      <w:r w:rsidRPr="00585D94">
        <w:rPr>
          <w:b/>
          <w:bCs/>
          <w:lang w:val="en-US"/>
        </w:rPr>
        <w:tab/>
        <w:t>Results</w:t>
      </w:r>
    </w:p>
    <w:p w14:paraId="2C16D512" w14:textId="77777777" w:rsidR="0057118F" w:rsidRDefault="0057118F" w:rsidP="0045343D">
      <w:pPr>
        <w:spacing w:line="480" w:lineRule="auto"/>
        <w:rPr>
          <w:b/>
          <w:bCs/>
          <w:lang w:val="en-US"/>
        </w:rPr>
      </w:pPr>
    </w:p>
    <w:p w14:paraId="02F8CC7D" w14:textId="1DC98CB0" w:rsidR="0057118F" w:rsidRDefault="0057118F" w:rsidP="0045343D">
      <w:pPr>
        <w:spacing w:line="480" w:lineRule="auto"/>
        <w:rPr>
          <w:bCs/>
          <w:i/>
          <w:lang w:val="en-US"/>
        </w:rPr>
      </w:pPr>
      <w:r w:rsidRPr="0057118F">
        <w:rPr>
          <w:bCs/>
          <w:i/>
          <w:lang w:val="en-US"/>
        </w:rPr>
        <w:t>3.1 mRNA expression</w:t>
      </w:r>
    </w:p>
    <w:p w14:paraId="5826F509" w14:textId="77777777" w:rsidR="0057118F" w:rsidRPr="0057118F" w:rsidRDefault="0057118F" w:rsidP="0045343D">
      <w:pPr>
        <w:spacing w:line="480" w:lineRule="auto"/>
        <w:rPr>
          <w:bCs/>
          <w:i/>
          <w:lang w:val="en-US"/>
        </w:rPr>
      </w:pPr>
    </w:p>
    <w:p w14:paraId="579EBC13" w14:textId="48CB7CC4" w:rsidR="00C21745" w:rsidRDefault="00C21745" w:rsidP="0045343D">
      <w:pPr>
        <w:spacing w:line="480" w:lineRule="auto"/>
        <w:rPr>
          <w:lang w:val="en-US"/>
        </w:rPr>
      </w:pPr>
      <w:r>
        <w:rPr>
          <w:lang w:val="en-US"/>
        </w:rPr>
        <w:tab/>
        <w:t>Treatment of HepG2 cells with progesterone for 48 hours induced a linear (r= 0.67, P &lt; 0.0001) dose-related increase in FADS2 mRNA expression which reached statistical significance compared to control at 25 nM (2.1-fold) and 50 nM (Fig</w:t>
      </w:r>
      <w:r w:rsidR="0057118F">
        <w:rPr>
          <w:lang w:val="en-US"/>
        </w:rPr>
        <w:t>.</w:t>
      </w:r>
      <w:r>
        <w:rPr>
          <w:lang w:val="en-US"/>
        </w:rPr>
        <w:t xml:space="preserve"> 1). However, maximum mRNA levels of FADS1, ELOVL 5 and ELOVL 2 were induced at the lowest concentration of progesterone tested (10 nmole/l); 2.1-fold, 2.5-fold and 3.9-fold, respectively (Fig</w:t>
      </w:r>
      <w:r w:rsidR="0057118F">
        <w:rPr>
          <w:lang w:val="en-US"/>
        </w:rPr>
        <w:t>.</w:t>
      </w:r>
      <w:r>
        <w:rPr>
          <w:lang w:val="en-US"/>
        </w:rPr>
        <w:t xml:space="preserve"> 1).  There was no significant effect of treatment </w:t>
      </w:r>
      <w:r w:rsidRPr="001634F9">
        <w:rPr>
          <w:lang w:val="en-US"/>
        </w:rPr>
        <w:t xml:space="preserve">with </w:t>
      </w:r>
      <w:r>
        <w:rPr>
          <w:lang w:val="en-US"/>
        </w:rPr>
        <w:t>EE</w:t>
      </w:r>
      <w:r w:rsidRPr="00BD2B03">
        <w:rPr>
          <w:vertAlign w:val="subscript"/>
          <w:lang w:val="en-US"/>
        </w:rPr>
        <w:t>2</w:t>
      </w:r>
      <w:r>
        <w:rPr>
          <w:lang w:val="en-US"/>
        </w:rPr>
        <w:t xml:space="preserve"> or testosterone on the mRNA expression on any of the genes measured in HepG2 cells (Fig</w:t>
      </w:r>
      <w:r w:rsidR="0057118F">
        <w:rPr>
          <w:lang w:val="en-US"/>
        </w:rPr>
        <w:t>.</w:t>
      </w:r>
      <w:r>
        <w:rPr>
          <w:lang w:val="en-US"/>
        </w:rPr>
        <w:t xml:space="preserve"> 1).</w:t>
      </w:r>
    </w:p>
    <w:p w14:paraId="7FA21990" w14:textId="2D4881DF" w:rsidR="00C21745" w:rsidRDefault="00C21745" w:rsidP="0045343D">
      <w:pPr>
        <w:spacing w:line="480" w:lineRule="auto"/>
        <w:rPr>
          <w:lang w:val="en-US"/>
        </w:rPr>
      </w:pPr>
      <w:r>
        <w:rPr>
          <w:lang w:val="en-US"/>
        </w:rPr>
        <w:tab/>
        <w:t>In order to investigate whether the effect of sex hormones of FADS and ELOVL gene expression in HepG2 cells could be induced in primary human hepatocytes, these cells were treated with the highest concentration of progesterone or EE</w:t>
      </w:r>
      <w:r w:rsidRPr="00C92D7F">
        <w:rPr>
          <w:vertAlign w:val="subscript"/>
          <w:lang w:val="en-US"/>
        </w:rPr>
        <w:t>2</w:t>
      </w:r>
      <w:r>
        <w:rPr>
          <w:lang w:val="en-US"/>
        </w:rPr>
        <w:t xml:space="preserve"> to which HepG2 cells were exposed.  </w:t>
      </w:r>
      <w:r w:rsidRPr="002379A1">
        <w:rPr>
          <w:lang w:val="en-US"/>
        </w:rPr>
        <w:t>Because of the slow replication rate of primary hepatocytes, sufficient cells could not be generated to test the effect of testosterone.</w:t>
      </w:r>
      <w:r>
        <w:rPr>
          <w:lang w:val="en-US"/>
        </w:rPr>
        <w:t xml:space="preserve"> Treatment of primary human hepatocytes with progesterone induced a significant increase in FADS2 mRNA expression (2.4-fold) and non-significant (P &lt; 0.1) trends towards higher mRNA expression of FADS1, ELOVL5 and ELOVL 2 (Fig</w:t>
      </w:r>
      <w:r w:rsidR="007D2561">
        <w:rPr>
          <w:lang w:val="en-US"/>
        </w:rPr>
        <w:t>.</w:t>
      </w:r>
      <w:r>
        <w:rPr>
          <w:lang w:val="en-US"/>
        </w:rPr>
        <w:t xml:space="preserve"> 2).  There was no significant effect of treatment with EE</w:t>
      </w:r>
      <w:r w:rsidRPr="00BD2B03">
        <w:rPr>
          <w:vertAlign w:val="subscript"/>
          <w:lang w:val="en-US"/>
        </w:rPr>
        <w:t>2</w:t>
      </w:r>
      <w:r>
        <w:rPr>
          <w:lang w:val="en-US"/>
        </w:rPr>
        <w:t xml:space="preserve"> on the expression of any of the genes measured in primary hepatocytes (Fig</w:t>
      </w:r>
      <w:r w:rsidR="007D2561">
        <w:rPr>
          <w:lang w:val="en-US"/>
        </w:rPr>
        <w:t>.</w:t>
      </w:r>
      <w:r>
        <w:rPr>
          <w:lang w:val="en-US"/>
        </w:rPr>
        <w:t xml:space="preserve"> 2).</w:t>
      </w:r>
    </w:p>
    <w:p w14:paraId="3A54B129" w14:textId="77777777" w:rsidR="0057118F" w:rsidRDefault="0057118F" w:rsidP="0045343D">
      <w:pPr>
        <w:spacing w:line="480" w:lineRule="auto"/>
        <w:rPr>
          <w:lang w:val="en-US"/>
        </w:rPr>
      </w:pPr>
    </w:p>
    <w:p w14:paraId="4F514732" w14:textId="25F1F155" w:rsidR="0057118F" w:rsidRPr="0057118F" w:rsidRDefault="0057118F" w:rsidP="0045343D">
      <w:pPr>
        <w:spacing w:line="480" w:lineRule="auto"/>
        <w:rPr>
          <w:i/>
          <w:lang w:val="en-US"/>
        </w:rPr>
      </w:pPr>
      <w:r w:rsidRPr="0057118F">
        <w:rPr>
          <w:i/>
          <w:lang w:val="en-US"/>
        </w:rPr>
        <w:t>3.2</w:t>
      </w:r>
      <w:r w:rsidRPr="0057118F">
        <w:rPr>
          <w:i/>
          <w:lang w:val="en-US"/>
        </w:rPr>
        <w:tab/>
        <w:t>DNA methylation</w:t>
      </w:r>
    </w:p>
    <w:p w14:paraId="5E1D527A" w14:textId="77777777" w:rsidR="0057118F" w:rsidRDefault="0057118F" w:rsidP="0045343D">
      <w:pPr>
        <w:spacing w:line="480" w:lineRule="auto"/>
        <w:rPr>
          <w:lang w:val="en-US"/>
        </w:rPr>
      </w:pPr>
    </w:p>
    <w:p w14:paraId="08BBA266" w14:textId="2987DBA2" w:rsidR="00C21745" w:rsidRDefault="00C21745" w:rsidP="0045343D">
      <w:pPr>
        <w:spacing w:line="480" w:lineRule="auto"/>
        <w:rPr>
          <w:lang w:val="en-US"/>
        </w:rPr>
      </w:pPr>
      <w:r>
        <w:rPr>
          <w:lang w:val="en-US"/>
        </w:rPr>
        <w:tab/>
        <w:t>We measured the methylation status of a region between -1661 and -18  bp upstream of the FADS2 transcription start site (Fig</w:t>
      </w:r>
      <w:r w:rsidR="007D2561">
        <w:rPr>
          <w:lang w:val="en-US"/>
        </w:rPr>
        <w:t>.</w:t>
      </w:r>
      <w:r>
        <w:rPr>
          <w:lang w:val="en-US"/>
        </w:rPr>
        <w:t xml:space="preserve"> 3).  The region was characterised by highly methylated CpG loci between -1661 and -1156 bp, loci with intermediate methylation at loci -718 and -669 and an essentially unmethylated region (average methylation &lt; 5%) proximal to the transcription start site (Fig</w:t>
      </w:r>
      <w:r w:rsidR="007D2561">
        <w:rPr>
          <w:lang w:val="en-US"/>
        </w:rPr>
        <w:t>.</w:t>
      </w:r>
      <w:r>
        <w:rPr>
          <w:lang w:val="en-US"/>
        </w:rPr>
        <w:t xml:space="preserve"> 4).  Treatment of HepG2 cells with progesterone (50 nmoles/l) induced reduction in the methylation status of specific CpG dinucleotides located at -1661 (3%, P  = 0.02) and -1665 (14%, P = 0.007) bp relative to the transcription start site (Fig</w:t>
      </w:r>
      <w:r w:rsidR="007D2561">
        <w:rPr>
          <w:lang w:val="en-US"/>
        </w:rPr>
        <w:t>.</w:t>
      </w:r>
      <w:r>
        <w:rPr>
          <w:lang w:val="en-US"/>
        </w:rPr>
        <w:t xml:space="preserve"> 4). </w:t>
      </w:r>
    </w:p>
    <w:p w14:paraId="4DC409A4" w14:textId="77777777" w:rsidR="0057118F" w:rsidRDefault="0057118F" w:rsidP="0045343D">
      <w:pPr>
        <w:spacing w:line="480" w:lineRule="auto"/>
        <w:rPr>
          <w:lang w:val="en-US"/>
        </w:rPr>
      </w:pPr>
    </w:p>
    <w:p w14:paraId="74B2C885" w14:textId="687F9CCC" w:rsidR="0057118F" w:rsidRPr="0057118F" w:rsidRDefault="0057118F" w:rsidP="0045343D">
      <w:pPr>
        <w:spacing w:line="480" w:lineRule="auto"/>
        <w:rPr>
          <w:i/>
          <w:lang w:val="en-US"/>
        </w:rPr>
      </w:pPr>
      <w:r>
        <w:rPr>
          <w:i/>
          <w:lang w:val="en-US"/>
        </w:rPr>
        <w:t>3.3</w:t>
      </w:r>
      <w:r>
        <w:rPr>
          <w:i/>
          <w:lang w:val="en-US"/>
        </w:rPr>
        <w:tab/>
      </w:r>
      <w:r w:rsidRPr="0057118F">
        <w:rPr>
          <w:i/>
          <w:lang w:val="en-US"/>
        </w:rPr>
        <w:t>PUFA biosynthesis</w:t>
      </w:r>
    </w:p>
    <w:p w14:paraId="09C37E65" w14:textId="77777777" w:rsidR="0057118F" w:rsidRDefault="0057118F" w:rsidP="0045343D">
      <w:pPr>
        <w:spacing w:line="480" w:lineRule="auto"/>
        <w:rPr>
          <w:lang w:val="en-US"/>
        </w:rPr>
      </w:pPr>
    </w:p>
    <w:p w14:paraId="2151EAEA" w14:textId="6511C090" w:rsidR="00C21745" w:rsidRDefault="00C21745" w:rsidP="0045343D">
      <w:pPr>
        <w:spacing w:line="480" w:lineRule="auto"/>
        <w:rPr>
          <w:lang w:val="en-US"/>
        </w:rPr>
      </w:pPr>
      <w:r>
        <w:rPr>
          <w:lang w:val="en-US"/>
        </w:rPr>
        <w:tab/>
        <w:t>In order to determine whether the changes in gene expression were associated with altered activity of the PUFA synthesis pathway, HepG2 cells were incubated with [d</w:t>
      </w:r>
      <w:r w:rsidRPr="00E2380E">
        <w:rPr>
          <w:vertAlign w:val="subscript"/>
          <w:lang w:val="en-US"/>
        </w:rPr>
        <w:t>5</w:t>
      </w:r>
      <w:r>
        <w:rPr>
          <w:lang w:val="en-US"/>
        </w:rPr>
        <w:t>]-18:3n-3 in the presence or absence of sex hormones.  Progesterone induced a significant decrease (38%) in the amount of labeled 18:3n-3 in cell total lipids, and significant increases in the amounts of labeled 20:5n-3 (5-fold), 22:5n-3 (7-fold) and 22:6n-3 (36-fold) (Fig</w:t>
      </w:r>
      <w:r w:rsidR="007D2561">
        <w:rPr>
          <w:lang w:val="en-US"/>
        </w:rPr>
        <w:t>.</w:t>
      </w:r>
      <w:r>
        <w:rPr>
          <w:lang w:val="en-US"/>
        </w:rPr>
        <w:t xml:space="preserve"> 5).  There was no significant effect of treatment with EE</w:t>
      </w:r>
      <w:r w:rsidRPr="00BD2B03">
        <w:rPr>
          <w:vertAlign w:val="subscript"/>
          <w:lang w:val="en-US"/>
        </w:rPr>
        <w:t>2</w:t>
      </w:r>
      <w:r>
        <w:rPr>
          <w:lang w:val="en-US"/>
        </w:rPr>
        <w:t xml:space="preserve"> or testosterone on the incorporation of stable isotope label into any of the n-3 PUFA that were measured (Fig</w:t>
      </w:r>
      <w:r w:rsidR="007D2561">
        <w:rPr>
          <w:lang w:val="en-US"/>
        </w:rPr>
        <w:t>.</w:t>
      </w:r>
      <w:r>
        <w:rPr>
          <w:lang w:val="en-US"/>
        </w:rPr>
        <w:t xml:space="preserve"> 5).</w:t>
      </w:r>
    </w:p>
    <w:p w14:paraId="5EADCDE6" w14:textId="77777777" w:rsidR="00C21745" w:rsidRDefault="00C21745" w:rsidP="0045343D">
      <w:pPr>
        <w:spacing w:line="480" w:lineRule="auto"/>
        <w:rPr>
          <w:lang w:val="en-US"/>
        </w:rPr>
      </w:pPr>
    </w:p>
    <w:p w14:paraId="4CC0E7EA" w14:textId="77777777" w:rsidR="00C21745" w:rsidRPr="00A564E3" w:rsidRDefault="00C21745" w:rsidP="0045343D">
      <w:pPr>
        <w:spacing w:line="480" w:lineRule="auto"/>
        <w:rPr>
          <w:b/>
          <w:bCs/>
          <w:lang w:val="en-US"/>
        </w:rPr>
      </w:pPr>
      <w:r w:rsidRPr="00A564E3">
        <w:rPr>
          <w:b/>
          <w:bCs/>
          <w:lang w:val="en-US"/>
        </w:rPr>
        <w:t>4.  Discussion</w:t>
      </w:r>
    </w:p>
    <w:p w14:paraId="1F8DE369" w14:textId="098E0F78" w:rsidR="00C21745" w:rsidRDefault="00C21745" w:rsidP="0045343D">
      <w:pPr>
        <w:spacing w:line="480" w:lineRule="auto"/>
        <w:rPr>
          <w:lang w:val="en-US"/>
        </w:rPr>
      </w:pPr>
      <w:r>
        <w:rPr>
          <w:lang w:val="en-US"/>
        </w:rPr>
        <w:t xml:space="preserve">Although there is compelling evidence from studies of humans and of rodents that males and females differ in n-3 PUFA status, in particular 22:6n-3, and in capacity for conversion of 18:3n-3 to 22:6n-3, there remains uncertainty in nature of the endocrine regulation of the PUFA biosynthesis.  While some studies have implicated estrogen as an agonist </w:t>
      </w:r>
      <w:r w:rsidR="007D2561">
        <w:rPr>
          <w:noProof/>
          <w:lang w:val="en-US"/>
        </w:rPr>
        <w:t>[</w:t>
      </w:r>
      <w:r>
        <w:rPr>
          <w:noProof/>
          <w:lang w:val="en-US"/>
        </w:rPr>
        <w:t>9, 13</w:t>
      </w:r>
      <w:r w:rsidR="007D2561">
        <w:rPr>
          <w:noProof/>
          <w:lang w:val="en-US"/>
        </w:rPr>
        <w:t>]</w:t>
      </w:r>
      <w:r>
        <w:rPr>
          <w:lang w:val="en-US"/>
        </w:rPr>
        <w:t xml:space="preserve">, there is also evidence for positive regulation by progesterone </w:t>
      </w:r>
      <w:r w:rsidR="007D2561">
        <w:rPr>
          <w:noProof/>
          <w:lang w:val="en-US"/>
        </w:rPr>
        <w:t>[</w:t>
      </w:r>
      <w:r>
        <w:rPr>
          <w:noProof/>
          <w:lang w:val="en-US"/>
        </w:rPr>
        <w:t>6</w:t>
      </w:r>
      <w:r w:rsidR="007D2561">
        <w:rPr>
          <w:noProof/>
          <w:lang w:val="en-US"/>
        </w:rPr>
        <w:t>]</w:t>
      </w:r>
      <w:r>
        <w:rPr>
          <w:lang w:val="en-US"/>
        </w:rPr>
        <w:t xml:space="preserve">.  In contrast, testosterone appears to antagonise conversion of 18:3n-3 to its longer chain metabolites </w:t>
      </w:r>
      <w:r w:rsidR="007D2561">
        <w:rPr>
          <w:noProof/>
          <w:lang w:val="en-US"/>
        </w:rPr>
        <w:t>[</w:t>
      </w:r>
      <w:r>
        <w:rPr>
          <w:noProof/>
          <w:lang w:val="en-US"/>
        </w:rPr>
        <w:t>13</w:t>
      </w:r>
      <w:r w:rsidR="007D2561">
        <w:rPr>
          <w:noProof/>
          <w:lang w:val="en-US"/>
        </w:rPr>
        <w:t>]</w:t>
      </w:r>
      <w:r>
        <w:rPr>
          <w:lang w:val="en-US"/>
        </w:rPr>
        <w:t>.  The findings of this study provide evidence that progesterone is an endocrine agonist for n-3 PUFA biosynthesis and that such effects are mediated at the level of transcription.</w:t>
      </w:r>
    </w:p>
    <w:p w14:paraId="215A0019" w14:textId="27C23EDA" w:rsidR="00C21745" w:rsidRDefault="00C21745" w:rsidP="0045343D">
      <w:pPr>
        <w:spacing w:line="480" w:lineRule="auto"/>
        <w:rPr>
          <w:lang w:val="en-US"/>
        </w:rPr>
      </w:pPr>
      <w:r>
        <w:rPr>
          <w:lang w:val="en-US"/>
        </w:rPr>
        <w:tab/>
        <w:t>Treatment of HepG2 cells with physiological concentrations of progesterone induced an increase in the mRNA expression of FADS2 and 1, and ELOVL 5 and 2, while there was no significant effect of treatment with EE</w:t>
      </w:r>
      <w:r w:rsidRPr="00BD2B03">
        <w:rPr>
          <w:vertAlign w:val="subscript"/>
          <w:lang w:val="en-US"/>
        </w:rPr>
        <w:t>2</w:t>
      </w:r>
      <w:r>
        <w:rPr>
          <w:vertAlign w:val="subscript"/>
          <w:lang w:val="en-US"/>
        </w:rPr>
        <w:t>,</w:t>
      </w:r>
      <w:r>
        <w:rPr>
          <w:lang w:val="en-US"/>
        </w:rPr>
        <w:t xml:space="preserve"> and testosterone on the level of these transcripts.   Treatment of primary hepatocytes with progesterone induced a significant increase in FADS2 mRNA expression, while there were only non-significant trends towards higher expression of FADS1 and ELOVL 2 and 5.  Together these findings suggest that while progesterone acts as an agonist for PUFA biosynthesis in both the cancer cell line and in primary hepatocytes, FADS1 and ELOVL 2 and 5 appear to be less responsive to progesterone in primary hepatocytes than in HepG2 hepatocarcinoma cells.  This may reflect adaptation of HepG2 cells to </w:t>
      </w:r>
      <w:r w:rsidRPr="00F84D9A">
        <w:rPr>
          <w:i/>
          <w:iCs/>
          <w:lang w:val="en-US"/>
        </w:rPr>
        <w:t>in vitro</w:t>
      </w:r>
      <w:r>
        <w:rPr>
          <w:lang w:val="en-US"/>
        </w:rPr>
        <w:t xml:space="preserve"> culture or the transformed nature of the cells . One implication is that the findings of studies in which HepG2 cells are used as a model of PUFA biosynthesis should be treated with caution. </w:t>
      </w:r>
      <w:r w:rsidR="009F70C5">
        <w:rPr>
          <w:lang w:val="en-US"/>
        </w:rPr>
        <w:t xml:space="preserve"> </w:t>
      </w:r>
      <w:r>
        <w:rPr>
          <w:lang w:val="en-US"/>
        </w:rPr>
        <w:t xml:space="preserve">However, as in HepG2 cells, in primary hepatocytes estrogen treatment did not alter the mRNA expression of FADS 2 and 1 or ELOVL 2 and 5. </w:t>
      </w:r>
    </w:p>
    <w:p w14:paraId="14C28777" w14:textId="7428522A" w:rsidR="00C21745" w:rsidRDefault="00C21745" w:rsidP="0045343D">
      <w:pPr>
        <w:spacing w:line="480" w:lineRule="auto"/>
        <w:ind w:firstLine="720"/>
        <w:rPr>
          <w:lang w:val="en-US"/>
        </w:rPr>
      </w:pPr>
      <w:r>
        <w:rPr>
          <w:lang w:val="en-US"/>
        </w:rPr>
        <w:t xml:space="preserve">It has been suggested that higher 22:6n-3 status and greater capacity for 22:6n-3 biosynthesis in females than in males reflects a metabolic adaptation that facilitates supply of 22:6n-3 from the mother to the developing offspring.  The concentration of 22:6n-3 in plasma phospholipids increases during pregnancy in women and in liver and plasma of pregnant rats.  This increase in 22:6n-3 status has been associated with greater FADS 2 and 1 mRNA expression in the liver of pregnant rats.  Furthermore, both estrogen and progesterone have been shown to be positively associated with hepatic FADS2 mRNA expression in pregnant rats, but negatively associated with the concentrations of other metabolites of 18:3n-3 </w:t>
      </w:r>
      <w:r w:rsidR="007D2561">
        <w:rPr>
          <w:noProof/>
          <w:lang w:val="en-US"/>
        </w:rPr>
        <w:t>[</w:t>
      </w:r>
      <w:r>
        <w:rPr>
          <w:noProof/>
          <w:lang w:val="en-US"/>
        </w:rPr>
        <w:t>6</w:t>
      </w:r>
      <w:r w:rsidR="007D2561">
        <w:rPr>
          <w:noProof/>
          <w:lang w:val="en-US"/>
        </w:rPr>
        <w:t>]</w:t>
      </w:r>
      <w:r>
        <w:rPr>
          <w:lang w:val="en-US"/>
        </w:rPr>
        <w:t xml:space="preserve">.  The findings of the present study support a potential role for progesterone in the pregnancy-associated increase in FADS2 mRNA expression and in 22:6n-3 concentration.  Whether or not estrogen also contributes to this change 22:6n-3 in pregnancy cannot be deduced from these </w:t>
      </w:r>
      <w:r w:rsidRPr="00BD2B03">
        <w:rPr>
          <w:i/>
          <w:iCs/>
          <w:lang w:val="en-US"/>
        </w:rPr>
        <w:t>in vitro</w:t>
      </w:r>
      <w:r>
        <w:rPr>
          <w:lang w:val="en-US"/>
        </w:rPr>
        <w:t xml:space="preserve"> findings.</w:t>
      </w:r>
    </w:p>
    <w:p w14:paraId="05D3A58B" w14:textId="7C94217D" w:rsidR="00C21745" w:rsidRDefault="00C21745" w:rsidP="0045343D">
      <w:pPr>
        <w:spacing w:line="480" w:lineRule="auto"/>
        <w:ind w:firstLine="720"/>
        <w:rPr>
          <w:lang w:val="en-US"/>
        </w:rPr>
      </w:pPr>
      <w:r>
        <w:rPr>
          <w:lang w:val="en-US"/>
        </w:rPr>
        <w:t xml:space="preserve">FADS2 transcription is regulated epigenetically by DNA methylation of its promoter </w:t>
      </w:r>
      <w:r w:rsidR="007D2561">
        <w:rPr>
          <w:noProof/>
          <w:lang w:val="en-US"/>
        </w:rPr>
        <w:t>[</w:t>
      </w:r>
      <w:r w:rsidR="00982584">
        <w:rPr>
          <w:noProof/>
          <w:lang w:val="en-US"/>
        </w:rPr>
        <w:t>16, 20 - 22</w:t>
      </w:r>
      <w:r w:rsidR="007D2561">
        <w:rPr>
          <w:noProof/>
          <w:lang w:val="en-US"/>
        </w:rPr>
        <w:t>]</w:t>
      </w:r>
      <w:r>
        <w:rPr>
          <w:lang w:val="en-US"/>
        </w:rPr>
        <w:t xml:space="preserve">.  We show for the first time the pattern of DNA methylation in a region of the human FADS2 gene that is located between the transcription start site and -1661 bp upstream </w:t>
      </w:r>
      <w:r w:rsidR="0080166E">
        <w:rPr>
          <w:lang w:val="en-US"/>
        </w:rPr>
        <w:t>(</w:t>
      </w:r>
      <w:r>
        <w:rPr>
          <w:lang w:val="en-US"/>
        </w:rPr>
        <w:t>Fig</w:t>
      </w:r>
      <w:r w:rsidR="007D2561">
        <w:rPr>
          <w:lang w:val="en-US"/>
        </w:rPr>
        <w:t>.</w:t>
      </w:r>
      <w:r>
        <w:rPr>
          <w:lang w:val="en-US"/>
        </w:rPr>
        <w:t xml:space="preserve"> 3).  This region was characterised by a relatively highly methylated domain located distal to the transcription start site, a region of transition in the level of methylation between -718 to -669 bp and a region proximal to the transcription start site in which methylation was below the detection limit for analysis by pyrosequencing of 5% </w:t>
      </w:r>
      <w:r w:rsidR="007D2561">
        <w:rPr>
          <w:noProof/>
          <w:lang w:val="en-US"/>
        </w:rPr>
        <w:t>[</w:t>
      </w:r>
      <w:r>
        <w:rPr>
          <w:noProof/>
          <w:lang w:val="en-US"/>
        </w:rPr>
        <w:t>2</w:t>
      </w:r>
      <w:r w:rsidR="00982584">
        <w:rPr>
          <w:noProof/>
          <w:lang w:val="en-US"/>
        </w:rPr>
        <w:t>3</w:t>
      </w:r>
      <w:r w:rsidR="007D2561">
        <w:rPr>
          <w:noProof/>
          <w:lang w:val="en-US"/>
        </w:rPr>
        <w:t>]</w:t>
      </w:r>
      <w:r>
        <w:rPr>
          <w:lang w:val="en-US"/>
        </w:rPr>
        <w:t xml:space="preserve"> which we assumed to be essentially unmethylated (Fig</w:t>
      </w:r>
      <w:r w:rsidR="007D2561">
        <w:rPr>
          <w:lang w:val="en-US"/>
        </w:rPr>
        <w:t>.</w:t>
      </w:r>
      <w:r>
        <w:rPr>
          <w:lang w:val="en-US"/>
        </w:rPr>
        <w:t xml:space="preserve"> 4).  A number of putative transcription factor binding sites were identified throughout the region that was analysed (Fig</w:t>
      </w:r>
      <w:r w:rsidR="007D2561">
        <w:rPr>
          <w:lang w:val="en-US"/>
        </w:rPr>
        <w:t>.</w:t>
      </w:r>
      <w:r>
        <w:rPr>
          <w:lang w:val="en-US"/>
        </w:rPr>
        <w:t xml:space="preserve"> 3).  However, no sequence was identified that corresponded to the progesterone receptor response element, although a putative estrogen receptor response element was identified between 1325 and 1345 bp relative to the transcription start site (Fig</w:t>
      </w:r>
      <w:r w:rsidR="007D2561">
        <w:rPr>
          <w:lang w:val="en-US"/>
        </w:rPr>
        <w:t>.</w:t>
      </w:r>
      <w:r>
        <w:rPr>
          <w:lang w:val="en-US"/>
        </w:rPr>
        <w:t xml:space="preserve"> 3).  Treatment of HepG2 cells with progesterone induced reduction in methylation of CpG loci at -1661 and -1665 bp relative to the FADS2 transcription start site.  Reduction in the methylation of individual CpG loci has been shown to increase FADS2 transcription in rat liver and aortae </w:t>
      </w:r>
      <w:r w:rsidR="007D2561">
        <w:rPr>
          <w:noProof/>
          <w:lang w:val="en-US"/>
        </w:rPr>
        <w:t>[</w:t>
      </w:r>
      <w:r w:rsidR="00982584">
        <w:rPr>
          <w:noProof/>
          <w:lang w:val="en-US"/>
        </w:rPr>
        <w:t>16,20</w:t>
      </w:r>
      <w:r>
        <w:rPr>
          <w:noProof/>
          <w:lang w:val="en-US"/>
        </w:rPr>
        <w:t>,2</w:t>
      </w:r>
      <w:r w:rsidR="0080166E">
        <w:rPr>
          <w:noProof/>
          <w:lang w:val="en-US"/>
        </w:rPr>
        <w:t>2</w:t>
      </w:r>
      <w:r w:rsidR="007D2561">
        <w:rPr>
          <w:noProof/>
          <w:lang w:val="en-US"/>
        </w:rPr>
        <w:t>]</w:t>
      </w:r>
      <w:r>
        <w:rPr>
          <w:lang w:val="en-US"/>
        </w:rPr>
        <w:t>.  However, it is unclear from the present findings whether changes in DNA methylation of 3% or 14% are sufficient to account for the magnitude of the increase in FADS2 mRNA expression.  The CpG dinucleotides located at -1661 and -1655 bp lie within a putative cAMP response element binding protein binding site (CREB) (Fig</w:t>
      </w:r>
      <w:r w:rsidR="007D2561">
        <w:rPr>
          <w:lang w:val="en-US"/>
        </w:rPr>
        <w:t>.</w:t>
      </w:r>
      <w:r>
        <w:rPr>
          <w:lang w:val="en-US"/>
        </w:rPr>
        <w:t xml:space="preserve"> 3).  Progesterone has been shown to increase transcription by up-regulation of the cAMP signaling pathway </w:t>
      </w:r>
      <w:r w:rsidR="007D2561">
        <w:rPr>
          <w:noProof/>
          <w:lang w:val="en-US"/>
        </w:rPr>
        <w:t>[</w:t>
      </w:r>
      <w:r>
        <w:rPr>
          <w:noProof/>
          <w:lang w:val="en-US"/>
        </w:rPr>
        <w:t>2</w:t>
      </w:r>
      <w:r w:rsidR="00982584">
        <w:rPr>
          <w:noProof/>
          <w:lang w:val="en-US"/>
        </w:rPr>
        <w:t>4</w:t>
      </w:r>
      <w:r>
        <w:rPr>
          <w:noProof/>
          <w:lang w:val="en-US"/>
        </w:rPr>
        <w:t>, 2</w:t>
      </w:r>
      <w:r w:rsidR="00982584">
        <w:rPr>
          <w:noProof/>
          <w:lang w:val="en-US"/>
        </w:rPr>
        <w:t>5</w:t>
      </w:r>
      <w:r w:rsidR="007D2561">
        <w:rPr>
          <w:noProof/>
          <w:lang w:val="en-US"/>
        </w:rPr>
        <w:t>]</w:t>
      </w:r>
      <w:r>
        <w:rPr>
          <w:lang w:val="en-US"/>
        </w:rPr>
        <w:t xml:space="preserve"> and CREB-1 has been shown to increase the level of transcription of steroy-CoA desaturase-1 </w:t>
      </w:r>
      <w:r w:rsidR="007D2561">
        <w:rPr>
          <w:noProof/>
          <w:lang w:val="en-US"/>
        </w:rPr>
        <w:t>[</w:t>
      </w:r>
      <w:r>
        <w:rPr>
          <w:noProof/>
          <w:lang w:val="en-US"/>
        </w:rPr>
        <w:t>2</w:t>
      </w:r>
      <w:r w:rsidR="00982584">
        <w:rPr>
          <w:noProof/>
          <w:lang w:val="en-US"/>
        </w:rPr>
        <w:t>6</w:t>
      </w:r>
      <w:r w:rsidR="007D2561">
        <w:rPr>
          <w:noProof/>
          <w:lang w:val="en-US"/>
        </w:rPr>
        <w:t>]</w:t>
      </w:r>
      <w:r>
        <w:rPr>
          <w:lang w:val="en-US"/>
        </w:rPr>
        <w:t xml:space="preserve">.  Therefore it is possible that the action of progesterone on FADS2 transcription may be mediated via CREB activity.  If so, then occupancy of the CREB response element may facilitate demethylation of the CpG dinucleotides at -1661 and -1655 bp by blocking the action of DNA methyltransferases </w:t>
      </w:r>
      <w:r w:rsidR="007D2561">
        <w:rPr>
          <w:noProof/>
          <w:lang w:val="en-US"/>
        </w:rPr>
        <w:t>[</w:t>
      </w:r>
      <w:r>
        <w:rPr>
          <w:noProof/>
          <w:lang w:val="en-US"/>
        </w:rPr>
        <w:t>2</w:t>
      </w:r>
      <w:r w:rsidR="00982584">
        <w:rPr>
          <w:noProof/>
          <w:lang w:val="en-US"/>
        </w:rPr>
        <w:t>7</w:t>
      </w:r>
      <w:r w:rsidR="007D2561">
        <w:rPr>
          <w:noProof/>
          <w:lang w:val="en-US"/>
        </w:rPr>
        <w:t>]</w:t>
      </w:r>
      <w:r>
        <w:rPr>
          <w:lang w:val="en-US"/>
        </w:rPr>
        <w:t>.  However, the elucidation of the mechanism by which progesterone treatment induced altered methylation of the FADS2 promoter was beyond the scope of this study.</w:t>
      </w:r>
    </w:p>
    <w:p w14:paraId="238279A6" w14:textId="77777777" w:rsidR="00C21745" w:rsidRDefault="00C21745" w:rsidP="0045343D">
      <w:pPr>
        <w:spacing w:line="480" w:lineRule="auto"/>
        <w:ind w:firstLine="720"/>
        <w:rPr>
          <w:lang w:val="en-US"/>
        </w:rPr>
      </w:pPr>
      <w:r>
        <w:rPr>
          <w:lang w:val="en-US"/>
        </w:rPr>
        <w:t>Progesterone treatment induced a significant increase in the synthesis of 20:5n-3, 22:5n-3 and 22:6n-3 from [d</w:t>
      </w:r>
      <w:r w:rsidRPr="0049529E">
        <w:rPr>
          <w:vertAlign w:val="subscript"/>
          <w:lang w:val="en-US"/>
        </w:rPr>
        <w:t>5</w:t>
      </w:r>
      <w:r>
        <w:rPr>
          <w:lang w:val="en-US"/>
        </w:rPr>
        <w:t>]-18:3n-3.  These findings confirm that induced changes in the mRNA expression of genes that encode the four major enzymes involved in conversion of 18:3n-3 to longer chain metabolites affect the capacity of cells for n-3 PUFA biosynthesis.  The decrease in the [d</w:t>
      </w:r>
      <w:r w:rsidRPr="0049529E">
        <w:rPr>
          <w:vertAlign w:val="subscript"/>
          <w:lang w:val="en-US"/>
        </w:rPr>
        <w:t>5</w:t>
      </w:r>
      <w:r>
        <w:rPr>
          <w:lang w:val="en-US"/>
        </w:rPr>
        <w:t>]-18:3n-3 concentration in HepG2 cells treated with progesterone probably reflected the increase in conversion to longer chain n-3 PUFA.  There was no effect of treatment with EE</w:t>
      </w:r>
      <w:r w:rsidRPr="00896E8E">
        <w:rPr>
          <w:vertAlign w:val="subscript"/>
          <w:lang w:val="en-US"/>
        </w:rPr>
        <w:t>2</w:t>
      </w:r>
      <w:r>
        <w:rPr>
          <w:lang w:val="en-US"/>
        </w:rPr>
        <w:t xml:space="preserve"> or testosterone on the synthesis of 20:5n-3, 22:5n-3 and 22:6n-3 which is consistent with the absence of an effect of these hormones on gene transcription. </w:t>
      </w:r>
    </w:p>
    <w:p w14:paraId="5F8198F7" w14:textId="35211D71" w:rsidR="00C21745" w:rsidRDefault="00C21745" w:rsidP="0045343D">
      <w:pPr>
        <w:spacing w:line="480" w:lineRule="auto"/>
        <w:ind w:firstLine="720"/>
        <w:rPr>
          <w:lang w:val="en-US"/>
        </w:rPr>
      </w:pPr>
      <w:r>
        <w:rPr>
          <w:lang w:val="en-US"/>
        </w:rPr>
        <w:t xml:space="preserve">The findings of this study show a specific positive effect of progesterone on the mRNA expression of genes involved in PUFA biosynthesis and on conversion of 18:3n-3 to longer chain m-3 PUFA in human hepatocarcinoma cells or primary hepatocytes at physiological concentration </w:t>
      </w:r>
      <w:r w:rsidRPr="0080166E">
        <w:rPr>
          <w:i/>
          <w:lang w:val="en-US"/>
        </w:rPr>
        <w:t>in vitro</w:t>
      </w:r>
      <w:r>
        <w:rPr>
          <w:lang w:val="en-US"/>
        </w:rPr>
        <w:t xml:space="preserve">.  Previous studies have shown that estrogen, but not progesterone or testosterone, can increase plasma n-3 PUFA status </w:t>
      </w:r>
      <w:r w:rsidR="007D2561">
        <w:rPr>
          <w:noProof/>
          <w:lang w:val="en-US"/>
        </w:rPr>
        <w:t>[</w:t>
      </w:r>
      <w:r>
        <w:rPr>
          <w:noProof/>
          <w:lang w:val="en-US"/>
        </w:rPr>
        <w:t>13, 14</w:t>
      </w:r>
      <w:r w:rsidR="007D2561">
        <w:rPr>
          <w:noProof/>
          <w:lang w:val="en-US"/>
        </w:rPr>
        <w:t>]</w:t>
      </w:r>
      <w:r>
        <w:rPr>
          <w:lang w:val="en-US"/>
        </w:rPr>
        <w:t xml:space="preserve">, in particular DHA, in women who took a combined estrogen and progesterone contraceptive pill had greater capacity for conversion of 18:3n-3 to 22:6n-3 than those who did not </w:t>
      </w:r>
      <w:r w:rsidR="007D2561">
        <w:rPr>
          <w:noProof/>
          <w:lang w:val="en-US"/>
        </w:rPr>
        <w:t>[</w:t>
      </w:r>
      <w:r>
        <w:rPr>
          <w:noProof/>
          <w:lang w:val="en-US"/>
        </w:rPr>
        <w:t>9</w:t>
      </w:r>
      <w:r w:rsidR="007D2561">
        <w:rPr>
          <w:noProof/>
          <w:lang w:val="en-US"/>
        </w:rPr>
        <w:t>]</w:t>
      </w:r>
      <w:r>
        <w:rPr>
          <w:lang w:val="en-US"/>
        </w:rPr>
        <w:t xml:space="preserve">.  Similarly, combined treatment of post-menopausal women with estrogen and progesterone increased their blood 20:4n-6 and 22:6n-3 status </w:t>
      </w:r>
      <w:r w:rsidR="007D2561">
        <w:rPr>
          <w:noProof/>
          <w:lang w:val="en-US"/>
        </w:rPr>
        <w:t>[</w:t>
      </w:r>
      <w:r>
        <w:rPr>
          <w:noProof/>
          <w:lang w:val="en-US"/>
        </w:rPr>
        <w:t>14</w:t>
      </w:r>
      <w:r w:rsidR="007D2561">
        <w:rPr>
          <w:noProof/>
          <w:lang w:val="en-US"/>
        </w:rPr>
        <w:t>]</w:t>
      </w:r>
      <w:r>
        <w:rPr>
          <w:lang w:val="en-US"/>
        </w:rPr>
        <w:t xml:space="preserve">.  Furthermore, blood progesterone concentration has been associated positively with hepatic Fads2 mRNA expression in rats </w:t>
      </w:r>
      <w:r w:rsidR="007D2561">
        <w:rPr>
          <w:noProof/>
          <w:lang w:val="en-US"/>
        </w:rPr>
        <w:t>[</w:t>
      </w:r>
      <w:r>
        <w:rPr>
          <w:noProof/>
          <w:lang w:val="en-US"/>
        </w:rPr>
        <w:t>6</w:t>
      </w:r>
      <w:r w:rsidR="007D2561">
        <w:rPr>
          <w:noProof/>
          <w:lang w:val="en-US"/>
        </w:rPr>
        <w:t>]</w:t>
      </w:r>
      <w:r>
        <w:rPr>
          <w:lang w:val="en-US"/>
        </w:rPr>
        <w:t xml:space="preserve"> and estrogen treatment of ovariectomised rats increased brain 22:6n-3 concentration </w:t>
      </w:r>
      <w:r w:rsidR="007D2561">
        <w:rPr>
          <w:noProof/>
          <w:lang w:val="en-US"/>
        </w:rPr>
        <w:t>[</w:t>
      </w:r>
      <w:r>
        <w:rPr>
          <w:noProof/>
          <w:lang w:val="en-US"/>
        </w:rPr>
        <w:t>2</w:t>
      </w:r>
      <w:r w:rsidR="00982584">
        <w:rPr>
          <w:noProof/>
          <w:lang w:val="en-US"/>
        </w:rPr>
        <w:t>8</w:t>
      </w:r>
      <w:r w:rsidR="007D2561">
        <w:rPr>
          <w:noProof/>
          <w:lang w:val="en-US"/>
        </w:rPr>
        <w:t>]</w:t>
      </w:r>
      <w:r>
        <w:rPr>
          <w:lang w:val="en-US"/>
        </w:rPr>
        <w:t xml:space="preserve">.  While the current findings show a specific effect of progesterone on n-3 PUFA metabolism and the expression of associated genes, they do not resolve the debate about the relative roles of estrogen and progesterone in regulating PUFA metabolism. The main difference in the design of the current study from those reported previously is that the effects of sex hormones on PUFA metabolism were tested </w:t>
      </w:r>
      <w:r w:rsidRPr="002259EE">
        <w:rPr>
          <w:i/>
          <w:iCs/>
          <w:lang w:val="en-US"/>
        </w:rPr>
        <w:t>in vitro</w:t>
      </w:r>
      <w:r>
        <w:rPr>
          <w:lang w:val="en-US"/>
        </w:rPr>
        <w:t xml:space="preserve">.  While the use of a liver cancer cell line may be a limitation, we also tested the effects of hormones in primary human hepatocytes and found similar changes in gene expression.  One advantage of this approach is that the hormone exposure was controlled which cannot be achieved in vivo.  Furthermore, the design of the present study allowed n-3 PUFA metabolism to be measured directly, rather than using proxy measures such as plasma n-3 PUFA status.  This may be important as estrogens can modify phospholipid metabolism </w:t>
      </w:r>
      <w:r w:rsidR="007D2561">
        <w:rPr>
          <w:noProof/>
          <w:lang w:val="en-US"/>
        </w:rPr>
        <w:t>[</w:t>
      </w:r>
      <w:r w:rsidR="00982584">
        <w:rPr>
          <w:noProof/>
          <w:lang w:val="en-US"/>
        </w:rPr>
        <w:t>29</w:t>
      </w:r>
      <w:r>
        <w:rPr>
          <w:noProof/>
          <w:lang w:val="en-US"/>
        </w:rPr>
        <w:t xml:space="preserve">, </w:t>
      </w:r>
      <w:r w:rsidR="00982584">
        <w:rPr>
          <w:noProof/>
          <w:lang w:val="en-US"/>
        </w:rPr>
        <w:t>30</w:t>
      </w:r>
      <w:r w:rsidR="007D2561">
        <w:rPr>
          <w:noProof/>
          <w:lang w:val="en-US"/>
        </w:rPr>
        <w:t>]</w:t>
      </w:r>
      <w:r>
        <w:rPr>
          <w:lang w:val="en-US"/>
        </w:rPr>
        <w:t xml:space="preserve"> in a manner that may mask any direct effects on PUFA biosynthesis.  Furthermore, cross-talk by estrogen and progesterone signally pathways </w:t>
      </w:r>
      <w:r w:rsidR="007D2561">
        <w:rPr>
          <w:noProof/>
          <w:lang w:val="en-US"/>
        </w:rPr>
        <w:t>[</w:t>
      </w:r>
      <w:r>
        <w:rPr>
          <w:noProof/>
          <w:lang w:val="en-US"/>
        </w:rPr>
        <w:t>3</w:t>
      </w:r>
      <w:r w:rsidR="00982584">
        <w:rPr>
          <w:noProof/>
          <w:lang w:val="en-US"/>
        </w:rPr>
        <w:t>1</w:t>
      </w:r>
      <w:r>
        <w:rPr>
          <w:noProof/>
          <w:lang w:val="en-US"/>
        </w:rPr>
        <w:t>, 3</w:t>
      </w:r>
      <w:r w:rsidR="00982584">
        <w:rPr>
          <w:noProof/>
          <w:lang w:val="en-US"/>
        </w:rPr>
        <w:t>2</w:t>
      </w:r>
      <w:r w:rsidR="007D2561">
        <w:rPr>
          <w:noProof/>
          <w:lang w:val="en-US"/>
        </w:rPr>
        <w:t>]</w:t>
      </w:r>
      <w:r>
        <w:rPr>
          <w:lang w:val="en-US"/>
        </w:rPr>
        <w:t xml:space="preserve"> may also produce ambiguous findings with respect to the specificity of the effect of sex hormones on n-3 PUFA metabolism. </w:t>
      </w:r>
    </w:p>
    <w:p w14:paraId="09D61666" w14:textId="77777777" w:rsidR="00C21745" w:rsidRDefault="00C21745" w:rsidP="0045343D">
      <w:pPr>
        <w:spacing w:line="480" w:lineRule="auto"/>
        <w:ind w:firstLine="720"/>
        <w:rPr>
          <w:lang w:val="en-US"/>
        </w:rPr>
      </w:pPr>
      <w:r>
        <w:rPr>
          <w:lang w:val="en-US"/>
        </w:rPr>
        <w:t xml:space="preserve">Together the findings of this study show that progesterone up-regulates n-3 PUFA biosynthesis and the mRNA expression of genes involved in this pathway, possible via changes in the epigenetic regulation of FADS2, in human liver cells in vitro.  Further studies, including the use of hormone receptor knockout models, are needed to clarify the relative role of progesterone and estrogen in regulating PUFA biosynthesis </w:t>
      </w:r>
      <w:r w:rsidRPr="0080166E">
        <w:rPr>
          <w:i/>
          <w:lang w:val="en-US"/>
        </w:rPr>
        <w:t>in vivo</w:t>
      </w:r>
      <w:r>
        <w:rPr>
          <w:lang w:val="en-US"/>
        </w:rPr>
        <w:t xml:space="preserve">.     </w:t>
      </w:r>
    </w:p>
    <w:p w14:paraId="7525F249" w14:textId="77777777" w:rsidR="00C21745" w:rsidRDefault="00C21745" w:rsidP="0045343D">
      <w:pPr>
        <w:spacing w:line="480" w:lineRule="auto"/>
        <w:ind w:firstLine="720"/>
        <w:rPr>
          <w:lang w:val="en-US"/>
        </w:rPr>
      </w:pPr>
      <w:r>
        <w:rPr>
          <w:lang w:val="en-US"/>
        </w:rPr>
        <w:t xml:space="preserve"> </w:t>
      </w:r>
    </w:p>
    <w:p w14:paraId="4BCCD34E" w14:textId="620F75C9" w:rsidR="00C21745" w:rsidRPr="00BB0547" w:rsidRDefault="00C21745" w:rsidP="0045343D">
      <w:pPr>
        <w:spacing w:line="480" w:lineRule="auto"/>
        <w:rPr>
          <w:b/>
          <w:bCs/>
          <w:lang w:val="en-US"/>
        </w:rPr>
      </w:pPr>
      <w:r w:rsidRPr="00BB0547">
        <w:rPr>
          <w:b/>
          <w:bCs/>
          <w:lang w:val="en-US"/>
        </w:rPr>
        <w:t>Acknowledgements</w:t>
      </w:r>
    </w:p>
    <w:p w14:paraId="0BD329B0" w14:textId="6E811210" w:rsidR="00C21745" w:rsidRPr="00C90F3D" w:rsidRDefault="00C21745" w:rsidP="0045343D">
      <w:pPr>
        <w:spacing w:line="480" w:lineRule="auto"/>
        <w:rPr>
          <w:lang w:val="en-US"/>
        </w:rPr>
      </w:pPr>
      <w:r>
        <w:rPr>
          <w:lang w:val="en-US"/>
        </w:rPr>
        <w:t>GC/MS analysis was supported in part by NIH grant R01 AT007003</w:t>
      </w:r>
      <w:r w:rsidRPr="00C90F3D">
        <w:rPr>
          <w:lang w:val="en-US"/>
        </w:rPr>
        <w:t xml:space="preserve"> from the National Center for Complementary and Alternative Medicine (NCCAM) and the Office of Dietary Supplements (ODS). Its contents are solely the responsibility of the authors and do not necessarily represent the official views of the NCCAM, ODS, or the National Institutes of Health.</w:t>
      </w:r>
    </w:p>
    <w:p w14:paraId="3EF2E9F4" w14:textId="77777777" w:rsidR="00C21745" w:rsidRDefault="00C21745" w:rsidP="0045343D">
      <w:pPr>
        <w:spacing w:line="480" w:lineRule="auto"/>
        <w:rPr>
          <w:lang w:val="en-US"/>
        </w:rPr>
      </w:pPr>
    </w:p>
    <w:p w14:paraId="08060525" w14:textId="42058363" w:rsidR="00C21745" w:rsidRPr="00BB0547" w:rsidRDefault="00C21745" w:rsidP="0045343D">
      <w:pPr>
        <w:spacing w:line="480" w:lineRule="auto"/>
        <w:rPr>
          <w:b/>
          <w:bCs/>
          <w:lang w:val="en-US"/>
        </w:rPr>
      </w:pPr>
      <w:r w:rsidRPr="00BB0547">
        <w:rPr>
          <w:b/>
          <w:bCs/>
          <w:lang w:val="en-US"/>
        </w:rPr>
        <w:t>Author contributions</w:t>
      </w:r>
    </w:p>
    <w:p w14:paraId="6A000533" w14:textId="77777777" w:rsidR="009A6388" w:rsidRDefault="00C21745" w:rsidP="0045343D">
      <w:pPr>
        <w:spacing w:line="480" w:lineRule="auto"/>
        <w:rPr>
          <w:lang w:val="en-US"/>
        </w:rPr>
      </w:pPr>
      <w:r>
        <w:rPr>
          <w:lang w:val="en-US"/>
        </w:rPr>
        <w:t>GCB and KAL designed the study.  CMS, SPH, R C-H, PL and JTB carried out the experiments and analysed the data.  GCB wrote the first draft of the manuscript with subsequent input form all authors.  The authors declare no conflict of interest.</w:t>
      </w:r>
    </w:p>
    <w:p w14:paraId="1DD46E8A" w14:textId="77777777" w:rsidR="009A6388" w:rsidRDefault="009A6388">
      <w:pPr>
        <w:rPr>
          <w:lang w:val="en-US"/>
        </w:rPr>
      </w:pPr>
      <w:r>
        <w:rPr>
          <w:lang w:val="en-US"/>
        </w:rPr>
        <w:br w:type="page"/>
      </w:r>
    </w:p>
    <w:p w14:paraId="79A16504" w14:textId="77777777" w:rsidR="00C21745" w:rsidRPr="007D2561" w:rsidRDefault="009A6388" w:rsidP="009A6388">
      <w:pPr>
        <w:spacing w:line="480" w:lineRule="auto"/>
        <w:rPr>
          <w:b/>
          <w:lang w:val="en-US"/>
        </w:rPr>
      </w:pPr>
      <w:r w:rsidRPr="007D2561">
        <w:rPr>
          <w:b/>
          <w:lang w:val="en-US"/>
        </w:rPr>
        <w:t>References</w:t>
      </w:r>
    </w:p>
    <w:p w14:paraId="3FAD5632" w14:textId="77777777" w:rsidR="009A6388" w:rsidRDefault="009A6388" w:rsidP="009A6388">
      <w:pPr>
        <w:spacing w:line="480" w:lineRule="auto"/>
        <w:rPr>
          <w:lang w:val="en-US"/>
        </w:rPr>
      </w:pPr>
    </w:p>
    <w:p w14:paraId="77D08CDC" w14:textId="0456BC2C" w:rsidR="009A6388" w:rsidRDefault="0080166E" w:rsidP="0080166E">
      <w:pPr>
        <w:spacing w:line="480" w:lineRule="auto"/>
        <w:ind w:left="720" w:hanging="720"/>
        <w:rPr>
          <w:noProof/>
        </w:rPr>
      </w:pPr>
      <w:bookmarkStart w:id="0" w:name="_ENREF_1"/>
      <w:r>
        <w:rPr>
          <w:noProof/>
        </w:rPr>
        <w:t>[</w:t>
      </w:r>
      <w:r w:rsidR="009A6388">
        <w:rPr>
          <w:noProof/>
        </w:rPr>
        <w:t>1</w:t>
      </w:r>
      <w:r>
        <w:rPr>
          <w:noProof/>
        </w:rPr>
        <w:t>]</w:t>
      </w:r>
      <w:r w:rsidR="009A6388">
        <w:rPr>
          <w:noProof/>
        </w:rPr>
        <w:tab/>
        <w:t>Sprecher H, Chen Q. Polyunsaturated fatty acid biosynthesis: a microsomal-peroxisomal process. Prostaglandins Leukot</w:t>
      </w:r>
      <w:r w:rsidR="00AC5EBE">
        <w:rPr>
          <w:noProof/>
        </w:rPr>
        <w:t>.</w:t>
      </w:r>
      <w:r>
        <w:rPr>
          <w:noProof/>
        </w:rPr>
        <w:t xml:space="preserve"> </w:t>
      </w:r>
      <w:r w:rsidR="009A6388">
        <w:rPr>
          <w:noProof/>
        </w:rPr>
        <w:t>Essent</w:t>
      </w:r>
      <w:r w:rsidR="00AC5EBE">
        <w:rPr>
          <w:noProof/>
        </w:rPr>
        <w:t>.</w:t>
      </w:r>
      <w:r>
        <w:rPr>
          <w:noProof/>
        </w:rPr>
        <w:t xml:space="preserve"> </w:t>
      </w:r>
      <w:r w:rsidR="009A6388">
        <w:rPr>
          <w:noProof/>
        </w:rPr>
        <w:t xml:space="preserve">Fatty Acids. </w:t>
      </w:r>
      <w:r w:rsidRPr="0080166E">
        <w:rPr>
          <w:b/>
          <w:noProof/>
        </w:rPr>
        <w:t>60</w:t>
      </w:r>
      <w:r>
        <w:rPr>
          <w:noProof/>
        </w:rPr>
        <w:t xml:space="preserve"> (</w:t>
      </w:r>
      <w:r w:rsidR="009A6388">
        <w:rPr>
          <w:noProof/>
        </w:rPr>
        <w:t>1999</w:t>
      </w:r>
      <w:r>
        <w:rPr>
          <w:noProof/>
        </w:rPr>
        <w:t xml:space="preserve">) </w:t>
      </w:r>
      <w:r w:rsidR="009A6388">
        <w:rPr>
          <w:noProof/>
        </w:rPr>
        <w:t>317-</w:t>
      </w:r>
      <w:r>
        <w:rPr>
          <w:noProof/>
        </w:rPr>
        <w:t>3</w:t>
      </w:r>
      <w:r w:rsidR="009A6388">
        <w:rPr>
          <w:noProof/>
        </w:rPr>
        <w:t>21.</w:t>
      </w:r>
      <w:bookmarkEnd w:id="0"/>
    </w:p>
    <w:p w14:paraId="16B8C5D1" w14:textId="5F5AFAA1" w:rsidR="009A6388" w:rsidRDefault="0080166E" w:rsidP="00AC5EBE">
      <w:pPr>
        <w:spacing w:line="480" w:lineRule="auto"/>
        <w:ind w:left="720" w:hanging="720"/>
        <w:rPr>
          <w:noProof/>
        </w:rPr>
      </w:pPr>
      <w:bookmarkStart w:id="1" w:name="_ENREF_2"/>
      <w:r>
        <w:rPr>
          <w:noProof/>
        </w:rPr>
        <w:t>[2]</w:t>
      </w:r>
      <w:r w:rsidR="009A6388">
        <w:rPr>
          <w:noProof/>
        </w:rPr>
        <w:tab/>
        <w:t>Lohner S, Fekete K, Marosvolgyi T, Decsi T. Gender differences in the long-chain polyunsaturated fatty acid status: systematic review of 51 publications. Ann</w:t>
      </w:r>
      <w:r w:rsidR="00AC5EBE">
        <w:rPr>
          <w:noProof/>
        </w:rPr>
        <w:t>.</w:t>
      </w:r>
      <w:r w:rsidR="009A6388">
        <w:rPr>
          <w:noProof/>
        </w:rPr>
        <w:t xml:space="preserve"> Nutr</w:t>
      </w:r>
      <w:r w:rsidR="00AC5EBE">
        <w:rPr>
          <w:noProof/>
        </w:rPr>
        <w:t>.</w:t>
      </w:r>
      <w:r w:rsidR="009A6388">
        <w:rPr>
          <w:noProof/>
        </w:rPr>
        <w:t xml:space="preserve"> Metab.</w:t>
      </w:r>
      <w:r>
        <w:rPr>
          <w:noProof/>
        </w:rPr>
        <w:t xml:space="preserve"> </w:t>
      </w:r>
      <w:r w:rsidR="009A6388" w:rsidRPr="0080166E">
        <w:rPr>
          <w:b/>
          <w:noProof/>
        </w:rPr>
        <w:t>62</w:t>
      </w:r>
      <w:r>
        <w:rPr>
          <w:noProof/>
        </w:rPr>
        <w:t xml:space="preserve"> </w:t>
      </w:r>
      <w:r w:rsidR="009A6388">
        <w:rPr>
          <w:noProof/>
        </w:rPr>
        <w:t>(</w:t>
      </w:r>
      <w:r>
        <w:rPr>
          <w:noProof/>
        </w:rPr>
        <w:t>2013</w:t>
      </w:r>
      <w:r w:rsidR="009A6388">
        <w:rPr>
          <w:noProof/>
        </w:rPr>
        <w:t>)</w:t>
      </w:r>
      <w:r>
        <w:rPr>
          <w:noProof/>
        </w:rPr>
        <w:t xml:space="preserve"> </w:t>
      </w:r>
      <w:r w:rsidR="009A6388">
        <w:rPr>
          <w:noProof/>
        </w:rPr>
        <w:t xml:space="preserve">98-112. </w:t>
      </w:r>
      <w:bookmarkEnd w:id="1"/>
    </w:p>
    <w:p w14:paraId="498999FF" w14:textId="7BFC8ADC" w:rsidR="009A6388" w:rsidRDefault="0080166E" w:rsidP="00AC5EBE">
      <w:pPr>
        <w:spacing w:line="480" w:lineRule="auto"/>
        <w:ind w:left="720" w:hanging="720"/>
        <w:rPr>
          <w:noProof/>
        </w:rPr>
      </w:pPr>
      <w:bookmarkStart w:id="2" w:name="_ENREF_3"/>
      <w:r>
        <w:rPr>
          <w:noProof/>
        </w:rPr>
        <w:t>[3]</w:t>
      </w:r>
      <w:r w:rsidR="009A6388">
        <w:rPr>
          <w:noProof/>
        </w:rPr>
        <w:tab/>
        <w:t>Decsi T, Kennedy K. Sex-specific differences in essential fatty acid metabolism. Am</w:t>
      </w:r>
      <w:r w:rsidR="00AC5EBE">
        <w:rPr>
          <w:noProof/>
        </w:rPr>
        <w:t>.</w:t>
      </w:r>
      <w:r w:rsidR="009A6388">
        <w:rPr>
          <w:noProof/>
        </w:rPr>
        <w:t xml:space="preserve"> J</w:t>
      </w:r>
      <w:r w:rsidR="00AC5EBE">
        <w:rPr>
          <w:noProof/>
        </w:rPr>
        <w:t>.</w:t>
      </w:r>
      <w:r w:rsidR="009A6388">
        <w:rPr>
          <w:noProof/>
        </w:rPr>
        <w:t xml:space="preserve"> Clin</w:t>
      </w:r>
      <w:r w:rsidR="00AC5EBE">
        <w:rPr>
          <w:noProof/>
        </w:rPr>
        <w:t>.</w:t>
      </w:r>
      <w:r w:rsidR="009A6388">
        <w:rPr>
          <w:noProof/>
        </w:rPr>
        <w:t xml:space="preserve"> Nutr.</w:t>
      </w:r>
      <w:r w:rsidR="00AC5EBE">
        <w:rPr>
          <w:noProof/>
        </w:rPr>
        <w:t xml:space="preserve"> </w:t>
      </w:r>
      <w:r w:rsidR="009A6388" w:rsidRPr="00AC5EBE">
        <w:rPr>
          <w:b/>
          <w:noProof/>
        </w:rPr>
        <w:t>94</w:t>
      </w:r>
      <w:r w:rsidR="00AC5EBE">
        <w:rPr>
          <w:noProof/>
        </w:rPr>
        <w:t xml:space="preserve"> </w:t>
      </w:r>
      <w:r w:rsidR="009A6388">
        <w:rPr>
          <w:noProof/>
        </w:rPr>
        <w:t>(</w:t>
      </w:r>
      <w:r w:rsidR="00AC5EBE">
        <w:rPr>
          <w:noProof/>
        </w:rPr>
        <w:t>2011</w:t>
      </w:r>
      <w:r w:rsidR="009A6388">
        <w:rPr>
          <w:noProof/>
        </w:rPr>
        <w:t>)</w:t>
      </w:r>
      <w:r w:rsidR="00AC5EBE">
        <w:rPr>
          <w:noProof/>
        </w:rPr>
        <w:t xml:space="preserve"> </w:t>
      </w:r>
      <w:r w:rsidR="009A6388">
        <w:rPr>
          <w:noProof/>
        </w:rPr>
        <w:t>1914S-</w:t>
      </w:r>
      <w:r w:rsidR="00AC5EBE">
        <w:rPr>
          <w:noProof/>
        </w:rPr>
        <w:t>191</w:t>
      </w:r>
      <w:r w:rsidR="009A6388">
        <w:rPr>
          <w:noProof/>
        </w:rPr>
        <w:t>9S.</w:t>
      </w:r>
      <w:bookmarkEnd w:id="2"/>
    </w:p>
    <w:p w14:paraId="3EE5B8E2" w14:textId="626BCBA6" w:rsidR="009A6388" w:rsidRDefault="0080166E" w:rsidP="00AC5EBE">
      <w:pPr>
        <w:spacing w:line="480" w:lineRule="auto"/>
        <w:ind w:left="720" w:hanging="720"/>
        <w:rPr>
          <w:noProof/>
        </w:rPr>
      </w:pPr>
      <w:bookmarkStart w:id="3" w:name="_ENREF_4"/>
      <w:r>
        <w:rPr>
          <w:noProof/>
        </w:rPr>
        <w:t>[4]</w:t>
      </w:r>
      <w:r w:rsidR="009A6388">
        <w:rPr>
          <w:noProof/>
        </w:rPr>
        <w:tab/>
        <w:t>Welch AA, Shakya-Shrestha S, Lentjes MA, Wareham NJ, Khaw KT. Dietary intake and status of n-3 polyunsaturated fatty acids in a population of fish-eating and non-fish-eating meat-eaters, vegetarians, and vegans and the precursor-product ratio of alpha-linolenic acid to long-chain n-3 polyunsaturated fatty acids: results from the EPIC-Norfolk cohort. Am</w:t>
      </w:r>
      <w:r w:rsidR="00AC5EBE">
        <w:rPr>
          <w:noProof/>
        </w:rPr>
        <w:t>.</w:t>
      </w:r>
      <w:r w:rsidR="009A6388">
        <w:rPr>
          <w:noProof/>
        </w:rPr>
        <w:t xml:space="preserve"> J</w:t>
      </w:r>
      <w:r w:rsidR="00AC5EBE">
        <w:rPr>
          <w:noProof/>
        </w:rPr>
        <w:t>.</w:t>
      </w:r>
      <w:r w:rsidR="009A6388">
        <w:rPr>
          <w:noProof/>
        </w:rPr>
        <w:t xml:space="preserve"> Clin</w:t>
      </w:r>
      <w:r w:rsidR="00AC5EBE">
        <w:rPr>
          <w:noProof/>
        </w:rPr>
        <w:t>.</w:t>
      </w:r>
      <w:r w:rsidR="009A6388">
        <w:rPr>
          <w:noProof/>
        </w:rPr>
        <w:t xml:space="preserve"> Nutr.</w:t>
      </w:r>
      <w:r w:rsidR="00AC5EBE">
        <w:rPr>
          <w:noProof/>
        </w:rPr>
        <w:t xml:space="preserve"> </w:t>
      </w:r>
      <w:r w:rsidR="009A6388" w:rsidRPr="00AC5EBE">
        <w:rPr>
          <w:b/>
          <w:noProof/>
        </w:rPr>
        <w:t>92</w:t>
      </w:r>
      <w:r w:rsidR="00AC5EBE">
        <w:rPr>
          <w:noProof/>
        </w:rPr>
        <w:t xml:space="preserve"> </w:t>
      </w:r>
      <w:r w:rsidR="009A6388">
        <w:rPr>
          <w:noProof/>
        </w:rPr>
        <w:t>(</w:t>
      </w:r>
      <w:r w:rsidR="00AC5EBE">
        <w:rPr>
          <w:noProof/>
        </w:rPr>
        <w:t>2010</w:t>
      </w:r>
      <w:r w:rsidR="009A6388">
        <w:rPr>
          <w:noProof/>
        </w:rPr>
        <w:t>)</w:t>
      </w:r>
      <w:r w:rsidR="00AC5EBE">
        <w:rPr>
          <w:noProof/>
        </w:rPr>
        <w:t xml:space="preserve"> </w:t>
      </w:r>
      <w:r w:rsidR="009A6388">
        <w:rPr>
          <w:noProof/>
        </w:rPr>
        <w:t>1040-</w:t>
      </w:r>
      <w:r w:rsidR="00AC5EBE">
        <w:rPr>
          <w:noProof/>
        </w:rPr>
        <w:t>10</w:t>
      </w:r>
      <w:r w:rsidR="009A6388">
        <w:rPr>
          <w:noProof/>
        </w:rPr>
        <w:t>51.</w:t>
      </w:r>
      <w:bookmarkEnd w:id="3"/>
    </w:p>
    <w:p w14:paraId="0DF28980" w14:textId="7AE6A95F" w:rsidR="009A6388" w:rsidRDefault="00AC5EBE" w:rsidP="00AC5EBE">
      <w:pPr>
        <w:spacing w:line="480" w:lineRule="auto"/>
        <w:ind w:left="720" w:hanging="720"/>
        <w:rPr>
          <w:noProof/>
        </w:rPr>
      </w:pPr>
      <w:bookmarkStart w:id="4" w:name="_ENREF_5"/>
      <w:r>
        <w:rPr>
          <w:noProof/>
        </w:rPr>
        <w:t>[</w:t>
      </w:r>
      <w:r w:rsidR="009A6388">
        <w:rPr>
          <w:noProof/>
        </w:rPr>
        <w:t>5</w:t>
      </w:r>
      <w:r>
        <w:rPr>
          <w:noProof/>
        </w:rPr>
        <w:t>]</w:t>
      </w:r>
      <w:r w:rsidR="009A6388">
        <w:rPr>
          <w:noProof/>
        </w:rPr>
        <w:tab/>
        <w:t>Burdge GC, Calder PC. Dietary alpha-linolenic acid and health-related outcomes: a metabolic perspective. Nutr</w:t>
      </w:r>
      <w:r>
        <w:rPr>
          <w:noProof/>
        </w:rPr>
        <w:t>.</w:t>
      </w:r>
      <w:r w:rsidR="009A6388">
        <w:rPr>
          <w:noProof/>
        </w:rPr>
        <w:t xml:space="preserve"> Res</w:t>
      </w:r>
      <w:r>
        <w:rPr>
          <w:noProof/>
        </w:rPr>
        <w:t>.</w:t>
      </w:r>
      <w:r w:rsidR="009A6388">
        <w:rPr>
          <w:noProof/>
        </w:rPr>
        <w:t xml:space="preserve"> Rev.</w:t>
      </w:r>
      <w:r>
        <w:rPr>
          <w:noProof/>
        </w:rPr>
        <w:t xml:space="preserve"> </w:t>
      </w:r>
      <w:r w:rsidR="009A6388" w:rsidRPr="00AC5EBE">
        <w:rPr>
          <w:b/>
          <w:noProof/>
        </w:rPr>
        <w:t>19</w:t>
      </w:r>
      <w:r>
        <w:rPr>
          <w:noProof/>
        </w:rPr>
        <w:t xml:space="preserve"> </w:t>
      </w:r>
      <w:r w:rsidR="009A6388">
        <w:rPr>
          <w:noProof/>
        </w:rPr>
        <w:t>(</w:t>
      </w:r>
      <w:r>
        <w:rPr>
          <w:noProof/>
        </w:rPr>
        <w:t>2006</w:t>
      </w:r>
      <w:r w:rsidR="009A6388">
        <w:rPr>
          <w:noProof/>
        </w:rPr>
        <w:t>)</w:t>
      </w:r>
      <w:r>
        <w:rPr>
          <w:noProof/>
        </w:rPr>
        <w:t xml:space="preserve"> </w:t>
      </w:r>
      <w:r w:rsidR="009A6388">
        <w:rPr>
          <w:noProof/>
        </w:rPr>
        <w:t>26-52.</w:t>
      </w:r>
      <w:bookmarkEnd w:id="4"/>
    </w:p>
    <w:p w14:paraId="2C91AD59" w14:textId="2CCB436D" w:rsidR="009A6388" w:rsidRDefault="005036F3" w:rsidP="005036F3">
      <w:pPr>
        <w:spacing w:line="480" w:lineRule="auto"/>
        <w:ind w:left="720" w:hanging="720"/>
        <w:rPr>
          <w:noProof/>
        </w:rPr>
      </w:pPr>
      <w:bookmarkStart w:id="5" w:name="_ENREF_6"/>
      <w:r>
        <w:rPr>
          <w:noProof/>
        </w:rPr>
        <w:t>[</w:t>
      </w:r>
      <w:r w:rsidR="009A6388">
        <w:rPr>
          <w:noProof/>
        </w:rPr>
        <w:t>6</w:t>
      </w:r>
      <w:r>
        <w:rPr>
          <w:noProof/>
        </w:rPr>
        <w:t>]</w:t>
      </w:r>
      <w:r w:rsidR="009A6388">
        <w:rPr>
          <w:noProof/>
        </w:rPr>
        <w:tab/>
        <w:t xml:space="preserve">Childs CE, Hoile SP, Burdge GC, Calder PC. Changes in rat n-3 and n-6 fatty acid composition during pregnancy are associated with progesterone concentrations and hepatic FADS2 expression. </w:t>
      </w:r>
      <w:r>
        <w:rPr>
          <w:rStyle w:val="jrnl"/>
          <w:rFonts w:eastAsia="Times New Roman"/>
        </w:rPr>
        <w:t>Prostaglandins Leukot Essent Fatty Acids</w:t>
      </w:r>
      <w:r>
        <w:rPr>
          <w:rFonts w:eastAsia="Times New Roman" w:cs="Times New Roman"/>
        </w:rPr>
        <w:t xml:space="preserve">. </w:t>
      </w:r>
      <w:r w:rsidR="009A6388" w:rsidRPr="005036F3">
        <w:rPr>
          <w:b/>
          <w:noProof/>
        </w:rPr>
        <w:t>86</w:t>
      </w:r>
      <w:r>
        <w:rPr>
          <w:noProof/>
        </w:rPr>
        <w:t xml:space="preserve"> </w:t>
      </w:r>
      <w:r w:rsidR="009A6388">
        <w:rPr>
          <w:noProof/>
        </w:rPr>
        <w:t>(</w:t>
      </w:r>
      <w:r>
        <w:rPr>
          <w:noProof/>
        </w:rPr>
        <w:t xml:space="preserve">2012) </w:t>
      </w:r>
      <w:r w:rsidR="009A6388">
        <w:rPr>
          <w:noProof/>
        </w:rPr>
        <w:t>141-</w:t>
      </w:r>
      <w:r>
        <w:rPr>
          <w:noProof/>
        </w:rPr>
        <w:t>141</w:t>
      </w:r>
      <w:r w:rsidR="009A6388">
        <w:rPr>
          <w:noProof/>
        </w:rPr>
        <w:t xml:space="preserve">7. </w:t>
      </w:r>
      <w:bookmarkEnd w:id="5"/>
    </w:p>
    <w:p w14:paraId="6BB3EB7F" w14:textId="3F57487F" w:rsidR="009A6388" w:rsidRDefault="005036F3" w:rsidP="005036F3">
      <w:pPr>
        <w:spacing w:line="480" w:lineRule="auto"/>
        <w:ind w:left="720" w:hanging="720"/>
        <w:rPr>
          <w:noProof/>
        </w:rPr>
      </w:pPr>
      <w:bookmarkStart w:id="6" w:name="_ENREF_7"/>
      <w:r>
        <w:rPr>
          <w:noProof/>
        </w:rPr>
        <w:t>[</w:t>
      </w:r>
      <w:r w:rsidR="009A6388">
        <w:rPr>
          <w:noProof/>
        </w:rPr>
        <w:t>7</w:t>
      </w:r>
      <w:r>
        <w:rPr>
          <w:noProof/>
        </w:rPr>
        <w:t>]</w:t>
      </w:r>
      <w:r w:rsidR="009A6388">
        <w:rPr>
          <w:noProof/>
        </w:rPr>
        <w:tab/>
        <w:t>McNamara RK, Able J, Jandacek R, Rider T, Tso P. Gender differences in rat erythrocyte and brain docosahexaenoic acid composition: role of ovarian hormones and dietary omega-3 fatty acid composition. Psychoneuroendocrinol</w:t>
      </w:r>
      <w:r>
        <w:rPr>
          <w:noProof/>
        </w:rPr>
        <w:t xml:space="preserve">.  </w:t>
      </w:r>
      <w:r w:rsidR="009A6388">
        <w:rPr>
          <w:noProof/>
        </w:rPr>
        <w:t>34</w:t>
      </w:r>
      <w:r>
        <w:rPr>
          <w:noProof/>
        </w:rPr>
        <w:t xml:space="preserve"> </w:t>
      </w:r>
      <w:r w:rsidR="009A6388">
        <w:rPr>
          <w:noProof/>
        </w:rPr>
        <w:t>(</w:t>
      </w:r>
      <w:r>
        <w:rPr>
          <w:noProof/>
        </w:rPr>
        <w:t>2009</w:t>
      </w:r>
      <w:r w:rsidR="009A6388">
        <w:rPr>
          <w:noProof/>
        </w:rPr>
        <w:t>)</w:t>
      </w:r>
      <w:r>
        <w:rPr>
          <w:noProof/>
        </w:rPr>
        <w:t xml:space="preserve"> </w:t>
      </w:r>
      <w:r w:rsidR="009A6388">
        <w:rPr>
          <w:noProof/>
        </w:rPr>
        <w:t xml:space="preserve">532-9. </w:t>
      </w:r>
      <w:bookmarkEnd w:id="6"/>
    </w:p>
    <w:p w14:paraId="705E61DE" w14:textId="5F601DF3" w:rsidR="009A6388" w:rsidRDefault="005036F3" w:rsidP="005036F3">
      <w:pPr>
        <w:spacing w:line="480" w:lineRule="auto"/>
        <w:ind w:left="720" w:hanging="720"/>
        <w:rPr>
          <w:noProof/>
        </w:rPr>
      </w:pPr>
      <w:bookmarkStart w:id="7" w:name="_ENREF_8"/>
      <w:r>
        <w:rPr>
          <w:noProof/>
        </w:rPr>
        <w:t>[</w:t>
      </w:r>
      <w:r w:rsidR="009A6388">
        <w:rPr>
          <w:noProof/>
        </w:rPr>
        <w:t>8</w:t>
      </w:r>
      <w:r>
        <w:rPr>
          <w:noProof/>
        </w:rPr>
        <w:t>]</w:t>
      </w:r>
      <w:r w:rsidR="009A6388">
        <w:rPr>
          <w:noProof/>
        </w:rPr>
        <w:tab/>
        <w:t>Kitson AP, Smith TL, Marks KA, Stark KD. Tissue-specific sex differences in docosahexaenoic acid and Delta6-desaturase in rats fed a standard chow diet. App</w:t>
      </w:r>
      <w:r>
        <w:rPr>
          <w:noProof/>
        </w:rPr>
        <w:t>.</w:t>
      </w:r>
      <w:r w:rsidR="009A6388">
        <w:rPr>
          <w:noProof/>
        </w:rPr>
        <w:t xml:space="preserve"> </w:t>
      </w:r>
      <w:r>
        <w:rPr>
          <w:noProof/>
        </w:rPr>
        <w:t>P</w:t>
      </w:r>
      <w:r w:rsidR="009A6388">
        <w:rPr>
          <w:noProof/>
        </w:rPr>
        <w:t>hysiol</w:t>
      </w:r>
      <w:r>
        <w:rPr>
          <w:noProof/>
        </w:rPr>
        <w:t>.</w:t>
      </w:r>
      <w:r w:rsidR="009A6388">
        <w:rPr>
          <w:noProof/>
        </w:rPr>
        <w:t xml:space="preserve"> </w:t>
      </w:r>
      <w:r>
        <w:rPr>
          <w:noProof/>
        </w:rPr>
        <w:t>N</w:t>
      </w:r>
      <w:r w:rsidR="009A6388">
        <w:rPr>
          <w:noProof/>
        </w:rPr>
        <w:t>utr.</w:t>
      </w:r>
      <w:r>
        <w:rPr>
          <w:noProof/>
        </w:rPr>
        <w:t xml:space="preserve"> </w:t>
      </w:r>
      <w:r w:rsidR="009A6388" w:rsidRPr="005036F3">
        <w:rPr>
          <w:b/>
          <w:noProof/>
        </w:rPr>
        <w:t>37</w:t>
      </w:r>
      <w:r>
        <w:rPr>
          <w:b/>
          <w:noProof/>
        </w:rPr>
        <w:t xml:space="preserve"> </w:t>
      </w:r>
      <w:r w:rsidR="009A6388">
        <w:rPr>
          <w:noProof/>
        </w:rPr>
        <w:t>(</w:t>
      </w:r>
      <w:r>
        <w:rPr>
          <w:noProof/>
        </w:rPr>
        <w:t>2012</w:t>
      </w:r>
      <w:r w:rsidR="009A6388">
        <w:rPr>
          <w:noProof/>
        </w:rPr>
        <w:t>)</w:t>
      </w:r>
      <w:r>
        <w:rPr>
          <w:noProof/>
        </w:rPr>
        <w:t xml:space="preserve"> </w:t>
      </w:r>
      <w:r w:rsidR="009A6388">
        <w:rPr>
          <w:noProof/>
        </w:rPr>
        <w:t>1200-</w:t>
      </w:r>
      <w:r>
        <w:rPr>
          <w:noProof/>
        </w:rPr>
        <w:t>12</w:t>
      </w:r>
      <w:r w:rsidR="009A6388">
        <w:rPr>
          <w:noProof/>
        </w:rPr>
        <w:t>11.</w:t>
      </w:r>
      <w:bookmarkEnd w:id="7"/>
    </w:p>
    <w:p w14:paraId="6FDD6FDE" w14:textId="145F7331" w:rsidR="009A6388" w:rsidRDefault="005036F3" w:rsidP="005036F3">
      <w:pPr>
        <w:spacing w:line="480" w:lineRule="auto"/>
        <w:ind w:left="720" w:hanging="720"/>
        <w:rPr>
          <w:noProof/>
        </w:rPr>
      </w:pPr>
      <w:bookmarkStart w:id="8" w:name="_ENREF_9"/>
      <w:r>
        <w:rPr>
          <w:noProof/>
        </w:rPr>
        <w:t>[</w:t>
      </w:r>
      <w:r w:rsidR="009A6388">
        <w:rPr>
          <w:noProof/>
        </w:rPr>
        <w:t>9</w:t>
      </w:r>
      <w:r>
        <w:rPr>
          <w:noProof/>
        </w:rPr>
        <w:t>]</w:t>
      </w:r>
      <w:r w:rsidR="009A6388">
        <w:rPr>
          <w:noProof/>
        </w:rPr>
        <w:tab/>
        <w:t>Burdge GC, Wootton SA. Conversion of alpha-linolenic acid to eicosapentaenoic, docosapentaenoic and docosahexaenoic acids in young women. Br</w:t>
      </w:r>
      <w:r>
        <w:rPr>
          <w:noProof/>
        </w:rPr>
        <w:t xml:space="preserve">. </w:t>
      </w:r>
      <w:r w:rsidR="009A6388">
        <w:rPr>
          <w:noProof/>
        </w:rPr>
        <w:t>J</w:t>
      </w:r>
      <w:r>
        <w:rPr>
          <w:noProof/>
        </w:rPr>
        <w:t>.</w:t>
      </w:r>
      <w:r w:rsidR="009A6388">
        <w:rPr>
          <w:noProof/>
        </w:rPr>
        <w:t xml:space="preserve"> Nutr.</w:t>
      </w:r>
      <w:r>
        <w:rPr>
          <w:noProof/>
        </w:rPr>
        <w:t xml:space="preserve"> </w:t>
      </w:r>
      <w:r w:rsidR="009A6388" w:rsidRPr="005036F3">
        <w:rPr>
          <w:b/>
          <w:noProof/>
        </w:rPr>
        <w:t>88</w:t>
      </w:r>
      <w:r>
        <w:rPr>
          <w:noProof/>
        </w:rPr>
        <w:t xml:space="preserve"> </w:t>
      </w:r>
      <w:r w:rsidR="009A6388">
        <w:rPr>
          <w:noProof/>
        </w:rPr>
        <w:t>(</w:t>
      </w:r>
      <w:r>
        <w:rPr>
          <w:noProof/>
        </w:rPr>
        <w:t>2002</w:t>
      </w:r>
      <w:r w:rsidR="009A6388">
        <w:rPr>
          <w:noProof/>
        </w:rPr>
        <w:t>)</w:t>
      </w:r>
      <w:r>
        <w:rPr>
          <w:noProof/>
        </w:rPr>
        <w:t xml:space="preserve"> </w:t>
      </w:r>
      <w:r w:rsidR="009A6388">
        <w:rPr>
          <w:noProof/>
        </w:rPr>
        <w:t>411-</w:t>
      </w:r>
      <w:r>
        <w:rPr>
          <w:noProof/>
        </w:rPr>
        <w:t>4</w:t>
      </w:r>
      <w:r w:rsidR="009A6388">
        <w:rPr>
          <w:noProof/>
        </w:rPr>
        <w:t>20.</w:t>
      </w:r>
      <w:bookmarkEnd w:id="8"/>
    </w:p>
    <w:p w14:paraId="1D1978FC" w14:textId="5BEAFC76" w:rsidR="009A6388" w:rsidRDefault="005036F3" w:rsidP="005036F3">
      <w:pPr>
        <w:spacing w:line="480" w:lineRule="auto"/>
        <w:ind w:left="720" w:hanging="720"/>
        <w:rPr>
          <w:noProof/>
        </w:rPr>
      </w:pPr>
      <w:bookmarkStart w:id="9" w:name="_ENREF_10"/>
      <w:r>
        <w:rPr>
          <w:noProof/>
        </w:rPr>
        <w:t>[</w:t>
      </w:r>
      <w:r w:rsidR="009A6388">
        <w:rPr>
          <w:noProof/>
        </w:rPr>
        <w:t>10</w:t>
      </w:r>
      <w:r>
        <w:rPr>
          <w:noProof/>
        </w:rPr>
        <w:t>]</w:t>
      </w:r>
      <w:r w:rsidR="009A6388">
        <w:rPr>
          <w:noProof/>
        </w:rPr>
        <w:tab/>
        <w:t>Burdge GC, Jones AE, Wootton SA. Eicosapentaenoic and docosapentaenoic acids are the principal products of alpha-linolen</w:t>
      </w:r>
      <w:r>
        <w:rPr>
          <w:noProof/>
        </w:rPr>
        <w:t>ic acid metabolism in young men</w:t>
      </w:r>
      <w:r w:rsidR="009A6388">
        <w:rPr>
          <w:noProof/>
        </w:rPr>
        <w:t>. Br</w:t>
      </w:r>
      <w:r>
        <w:rPr>
          <w:noProof/>
        </w:rPr>
        <w:t xml:space="preserve">. </w:t>
      </w:r>
      <w:r w:rsidR="009A6388">
        <w:rPr>
          <w:noProof/>
        </w:rPr>
        <w:t>J</w:t>
      </w:r>
      <w:r>
        <w:rPr>
          <w:noProof/>
        </w:rPr>
        <w:t xml:space="preserve">. </w:t>
      </w:r>
      <w:r w:rsidR="009A6388">
        <w:rPr>
          <w:noProof/>
        </w:rPr>
        <w:t>Nutr.</w:t>
      </w:r>
      <w:r>
        <w:rPr>
          <w:noProof/>
        </w:rPr>
        <w:t xml:space="preserve"> </w:t>
      </w:r>
      <w:r w:rsidR="009A6388" w:rsidRPr="005036F3">
        <w:rPr>
          <w:b/>
          <w:noProof/>
        </w:rPr>
        <w:t>88</w:t>
      </w:r>
      <w:r>
        <w:rPr>
          <w:noProof/>
        </w:rPr>
        <w:t xml:space="preserve"> </w:t>
      </w:r>
      <w:r w:rsidR="009A6388">
        <w:rPr>
          <w:noProof/>
        </w:rPr>
        <w:t>(</w:t>
      </w:r>
      <w:r>
        <w:rPr>
          <w:noProof/>
        </w:rPr>
        <w:t>2002</w:t>
      </w:r>
      <w:r w:rsidR="009A6388">
        <w:rPr>
          <w:noProof/>
        </w:rPr>
        <w:t>)</w:t>
      </w:r>
      <w:r>
        <w:rPr>
          <w:noProof/>
        </w:rPr>
        <w:t xml:space="preserve"> </w:t>
      </w:r>
      <w:r w:rsidR="009A6388">
        <w:rPr>
          <w:noProof/>
        </w:rPr>
        <w:t>355-</w:t>
      </w:r>
      <w:r>
        <w:rPr>
          <w:noProof/>
        </w:rPr>
        <w:t>3</w:t>
      </w:r>
      <w:r w:rsidR="009A6388">
        <w:rPr>
          <w:noProof/>
        </w:rPr>
        <w:t>63.</w:t>
      </w:r>
      <w:bookmarkEnd w:id="9"/>
    </w:p>
    <w:p w14:paraId="75430D39" w14:textId="6B2C2B14" w:rsidR="009A6388" w:rsidRDefault="005036F3" w:rsidP="005036F3">
      <w:pPr>
        <w:spacing w:line="480" w:lineRule="auto"/>
        <w:ind w:left="720" w:hanging="720"/>
        <w:rPr>
          <w:noProof/>
        </w:rPr>
      </w:pPr>
      <w:bookmarkStart w:id="10" w:name="_ENREF_11"/>
      <w:r>
        <w:rPr>
          <w:noProof/>
        </w:rPr>
        <w:t>[</w:t>
      </w:r>
      <w:r w:rsidR="009A6388">
        <w:rPr>
          <w:noProof/>
        </w:rPr>
        <w:t>11</w:t>
      </w:r>
      <w:r>
        <w:rPr>
          <w:noProof/>
        </w:rPr>
        <w:t>]</w:t>
      </w:r>
      <w:r w:rsidR="009A6388">
        <w:rPr>
          <w:noProof/>
        </w:rPr>
        <w:t>.</w:t>
      </w:r>
      <w:r w:rsidR="009A6388">
        <w:rPr>
          <w:noProof/>
        </w:rPr>
        <w:tab/>
        <w:t>Pawlosky R, Hibbeln J, Lin Y, Salem N, Jr. n-3 fatty acid metabolism in women. Br</w:t>
      </w:r>
      <w:r>
        <w:rPr>
          <w:noProof/>
        </w:rPr>
        <w:t xml:space="preserve">. </w:t>
      </w:r>
      <w:r w:rsidR="009A6388">
        <w:rPr>
          <w:noProof/>
        </w:rPr>
        <w:t>J</w:t>
      </w:r>
      <w:r>
        <w:rPr>
          <w:noProof/>
        </w:rPr>
        <w:t xml:space="preserve">. </w:t>
      </w:r>
      <w:r w:rsidR="009A6388">
        <w:rPr>
          <w:noProof/>
        </w:rPr>
        <w:t>Nutr.</w:t>
      </w:r>
      <w:r>
        <w:rPr>
          <w:noProof/>
        </w:rPr>
        <w:t xml:space="preserve"> </w:t>
      </w:r>
      <w:r w:rsidR="009A6388">
        <w:rPr>
          <w:noProof/>
        </w:rPr>
        <w:t>90</w:t>
      </w:r>
      <w:r>
        <w:rPr>
          <w:noProof/>
        </w:rPr>
        <w:t xml:space="preserve"> </w:t>
      </w:r>
      <w:r w:rsidR="009A6388">
        <w:rPr>
          <w:noProof/>
        </w:rPr>
        <w:t>(</w:t>
      </w:r>
      <w:r>
        <w:rPr>
          <w:noProof/>
        </w:rPr>
        <w:t>2003</w:t>
      </w:r>
      <w:r w:rsidR="009A6388">
        <w:rPr>
          <w:noProof/>
        </w:rPr>
        <w:t>)</w:t>
      </w:r>
      <w:r>
        <w:rPr>
          <w:noProof/>
        </w:rPr>
        <w:t xml:space="preserve"> </w:t>
      </w:r>
      <w:r w:rsidR="009A6388">
        <w:rPr>
          <w:noProof/>
        </w:rPr>
        <w:t>993-</w:t>
      </w:r>
      <w:r>
        <w:rPr>
          <w:noProof/>
        </w:rPr>
        <w:t>99</w:t>
      </w:r>
      <w:r w:rsidR="009A6388">
        <w:rPr>
          <w:noProof/>
        </w:rPr>
        <w:t>4.</w:t>
      </w:r>
      <w:bookmarkEnd w:id="10"/>
    </w:p>
    <w:p w14:paraId="285F2DF5" w14:textId="2E2085FE" w:rsidR="009A6388" w:rsidRDefault="005036F3" w:rsidP="005036F3">
      <w:pPr>
        <w:spacing w:line="480" w:lineRule="auto"/>
        <w:ind w:left="720" w:hanging="720"/>
        <w:rPr>
          <w:noProof/>
        </w:rPr>
      </w:pPr>
      <w:bookmarkStart w:id="11" w:name="_ENREF_12"/>
      <w:r>
        <w:rPr>
          <w:noProof/>
        </w:rPr>
        <w:t>[</w:t>
      </w:r>
      <w:r w:rsidR="009A6388">
        <w:rPr>
          <w:noProof/>
        </w:rPr>
        <w:t>12</w:t>
      </w:r>
      <w:r>
        <w:rPr>
          <w:noProof/>
        </w:rPr>
        <w:t>]</w:t>
      </w:r>
      <w:r w:rsidR="009A6388">
        <w:rPr>
          <w:noProof/>
        </w:rPr>
        <w:tab/>
        <w:t>Burdge GC, Slater-Jefferies JL, Grant RA, Chung WS, West AL, Lillycrop KA,</w:t>
      </w:r>
      <w:r>
        <w:rPr>
          <w:noProof/>
        </w:rPr>
        <w:t xml:space="preserve"> </w:t>
      </w:r>
      <w:r>
        <w:rPr>
          <w:rFonts w:eastAsia="Times New Roman" w:cs="Times New Roman"/>
        </w:rPr>
        <w:t>Hanson MA, Calder PC.</w:t>
      </w:r>
      <w:r w:rsidR="009A6388">
        <w:rPr>
          <w:noProof/>
        </w:rPr>
        <w:t xml:space="preserve"> Sex, but not maternal protein or folic acid intake, determines the fatty acid composition of hepatic phospholipids, but not of triacylglycerol, in adult rats. Prostaglandins Leukot</w:t>
      </w:r>
      <w:r>
        <w:rPr>
          <w:noProof/>
        </w:rPr>
        <w:t xml:space="preserve">. </w:t>
      </w:r>
      <w:r w:rsidR="009A6388">
        <w:rPr>
          <w:noProof/>
        </w:rPr>
        <w:t>Essent</w:t>
      </w:r>
      <w:r>
        <w:rPr>
          <w:noProof/>
        </w:rPr>
        <w:t xml:space="preserve">. </w:t>
      </w:r>
      <w:r w:rsidR="009A6388">
        <w:rPr>
          <w:noProof/>
        </w:rPr>
        <w:t>Fatty Acids.</w:t>
      </w:r>
      <w:r>
        <w:rPr>
          <w:noProof/>
        </w:rPr>
        <w:t xml:space="preserve"> </w:t>
      </w:r>
      <w:r w:rsidR="009A6388" w:rsidRPr="005036F3">
        <w:rPr>
          <w:b/>
          <w:noProof/>
        </w:rPr>
        <w:t>78</w:t>
      </w:r>
      <w:r>
        <w:rPr>
          <w:noProof/>
        </w:rPr>
        <w:t xml:space="preserve"> </w:t>
      </w:r>
      <w:r w:rsidR="009A6388">
        <w:rPr>
          <w:noProof/>
        </w:rPr>
        <w:t>(</w:t>
      </w:r>
      <w:r>
        <w:rPr>
          <w:noProof/>
        </w:rPr>
        <w:t>2008</w:t>
      </w:r>
      <w:r w:rsidR="009A6388">
        <w:rPr>
          <w:noProof/>
        </w:rPr>
        <w:t>)</w:t>
      </w:r>
      <w:r>
        <w:rPr>
          <w:noProof/>
        </w:rPr>
        <w:t xml:space="preserve"> </w:t>
      </w:r>
      <w:r w:rsidR="009A6388">
        <w:rPr>
          <w:noProof/>
        </w:rPr>
        <w:t>73-</w:t>
      </w:r>
      <w:r>
        <w:rPr>
          <w:noProof/>
        </w:rPr>
        <w:t>7</w:t>
      </w:r>
      <w:r w:rsidR="009A6388">
        <w:rPr>
          <w:noProof/>
        </w:rPr>
        <w:t>9.</w:t>
      </w:r>
      <w:bookmarkEnd w:id="11"/>
    </w:p>
    <w:p w14:paraId="6672D95B" w14:textId="25672C9B" w:rsidR="009A6388" w:rsidRDefault="005036F3" w:rsidP="005036F3">
      <w:pPr>
        <w:spacing w:line="480" w:lineRule="auto"/>
        <w:ind w:left="720" w:hanging="720"/>
        <w:rPr>
          <w:noProof/>
        </w:rPr>
      </w:pPr>
      <w:bookmarkStart w:id="12" w:name="_ENREF_13"/>
      <w:r>
        <w:rPr>
          <w:noProof/>
        </w:rPr>
        <w:t>[</w:t>
      </w:r>
      <w:r w:rsidR="009A6388">
        <w:rPr>
          <w:noProof/>
        </w:rPr>
        <w:t>13</w:t>
      </w:r>
      <w:r>
        <w:rPr>
          <w:noProof/>
        </w:rPr>
        <w:t>]</w:t>
      </w:r>
      <w:r w:rsidR="009A6388">
        <w:rPr>
          <w:noProof/>
        </w:rPr>
        <w:tab/>
        <w:t>Giltay EJ, Gooren LJ, Toorians AW, Katan MB, Zock PL. Docosahexaenoic acid concentrations are higher in women than in men because of estrogenic effects. Am</w:t>
      </w:r>
      <w:r>
        <w:rPr>
          <w:noProof/>
        </w:rPr>
        <w:t xml:space="preserve">. </w:t>
      </w:r>
      <w:r w:rsidR="009A6388">
        <w:rPr>
          <w:noProof/>
        </w:rPr>
        <w:t>J</w:t>
      </w:r>
      <w:r>
        <w:rPr>
          <w:noProof/>
        </w:rPr>
        <w:t xml:space="preserve">. </w:t>
      </w:r>
      <w:r w:rsidR="009A6388">
        <w:rPr>
          <w:noProof/>
        </w:rPr>
        <w:t>Clin</w:t>
      </w:r>
      <w:r>
        <w:rPr>
          <w:noProof/>
        </w:rPr>
        <w:t xml:space="preserve">. </w:t>
      </w:r>
      <w:r w:rsidR="009A6388">
        <w:rPr>
          <w:noProof/>
        </w:rPr>
        <w:t>Nutr.</w:t>
      </w:r>
      <w:r>
        <w:rPr>
          <w:noProof/>
        </w:rPr>
        <w:t xml:space="preserve"> </w:t>
      </w:r>
      <w:r w:rsidR="009A6388" w:rsidRPr="005036F3">
        <w:rPr>
          <w:b/>
          <w:noProof/>
        </w:rPr>
        <w:t>80</w:t>
      </w:r>
      <w:r>
        <w:rPr>
          <w:noProof/>
        </w:rPr>
        <w:t xml:space="preserve"> </w:t>
      </w:r>
      <w:r w:rsidR="009A6388">
        <w:rPr>
          <w:noProof/>
        </w:rPr>
        <w:t>(</w:t>
      </w:r>
      <w:r>
        <w:rPr>
          <w:noProof/>
        </w:rPr>
        <w:t>2004</w:t>
      </w:r>
      <w:r w:rsidR="009A6388">
        <w:rPr>
          <w:noProof/>
        </w:rPr>
        <w:t>)</w:t>
      </w:r>
      <w:r>
        <w:rPr>
          <w:noProof/>
        </w:rPr>
        <w:t xml:space="preserve"> </w:t>
      </w:r>
      <w:r w:rsidR="009A6388">
        <w:rPr>
          <w:noProof/>
        </w:rPr>
        <w:t>1167-</w:t>
      </w:r>
      <w:r>
        <w:rPr>
          <w:noProof/>
        </w:rPr>
        <w:t>11</w:t>
      </w:r>
      <w:r w:rsidR="009A6388">
        <w:rPr>
          <w:noProof/>
        </w:rPr>
        <w:t>74.</w:t>
      </w:r>
      <w:bookmarkEnd w:id="12"/>
    </w:p>
    <w:p w14:paraId="5F097197" w14:textId="333D72EB" w:rsidR="009A6388" w:rsidRDefault="005036F3" w:rsidP="005036F3">
      <w:pPr>
        <w:spacing w:line="480" w:lineRule="auto"/>
        <w:ind w:left="720" w:hanging="720"/>
        <w:rPr>
          <w:noProof/>
        </w:rPr>
      </w:pPr>
      <w:bookmarkStart w:id="13" w:name="_ENREF_14"/>
      <w:r>
        <w:rPr>
          <w:noProof/>
        </w:rPr>
        <w:t>[</w:t>
      </w:r>
      <w:r w:rsidR="009A6388">
        <w:rPr>
          <w:noProof/>
        </w:rPr>
        <w:t>14</w:t>
      </w:r>
      <w:r>
        <w:rPr>
          <w:noProof/>
        </w:rPr>
        <w:t>]</w:t>
      </w:r>
      <w:r w:rsidR="009A6388">
        <w:rPr>
          <w:noProof/>
        </w:rPr>
        <w:tab/>
        <w:t>Giltay EJ, Duschek EJ, Katan MB, Zock PL, Neele SJ, Netelenbos JC. Raloxifene and hormone replacement therapy increase arachidonic acid and docosahexaenoic acid levels in postmenopausal women. J</w:t>
      </w:r>
      <w:r>
        <w:rPr>
          <w:noProof/>
        </w:rPr>
        <w:t xml:space="preserve">. </w:t>
      </w:r>
      <w:r w:rsidR="009A6388">
        <w:rPr>
          <w:noProof/>
        </w:rPr>
        <w:t>Endocrinol.</w:t>
      </w:r>
      <w:r>
        <w:rPr>
          <w:noProof/>
        </w:rPr>
        <w:t xml:space="preserve"> </w:t>
      </w:r>
      <w:r w:rsidR="009A6388" w:rsidRPr="005036F3">
        <w:rPr>
          <w:b/>
          <w:noProof/>
        </w:rPr>
        <w:t>182</w:t>
      </w:r>
      <w:r>
        <w:rPr>
          <w:noProof/>
        </w:rPr>
        <w:t xml:space="preserve"> </w:t>
      </w:r>
      <w:r w:rsidR="009A6388">
        <w:rPr>
          <w:noProof/>
        </w:rPr>
        <w:t>(</w:t>
      </w:r>
      <w:r>
        <w:rPr>
          <w:noProof/>
        </w:rPr>
        <w:t>2004</w:t>
      </w:r>
      <w:r w:rsidR="009A6388">
        <w:rPr>
          <w:noProof/>
        </w:rPr>
        <w:t>)</w:t>
      </w:r>
      <w:r>
        <w:rPr>
          <w:noProof/>
        </w:rPr>
        <w:t xml:space="preserve"> </w:t>
      </w:r>
      <w:r w:rsidR="009A6388">
        <w:rPr>
          <w:noProof/>
        </w:rPr>
        <w:t>399-408.</w:t>
      </w:r>
      <w:bookmarkEnd w:id="13"/>
    </w:p>
    <w:p w14:paraId="08579F87" w14:textId="7FD5C3F2" w:rsidR="009A6388" w:rsidRDefault="005036F3" w:rsidP="00EB3007">
      <w:pPr>
        <w:spacing w:line="480" w:lineRule="auto"/>
        <w:ind w:left="720" w:hanging="720"/>
        <w:rPr>
          <w:noProof/>
        </w:rPr>
      </w:pPr>
      <w:bookmarkStart w:id="14" w:name="_ENREF_15"/>
      <w:r>
        <w:rPr>
          <w:noProof/>
        </w:rPr>
        <w:t>[</w:t>
      </w:r>
      <w:r w:rsidR="009A6388">
        <w:rPr>
          <w:noProof/>
        </w:rPr>
        <w:t>15</w:t>
      </w:r>
      <w:r>
        <w:rPr>
          <w:noProof/>
        </w:rPr>
        <w:t>]</w:t>
      </w:r>
      <w:r w:rsidR="009A6388">
        <w:rPr>
          <w:noProof/>
        </w:rPr>
        <w:t>.</w:t>
      </w:r>
      <w:r w:rsidR="009A6388">
        <w:rPr>
          <w:noProof/>
        </w:rPr>
        <w:tab/>
        <w:t xml:space="preserve">Coldham NG, Dave M, Sivapathasundaram S, McDonnell DP, Connor C, Sauer MJ. Evaluation of a recombinant yeast cell estrogen screening assay. </w:t>
      </w:r>
      <w:r w:rsidR="00EB3007">
        <w:rPr>
          <w:rStyle w:val="jrnl"/>
          <w:rFonts w:eastAsia="Times New Roman"/>
        </w:rPr>
        <w:t>Environ. Health Perspect</w:t>
      </w:r>
      <w:r w:rsidR="00EB3007">
        <w:rPr>
          <w:rFonts w:eastAsia="Times New Roman" w:cs="Times New Roman"/>
        </w:rPr>
        <w:t>.</w:t>
      </w:r>
      <w:r w:rsidR="009A6388">
        <w:rPr>
          <w:noProof/>
        </w:rPr>
        <w:t xml:space="preserve"> </w:t>
      </w:r>
      <w:r w:rsidR="009A6388" w:rsidRPr="00EB3007">
        <w:rPr>
          <w:b/>
          <w:noProof/>
        </w:rPr>
        <w:t>105</w:t>
      </w:r>
      <w:r>
        <w:rPr>
          <w:noProof/>
        </w:rPr>
        <w:t xml:space="preserve"> </w:t>
      </w:r>
      <w:r w:rsidR="009A6388">
        <w:rPr>
          <w:noProof/>
        </w:rPr>
        <w:t>(</w:t>
      </w:r>
      <w:r>
        <w:rPr>
          <w:noProof/>
        </w:rPr>
        <w:t>1997</w:t>
      </w:r>
      <w:r w:rsidR="009A6388">
        <w:rPr>
          <w:noProof/>
        </w:rPr>
        <w:t>)</w:t>
      </w:r>
      <w:r>
        <w:rPr>
          <w:noProof/>
        </w:rPr>
        <w:t xml:space="preserve"> </w:t>
      </w:r>
      <w:r w:rsidR="009A6388">
        <w:rPr>
          <w:noProof/>
        </w:rPr>
        <w:t xml:space="preserve">734-42. </w:t>
      </w:r>
      <w:bookmarkEnd w:id="14"/>
    </w:p>
    <w:p w14:paraId="4402EA6B" w14:textId="7A09AD0F" w:rsidR="0080166E" w:rsidRDefault="0080166E" w:rsidP="00EB3007">
      <w:pPr>
        <w:pStyle w:val="Heading1"/>
        <w:spacing w:before="0" w:beforeAutospacing="0" w:after="0" w:afterAutospacing="0" w:line="480" w:lineRule="auto"/>
        <w:ind w:left="720" w:hanging="720"/>
        <w:rPr>
          <w:noProof/>
        </w:rPr>
      </w:pPr>
      <w:r w:rsidRPr="0080166E">
        <w:rPr>
          <w:rFonts w:ascii="Arial" w:hAnsi="Arial"/>
          <w:b w:val="0"/>
          <w:noProof/>
          <w:sz w:val="24"/>
          <w:szCs w:val="24"/>
        </w:rPr>
        <w:t>[16]</w:t>
      </w:r>
      <w:r w:rsidRPr="0080166E">
        <w:rPr>
          <w:rFonts w:ascii="Arial" w:hAnsi="Arial"/>
          <w:b w:val="0"/>
          <w:noProof/>
          <w:sz w:val="24"/>
          <w:szCs w:val="24"/>
        </w:rPr>
        <w:tab/>
      </w:r>
      <w:r w:rsidRPr="0080166E">
        <w:rPr>
          <w:rFonts w:ascii="Arial" w:eastAsia="Times New Roman" w:hAnsi="Arial"/>
          <w:b w:val="0"/>
          <w:bCs w:val="0"/>
          <w:sz w:val="24"/>
          <w:szCs w:val="24"/>
        </w:rPr>
        <w:t>Hoile</w:t>
      </w:r>
      <w:r w:rsidRPr="0080166E">
        <w:rPr>
          <w:rFonts w:ascii="Arial" w:eastAsia="Times New Roman" w:hAnsi="Arial"/>
          <w:b w:val="0"/>
          <w:sz w:val="24"/>
          <w:szCs w:val="24"/>
        </w:rPr>
        <w:t xml:space="preserve"> SP, Irvine NA, Kelsall CJ, Sibbons C, Feunteun A, Collister A, Torrens C, Calder PC, Hanson MA, Lillycrop KA, </w:t>
      </w:r>
      <w:r w:rsidRPr="0080166E">
        <w:rPr>
          <w:rFonts w:ascii="Arial" w:eastAsia="Times New Roman" w:hAnsi="Arial"/>
          <w:b w:val="0"/>
          <w:bCs w:val="0"/>
          <w:sz w:val="24"/>
          <w:szCs w:val="24"/>
        </w:rPr>
        <w:t>Burdge</w:t>
      </w:r>
      <w:r w:rsidRPr="0080166E">
        <w:rPr>
          <w:rFonts w:ascii="Arial" w:eastAsia="Times New Roman" w:hAnsi="Arial"/>
          <w:b w:val="0"/>
          <w:sz w:val="24"/>
          <w:szCs w:val="24"/>
        </w:rPr>
        <w:t xml:space="preserve"> GC. Maternal fat intake in rats alters 20:4n-6 and 22:6n-3 status and the epigenetic regulation of Fads2 in offspring liver</w:t>
      </w:r>
      <w:r w:rsidRPr="00EB3007">
        <w:rPr>
          <w:rFonts w:ascii="Arial" w:eastAsia="Times New Roman" w:hAnsi="Arial"/>
          <w:b w:val="0"/>
          <w:sz w:val="24"/>
          <w:szCs w:val="24"/>
        </w:rPr>
        <w:t>.</w:t>
      </w:r>
      <w:r w:rsidR="00EB3007" w:rsidRPr="00EB3007">
        <w:rPr>
          <w:rFonts w:ascii="Arial" w:eastAsia="Times New Roman" w:hAnsi="Arial"/>
          <w:b w:val="0"/>
          <w:sz w:val="24"/>
          <w:szCs w:val="24"/>
        </w:rPr>
        <w:t xml:space="preserve">  </w:t>
      </w:r>
      <w:r w:rsidRPr="00EB3007">
        <w:rPr>
          <w:rStyle w:val="jrnl"/>
          <w:rFonts w:ascii="Arial" w:eastAsia="Times New Roman" w:hAnsi="Arial"/>
          <w:b w:val="0"/>
          <w:sz w:val="24"/>
          <w:szCs w:val="24"/>
        </w:rPr>
        <w:t>J</w:t>
      </w:r>
      <w:r w:rsidR="00EB3007" w:rsidRPr="00EB3007">
        <w:rPr>
          <w:rStyle w:val="jrnl"/>
          <w:rFonts w:ascii="Arial" w:eastAsia="Times New Roman" w:hAnsi="Arial"/>
          <w:b w:val="0"/>
          <w:sz w:val="24"/>
          <w:szCs w:val="24"/>
        </w:rPr>
        <w:t>.</w:t>
      </w:r>
      <w:r w:rsidRPr="00EB3007">
        <w:rPr>
          <w:rStyle w:val="jrnl"/>
          <w:rFonts w:ascii="Arial" w:eastAsia="Times New Roman" w:hAnsi="Arial"/>
          <w:b w:val="0"/>
          <w:sz w:val="24"/>
          <w:szCs w:val="24"/>
        </w:rPr>
        <w:t xml:space="preserve"> Nutr</w:t>
      </w:r>
      <w:r w:rsidR="00EB3007" w:rsidRPr="00EB3007">
        <w:rPr>
          <w:rStyle w:val="jrnl"/>
          <w:rFonts w:ascii="Arial" w:eastAsia="Times New Roman" w:hAnsi="Arial"/>
          <w:b w:val="0"/>
          <w:sz w:val="24"/>
          <w:szCs w:val="24"/>
        </w:rPr>
        <w:t>.</w:t>
      </w:r>
      <w:r w:rsidRPr="00EB3007">
        <w:rPr>
          <w:rStyle w:val="jrnl"/>
          <w:rFonts w:ascii="Arial" w:eastAsia="Times New Roman" w:hAnsi="Arial"/>
          <w:b w:val="0"/>
          <w:sz w:val="24"/>
          <w:szCs w:val="24"/>
        </w:rPr>
        <w:t xml:space="preserve"> Biochem</w:t>
      </w:r>
      <w:r w:rsidRPr="00EB3007">
        <w:rPr>
          <w:rFonts w:ascii="Arial" w:eastAsia="Times New Roman" w:hAnsi="Arial"/>
          <w:b w:val="0"/>
          <w:sz w:val="24"/>
          <w:szCs w:val="24"/>
        </w:rPr>
        <w:t xml:space="preserve">. </w:t>
      </w:r>
      <w:r w:rsidRPr="00EB3007">
        <w:rPr>
          <w:rFonts w:ascii="Arial" w:eastAsia="Times New Roman" w:hAnsi="Arial"/>
          <w:sz w:val="24"/>
          <w:szCs w:val="24"/>
        </w:rPr>
        <w:t>24</w:t>
      </w:r>
      <w:r w:rsidR="00EB3007" w:rsidRPr="00EB3007">
        <w:rPr>
          <w:rFonts w:ascii="Arial" w:eastAsia="Times New Roman" w:hAnsi="Arial"/>
          <w:b w:val="0"/>
          <w:sz w:val="24"/>
          <w:szCs w:val="24"/>
        </w:rPr>
        <w:t xml:space="preserve"> </w:t>
      </w:r>
      <w:r w:rsidRPr="00EB3007">
        <w:rPr>
          <w:rFonts w:ascii="Arial" w:eastAsia="Times New Roman" w:hAnsi="Arial"/>
          <w:b w:val="0"/>
          <w:sz w:val="24"/>
          <w:szCs w:val="24"/>
        </w:rPr>
        <w:t>(</w:t>
      </w:r>
      <w:r w:rsidR="00EB3007" w:rsidRPr="00EB3007">
        <w:rPr>
          <w:rFonts w:ascii="Arial" w:eastAsia="Times New Roman" w:hAnsi="Arial"/>
          <w:b w:val="0"/>
          <w:sz w:val="24"/>
          <w:szCs w:val="24"/>
        </w:rPr>
        <w:t>2013</w:t>
      </w:r>
      <w:r w:rsidRPr="00EB3007">
        <w:rPr>
          <w:rFonts w:ascii="Arial" w:eastAsia="Times New Roman" w:hAnsi="Arial"/>
          <w:b w:val="0"/>
          <w:sz w:val="24"/>
          <w:szCs w:val="24"/>
        </w:rPr>
        <w:t>)</w:t>
      </w:r>
      <w:r w:rsidR="00EB3007" w:rsidRPr="00EB3007">
        <w:rPr>
          <w:rFonts w:ascii="Arial" w:eastAsia="Times New Roman" w:hAnsi="Arial"/>
          <w:b w:val="0"/>
          <w:sz w:val="24"/>
          <w:szCs w:val="24"/>
        </w:rPr>
        <w:t xml:space="preserve"> </w:t>
      </w:r>
      <w:r w:rsidRPr="00EB3007">
        <w:rPr>
          <w:rFonts w:ascii="Arial" w:eastAsia="Times New Roman" w:hAnsi="Arial"/>
          <w:b w:val="0"/>
          <w:sz w:val="24"/>
          <w:szCs w:val="24"/>
        </w:rPr>
        <w:t>1213-</w:t>
      </w:r>
      <w:r w:rsidR="00EB3007" w:rsidRPr="00EB3007">
        <w:rPr>
          <w:rFonts w:ascii="Arial" w:eastAsia="Times New Roman" w:hAnsi="Arial"/>
          <w:b w:val="0"/>
          <w:sz w:val="24"/>
          <w:szCs w:val="24"/>
        </w:rPr>
        <w:t>12</w:t>
      </w:r>
      <w:r w:rsidRPr="00EB3007">
        <w:rPr>
          <w:rFonts w:ascii="Arial" w:eastAsia="Times New Roman" w:hAnsi="Arial"/>
          <w:b w:val="0"/>
          <w:sz w:val="24"/>
          <w:szCs w:val="24"/>
        </w:rPr>
        <w:t>20</w:t>
      </w:r>
    </w:p>
    <w:p w14:paraId="248FA036" w14:textId="252D4942" w:rsidR="009A6388" w:rsidRDefault="00EB3007" w:rsidP="00176C86">
      <w:pPr>
        <w:spacing w:line="480" w:lineRule="auto"/>
        <w:ind w:left="720" w:hanging="720"/>
        <w:rPr>
          <w:noProof/>
        </w:rPr>
      </w:pPr>
      <w:bookmarkStart w:id="15" w:name="_ENREF_16"/>
      <w:r>
        <w:rPr>
          <w:noProof/>
        </w:rPr>
        <w:t>[</w:t>
      </w:r>
      <w:r w:rsidR="009A6388">
        <w:rPr>
          <w:noProof/>
        </w:rPr>
        <w:t>1</w:t>
      </w:r>
      <w:r>
        <w:rPr>
          <w:noProof/>
        </w:rPr>
        <w:t>7]</w:t>
      </w:r>
      <w:r w:rsidR="009A6388">
        <w:rPr>
          <w:noProof/>
        </w:rPr>
        <w:tab/>
        <w:t>Folch J, Lees M, Sloane-Stanley GH. A simple method for the isolation and purification of total lipides from animal tissues. J</w:t>
      </w:r>
      <w:r>
        <w:rPr>
          <w:noProof/>
        </w:rPr>
        <w:t>.</w:t>
      </w:r>
      <w:r w:rsidR="009A6388">
        <w:rPr>
          <w:noProof/>
        </w:rPr>
        <w:t xml:space="preserve"> Biol</w:t>
      </w:r>
      <w:r>
        <w:rPr>
          <w:noProof/>
        </w:rPr>
        <w:t>.</w:t>
      </w:r>
      <w:r w:rsidR="009A6388">
        <w:rPr>
          <w:noProof/>
        </w:rPr>
        <w:t xml:space="preserve"> Chem.</w:t>
      </w:r>
      <w:r>
        <w:rPr>
          <w:noProof/>
        </w:rPr>
        <w:t xml:space="preserve"> </w:t>
      </w:r>
      <w:r w:rsidR="009A6388" w:rsidRPr="00176C86">
        <w:rPr>
          <w:b/>
          <w:noProof/>
        </w:rPr>
        <w:t>226</w:t>
      </w:r>
      <w:r>
        <w:rPr>
          <w:noProof/>
        </w:rPr>
        <w:t xml:space="preserve"> </w:t>
      </w:r>
      <w:r w:rsidR="009A6388">
        <w:rPr>
          <w:noProof/>
        </w:rPr>
        <w:t>(</w:t>
      </w:r>
      <w:r>
        <w:rPr>
          <w:noProof/>
        </w:rPr>
        <w:t>1957</w:t>
      </w:r>
      <w:r w:rsidR="009A6388">
        <w:rPr>
          <w:noProof/>
        </w:rPr>
        <w:t>)</w:t>
      </w:r>
      <w:r>
        <w:rPr>
          <w:noProof/>
        </w:rPr>
        <w:t xml:space="preserve"> </w:t>
      </w:r>
      <w:r w:rsidR="009A6388">
        <w:rPr>
          <w:noProof/>
        </w:rPr>
        <w:t>497-509.</w:t>
      </w:r>
      <w:bookmarkEnd w:id="15"/>
    </w:p>
    <w:p w14:paraId="35020ADD" w14:textId="07EFBEA7" w:rsidR="009A6388" w:rsidRPr="004A6E7E" w:rsidRDefault="00176C86" w:rsidP="00176C86">
      <w:pPr>
        <w:spacing w:line="480" w:lineRule="auto"/>
        <w:ind w:left="720" w:hanging="720"/>
        <w:rPr>
          <w:noProof/>
          <w:lang w:val="fr-FR"/>
        </w:rPr>
      </w:pPr>
      <w:bookmarkStart w:id="16" w:name="_ENREF_17"/>
      <w:r>
        <w:rPr>
          <w:noProof/>
        </w:rPr>
        <w:t>[</w:t>
      </w:r>
      <w:r w:rsidR="009A6388">
        <w:rPr>
          <w:noProof/>
        </w:rPr>
        <w:t>1</w:t>
      </w:r>
      <w:r>
        <w:rPr>
          <w:noProof/>
        </w:rPr>
        <w:t>8]</w:t>
      </w:r>
      <w:r w:rsidR="009A6388">
        <w:rPr>
          <w:noProof/>
        </w:rPr>
        <w:tab/>
        <w:t xml:space="preserve">Burdge GC, Wright P, Jones AE, Wootton SA. A method for separation of phosphatidylcholine, triacylglycerol, non-esterified fatty acids and cholesterol esters from plasma by solid-phase extraction. </w:t>
      </w:r>
      <w:r w:rsidR="009A6388" w:rsidRPr="004A6E7E">
        <w:rPr>
          <w:noProof/>
          <w:lang w:val="fr-FR"/>
        </w:rPr>
        <w:t>Br</w:t>
      </w:r>
      <w:r>
        <w:rPr>
          <w:noProof/>
          <w:lang w:val="fr-FR"/>
        </w:rPr>
        <w:t xml:space="preserve">. </w:t>
      </w:r>
      <w:r w:rsidR="009A6388" w:rsidRPr="004A6E7E">
        <w:rPr>
          <w:noProof/>
          <w:lang w:val="fr-FR"/>
        </w:rPr>
        <w:t>J</w:t>
      </w:r>
      <w:r>
        <w:rPr>
          <w:noProof/>
          <w:lang w:val="fr-FR"/>
        </w:rPr>
        <w:t>.</w:t>
      </w:r>
      <w:r w:rsidR="009A6388" w:rsidRPr="004A6E7E">
        <w:rPr>
          <w:noProof/>
          <w:lang w:val="fr-FR"/>
        </w:rPr>
        <w:t xml:space="preserve"> Nutr.</w:t>
      </w:r>
      <w:r>
        <w:rPr>
          <w:noProof/>
          <w:lang w:val="fr-FR"/>
        </w:rPr>
        <w:t xml:space="preserve"> </w:t>
      </w:r>
      <w:r w:rsidR="009A6388" w:rsidRPr="00176C86">
        <w:rPr>
          <w:b/>
          <w:noProof/>
          <w:lang w:val="fr-FR"/>
        </w:rPr>
        <w:t>84</w:t>
      </w:r>
      <w:r>
        <w:rPr>
          <w:noProof/>
          <w:lang w:val="fr-FR"/>
        </w:rPr>
        <w:t xml:space="preserve"> </w:t>
      </w:r>
      <w:r w:rsidR="009A6388" w:rsidRPr="004A6E7E">
        <w:rPr>
          <w:noProof/>
          <w:lang w:val="fr-FR"/>
        </w:rPr>
        <w:t>(</w:t>
      </w:r>
      <w:r w:rsidRPr="004A6E7E">
        <w:rPr>
          <w:noProof/>
          <w:lang w:val="fr-FR"/>
        </w:rPr>
        <w:t>2000</w:t>
      </w:r>
      <w:r w:rsidR="009A6388" w:rsidRPr="004A6E7E">
        <w:rPr>
          <w:noProof/>
          <w:lang w:val="fr-FR"/>
        </w:rPr>
        <w:t>)</w:t>
      </w:r>
      <w:r>
        <w:rPr>
          <w:noProof/>
          <w:lang w:val="fr-FR"/>
        </w:rPr>
        <w:t xml:space="preserve"> </w:t>
      </w:r>
      <w:r w:rsidR="009A6388" w:rsidRPr="004A6E7E">
        <w:rPr>
          <w:noProof/>
          <w:lang w:val="fr-FR"/>
        </w:rPr>
        <w:t>781-</w:t>
      </w:r>
      <w:r>
        <w:rPr>
          <w:noProof/>
          <w:lang w:val="fr-FR"/>
        </w:rPr>
        <w:t>78</w:t>
      </w:r>
      <w:r w:rsidR="009A6388" w:rsidRPr="004A6E7E">
        <w:rPr>
          <w:noProof/>
          <w:lang w:val="fr-FR"/>
        </w:rPr>
        <w:t>7.</w:t>
      </w:r>
      <w:bookmarkEnd w:id="16"/>
    </w:p>
    <w:p w14:paraId="626E3C5B" w14:textId="0640FAC2" w:rsidR="009A6388" w:rsidRDefault="00176C86" w:rsidP="00176C86">
      <w:pPr>
        <w:spacing w:line="480" w:lineRule="auto"/>
        <w:ind w:left="720" w:hanging="720"/>
        <w:rPr>
          <w:noProof/>
        </w:rPr>
      </w:pPr>
      <w:bookmarkStart w:id="17" w:name="_ENREF_19"/>
      <w:r>
        <w:rPr>
          <w:noProof/>
          <w:lang w:val="fr-FR"/>
        </w:rPr>
        <w:t>[</w:t>
      </w:r>
      <w:r w:rsidR="009A6388">
        <w:rPr>
          <w:noProof/>
        </w:rPr>
        <w:t>19</w:t>
      </w:r>
      <w:r>
        <w:rPr>
          <w:noProof/>
        </w:rPr>
        <w:t>]</w:t>
      </w:r>
      <w:r w:rsidR="009A6388">
        <w:rPr>
          <w:noProof/>
        </w:rPr>
        <w:t>.</w:t>
      </w:r>
      <w:r w:rsidR="009A6388">
        <w:rPr>
          <w:noProof/>
        </w:rPr>
        <w:tab/>
        <w:t xml:space="preserve">Van Pelt CK, Brenna JT. Acetonitrile chemical ionization tandem mass spectrometry to locate double bonds in polyunsaturated fatty acid methyl esters. Analyt </w:t>
      </w:r>
      <w:r>
        <w:rPr>
          <w:noProof/>
        </w:rPr>
        <w:t>C</w:t>
      </w:r>
      <w:r w:rsidR="009A6388">
        <w:rPr>
          <w:noProof/>
        </w:rPr>
        <w:t>hem.</w:t>
      </w:r>
      <w:r>
        <w:rPr>
          <w:noProof/>
        </w:rPr>
        <w:t xml:space="preserve"> </w:t>
      </w:r>
      <w:r w:rsidR="009A6388" w:rsidRPr="00176C86">
        <w:rPr>
          <w:b/>
          <w:noProof/>
        </w:rPr>
        <w:t>71</w:t>
      </w:r>
      <w:r>
        <w:rPr>
          <w:b/>
          <w:noProof/>
        </w:rPr>
        <w:t xml:space="preserve"> </w:t>
      </w:r>
      <w:r w:rsidR="009A6388">
        <w:rPr>
          <w:noProof/>
        </w:rPr>
        <w:t>(</w:t>
      </w:r>
      <w:r>
        <w:rPr>
          <w:noProof/>
        </w:rPr>
        <w:t>1999</w:t>
      </w:r>
      <w:r w:rsidR="009A6388">
        <w:rPr>
          <w:noProof/>
        </w:rPr>
        <w:t>)</w:t>
      </w:r>
      <w:r>
        <w:rPr>
          <w:noProof/>
        </w:rPr>
        <w:t xml:space="preserve"> </w:t>
      </w:r>
      <w:r w:rsidR="009A6388">
        <w:rPr>
          <w:noProof/>
        </w:rPr>
        <w:t>1981-</w:t>
      </w:r>
      <w:r>
        <w:rPr>
          <w:noProof/>
        </w:rPr>
        <w:t>198</w:t>
      </w:r>
      <w:r w:rsidR="009A6388">
        <w:rPr>
          <w:noProof/>
        </w:rPr>
        <w:t>9.</w:t>
      </w:r>
      <w:bookmarkEnd w:id="17"/>
    </w:p>
    <w:p w14:paraId="3A0E690B" w14:textId="16FAC73E" w:rsidR="009A6388" w:rsidRDefault="00176C86" w:rsidP="00176C86">
      <w:pPr>
        <w:spacing w:line="480" w:lineRule="auto"/>
        <w:ind w:left="720" w:hanging="720"/>
        <w:rPr>
          <w:noProof/>
        </w:rPr>
      </w:pPr>
      <w:bookmarkStart w:id="18" w:name="_ENREF_20"/>
      <w:r>
        <w:rPr>
          <w:noProof/>
        </w:rPr>
        <w:t>[</w:t>
      </w:r>
      <w:r w:rsidR="009A6388">
        <w:rPr>
          <w:noProof/>
        </w:rPr>
        <w:t>20</w:t>
      </w:r>
      <w:r>
        <w:rPr>
          <w:noProof/>
        </w:rPr>
        <w:t>]</w:t>
      </w:r>
      <w:r w:rsidR="009A6388">
        <w:rPr>
          <w:noProof/>
        </w:rPr>
        <w:tab/>
        <w:t>Devlin AM, Singh R, Wade RE, Innis SM, Bottiglieri T, Lentz SR. Hypermethylation of Fads2 and altered hepatic fatty acid and phospholipid metabolism in mice with hyperhomocysteinemia. J</w:t>
      </w:r>
      <w:r>
        <w:rPr>
          <w:noProof/>
        </w:rPr>
        <w:t>.</w:t>
      </w:r>
      <w:r w:rsidR="009A6388">
        <w:rPr>
          <w:noProof/>
        </w:rPr>
        <w:t xml:space="preserve"> Biol</w:t>
      </w:r>
      <w:r>
        <w:rPr>
          <w:noProof/>
        </w:rPr>
        <w:t>.</w:t>
      </w:r>
      <w:r w:rsidR="009A6388">
        <w:rPr>
          <w:noProof/>
        </w:rPr>
        <w:t xml:space="preserve"> Chem.</w:t>
      </w:r>
      <w:r>
        <w:rPr>
          <w:noProof/>
        </w:rPr>
        <w:t xml:space="preserve"> </w:t>
      </w:r>
      <w:r w:rsidR="009A6388" w:rsidRPr="00176C86">
        <w:rPr>
          <w:b/>
          <w:noProof/>
        </w:rPr>
        <w:t>282</w:t>
      </w:r>
      <w:r>
        <w:rPr>
          <w:noProof/>
        </w:rPr>
        <w:t xml:space="preserve"> </w:t>
      </w:r>
      <w:r w:rsidR="009A6388">
        <w:rPr>
          <w:noProof/>
        </w:rPr>
        <w:t>(</w:t>
      </w:r>
      <w:r>
        <w:rPr>
          <w:noProof/>
        </w:rPr>
        <w:t>2007</w:t>
      </w:r>
      <w:r w:rsidR="009A6388">
        <w:rPr>
          <w:noProof/>
        </w:rPr>
        <w:t>)</w:t>
      </w:r>
      <w:r>
        <w:rPr>
          <w:noProof/>
        </w:rPr>
        <w:t xml:space="preserve"> </w:t>
      </w:r>
      <w:r w:rsidR="009A6388">
        <w:rPr>
          <w:noProof/>
        </w:rPr>
        <w:t>37082-</w:t>
      </w:r>
      <w:r>
        <w:rPr>
          <w:noProof/>
        </w:rPr>
        <w:t>370</w:t>
      </w:r>
      <w:r w:rsidR="009A6388">
        <w:rPr>
          <w:noProof/>
        </w:rPr>
        <w:t>90.</w:t>
      </w:r>
      <w:bookmarkEnd w:id="18"/>
    </w:p>
    <w:p w14:paraId="55E099BF" w14:textId="0E2D9498" w:rsidR="009A6388" w:rsidRDefault="00176C86" w:rsidP="00176C86">
      <w:pPr>
        <w:spacing w:line="480" w:lineRule="auto"/>
        <w:ind w:left="720" w:hanging="720"/>
        <w:rPr>
          <w:noProof/>
        </w:rPr>
      </w:pPr>
      <w:bookmarkStart w:id="19" w:name="_ENREF_21"/>
      <w:r>
        <w:rPr>
          <w:noProof/>
        </w:rPr>
        <w:t>[</w:t>
      </w:r>
      <w:r w:rsidR="009A6388">
        <w:rPr>
          <w:noProof/>
        </w:rPr>
        <w:t>21</w:t>
      </w:r>
      <w:r>
        <w:rPr>
          <w:noProof/>
        </w:rPr>
        <w:t>]</w:t>
      </w:r>
      <w:r w:rsidR="009A6388">
        <w:rPr>
          <w:noProof/>
        </w:rPr>
        <w:tab/>
        <w:t>Kelsall CJ, Hoile SP, Irvine NA, Masoodi M, Torrens C, Lillycrop KA, et al. Vascular dysfunction induced in offspring by maternal dietary fat involves altered arterial polyunsaturated Fatty Acid biosynthesis. PLoS One.</w:t>
      </w:r>
      <w:r>
        <w:rPr>
          <w:noProof/>
        </w:rPr>
        <w:t xml:space="preserve"> </w:t>
      </w:r>
      <w:r w:rsidR="009A6388">
        <w:rPr>
          <w:noProof/>
        </w:rPr>
        <w:t>7</w:t>
      </w:r>
      <w:r>
        <w:rPr>
          <w:noProof/>
        </w:rPr>
        <w:t xml:space="preserve"> </w:t>
      </w:r>
      <w:r w:rsidR="009A6388">
        <w:rPr>
          <w:noProof/>
        </w:rPr>
        <w:t>(</w:t>
      </w:r>
      <w:r>
        <w:rPr>
          <w:noProof/>
        </w:rPr>
        <w:t>2012</w:t>
      </w:r>
      <w:r w:rsidR="009A6388">
        <w:rPr>
          <w:noProof/>
        </w:rPr>
        <w:t>)</w:t>
      </w:r>
      <w:r>
        <w:rPr>
          <w:noProof/>
        </w:rPr>
        <w:t xml:space="preserve"> </w:t>
      </w:r>
      <w:r w:rsidR="009A6388">
        <w:rPr>
          <w:noProof/>
        </w:rPr>
        <w:t>e34492.</w:t>
      </w:r>
      <w:bookmarkEnd w:id="19"/>
    </w:p>
    <w:p w14:paraId="24770A8E" w14:textId="40040C8A" w:rsidR="009A6388" w:rsidRDefault="00176C86" w:rsidP="00176C86">
      <w:pPr>
        <w:spacing w:line="480" w:lineRule="auto"/>
        <w:ind w:left="720" w:hanging="720"/>
        <w:rPr>
          <w:noProof/>
        </w:rPr>
      </w:pPr>
      <w:bookmarkStart w:id="20" w:name="_ENREF_22"/>
      <w:r>
        <w:rPr>
          <w:noProof/>
          <w:lang w:val="fr-FR"/>
        </w:rPr>
        <w:t>[</w:t>
      </w:r>
      <w:r w:rsidR="009A6388" w:rsidRPr="002D7E3A">
        <w:rPr>
          <w:noProof/>
          <w:lang w:val="fr-FR"/>
        </w:rPr>
        <w:t>22</w:t>
      </w:r>
      <w:r>
        <w:rPr>
          <w:noProof/>
          <w:lang w:val="fr-FR"/>
        </w:rPr>
        <w:t>]</w:t>
      </w:r>
      <w:r w:rsidR="009A6388" w:rsidRPr="002D7E3A">
        <w:rPr>
          <w:noProof/>
          <w:lang w:val="fr-FR"/>
        </w:rPr>
        <w:tab/>
        <w:t xml:space="preserve">Niculescu MD, Lupu DS, Craciunescu CN. </w:t>
      </w:r>
      <w:r w:rsidR="009A6388">
        <w:rPr>
          <w:noProof/>
        </w:rPr>
        <w:t>Perinatal manipulation of alpha-linolenic acid intake induces epigenetic changes in maternal and offspring livers. FASEB J.</w:t>
      </w:r>
      <w:r>
        <w:rPr>
          <w:noProof/>
        </w:rPr>
        <w:t xml:space="preserve"> </w:t>
      </w:r>
      <w:r w:rsidR="009A6388" w:rsidRPr="00176C86">
        <w:rPr>
          <w:b/>
          <w:noProof/>
        </w:rPr>
        <w:t>27</w:t>
      </w:r>
      <w:r>
        <w:rPr>
          <w:noProof/>
        </w:rPr>
        <w:t xml:space="preserve"> </w:t>
      </w:r>
      <w:r w:rsidR="009A6388">
        <w:rPr>
          <w:noProof/>
        </w:rPr>
        <w:t>(</w:t>
      </w:r>
      <w:r>
        <w:rPr>
          <w:noProof/>
        </w:rPr>
        <w:t>2013</w:t>
      </w:r>
      <w:r w:rsidR="009A6388">
        <w:rPr>
          <w:noProof/>
        </w:rPr>
        <w:t>)</w:t>
      </w:r>
      <w:r>
        <w:rPr>
          <w:noProof/>
        </w:rPr>
        <w:t xml:space="preserve"> </w:t>
      </w:r>
      <w:r w:rsidR="009A6388">
        <w:rPr>
          <w:noProof/>
        </w:rPr>
        <w:t>350-</w:t>
      </w:r>
      <w:r>
        <w:rPr>
          <w:noProof/>
        </w:rPr>
        <w:t>35</w:t>
      </w:r>
      <w:r w:rsidR="009A6388">
        <w:rPr>
          <w:noProof/>
        </w:rPr>
        <w:t>8.</w:t>
      </w:r>
      <w:bookmarkEnd w:id="20"/>
    </w:p>
    <w:p w14:paraId="05DCBF15" w14:textId="6580B025" w:rsidR="009A6388" w:rsidRDefault="00176C86" w:rsidP="00176C86">
      <w:pPr>
        <w:spacing w:line="480" w:lineRule="auto"/>
        <w:ind w:left="720" w:hanging="720"/>
        <w:rPr>
          <w:noProof/>
        </w:rPr>
      </w:pPr>
      <w:bookmarkStart w:id="21" w:name="_ENREF_23"/>
      <w:r>
        <w:rPr>
          <w:noProof/>
        </w:rPr>
        <w:t>[</w:t>
      </w:r>
      <w:r w:rsidR="009A6388">
        <w:rPr>
          <w:noProof/>
        </w:rPr>
        <w:t>23</w:t>
      </w:r>
      <w:r>
        <w:rPr>
          <w:noProof/>
        </w:rPr>
        <w:t>]</w:t>
      </w:r>
      <w:r w:rsidR="009A6388">
        <w:rPr>
          <w:noProof/>
        </w:rPr>
        <w:tab/>
      </w:r>
      <w:r w:rsidRPr="00176C86">
        <w:rPr>
          <w:rFonts w:eastAsia="Times New Roman" w:cs="Times New Roman"/>
          <w:bCs/>
        </w:rPr>
        <w:t>Tsiatis AC</w:t>
      </w:r>
      <w:r w:rsidRPr="00176C86">
        <w:rPr>
          <w:rFonts w:eastAsia="Times New Roman" w:cs="Times New Roman"/>
        </w:rPr>
        <w:t xml:space="preserve">, </w:t>
      </w:r>
      <w:r w:rsidRPr="00176C86">
        <w:rPr>
          <w:rFonts w:eastAsia="Times New Roman" w:cs="Times New Roman"/>
          <w:bCs/>
        </w:rPr>
        <w:t>Norris-Kirby</w:t>
      </w:r>
      <w:r>
        <w:rPr>
          <w:rFonts w:eastAsia="Times New Roman" w:cs="Times New Roman"/>
        </w:rPr>
        <w:t xml:space="preserve"> A, Rich RG, Hafez MJ, Gocke CD, Eshleman JR, Murphy KM.</w:t>
      </w:r>
      <w:r w:rsidR="009A6388">
        <w:rPr>
          <w:noProof/>
        </w:rPr>
        <w:t xml:space="preserve"> Comparison of Sanger sequencing, pyrosequencing, and melting curve analysis for the detection of KRAS mutations: diagnostic</w:t>
      </w:r>
      <w:r>
        <w:rPr>
          <w:noProof/>
        </w:rPr>
        <w:t xml:space="preserve"> and clinical implications. </w:t>
      </w:r>
      <w:r w:rsidR="009A6388">
        <w:rPr>
          <w:noProof/>
        </w:rPr>
        <w:t>J</w:t>
      </w:r>
      <w:r>
        <w:rPr>
          <w:noProof/>
        </w:rPr>
        <w:t>.</w:t>
      </w:r>
      <w:r w:rsidR="009A6388">
        <w:rPr>
          <w:noProof/>
        </w:rPr>
        <w:t xml:space="preserve"> </w:t>
      </w:r>
      <w:r>
        <w:rPr>
          <w:noProof/>
        </w:rPr>
        <w:t>M</w:t>
      </w:r>
      <w:r w:rsidR="009A6388">
        <w:rPr>
          <w:noProof/>
        </w:rPr>
        <w:t>ol</w:t>
      </w:r>
      <w:r>
        <w:rPr>
          <w:noProof/>
        </w:rPr>
        <w:t>.</w:t>
      </w:r>
      <w:r w:rsidR="009A6388">
        <w:rPr>
          <w:noProof/>
        </w:rPr>
        <w:t xml:space="preserve"> </w:t>
      </w:r>
      <w:r>
        <w:rPr>
          <w:noProof/>
        </w:rPr>
        <w:t>D</w:t>
      </w:r>
      <w:r w:rsidR="009A6388">
        <w:rPr>
          <w:noProof/>
        </w:rPr>
        <w:t>iagnos</w:t>
      </w:r>
      <w:r>
        <w:rPr>
          <w:noProof/>
        </w:rPr>
        <w:t xml:space="preserve">. </w:t>
      </w:r>
      <w:r w:rsidR="009A6388">
        <w:rPr>
          <w:noProof/>
        </w:rPr>
        <w:t>12</w:t>
      </w:r>
      <w:r>
        <w:rPr>
          <w:noProof/>
        </w:rPr>
        <w:t xml:space="preserve"> </w:t>
      </w:r>
      <w:r w:rsidR="009A6388">
        <w:rPr>
          <w:noProof/>
        </w:rPr>
        <w:t>(</w:t>
      </w:r>
      <w:r>
        <w:rPr>
          <w:noProof/>
        </w:rPr>
        <w:t>2010</w:t>
      </w:r>
      <w:r w:rsidR="009A6388">
        <w:rPr>
          <w:noProof/>
        </w:rPr>
        <w:t>)</w:t>
      </w:r>
      <w:r>
        <w:rPr>
          <w:noProof/>
        </w:rPr>
        <w:t xml:space="preserve"> </w:t>
      </w:r>
      <w:r w:rsidR="009A6388">
        <w:rPr>
          <w:noProof/>
        </w:rPr>
        <w:t>425-</w:t>
      </w:r>
      <w:r>
        <w:rPr>
          <w:noProof/>
        </w:rPr>
        <w:t>4</w:t>
      </w:r>
      <w:r w:rsidR="009A6388">
        <w:rPr>
          <w:noProof/>
        </w:rPr>
        <w:t>32.</w:t>
      </w:r>
      <w:bookmarkEnd w:id="21"/>
    </w:p>
    <w:p w14:paraId="009B45C6" w14:textId="1F69CC4B" w:rsidR="009A6388" w:rsidRDefault="0067024B" w:rsidP="00176C86">
      <w:pPr>
        <w:spacing w:line="480" w:lineRule="auto"/>
        <w:ind w:left="720" w:hanging="720"/>
        <w:rPr>
          <w:noProof/>
        </w:rPr>
      </w:pPr>
      <w:bookmarkStart w:id="22" w:name="_ENREF_24"/>
      <w:r>
        <w:rPr>
          <w:noProof/>
        </w:rPr>
        <w:t>[</w:t>
      </w:r>
      <w:r w:rsidR="009A6388">
        <w:rPr>
          <w:noProof/>
        </w:rPr>
        <w:t>24</w:t>
      </w:r>
      <w:r>
        <w:rPr>
          <w:noProof/>
        </w:rPr>
        <w:t>]</w:t>
      </w:r>
      <w:r w:rsidR="009A6388">
        <w:rPr>
          <w:noProof/>
        </w:rPr>
        <w:tab/>
      </w:r>
      <w:r w:rsidRPr="0067024B">
        <w:rPr>
          <w:rFonts w:eastAsia="Times New Roman" w:cs="Times New Roman"/>
          <w:bCs/>
        </w:rPr>
        <w:t>Matsuoka A</w:t>
      </w:r>
      <w:r w:rsidRPr="0067024B">
        <w:rPr>
          <w:rFonts w:eastAsia="Times New Roman" w:cs="Times New Roman"/>
        </w:rPr>
        <w:t xml:space="preserve">, </w:t>
      </w:r>
      <w:r w:rsidRPr="0067024B">
        <w:rPr>
          <w:rFonts w:eastAsia="Times New Roman" w:cs="Times New Roman"/>
          <w:bCs/>
        </w:rPr>
        <w:t>Kizuka</w:t>
      </w:r>
      <w:r>
        <w:rPr>
          <w:rFonts w:eastAsia="Times New Roman" w:cs="Times New Roman"/>
          <w:b/>
          <w:bCs/>
        </w:rPr>
        <w:t xml:space="preserve"> F</w:t>
      </w:r>
      <w:r>
        <w:rPr>
          <w:rFonts w:eastAsia="Times New Roman" w:cs="Times New Roman"/>
        </w:rPr>
        <w:t>, Lee L, Tamura I, Taniguchi K, Asada H, Taketani T, Tamura H, Sugino N.</w:t>
      </w:r>
      <w:r>
        <w:rPr>
          <w:noProof/>
        </w:rPr>
        <w:t xml:space="preserve"> </w:t>
      </w:r>
      <w:r w:rsidR="009A6388">
        <w:rPr>
          <w:noProof/>
        </w:rPr>
        <w:t>Progesterone increases manganese superoxide dismutase expression via a cAMP-dependent signaling mediated by noncanonical Wnt5a pathway in human endometrial stromal cells. J</w:t>
      </w:r>
      <w:r w:rsidR="00176C86">
        <w:rPr>
          <w:noProof/>
        </w:rPr>
        <w:t>.</w:t>
      </w:r>
      <w:r w:rsidR="009A6388">
        <w:rPr>
          <w:noProof/>
        </w:rPr>
        <w:t xml:space="preserve"> </w:t>
      </w:r>
      <w:r w:rsidR="00176C86">
        <w:rPr>
          <w:noProof/>
        </w:rPr>
        <w:t>C</w:t>
      </w:r>
      <w:r w:rsidR="009A6388">
        <w:rPr>
          <w:noProof/>
        </w:rPr>
        <w:t>lin</w:t>
      </w:r>
      <w:r w:rsidR="00176C86">
        <w:rPr>
          <w:noProof/>
        </w:rPr>
        <w:t>.</w:t>
      </w:r>
      <w:r w:rsidR="009A6388">
        <w:rPr>
          <w:noProof/>
        </w:rPr>
        <w:t xml:space="preserve"> </w:t>
      </w:r>
      <w:r w:rsidR="00176C86">
        <w:rPr>
          <w:noProof/>
        </w:rPr>
        <w:t>E</w:t>
      </w:r>
      <w:r w:rsidR="009A6388">
        <w:rPr>
          <w:noProof/>
        </w:rPr>
        <w:t>ndocrinol</w:t>
      </w:r>
      <w:r w:rsidR="00176C86">
        <w:rPr>
          <w:noProof/>
        </w:rPr>
        <w:t>.</w:t>
      </w:r>
      <w:r w:rsidR="009A6388">
        <w:rPr>
          <w:noProof/>
        </w:rPr>
        <w:t xml:space="preserve"> </w:t>
      </w:r>
      <w:r w:rsidR="00176C86">
        <w:rPr>
          <w:noProof/>
        </w:rPr>
        <w:t>M</w:t>
      </w:r>
      <w:r w:rsidR="009A6388">
        <w:rPr>
          <w:noProof/>
        </w:rPr>
        <w:t>et</w:t>
      </w:r>
      <w:r w:rsidR="00176C86">
        <w:rPr>
          <w:noProof/>
        </w:rPr>
        <w:t>ab</w:t>
      </w:r>
      <w:r w:rsidR="009A6388">
        <w:rPr>
          <w:noProof/>
        </w:rPr>
        <w:t>.</w:t>
      </w:r>
      <w:r w:rsidR="00176C86">
        <w:rPr>
          <w:noProof/>
        </w:rPr>
        <w:t xml:space="preserve"> </w:t>
      </w:r>
      <w:r w:rsidR="009A6388" w:rsidRPr="00176C86">
        <w:rPr>
          <w:b/>
          <w:noProof/>
        </w:rPr>
        <w:t>95</w:t>
      </w:r>
      <w:r w:rsidR="00176C86">
        <w:rPr>
          <w:noProof/>
        </w:rPr>
        <w:t xml:space="preserve"> </w:t>
      </w:r>
      <w:r w:rsidR="009A6388">
        <w:rPr>
          <w:noProof/>
        </w:rPr>
        <w:t>(</w:t>
      </w:r>
      <w:r w:rsidR="00176C86">
        <w:rPr>
          <w:noProof/>
        </w:rPr>
        <w:t>2010</w:t>
      </w:r>
      <w:r w:rsidR="009A6388">
        <w:rPr>
          <w:noProof/>
        </w:rPr>
        <w:t>)</w:t>
      </w:r>
      <w:r w:rsidR="00176C86">
        <w:rPr>
          <w:noProof/>
        </w:rPr>
        <w:t xml:space="preserve"> </w:t>
      </w:r>
      <w:r w:rsidR="009A6388">
        <w:rPr>
          <w:noProof/>
        </w:rPr>
        <w:t>E291-</w:t>
      </w:r>
      <w:r w:rsidR="00176C86">
        <w:rPr>
          <w:noProof/>
        </w:rPr>
        <w:t>E29</w:t>
      </w:r>
      <w:r w:rsidR="009A6388">
        <w:rPr>
          <w:noProof/>
        </w:rPr>
        <w:t>9.</w:t>
      </w:r>
      <w:bookmarkEnd w:id="22"/>
    </w:p>
    <w:p w14:paraId="5FD078CC" w14:textId="77B1FCB6" w:rsidR="009A6388" w:rsidRDefault="0067024B" w:rsidP="0067024B">
      <w:pPr>
        <w:spacing w:line="480" w:lineRule="auto"/>
        <w:ind w:left="720" w:hanging="720"/>
        <w:rPr>
          <w:noProof/>
        </w:rPr>
      </w:pPr>
      <w:bookmarkStart w:id="23" w:name="_ENREF_25"/>
      <w:r>
        <w:rPr>
          <w:noProof/>
        </w:rPr>
        <w:t>[</w:t>
      </w:r>
      <w:r w:rsidR="009A6388">
        <w:rPr>
          <w:noProof/>
        </w:rPr>
        <w:t>25</w:t>
      </w:r>
      <w:r>
        <w:rPr>
          <w:noProof/>
        </w:rPr>
        <w:t>]</w:t>
      </w:r>
      <w:r w:rsidR="009A6388">
        <w:rPr>
          <w:noProof/>
        </w:rPr>
        <w:tab/>
        <w:t xml:space="preserve">Lu CC, Tsai SC. The cyclic AMP-dependent protein kinase A pathway is involved in progesterone effects on calcitonin secretion from TT cells. Life Sci. </w:t>
      </w:r>
      <w:r w:rsidR="009A6388" w:rsidRPr="0067024B">
        <w:rPr>
          <w:b/>
          <w:noProof/>
        </w:rPr>
        <w:t>81</w:t>
      </w:r>
      <w:r>
        <w:rPr>
          <w:noProof/>
        </w:rPr>
        <w:t xml:space="preserve"> </w:t>
      </w:r>
      <w:r w:rsidR="009A6388">
        <w:rPr>
          <w:noProof/>
        </w:rPr>
        <w:t>(</w:t>
      </w:r>
      <w:r>
        <w:rPr>
          <w:noProof/>
        </w:rPr>
        <w:t>2007</w:t>
      </w:r>
      <w:r w:rsidR="009A6388">
        <w:rPr>
          <w:noProof/>
        </w:rPr>
        <w:t>)</w:t>
      </w:r>
      <w:r>
        <w:rPr>
          <w:noProof/>
        </w:rPr>
        <w:t xml:space="preserve"> </w:t>
      </w:r>
      <w:r w:rsidR="009A6388">
        <w:rPr>
          <w:noProof/>
        </w:rPr>
        <w:t>1411-</w:t>
      </w:r>
      <w:r>
        <w:rPr>
          <w:noProof/>
        </w:rPr>
        <w:t>14</w:t>
      </w:r>
      <w:r w:rsidR="009A6388">
        <w:rPr>
          <w:noProof/>
        </w:rPr>
        <w:t>20.</w:t>
      </w:r>
      <w:bookmarkEnd w:id="23"/>
    </w:p>
    <w:p w14:paraId="5BB708F8" w14:textId="7992D4F6" w:rsidR="009A6388" w:rsidRDefault="0067024B" w:rsidP="0067024B">
      <w:pPr>
        <w:spacing w:line="480" w:lineRule="auto"/>
        <w:ind w:left="720" w:hanging="720"/>
        <w:rPr>
          <w:noProof/>
        </w:rPr>
      </w:pPr>
      <w:bookmarkStart w:id="24" w:name="_ENREF_26"/>
      <w:r>
        <w:rPr>
          <w:noProof/>
        </w:rPr>
        <w:t>[</w:t>
      </w:r>
      <w:r w:rsidR="009A6388">
        <w:rPr>
          <w:noProof/>
        </w:rPr>
        <w:t>26</w:t>
      </w:r>
      <w:r>
        <w:rPr>
          <w:noProof/>
        </w:rPr>
        <w:t>]</w:t>
      </w:r>
      <w:r w:rsidR="009A6388">
        <w:rPr>
          <w:noProof/>
        </w:rPr>
        <w:tab/>
      </w:r>
      <w:r w:rsidRPr="0067024B">
        <w:rPr>
          <w:rFonts w:eastAsia="Times New Roman" w:cs="Times New Roman"/>
          <w:bCs/>
        </w:rPr>
        <w:t>Antony N</w:t>
      </w:r>
      <w:r w:rsidRPr="0067024B">
        <w:rPr>
          <w:rFonts w:eastAsia="Times New Roman" w:cs="Times New Roman"/>
        </w:rPr>
        <w:t xml:space="preserve">, </w:t>
      </w:r>
      <w:r w:rsidRPr="0067024B">
        <w:rPr>
          <w:rFonts w:eastAsia="Times New Roman" w:cs="Times New Roman"/>
          <w:bCs/>
        </w:rPr>
        <w:t>Weir JR</w:t>
      </w:r>
      <w:r w:rsidRPr="0067024B">
        <w:rPr>
          <w:rFonts w:eastAsia="Times New Roman" w:cs="Times New Roman"/>
        </w:rPr>
        <w:t xml:space="preserve">, </w:t>
      </w:r>
      <w:r w:rsidRPr="0067024B">
        <w:rPr>
          <w:rFonts w:eastAsia="Times New Roman" w:cs="Times New Roman"/>
          <w:bCs/>
        </w:rPr>
        <w:t>McDougall</w:t>
      </w:r>
      <w:r>
        <w:rPr>
          <w:rFonts w:eastAsia="Times New Roman" w:cs="Times New Roman"/>
        </w:rPr>
        <w:t xml:space="preserve"> AR, Mantamadiotis T, Meikle PJ, Cole TJ, Bird AD.</w:t>
      </w:r>
      <w:r>
        <w:rPr>
          <w:noProof/>
        </w:rPr>
        <w:t xml:space="preserve"> </w:t>
      </w:r>
      <w:r w:rsidR="009A6388">
        <w:rPr>
          <w:noProof/>
        </w:rPr>
        <w:t xml:space="preserve">cAMP response element binding protein1 is essential for activation of steroyl co-enzyme a desaturase 1 (Scd1) in mouse lung type II epithelial cells. PLoS One. </w:t>
      </w:r>
      <w:r w:rsidR="009A6388" w:rsidRPr="0067024B">
        <w:rPr>
          <w:b/>
          <w:noProof/>
        </w:rPr>
        <w:t>8</w:t>
      </w:r>
      <w:r>
        <w:rPr>
          <w:noProof/>
        </w:rPr>
        <w:t xml:space="preserve"> </w:t>
      </w:r>
      <w:r w:rsidR="009A6388">
        <w:rPr>
          <w:noProof/>
        </w:rPr>
        <w:t>(</w:t>
      </w:r>
      <w:r>
        <w:rPr>
          <w:noProof/>
        </w:rPr>
        <w:t>2013</w:t>
      </w:r>
      <w:r w:rsidR="009A6388">
        <w:rPr>
          <w:noProof/>
        </w:rPr>
        <w:t>)</w:t>
      </w:r>
      <w:r>
        <w:rPr>
          <w:noProof/>
        </w:rPr>
        <w:t xml:space="preserve"> </w:t>
      </w:r>
      <w:r w:rsidR="009A6388">
        <w:rPr>
          <w:noProof/>
        </w:rPr>
        <w:t>e59763.</w:t>
      </w:r>
      <w:bookmarkEnd w:id="24"/>
    </w:p>
    <w:p w14:paraId="17DFF5C0" w14:textId="3A26730A" w:rsidR="009A6388" w:rsidRDefault="0067024B" w:rsidP="0067024B">
      <w:pPr>
        <w:spacing w:line="480" w:lineRule="auto"/>
        <w:ind w:left="720" w:hanging="720"/>
        <w:rPr>
          <w:noProof/>
        </w:rPr>
      </w:pPr>
      <w:bookmarkStart w:id="25" w:name="_ENREF_27"/>
      <w:r>
        <w:rPr>
          <w:noProof/>
        </w:rPr>
        <w:t>[</w:t>
      </w:r>
      <w:r w:rsidR="009A6388">
        <w:rPr>
          <w:noProof/>
        </w:rPr>
        <w:t>27</w:t>
      </w:r>
      <w:r>
        <w:rPr>
          <w:noProof/>
        </w:rPr>
        <w:t>]</w:t>
      </w:r>
      <w:r w:rsidR="009A6388">
        <w:rPr>
          <w:noProof/>
        </w:rPr>
        <w:tab/>
      </w:r>
      <w:r w:rsidRPr="0067024B">
        <w:rPr>
          <w:rFonts w:eastAsia="Times New Roman" w:cs="Times New Roman"/>
          <w:bCs/>
        </w:rPr>
        <w:t>Lee ST</w:t>
      </w:r>
      <w:r w:rsidRPr="0067024B">
        <w:rPr>
          <w:rFonts w:eastAsia="Times New Roman" w:cs="Times New Roman"/>
        </w:rPr>
        <w:t xml:space="preserve">, </w:t>
      </w:r>
      <w:r w:rsidRPr="0067024B">
        <w:rPr>
          <w:rFonts w:eastAsia="Times New Roman" w:cs="Times New Roman"/>
          <w:bCs/>
        </w:rPr>
        <w:t>Xiao Y</w:t>
      </w:r>
      <w:r w:rsidRPr="0067024B">
        <w:rPr>
          <w:rFonts w:eastAsia="Times New Roman" w:cs="Times New Roman"/>
        </w:rPr>
        <w:t xml:space="preserve">, </w:t>
      </w:r>
      <w:r w:rsidRPr="0067024B">
        <w:rPr>
          <w:rFonts w:eastAsia="Times New Roman" w:cs="Times New Roman"/>
          <w:bCs/>
        </w:rPr>
        <w:t>Muench</w:t>
      </w:r>
      <w:r>
        <w:rPr>
          <w:rFonts w:eastAsia="Times New Roman" w:cs="Times New Roman"/>
        </w:rPr>
        <w:t xml:space="preserve"> MO, Xiao J, Fomin ME, Wiencke JK, Zheng S, Dou X, de Smith A, Chokkalingam A, Buffler P, Ma X, Wiemels JL.</w:t>
      </w:r>
      <w:r>
        <w:rPr>
          <w:noProof/>
        </w:rPr>
        <w:t xml:space="preserve"> </w:t>
      </w:r>
      <w:r w:rsidR="009A6388">
        <w:rPr>
          <w:noProof/>
        </w:rPr>
        <w:t>A global DNA methylation and gene expression analysis of early human B-cell development reveals a demethylation signature and transcription factor network. Nucleic Acids Res.</w:t>
      </w:r>
      <w:r>
        <w:rPr>
          <w:noProof/>
        </w:rPr>
        <w:t xml:space="preserve"> </w:t>
      </w:r>
      <w:r w:rsidR="009A6388" w:rsidRPr="0067024B">
        <w:rPr>
          <w:b/>
          <w:noProof/>
        </w:rPr>
        <w:t>40</w:t>
      </w:r>
      <w:r>
        <w:rPr>
          <w:noProof/>
        </w:rPr>
        <w:t xml:space="preserve"> </w:t>
      </w:r>
      <w:r w:rsidR="009A6388">
        <w:rPr>
          <w:noProof/>
        </w:rPr>
        <w:t>(</w:t>
      </w:r>
      <w:r>
        <w:rPr>
          <w:noProof/>
        </w:rPr>
        <w:t>2012</w:t>
      </w:r>
      <w:r w:rsidR="009A6388">
        <w:rPr>
          <w:noProof/>
        </w:rPr>
        <w:t>)</w:t>
      </w:r>
      <w:r>
        <w:rPr>
          <w:noProof/>
        </w:rPr>
        <w:t xml:space="preserve"> </w:t>
      </w:r>
      <w:r w:rsidR="009A6388">
        <w:rPr>
          <w:noProof/>
        </w:rPr>
        <w:t>11339-</w:t>
      </w:r>
      <w:r>
        <w:rPr>
          <w:noProof/>
        </w:rPr>
        <w:t>113</w:t>
      </w:r>
      <w:r w:rsidR="009A6388">
        <w:rPr>
          <w:noProof/>
        </w:rPr>
        <w:t>51.</w:t>
      </w:r>
      <w:bookmarkEnd w:id="25"/>
    </w:p>
    <w:p w14:paraId="05E3908F" w14:textId="25BFA849" w:rsidR="009A6388" w:rsidRDefault="0067024B" w:rsidP="0067024B">
      <w:pPr>
        <w:spacing w:line="480" w:lineRule="auto"/>
        <w:ind w:left="720" w:hanging="720"/>
        <w:rPr>
          <w:noProof/>
        </w:rPr>
      </w:pPr>
      <w:bookmarkStart w:id="26" w:name="_ENREF_28"/>
      <w:r>
        <w:rPr>
          <w:noProof/>
        </w:rPr>
        <w:t>[</w:t>
      </w:r>
      <w:r w:rsidR="009A6388">
        <w:rPr>
          <w:noProof/>
        </w:rPr>
        <w:t>28</w:t>
      </w:r>
      <w:r>
        <w:rPr>
          <w:noProof/>
        </w:rPr>
        <w:t>]</w:t>
      </w:r>
      <w:r w:rsidR="009A6388">
        <w:rPr>
          <w:noProof/>
        </w:rPr>
        <w:tab/>
        <w:t xml:space="preserve">Fabelo N, Martin V, Gonzalez C, Alonso A, Diaz M. Effects of oestradiol on brain lipid class and Fatty Acid composition: comparison between pregnant and ovariectomised oestradiol-treated rats. Journal of neuroendocrinology. </w:t>
      </w:r>
      <w:r w:rsidR="009A6388" w:rsidRPr="0067024B">
        <w:rPr>
          <w:b/>
          <w:noProof/>
        </w:rPr>
        <w:t>24</w:t>
      </w:r>
      <w:r>
        <w:rPr>
          <w:noProof/>
        </w:rPr>
        <w:t xml:space="preserve"> </w:t>
      </w:r>
      <w:r w:rsidR="009A6388">
        <w:rPr>
          <w:noProof/>
        </w:rPr>
        <w:t>(</w:t>
      </w:r>
      <w:r>
        <w:rPr>
          <w:noProof/>
        </w:rPr>
        <w:t>201</w:t>
      </w:r>
      <w:r w:rsidR="009A6388">
        <w:rPr>
          <w:noProof/>
        </w:rPr>
        <w:t>2)</w:t>
      </w:r>
      <w:r>
        <w:rPr>
          <w:noProof/>
        </w:rPr>
        <w:t xml:space="preserve"> </w:t>
      </w:r>
      <w:r w:rsidR="009A6388">
        <w:rPr>
          <w:noProof/>
        </w:rPr>
        <w:t xml:space="preserve">292-309. </w:t>
      </w:r>
      <w:bookmarkEnd w:id="26"/>
    </w:p>
    <w:p w14:paraId="062D6E35" w14:textId="7A73570C" w:rsidR="009A6388" w:rsidRDefault="0067024B" w:rsidP="0067024B">
      <w:pPr>
        <w:spacing w:line="480" w:lineRule="auto"/>
        <w:ind w:left="720" w:hanging="720"/>
        <w:rPr>
          <w:noProof/>
        </w:rPr>
      </w:pPr>
      <w:bookmarkStart w:id="27" w:name="_ENREF_29"/>
      <w:r>
        <w:rPr>
          <w:noProof/>
        </w:rPr>
        <w:t>[</w:t>
      </w:r>
      <w:r w:rsidR="009A6388">
        <w:rPr>
          <w:noProof/>
        </w:rPr>
        <w:t>29</w:t>
      </w:r>
      <w:r>
        <w:rPr>
          <w:noProof/>
        </w:rPr>
        <w:t>]</w:t>
      </w:r>
      <w:r w:rsidR="009A6388">
        <w:rPr>
          <w:noProof/>
        </w:rPr>
        <w:tab/>
        <w:t>Oscarsson J, Eden S. Sex differences in fatty acid composition of rat liver phosphatidylcholine are regulated by the plasma pattern of growth hormone. Biochim</w:t>
      </w:r>
      <w:r>
        <w:rPr>
          <w:noProof/>
        </w:rPr>
        <w:t xml:space="preserve">. </w:t>
      </w:r>
      <w:r w:rsidR="009A6388">
        <w:rPr>
          <w:noProof/>
        </w:rPr>
        <w:t>Biophys</w:t>
      </w:r>
      <w:r>
        <w:rPr>
          <w:noProof/>
        </w:rPr>
        <w:t xml:space="preserve">. </w:t>
      </w:r>
      <w:r w:rsidR="009A6388">
        <w:rPr>
          <w:noProof/>
        </w:rPr>
        <w:t>Acta.</w:t>
      </w:r>
      <w:r>
        <w:rPr>
          <w:noProof/>
        </w:rPr>
        <w:t xml:space="preserve"> </w:t>
      </w:r>
      <w:r w:rsidR="009A6388" w:rsidRPr="0067024B">
        <w:rPr>
          <w:b/>
          <w:noProof/>
        </w:rPr>
        <w:t>959</w:t>
      </w:r>
      <w:r>
        <w:rPr>
          <w:noProof/>
        </w:rPr>
        <w:t xml:space="preserve"> </w:t>
      </w:r>
      <w:r w:rsidR="009A6388">
        <w:rPr>
          <w:noProof/>
        </w:rPr>
        <w:t>(</w:t>
      </w:r>
      <w:r>
        <w:rPr>
          <w:noProof/>
        </w:rPr>
        <w:t>1988</w:t>
      </w:r>
      <w:r w:rsidR="009A6388">
        <w:rPr>
          <w:noProof/>
        </w:rPr>
        <w:t>)</w:t>
      </w:r>
      <w:r>
        <w:rPr>
          <w:noProof/>
        </w:rPr>
        <w:t xml:space="preserve"> </w:t>
      </w:r>
      <w:r w:rsidR="009A6388">
        <w:rPr>
          <w:noProof/>
        </w:rPr>
        <w:t>280-</w:t>
      </w:r>
      <w:r>
        <w:rPr>
          <w:noProof/>
        </w:rPr>
        <w:t>28</w:t>
      </w:r>
      <w:r w:rsidR="009A6388">
        <w:rPr>
          <w:noProof/>
        </w:rPr>
        <w:t>7.</w:t>
      </w:r>
      <w:bookmarkEnd w:id="27"/>
    </w:p>
    <w:p w14:paraId="17E999D5" w14:textId="4DFEB2D1" w:rsidR="009A6388" w:rsidRPr="00C45FFF" w:rsidRDefault="0067024B" w:rsidP="0067024B">
      <w:pPr>
        <w:spacing w:line="480" w:lineRule="auto"/>
        <w:ind w:left="720" w:hanging="720"/>
        <w:rPr>
          <w:noProof/>
          <w:lang w:val="it-IT"/>
        </w:rPr>
      </w:pPr>
      <w:bookmarkStart w:id="28" w:name="_ENREF_30"/>
      <w:r>
        <w:rPr>
          <w:noProof/>
        </w:rPr>
        <w:t>[</w:t>
      </w:r>
      <w:r w:rsidR="009A6388">
        <w:rPr>
          <w:noProof/>
        </w:rPr>
        <w:t>30</w:t>
      </w:r>
      <w:r>
        <w:rPr>
          <w:noProof/>
        </w:rPr>
        <w:t>]</w:t>
      </w:r>
      <w:r w:rsidR="009A6388">
        <w:rPr>
          <w:noProof/>
        </w:rPr>
        <w:tab/>
        <w:t>Ottosson UB, Lagrelius A, Rosing U, von SB. Relative fatty acid composition of lecithin during post</w:t>
      </w:r>
      <w:r>
        <w:rPr>
          <w:noProof/>
        </w:rPr>
        <w:t xml:space="preserve">menopausal replacement therapy - </w:t>
      </w:r>
      <w:r w:rsidR="009A6388">
        <w:rPr>
          <w:noProof/>
        </w:rPr>
        <w:t xml:space="preserve">a comparison between ethinyl estradiol and estradiol valerate. </w:t>
      </w:r>
      <w:r w:rsidR="009A6388" w:rsidRPr="00C45FFF">
        <w:rPr>
          <w:noProof/>
          <w:lang w:val="it-IT"/>
        </w:rPr>
        <w:t>Gynecol</w:t>
      </w:r>
      <w:r>
        <w:rPr>
          <w:noProof/>
          <w:lang w:val="it-IT"/>
        </w:rPr>
        <w:t xml:space="preserve">. </w:t>
      </w:r>
      <w:r w:rsidR="009A6388" w:rsidRPr="00C45FFF">
        <w:rPr>
          <w:noProof/>
          <w:lang w:val="it-IT"/>
        </w:rPr>
        <w:t>Obstet</w:t>
      </w:r>
      <w:r>
        <w:rPr>
          <w:noProof/>
          <w:lang w:val="it-IT"/>
        </w:rPr>
        <w:t xml:space="preserve">. </w:t>
      </w:r>
      <w:r w:rsidR="009A6388" w:rsidRPr="00C45FFF">
        <w:rPr>
          <w:noProof/>
          <w:lang w:val="it-IT"/>
        </w:rPr>
        <w:t xml:space="preserve">Invest. </w:t>
      </w:r>
      <w:r w:rsidRPr="0067024B">
        <w:rPr>
          <w:b/>
          <w:noProof/>
          <w:lang w:val="it-IT"/>
        </w:rPr>
        <w:t>1</w:t>
      </w:r>
      <w:r w:rsidR="009A6388" w:rsidRPr="0067024B">
        <w:rPr>
          <w:b/>
          <w:noProof/>
          <w:lang w:val="it-IT"/>
        </w:rPr>
        <w:t>8</w:t>
      </w:r>
      <w:r>
        <w:rPr>
          <w:noProof/>
          <w:lang w:val="it-IT"/>
        </w:rPr>
        <w:t xml:space="preserve"> </w:t>
      </w:r>
      <w:r w:rsidR="009A6388" w:rsidRPr="00C45FFF">
        <w:rPr>
          <w:noProof/>
          <w:lang w:val="it-IT"/>
        </w:rPr>
        <w:t>(</w:t>
      </w:r>
      <w:r>
        <w:rPr>
          <w:noProof/>
          <w:lang w:val="it-IT"/>
        </w:rPr>
        <w:t>1984</w:t>
      </w:r>
      <w:r w:rsidR="009A6388" w:rsidRPr="00C45FFF">
        <w:rPr>
          <w:noProof/>
          <w:lang w:val="it-IT"/>
        </w:rPr>
        <w:t>)</w:t>
      </w:r>
      <w:r>
        <w:rPr>
          <w:noProof/>
          <w:lang w:val="it-IT"/>
        </w:rPr>
        <w:t xml:space="preserve"> </w:t>
      </w:r>
      <w:r w:rsidR="009A6388" w:rsidRPr="00C45FFF">
        <w:rPr>
          <w:noProof/>
          <w:lang w:val="it-IT"/>
        </w:rPr>
        <w:t>296-302.</w:t>
      </w:r>
      <w:bookmarkEnd w:id="28"/>
    </w:p>
    <w:p w14:paraId="77BF4B27" w14:textId="2304006B" w:rsidR="009A6388" w:rsidRDefault="0067024B" w:rsidP="0067024B">
      <w:pPr>
        <w:spacing w:line="480" w:lineRule="auto"/>
        <w:ind w:left="720" w:hanging="720"/>
        <w:rPr>
          <w:noProof/>
        </w:rPr>
      </w:pPr>
      <w:bookmarkStart w:id="29" w:name="_ENREF_31"/>
      <w:r>
        <w:rPr>
          <w:noProof/>
          <w:lang w:val="it-IT"/>
        </w:rPr>
        <w:t>[</w:t>
      </w:r>
      <w:r w:rsidR="009A6388" w:rsidRPr="00C45FFF">
        <w:rPr>
          <w:noProof/>
          <w:lang w:val="it-IT"/>
        </w:rPr>
        <w:t>31</w:t>
      </w:r>
      <w:r>
        <w:rPr>
          <w:noProof/>
          <w:lang w:val="it-IT"/>
        </w:rPr>
        <w:t>]</w:t>
      </w:r>
      <w:r w:rsidR="009A6388" w:rsidRPr="00C45FFF">
        <w:rPr>
          <w:noProof/>
          <w:lang w:val="it-IT"/>
        </w:rPr>
        <w:tab/>
      </w:r>
      <w:r>
        <w:rPr>
          <w:rFonts w:eastAsia="Times New Roman" w:cs="Times New Roman"/>
        </w:rPr>
        <w:t xml:space="preserve">Ballaré C, </w:t>
      </w:r>
      <w:r w:rsidRPr="0067024B">
        <w:rPr>
          <w:rFonts w:eastAsia="Times New Roman" w:cs="Times New Roman"/>
          <w:bCs/>
        </w:rPr>
        <w:t>Uhrig M</w:t>
      </w:r>
      <w:r w:rsidRPr="0067024B">
        <w:rPr>
          <w:rFonts w:eastAsia="Times New Roman" w:cs="Times New Roman"/>
        </w:rPr>
        <w:t xml:space="preserve">, </w:t>
      </w:r>
      <w:r w:rsidRPr="0067024B">
        <w:rPr>
          <w:rFonts w:eastAsia="Times New Roman" w:cs="Times New Roman"/>
          <w:bCs/>
        </w:rPr>
        <w:t>Bechtold</w:t>
      </w:r>
      <w:r>
        <w:rPr>
          <w:rFonts w:eastAsia="Times New Roman" w:cs="Times New Roman"/>
        </w:rPr>
        <w:t xml:space="preserve"> T, Sancho E, Di Domenico M, Migliaccio A, Auricchio F, Beato M.</w:t>
      </w:r>
      <w:r>
        <w:rPr>
          <w:noProof/>
        </w:rPr>
        <w:t xml:space="preserve"> </w:t>
      </w:r>
      <w:r w:rsidR="009A6388">
        <w:rPr>
          <w:noProof/>
        </w:rPr>
        <w:t>Two domains of the progesterone receptor interact with the estrogen receptor and are required for progesterone activation of the c-Src/Erk pathway in mammalian cells. Mol</w:t>
      </w:r>
      <w:r>
        <w:rPr>
          <w:noProof/>
        </w:rPr>
        <w:t>.</w:t>
      </w:r>
      <w:r w:rsidR="009A6388">
        <w:rPr>
          <w:noProof/>
        </w:rPr>
        <w:t xml:space="preserve"> Cell Biol.</w:t>
      </w:r>
      <w:r>
        <w:rPr>
          <w:noProof/>
        </w:rPr>
        <w:t xml:space="preserve"> </w:t>
      </w:r>
      <w:r w:rsidR="009A6388" w:rsidRPr="0067024B">
        <w:rPr>
          <w:b/>
          <w:noProof/>
        </w:rPr>
        <w:t>23</w:t>
      </w:r>
      <w:r>
        <w:rPr>
          <w:noProof/>
        </w:rPr>
        <w:t xml:space="preserve"> </w:t>
      </w:r>
      <w:r w:rsidR="009A6388">
        <w:rPr>
          <w:noProof/>
        </w:rPr>
        <w:t>(</w:t>
      </w:r>
      <w:r>
        <w:rPr>
          <w:noProof/>
        </w:rPr>
        <w:t>2003</w:t>
      </w:r>
      <w:r w:rsidR="009A6388">
        <w:rPr>
          <w:noProof/>
        </w:rPr>
        <w:t>)</w:t>
      </w:r>
      <w:r>
        <w:rPr>
          <w:noProof/>
        </w:rPr>
        <w:t xml:space="preserve"> </w:t>
      </w:r>
      <w:r w:rsidR="009A6388">
        <w:rPr>
          <w:noProof/>
        </w:rPr>
        <w:t>1994-2008.</w:t>
      </w:r>
      <w:bookmarkEnd w:id="29"/>
    </w:p>
    <w:p w14:paraId="00B32204" w14:textId="5CAEEA84" w:rsidR="009A6388" w:rsidRDefault="0067024B" w:rsidP="0067024B">
      <w:pPr>
        <w:spacing w:line="480" w:lineRule="auto"/>
        <w:ind w:left="720" w:hanging="720"/>
        <w:rPr>
          <w:noProof/>
        </w:rPr>
      </w:pPr>
      <w:bookmarkStart w:id="30" w:name="_ENREF_32"/>
      <w:r>
        <w:rPr>
          <w:noProof/>
        </w:rPr>
        <w:t>[</w:t>
      </w:r>
      <w:r w:rsidR="009A6388">
        <w:rPr>
          <w:noProof/>
        </w:rPr>
        <w:t>32</w:t>
      </w:r>
      <w:r>
        <w:rPr>
          <w:noProof/>
        </w:rPr>
        <w:t>]</w:t>
      </w:r>
      <w:r w:rsidR="009A6388">
        <w:rPr>
          <w:noProof/>
        </w:rPr>
        <w:tab/>
        <w:t>Vicent GP, Ballare C, Zaurin R, Saragueta P, Beato M. Chromatin remodeling and control of cell proliferation by progestins via cross talk of progesterone receptor with the estrogen receptors and kinase signaling pathways. Ann</w:t>
      </w:r>
      <w:r>
        <w:rPr>
          <w:noProof/>
        </w:rPr>
        <w:t>.</w:t>
      </w:r>
      <w:r w:rsidR="009A6388">
        <w:rPr>
          <w:noProof/>
        </w:rPr>
        <w:t xml:space="preserve"> N</w:t>
      </w:r>
      <w:r>
        <w:rPr>
          <w:noProof/>
        </w:rPr>
        <w:t>.</w:t>
      </w:r>
      <w:r w:rsidR="009A6388">
        <w:rPr>
          <w:noProof/>
        </w:rPr>
        <w:t xml:space="preserve"> Y</w:t>
      </w:r>
      <w:r>
        <w:rPr>
          <w:noProof/>
        </w:rPr>
        <w:t>.</w:t>
      </w:r>
      <w:r w:rsidR="009A6388">
        <w:rPr>
          <w:noProof/>
        </w:rPr>
        <w:t xml:space="preserve"> Acad</w:t>
      </w:r>
      <w:r>
        <w:rPr>
          <w:noProof/>
        </w:rPr>
        <w:t>.</w:t>
      </w:r>
      <w:r w:rsidR="009A6388">
        <w:rPr>
          <w:noProof/>
        </w:rPr>
        <w:t xml:space="preserve"> Sci. </w:t>
      </w:r>
      <w:r w:rsidR="009A6388" w:rsidRPr="0067024B">
        <w:rPr>
          <w:b/>
          <w:noProof/>
        </w:rPr>
        <w:t>1089</w:t>
      </w:r>
      <w:r>
        <w:rPr>
          <w:noProof/>
        </w:rPr>
        <w:t xml:space="preserve"> (2006) </w:t>
      </w:r>
      <w:r w:rsidR="009A6388">
        <w:rPr>
          <w:noProof/>
        </w:rPr>
        <w:t xml:space="preserve">59-72. </w:t>
      </w:r>
      <w:bookmarkEnd w:id="30"/>
    </w:p>
    <w:p w14:paraId="732C96E4" w14:textId="77777777" w:rsidR="009A6388" w:rsidRDefault="009A6388" w:rsidP="0045343D">
      <w:pPr>
        <w:spacing w:line="480" w:lineRule="auto"/>
        <w:rPr>
          <w:lang w:val="en-US"/>
        </w:rPr>
      </w:pPr>
    </w:p>
    <w:p w14:paraId="10A5A5D0" w14:textId="77777777" w:rsidR="00C21745" w:rsidRDefault="00C21745" w:rsidP="0045343D">
      <w:pPr>
        <w:spacing w:line="480" w:lineRule="auto"/>
        <w:rPr>
          <w:lang w:val="en-US"/>
        </w:rPr>
      </w:pPr>
    </w:p>
    <w:p w14:paraId="3DD6DAAE" w14:textId="77777777" w:rsidR="00C21745" w:rsidRDefault="00C21745">
      <w:pPr>
        <w:rPr>
          <w:lang w:val="en-US"/>
        </w:rPr>
      </w:pPr>
      <w:r>
        <w:rPr>
          <w:lang w:val="en-US"/>
        </w:rPr>
        <w:br w:type="page"/>
      </w:r>
    </w:p>
    <w:p w14:paraId="76900EF0" w14:textId="11735F2B" w:rsidR="00C21745" w:rsidRDefault="00194CA3" w:rsidP="00971987">
      <w:pPr>
        <w:spacing w:line="480" w:lineRule="auto"/>
        <w:rPr>
          <w:lang w:val="en-US"/>
        </w:rPr>
      </w:pPr>
      <w:r>
        <w:rPr>
          <w:b/>
          <w:noProof/>
          <w:lang w:val="en-US"/>
        </w:rPr>
        <w:drawing>
          <wp:inline distT="0" distB="0" distL="0" distR="0" wp14:anchorId="1216B896" wp14:editId="0CB3FC4E">
            <wp:extent cx="5105400" cy="830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f"/>
                    <pic:cNvPicPr/>
                  </pic:nvPicPr>
                  <pic:blipFill>
                    <a:blip r:embed="rId8">
                      <a:extLst>
                        <a:ext uri="{28A0092B-C50C-407E-A947-70E740481C1C}">
                          <a14:useLocalDpi xmlns:a14="http://schemas.microsoft.com/office/drawing/2010/main" val="0"/>
                        </a:ext>
                      </a:extLst>
                    </a:blip>
                    <a:stretch>
                      <a:fillRect/>
                    </a:stretch>
                  </pic:blipFill>
                  <pic:spPr>
                    <a:xfrm>
                      <a:off x="0" y="0"/>
                      <a:ext cx="5105400" cy="8305800"/>
                    </a:xfrm>
                    <a:prstGeom prst="rect">
                      <a:avLst/>
                    </a:prstGeom>
                  </pic:spPr>
                </pic:pic>
              </a:graphicData>
            </a:graphic>
          </wp:inline>
        </w:drawing>
      </w:r>
      <w:r w:rsidR="00C21745" w:rsidRPr="00271BEC">
        <w:rPr>
          <w:b/>
          <w:lang w:val="en-US"/>
        </w:rPr>
        <w:t>Fig. 1</w:t>
      </w:r>
      <w:r w:rsidR="00C21745">
        <w:rPr>
          <w:lang w:val="en-US"/>
        </w:rPr>
        <w:t xml:space="preserve">.  The effect of treatment with sex hormones on the mRNA expression of genes involved in n-3 PUFA biosynthesis in HepG2 cells.  Values are mean </w:t>
      </w:r>
      <w:r w:rsidR="00C21745" w:rsidRPr="0034161D">
        <w:rPr>
          <w:rFonts w:ascii="MS Gothic" w:eastAsia="MS Gothic" w:hAnsi="MS Gothic" w:cs="MS Gothic" w:hint="eastAsia"/>
          <w:color w:val="000000"/>
        </w:rPr>
        <w:t>±</w:t>
      </w:r>
      <w:r w:rsidR="00C21745">
        <w:rPr>
          <w:lang w:val="en-US"/>
        </w:rPr>
        <w:t xml:space="preserve"> SD (n = 10 replicates per treatment).  Statistical analysis was by 1-way ANOVA with Dunnett’s post hoc test.   * P&lt;0.01; **P&lt;0.001; ***P&lt;0.0001 compared to untreated cells.  ANOVA probability for the effect of progesterone treatment was for FADS1 and 2 P&lt;0.0001, ELOVL 5 P=0.008 and ELOVL 2 P = 0.09).  There were no statistically significant effects of treatment with EE</w:t>
      </w:r>
      <w:r w:rsidR="00C21745" w:rsidRPr="000774AC">
        <w:rPr>
          <w:vertAlign w:val="subscript"/>
          <w:lang w:val="en-US"/>
        </w:rPr>
        <w:t>2</w:t>
      </w:r>
      <w:r w:rsidR="00C21745">
        <w:rPr>
          <w:lang w:val="en-US"/>
        </w:rPr>
        <w:t xml:space="preserve"> or testosterone on the mRNA expression of any of the genes measured. </w:t>
      </w:r>
    </w:p>
    <w:p w14:paraId="227998AA" w14:textId="73AF878C" w:rsidR="00C21745" w:rsidRDefault="00C21745" w:rsidP="00971987">
      <w:pPr>
        <w:spacing w:line="480" w:lineRule="auto"/>
        <w:rPr>
          <w:lang w:val="en-US"/>
        </w:rPr>
      </w:pPr>
    </w:p>
    <w:p w14:paraId="2DE28322" w14:textId="7221F8B2" w:rsidR="00C21745" w:rsidRDefault="00194CA3" w:rsidP="00971987">
      <w:pPr>
        <w:spacing w:line="480" w:lineRule="auto"/>
        <w:rPr>
          <w:lang w:val="en-US"/>
        </w:rPr>
      </w:pPr>
      <w:r>
        <w:rPr>
          <w:b/>
          <w:noProof/>
          <w:lang w:val="en-US"/>
        </w:rPr>
        <w:drawing>
          <wp:inline distT="0" distB="0" distL="0" distR="0" wp14:anchorId="1C4EAF4A" wp14:editId="5F72C489">
            <wp:extent cx="4630420" cy="8892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f"/>
                    <pic:cNvPicPr/>
                  </pic:nvPicPr>
                  <pic:blipFill>
                    <a:blip r:embed="rId9">
                      <a:extLst>
                        <a:ext uri="{28A0092B-C50C-407E-A947-70E740481C1C}">
                          <a14:useLocalDpi xmlns:a14="http://schemas.microsoft.com/office/drawing/2010/main" val="0"/>
                        </a:ext>
                      </a:extLst>
                    </a:blip>
                    <a:stretch>
                      <a:fillRect/>
                    </a:stretch>
                  </pic:blipFill>
                  <pic:spPr>
                    <a:xfrm>
                      <a:off x="0" y="0"/>
                      <a:ext cx="4630420" cy="8892540"/>
                    </a:xfrm>
                    <a:prstGeom prst="rect">
                      <a:avLst/>
                    </a:prstGeom>
                  </pic:spPr>
                </pic:pic>
              </a:graphicData>
            </a:graphic>
          </wp:inline>
        </w:drawing>
      </w:r>
      <w:r w:rsidR="00C21745" w:rsidRPr="00271BEC">
        <w:rPr>
          <w:b/>
          <w:lang w:val="en-US"/>
        </w:rPr>
        <w:t>Fig. 2.</w:t>
      </w:r>
      <w:r w:rsidR="00C21745">
        <w:rPr>
          <w:lang w:val="en-US"/>
        </w:rPr>
        <w:t xml:space="preserve">  The effect of treatment with sex hormones on the mRNA expression of genes involved in n-3 PUFA biosynthesis in primary human hepatocytes.  Values are mean </w:t>
      </w:r>
      <w:r w:rsidR="00C21745" w:rsidRPr="0034161D">
        <w:rPr>
          <w:rFonts w:ascii="MS Gothic" w:eastAsia="MS Gothic" w:hAnsi="MS Gothic" w:cs="MS Gothic" w:hint="eastAsia"/>
          <w:color w:val="000000"/>
        </w:rPr>
        <w:t>±</w:t>
      </w:r>
      <w:r w:rsidR="00C21745">
        <w:rPr>
          <w:lang w:val="en-US"/>
        </w:rPr>
        <w:t xml:space="preserve"> SD (n = 10 replicates per treatment).  Statistical analysis was by Student’s unpaired t-test.   * P&lt;0.01; **P&lt;0.001; ***P&lt;0.0001 compared to untreated cells.  There was a statistically significant effect of progesterone treatment on FADS2 mRNA expression (P = 0.01) and a non-significant trend towards an effect of progesterone on FADS1 expression (P = 0.08).  There were no statistically significant effects of treatment with progesterone on ELOVL 5 or 2 expression or of EE</w:t>
      </w:r>
      <w:r w:rsidR="00C21745" w:rsidRPr="000774AC">
        <w:rPr>
          <w:vertAlign w:val="subscript"/>
          <w:lang w:val="en-US"/>
        </w:rPr>
        <w:t>2</w:t>
      </w:r>
      <w:r w:rsidR="00C21745">
        <w:rPr>
          <w:lang w:val="en-US"/>
        </w:rPr>
        <w:t xml:space="preserve"> or testosterone on the expression of any of the genes measured. </w:t>
      </w:r>
    </w:p>
    <w:p w14:paraId="14D65F5C" w14:textId="473C3364" w:rsidR="00C21745" w:rsidRDefault="00C21745" w:rsidP="00971987">
      <w:pPr>
        <w:spacing w:line="480" w:lineRule="auto"/>
        <w:rPr>
          <w:lang w:val="en-US"/>
        </w:rPr>
      </w:pPr>
    </w:p>
    <w:p w14:paraId="68DCF9C6" w14:textId="77777777" w:rsidR="00194CA3" w:rsidRDefault="00194CA3" w:rsidP="00971987">
      <w:pPr>
        <w:spacing w:line="480" w:lineRule="auto"/>
        <w:rPr>
          <w:lang w:val="en-US"/>
        </w:rPr>
      </w:pPr>
      <w:r>
        <w:rPr>
          <w:b/>
          <w:noProof/>
          <w:lang w:val="en-US"/>
        </w:rPr>
        <w:drawing>
          <wp:inline distT="0" distB="0" distL="0" distR="0" wp14:anchorId="2B54D0D8" wp14:editId="676B0B43">
            <wp:extent cx="5755640" cy="8148320"/>
            <wp:effectExtent l="0" t="0" r="1016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f"/>
                    <pic:cNvPicPr/>
                  </pic:nvPicPr>
                  <pic:blipFill>
                    <a:blip r:embed="rId10">
                      <a:extLst>
                        <a:ext uri="{28A0092B-C50C-407E-A947-70E740481C1C}">
                          <a14:useLocalDpi xmlns:a14="http://schemas.microsoft.com/office/drawing/2010/main" val="0"/>
                        </a:ext>
                      </a:extLst>
                    </a:blip>
                    <a:stretch>
                      <a:fillRect/>
                    </a:stretch>
                  </pic:blipFill>
                  <pic:spPr>
                    <a:xfrm>
                      <a:off x="0" y="0"/>
                      <a:ext cx="5755640" cy="8148320"/>
                    </a:xfrm>
                    <a:prstGeom prst="rect">
                      <a:avLst/>
                    </a:prstGeom>
                  </pic:spPr>
                </pic:pic>
              </a:graphicData>
            </a:graphic>
          </wp:inline>
        </w:drawing>
      </w:r>
      <w:r w:rsidR="00C21745" w:rsidRPr="00271BEC">
        <w:rPr>
          <w:b/>
          <w:lang w:val="en-US"/>
        </w:rPr>
        <w:t>Fig 3.</w:t>
      </w:r>
      <w:r w:rsidR="00C21745">
        <w:rPr>
          <w:lang w:val="en-US"/>
        </w:rPr>
        <w:t xml:space="preserve">  Nucleotide sequence of the 5’ region analysed by pyrosequencing.  CpG dinucleotides as indicated by distance (bp) from the transcription start site.  Putative transcription factor response elements are indicated by bars beneath the DNA sequence.</w:t>
      </w:r>
    </w:p>
    <w:p w14:paraId="0D21A18A" w14:textId="77777777" w:rsidR="00194CA3" w:rsidRDefault="00194CA3">
      <w:pPr>
        <w:rPr>
          <w:lang w:val="en-US"/>
        </w:rPr>
      </w:pPr>
      <w:r>
        <w:rPr>
          <w:lang w:val="en-US"/>
        </w:rPr>
        <w:br w:type="page"/>
      </w:r>
    </w:p>
    <w:p w14:paraId="7F1516AC" w14:textId="006711C7" w:rsidR="00C21745" w:rsidRDefault="00C21745" w:rsidP="00971987">
      <w:pPr>
        <w:spacing w:line="480" w:lineRule="auto"/>
        <w:rPr>
          <w:lang w:val="en-US"/>
        </w:rPr>
      </w:pPr>
      <w:bookmarkStart w:id="31" w:name="_GoBack"/>
      <w:bookmarkEnd w:id="31"/>
      <w:r>
        <w:rPr>
          <w:lang w:val="en-US"/>
        </w:rPr>
        <w:t xml:space="preserve"> </w:t>
      </w:r>
    </w:p>
    <w:p w14:paraId="6713C4E9" w14:textId="77777777" w:rsidR="00C21745" w:rsidRDefault="00C21745" w:rsidP="00971987">
      <w:pPr>
        <w:spacing w:line="480" w:lineRule="auto"/>
        <w:rPr>
          <w:lang w:val="en-US"/>
        </w:rPr>
      </w:pPr>
    </w:p>
    <w:p w14:paraId="7C76055E" w14:textId="2758F7CC" w:rsidR="00C21745" w:rsidRDefault="00C21745" w:rsidP="00971987">
      <w:pPr>
        <w:spacing w:line="480" w:lineRule="auto"/>
        <w:rPr>
          <w:lang w:val="en-US"/>
        </w:rPr>
      </w:pPr>
    </w:p>
    <w:p w14:paraId="56B8E879" w14:textId="4BFEE3F4" w:rsidR="00C21745" w:rsidRDefault="00194CA3" w:rsidP="00971987">
      <w:pPr>
        <w:spacing w:line="480" w:lineRule="auto"/>
        <w:rPr>
          <w:lang w:val="en-US"/>
        </w:rPr>
      </w:pPr>
      <w:r>
        <w:rPr>
          <w:b/>
          <w:noProof/>
          <w:lang w:val="en-US"/>
        </w:rPr>
        <w:drawing>
          <wp:inline distT="0" distB="0" distL="0" distR="0" wp14:anchorId="0C7BDB7D" wp14:editId="7148AAC7">
            <wp:extent cx="5755640" cy="3428365"/>
            <wp:effectExtent l="0" t="0" r="1016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f"/>
                    <pic:cNvPicPr/>
                  </pic:nvPicPr>
                  <pic:blipFill>
                    <a:blip r:embed="rId11">
                      <a:extLst>
                        <a:ext uri="{28A0092B-C50C-407E-A947-70E740481C1C}">
                          <a14:useLocalDpi xmlns:a14="http://schemas.microsoft.com/office/drawing/2010/main" val="0"/>
                        </a:ext>
                      </a:extLst>
                    </a:blip>
                    <a:stretch>
                      <a:fillRect/>
                    </a:stretch>
                  </pic:blipFill>
                  <pic:spPr>
                    <a:xfrm>
                      <a:off x="0" y="0"/>
                      <a:ext cx="5755640" cy="3428365"/>
                    </a:xfrm>
                    <a:prstGeom prst="rect">
                      <a:avLst/>
                    </a:prstGeom>
                  </pic:spPr>
                </pic:pic>
              </a:graphicData>
            </a:graphic>
          </wp:inline>
        </w:drawing>
      </w:r>
      <w:r w:rsidR="00C21745" w:rsidRPr="00271BEC">
        <w:rPr>
          <w:b/>
          <w:lang w:val="en-US"/>
        </w:rPr>
        <w:t>Fig. 4.</w:t>
      </w:r>
      <w:r w:rsidR="00C21745">
        <w:rPr>
          <w:lang w:val="en-US"/>
        </w:rPr>
        <w:t xml:space="preserve">   The effect of treatment of HepG2 cells with progesterone on the methylation of specific CpG loci in the FADS2 promoter.  Values are mean </w:t>
      </w:r>
      <w:r w:rsidR="00C21745" w:rsidRPr="0034161D">
        <w:rPr>
          <w:rFonts w:ascii="MS Gothic" w:eastAsia="MS Gothic" w:hAnsi="MS Gothic" w:cs="MS Gothic" w:hint="eastAsia"/>
          <w:color w:val="000000"/>
        </w:rPr>
        <w:t>±</w:t>
      </w:r>
      <w:r w:rsidR="00C21745">
        <w:rPr>
          <w:lang w:val="en-US"/>
        </w:rPr>
        <w:t xml:space="preserve"> SD (n = 6 replicates per treatment).  Statistical analysis was by Students unpaired t test.  * P&lt;0.05; **P&lt;0.01 compared to untreated cells. </w:t>
      </w:r>
    </w:p>
    <w:p w14:paraId="44A3A41D" w14:textId="168FBB16" w:rsidR="00C21745" w:rsidRDefault="00C21745" w:rsidP="00971987">
      <w:pPr>
        <w:spacing w:line="480" w:lineRule="auto"/>
        <w:rPr>
          <w:lang w:val="en-US"/>
        </w:rPr>
      </w:pPr>
    </w:p>
    <w:p w14:paraId="54DBD5A9" w14:textId="42471F70" w:rsidR="00C21745" w:rsidRDefault="00194CA3" w:rsidP="00971987">
      <w:pPr>
        <w:spacing w:line="480" w:lineRule="auto"/>
        <w:rPr>
          <w:lang w:val="en-US"/>
        </w:rPr>
      </w:pPr>
      <w:r>
        <w:rPr>
          <w:b/>
          <w:noProof/>
          <w:lang w:val="en-US"/>
        </w:rPr>
        <w:drawing>
          <wp:inline distT="0" distB="0" distL="0" distR="0" wp14:anchorId="3D8DD0C6" wp14:editId="7D3ADB27">
            <wp:extent cx="5321300" cy="87630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f"/>
                    <pic:cNvPicPr/>
                  </pic:nvPicPr>
                  <pic:blipFill>
                    <a:blip r:embed="rId12">
                      <a:extLst>
                        <a:ext uri="{28A0092B-C50C-407E-A947-70E740481C1C}">
                          <a14:useLocalDpi xmlns:a14="http://schemas.microsoft.com/office/drawing/2010/main" val="0"/>
                        </a:ext>
                      </a:extLst>
                    </a:blip>
                    <a:stretch>
                      <a:fillRect/>
                    </a:stretch>
                  </pic:blipFill>
                  <pic:spPr>
                    <a:xfrm>
                      <a:off x="0" y="0"/>
                      <a:ext cx="5321300" cy="8763000"/>
                    </a:xfrm>
                    <a:prstGeom prst="rect">
                      <a:avLst/>
                    </a:prstGeom>
                  </pic:spPr>
                </pic:pic>
              </a:graphicData>
            </a:graphic>
          </wp:inline>
        </w:drawing>
      </w:r>
      <w:r w:rsidR="00C21745" w:rsidRPr="00271BEC">
        <w:rPr>
          <w:b/>
          <w:lang w:val="en-US"/>
        </w:rPr>
        <w:t xml:space="preserve">Fig. 5. </w:t>
      </w:r>
      <w:r w:rsidR="00C21745">
        <w:rPr>
          <w:lang w:val="en-US"/>
        </w:rPr>
        <w:t xml:space="preserve"> The effect of treatment with sex hormones on n-3 PUFA biosynthesis in HepG2 cells.  Values are mean </w:t>
      </w:r>
      <w:r w:rsidR="00C21745" w:rsidRPr="0034161D">
        <w:rPr>
          <w:rFonts w:ascii="MS Gothic" w:eastAsia="MS Gothic" w:hAnsi="MS Gothic" w:cs="MS Gothic" w:hint="eastAsia"/>
          <w:color w:val="000000"/>
        </w:rPr>
        <w:t>±</w:t>
      </w:r>
      <w:r w:rsidR="00C21745">
        <w:rPr>
          <w:lang w:val="en-US"/>
        </w:rPr>
        <w:t xml:space="preserve"> SD (n = 5 replicates per treatment).  Statistical analysis was by 1-way ANOVA with Dunnett’s post hoc test.  * P&lt;0.01; **P&lt;0.001; ***P&lt;0.0001 compared to untreated cells.  There was a statistically significant effect of progesterone treatment on FADS2 mRNA expression (P = 0.01) and a non-significant trend towards an effect of progesterone on FADS1 expression (P = 0.08).  There were no statistically significant effects of treatment with progesterone on ELOVL 5 or 2 expression </w:t>
      </w:r>
    </w:p>
    <w:p w14:paraId="10A0882B" w14:textId="321D94FB" w:rsidR="00C21745" w:rsidRDefault="00C21745" w:rsidP="00971987">
      <w:pPr>
        <w:spacing w:line="480" w:lineRule="auto"/>
        <w:rPr>
          <w:lang w:val="en-US"/>
        </w:rPr>
      </w:pPr>
      <w:r>
        <w:rPr>
          <w:lang w:val="en-US"/>
        </w:rPr>
        <w:t>or of EE</w:t>
      </w:r>
      <w:r w:rsidRPr="000774AC">
        <w:rPr>
          <w:vertAlign w:val="subscript"/>
          <w:lang w:val="en-US"/>
        </w:rPr>
        <w:t>2</w:t>
      </w:r>
      <w:r>
        <w:rPr>
          <w:lang w:val="en-US"/>
        </w:rPr>
        <w:t xml:space="preserve"> or testosterone on the expression of any of the genes measured.</w:t>
      </w:r>
    </w:p>
    <w:p w14:paraId="79948FF1" w14:textId="77777777" w:rsidR="00C21745" w:rsidRDefault="00C21745" w:rsidP="00971987">
      <w:pPr>
        <w:spacing w:line="480" w:lineRule="auto"/>
        <w:rPr>
          <w:lang w:val="en-US"/>
        </w:rPr>
      </w:pPr>
    </w:p>
    <w:p w14:paraId="536304D7" w14:textId="77777777" w:rsidR="00C21745" w:rsidRDefault="00C21745">
      <w:pPr>
        <w:rPr>
          <w:lang w:val="en-US"/>
        </w:rPr>
        <w:sectPr w:rsidR="00C21745" w:rsidSect="00DA56BA">
          <w:footerReference w:type="default" r:id="rId13"/>
          <w:pgSz w:w="11900" w:h="16840"/>
          <w:pgMar w:top="1418" w:right="1418" w:bottom="1418" w:left="1418" w:header="709" w:footer="709" w:gutter="0"/>
          <w:cols w:space="708"/>
          <w:docGrid w:linePitch="360"/>
        </w:sectPr>
      </w:pPr>
    </w:p>
    <w:p w14:paraId="18BD825A" w14:textId="77777777" w:rsidR="00C21745" w:rsidRDefault="00C21745">
      <w:pPr>
        <w:rPr>
          <w:lang w:val="en-US"/>
        </w:rPr>
      </w:pPr>
      <w:r w:rsidRPr="00271BEC">
        <w:rPr>
          <w:b/>
          <w:lang w:val="en-US"/>
        </w:rPr>
        <w:t>Table 1</w:t>
      </w:r>
      <w:r>
        <w:rPr>
          <w:lang w:val="en-US"/>
        </w:rPr>
        <w:t xml:space="preserve">.  Oligonucleotide primers used in real time RTPCR assays </w:t>
      </w:r>
    </w:p>
    <w:p w14:paraId="393E6CCB" w14:textId="77777777" w:rsidR="00C21745" w:rsidRDefault="00C21745">
      <w:pPr>
        <w:rPr>
          <w:lang w:val="en-US"/>
        </w:rPr>
      </w:pPr>
    </w:p>
    <w:p w14:paraId="2AE08722" w14:textId="77777777" w:rsidR="00C21745" w:rsidRDefault="00C21745">
      <w:pPr>
        <w:rPr>
          <w:lang w:val="en-US"/>
        </w:rPr>
      </w:pPr>
      <w:r>
        <w:rPr>
          <w:lang w:val="en-US"/>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5"/>
        <w:gridCol w:w="3153"/>
        <w:gridCol w:w="3182"/>
      </w:tblGrid>
      <w:tr w:rsidR="00C21745" w:rsidRPr="006A628B" w14:paraId="6DFFCC77" w14:textId="77777777">
        <w:tc>
          <w:tcPr>
            <w:tcW w:w="2662" w:type="dxa"/>
            <w:tcBorders>
              <w:left w:val="nil"/>
              <w:right w:val="nil"/>
            </w:tcBorders>
          </w:tcPr>
          <w:p w14:paraId="02ACDF99" w14:textId="77777777" w:rsidR="00C21745" w:rsidRPr="006A628B" w:rsidRDefault="00C21745">
            <w:pPr>
              <w:rPr>
                <w:lang w:val="en-US"/>
              </w:rPr>
            </w:pPr>
            <w:r w:rsidRPr="006A628B">
              <w:rPr>
                <w:lang w:val="en-US"/>
              </w:rPr>
              <w:t>Gene</w:t>
            </w:r>
          </w:p>
        </w:tc>
        <w:tc>
          <w:tcPr>
            <w:tcW w:w="3153" w:type="dxa"/>
            <w:tcBorders>
              <w:left w:val="nil"/>
              <w:right w:val="nil"/>
            </w:tcBorders>
          </w:tcPr>
          <w:p w14:paraId="3D0AA58F" w14:textId="77777777" w:rsidR="00C21745" w:rsidRPr="006A628B" w:rsidRDefault="00C21745" w:rsidP="0045343D">
            <w:pPr>
              <w:rPr>
                <w:lang w:val="en-US"/>
              </w:rPr>
            </w:pPr>
            <w:r w:rsidRPr="006A628B">
              <w:rPr>
                <w:lang w:val="en-US"/>
              </w:rPr>
              <w:t>Forward primer</w:t>
            </w:r>
          </w:p>
        </w:tc>
        <w:tc>
          <w:tcPr>
            <w:tcW w:w="3182" w:type="dxa"/>
            <w:tcBorders>
              <w:left w:val="nil"/>
              <w:right w:val="nil"/>
            </w:tcBorders>
          </w:tcPr>
          <w:p w14:paraId="5C7E2289" w14:textId="77777777" w:rsidR="00C21745" w:rsidRPr="006A628B" w:rsidRDefault="00C21745">
            <w:pPr>
              <w:rPr>
                <w:lang w:val="en-US"/>
              </w:rPr>
            </w:pPr>
            <w:r w:rsidRPr="006A628B">
              <w:rPr>
                <w:lang w:val="en-US"/>
              </w:rPr>
              <w:t>Reverse primer</w:t>
            </w:r>
          </w:p>
        </w:tc>
      </w:tr>
      <w:tr w:rsidR="00C21745" w:rsidRPr="006A628B" w14:paraId="75BBF11E" w14:textId="77777777">
        <w:tc>
          <w:tcPr>
            <w:tcW w:w="2662" w:type="dxa"/>
            <w:tcBorders>
              <w:left w:val="nil"/>
              <w:bottom w:val="nil"/>
              <w:right w:val="nil"/>
            </w:tcBorders>
          </w:tcPr>
          <w:p w14:paraId="0953E440" w14:textId="77777777" w:rsidR="00C21745" w:rsidRPr="006A628B" w:rsidRDefault="00C21745">
            <w:pPr>
              <w:rPr>
                <w:lang w:val="en-US"/>
              </w:rPr>
            </w:pPr>
            <w:r w:rsidRPr="006A628B">
              <w:rPr>
                <w:lang w:val="en-US"/>
              </w:rPr>
              <w:t>FADS1</w:t>
            </w:r>
          </w:p>
        </w:tc>
        <w:tc>
          <w:tcPr>
            <w:tcW w:w="3153" w:type="dxa"/>
            <w:tcBorders>
              <w:left w:val="nil"/>
              <w:bottom w:val="nil"/>
              <w:right w:val="nil"/>
            </w:tcBorders>
          </w:tcPr>
          <w:p w14:paraId="726817D4" w14:textId="77777777" w:rsidR="00C21745" w:rsidRPr="006A628B" w:rsidRDefault="00C21745">
            <w:pPr>
              <w:rPr>
                <w:lang w:val="en-US"/>
              </w:rPr>
            </w:pPr>
            <w:r w:rsidRPr="006A628B">
              <w:rPr>
                <w:rFonts w:ascii="Lucida Grande" w:hAnsi="Lucida Grande" w:cs="Lucida Grande"/>
                <w:color w:val="000000"/>
              </w:rPr>
              <w:t>CCAGACTCCACTTCTCAA</w:t>
            </w:r>
          </w:p>
        </w:tc>
        <w:tc>
          <w:tcPr>
            <w:tcW w:w="3182" w:type="dxa"/>
            <w:tcBorders>
              <w:left w:val="nil"/>
              <w:bottom w:val="nil"/>
              <w:right w:val="nil"/>
            </w:tcBorders>
          </w:tcPr>
          <w:p w14:paraId="1E672324" w14:textId="77777777" w:rsidR="00C21745" w:rsidRPr="006A628B" w:rsidRDefault="00C21745">
            <w:pPr>
              <w:rPr>
                <w:lang w:val="en-US"/>
              </w:rPr>
            </w:pPr>
            <w:r w:rsidRPr="006A628B">
              <w:rPr>
                <w:rFonts w:ascii="Lucida Grande" w:hAnsi="Lucida Grande" w:cs="Lucida Grande"/>
                <w:color w:val="000000"/>
              </w:rPr>
              <w:t>GCCAGTTCACCAATCAGC</w:t>
            </w:r>
          </w:p>
        </w:tc>
      </w:tr>
      <w:tr w:rsidR="00C21745" w:rsidRPr="006A628B" w14:paraId="5C9B53F4" w14:textId="77777777">
        <w:tc>
          <w:tcPr>
            <w:tcW w:w="2662" w:type="dxa"/>
            <w:tcBorders>
              <w:top w:val="nil"/>
              <w:left w:val="nil"/>
              <w:bottom w:val="nil"/>
              <w:right w:val="nil"/>
            </w:tcBorders>
          </w:tcPr>
          <w:p w14:paraId="461E1252" w14:textId="77777777" w:rsidR="00C21745" w:rsidRPr="006A628B" w:rsidRDefault="00C21745">
            <w:pPr>
              <w:rPr>
                <w:lang w:val="en-US"/>
              </w:rPr>
            </w:pPr>
            <w:r w:rsidRPr="006A628B">
              <w:rPr>
                <w:lang w:val="en-US"/>
              </w:rPr>
              <w:t>FADS2</w:t>
            </w:r>
          </w:p>
        </w:tc>
        <w:tc>
          <w:tcPr>
            <w:tcW w:w="6335" w:type="dxa"/>
            <w:gridSpan w:val="2"/>
            <w:tcBorders>
              <w:top w:val="nil"/>
              <w:left w:val="nil"/>
              <w:bottom w:val="nil"/>
              <w:right w:val="nil"/>
            </w:tcBorders>
          </w:tcPr>
          <w:p w14:paraId="0AB1A889" w14:textId="77777777" w:rsidR="00C21745" w:rsidRPr="006A628B" w:rsidRDefault="00C21745" w:rsidP="0045343D">
            <w:pPr>
              <w:jc w:val="center"/>
              <w:rPr>
                <w:lang w:val="en-US"/>
              </w:rPr>
            </w:pPr>
            <w:r w:rsidRPr="006A628B">
              <w:rPr>
                <w:rFonts w:ascii="Lucida Grande" w:hAnsi="Lucida Grande" w:cs="Lucida Grande"/>
                <w:color w:val="000000"/>
              </w:rPr>
              <w:t>Quanitect Primer Assay HS_FADS1_1_SG</w:t>
            </w:r>
          </w:p>
        </w:tc>
      </w:tr>
      <w:tr w:rsidR="00C21745" w:rsidRPr="006A628B" w14:paraId="3225A10C" w14:textId="77777777">
        <w:tc>
          <w:tcPr>
            <w:tcW w:w="2662" w:type="dxa"/>
            <w:tcBorders>
              <w:top w:val="nil"/>
              <w:left w:val="nil"/>
              <w:bottom w:val="nil"/>
              <w:right w:val="nil"/>
            </w:tcBorders>
          </w:tcPr>
          <w:p w14:paraId="4DF09CB8" w14:textId="77777777" w:rsidR="00C21745" w:rsidRPr="006A628B" w:rsidRDefault="00C21745">
            <w:pPr>
              <w:rPr>
                <w:lang w:val="en-US"/>
              </w:rPr>
            </w:pPr>
            <w:r w:rsidRPr="006A628B">
              <w:rPr>
                <w:lang w:val="en-US"/>
              </w:rPr>
              <w:t>ELOVl 2</w:t>
            </w:r>
          </w:p>
        </w:tc>
        <w:tc>
          <w:tcPr>
            <w:tcW w:w="6335" w:type="dxa"/>
            <w:gridSpan w:val="2"/>
            <w:tcBorders>
              <w:top w:val="nil"/>
              <w:left w:val="nil"/>
              <w:bottom w:val="nil"/>
              <w:right w:val="nil"/>
            </w:tcBorders>
          </w:tcPr>
          <w:p w14:paraId="22B919F5" w14:textId="77777777" w:rsidR="00C21745" w:rsidRPr="006A628B" w:rsidRDefault="00C21745" w:rsidP="0045343D">
            <w:pPr>
              <w:jc w:val="center"/>
              <w:rPr>
                <w:lang w:val="en-US"/>
              </w:rPr>
            </w:pPr>
            <w:r w:rsidRPr="006A628B">
              <w:rPr>
                <w:rFonts w:ascii="Lucida Grande" w:hAnsi="Lucida Grande" w:cs="Lucida Grande"/>
                <w:color w:val="000000"/>
              </w:rPr>
              <w:t>Quanitect Primer Assay HS_ELOVL2_1_SG</w:t>
            </w:r>
          </w:p>
        </w:tc>
      </w:tr>
      <w:tr w:rsidR="00C21745" w:rsidRPr="006A628B" w14:paraId="386E2BD8" w14:textId="77777777">
        <w:tc>
          <w:tcPr>
            <w:tcW w:w="2662" w:type="dxa"/>
            <w:tcBorders>
              <w:top w:val="nil"/>
              <w:left w:val="nil"/>
              <w:right w:val="nil"/>
            </w:tcBorders>
          </w:tcPr>
          <w:p w14:paraId="68A0296A" w14:textId="77777777" w:rsidR="00C21745" w:rsidRPr="006A628B" w:rsidRDefault="00C21745">
            <w:pPr>
              <w:rPr>
                <w:lang w:val="en-US"/>
              </w:rPr>
            </w:pPr>
            <w:r w:rsidRPr="006A628B">
              <w:rPr>
                <w:lang w:val="en-US"/>
              </w:rPr>
              <w:t>ELOVL 5</w:t>
            </w:r>
          </w:p>
        </w:tc>
        <w:tc>
          <w:tcPr>
            <w:tcW w:w="6335" w:type="dxa"/>
            <w:gridSpan w:val="2"/>
            <w:tcBorders>
              <w:top w:val="nil"/>
              <w:left w:val="nil"/>
              <w:right w:val="nil"/>
            </w:tcBorders>
          </w:tcPr>
          <w:p w14:paraId="6361C277" w14:textId="77777777" w:rsidR="00C21745" w:rsidRPr="006A628B" w:rsidRDefault="00C21745" w:rsidP="0045343D">
            <w:pPr>
              <w:jc w:val="center"/>
              <w:rPr>
                <w:lang w:val="en-US"/>
              </w:rPr>
            </w:pPr>
            <w:r w:rsidRPr="006A628B">
              <w:rPr>
                <w:rFonts w:ascii="Lucida Grande" w:hAnsi="Lucida Grande" w:cs="Lucida Grande"/>
                <w:color w:val="000000"/>
              </w:rPr>
              <w:t>Quanitect Primer Assay HS_ELOVL5_1_SG</w:t>
            </w:r>
          </w:p>
        </w:tc>
      </w:tr>
    </w:tbl>
    <w:p w14:paraId="7594C46C" w14:textId="77777777" w:rsidR="00C21745" w:rsidRDefault="00C21745">
      <w:pPr>
        <w:rPr>
          <w:lang w:val="en-US"/>
        </w:rPr>
      </w:pPr>
    </w:p>
    <w:p w14:paraId="674063F6" w14:textId="77777777" w:rsidR="00C21745" w:rsidRDefault="00C21745">
      <w:pPr>
        <w:rPr>
          <w:lang w:val="en-US"/>
        </w:rPr>
      </w:pPr>
    </w:p>
    <w:p w14:paraId="2C47B09B" w14:textId="77777777" w:rsidR="00C21745" w:rsidRDefault="00C21745">
      <w:pPr>
        <w:rPr>
          <w:lang w:val="en-US"/>
        </w:rPr>
      </w:pPr>
    </w:p>
    <w:p w14:paraId="554EF4C9" w14:textId="77777777" w:rsidR="00C21745" w:rsidRDefault="00C21745">
      <w:pPr>
        <w:rPr>
          <w:lang w:val="en-US"/>
        </w:rPr>
      </w:pPr>
    </w:p>
    <w:p w14:paraId="5111B1FD" w14:textId="77777777" w:rsidR="00C21745" w:rsidRDefault="00C21745">
      <w:pPr>
        <w:rPr>
          <w:lang w:val="en-US"/>
        </w:rPr>
      </w:pPr>
    </w:p>
    <w:p w14:paraId="2EE61120" w14:textId="77777777" w:rsidR="009A6388" w:rsidRDefault="009A6388">
      <w:pPr>
        <w:rPr>
          <w:lang w:val="en-US"/>
        </w:rPr>
        <w:sectPr w:rsidR="009A6388" w:rsidSect="0045343D">
          <w:pgSz w:w="11900" w:h="16840"/>
          <w:pgMar w:top="1440" w:right="1797" w:bottom="1440" w:left="1797" w:header="709" w:footer="709" w:gutter="0"/>
          <w:lnNumType w:countBy="1"/>
          <w:cols w:space="708"/>
          <w:docGrid w:linePitch="360"/>
        </w:sectPr>
      </w:pPr>
    </w:p>
    <w:p w14:paraId="4B2BC6C6" w14:textId="315DF49E" w:rsidR="00C21745" w:rsidRDefault="00C21745" w:rsidP="0045343D">
      <w:pPr>
        <w:rPr>
          <w:lang w:val="en-US"/>
        </w:rPr>
      </w:pPr>
      <w:r w:rsidRPr="00271BEC">
        <w:rPr>
          <w:b/>
          <w:lang w:val="en-US"/>
        </w:rPr>
        <w:t>Table 2.</w:t>
      </w:r>
      <w:r>
        <w:rPr>
          <w:lang w:val="en-US"/>
        </w:rPr>
        <w:t xml:space="preserve">  Oligonucleotide primers used in </w:t>
      </w:r>
      <w:r w:rsidR="00271BEC">
        <w:rPr>
          <w:lang w:val="en-US"/>
        </w:rPr>
        <w:t>pyroseqencing</w:t>
      </w:r>
      <w:r>
        <w:rPr>
          <w:lang w:val="en-US"/>
        </w:rPr>
        <w:t xml:space="preserve"> assays </w:t>
      </w:r>
    </w:p>
    <w:p w14:paraId="69758513" w14:textId="77777777" w:rsidR="00C21745" w:rsidRDefault="00C21745" w:rsidP="0045343D">
      <w:pPr>
        <w:rPr>
          <w:lang w:val="en-US"/>
        </w:rPr>
      </w:pPr>
      <w:r>
        <w:rPr>
          <w:lang w:val="en-US"/>
        </w:rPr>
        <w:t xml:space="preserve"> </w:t>
      </w:r>
    </w:p>
    <w:tbl>
      <w:tblPr>
        <w:tblW w:w="1442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851"/>
        <w:gridCol w:w="1701"/>
        <w:gridCol w:w="5315"/>
        <w:gridCol w:w="5316"/>
      </w:tblGrid>
      <w:tr w:rsidR="00C21745" w:rsidRPr="006A628B" w14:paraId="490E6BC5" w14:textId="77777777">
        <w:tc>
          <w:tcPr>
            <w:tcW w:w="1242" w:type="dxa"/>
            <w:tcBorders>
              <w:left w:val="nil"/>
              <w:right w:val="nil"/>
            </w:tcBorders>
          </w:tcPr>
          <w:p w14:paraId="5C7F205D" w14:textId="77777777" w:rsidR="00C21745" w:rsidRPr="006A628B" w:rsidRDefault="00C21745" w:rsidP="0045343D">
            <w:pPr>
              <w:rPr>
                <w:lang w:val="en-US"/>
              </w:rPr>
            </w:pPr>
          </w:p>
        </w:tc>
        <w:tc>
          <w:tcPr>
            <w:tcW w:w="2552" w:type="dxa"/>
            <w:gridSpan w:val="2"/>
            <w:tcBorders>
              <w:left w:val="nil"/>
              <w:right w:val="nil"/>
            </w:tcBorders>
          </w:tcPr>
          <w:p w14:paraId="1409704C" w14:textId="77777777" w:rsidR="00C21745" w:rsidRPr="006A628B" w:rsidRDefault="00C21745" w:rsidP="0045343D">
            <w:pPr>
              <w:rPr>
                <w:lang w:val="en-US"/>
              </w:rPr>
            </w:pPr>
          </w:p>
        </w:tc>
        <w:tc>
          <w:tcPr>
            <w:tcW w:w="10631" w:type="dxa"/>
            <w:gridSpan w:val="2"/>
            <w:tcBorders>
              <w:left w:val="nil"/>
              <w:right w:val="nil"/>
            </w:tcBorders>
          </w:tcPr>
          <w:p w14:paraId="4925C549" w14:textId="77777777" w:rsidR="00C21745" w:rsidRPr="006A628B" w:rsidRDefault="00C21745" w:rsidP="0045343D">
            <w:pPr>
              <w:jc w:val="center"/>
              <w:rPr>
                <w:lang w:val="en-US"/>
              </w:rPr>
            </w:pPr>
            <w:r w:rsidRPr="006A628B">
              <w:rPr>
                <w:lang w:val="en-US"/>
              </w:rPr>
              <w:t>PCR primers</w:t>
            </w:r>
          </w:p>
        </w:tc>
      </w:tr>
      <w:tr w:rsidR="00C21745" w:rsidRPr="006A628B" w14:paraId="0A011622" w14:textId="77777777">
        <w:tc>
          <w:tcPr>
            <w:tcW w:w="1242" w:type="dxa"/>
            <w:tcBorders>
              <w:left w:val="nil"/>
              <w:right w:val="nil"/>
            </w:tcBorders>
          </w:tcPr>
          <w:p w14:paraId="49492DC5" w14:textId="77777777" w:rsidR="00C21745" w:rsidRPr="006A628B" w:rsidRDefault="00C21745" w:rsidP="0045343D">
            <w:pPr>
              <w:jc w:val="center"/>
              <w:rPr>
                <w:lang w:val="en-US"/>
              </w:rPr>
            </w:pPr>
            <w:r w:rsidRPr="006A628B">
              <w:rPr>
                <w:lang w:val="en-US"/>
              </w:rPr>
              <w:t>Start CpG</w:t>
            </w:r>
          </w:p>
        </w:tc>
        <w:tc>
          <w:tcPr>
            <w:tcW w:w="851" w:type="dxa"/>
            <w:tcBorders>
              <w:left w:val="nil"/>
              <w:right w:val="nil"/>
            </w:tcBorders>
          </w:tcPr>
          <w:p w14:paraId="176DCA2B" w14:textId="77777777" w:rsidR="00C21745" w:rsidRPr="006A628B" w:rsidRDefault="00C21745" w:rsidP="0045343D">
            <w:pPr>
              <w:jc w:val="center"/>
              <w:rPr>
                <w:lang w:val="en-US"/>
              </w:rPr>
            </w:pPr>
            <w:r w:rsidRPr="006A628B">
              <w:rPr>
                <w:lang w:val="en-US"/>
              </w:rPr>
              <w:t>End CpG</w:t>
            </w:r>
          </w:p>
        </w:tc>
        <w:tc>
          <w:tcPr>
            <w:tcW w:w="1701" w:type="dxa"/>
            <w:tcBorders>
              <w:left w:val="nil"/>
              <w:right w:val="nil"/>
            </w:tcBorders>
          </w:tcPr>
          <w:p w14:paraId="69F180CD" w14:textId="77777777" w:rsidR="00C21745" w:rsidRPr="006A628B" w:rsidRDefault="00C21745" w:rsidP="0045343D">
            <w:pPr>
              <w:jc w:val="center"/>
              <w:rPr>
                <w:lang w:val="en-US"/>
              </w:rPr>
            </w:pPr>
            <w:r w:rsidRPr="006A628B">
              <w:rPr>
                <w:lang w:val="en-US"/>
              </w:rPr>
              <w:t>Length of amplicon (bp)</w:t>
            </w:r>
          </w:p>
        </w:tc>
        <w:tc>
          <w:tcPr>
            <w:tcW w:w="5315" w:type="dxa"/>
            <w:tcBorders>
              <w:left w:val="nil"/>
              <w:right w:val="nil"/>
            </w:tcBorders>
          </w:tcPr>
          <w:p w14:paraId="70E7269D" w14:textId="77777777" w:rsidR="00C21745" w:rsidRPr="006A628B" w:rsidRDefault="00C21745" w:rsidP="0045343D">
            <w:pPr>
              <w:jc w:val="center"/>
              <w:rPr>
                <w:lang w:val="en-US"/>
              </w:rPr>
            </w:pPr>
            <w:r w:rsidRPr="006A628B">
              <w:rPr>
                <w:lang w:val="en-US"/>
              </w:rPr>
              <w:t>Forward primer</w:t>
            </w:r>
          </w:p>
        </w:tc>
        <w:tc>
          <w:tcPr>
            <w:tcW w:w="5316" w:type="dxa"/>
            <w:tcBorders>
              <w:left w:val="nil"/>
              <w:right w:val="nil"/>
            </w:tcBorders>
          </w:tcPr>
          <w:p w14:paraId="6EC155AF" w14:textId="77777777" w:rsidR="00C21745" w:rsidRPr="006A628B" w:rsidRDefault="00C21745" w:rsidP="0045343D">
            <w:pPr>
              <w:jc w:val="center"/>
              <w:rPr>
                <w:lang w:val="en-US"/>
              </w:rPr>
            </w:pPr>
            <w:r w:rsidRPr="006A628B">
              <w:rPr>
                <w:lang w:val="en-US"/>
              </w:rPr>
              <w:t>Reverse primer</w:t>
            </w:r>
          </w:p>
        </w:tc>
      </w:tr>
      <w:tr w:rsidR="00C21745" w:rsidRPr="006A628B" w14:paraId="0278CEC1" w14:textId="77777777">
        <w:tc>
          <w:tcPr>
            <w:tcW w:w="1242" w:type="dxa"/>
            <w:tcBorders>
              <w:left w:val="nil"/>
              <w:bottom w:val="nil"/>
              <w:right w:val="nil"/>
            </w:tcBorders>
          </w:tcPr>
          <w:p w14:paraId="66BADE0E" w14:textId="77777777" w:rsidR="00C21745" w:rsidRPr="006A628B" w:rsidRDefault="00C21745" w:rsidP="0045343D">
            <w:pPr>
              <w:jc w:val="center"/>
              <w:rPr>
                <w:lang w:val="en-US"/>
              </w:rPr>
            </w:pPr>
            <w:r w:rsidRPr="006A628B">
              <w:rPr>
                <w:color w:val="000000"/>
              </w:rPr>
              <w:t>-1661</w:t>
            </w:r>
          </w:p>
        </w:tc>
        <w:tc>
          <w:tcPr>
            <w:tcW w:w="851" w:type="dxa"/>
            <w:tcBorders>
              <w:left w:val="nil"/>
              <w:bottom w:val="nil"/>
              <w:right w:val="nil"/>
            </w:tcBorders>
          </w:tcPr>
          <w:p w14:paraId="29E5B8C5" w14:textId="77777777" w:rsidR="00C21745" w:rsidRPr="006A628B" w:rsidRDefault="00C21745" w:rsidP="0045343D">
            <w:pPr>
              <w:jc w:val="center"/>
              <w:rPr>
                <w:lang w:val="en-US"/>
              </w:rPr>
            </w:pPr>
            <w:r w:rsidRPr="006A628B">
              <w:rPr>
                <w:lang w:val="en-US"/>
              </w:rPr>
              <w:t>-1665</w:t>
            </w:r>
          </w:p>
        </w:tc>
        <w:tc>
          <w:tcPr>
            <w:tcW w:w="1701" w:type="dxa"/>
            <w:tcBorders>
              <w:left w:val="nil"/>
              <w:bottom w:val="nil"/>
              <w:right w:val="nil"/>
            </w:tcBorders>
          </w:tcPr>
          <w:p w14:paraId="6CEE36CE" w14:textId="77777777" w:rsidR="00C21745" w:rsidRPr="006A628B" w:rsidRDefault="00C21745" w:rsidP="0045343D">
            <w:pPr>
              <w:jc w:val="center"/>
              <w:rPr>
                <w:lang w:val="en-US"/>
              </w:rPr>
            </w:pPr>
            <w:r w:rsidRPr="006A628B">
              <w:rPr>
                <w:lang w:val="en-US"/>
              </w:rPr>
              <w:t>168</w:t>
            </w:r>
          </w:p>
        </w:tc>
        <w:tc>
          <w:tcPr>
            <w:tcW w:w="5315" w:type="dxa"/>
            <w:tcBorders>
              <w:left w:val="nil"/>
              <w:bottom w:val="nil"/>
              <w:right w:val="nil"/>
            </w:tcBorders>
          </w:tcPr>
          <w:p w14:paraId="09B9637E" w14:textId="77777777" w:rsidR="00C21745" w:rsidRPr="006A628B" w:rsidRDefault="00C21745" w:rsidP="0045343D">
            <w:pPr>
              <w:jc w:val="center"/>
              <w:rPr>
                <w:rFonts w:eastAsia="Times New Roman"/>
              </w:rPr>
            </w:pPr>
            <w:r w:rsidRPr="006A628B">
              <w:rPr>
                <w:rFonts w:eastAsia="Times New Roman"/>
              </w:rPr>
              <w:t>GTATGGTGGTTTTGAGGATTGTT</w:t>
            </w:r>
          </w:p>
        </w:tc>
        <w:tc>
          <w:tcPr>
            <w:tcW w:w="5316" w:type="dxa"/>
            <w:tcBorders>
              <w:left w:val="nil"/>
              <w:bottom w:val="nil"/>
              <w:right w:val="nil"/>
            </w:tcBorders>
          </w:tcPr>
          <w:p w14:paraId="282A868E" w14:textId="77777777" w:rsidR="00C21745" w:rsidRPr="006A628B" w:rsidRDefault="00C21745" w:rsidP="0045343D">
            <w:pPr>
              <w:jc w:val="center"/>
              <w:rPr>
                <w:lang w:val="en-US"/>
              </w:rPr>
            </w:pPr>
            <w:r w:rsidRPr="006A628B">
              <w:rPr>
                <w:rFonts w:eastAsia="Times New Roman"/>
              </w:rPr>
              <w:t>AAAATACTCCCTAATTCTACCTTTCAACTA</w:t>
            </w:r>
          </w:p>
        </w:tc>
      </w:tr>
      <w:tr w:rsidR="00C21745" w:rsidRPr="006A628B" w14:paraId="29BFF4F4" w14:textId="77777777">
        <w:tc>
          <w:tcPr>
            <w:tcW w:w="2093" w:type="dxa"/>
            <w:gridSpan w:val="2"/>
            <w:tcBorders>
              <w:top w:val="nil"/>
              <w:left w:val="nil"/>
              <w:bottom w:val="nil"/>
              <w:right w:val="nil"/>
            </w:tcBorders>
          </w:tcPr>
          <w:p w14:paraId="6FA07B6E" w14:textId="77777777" w:rsidR="00C21745" w:rsidRPr="006A628B" w:rsidRDefault="00C21745" w:rsidP="0045343D">
            <w:pPr>
              <w:jc w:val="center"/>
              <w:rPr>
                <w:lang w:val="en-US"/>
              </w:rPr>
            </w:pPr>
            <w:r w:rsidRPr="006A628B">
              <w:rPr>
                <w:lang w:val="en-US"/>
              </w:rPr>
              <w:t>-1337</w:t>
            </w:r>
          </w:p>
        </w:tc>
        <w:tc>
          <w:tcPr>
            <w:tcW w:w="1701" w:type="dxa"/>
            <w:tcBorders>
              <w:top w:val="nil"/>
              <w:left w:val="nil"/>
              <w:bottom w:val="nil"/>
              <w:right w:val="nil"/>
            </w:tcBorders>
          </w:tcPr>
          <w:p w14:paraId="7AAC2970" w14:textId="77777777" w:rsidR="00C21745" w:rsidRPr="006A628B" w:rsidRDefault="00C21745" w:rsidP="0045343D">
            <w:pPr>
              <w:jc w:val="center"/>
              <w:rPr>
                <w:lang w:val="en-US"/>
              </w:rPr>
            </w:pPr>
            <w:r w:rsidRPr="006A628B">
              <w:rPr>
                <w:lang w:val="en-US"/>
              </w:rPr>
              <w:t>290</w:t>
            </w:r>
          </w:p>
        </w:tc>
        <w:tc>
          <w:tcPr>
            <w:tcW w:w="5315" w:type="dxa"/>
            <w:tcBorders>
              <w:top w:val="nil"/>
              <w:left w:val="nil"/>
              <w:bottom w:val="nil"/>
              <w:right w:val="nil"/>
            </w:tcBorders>
          </w:tcPr>
          <w:p w14:paraId="39BEB5FC" w14:textId="77777777" w:rsidR="00C21745" w:rsidRPr="006A628B" w:rsidRDefault="00C21745" w:rsidP="0045343D">
            <w:pPr>
              <w:jc w:val="center"/>
              <w:rPr>
                <w:lang w:val="en-US"/>
              </w:rPr>
            </w:pPr>
            <w:r w:rsidRPr="006A628B">
              <w:rPr>
                <w:color w:val="000000"/>
              </w:rPr>
              <w:t>TTGTTGTGAAATTTAGATTGGGTAGG</w:t>
            </w:r>
          </w:p>
        </w:tc>
        <w:tc>
          <w:tcPr>
            <w:tcW w:w="5316" w:type="dxa"/>
            <w:tcBorders>
              <w:top w:val="nil"/>
              <w:left w:val="nil"/>
              <w:bottom w:val="nil"/>
              <w:right w:val="nil"/>
            </w:tcBorders>
          </w:tcPr>
          <w:p w14:paraId="6458479B" w14:textId="77777777" w:rsidR="00C21745" w:rsidRPr="006A628B" w:rsidRDefault="00C21745" w:rsidP="0045343D">
            <w:pPr>
              <w:jc w:val="center"/>
              <w:rPr>
                <w:lang w:val="en-US"/>
              </w:rPr>
            </w:pPr>
            <w:r w:rsidRPr="006A628B">
              <w:rPr>
                <w:color w:val="000000"/>
              </w:rPr>
              <w:t>CCTAAAAAAAATAAACCTAACTACAT</w:t>
            </w:r>
          </w:p>
        </w:tc>
      </w:tr>
      <w:tr w:rsidR="00C21745" w:rsidRPr="006A628B" w14:paraId="09EF80F7" w14:textId="77777777">
        <w:tc>
          <w:tcPr>
            <w:tcW w:w="2093" w:type="dxa"/>
            <w:gridSpan w:val="2"/>
            <w:tcBorders>
              <w:top w:val="nil"/>
              <w:left w:val="nil"/>
              <w:bottom w:val="nil"/>
              <w:right w:val="nil"/>
            </w:tcBorders>
          </w:tcPr>
          <w:p w14:paraId="442500D8" w14:textId="77777777" w:rsidR="00C21745" w:rsidRPr="006A628B" w:rsidRDefault="00C21745" w:rsidP="0045343D">
            <w:pPr>
              <w:jc w:val="center"/>
              <w:rPr>
                <w:lang w:val="en-US"/>
              </w:rPr>
            </w:pPr>
            <w:r w:rsidRPr="006A628B">
              <w:rPr>
                <w:lang w:val="en-US"/>
              </w:rPr>
              <w:t>-1278</w:t>
            </w:r>
          </w:p>
        </w:tc>
        <w:tc>
          <w:tcPr>
            <w:tcW w:w="1701" w:type="dxa"/>
            <w:tcBorders>
              <w:top w:val="nil"/>
              <w:left w:val="nil"/>
              <w:bottom w:val="nil"/>
              <w:right w:val="nil"/>
            </w:tcBorders>
          </w:tcPr>
          <w:p w14:paraId="5A9E2DE4" w14:textId="77777777" w:rsidR="00C21745" w:rsidRPr="006A628B" w:rsidRDefault="00C21745" w:rsidP="0045343D">
            <w:pPr>
              <w:jc w:val="center"/>
              <w:rPr>
                <w:lang w:val="en-US"/>
              </w:rPr>
            </w:pPr>
            <w:r w:rsidRPr="006A628B">
              <w:rPr>
                <w:lang w:val="en-US"/>
              </w:rPr>
              <w:t>290</w:t>
            </w:r>
          </w:p>
        </w:tc>
        <w:tc>
          <w:tcPr>
            <w:tcW w:w="5315" w:type="dxa"/>
            <w:tcBorders>
              <w:top w:val="nil"/>
              <w:left w:val="nil"/>
              <w:bottom w:val="nil"/>
              <w:right w:val="nil"/>
            </w:tcBorders>
          </w:tcPr>
          <w:p w14:paraId="0153725A" w14:textId="77777777" w:rsidR="00C21745" w:rsidRPr="006A628B" w:rsidRDefault="00C21745" w:rsidP="0045343D">
            <w:pPr>
              <w:jc w:val="center"/>
              <w:rPr>
                <w:lang w:val="en-US"/>
              </w:rPr>
            </w:pPr>
            <w:r w:rsidRPr="006A628B">
              <w:rPr>
                <w:color w:val="000000"/>
              </w:rPr>
              <w:t>TTGTTGTGAAATTTAGATTGGGTAGG</w:t>
            </w:r>
          </w:p>
        </w:tc>
        <w:tc>
          <w:tcPr>
            <w:tcW w:w="5316" w:type="dxa"/>
            <w:tcBorders>
              <w:top w:val="nil"/>
              <w:left w:val="nil"/>
              <w:bottom w:val="nil"/>
              <w:right w:val="nil"/>
            </w:tcBorders>
          </w:tcPr>
          <w:p w14:paraId="79569719" w14:textId="77777777" w:rsidR="00C21745" w:rsidRPr="006A628B" w:rsidRDefault="00C21745" w:rsidP="0045343D">
            <w:pPr>
              <w:jc w:val="center"/>
              <w:rPr>
                <w:lang w:val="en-US"/>
              </w:rPr>
            </w:pPr>
            <w:r w:rsidRPr="006A628B">
              <w:rPr>
                <w:color w:val="000000"/>
              </w:rPr>
              <w:t>CCTAAAAAAAATAAACCTAACTACAT</w:t>
            </w:r>
          </w:p>
        </w:tc>
      </w:tr>
      <w:tr w:rsidR="00C21745" w:rsidRPr="006A628B" w14:paraId="587A5646" w14:textId="77777777">
        <w:tc>
          <w:tcPr>
            <w:tcW w:w="2093" w:type="dxa"/>
            <w:gridSpan w:val="2"/>
            <w:tcBorders>
              <w:top w:val="nil"/>
              <w:left w:val="nil"/>
              <w:bottom w:val="nil"/>
              <w:right w:val="nil"/>
            </w:tcBorders>
          </w:tcPr>
          <w:p w14:paraId="44332B84" w14:textId="77777777" w:rsidR="00C21745" w:rsidRPr="006A628B" w:rsidRDefault="00C21745" w:rsidP="0045343D">
            <w:pPr>
              <w:jc w:val="center"/>
              <w:rPr>
                <w:lang w:val="en-US"/>
              </w:rPr>
            </w:pPr>
            <w:r w:rsidRPr="006A628B">
              <w:rPr>
                <w:lang w:val="en-US"/>
              </w:rPr>
              <w:t>-1156</w:t>
            </w:r>
          </w:p>
        </w:tc>
        <w:tc>
          <w:tcPr>
            <w:tcW w:w="1701" w:type="dxa"/>
            <w:tcBorders>
              <w:top w:val="nil"/>
              <w:left w:val="nil"/>
              <w:bottom w:val="nil"/>
              <w:right w:val="nil"/>
            </w:tcBorders>
          </w:tcPr>
          <w:p w14:paraId="7A195219" w14:textId="77777777" w:rsidR="00C21745" w:rsidRPr="006A628B" w:rsidRDefault="00C21745" w:rsidP="0045343D">
            <w:pPr>
              <w:jc w:val="center"/>
              <w:rPr>
                <w:lang w:val="en-US"/>
              </w:rPr>
            </w:pPr>
            <w:r w:rsidRPr="006A628B">
              <w:rPr>
                <w:lang w:val="en-US"/>
              </w:rPr>
              <w:t>90</w:t>
            </w:r>
          </w:p>
        </w:tc>
        <w:tc>
          <w:tcPr>
            <w:tcW w:w="5315" w:type="dxa"/>
            <w:tcBorders>
              <w:top w:val="nil"/>
              <w:left w:val="nil"/>
              <w:bottom w:val="nil"/>
              <w:right w:val="nil"/>
            </w:tcBorders>
          </w:tcPr>
          <w:p w14:paraId="386F7F8B" w14:textId="77777777" w:rsidR="00C21745" w:rsidRPr="006A628B" w:rsidRDefault="00C21745" w:rsidP="0045343D">
            <w:pPr>
              <w:jc w:val="center"/>
              <w:rPr>
                <w:lang w:val="en-US"/>
              </w:rPr>
            </w:pPr>
            <w:r w:rsidRPr="006A628B">
              <w:rPr>
                <w:color w:val="000000"/>
              </w:rPr>
              <w:t>TTGTTGTGAAATTTAGATTGGGTAGG</w:t>
            </w:r>
          </w:p>
        </w:tc>
        <w:tc>
          <w:tcPr>
            <w:tcW w:w="5316" w:type="dxa"/>
            <w:tcBorders>
              <w:top w:val="nil"/>
              <w:left w:val="nil"/>
              <w:bottom w:val="nil"/>
              <w:right w:val="nil"/>
            </w:tcBorders>
          </w:tcPr>
          <w:p w14:paraId="287CD815" w14:textId="77777777" w:rsidR="00C21745" w:rsidRPr="006A628B" w:rsidRDefault="00C21745" w:rsidP="0045343D">
            <w:pPr>
              <w:jc w:val="center"/>
              <w:rPr>
                <w:lang w:val="en-US"/>
              </w:rPr>
            </w:pPr>
            <w:r w:rsidRPr="006A628B">
              <w:rPr>
                <w:color w:val="000000"/>
              </w:rPr>
              <w:t>CCTAAAAAAAATAAACCTAACTACAT</w:t>
            </w:r>
          </w:p>
        </w:tc>
      </w:tr>
      <w:tr w:rsidR="00C21745" w:rsidRPr="006A628B" w14:paraId="0549AE8B" w14:textId="77777777">
        <w:tc>
          <w:tcPr>
            <w:tcW w:w="1242" w:type="dxa"/>
            <w:tcBorders>
              <w:top w:val="nil"/>
              <w:left w:val="nil"/>
              <w:bottom w:val="nil"/>
              <w:right w:val="nil"/>
            </w:tcBorders>
          </w:tcPr>
          <w:p w14:paraId="684CA18E" w14:textId="77777777" w:rsidR="00C21745" w:rsidRPr="006A628B" w:rsidRDefault="00C21745" w:rsidP="0045343D">
            <w:pPr>
              <w:jc w:val="center"/>
              <w:rPr>
                <w:lang w:val="en-US"/>
              </w:rPr>
            </w:pPr>
            <w:r w:rsidRPr="006A628B">
              <w:rPr>
                <w:lang w:val="en-US"/>
              </w:rPr>
              <w:t>-119</w:t>
            </w:r>
          </w:p>
        </w:tc>
        <w:tc>
          <w:tcPr>
            <w:tcW w:w="851" w:type="dxa"/>
            <w:tcBorders>
              <w:top w:val="nil"/>
              <w:left w:val="nil"/>
              <w:bottom w:val="nil"/>
              <w:right w:val="nil"/>
            </w:tcBorders>
          </w:tcPr>
          <w:p w14:paraId="5EDEB487" w14:textId="77777777" w:rsidR="00C21745" w:rsidRPr="006A628B" w:rsidRDefault="00C21745" w:rsidP="0045343D">
            <w:pPr>
              <w:jc w:val="center"/>
              <w:rPr>
                <w:lang w:val="en-US"/>
              </w:rPr>
            </w:pPr>
            <w:r w:rsidRPr="006A628B">
              <w:rPr>
                <w:lang w:val="en-US"/>
              </w:rPr>
              <w:t>-1101</w:t>
            </w:r>
          </w:p>
        </w:tc>
        <w:tc>
          <w:tcPr>
            <w:tcW w:w="1701" w:type="dxa"/>
            <w:tcBorders>
              <w:top w:val="nil"/>
              <w:left w:val="nil"/>
              <w:bottom w:val="nil"/>
              <w:right w:val="nil"/>
            </w:tcBorders>
          </w:tcPr>
          <w:p w14:paraId="20C0871F" w14:textId="77777777" w:rsidR="00C21745" w:rsidRPr="006A628B" w:rsidRDefault="00C21745" w:rsidP="0045343D">
            <w:pPr>
              <w:jc w:val="center"/>
              <w:rPr>
                <w:lang w:val="en-US"/>
              </w:rPr>
            </w:pPr>
            <w:r w:rsidRPr="006A628B">
              <w:rPr>
                <w:lang w:val="en-US"/>
              </w:rPr>
              <w:t>319</w:t>
            </w:r>
          </w:p>
        </w:tc>
        <w:tc>
          <w:tcPr>
            <w:tcW w:w="5315" w:type="dxa"/>
            <w:tcBorders>
              <w:top w:val="nil"/>
              <w:left w:val="nil"/>
              <w:bottom w:val="nil"/>
              <w:right w:val="nil"/>
            </w:tcBorders>
          </w:tcPr>
          <w:p w14:paraId="150C6F34" w14:textId="77777777" w:rsidR="00C21745" w:rsidRPr="006A628B" w:rsidRDefault="00C21745" w:rsidP="0045343D">
            <w:pPr>
              <w:jc w:val="center"/>
              <w:rPr>
                <w:lang w:val="en-US"/>
              </w:rPr>
            </w:pPr>
            <w:r w:rsidRPr="006A628B">
              <w:rPr>
                <w:color w:val="000000"/>
              </w:rPr>
              <w:t>ATTTGAGGGTTTTATAATTTTTTTAGTGAT</w:t>
            </w:r>
          </w:p>
        </w:tc>
        <w:tc>
          <w:tcPr>
            <w:tcW w:w="5316" w:type="dxa"/>
            <w:tcBorders>
              <w:top w:val="nil"/>
              <w:left w:val="nil"/>
              <w:bottom w:val="nil"/>
              <w:right w:val="nil"/>
            </w:tcBorders>
          </w:tcPr>
          <w:p w14:paraId="1912E78C" w14:textId="77777777" w:rsidR="00C21745" w:rsidRPr="006A628B" w:rsidRDefault="00C21745" w:rsidP="0045343D">
            <w:pPr>
              <w:jc w:val="center"/>
              <w:rPr>
                <w:lang w:val="en-US"/>
              </w:rPr>
            </w:pPr>
            <w:r w:rsidRPr="006A628B">
              <w:rPr>
                <w:color w:val="000000"/>
              </w:rPr>
              <w:t>ACCCTAATCTCAATAAACTCAATCT</w:t>
            </w:r>
          </w:p>
        </w:tc>
      </w:tr>
      <w:tr w:rsidR="00C21745" w:rsidRPr="006A628B" w14:paraId="3E3D0D19" w14:textId="77777777">
        <w:tc>
          <w:tcPr>
            <w:tcW w:w="1242" w:type="dxa"/>
            <w:tcBorders>
              <w:top w:val="nil"/>
              <w:left w:val="nil"/>
              <w:bottom w:val="nil"/>
              <w:right w:val="nil"/>
            </w:tcBorders>
          </w:tcPr>
          <w:p w14:paraId="76B9C550" w14:textId="77777777" w:rsidR="00C21745" w:rsidRPr="006A628B" w:rsidRDefault="00C21745" w:rsidP="0045343D">
            <w:pPr>
              <w:jc w:val="center"/>
              <w:rPr>
                <w:lang w:val="en-US"/>
              </w:rPr>
            </w:pPr>
            <w:r w:rsidRPr="006A628B">
              <w:rPr>
                <w:lang w:val="en-US"/>
              </w:rPr>
              <w:t>-1071</w:t>
            </w:r>
          </w:p>
        </w:tc>
        <w:tc>
          <w:tcPr>
            <w:tcW w:w="851" w:type="dxa"/>
            <w:tcBorders>
              <w:top w:val="nil"/>
              <w:left w:val="nil"/>
              <w:bottom w:val="nil"/>
              <w:right w:val="nil"/>
            </w:tcBorders>
          </w:tcPr>
          <w:p w14:paraId="4FD37E74" w14:textId="77777777" w:rsidR="00C21745" w:rsidRPr="006A628B" w:rsidRDefault="00C21745" w:rsidP="0045343D">
            <w:pPr>
              <w:jc w:val="center"/>
              <w:rPr>
                <w:lang w:val="en-US"/>
              </w:rPr>
            </w:pPr>
            <w:r w:rsidRPr="006A628B">
              <w:rPr>
                <w:lang w:val="en-US"/>
              </w:rPr>
              <w:t>-1056</w:t>
            </w:r>
          </w:p>
        </w:tc>
        <w:tc>
          <w:tcPr>
            <w:tcW w:w="1701" w:type="dxa"/>
            <w:tcBorders>
              <w:top w:val="nil"/>
              <w:left w:val="nil"/>
              <w:bottom w:val="nil"/>
              <w:right w:val="nil"/>
            </w:tcBorders>
          </w:tcPr>
          <w:p w14:paraId="7FA713A9" w14:textId="77777777" w:rsidR="00C21745" w:rsidRPr="006A628B" w:rsidRDefault="00C21745" w:rsidP="0045343D">
            <w:pPr>
              <w:jc w:val="center"/>
              <w:rPr>
                <w:lang w:val="en-US"/>
              </w:rPr>
            </w:pPr>
            <w:r w:rsidRPr="006A628B">
              <w:rPr>
                <w:lang w:val="en-US"/>
              </w:rPr>
              <w:t>218</w:t>
            </w:r>
          </w:p>
        </w:tc>
        <w:tc>
          <w:tcPr>
            <w:tcW w:w="5315" w:type="dxa"/>
            <w:tcBorders>
              <w:top w:val="nil"/>
              <w:left w:val="nil"/>
              <w:bottom w:val="nil"/>
              <w:right w:val="nil"/>
            </w:tcBorders>
          </w:tcPr>
          <w:p w14:paraId="47AA2D56" w14:textId="77777777" w:rsidR="00C21745" w:rsidRPr="006A628B" w:rsidRDefault="00C21745" w:rsidP="0045343D">
            <w:pPr>
              <w:jc w:val="center"/>
              <w:rPr>
                <w:rFonts w:eastAsia="Times New Roman"/>
              </w:rPr>
            </w:pPr>
            <w:r w:rsidRPr="006A628B">
              <w:rPr>
                <w:rFonts w:eastAsia="Times New Roman"/>
              </w:rPr>
              <w:t>ATTTGAGGGTTTTATAATTTTTTTAGTGAT</w:t>
            </w:r>
          </w:p>
        </w:tc>
        <w:tc>
          <w:tcPr>
            <w:tcW w:w="5316" w:type="dxa"/>
            <w:tcBorders>
              <w:top w:val="nil"/>
              <w:left w:val="nil"/>
              <w:bottom w:val="nil"/>
              <w:right w:val="nil"/>
            </w:tcBorders>
          </w:tcPr>
          <w:p w14:paraId="669A084B" w14:textId="77777777" w:rsidR="00C21745" w:rsidRPr="006A628B" w:rsidRDefault="00C21745" w:rsidP="0045343D">
            <w:pPr>
              <w:jc w:val="center"/>
              <w:rPr>
                <w:lang w:val="en-US"/>
              </w:rPr>
            </w:pPr>
            <w:r w:rsidRPr="006A628B">
              <w:rPr>
                <w:color w:val="000000"/>
              </w:rPr>
              <w:t>CCCTAATCTCAATAAACTCAATCTCTT</w:t>
            </w:r>
          </w:p>
        </w:tc>
      </w:tr>
      <w:tr w:rsidR="00C21745" w:rsidRPr="006A628B" w14:paraId="45A02E47" w14:textId="77777777">
        <w:tc>
          <w:tcPr>
            <w:tcW w:w="1242" w:type="dxa"/>
            <w:tcBorders>
              <w:top w:val="nil"/>
              <w:left w:val="nil"/>
              <w:bottom w:val="nil"/>
              <w:right w:val="nil"/>
            </w:tcBorders>
          </w:tcPr>
          <w:p w14:paraId="472C487B" w14:textId="77777777" w:rsidR="00C21745" w:rsidRPr="006A628B" w:rsidRDefault="00C21745" w:rsidP="0045343D">
            <w:pPr>
              <w:jc w:val="center"/>
              <w:rPr>
                <w:lang w:val="en-US"/>
              </w:rPr>
            </w:pPr>
            <w:r w:rsidRPr="006A628B">
              <w:rPr>
                <w:lang w:val="en-US"/>
              </w:rPr>
              <w:t>-1013</w:t>
            </w:r>
          </w:p>
        </w:tc>
        <w:tc>
          <w:tcPr>
            <w:tcW w:w="851" w:type="dxa"/>
            <w:tcBorders>
              <w:top w:val="nil"/>
              <w:left w:val="nil"/>
              <w:bottom w:val="nil"/>
              <w:right w:val="nil"/>
            </w:tcBorders>
          </w:tcPr>
          <w:p w14:paraId="08E56CB4" w14:textId="77777777" w:rsidR="00C21745" w:rsidRPr="006A628B" w:rsidRDefault="00C21745" w:rsidP="0045343D">
            <w:pPr>
              <w:jc w:val="center"/>
              <w:rPr>
                <w:lang w:val="en-US"/>
              </w:rPr>
            </w:pPr>
            <w:r w:rsidRPr="006A628B">
              <w:rPr>
                <w:lang w:val="en-US"/>
              </w:rPr>
              <w:t>-975</w:t>
            </w:r>
          </w:p>
        </w:tc>
        <w:tc>
          <w:tcPr>
            <w:tcW w:w="1701" w:type="dxa"/>
            <w:tcBorders>
              <w:top w:val="nil"/>
              <w:left w:val="nil"/>
              <w:bottom w:val="nil"/>
              <w:right w:val="nil"/>
            </w:tcBorders>
          </w:tcPr>
          <w:p w14:paraId="6487FCF2" w14:textId="77777777" w:rsidR="00C21745" w:rsidRPr="006A628B" w:rsidRDefault="00C21745" w:rsidP="0045343D">
            <w:pPr>
              <w:jc w:val="center"/>
              <w:rPr>
                <w:lang w:val="en-US"/>
              </w:rPr>
            </w:pPr>
            <w:r w:rsidRPr="006A628B">
              <w:rPr>
                <w:lang w:val="en-US"/>
              </w:rPr>
              <w:t>323</w:t>
            </w:r>
          </w:p>
        </w:tc>
        <w:tc>
          <w:tcPr>
            <w:tcW w:w="5315" w:type="dxa"/>
            <w:tcBorders>
              <w:top w:val="nil"/>
              <w:left w:val="nil"/>
              <w:bottom w:val="nil"/>
              <w:right w:val="nil"/>
            </w:tcBorders>
          </w:tcPr>
          <w:p w14:paraId="4FFFBBA9" w14:textId="77777777" w:rsidR="00C21745" w:rsidRPr="006A628B" w:rsidRDefault="00C21745" w:rsidP="0045343D">
            <w:pPr>
              <w:jc w:val="center"/>
              <w:rPr>
                <w:lang w:val="en-US"/>
              </w:rPr>
            </w:pPr>
            <w:r w:rsidRPr="006A628B">
              <w:rPr>
                <w:color w:val="000000"/>
              </w:rPr>
              <w:t>ATTTGAGGGTTTTATAATTTTTTTAGTGAT</w:t>
            </w:r>
          </w:p>
        </w:tc>
        <w:tc>
          <w:tcPr>
            <w:tcW w:w="5316" w:type="dxa"/>
            <w:tcBorders>
              <w:top w:val="nil"/>
              <w:left w:val="nil"/>
              <w:bottom w:val="nil"/>
              <w:right w:val="nil"/>
            </w:tcBorders>
          </w:tcPr>
          <w:p w14:paraId="20CF23E1" w14:textId="77777777" w:rsidR="00C21745" w:rsidRPr="006A628B" w:rsidRDefault="00C21745" w:rsidP="0045343D">
            <w:pPr>
              <w:jc w:val="center"/>
              <w:rPr>
                <w:lang w:val="en-US"/>
              </w:rPr>
            </w:pPr>
            <w:r w:rsidRPr="006A628B">
              <w:rPr>
                <w:color w:val="000000"/>
              </w:rPr>
              <w:t>CCTTACCCTAATCTCAATAAACTCAATC</w:t>
            </w:r>
          </w:p>
        </w:tc>
      </w:tr>
      <w:tr w:rsidR="00C21745" w:rsidRPr="006A628B" w14:paraId="16E2E87D" w14:textId="77777777">
        <w:tc>
          <w:tcPr>
            <w:tcW w:w="1242" w:type="dxa"/>
            <w:tcBorders>
              <w:top w:val="nil"/>
              <w:left w:val="nil"/>
              <w:bottom w:val="nil"/>
              <w:right w:val="nil"/>
            </w:tcBorders>
          </w:tcPr>
          <w:p w14:paraId="2D1C34D5" w14:textId="77777777" w:rsidR="00C21745" w:rsidRPr="006A628B" w:rsidRDefault="00C21745" w:rsidP="0045343D">
            <w:pPr>
              <w:jc w:val="center"/>
              <w:rPr>
                <w:lang w:val="en-US"/>
              </w:rPr>
            </w:pPr>
            <w:r w:rsidRPr="006A628B">
              <w:rPr>
                <w:lang w:val="en-US"/>
              </w:rPr>
              <w:t>-914</w:t>
            </w:r>
          </w:p>
        </w:tc>
        <w:tc>
          <w:tcPr>
            <w:tcW w:w="851" w:type="dxa"/>
            <w:tcBorders>
              <w:top w:val="nil"/>
              <w:left w:val="nil"/>
              <w:bottom w:val="nil"/>
              <w:right w:val="nil"/>
            </w:tcBorders>
          </w:tcPr>
          <w:p w14:paraId="2E239D75" w14:textId="77777777" w:rsidR="00C21745" w:rsidRPr="006A628B" w:rsidRDefault="00C21745" w:rsidP="0045343D">
            <w:pPr>
              <w:jc w:val="center"/>
              <w:rPr>
                <w:lang w:val="en-US"/>
              </w:rPr>
            </w:pPr>
            <w:r w:rsidRPr="006A628B">
              <w:rPr>
                <w:lang w:val="en-US"/>
              </w:rPr>
              <w:t>-855</w:t>
            </w:r>
          </w:p>
        </w:tc>
        <w:tc>
          <w:tcPr>
            <w:tcW w:w="1701" w:type="dxa"/>
            <w:tcBorders>
              <w:top w:val="nil"/>
              <w:left w:val="nil"/>
              <w:bottom w:val="nil"/>
              <w:right w:val="nil"/>
            </w:tcBorders>
          </w:tcPr>
          <w:p w14:paraId="275C4F52" w14:textId="77777777" w:rsidR="00C21745" w:rsidRPr="006A628B" w:rsidRDefault="00C21745" w:rsidP="0045343D">
            <w:pPr>
              <w:jc w:val="center"/>
              <w:rPr>
                <w:lang w:val="en-US"/>
              </w:rPr>
            </w:pPr>
            <w:r w:rsidRPr="006A628B">
              <w:rPr>
                <w:lang w:val="en-US"/>
              </w:rPr>
              <w:t>199</w:t>
            </w:r>
          </w:p>
        </w:tc>
        <w:tc>
          <w:tcPr>
            <w:tcW w:w="5315" w:type="dxa"/>
            <w:tcBorders>
              <w:top w:val="nil"/>
              <w:left w:val="nil"/>
              <w:bottom w:val="nil"/>
              <w:right w:val="nil"/>
            </w:tcBorders>
          </w:tcPr>
          <w:p w14:paraId="1B5BD103" w14:textId="77777777" w:rsidR="00C21745" w:rsidRPr="006A628B" w:rsidRDefault="00C21745" w:rsidP="0045343D">
            <w:pPr>
              <w:jc w:val="center"/>
              <w:rPr>
                <w:lang w:val="en-US"/>
              </w:rPr>
            </w:pPr>
            <w:r w:rsidRPr="006A628B">
              <w:rPr>
                <w:color w:val="000000"/>
              </w:rPr>
              <w:t>GGTAGTTTTTATTTGTTGGAGTTTGTAT</w:t>
            </w:r>
          </w:p>
        </w:tc>
        <w:tc>
          <w:tcPr>
            <w:tcW w:w="5316" w:type="dxa"/>
            <w:tcBorders>
              <w:top w:val="nil"/>
              <w:left w:val="nil"/>
              <w:bottom w:val="nil"/>
              <w:right w:val="nil"/>
            </w:tcBorders>
          </w:tcPr>
          <w:p w14:paraId="2C6E19DC" w14:textId="77777777" w:rsidR="00C21745" w:rsidRPr="006A628B" w:rsidRDefault="00C21745" w:rsidP="0045343D">
            <w:pPr>
              <w:jc w:val="center"/>
              <w:rPr>
                <w:lang w:val="en-US"/>
              </w:rPr>
            </w:pPr>
            <w:r w:rsidRPr="006A628B">
              <w:rPr>
                <w:color w:val="000000"/>
              </w:rPr>
              <w:t>AAACCTCTACTCTACTTTCTTAATCT</w:t>
            </w:r>
          </w:p>
        </w:tc>
      </w:tr>
      <w:tr w:rsidR="00C21745" w:rsidRPr="006A628B" w14:paraId="19A644D8" w14:textId="77777777">
        <w:tc>
          <w:tcPr>
            <w:tcW w:w="1242" w:type="dxa"/>
            <w:tcBorders>
              <w:top w:val="nil"/>
              <w:left w:val="nil"/>
              <w:bottom w:val="nil"/>
              <w:right w:val="nil"/>
            </w:tcBorders>
          </w:tcPr>
          <w:p w14:paraId="19FDB58A" w14:textId="77777777" w:rsidR="00C21745" w:rsidRPr="006A628B" w:rsidRDefault="00C21745" w:rsidP="0045343D">
            <w:pPr>
              <w:jc w:val="center"/>
              <w:rPr>
                <w:lang w:val="en-US"/>
              </w:rPr>
            </w:pPr>
            <w:r w:rsidRPr="006A628B">
              <w:rPr>
                <w:lang w:val="en-US"/>
              </w:rPr>
              <w:t>-817</w:t>
            </w:r>
          </w:p>
        </w:tc>
        <w:tc>
          <w:tcPr>
            <w:tcW w:w="851" w:type="dxa"/>
            <w:tcBorders>
              <w:top w:val="nil"/>
              <w:left w:val="nil"/>
              <w:bottom w:val="nil"/>
              <w:right w:val="nil"/>
            </w:tcBorders>
          </w:tcPr>
          <w:p w14:paraId="352A3677" w14:textId="77777777" w:rsidR="00C21745" w:rsidRPr="006A628B" w:rsidRDefault="00C21745" w:rsidP="0045343D">
            <w:pPr>
              <w:jc w:val="center"/>
              <w:rPr>
                <w:lang w:val="en-US"/>
              </w:rPr>
            </w:pPr>
            <w:r w:rsidRPr="006A628B">
              <w:rPr>
                <w:lang w:val="en-US"/>
              </w:rPr>
              <w:t>-775</w:t>
            </w:r>
          </w:p>
        </w:tc>
        <w:tc>
          <w:tcPr>
            <w:tcW w:w="1701" w:type="dxa"/>
            <w:tcBorders>
              <w:top w:val="nil"/>
              <w:left w:val="nil"/>
              <w:bottom w:val="nil"/>
              <w:right w:val="nil"/>
            </w:tcBorders>
          </w:tcPr>
          <w:p w14:paraId="2F784A13" w14:textId="77777777" w:rsidR="00C21745" w:rsidRPr="006A628B" w:rsidRDefault="00C21745" w:rsidP="0045343D">
            <w:pPr>
              <w:jc w:val="center"/>
              <w:rPr>
                <w:lang w:val="en-US"/>
              </w:rPr>
            </w:pPr>
            <w:r w:rsidRPr="006A628B">
              <w:rPr>
                <w:lang w:val="en-US"/>
              </w:rPr>
              <w:t>167</w:t>
            </w:r>
          </w:p>
        </w:tc>
        <w:tc>
          <w:tcPr>
            <w:tcW w:w="5315" w:type="dxa"/>
            <w:tcBorders>
              <w:top w:val="nil"/>
              <w:left w:val="nil"/>
              <w:bottom w:val="nil"/>
              <w:right w:val="nil"/>
            </w:tcBorders>
          </w:tcPr>
          <w:p w14:paraId="34BE8263" w14:textId="77777777" w:rsidR="00C21745" w:rsidRPr="006A628B" w:rsidRDefault="00C21745" w:rsidP="0045343D">
            <w:pPr>
              <w:jc w:val="center"/>
              <w:rPr>
                <w:lang w:val="en-US"/>
              </w:rPr>
            </w:pPr>
            <w:r w:rsidRPr="006A628B">
              <w:rPr>
                <w:color w:val="000000"/>
              </w:rPr>
              <w:t>ATTGAGTTTATTGAGATTAGGGTAAGG</w:t>
            </w:r>
          </w:p>
        </w:tc>
        <w:tc>
          <w:tcPr>
            <w:tcW w:w="5316" w:type="dxa"/>
            <w:tcBorders>
              <w:top w:val="nil"/>
              <w:left w:val="nil"/>
              <w:bottom w:val="nil"/>
              <w:right w:val="nil"/>
            </w:tcBorders>
          </w:tcPr>
          <w:p w14:paraId="0B9CCE62" w14:textId="77777777" w:rsidR="00C21745" w:rsidRPr="006A628B" w:rsidRDefault="00C21745" w:rsidP="0045343D">
            <w:pPr>
              <w:jc w:val="center"/>
              <w:rPr>
                <w:lang w:val="en-US"/>
              </w:rPr>
            </w:pPr>
            <w:r w:rsidRPr="006A628B">
              <w:rPr>
                <w:color w:val="000000"/>
              </w:rPr>
              <w:t>ACTTTAAACCCTCTAATCAAACAATCTT</w:t>
            </w:r>
          </w:p>
        </w:tc>
      </w:tr>
      <w:tr w:rsidR="00C21745" w:rsidRPr="006A628B" w14:paraId="4E8CB373" w14:textId="77777777">
        <w:tc>
          <w:tcPr>
            <w:tcW w:w="1242" w:type="dxa"/>
            <w:tcBorders>
              <w:top w:val="nil"/>
              <w:left w:val="nil"/>
              <w:bottom w:val="nil"/>
              <w:right w:val="nil"/>
            </w:tcBorders>
          </w:tcPr>
          <w:p w14:paraId="1AABD1A3" w14:textId="77777777" w:rsidR="00C21745" w:rsidRPr="006A628B" w:rsidRDefault="00C21745" w:rsidP="0045343D">
            <w:pPr>
              <w:jc w:val="center"/>
              <w:rPr>
                <w:lang w:val="en-US"/>
              </w:rPr>
            </w:pPr>
            <w:r w:rsidRPr="006A628B">
              <w:rPr>
                <w:lang w:val="en-US"/>
              </w:rPr>
              <w:t>-718</w:t>
            </w:r>
          </w:p>
        </w:tc>
        <w:tc>
          <w:tcPr>
            <w:tcW w:w="851" w:type="dxa"/>
            <w:tcBorders>
              <w:top w:val="nil"/>
              <w:left w:val="nil"/>
              <w:bottom w:val="nil"/>
              <w:right w:val="nil"/>
            </w:tcBorders>
          </w:tcPr>
          <w:p w14:paraId="4C961269" w14:textId="77777777" w:rsidR="00C21745" w:rsidRPr="006A628B" w:rsidRDefault="00C21745" w:rsidP="0045343D">
            <w:pPr>
              <w:jc w:val="center"/>
              <w:rPr>
                <w:lang w:val="en-US"/>
              </w:rPr>
            </w:pPr>
            <w:r w:rsidRPr="006A628B">
              <w:rPr>
                <w:lang w:val="en-US"/>
              </w:rPr>
              <w:t>-667</w:t>
            </w:r>
          </w:p>
        </w:tc>
        <w:tc>
          <w:tcPr>
            <w:tcW w:w="1701" w:type="dxa"/>
            <w:tcBorders>
              <w:top w:val="nil"/>
              <w:left w:val="nil"/>
              <w:bottom w:val="nil"/>
              <w:right w:val="nil"/>
            </w:tcBorders>
          </w:tcPr>
          <w:p w14:paraId="344D28D3" w14:textId="77777777" w:rsidR="00C21745" w:rsidRPr="006A628B" w:rsidRDefault="00C21745" w:rsidP="0045343D">
            <w:pPr>
              <w:jc w:val="center"/>
              <w:rPr>
                <w:lang w:val="en-US"/>
              </w:rPr>
            </w:pPr>
            <w:r w:rsidRPr="006A628B">
              <w:rPr>
                <w:lang w:val="en-US"/>
              </w:rPr>
              <w:t>116</w:t>
            </w:r>
          </w:p>
        </w:tc>
        <w:tc>
          <w:tcPr>
            <w:tcW w:w="5315" w:type="dxa"/>
            <w:tcBorders>
              <w:top w:val="nil"/>
              <w:left w:val="nil"/>
              <w:bottom w:val="nil"/>
              <w:right w:val="nil"/>
            </w:tcBorders>
          </w:tcPr>
          <w:p w14:paraId="0F2408F6" w14:textId="77777777" w:rsidR="00C21745" w:rsidRPr="006A628B" w:rsidRDefault="00C21745" w:rsidP="0045343D">
            <w:pPr>
              <w:jc w:val="center"/>
              <w:rPr>
                <w:lang w:val="en-US"/>
              </w:rPr>
            </w:pPr>
            <w:r w:rsidRPr="006A628B">
              <w:rPr>
                <w:color w:val="000000"/>
              </w:rPr>
              <w:t>ATTGTTTGATTAGAGGGTTTAAAGTT</w:t>
            </w:r>
          </w:p>
        </w:tc>
        <w:tc>
          <w:tcPr>
            <w:tcW w:w="5316" w:type="dxa"/>
            <w:tcBorders>
              <w:top w:val="nil"/>
              <w:left w:val="nil"/>
              <w:bottom w:val="nil"/>
              <w:right w:val="nil"/>
            </w:tcBorders>
          </w:tcPr>
          <w:p w14:paraId="747884D4" w14:textId="77777777" w:rsidR="00C21745" w:rsidRPr="006A628B" w:rsidRDefault="00C21745" w:rsidP="0045343D">
            <w:pPr>
              <w:jc w:val="center"/>
              <w:rPr>
                <w:lang w:val="en-US"/>
              </w:rPr>
            </w:pPr>
            <w:r w:rsidRPr="006A628B">
              <w:rPr>
                <w:color w:val="000000"/>
              </w:rPr>
              <w:t>AAACTCCAATATCCCACATTAT</w:t>
            </w:r>
          </w:p>
        </w:tc>
      </w:tr>
      <w:tr w:rsidR="00C21745" w:rsidRPr="006A628B" w14:paraId="50381CCA" w14:textId="77777777">
        <w:tc>
          <w:tcPr>
            <w:tcW w:w="1242" w:type="dxa"/>
            <w:tcBorders>
              <w:top w:val="nil"/>
              <w:left w:val="nil"/>
              <w:bottom w:val="nil"/>
              <w:right w:val="nil"/>
            </w:tcBorders>
          </w:tcPr>
          <w:p w14:paraId="06CD1521" w14:textId="77777777" w:rsidR="00C21745" w:rsidRPr="006A628B" w:rsidRDefault="00C21745" w:rsidP="0045343D">
            <w:pPr>
              <w:jc w:val="center"/>
              <w:rPr>
                <w:lang w:val="en-US"/>
              </w:rPr>
            </w:pPr>
          </w:p>
        </w:tc>
        <w:tc>
          <w:tcPr>
            <w:tcW w:w="2552" w:type="dxa"/>
            <w:gridSpan w:val="2"/>
            <w:tcBorders>
              <w:top w:val="nil"/>
              <w:left w:val="nil"/>
              <w:bottom w:val="nil"/>
              <w:right w:val="nil"/>
            </w:tcBorders>
          </w:tcPr>
          <w:p w14:paraId="04B03802" w14:textId="77777777" w:rsidR="00C21745" w:rsidRPr="006A628B" w:rsidRDefault="00C21745" w:rsidP="0045343D">
            <w:pPr>
              <w:jc w:val="center"/>
              <w:rPr>
                <w:lang w:val="en-US"/>
              </w:rPr>
            </w:pPr>
          </w:p>
        </w:tc>
        <w:tc>
          <w:tcPr>
            <w:tcW w:w="5315" w:type="dxa"/>
            <w:tcBorders>
              <w:top w:val="nil"/>
              <w:left w:val="nil"/>
              <w:bottom w:val="nil"/>
              <w:right w:val="nil"/>
            </w:tcBorders>
          </w:tcPr>
          <w:p w14:paraId="77614DDC" w14:textId="77777777" w:rsidR="00C21745" w:rsidRPr="006A628B" w:rsidRDefault="00C21745" w:rsidP="0045343D">
            <w:pPr>
              <w:jc w:val="center"/>
              <w:rPr>
                <w:lang w:val="en-US"/>
              </w:rPr>
            </w:pPr>
          </w:p>
        </w:tc>
        <w:tc>
          <w:tcPr>
            <w:tcW w:w="5316" w:type="dxa"/>
            <w:tcBorders>
              <w:top w:val="nil"/>
              <w:left w:val="nil"/>
              <w:bottom w:val="nil"/>
              <w:right w:val="nil"/>
            </w:tcBorders>
          </w:tcPr>
          <w:p w14:paraId="6AF4E668" w14:textId="77777777" w:rsidR="00C21745" w:rsidRPr="006A628B" w:rsidRDefault="00C21745" w:rsidP="0045343D">
            <w:pPr>
              <w:jc w:val="center"/>
              <w:rPr>
                <w:lang w:val="en-US"/>
              </w:rPr>
            </w:pPr>
          </w:p>
        </w:tc>
      </w:tr>
      <w:tr w:rsidR="00C21745" w:rsidRPr="006A628B" w14:paraId="6DBF25F2" w14:textId="77777777">
        <w:tc>
          <w:tcPr>
            <w:tcW w:w="3794" w:type="dxa"/>
            <w:gridSpan w:val="3"/>
            <w:tcBorders>
              <w:top w:val="nil"/>
              <w:left w:val="nil"/>
              <w:bottom w:val="nil"/>
              <w:right w:val="nil"/>
            </w:tcBorders>
          </w:tcPr>
          <w:p w14:paraId="13B558B6" w14:textId="77777777" w:rsidR="00C21745" w:rsidRPr="006A628B" w:rsidRDefault="00C21745" w:rsidP="0045343D">
            <w:pPr>
              <w:jc w:val="center"/>
              <w:rPr>
                <w:lang w:val="en-US"/>
              </w:rPr>
            </w:pPr>
          </w:p>
        </w:tc>
        <w:tc>
          <w:tcPr>
            <w:tcW w:w="10631" w:type="dxa"/>
            <w:gridSpan w:val="2"/>
            <w:tcBorders>
              <w:top w:val="nil"/>
              <w:left w:val="nil"/>
              <w:bottom w:val="nil"/>
              <w:right w:val="nil"/>
            </w:tcBorders>
          </w:tcPr>
          <w:p w14:paraId="2F19041A" w14:textId="77777777" w:rsidR="00C21745" w:rsidRPr="006A628B" w:rsidRDefault="00C21745" w:rsidP="0045343D">
            <w:pPr>
              <w:jc w:val="center"/>
              <w:rPr>
                <w:lang w:val="en-US"/>
              </w:rPr>
            </w:pPr>
            <w:r w:rsidRPr="006A628B">
              <w:rPr>
                <w:lang w:val="en-US"/>
              </w:rPr>
              <w:t>Sequencing primers</w:t>
            </w:r>
          </w:p>
        </w:tc>
      </w:tr>
      <w:tr w:rsidR="00C21745" w:rsidRPr="006A628B" w14:paraId="41157FEF" w14:textId="77777777">
        <w:tc>
          <w:tcPr>
            <w:tcW w:w="3794" w:type="dxa"/>
            <w:gridSpan w:val="3"/>
            <w:tcBorders>
              <w:top w:val="nil"/>
              <w:left w:val="nil"/>
              <w:bottom w:val="nil"/>
              <w:right w:val="nil"/>
            </w:tcBorders>
          </w:tcPr>
          <w:p w14:paraId="591FA036" w14:textId="77777777" w:rsidR="00C21745" w:rsidRPr="006A628B" w:rsidRDefault="00C21745" w:rsidP="0045343D">
            <w:pPr>
              <w:jc w:val="center"/>
              <w:rPr>
                <w:lang w:val="en-US"/>
              </w:rPr>
            </w:pPr>
          </w:p>
        </w:tc>
        <w:tc>
          <w:tcPr>
            <w:tcW w:w="10631" w:type="dxa"/>
            <w:gridSpan w:val="2"/>
            <w:tcBorders>
              <w:top w:val="nil"/>
              <w:left w:val="nil"/>
              <w:bottom w:val="nil"/>
              <w:right w:val="nil"/>
            </w:tcBorders>
          </w:tcPr>
          <w:p w14:paraId="2D5215A7" w14:textId="77777777" w:rsidR="00C21745" w:rsidRPr="006A628B" w:rsidRDefault="00C21745" w:rsidP="0045343D">
            <w:pPr>
              <w:jc w:val="center"/>
              <w:rPr>
                <w:lang w:val="en-US"/>
              </w:rPr>
            </w:pPr>
            <w:r w:rsidRPr="006A628B">
              <w:rPr>
                <w:color w:val="000000"/>
              </w:rPr>
              <w:t>TGGTTTTGAGGATTGTTAA</w:t>
            </w:r>
          </w:p>
        </w:tc>
      </w:tr>
      <w:tr w:rsidR="00C21745" w:rsidRPr="006A628B" w14:paraId="79A9BEE1" w14:textId="77777777">
        <w:tc>
          <w:tcPr>
            <w:tcW w:w="3794" w:type="dxa"/>
            <w:gridSpan w:val="3"/>
            <w:tcBorders>
              <w:top w:val="nil"/>
              <w:left w:val="nil"/>
              <w:bottom w:val="nil"/>
              <w:right w:val="nil"/>
            </w:tcBorders>
          </w:tcPr>
          <w:p w14:paraId="70D9CC9D" w14:textId="77777777" w:rsidR="00C21745" w:rsidRPr="006A628B" w:rsidRDefault="00C21745" w:rsidP="0045343D">
            <w:pPr>
              <w:jc w:val="center"/>
              <w:rPr>
                <w:lang w:val="en-US"/>
              </w:rPr>
            </w:pPr>
          </w:p>
        </w:tc>
        <w:tc>
          <w:tcPr>
            <w:tcW w:w="10631" w:type="dxa"/>
            <w:gridSpan w:val="2"/>
            <w:tcBorders>
              <w:top w:val="nil"/>
              <w:left w:val="nil"/>
              <w:bottom w:val="nil"/>
              <w:right w:val="nil"/>
            </w:tcBorders>
          </w:tcPr>
          <w:p w14:paraId="6E8B863D" w14:textId="77777777" w:rsidR="00C21745" w:rsidRPr="006A628B" w:rsidRDefault="00C21745" w:rsidP="0045343D">
            <w:pPr>
              <w:tabs>
                <w:tab w:val="left" w:pos="2524"/>
              </w:tabs>
              <w:jc w:val="center"/>
              <w:rPr>
                <w:lang w:val="en-US"/>
              </w:rPr>
            </w:pPr>
            <w:r w:rsidRPr="006A628B">
              <w:rPr>
                <w:rFonts w:eastAsia="Times New Roman"/>
                <w:color w:val="000000"/>
              </w:rPr>
              <w:t>AGATTGGGTAGGGTT</w:t>
            </w:r>
          </w:p>
        </w:tc>
      </w:tr>
      <w:tr w:rsidR="00C21745" w:rsidRPr="006A628B" w14:paraId="3645D476" w14:textId="77777777">
        <w:tc>
          <w:tcPr>
            <w:tcW w:w="3794" w:type="dxa"/>
            <w:gridSpan w:val="3"/>
            <w:tcBorders>
              <w:top w:val="nil"/>
              <w:left w:val="nil"/>
              <w:bottom w:val="nil"/>
              <w:right w:val="nil"/>
            </w:tcBorders>
          </w:tcPr>
          <w:p w14:paraId="000CAD29" w14:textId="77777777" w:rsidR="00C21745" w:rsidRPr="006A628B" w:rsidRDefault="00C21745" w:rsidP="0045343D">
            <w:pPr>
              <w:jc w:val="center"/>
              <w:rPr>
                <w:lang w:val="en-US"/>
              </w:rPr>
            </w:pPr>
          </w:p>
        </w:tc>
        <w:tc>
          <w:tcPr>
            <w:tcW w:w="10631" w:type="dxa"/>
            <w:gridSpan w:val="2"/>
            <w:tcBorders>
              <w:top w:val="nil"/>
              <w:left w:val="nil"/>
              <w:bottom w:val="nil"/>
              <w:right w:val="nil"/>
            </w:tcBorders>
          </w:tcPr>
          <w:p w14:paraId="015BB545" w14:textId="77777777" w:rsidR="00C21745" w:rsidRPr="006A628B" w:rsidRDefault="00C21745" w:rsidP="0045343D">
            <w:pPr>
              <w:jc w:val="center"/>
              <w:rPr>
                <w:lang w:val="en-US"/>
              </w:rPr>
            </w:pPr>
            <w:r w:rsidRPr="006A628B">
              <w:rPr>
                <w:color w:val="000000"/>
              </w:rPr>
              <w:t>GGTTTTTTATTTTTAAGTGAGATG</w:t>
            </w:r>
          </w:p>
        </w:tc>
      </w:tr>
      <w:tr w:rsidR="00C21745" w:rsidRPr="006A628B" w14:paraId="3C8173D6" w14:textId="77777777">
        <w:tc>
          <w:tcPr>
            <w:tcW w:w="3794" w:type="dxa"/>
            <w:gridSpan w:val="3"/>
            <w:tcBorders>
              <w:top w:val="nil"/>
              <w:left w:val="nil"/>
              <w:bottom w:val="nil"/>
              <w:right w:val="nil"/>
            </w:tcBorders>
          </w:tcPr>
          <w:p w14:paraId="2FF4836F" w14:textId="77777777" w:rsidR="00C21745" w:rsidRPr="006A628B" w:rsidRDefault="00C21745" w:rsidP="0045343D">
            <w:pPr>
              <w:jc w:val="center"/>
              <w:rPr>
                <w:lang w:val="en-US"/>
              </w:rPr>
            </w:pPr>
          </w:p>
        </w:tc>
        <w:tc>
          <w:tcPr>
            <w:tcW w:w="10631" w:type="dxa"/>
            <w:gridSpan w:val="2"/>
            <w:tcBorders>
              <w:top w:val="nil"/>
              <w:left w:val="nil"/>
              <w:bottom w:val="nil"/>
              <w:right w:val="nil"/>
            </w:tcBorders>
          </w:tcPr>
          <w:p w14:paraId="526309F2" w14:textId="77777777" w:rsidR="00C21745" w:rsidRPr="006A628B" w:rsidRDefault="00C21745" w:rsidP="0045343D">
            <w:pPr>
              <w:jc w:val="center"/>
              <w:rPr>
                <w:lang w:val="en-US"/>
              </w:rPr>
            </w:pPr>
            <w:r w:rsidRPr="006A628B">
              <w:rPr>
                <w:color w:val="000000"/>
              </w:rPr>
              <w:t>GGGTTTTATAATTTTTTTAGTGAT</w:t>
            </w:r>
          </w:p>
        </w:tc>
      </w:tr>
      <w:tr w:rsidR="00C21745" w:rsidRPr="006A628B" w14:paraId="7AE55F99" w14:textId="77777777">
        <w:tc>
          <w:tcPr>
            <w:tcW w:w="3794" w:type="dxa"/>
            <w:gridSpan w:val="3"/>
            <w:tcBorders>
              <w:top w:val="nil"/>
              <w:left w:val="nil"/>
              <w:bottom w:val="nil"/>
              <w:right w:val="nil"/>
            </w:tcBorders>
          </w:tcPr>
          <w:p w14:paraId="4D45BA4C" w14:textId="77777777" w:rsidR="00C21745" w:rsidRPr="006A628B" w:rsidRDefault="00C21745" w:rsidP="0045343D">
            <w:pPr>
              <w:jc w:val="center"/>
              <w:rPr>
                <w:lang w:val="en-US"/>
              </w:rPr>
            </w:pPr>
          </w:p>
        </w:tc>
        <w:tc>
          <w:tcPr>
            <w:tcW w:w="10631" w:type="dxa"/>
            <w:gridSpan w:val="2"/>
            <w:tcBorders>
              <w:top w:val="nil"/>
              <w:left w:val="nil"/>
              <w:bottom w:val="nil"/>
              <w:right w:val="nil"/>
            </w:tcBorders>
          </w:tcPr>
          <w:p w14:paraId="0708E27C" w14:textId="77777777" w:rsidR="00C21745" w:rsidRPr="006A628B" w:rsidRDefault="00C21745" w:rsidP="0045343D">
            <w:pPr>
              <w:jc w:val="center"/>
              <w:rPr>
                <w:lang w:val="en-US"/>
              </w:rPr>
            </w:pPr>
            <w:r w:rsidRPr="006A628B">
              <w:rPr>
                <w:color w:val="000000"/>
              </w:rPr>
              <w:t>AAAATAAACCTAACTACATCC</w:t>
            </w:r>
          </w:p>
        </w:tc>
      </w:tr>
      <w:tr w:rsidR="00C21745" w:rsidRPr="006A628B" w14:paraId="6D75802D" w14:textId="77777777">
        <w:tc>
          <w:tcPr>
            <w:tcW w:w="3794" w:type="dxa"/>
            <w:gridSpan w:val="3"/>
            <w:tcBorders>
              <w:top w:val="nil"/>
              <w:left w:val="nil"/>
              <w:bottom w:val="nil"/>
              <w:right w:val="nil"/>
            </w:tcBorders>
          </w:tcPr>
          <w:p w14:paraId="4C916565" w14:textId="77777777" w:rsidR="00C21745" w:rsidRPr="006A628B" w:rsidRDefault="00C21745" w:rsidP="0045343D">
            <w:pPr>
              <w:jc w:val="center"/>
              <w:rPr>
                <w:lang w:val="en-US"/>
              </w:rPr>
            </w:pPr>
          </w:p>
        </w:tc>
        <w:tc>
          <w:tcPr>
            <w:tcW w:w="10631" w:type="dxa"/>
            <w:gridSpan w:val="2"/>
            <w:tcBorders>
              <w:top w:val="nil"/>
              <w:left w:val="nil"/>
              <w:bottom w:val="nil"/>
              <w:right w:val="nil"/>
            </w:tcBorders>
          </w:tcPr>
          <w:p w14:paraId="00EBB46E" w14:textId="77777777" w:rsidR="00C21745" w:rsidRPr="006A628B" w:rsidRDefault="00C21745" w:rsidP="0045343D">
            <w:pPr>
              <w:jc w:val="center"/>
              <w:rPr>
                <w:lang w:val="en-US"/>
              </w:rPr>
            </w:pPr>
            <w:r w:rsidRPr="006A628B">
              <w:rPr>
                <w:color w:val="000000"/>
              </w:rPr>
              <w:t>CCTCAAACCCCAACT</w:t>
            </w:r>
          </w:p>
        </w:tc>
      </w:tr>
      <w:tr w:rsidR="00C21745" w:rsidRPr="006A628B" w14:paraId="4C19A4A1" w14:textId="77777777">
        <w:tc>
          <w:tcPr>
            <w:tcW w:w="3794" w:type="dxa"/>
            <w:gridSpan w:val="3"/>
            <w:tcBorders>
              <w:top w:val="nil"/>
              <w:left w:val="nil"/>
              <w:bottom w:val="nil"/>
              <w:right w:val="nil"/>
            </w:tcBorders>
          </w:tcPr>
          <w:p w14:paraId="4FC34299" w14:textId="77777777" w:rsidR="00C21745" w:rsidRPr="006A628B" w:rsidRDefault="00C21745" w:rsidP="0045343D">
            <w:pPr>
              <w:jc w:val="center"/>
              <w:rPr>
                <w:lang w:val="en-US"/>
              </w:rPr>
            </w:pPr>
          </w:p>
        </w:tc>
        <w:tc>
          <w:tcPr>
            <w:tcW w:w="10631" w:type="dxa"/>
            <w:gridSpan w:val="2"/>
            <w:tcBorders>
              <w:top w:val="nil"/>
              <w:left w:val="nil"/>
              <w:bottom w:val="nil"/>
              <w:right w:val="nil"/>
            </w:tcBorders>
          </w:tcPr>
          <w:p w14:paraId="10DEBD87" w14:textId="77777777" w:rsidR="00C21745" w:rsidRPr="006A628B" w:rsidRDefault="00C21745" w:rsidP="0045343D">
            <w:pPr>
              <w:jc w:val="center"/>
              <w:rPr>
                <w:lang w:val="en-US"/>
              </w:rPr>
            </w:pPr>
            <w:r w:rsidRPr="006A628B">
              <w:rPr>
                <w:color w:val="000000"/>
              </w:rPr>
              <w:t>ATTATACAAACTCCAACAAAT</w:t>
            </w:r>
          </w:p>
        </w:tc>
      </w:tr>
      <w:tr w:rsidR="00C21745" w:rsidRPr="006A628B" w14:paraId="30D6ECAF" w14:textId="77777777">
        <w:tc>
          <w:tcPr>
            <w:tcW w:w="3794" w:type="dxa"/>
            <w:gridSpan w:val="3"/>
            <w:tcBorders>
              <w:top w:val="nil"/>
              <w:left w:val="nil"/>
              <w:bottom w:val="nil"/>
              <w:right w:val="nil"/>
            </w:tcBorders>
          </w:tcPr>
          <w:p w14:paraId="0ECDA45C" w14:textId="77777777" w:rsidR="00C21745" w:rsidRPr="006A628B" w:rsidRDefault="00C21745" w:rsidP="0045343D">
            <w:pPr>
              <w:jc w:val="center"/>
              <w:rPr>
                <w:lang w:val="en-US"/>
              </w:rPr>
            </w:pPr>
          </w:p>
        </w:tc>
        <w:tc>
          <w:tcPr>
            <w:tcW w:w="10631" w:type="dxa"/>
            <w:gridSpan w:val="2"/>
            <w:tcBorders>
              <w:top w:val="nil"/>
              <w:left w:val="nil"/>
              <w:bottom w:val="nil"/>
              <w:right w:val="nil"/>
            </w:tcBorders>
          </w:tcPr>
          <w:p w14:paraId="0227182B" w14:textId="77777777" w:rsidR="00C21745" w:rsidRPr="006A628B" w:rsidRDefault="00C21745" w:rsidP="0045343D">
            <w:pPr>
              <w:jc w:val="center"/>
              <w:rPr>
                <w:lang w:val="en-US"/>
              </w:rPr>
            </w:pPr>
            <w:r w:rsidRPr="006A628B">
              <w:rPr>
                <w:color w:val="000000"/>
              </w:rPr>
              <w:t>ATTATTGTTTAATGATGTGTTTG</w:t>
            </w:r>
          </w:p>
        </w:tc>
      </w:tr>
      <w:tr w:rsidR="00C21745" w:rsidRPr="006A628B" w14:paraId="4029B790" w14:textId="77777777">
        <w:tc>
          <w:tcPr>
            <w:tcW w:w="3794" w:type="dxa"/>
            <w:gridSpan w:val="3"/>
            <w:tcBorders>
              <w:top w:val="nil"/>
              <w:left w:val="nil"/>
              <w:bottom w:val="nil"/>
              <w:right w:val="nil"/>
            </w:tcBorders>
          </w:tcPr>
          <w:p w14:paraId="4042BEDB" w14:textId="77777777" w:rsidR="00C21745" w:rsidRPr="006A628B" w:rsidRDefault="00C21745" w:rsidP="0045343D">
            <w:pPr>
              <w:jc w:val="center"/>
              <w:rPr>
                <w:lang w:val="en-US"/>
              </w:rPr>
            </w:pPr>
          </w:p>
        </w:tc>
        <w:tc>
          <w:tcPr>
            <w:tcW w:w="10631" w:type="dxa"/>
            <w:gridSpan w:val="2"/>
            <w:tcBorders>
              <w:top w:val="nil"/>
              <w:left w:val="nil"/>
              <w:bottom w:val="nil"/>
              <w:right w:val="nil"/>
            </w:tcBorders>
          </w:tcPr>
          <w:p w14:paraId="5BA0BAC3" w14:textId="77777777" w:rsidR="00C21745" w:rsidRPr="006A628B" w:rsidRDefault="00C21745" w:rsidP="0045343D">
            <w:pPr>
              <w:jc w:val="center"/>
              <w:rPr>
                <w:lang w:val="en-US"/>
              </w:rPr>
            </w:pPr>
            <w:r w:rsidRPr="006A628B">
              <w:rPr>
                <w:color w:val="000000"/>
              </w:rPr>
              <w:t>CCTCTAATCAAACAATCTTAAAA</w:t>
            </w:r>
          </w:p>
        </w:tc>
      </w:tr>
      <w:tr w:rsidR="00C21745" w:rsidRPr="006A628B" w14:paraId="422E5619" w14:textId="77777777">
        <w:tc>
          <w:tcPr>
            <w:tcW w:w="3794" w:type="dxa"/>
            <w:gridSpan w:val="3"/>
            <w:tcBorders>
              <w:top w:val="nil"/>
              <w:left w:val="nil"/>
              <w:right w:val="nil"/>
            </w:tcBorders>
          </w:tcPr>
          <w:p w14:paraId="1B73D84C" w14:textId="77777777" w:rsidR="00C21745" w:rsidRPr="006A628B" w:rsidRDefault="00C21745" w:rsidP="0045343D">
            <w:pPr>
              <w:jc w:val="center"/>
              <w:rPr>
                <w:lang w:val="en-US"/>
              </w:rPr>
            </w:pPr>
          </w:p>
        </w:tc>
        <w:tc>
          <w:tcPr>
            <w:tcW w:w="10631" w:type="dxa"/>
            <w:gridSpan w:val="2"/>
            <w:tcBorders>
              <w:top w:val="nil"/>
              <w:left w:val="nil"/>
              <w:right w:val="nil"/>
            </w:tcBorders>
          </w:tcPr>
          <w:p w14:paraId="463D8BF0" w14:textId="77777777" w:rsidR="00C21745" w:rsidRPr="006A628B" w:rsidRDefault="00C21745" w:rsidP="0045343D">
            <w:pPr>
              <w:jc w:val="center"/>
              <w:rPr>
                <w:lang w:val="en-US"/>
              </w:rPr>
            </w:pPr>
            <w:r w:rsidRPr="006A628B">
              <w:rPr>
                <w:color w:val="000000"/>
              </w:rPr>
              <w:t>AGAGGGTTTAAAGTTTTTTAAT</w:t>
            </w:r>
          </w:p>
        </w:tc>
      </w:tr>
    </w:tbl>
    <w:p w14:paraId="06A9C3BE" w14:textId="77777777" w:rsidR="00CF40E8" w:rsidRDefault="00CF40E8"/>
    <w:sectPr w:rsidR="00CF40E8" w:rsidSect="009A6388">
      <w:pgSz w:w="16840" w:h="11901" w:orient="landscape"/>
      <w:pgMar w:top="1797" w:right="1440" w:bottom="1797" w:left="1440" w:header="709" w:footer="709" w:gutter="0"/>
      <w:lnNumType w:countBy="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F39B61" w14:textId="77777777" w:rsidR="009D468F" w:rsidRDefault="00971987">
      <w:r>
        <w:separator/>
      </w:r>
    </w:p>
  </w:endnote>
  <w:endnote w:type="continuationSeparator" w:id="0">
    <w:p w14:paraId="6D6C6A2B" w14:textId="77777777" w:rsidR="009D468F" w:rsidRDefault="00971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MS ??">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charset w:val="80"/>
    <w:family w:val="modern"/>
    <w:pitch w:val="fixed"/>
    <w:sig w:usb0="E00002FF" w:usb1="6AC7FDFB" w:usb2="08000012" w:usb3="00000000" w:csb0="0002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A2275" w14:textId="77777777" w:rsidR="005036F3" w:rsidRDefault="005036F3" w:rsidP="0045343D">
    <w:pPr>
      <w:pStyle w:val="Footer"/>
      <w:framePr w:wrap="auto"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194CA3">
      <w:rPr>
        <w:rStyle w:val="PageNumber"/>
        <w:rFonts w:cs="Arial"/>
        <w:noProof/>
      </w:rPr>
      <w:t>1</w:t>
    </w:r>
    <w:r>
      <w:rPr>
        <w:rStyle w:val="PageNumber"/>
        <w:rFonts w:cs="Arial"/>
      </w:rPr>
      <w:fldChar w:fldCharType="end"/>
    </w:r>
  </w:p>
  <w:p w14:paraId="58988FD6" w14:textId="77777777" w:rsidR="005036F3" w:rsidRDefault="005036F3" w:rsidP="0045343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6D32E7" w14:textId="77777777" w:rsidR="009D468F" w:rsidRDefault="00971987">
      <w:r>
        <w:separator/>
      </w:r>
    </w:p>
  </w:footnote>
  <w:footnote w:type="continuationSeparator" w:id="0">
    <w:p w14:paraId="43A4A81D" w14:textId="77777777" w:rsidR="009D468F" w:rsidRDefault="0097198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C679A4"/>
    <w:multiLevelType w:val="hybridMultilevel"/>
    <w:tmpl w:val="0AC0E33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21745"/>
    <w:rsid w:val="00082E74"/>
    <w:rsid w:val="00176C86"/>
    <w:rsid w:val="00194CA3"/>
    <w:rsid w:val="00271BEC"/>
    <w:rsid w:val="00380BD4"/>
    <w:rsid w:val="0045343D"/>
    <w:rsid w:val="005036F3"/>
    <w:rsid w:val="0057118F"/>
    <w:rsid w:val="0067024B"/>
    <w:rsid w:val="007709E3"/>
    <w:rsid w:val="007B7B61"/>
    <w:rsid w:val="007D2561"/>
    <w:rsid w:val="0080166E"/>
    <w:rsid w:val="00971987"/>
    <w:rsid w:val="00982584"/>
    <w:rsid w:val="009A6388"/>
    <w:rsid w:val="009D468F"/>
    <w:rsid w:val="009F70C5"/>
    <w:rsid w:val="00AC5EBE"/>
    <w:rsid w:val="00C02BAD"/>
    <w:rsid w:val="00C21745"/>
    <w:rsid w:val="00CF40E8"/>
    <w:rsid w:val="00DA56BA"/>
    <w:rsid w:val="00EB300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E9CA1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745"/>
    <w:rPr>
      <w:rFonts w:eastAsia="MS ??"/>
    </w:rPr>
  </w:style>
  <w:style w:type="paragraph" w:styleId="Heading1">
    <w:name w:val="heading 1"/>
    <w:basedOn w:val="Normal"/>
    <w:link w:val="Heading1Char"/>
    <w:uiPriority w:val="9"/>
    <w:qFormat/>
    <w:rsid w:val="0080166E"/>
    <w:pPr>
      <w:spacing w:before="100" w:beforeAutospacing="1" w:after="100" w:afterAutospacing="1"/>
      <w:outlineLvl w:val="0"/>
    </w:pPr>
    <w:rPr>
      <w:rFonts w:ascii="Times" w:eastAsiaTheme="minorEastAsia"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21745"/>
    <w:rPr>
      <w:rFonts w:cs="Times New Roman"/>
      <w:color w:val="0000FF"/>
      <w:u w:val="single"/>
    </w:rPr>
  </w:style>
  <w:style w:type="paragraph" w:styleId="Footer">
    <w:name w:val="footer"/>
    <w:basedOn w:val="Normal"/>
    <w:link w:val="FooterChar"/>
    <w:uiPriority w:val="99"/>
    <w:rsid w:val="00C21745"/>
    <w:pPr>
      <w:tabs>
        <w:tab w:val="center" w:pos="4320"/>
        <w:tab w:val="right" w:pos="8640"/>
      </w:tabs>
    </w:pPr>
  </w:style>
  <w:style w:type="character" w:customStyle="1" w:styleId="FooterChar">
    <w:name w:val="Footer Char"/>
    <w:basedOn w:val="DefaultParagraphFont"/>
    <w:link w:val="Footer"/>
    <w:uiPriority w:val="99"/>
    <w:rsid w:val="00C21745"/>
    <w:rPr>
      <w:rFonts w:eastAsia="MS ??"/>
    </w:rPr>
  </w:style>
  <w:style w:type="character" w:styleId="PageNumber">
    <w:name w:val="page number"/>
    <w:basedOn w:val="DefaultParagraphFont"/>
    <w:uiPriority w:val="99"/>
    <w:semiHidden/>
    <w:rsid w:val="00C21745"/>
    <w:rPr>
      <w:rFonts w:cs="Times New Roman"/>
    </w:rPr>
  </w:style>
  <w:style w:type="character" w:styleId="LineNumber">
    <w:name w:val="line number"/>
    <w:basedOn w:val="DefaultParagraphFont"/>
    <w:uiPriority w:val="99"/>
    <w:semiHidden/>
    <w:rsid w:val="00C21745"/>
    <w:rPr>
      <w:rFonts w:cs="Times New Roman"/>
    </w:rPr>
  </w:style>
  <w:style w:type="paragraph" w:styleId="ListParagraph">
    <w:name w:val="List Paragraph"/>
    <w:basedOn w:val="Normal"/>
    <w:uiPriority w:val="99"/>
    <w:qFormat/>
    <w:rsid w:val="00C21745"/>
    <w:pPr>
      <w:ind w:left="720"/>
    </w:pPr>
  </w:style>
  <w:style w:type="paragraph" w:styleId="BalloonText">
    <w:name w:val="Balloon Text"/>
    <w:basedOn w:val="Normal"/>
    <w:link w:val="BalloonTextChar"/>
    <w:uiPriority w:val="99"/>
    <w:semiHidden/>
    <w:rsid w:val="00C217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1745"/>
    <w:rPr>
      <w:rFonts w:ascii="Lucida Grande" w:eastAsia="MS ??" w:hAnsi="Lucida Grande" w:cs="Lucida Grande"/>
      <w:sz w:val="18"/>
      <w:szCs w:val="18"/>
    </w:rPr>
  </w:style>
  <w:style w:type="table" w:styleId="TableGrid">
    <w:name w:val="Table Grid"/>
    <w:basedOn w:val="TableNormal"/>
    <w:uiPriority w:val="99"/>
    <w:rsid w:val="00C21745"/>
    <w:rPr>
      <w:rFonts w:eastAsia="MS ??"/>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C21745"/>
    <w:rPr>
      <w:rFonts w:cs="Times New Roman"/>
      <w:sz w:val="18"/>
      <w:szCs w:val="18"/>
    </w:rPr>
  </w:style>
  <w:style w:type="paragraph" w:styleId="CommentText">
    <w:name w:val="annotation text"/>
    <w:basedOn w:val="Normal"/>
    <w:link w:val="CommentTextChar"/>
    <w:uiPriority w:val="99"/>
    <w:semiHidden/>
    <w:rsid w:val="00C21745"/>
  </w:style>
  <w:style w:type="character" w:customStyle="1" w:styleId="CommentTextChar">
    <w:name w:val="Comment Text Char"/>
    <w:basedOn w:val="DefaultParagraphFont"/>
    <w:link w:val="CommentText"/>
    <w:uiPriority w:val="99"/>
    <w:semiHidden/>
    <w:rsid w:val="00C21745"/>
    <w:rPr>
      <w:rFonts w:eastAsia="MS ??"/>
    </w:rPr>
  </w:style>
  <w:style w:type="paragraph" w:styleId="CommentSubject">
    <w:name w:val="annotation subject"/>
    <w:basedOn w:val="CommentText"/>
    <w:next w:val="CommentText"/>
    <w:link w:val="CommentSubjectChar"/>
    <w:uiPriority w:val="99"/>
    <w:semiHidden/>
    <w:rsid w:val="00C21745"/>
    <w:rPr>
      <w:b/>
      <w:bCs/>
      <w:sz w:val="20"/>
      <w:szCs w:val="20"/>
    </w:rPr>
  </w:style>
  <w:style w:type="character" w:customStyle="1" w:styleId="CommentSubjectChar">
    <w:name w:val="Comment Subject Char"/>
    <w:basedOn w:val="CommentTextChar"/>
    <w:link w:val="CommentSubject"/>
    <w:uiPriority w:val="99"/>
    <w:semiHidden/>
    <w:rsid w:val="00C21745"/>
    <w:rPr>
      <w:rFonts w:eastAsia="MS ??"/>
      <w:b/>
      <w:bCs/>
      <w:sz w:val="20"/>
      <w:szCs w:val="20"/>
    </w:rPr>
  </w:style>
  <w:style w:type="character" w:customStyle="1" w:styleId="jrnl">
    <w:name w:val="jrnl"/>
    <w:basedOn w:val="DefaultParagraphFont"/>
    <w:rsid w:val="0080166E"/>
  </w:style>
  <w:style w:type="character" w:customStyle="1" w:styleId="Heading1Char">
    <w:name w:val="Heading 1 Char"/>
    <w:basedOn w:val="DefaultParagraphFont"/>
    <w:link w:val="Heading1"/>
    <w:uiPriority w:val="9"/>
    <w:rsid w:val="0080166E"/>
    <w:rPr>
      <w:rFonts w:ascii="Times" w:hAnsi="Times"/>
      <w:b/>
      <w:bCs/>
      <w:kern w:val="36"/>
      <w:sz w:val="48"/>
      <w:szCs w:val="4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745"/>
    <w:rPr>
      <w:rFonts w:eastAsia="MS ??"/>
    </w:rPr>
  </w:style>
  <w:style w:type="paragraph" w:styleId="Heading1">
    <w:name w:val="heading 1"/>
    <w:basedOn w:val="Normal"/>
    <w:link w:val="Heading1Char"/>
    <w:uiPriority w:val="9"/>
    <w:qFormat/>
    <w:rsid w:val="0080166E"/>
    <w:pPr>
      <w:spacing w:before="100" w:beforeAutospacing="1" w:after="100" w:afterAutospacing="1"/>
      <w:outlineLvl w:val="0"/>
    </w:pPr>
    <w:rPr>
      <w:rFonts w:ascii="Times" w:eastAsiaTheme="minorEastAsia"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21745"/>
    <w:rPr>
      <w:rFonts w:cs="Times New Roman"/>
      <w:color w:val="0000FF"/>
      <w:u w:val="single"/>
    </w:rPr>
  </w:style>
  <w:style w:type="paragraph" w:styleId="Footer">
    <w:name w:val="footer"/>
    <w:basedOn w:val="Normal"/>
    <w:link w:val="FooterChar"/>
    <w:uiPriority w:val="99"/>
    <w:rsid w:val="00C21745"/>
    <w:pPr>
      <w:tabs>
        <w:tab w:val="center" w:pos="4320"/>
        <w:tab w:val="right" w:pos="8640"/>
      </w:tabs>
    </w:pPr>
  </w:style>
  <w:style w:type="character" w:customStyle="1" w:styleId="FooterChar">
    <w:name w:val="Footer Char"/>
    <w:basedOn w:val="DefaultParagraphFont"/>
    <w:link w:val="Footer"/>
    <w:uiPriority w:val="99"/>
    <w:rsid w:val="00C21745"/>
    <w:rPr>
      <w:rFonts w:eastAsia="MS ??"/>
    </w:rPr>
  </w:style>
  <w:style w:type="character" w:styleId="PageNumber">
    <w:name w:val="page number"/>
    <w:basedOn w:val="DefaultParagraphFont"/>
    <w:uiPriority w:val="99"/>
    <w:semiHidden/>
    <w:rsid w:val="00C21745"/>
    <w:rPr>
      <w:rFonts w:cs="Times New Roman"/>
    </w:rPr>
  </w:style>
  <w:style w:type="character" w:styleId="LineNumber">
    <w:name w:val="line number"/>
    <w:basedOn w:val="DefaultParagraphFont"/>
    <w:uiPriority w:val="99"/>
    <w:semiHidden/>
    <w:rsid w:val="00C21745"/>
    <w:rPr>
      <w:rFonts w:cs="Times New Roman"/>
    </w:rPr>
  </w:style>
  <w:style w:type="paragraph" w:styleId="ListParagraph">
    <w:name w:val="List Paragraph"/>
    <w:basedOn w:val="Normal"/>
    <w:uiPriority w:val="99"/>
    <w:qFormat/>
    <w:rsid w:val="00C21745"/>
    <w:pPr>
      <w:ind w:left="720"/>
    </w:pPr>
  </w:style>
  <w:style w:type="paragraph" w:styleId="BalloonText">
    <w:name w:val="Balloon Text"/>
    <w:basedOn w:val="Normal"/>
    <w:link w:val="BalloonTextChar"/>
    <w:uiPriority w:val="99"/>
    <w:semiHidden/>
    <w:rsid w:val="00C217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1745"/>
    <w:rPr>
      <w:rFonts w:ascii="Lucida Grande" w:eastAsia="MS ??" w:hAnsi="Lucida Grande" w:cs="Lucida Grande"/>
      <w:sz w:val="18"/>
      <w:szCs w:val="18"/>
    </w:rPr>
  </w:style>
  <w:style w:type="table" w:styleId="TableGrid">
    <w:name w:val="Table Grid"/>
    <w:basedOn w:val="TableNormal"/>
    <w:uiPriority w:val="99"/>
    <w:rsid w:val="00C21745"/>
    <w:rPr>
      <w:rFonts w:eastAsia="MS ??"/>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C21745"/>
    <w:rPr>
      <w:rFonts w:cs="Times New Roman"/>
      <w:sz w:val="18"/>
      <w:szCs w:val="18"/>
    </w:rPr>
  </w:style>
  <w:style w:type="paragraph" w:styleId="CommentText">
    <w:name w:val="annotation text"/>
    <w:basedOn w:val="Normal"/>
    <w:link w:val="CommentTextChar"/>
    <w:uiPriority w:val="99"/>
    <w:semiHidden/>
    <w:rsid w:val="00C21745"/>
  </w:style>
  <w:style w:type="character" w:customStyle="1" w:styleId="CommentTextChar">
    <w:name w:val="Comment Text Char"/>
    <w:basedOn w:val="DefaultParagraphFont"/>
    <w:link w:val="CommentText"/>
    <w:uiPriority w:val="99"/>
    <w:semiHidden/>
    <w:rsid w:val="00C21745"/>
    <w:rPr>
      <w:rFonts w:eastAsia="MS ??"/>
    </w:rPr>
  </w:style>
  <w:style w:type="paragraph" w:styleId="CommentSubject">
    <w:name w:val="annotation subject"/>
    <w:basedOn w:val="CommentText"/>
    <w:next w:val="CommentText"/>
    <w:link w:val="CommentSubjectChar"/>
    <w:uiPriority w:val="99"/>
    <w:semiHidden/>
    <w:rsid w:val="00C21745"/>
    <w:rPr>
      <w:b/>
      <w:bCs/>
      <w:sz w:val="20"/>
      <w:szCs w:val="20"/>
    </w:rPr>
  </w:style>
  <w:style w:type="character" w:customStyle="1" w:styleId="CommentSubjectChar">
    <w:name w:val="Comment Subject Char"/>
    <w:basedOn w:val="CommentTextChar"/>
    <w:link w:val="CommentSubject"/>
    <w:uiPriority w:val="99"/>
    <w:semiHidden/>
    <w:rsid w:val="00C21745"/>
    <w:rPr>
      <w:rFonts w:eastAsia="MS ??"/>
      <w:b/>
      <w:bCs/>
      <w:sz w:val="20"/>
      <w:szCs w:val="20"/>
    </w:rPr>
  </w:style>
  <w:style w:type="character" w:customStyle="1" w:styleId="jrnl">
    <w:name w:val="jrnl"/>
    <w:basedOn w:val="DefaultParagraphFont"/>
    <w:rsid w:val="0080166E"/>
  </w:style>
  <w:style w:type="character" w:customStyle="1" w:styleId="Heading1Char">
    <w:name w:val="Heading 1 Char"/>
    <w:basedOn w:val="DefaultParagraphFont"/>
    <w:link w:val="Heading1"/>
    <w:uiPriority w:val="9"/>
    <w:rsid w:val="0080166E"/>
    <w:rPr>
      <w:rFonts w:ascii="Times" w:hAnsi="Times"/>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1650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31</Pages>
  <Words>5367</Words>
  <Characters>30595</Characters>
  <Application>Microsoft Macintosh Word</Application>
  <DocSecurity>0</DocSecurity>
  <Lines>254</Lines>
  <Paragraphs>71</Paragraphs>
  <ScaleCrop>false</ScaleCrop>
  <Company/>
  <LinksUpToDate>false</LinksUpToDate>
  <CharactersWithSpaces>35891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Burdge G.C.</dc:creator>
  <cp:keywords/>
  <dc:description/>
  <cp:lastModifiedBy>Burdge G.C.</cp:lastModifiedBy>
  <cp:revision>2</cp:revision>
  <cp:lastPrinted>2013-11-11T13:28:00Z</cp:lastPrinted>
  <dcterms:created xsi:type="dcterms:W3CDTF">2014-06-12T07:39:00Z</dcterms:created>
  <dcterms:modified xsi:type="dcterms:W3CDTF">2014-06-12T07:39:00Z</dcterms:modified>
</cp:coreProperties>
</file>