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524" w:rsidRDefault="003F0524" w:rsidP="003F0524">
      <w:pPr>
        <w:rPr>
          <w:rFonts w:ascii="Times New Roman" w:eastAsia="Times New Roman" w:hAnsi="Times New Roman" w:cs="Times New Roman"/>
          <w:b/>
          <w:sz w:val="32"/>
          <w:szCs w:val="32"/>
          <w:lang w:eastAsia="en-GB"/>
        </w:rPr>
      </w:pPr>
      <w:bookmarkStart w:id="0" w:name="_GoBack"/>
      <w:bookmarkEnd w:id="0"/>
    </w:p>
    <w:p w:rsidR="00993A00" w:rsidRPr="003F0524" w:rsidRDefault="00993A00" w:rsidP="003F0524">
      <w:pPr>
        <w:rPr>
          <w:rFonts w:ascii="Times New Roman" w:eastAsia="Times New Roman" w:hAnsi="Times New Roman" w:cs="Times New Roman"/>
          <w:b/>
          <w:sz w:val="32"/>
          <w:szCs w:val="32"/>
          <w:lang w:eastAsia="en-GB"/>
        </w:rPr>
      </w:pPr>
      <w:proofErr w:type="spellStart"/>
      <w:r w:rsidRPr="003F0524">
        <w:rPr>
          <w:rFonts w:ascii="Times New Roman" w:eastAsia="Times New Roman" w:hAnsi="Times New Roman" w:cs="Times New Roman"/>
          <w:b/>
          <w:sz w:val="32"/>
          <w:szCs w:val="32"/>
          <w:lang w:eastAsia="en-GB"/>
        </w:rPr>
        <w:t>Dupuytren’s</w:t>
      </w:r>
      <w:proofErr w:type="spellEnd"/>
      <w:r w:rsidRPr="003F0524">
        <w:rPr>
          <w:rFonts w:ascii="Times New Roman" w:eastAsia="Times New Roman" w:hAnsi="Times New Roman" w:cs="Times New Roman"/>
          <w:b/>
          <w:sz w:val="32"/>
          <w:szCs w:val="32"/>
          <w:lang w:eastAsia="en-GB"/>
        </w:rPr>
        <w:t xml:space="preserve"> contracture and occupational exposure to hand-transmitted vibration</w:t>
      </w:r>
    </w:p>
    <w:p w:rsidR="00CD31F3" w:rsidRDefault="00CD31F3" w:rsidP="00C5234D">
      <w:pPr>
        <w:jc w:val="both"/>
        <w:rPr>
          <w:rFonts w:ascii="Times New Roman" w:eastAsia="Times New Roman" w:hAnsi="Times New Roman" w:cs="Times New Roman"/>
          <w:b/>
          <w:sz w:val="28"/>
          <w:szCs w:val="28"/>
          <w:lang w:eastAsia="en-GB"/>
        </w:rPr>
      </w:pPr>
    </w:p>
    <w:p w:rsidR="003F0524" w:rsidRPr="003F0524" w:rsidRDefault="00CD31F3" w:rsidP="00962E8A">
      <w:pPr>
        <w:jc w:val="both"/>
        <w:rPr>
          <w:rFonts w:ascii="Times New Roman" w:eastAsia="Times New Roman" w:hAnsi="Times New Roman" w:cs="Times New Roman"/>
          <w:sz w:val="28"/>
          <w:szCs w:val="28"/>
          <w:lang w:eastAsia="en-GB"/>
        </w:rPr>
      </w:pPr>
      <w:r w:rsidRPr="00CD31F3">
        <w:rPr>
          <w:rFonts w:ascii="Times New Roman" w:eastAsia="Times New Roman" w:hAnsi="Times New Roman" w:cs="Times New Roman"/>
          <w:sz w:val="28"/>
          <w:szCs w:val="28"/>
          <w:lang w:eastAsia="en-GB"/>
        </w:rPr>
        <w:t>Keith</w:t>
      </w:r>
      <w:r>
        <w:rPr>
          <w:rFonts w:ascii="Times New Roman" w:eastAsia="Times New Roman" w:hAnsi="Times New Roman" w:cs="Times New Roman"/>
          <w:sz w:val="28"/>
          <w:szCs w:val="28"/>
          <w:lang w:eastAsia="en-GB"/>
        </w:rPr>
        <w:t xml:space="preserve"> T Palmer</w:t>
      </w:r>
      <w:r w:rsidR="00962E8A">
        <w:rPr>
          <w:rFonts w:ascii="Times New Roman" w:eastAsia="Times New Roman" w:hAnsi="Times New Roman" w:cs="Times New Roman"/>
          <w:sz w:val="28"/>
          <w:szCs w:val="28"/>
          <w:lang w:eastAsia="en-GB"/>
        </w:rPr>
        <w:t xml:space="preserve">, </w:t>
      </w:r>
      <w:r w:rsidR="003F0524" w:rsidRPr="003F0524">
        <w:rPr>
          <w:rFonts w:ascii="Times New Roman" w:eastAsia="Times New Roman" w:hAnsi="Times New Roman" w:cs="Times New Roman"/>
          <w:sz w:val="28"/>
          <w:szCs w:val="28"/>
          <w:lang w:eastAsia="en-GB"/>
        </w:rPr>
        <w:t>Professor of Occupational Medicine</w:t>
      </w:r>
      <w:r w:rsidR="003F0524">
        <w:rPr>
          <w:rFonts w:ascii="Times New Roman" w:eastAsia="Times New Roman" w:hAnsi="Times New Roman" w:cs="Times New Roman"/>
          <w:sz w:val="28"/>
          <w:szCs w:val="28"/>
          <w:lang w:eastAsia="en-GB"/>
        </w:rPr>
        <w:t>*</w:t>
      </w:r>
    </w:p>
    <w:p w:rsidR="00F75BE8" w:rsidRDefault="00F75BE8" w:rsidP="00F75BE8">
      <w:pPr>
        <w:jc w:val="both"/>
        <w:rPr>
          <w:rFonts w:ascii="Times New Roman" w:eastAsia="Times New Roman" w:hAnsi="Times New Roman" w:cs="Times New Roman"/>
          <w:sz w:val="28"/>
          <w:szCs w:val="28"/>
          <w:lang w:eastAsia="en-GB"/>
        </w:rPr>
      </w:pPr>
      <w:proofErr w:type="spellStart"/>
      <w:r>
        <w:rPr>
          <w:rFonts w:ascii="Times New Roman" w:eastAsia="Times New Roman" w:hAnsi="Times New Roman" w:cs="Times New Roman"/>
          <w:sz w:val="28"/>
          <w:szCs w:val="28"/>
          <w:lang w:eastAsia="en-GB"/>
        </w:rPr>
        <w:t>Stefania</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D’Angelo</w:t>
      </w:r>
      <w:proofErr w:type="spellEnd"/>
      <w:r w:rsidR="00962E8A">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Medical Statistician*</w:t>
      </w:r>
    </w:p>
    <w:p w:rsidR="003F0524" w:rsidRDefault="003F0524" w:rsidP="00C5234D">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Holly Syddall</w:t>
      </w:r>
      <w:r w:rsidR="00962E8A">
        <w:rPr>
          <w:rFonts w:ascii="Times New Roman" w:eastAsia="Times New Roman" w:hAnsi="Times New Roman" w:cs="Times New Roman"/>
          <w:sz w:val="28"/>
          <w:szCs w:val="28"/>
          <w:lang w:eastAsia="en-GB"/>
        </w:rPr>
        <w:t xml:space="preserve">, </w:t>
      </w:r>
      <w:r w:rsidR="00A16D5D">
        <w:rPr>
          <w:rFonts w:ascii="Times New Roman" w:eastAsia="Times New Roman" w:hAnsi="Times New Roman" w:cs="Times New Roman"/>
          <w:sz w:val="28"/>
          <w:szCs w:val="28"/>
          <w:lang w:eastAsia="en-GB"/>
        </w:rPr>
        <w:t>Medical S</w:t>
      </w:r>
      <w:r>
        <w:rPr>
          <w:rFonts w:ascii="Times New Roman" w:eastAsia="Times New Roman" w:hAnsi="Times New Roman" w:cs="Times New Roman"/>
          <w:sz w:val="28"/>
          <w:szCs w:val="28"/>
          <w:lang w:eastAsia="en-GB"/>
        </w:rPr>
        <w:t>tatistician*</w:t>
      </w:r>
    </w:p>
    <w:p w:rsidR="003F0524" w:rsidRDefault="003F0524" w:rsidP="00C5234D">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Michael J Griffin</w:t>
      </w:r>
      <w:r w:rsidR="00962E8A">
        <w:rPr>
          <w:rFonts w:ascii="Times New Roman" w:eastAsia="Times New Roman" w:hAnsi="Times New Roman" w:cs="Times New Roman"/>
          <w:sz w:val="28"/>
          <w:szCs w:val="28"/>
          <w:lang w:eastAsia="en-GB"/>
        </w:rPr>
        <w:t xml:space="preserve">, </w:t>
      </w:r>
      <w:r w:rsidRPr="003F0524">
        <w:rPr>
          <w:rFonts w:ascii="Times New Roman" w:eastAsia="Times New Roman" w:hAnsi="Times New Roman" w:cs="Times New Roman"/>
          <w:sz w:val="28"/>
          <w:szCs w:val="28"/>
          <w:lang w:eastAsia="en-GB"/>
        </w:rPr>
        <w:t>Professor of Human Factors</w:t>
      </w:r>
      <w:r w:rsidRPr="003F0524">
        <w:rPr>
          <w:rFonts w:ascii="Times New Roman" w:eastAsia="Times New Roman" w:hAnsi="Times New Roman" w:cs="Times New Roman"/>
          <w:sz w:val="28"/>
          <w:szCs w:val="28"/>
          <w:vertAlign w:val="superscript"/>
          <w:lang w:eastAsia="en-GB"/>
        </w:rPr>
        <w:t>‡</w:t>
      </w:r>
      <w:r>
        <w:rPr>
          <w:rFonts w:ascii="Times New Roman" w:eastAsia="Times New Roman" w:hAnsi="Times New Roman" w:cs="Times New Roman"/>
          <w:sz w:val="28"/>
          <w:szCs w:val="28"/>
          <w:lang w:eastAsia="en-GB"/>
        </w:rPr>
        <w:t xml:space="preserve"> </w:t>
      </w:r>
    </w:p>
    <w:p w:rsidR="003F0524" w:rsidRDefault="003F0524" w:rsidP="00C5234D">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Cyrus Cooper</w:t>
      </w:r>
      <w:r w:rsidR="00962E8A">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Professor of Rheumatology*</w:t>
      </w:r>
    </w:p>
    <w:p w:rsidR="00993A00" w:rsidRDefault="003F0524" w:rsidP="00C5234D">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David Coggon</w:t>
      </w:r>
      <w:r w:rsidR="00962E8A">
        <w:rPr>
          <w:rFonts w:ascii="Times New Roman" w:eastAsia="Times New Roman" w:hAnsi="Times New Roman" w:cs="Times New Roman"/>
          <w:sz w:val="28"/>
          <w:szCs w:val="28"/>
          <w:lang w:eastAsia="en-GB"/>
        </w:rPr>
        <w:t xml:space="preserve">, </w:t>
      </w:r>
      <w:r w:rsidRPr="003F0524">
        <w:rPr>
          <w:rFonts w:ascii="Times New Roman" w:eastAsia="Times New Roman" w:hAnsi="Times New Roman" w:cs="Times New Roman"/>
          <w:sz w:val="28"/>
          <w:szCs w:val="28"/>
          <w:lang w:eastAsia="en-GB"/>
        </w:rPr>
        <w:t>Professor of Occupational and Environmental Medicine</w:t>
      </w:r>
      <w:r>
        <w:rPr>
          <w:rFonts w:ascii="Times New Roman" w:eastAsia="Times New Roman" w:hAnsi="Times New Roman" w:cs="Times New Roman"/>
          <w:sz w:val="28"/>
          <w:szCs w:val="28"/>
          <w:lang w:eastAsia="en-GB"/>
        </w:rPr>
        <w:t>*</w:t>
      </w:r>
    </w:p>
    <w:p w:rsidR="003F0524" w:rsidRDefault="003F0524" w:rsidP="00C5234D">
      <w:pPr>
        <w:jc w:val="both"/>
        <w:rPr>
          <w:rFonts w:ascii="Times New Roman" w:eastAsia="Times New Roman" w:hAnsi="Times New Roman" w:cs="Times New Roman"/>
          <w:sz w:val="28"/>
          <w:szCs w:val="28"/>
          <w:lang w:eastAsia="en-GB"/>
        </w:rPr>
      </w:pPr>
    </w:p>
    <w:p w:rsidR="003F0524" w:rsidRPr="003F0524" w:rsidRDefault="003F0524" w:rsidP="003F0524">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w:t>
      </w:r>
      <w:r w:rsidRPr="003F0524">
        <w:rPr>
          <w:rFonts w:ascii="Times New Roman" w:eastAsia="Times New Roman" w:hAnsi="Times New Roman" w:cs="Times New Roman"/>
          <w:sz w:val="28"/>
          <w:szCs w:val="28"/>
          <w:lang w:eastAsia="en-GB"/>
        </w:rPr>
        <w:t xml:space="preserve"> MRC Lifecourse Epidemiology Unit, University of Southampton</w:t>
      </w:r>
    </w:p>
    <w:p w:rsidR="003F0524" w:rsidRPr="003F0524" w:rsidRDefault="003F0524" w:rsidP="00C5234D">
      <w:pPr>
        <w:jc w:val="both"/>
        <w:rPr>
          <w:rFonts w:ascii="Times New Roman" w:eastAsia="Times New Roman" w:hAnsi="Times New Roman" w:cs="Times New Roman"/>
          <w:sz w:val="28"/>
          <w:szCs w:val="28"/>
          <w:lang w:eastAsia="en-GB"/>
        </w:rPr>
      </w:pPr>
      <w:r w:rsidRPr="003F0524">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 xml:space="preserve"> Institute of Sound and Vibration Research, </w:t>
      </w:r>
      <w:r w:rsidRPr="003F0524">
        <w:rPr>
          <w:rFonts w:ascii="Times New Roman" w:eastAsia="Times New Roman" w:hAnsi="Times New Roman" w:cs="Times New Roman"/>
          <w:sz w:val="28"/>
          <w:szCs w:val="28"/>
          <w:lang w:eastAsia="en-GB"/>
        </w:rPr>
        <w:t>University of Southampton</w:t>
      </w:r>
    </w:p>
    <w:p w:rsidR="003F0524" w:rsidRPr="003F0524" w:rsidRDefault="003F0524" w:rsidP="00C5234D">
      <w:pPr>
        <w:jc w:val="both"/>
        <w:rPr>
          <w:rFonts w:ascii="Times New Roman" w:eastAsia="Times New Roman" w:hAnsi="Times New Roman" w:cs="Times New Roman"/>
          <w:sz w:val="28"/>
          <w:szCs w:val="28"/>
          <w:lang w:eastAsia="en-GB"/>
        </w:rPr>
      </w:pPr>
    </w:p>
    <w:p w:rsidR="003F0524" w:rsidRDefault="003F0524" w:rsidP="003F0524">
      <w:r w:rsidRPr="003F0524">
        <w:rPr>
          <w:rFonts w:ascii="Times New Roman" w:eastAsia="Times New Roman" w:hAnsi="Times New Roman" w:cs="Times New Roman"/>
          <w:sz w:val="28"/>
          <w:szCs w:val="28"/>
          <w:lang w:eastAsia="en-GB"/>
        </w:rPr>
        <w:t>Correspondence to:</w:t>
      </w:r>
      <w:r w:rsidRPr="003F0524">
        <w:t xml:space="preserve"> </w:t>
      </w:r>
    </w:p>
    <w:p w:rsidR="00962E8A" w:rsidRPr="00962E8A" w:rsidRDefault="003F0524" w:rsidP="00962E8A">
      <w:pPr>
        <w:rPr>
          <w:rFonts w:ascii="Times New Roman" w:eastAsia="Times New Roman" w:hAnsi="Times New Roman" w:cs="Times New Roman"/>
          <w:sz w:val="28"/>
          <w:szCs w:val="28"/>
          <w:lang w:eastAsia="en-GB"/>
        </w:rPr>
      </w:pPr>
      <w:r w:rsidRPr="003F0524">
        <w:rPr>
          <w:rFonts w:ascii="Times New Roman" w:eastAsia="Times New Roman" w:hAnsi="Times New Roman" w:cs="Times New Roman"/>
          <w:sz w:val="28"/>
          <w:szCs w:val="28"/>
          <w:lang w:eastAsia="en-GB"/>
        </w:rPr>
        <w:t xml:space="preserve">Professor </w:t>
      </w:r>
      <w:r w:rsidR="00962E8A">
        <w:rPr>
          <w:rFonts w:ascii="Times New Roman" w:eastAsia="Times New Roman" w:hAnsi="Times New Roman" w:cs="Times New Roman"/>
          <w:sz w:val="28"/>
          <w:szCs w:val="28"/>
          <w:lang w:eastAsia="en-GB"/>
        </w:rPr>
        <w:t xml:space="preserve">Keith </w:t>
      </w:r>
      <w:r w:rsidRPr="003F0524">
        <w:rPr>
          <w:rFonts w:ascii="Times New Roman" w:eastAsia="Times New Roman" w:hAnsi="Times New Roman" w:cs="Times New Roman"/>
          <w:sz w:val="28"/>
          <w:szCs w:val="28"/>
          <w:lang w:eastAsia="en-GB"/>
        </w:rPr>
        <w:t>Palmer</w:t>
      </w:r>
      <w:r>
        <w:rPr>
          <w:rFonts w:ascii="Times New Roman" w:eastAsia="Times New Roman" w:hAnsi="Times New Roman" w:cs="Times New Roman"/>
          <w:sz w:val="28"/>
          <w:szCs w:val="28"/>
          <w:lang w:eastAsia="en-GB"/>
        </w:rPr>
        <w:t>,</w:t>
      </w:r>
      <w:r w:rsidRPr="003F0524">
        <w:rPr>
          <w:rFonts w:ascii="Times New Roman" w:eastAsia="Times New Roman" w:hAnsi="Times New Roman" w:cs="Times New Roman"/>
          <w:sz w:val="28"/>
          <w:szCs w:val="28"/>
          <w:lang w:eastAsia="en-GB"/>
        </w:rPr>
        <w:t xml:space="preserve"> MRC Lifecourse Epidemiology Unit, Univers</w:t>
      </w:r>
      <w:r>
        <w:rPr>
          <w:rFonts w:ascii="Times New Roman" w:eastAsia="Times New Roman" w:hAnsi="Times New Roman" w:cs="Times New Roman"/>
          <w:sz w:val="28"/>
          <w:szCs w:val="28"/>
          <w:lang w:eastAsia="en-GB"/>
        </w:rPr>
        <w:t>ity of Southampton, UK SO16 6YD</w:t>
      </w:r>
    </w:p>
    <w:p w:rsidR="00962E8A" w:rsidRPr="00962E8A" w:rsidRDefault="00962E8A" w:rsidP="00962E8A">
      <w:pPr>
        <w:rPr>
          <w:rFonts w:ascii="Times New Roman" w:eastAsia="Times New Roman" w:hAnsi="Times New Roman" w:cs="Times New Roman"/>
          <w:sz w:val="28"/>
          <w:szCs w:val="28"/>
          <w:lang w:eastAsia="en-GB"/>
        </w:rPr>
      </w:pPr>
      <w:r w:rsidRPr="00962E8A">
        <w:rPr>
          <w:rFonts w:ascii="Times New Roman" w:eastAsia="Times New Roman" w:hAnsi="Times New Roman" w:cs="Times New Roman"/>
          <w:sz w:val="28"/>
          <w:szCs w:val="28"/>
          <w:lang w:eastAsia="en-GB"/>
        </w:rPr>
        <w:t xml:space="preserve">Telephone:  </w:t>
      </w:r>
      <w:r w:rsidRPr="00962E8A">
        <w:rPr>
          <w:rFonts w:ascii="Times New Roman" w:eastAsia="Times New Roman" w:hAnsi="Times New Roman" w:cs="Times New Roman"/>
          <w:sz w:val="28"/>
          <w:szCs w:val="28"/>
          <w:lang w:eastAsia="en-GB"/>
        </w:rPr>
        <w:tab/>
        <w:t>+44 (0) 23 8077 7624</w:t>
      </w:r>
    </w:p>
    <w:p w:rsidR="00962E8A" w:rsidRPr="00962E8A" w:rsidRDefault="00962E8A" w:rsidP="00962E8A">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Fax No: </w:t>
      </w:r>
      <w:r w:rsidRPr="00962E8A">
        <w:rPr>
          <w:rFonts w:ascii="Times New Roman" w:eastAsia="Times New Roman" w:hAnsi="Times New Roman" w:cs="Times New Roman"/>
          <w:sz w:val="28"/>
          <w:szCs w:val="28"/>
          <w:lang w:eastAsia="en-GB"/>
        </w:rPr>
        <w:t>+44 (0) 23 8070 4021</w:t>
      </w:r>
    </w:p>
    <w:p w:rsidR="00962E8A" w:rsidRPr="00962E8A" w:rsidRDefault="00962E8A" w:rsidP="00962E8A">
      <w:pPr>
        <w:rPr>
          <w:rFonts w:ascii="Times New Roman" w:eastAsia="Times New Roman" w:hAnsi="Times New Roman" w:cs="Times New Roman"/>
          <w:sz w:val="28"/>
          <w:szCs w:val="28"/>
          <w:lang w:eastAsia="en-GB"/>
        </w:rPr>
      </w:pPr>
      <w:r w:rsidRPr="00962E8A">
        <w:rPr>
          <w:rFonts w:ascii="Times New Roman" w:eastAsia="Times New Roman" w:hAnsi="Times New Roman" w:cs="Times New Roman"/>
          <w:sz w:val="28"/>
          <w:szCs w:val="28"/>
          <w:lang w:eastAsia="en-GB"/>
        </w:rPr>
        <w:t xml:space="preserve">E-mail: </w:t>
      </w:r>
      <w:hyperlink r:id="rId9" w:history="1">
        <w:r w:rsidRPr="00962E8A">
          <w:rPr>
            <w:rFonts w:ascii="Times New Roman" w:eastAsia="Times New Roman" w:hAnsi="Times New Roman" w:cs="Times New Roman"/>
            <w:sz w:val="28"/>
            <w:szCs w:val="28"/>
            <w:lang w:eastAsia="en-GB"/>
          </w:rPr>
          <w:t>ktp@mrc.soton.ac.uk</w:t>
        </w:r>
      </w:hyperlink>
      <w:r>
        <w:rPr>
          <w:rFonts w:ascii="Times New Roman" w:eastAsia="Times New Roman" w:hAnsi="Times New Roman" w:cs="Times New Roman"/>
          <w:sz w:val="28"/>
          <w:szCs w:val="28"/>
          <w:lang w:eastAsia="en-GB"/>
        </w:rPr>
        <w:t xml:space="preserve">  </w:t>
      </w:r>
    </w:p>
    <w:p w:rsidR="00962E8A" w:rsidRDefault="00962E8A" w:rsidP="00962E8A">
      <w:pPr>
        <w:rPr>
          <w:rFonts w:ascii="Times New Roman" w:hAnsi="Times New Roman" w:cs="Times New Roman"/>
          <w:sz w:val="24"/>
          <w:szCs w:val="24"/>
        </w:rPr>
      </w:pPr>
    </w:p>
    <w:p w:rsidR="002E180A" w:rsidRDefault="002E180A" w:rsidP="00962E8A">
      <w:pPr>
        <w:rPr>
          <w:rFonts w:ascii="Times New Roman" w:hAnsi="Times New Roman" w:cs="Times New Roman"/>
          <w:sz w:val="24"/>
          <w:szCs w:val="24"/>
        </w:rPr>
      </w:pPr>
      <w:r>
        <w:rPr>
          <w:rFonts w:ascii="Times New Roman" w:hAnsi="Times New Roman" w:cs="Times New Roman"/>
          <w:sz w:val="24"/>
          <w:szCs w:val="24"/>
        </w:rPr>
        <w:t xml:space="preserve">Words: </w:t>
      </w:r>
      <w:r w:rsidR="00AA1E96">
        <w:rPr>
          <w:rFonts w:ascii="Times New Roman" w:hAnsi="Times New Roman" w:cs="Times New Roman"/>
          <w:sz w:val="24"/>
          <w:szCs w:val="24"/>
        </w:rPr>
        <w:t>222</w:t>
      </w:r>
      <w:r w:rsidR="00B443BF">
        <w:rPr>
          <w:rFonts w:ascii="Times New Roman" w:hAnsi="Times New Roman" w:cs="Times New Roman"/>
          <w:sz w:val="24"/>
          <w:szCs w:val="24"/>
        </w:rPr>
        <w:t>8</w:t>
      </w:r>
      <w:r w:rsidR="00AA1E96">
        <w:rPr>
          <w:rFonts w:ascii="Times New Roman" w:hAnsi="Times New Roman" w:cs="Times New Roman"/>
          <w:sz w:val="24"/>
          <w:szCs w:val="24"/>
        </w:rPr>
        <w:t xml:space="preserve"> </w:t>
      </w:r>
      <w:r>
        <w:rPr>
          <w:rFonts w:ascii="Times New Roman" w:hAnsi="Times New Roman" w:cs="Times New Roman"/>
          <w:sz w:val="24"/>
          <w:szCs w:val="24"/>
        </w:rPr>
        <w:t xml:space="preserve">(main text); </w:t>
      </w:r>
      <w:r w:rsidR="00AA1E96">
        <w:rPr>
          <w:rFonts w:ascii="Times New Roman" w:hAnsi="Times New Roman" w:cs="Times New Roman"/>
          <w:sz w:val="24"/>
          <w:szCs w:val="24"/>
        </w:rPr>
        <w:t xml:space="preserve">249 </w:t>
      </w:r>
      <w:r>
        <w:rPr>
          <w:rFonts w:ascii="Times New Roman" w:hAnsi="Times New Roman" w:cs="Times New Roman"/>
          <w:sz w:val="24"/>
          <w:szCs w:val="24"/>
        </w:rPr>
        <w:t xml:space="preserve">(abstract); Tables – </w:t>
      </w:r>
      <w:r w:rsidR="00AA1E96">
        <w:rPr>
          <w:rFonts w:ascii="Times New Roman" w:hAnsi="Times New Roman" w:cs="Times New Roman"/>
          <w:sz w:val="24"/>
          <w:szCs w:val="24"/>
        </w:rPr>
        <w:t>2</w:t>
      </w:r>
      <w:r>
        <w:rPr>
          <w:rFonts w:ascii="Times New Roman" w:hAnsi="Times New Roman" w:cs="Times New Roman"/>
          <w:sz w:val="24"/>
          <w:szCs w:val="24"/>
        </w:rPr>
        <w:t xml:space="preserve">, Figures – 1. </w:t>
      </w:r>
    </w:p>
    <w:p w:rsidR="00962E8A" w:rsidRDefault="00962E8A" w:rsidP="00962E8A">
      <w:pPr>
        <w:rPr>
          <w:rFonts w:ascii="Times New Roman" w:hAnsi="Times New Roman" w:cs="Times New Roman"/>
          <w:sz w:val="24"/>
          <w:szCs w:val="24"/>
        </w:rPr>
      </w:pPr>
    </w:p>
    <w:p w:rsidR="00962E8A" w:rsidRPr="00EE51AB" w:rsidRDefault="00962E8A" w:rsidP="00962E8A">
      <w:pPr>
        <w:rPr>
          <w:rFonts w:ascii="Times New Roman" w:hAnsi="Times New Roman" w:cs="Times New Roman"/>
          <w:sz w:val="24"/>
          <w:szCs w:val="24"/>
        </w:rPr>
      </w:pPr>
      <w:r w:rsidRPr="00EE51AB">
        <w:rPr>
          <w:rFonts w:ascii="Times New Roman" w:hAnsi="Times New Roman" w:cs="Times New Roman"/>
          <w:sz w:val="24"/>
          <w:szCs w:val="24"/>
        </w:rPr>
        <w:t>The Corresponding Author has the right to grant on behalf of all authors and does grant on behalf of all authors, an exclusive licence (or non exclusive for government employees) on a worldwide basis to the BMJ Publishing Group Ltd and its Licensees to permit this article (if accepted) to be published in Occupational and Environmental Medicine editions and any other BMJPGL products to exploit all subsidiary rights, as set out in our licence (http://oem.bmjjournals.com/misc/ifora/licenceform.shtml).</w:t>
      </w:r>
    </w:p>
    <w:p w:rsidR="00CD31F3" w:rsidRPr="003F0524" w:rsidRDefault="00CD31F3">
      <w:pPr>
        <w:rPr>
          <w:rFonts w:ascii="Times New Roman" w:eastAsia="Times New Roman" w:hAnsi="Times New Roman" w:cs="Times New Roman"/>
          <w:sz w:val="28"/>
          <w:szCs w:val="28"/>
          <w:lang w:eastAsia="en-GB"/>
        </w:rPr>
      </w:pPr>
      <w:r w:rsidRPr="003F0524">
        <w:rPr>
          <w:rFonts w:ascii="Times New Roman" w:eastAsia="Times New Roman" w:hAnsi="Times New Roman" w:cs="Times New Roman"/>
          <w:sz w:val="28"/>
          <w:szCs w:val="28"/>
          <w:lang w:eastAsia="en-GB"/>
        </w:rPr>
        <w:br w:type="page"/>
      </w:r>
    </w:p>
    <w:p w:rsidR="003F0524" w:rsidRPr="00A16D5D" w:rsidRDefault="003F0524" w:rsidP="00C5234D">
      <w:pPr>
        <w:jc w:val="both"/>
        <w:rPr>
          <w:rFonts w:ascii="Times New Roman" w:eastAsia="Times New Roman" w:hAnsi="Times New Roman" w:cs="Times New Roman"/>
          <w:b/>
          <w:sz w:val="24"/>
          <w:szCs w:val="20"/>
          <w:lang w:eastAsia="en-GB"/>
        </w:rPr>
      </w:pPr>
      <w:r w:rsidRPr="00A16D5D">
        <w:rPr>
          <w:rFonts w:ascii="Times New Roman" w:eastAsia="Times New Roman" w:hAnsi="Times New Roman" w:cs="Times New Roman"/>
          <w:b/>
          <w:sz w:val="24"/>
          <w:szCs w:val="20"/>
          <w:lang w:eastAsia="en-GB"/>
        </w:rPr>
        <w:lastRenderedPageBreak/>
        <w:t>Abstract</w:t>
      </w:r>
    </w:p>
    <w:p w:rsidR="001C3059" w:rsidRDefault="001C3059" w:rsidP="00C5234D">
      <w:pPr>
        <w:jc w:val="both"/>
        <w:rPr>
          <w:rFonts w:ascii="Times New Roman" w:eastAsia="Times New Roman" w:hAnsi="Times New Roman" w:cs="Times New Roman"/>
          <w:b/>
          <w:sz w:val="24"/>
          <w:szCs w:val="20"/>
          <w:lang w:eastAsia="en-GB"/>
        </w:rPr>
      </w:pPr>
    </w:p>
    <w:p w:rsidR="0012271B" w:rsidRDefault="0012271B" w:rsidP="0012271B">
      <w:pPr>
        <w:jc w:val="both"/>
        <w:rPr>
          <w:rFonts w:ascii="Times New Roman" w:eastAsia="Times New Roman" w:hAnsi="Times New Roman" w:cs="Times New Roman"/>
          <w:sz w:val="24"/>
          <w:szCs w:val="20"/>
          <w:lang w:eastAsia="en-GB"/>
        </w:rPr>
      </w:pPr>
      <w:r w:rsidRPr="00A16D5D">
        <w:rPr>
          <w:rFonts w:ascii="Times New Roman" w:eastAsia="Times New Roman" w:hAnsi="Times New Roman" w:cs="Times New Roman"/>
          <w:b/>
          <w:sz w:val="24"/>
          <w:szCs w:val="20"/>
          <w:lang w:eastAsia="en-GB"/>
        </w:rPr>
        <w:t>Aims:</w:t>
      </w:r>
      <w:r>
        <w:rPr>
          <w:rFonts w:ascii="Times New Roman" w:eastAsia="Times New Roman" w:hAnsi="Times New Roman" w:cs="Times New Roman"/>
          <w:sz w:val="24"/>
          <w:szCs w:val="20"/>
          <w:lang w:eastAsia="en-GB"/>
        </w:rPr>
        <w:t xml:space="preserve"> </w:t>
      </w:r>
    </w:p>
    <w:p w:rsidR="0012271B" w:rsidRDefault="0012271B" w:rsidP="0012271B">
      <w:pPr>
        <w:jc w:val="both"/>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The relation between </w:t>
      </w:r>
      <w:proofErr w:type="spellStart"/>
      <w:r>
        <w:rPr>
          <w:rFonts w:ascii="Times New Roman" w:eastAsia="Times New Roman" w:hAnsi="Times New Roman" w:cs="Times New Roman"/>
          <w:sz w:val="24"/>
          <w:szCs w:val="20"/>
          <w:lang w:eastAsia="en-GB"/>
        </w:rPr>
        <w:t>Dupuytren’s</w:t>
      </w:r>
      <w:proofErr w:type="spellEnd"/>
      <w:r>
        <w:rPr>
          <w:rFonts w:ascii="Times New Roman" w:eastAsia="Times New Roman" w:hAnsi="Times New Roman" w:cs="Times New Roman"/>
          <w:sz w:val="24"/>
          <w:szCs w:val="20"/>
          <w:lang w:eastAsia="en-GB"/>
        </w:rPr>
        <w:t xml:space="preserve"> contracture and occupational exposure to hand-transmitted vibration (HTV) has </w:t>
      </w:r>
      <w:r w:rsidR="005B7A05">
        <w:rPr>
          <w:rFonts w:ascii="Times New Roman" w:eastAsia="Times New Roman" w:hAnsi="Times New Roman" w:cs="Times New Roman"/>
          <w:sz w:val="24"/>
          <w:szCs w:val="20"/>
          <w:lang w:eastAsia="en-GB"/>
        </w:rPr>
        <w:t xml:space="preserve">frequently </w:t>
      </w:r>
      <w:r>
        <w:rPr>
          <w:rFonts w:ascii="Times New Roman" w:eastAsia="Times New Roman" w:hAnsi="Times New Roman" w:cs="Times New Roman"/>
          <w:sz w:val="24"/>
          <w:szCs w:val="20"/>
          <w:lang w:eastAsia="en-GB"/>
        </w:rPr>
        <w:t>been</w:t>
      </w:r>
      <w:r w:rsidR="00777F24">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debated. We explored associations in a representative national sample of workers with well-characterised exposure to HTV.</w:t>
      </w:r>
    </w:p>
    <w:p w:rsidR="0012271B" w:rsidRPr="00A16D5D" w:rsidRDefault="0012271B" w:rsidP="0012271B">
      <w:pPr>
        <w:jc w:val="both"/>
        <w:rPr>
          <w:rFonts w:ascii="Times New Roman" w:eastAsia="Times New Roman" w:hAnsi="Times New Roman" w:cs="Times New Roman"/>
          <w:b/>
          <w:sz w:val="24"/>
          <w:szCs w:val="20"/>
          <w:lang w:eastAsia="en-GB"/>
        </w:rPr>
      </w:pPr>
      <w:r w:rsidRPr="00A16D5D">
        <w:rPr>
          <w:rFonts w:ascii="Times New Roman" w:eastAsia="Times New Roman" w:hAnsi="Times New Roman" w:cs="Times New Roman"/>
          <w:b/>
          <w:sz w:val="24"/>
          <w:szCs w:val="20"/>
          <w:lang w:eastAsia="en-GB"/>
        </w:rPr>
        <w:t xml:space="preserve">Methods: </w:t>
      </w:r>
    </w:p>
    <w:p w:rsidR="0012271B" w:rsidRDefault="0012271B" w:rsidP="0012271B">
      <w:pPr>
        <w:jc w:val="both"/>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We mailed a</w:t>
      </w:r>
      <w:r w:rsidRPr="009E1F89">
        <w:rPr>
          <w:rFonts w:ascii="Times New Roman" w:eastAsia="Times New Roman" w:hAnsi="Times New Roman" w:cs="Times New Roman"/>
          <w:sz w:val="24"/>
          <w:szCs w:val="20"/>
          <w:lang w:eastAsia="en-GB"/>
        </w:rPr>
        <w:t xml:space="preserve"> questionnaire to 21,201 subjects aged 16 – 64 years</w:t>
      </w:r>
      <w:r>
        <w:rPr>
          <w:rFonts w:ascii="Times New Roman" w:eastAsia="Times New Roman" w:hAnsi="Times New Roman" w:cs="Times New Roman"/>
          <w:sz w:val="24"/>
          <w:szCs w:val="20"/>
          <w:lang w:eastAsia="en-GB"/>
        </w:rPr>
        <w:t>,</w:t>
      </w:r>
      <w:r w:rsidRPr="009E1F89">
        <w:rPr>
          <w:rFonts w:ascii="Times New Roman" w:eastAsia="Times New Roman" w:hAnsi="Times New Roman" w:cs="Times New Roman"/>
          <w:sz w:val="24"/>
          <w:szCs w:val="20"/>
          <w:lang w:eastAsia="en-GB"/>
        </w:rPr>
        <w:t xml:space="preserve"> selected at random from the age-sex registers of 34 general practices in </w:t>
      </w:r>
      <w:r>
        <w:rPr>
          <w:rFonts w:ascii="Times New Roman" w:eastAsia="Times New Roman" w:hAnsi="Times New Roman" w:cs="Times New Roman"/>
          <w:sz w:val="24"/>
          <w:szCs w:val="20"/>
          <w:lang w:eastAsia="en-GB"/>
        </w:rPr>
        <w:t>Great Britain</w:t>
      </w:r>
      <w:r w:rsidRPr="009E1F89">
        <w:rPr>
          <w:rFonts w:ascii="Times New Roman" w:eastAsia="Times New Roman" w:hAnsi="Times New Roman" w:cs="Times New Roman"/>
          <w:sz w:val="24"/>
          <w:szCs w:val="20"/>
          <w:lang w:eastAsia="en-GB"/>
        </w:rPr>
        <w:t xml:space="preserve"> and </w:t>
      </w:r>
      <w:r>
        <w:rPr>
          <w:rFonts w:ascii="Times New Roman" w:eastAsia="Times New Roman" w:hAnsi="Times New Roman" w:cs="Times New Roman"/>
          <w:sz w:val="24"/>
          <w:szCs w:val="20"/>
          <w:lang w:eastAsia="en-GB"/>
        </w:rPr>
        <w:t xml:space="preserve">to </w:t>
      </w:r>
      <w:r w:rsidRPr="009E1F89">
        <w:rPr>
          <w:rFonts w:ascii="Times New Roman" w:eastAsia="Times New Roman" w:hAnsi="Times New Roman" w:cs="Times New Roman"/>
          <w:sz w:val="24"/>
          <w:szCs w:val="20"/>
          <w:lang w:eastAsia="en-GB"/>
        </w:rPr>
        <w:t xml:space="preserve">993 subjects </w:t>
      </w:r>
      <w:r>
        <w:rPr>
          <w:rFonts w:ascii="Times New Roman" w:eastAsia="Times New Roman" w:hAnsi="Times New Roman" w:cs="Times New Roman"/>
          <w:sz w:val="24"/>
          <w:szCs w:val="20"/>
          <w:lang w:eastAsia="en-GB"/>
        </w:rPr>
        <w:t>chosen randomly</w:t>
      </w:r>
      <w:r w:rsidRPr="009E1F89">
        <w:rPr>
          <w:rFonts w:ascii="Times New Roman" w:eastAsia="Times New Roman" w:hAnsi="Times New Roman" w:cs="Times New Roman"/>
          <w:sz w:val="24"/>
          <w:szCs w:val="20"/>
          <w:lang w:eastAsia="en-GB"/>
        </w:rPr>
        <w:t xml:space="preserve"> from</w:t>
      </w:r>
      <w:r>
        <w:rPr>
          <w:rFonts w:ascii="Times New Roman" w:eastAsia="Times New Roman" w:hAnsi="Times New Roman" w:cs="Times New Roman"/>
          <w:sz w:val="24"/>
          <w:szCs w:val="20"/>
          <w:lang w:eastAsia="en-GB"/>
        </w:rPr>
        <w:t xml:space="preserve"> military</w:t>
      </w:r>
      <w:r w:rsidRPr="009E1F89">
        <w:rPr>
          <w:rFonts w:ascii="Times New Roman" w:eastAsia="Times New Roman" w:hAnsi="Times New Roman" w:cs="Times New Roman"/>
          <w:sz w:val="24"/>
          <w:szCs w:val="20"/>
          <w:lang w:eastAsia="en-GB"/>
        </w:rPr>
        <w:t xml:space="preserve"> pay re</w:t>
      </w:r>
      <w:r>
        <w:rPr>
          <w:rFonts w:ascii="Times New Roman" w:eastAsia="Times New Roman" w:hAnsi="Times New Roman" w:cs="Times New Roman"/>
          <w:sz w:val="24"/>
          <w:szCs w:val="20"/>
          <w:lang w:eastAsia="en-GB"/>
        </w:rPr>
        <w:t xml:space="preserve">cords, asking </w:t>
      </w:r>
      <w:r w:rsidRPr="009E1F89">
        <w:rPr>
          <w:rFonts w:ascii="Times New Roman" w:eastAsia="Times New Roman" w:hAnsi="Times New Roman" w:cs="Times New Roman"/>
          <w:sz w:val="24"/>
          <w:szCs w:val="20"/>
          <w:lang w:eastAsia="en-GB"/>
        </w:rPr>
        <w:t xml:space="preserve">about </w:t>
      </w:r>
      <w:r>
        <w:rPr>
          <w:rFonts w:ascii="Times New Roman" w:eastAsia="Times New Roman" w:hAnsi="Times New Roman" w:cs="Times New Roman"/>
          <w:sz w:val="24"/>
          <w:szCs w:val="20"/>
          <w:lang w:eastAsia="en-GB"/>
        </w:rPr>
        <w:t xml:space="preserve">occupational </w:t>
      </w:r>
      <w:r w:rsidRPr="009E1F89">
        <w:rPr>
          <w:rFonts w:ascii="Times New Roman" w:eastAsia="Times New Roman" w:hAnsi="Times New Roman" w:cs="Times New Roman"/>
          <w:sz w:val="24"/>
          <w:szCs w:val="20"/>
          <w:lang w:eastAsia="en-GB"/>
        </w:rPr>
        <w:t xml:space="preserve">exposure to </w:t>
      </w:r>
      <w:r>
        <w:rPr>
          <w:rFonts w:ascii="Times New Roman" w:eastAsia="Times New Roman" w:hAnsi="Times New Roman" w:cs="Times New Roman"/>
          <w:sz w:val="24"/>
          <w:szCs w:val="20"/>
          <w:lang w:eastAsia="en-GB"/>
        </w:rPr>
        <w:t xml:space="preserve">39 </w:t>
      </w:r>
      <w:r w:rsidRPr="009E1F89">
        <w:rPr>
          <w:rFonts w:ascii="Times New Roman" w:eastAsia="Times New Roman" w:hAnsi="Times New Roman" w:cs="Times New Roman"/>
          <w:sz w:val="24"/>
          <w:szCs w:val="20"/>
          <w:lang w:eastAsia="en-GB"/>
        </w:rPr>
        <w:t xml:space="preserve">sources of HTV and </w:t>
      </w:r>
      <w:r>
        <w:rPr>
          <w:rFonts w:ascii="Times New Roman" w:eastAsia="Times New Roman" w:hAnsi="Times New Roman" w:cs="Times New Roman"/>
          <w:sz w:val="24"/>
          <w:szCs w:val="20"/>
          <w:lang w:eastAsia="en-GB"/>
        </w:rPr>
        <w:t>about fixed flexion contracture of the little or ring finger. Analysis was restricted to men at work in the previous week. E</w:t>
      </w:r>
      <w:r w:rsidRPr="00F00262">
        <w:rPr>
          <w:rFonts w:ascii="Times New Roman" w:eastAsia="Times New Roman" w:hAnsi="Times New Roman" w:cs="Times New Roman"/>
          <w:sz w:val="24"/>
          <w:szCs w:val="20"/>
          <w:lang w:eastAsia="en-GB"/>
        </w:rPr>
        <w:t xml:space="preserve">stimates </w:t>
      </w:r>
      <w:r>
        <w:rPr>
          <w:rFonts w:ascii="Times New Roman" w:eastAsia="Times New Roman" w:hAnsi="Times New Roman" w:cs="Times New Roman"/>
          <w:sz w:val="24"/>
          <w:szCs w:val="20"/>
          <w:lang w:eastAsia="en-GB"/>
        </w:rPr>
        <w:t xml:space="preserve">were </w:t>
      </w:r>
      <w:r w:rsidRPr="00F00262">
        <w:rPr>
          <w:rFonts w:ascii="Times New Roman" w:eastAsia="Times New Roman" w:hAnsi="Times New Roman" w:cs="Times New Roman"/>
          <w:sz w:val="24"/>
          <w:szCs w:val="20"/>
          <w:lang w:eastAsia="en-GB"/>
        </w:rPr>
        <w:t>made of average daily vibration dose (</w:t>
      </w:r>
      <w:proofErr w:type="gramStart"/>
      <w:r w:rsidRPr="00301C37">
        <w:rPr>
          <w:rFonts w:ascii="Times New Roman" w:eastAsia="Times New Roman" w:hAnsi="Times New Roman" w:cs="Times New Roman"/>
          <w:i/>
          <w:sz w:val="24"/>
          <w:szCs w:val="20"/>
          <w:lang w:eastAsia="en-GB"/>
        </w:rPr>
        <w:t>A</w:t>
      </w:r>
      <w:r w:rsidRPr="00DE12CF">
        <w:rPr>
          <w:rFonts w:ascii="Times New Roman" w:eastAsia="Times New Roman" w:hAnsi="Times New Roman" w:cs="Times New Roman"/>
          <w:sz w:val="24"/>
          <w:szCs w:val="20"/>
          <w:lang w:eastAsia="en-GB"/>
        </w:rPr>
        <w:t>(</w:t>
      </w:r>
      <w:proofErr w:type="gramEnd"/>
      <w:r w:rsidRPr="00DE12CF">
        <w:rPr>
          <w:rFonts w:ascii="Times New Roman" w:eastAsia="Times New Roman" w:hAnsi="Times New Roman" w:cs="Times New Roman"/>
          <w:sz w:val="24"/>
          <w:szCs w:val="20"/>
          <w:lang w:eastAsia="en-GB"/>
        </w:rPr>
        <w:t>8)</w:t>
      </w:r>
      <w:r w:rsidRPr="00F00262">
        <w:rPr>
          <w:rFonts w:ascii="Times New Roman" w:eastAsia="Times New Roman" w:hAnsi="Times New Roman" w:cs="Times New Roman"/>
          <w:sz w:val="24"/>
          <w:szCs w:val="20"/>
          <w:lang w:eastAsia="en-GB"/>
        </w:rPr>
        <w:t xml:space="preserve"> </w:t>
      </w:r>
      <w:proofErr w:type="spellStart"/>
      <w:r w:rsidRPr="00F00262">
        <w:rPr>
          <w:rFonts w:ascii="Times New Roman" w:eastAsia="Times New Roman" w:hAnsi="Times New Roman" w:cs="Times New Roman"/>
          <w:sz w:val="24"/>
          <w:szCs w:val="20"/>
          <w:lang w:eastAsia="en-GB"/>
        </w:rPr>
        <w:t>r.m.s</w:t>
      </w:r>
      <w:proofErr w:type="spellEnd"/>
      <w:r w:rsidRPr="00F00262">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over that</w:t>
      </w:r>
      <w:r w:rsidRPr="00F00262">
        <w:rPr>
          <w:rFonts w:ascii="Times New Roman" w:eastAsia="Times New Roman" w:hAnsi="Times New Roman" w:cs="Times New Roman"/>
          <w:sz w:val="24"/>
          <w:szCs w:val="20"/>
          <w:lang w:eastAsia="en-GB"/>
        </w:rPr>
        <w:t xml:space="preserve"> week.</w:t>
      </w:r>
      <w:r>
        <w:rPr>
          <w:rFonts w:ascii="Times New Roman" w:eastAsia="Times New Roman" w:hAnsi="Times New Roman" w:cs="Times New Roman"/>
          <w:sz w:val="24"/>
          <w:szCs w:val="20"/>
          <w:lang w:eastAsia="en-GB"/>
        </w:rPr>
        <w:t xml:space="preserve"> Associations with </w:t>
      </w:r>
      <w:proofErr w:type="spellStart"/>
      <w:r>
        <w:rPr>
          <w:rFonts w:ascii="Times New Roman" w:eastAsia="Times New Roman" w:hAnsi="Times New Roman" w:cs="Times New Roman"/>
          <w:sz w:val="24"/>
          <w:szCs w:val="20"/>
          <w:lang w:eastAsia="en-GB"/>
        </w:rPr>
        <w:t>Dupuytren’s</w:t>
      </w:r>
      <w:proofErr w:type="spellEnd"/>
      <w:r>
        <w:rPr>
          <w:rFonts w:ascii="Times New Roman" w:eastAsia="Times New Roman" w:hAnsi="Times New Roman" w:cs="Times New Roman"/>
          <w:sz w:val="24"/>
          <w:szCs w:val="20"/>
          <w:lang w:eastAsia="en-GB"/>
        </w:rPr>
        <w:t xml:space="preserve"> contracture were estimated by </w:t>
      </w:r>
      <w:r w:rsidRPr="00AE08F4">
        <w:rPr>
          <w:rFonts w:ascii="Times New Roman" w:eastAsia="Times New Roman" w:hAnsi="Times New Roman" w:cs="Times New Roman"/>
          <w:sz w:val="24"/>
          <w:szCs w:val="20"/>
          <w:lang w:eastAsia="en-GB"/>
        </w:rPr>
        <w:t>Poisson regression</w:t>
      </w:r>
      <w:r>
        <w:rPr>
          <w:rFonts w:ascii="Times New Roman" w:eastAsia="Times New Roman" w:hAnsi="Times New Roman" w:cs="Times New Roman"/>
          <w:sz w:val="24"/>
          <w:szCs w:val="20"/>
          <w:lang w:eastAsia="en-GB"/>
        </w:rPr>
        <w:t xml:space="preserve">, both for lifetime exposure to HTV and </w:t>
      </w:r>
      <w:r w:rsidR="002E3E2A">
        <w:rPr>
          <w:rFonts w:ascii="Times New Roman" w:eastAsia="Times New Roman" w:hAnsi="Times New Roman" w:cs="Times New Roman"/>
          <w:sz w:val="24"/>
          <w:szCs w:val="20"/>
          <w:lang w:eastAsia="en-GB"/>
        </w:rPr>
        <w:t xml:space="preserve">for </w:t>
      </w:r>
      <w:r>
        <w:rPr>
          <w:rFonts w:ascii="Times New Roman" w:eastAsia="Times New Roman" w:hAnsi="Times New Roman" w:cs="Times New Roman"/>
          <w:sz w:val="24"/>
          <w:szCs w:val="20"/>
          <w:lang w:eastAsia="en-GB"/>
        </w:rPr>
        <w:t>exposures in the past week &gt;</w:t>
      </w:r>
      <w:proofErr w:type="gramStart"/>
      <w:r w:rsidRPr="0092315C">
        <w:rPr>
          <w:rFonts w:ascii="Times New Roman" w:eastAsia="Times New Roman" w:hAnsi="Times New Roman" w:cs="Times New Roman"/>
          <w:i/>
          <w:sz w:val="24"/>
          <w:szCs w:val="20"/>
          <w:lang w:eastAsia="en-GB"/>
        </w:rPr>
        <w:t>A</w:t>
      </w:r>
      <w:r w:rsidRPr="0092315C">
        <w:rPr>
          <w:rFonts w:ascii="Times New Roman" w:eastAsia="Times New Roman" w:hAnsi="Times New Roman" w:cs="Times New Roman"/>
          <w:sz w:val="24"/>
          <w:szCs w:val="20"/>
          <w:lang w:eastAsia="en-GB"/>
        </w:rPr>
        <w:t>(</w:t>
      </w:r>
      <w:proofErr w:type="gramEnd"/>
      <w:r w:rsidRPr="0092315C">
        <w:rPr>
          <w:rFonts w:ascii="Times New Roman" w:eastAsia="Times New Roman" w:hAnsi="Times New Roman" w:cs="Times New Roman"/>
          <w:sz w:val="24"/>
          <w:szCs w:val="20"/>
          <w:lang w:eastAsia="en-GB"/>
        </w:rPr>
        <w:t>8)</w:t>
      </w:r>
      <w:r>
        <w:rPr>
          <w:rFonts w:ascii="Times New Roman" w:eastAsia="Times New Roman" w:hAnsi="Times New Roman" w:cs="Times New Roman"/>
          <w:sz w:val="24"/>
          <w:szCs w:val="20"/>
          <w:lang w:eastAsia="en-GB"/>
        </w:rPr>
        <w:t xml:space="preserve"> of 2.8 </w:t>
      </w:r>
      <w:r w:rsidRPr="0092315C">
        <w:rPr>
          <w:rFonts w:ascii="Times New Roman" w:eastAsia="Times New Roman" w:hAnsi="Times New Roman" w:cs="Times New Roman"/>
          <w:spacing w:val="-2"/>
          <w:sz w:val="24"/>
          <w:szCs w:val="20"/>
          <w:lang w:eastAsia="en-GB"/>
        </w:rPr>
        <w:t>ms</w:t>
      </w:r>
      <w:r w:rsidRPr="0092315C">
        <w:rPr>
          <w:rFonts w:ascii="Times New Roman" w:eastAsia="Times New Roman" w:hAnsi="Times New Roman" w:cs="Times New Roman"/>
          <w:spacing w:val="-2"/>
          <w:sz w:val="24"/>
          <w:szCs w:val="20"/>
          <w:vertAlign w:val="superscript"/>
          <w:lang w:eastAsia="en-GB"/>
        </w:rPr>
        <w:noBreakHyphen/>
        <w:t>2</w:t>
      </w:r>
      <w:r w:rsidRPr="0092315C">
        <w:rPr>
          <w:rFonts w:ascii="Times New Roman" w:eastAsia="Times New Roman" w:hAnsi="Times New Roman" w:cs="Times New Roman"/>
          <w:spacing w:val="-2"/>
          <w:sz w:val="24"/>
          <w:szCs w:val="20"/>
          <w:lang w:eastAsia="en-GB"/>
        </w:rPr>
        <w:t xml:space="preserve"> </w:t>
      </w:r>
      <w:proofErr w:type="spellStart"/>
      <w:r w:rsidRPr="0092315C">
        <w:rPr>
          <w:rFonts w:ascii="Times New Roman" w:eastAsia="Times New Roman" w:hAnsi="Times New Roman" w:cs="Times New Roman"/>
          <w:spacing w:val="-2"/>
          <w:sz w:val="24"/>
          <w:szCs w:val="20"/>
          <w:lang w:eastAsia="en-GB"/>
        </w:rPr>
        <w:t>r.m.s</w:t>
      </w:r>
      <w:proofErr w:type="spellEnd"/>
      <w:r w:rsidRPr="0092315C">
        <w:rPr>
          <w:rFonts w:ascii="Times New Roman" w:eastAsia="Times New Roman" w:hAnsi="Times New Roman" w:cs="Times New Roman"/>
          <w:spacing w:val="-2"/>
          <w:sz w:val="24"/>
          <w:szCs w:val="20"/>
          <w:lang w:eastAsia="en-GB"/>
        </w:rPr>
        <w:t>.</w:t>
      </w:r>
      <w:r>
        <w:rPr>
          <w:rFonts w:ascii="Times New Roman" w:eastAsia="Times New Roman" w:hAnsi="Times New Roman" w:cs="Times New Roman"/>
          <w:sz w:val="24"/>
          <w:szCs w:val="20"/>
          <w:lang w:eastAsia="en-GB"/>
        </w:rPr>
        <w:t>. Estimates of relative risk (</w:t>
      </w:r>
      <w:r w:rsidR="00254173">
        <w:rPr>
          <w:rFonts w:ascii="Times New Roman" w:eastAsia="Times New Roman" w:hAnsi="Times New Roman" w:cs="Times New Roman"/>
          <w:sz w:val="24"/>
          <w:szCs w:val="20"/>
          <w:lang w:eastAsia="en-GB"/>
        </w:rPr>
        <w:t>Prevalence Ratio (PR)</w:t>
      </w:r>
      <w:r>
        <w:rPr>
          <w:rFonts w:ascii="Times New Roman" w:eastAsia="Times New Roman" w:hAnsi="Times New Roman" w:cs="Times New Roman"/>
          <w:sz w:val="24"/>
          <w:szCs w:val="20"/>
          <w:lang w:eastAsia="en-GB"/>
        </w:rPr>
        <w:t xml:space="preserve">) were adjusted for age, smoking status, </w:t>
      </w:r>
      <w:r w:rsidRPr="00AE08F4">
        <w:rPr>
          <w:rFonts w:ascii="Times New Roman" w:eastAsia="Times New Roman" w:hAnsi="Times New Roman" w:cs="Times New Roman"/>
          <w:sz w:val="24"/>
          <w:szCs w:val="20"/>
          <w:lang w:eastAsia="en-GB"/>
        </w:rPr>
        <w:t>social class</w:t>
      </w:r>
      <w:r>
        <w:rPr>
          <w:rFonts w:ascii="Times New Roman" w:eastAsia="Times New Roman" w:hAnsi="Times New Roman" w:cs="Times New Roman"/>
          <w:sz w:val="24"/>
          <w:szCs w:val="20"/>
          <w:lang w:eastAsia="en-GB"/>
        </w:rPr>
        <w:t xml:space="preserve"> and certain manual activities at work.</w:t>
      </w:r>
    </w:p>
    <w:p w:rsidR="0012271B" w:rsidRPr="00A16D5D" w:rsidRDefault="0012271B" w:rsidP="0012271B">
      <w:pPr>
        <w:jc w:val="both"/>
        <w:rPr>
          <w:rFonts w:ascii="Times New Roman" w:eastAsia="Times New Roman" w:hAnsi="Times New Roman" w:cs="Times New Roman"/>
          <w:b/>
          <w:sz w:val="24"/>
          <w:szCs w:val="20"/>
          <w:lang w:eastAsia="en-GB"/>
        </w:rPr>
      </w:pPr>
      <w:r w:rsidRPr="00A16D5D">
        <w:rPr>
          <w:rFonts w:ascii="Times New Roman" w:eastAsia="Times New Roman" w:hAnsi="Times New Roman" w:cs="Times New Roman"/>
          <w:b/>
          <w:sz w:val="24"/>
          <w:szCs w:val="20"/>
          <w:lang w:eastAsia="en-GB"/>
        </w:rPr>
        <w:t xml:space="preserve">Results: </w:t>
      </w:r>
    </w:p>
    <w:p w:rsidR="0012271B" w:rsidRDefault="0012271B" w:rsidP="0012271B">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0"/>
          <w:lang w:eastAsia="en-GB"/>
        </w:rPr>
        <w:t>In all</w:t>
      </w:r>
      <w:r w:rsidRPr="00AE08F4">
        <w:rPr>
          <w:rFonts w:ascii="Times New Roman" w:eastAsia="Times New Roman" w:hAnsi="Times New Roman" w:cs="Times New Roman"/>
          <w:sz w:val="24"/>
          <w:szCs w:val="20"/>
          <w:lang w:eastAsia="en-GB"/>
        </w:rPr>
        <w:t xml:space="preserve"> 4,969 </w:t>
      </w:r>
      <w:r>
        <w:rPr>
          <w:rFonts w:ascii="Times New Roman" w:eastAsia="Times New Roman" w:hAnsi="Times New Roman" w:cs="Times New Roman"/>
          <w:sz w:val="24"/>
          <w:szCs w:val="20"/>
          <w:lang w:eastAsia="en-GB"/>
        </w:rPr>
        <w:t>eligible</w:t>
      </w:r>
      <w:r w:rsidRPr="00AE08F4">
        <w:rPr>
          <w:rFonts w:ascii="Times New Roman" w:eastAsia="Times New Roman" w:hAnsi="Times New Roman" w:cs="Times New Roman"/>
          <w:sz w:val="24"/>
          <w:szCs w:val="20"/>
          <w:lang w:eastAsia="en-GB"/>
        </w:rPr>
        <w:t xml:space="preserve"> male respondents supplied full information on the study variables. These included 72 men with</w:t>
      </w:r>
      <w:r w:rsidRPr="004F22E4">
        <w:rPr>
          <w:rFonts w:ascii="Times New Roman" w:eastAsia="Times New Roman" w:hAnsi="Times New Roman" w:cs="Times New Roman"/>
          <w:sz w:val="24"/>
          <w:szCs w:val="20"/>
          <w:lang w:eastAsia="en-GB"/>
        </w:rPr>
        <w:t xml:space="preserve"> </w:t>
      </w:r>
      <w:proofErr w:type="spellStart"/>
      <w:r w:rsidRPr="00AE08F4">
        <w:rPr>
          <w:rFonts w:ascii="Times New Roman" w:eastAsia="Times New Roman" w:hAnsi="Times New Roman" w:cs="Times New Roman"/>
          <w:sz w:val="24"/>
          <w:szCs w:val="20"/>
          <w:lang w:eastAsia="en-GB"/>
        </w:rPr>
        <w:t>Dupuytren’s</w:t>
      </w:r>
      <w:proofErr w:type="spellEnd"/>
      <w:r w:rsidRPr="00AE08F4">
        <w:rPr>
          <w:rFonts w:ascii="Times New Roman" w:eastAsia="Times New Roman" w:hAnsi="Times New Roman" w:cs="Times New Roman"/>
          <w:sz w:val="24"/>
          <w:szCs w:val="20"/>
          <w:lang w:eastAsia="en-GB"/>
        </w:rPr>
        <w:t xml:space="preserve"> contracture, 2,287 with occupational exposure to HTV, and 409 </w:t>
      </w:r>
      <w:r w:rsidRPr="00AE08F4">
        <w:rPr>
          <w:rFonts w:ascii="Times New Roman" w:eastAsia="Times New Roman" w:hAnsi="Times New Roman" w:cs="Times New Roman"/>
          <w:sz w:val="24"/>
          <w:szCs w:val="24"/>
          <w:lang w:eastAsia="en-GB"/>
        </w:rPr>
        <w:t xml:space="preserve">with </w:t>
      </w:r>
      <w:proofErr w:type="gramStart"/>
      <w:r w:rsidRPr="004F22E4">
        <w:rPr>
          <w:rFonts w:ascii="Times New Roman" w:eastAsia="Times New Roman" w:hAnsi="Times New Roman" w:cs="Times New Roman"/>
          <w:i/>
          <w:sz w:val="24"/>
          <w:szCs w:val="24"/>
          <w:lang w:eastAsia="en-GB"/>
        </w:rPr>
        <w:t>A</w:t>
      </w:r>
      <w:r w:rsidRPr="00DE12CF">
        <w:rPr>
          <w:rFonts w:ascii="Times New Roman" w:eastAsia="Times New Roman" w:hAnsi="Times New Roman" w:cs="Times New Roman"/>
          <w:sz w:val="24"/>
          <w:szCs w:val="24"/>
          <w:lang w:eastAsia="en-GB"/>
        </w:rPr>
        <w:t>(</w:t>
      </w:r>
      <w:proofErr w:type="gramEnd"/>
      <w:r w:rsidRPr="00DE12CF">
        <w:rPr>
          <w:rFonts w:ascii="Times New Roman" w:eastAsia="Times New Roman" w:hAnsi="Times New Roman" w:cs="Times New Roman"/>
          <w:sz w:val="24"/>
          <w:szCs w:val="24"/>
          <w:lang w:eastAsia="en-GB"/>
        </w:rPr>
        <w:t>8)</w:t>
      </w:r>
      <w:r w:rsidRPr="00AE08F4">
        <w:rPr>
          <w:rFonts w:ascii="Times New Roman" w:eastAsia="Times New Roman" w:hAnsi="Times New Roman" w:cs="Times New Roman"/>
          <w:sz w:val="24"/>
          <w:szCs w:val="24"/>
          <w:lang w:eastAsia="en-GB"/>
        </w:rPr>
        <w:t>&gt;</w:t>
      </w:r>
      <w:r w:rsidRPr="00AE08F4">
        <w:rPr>
          <w:rFonts w:ascii="Times New Roman" w:hAnsi="Times New Roman" w:cs="Times New Roman"/>
          <w:sz w:val="24"/>
          <w:szCs w:val="24"/>
        </w:rPr>
        <w:t>2.8 ms</w:t>
      </w:r>
      <w:r w:rsidRPr="00AE08F4">
        <w:rPr>
          <w:rFonts w:ascii="Times New Roman" w:hAnsi="Times New Roman" w:cs="Times New Roman"/>
          <w:sz w:val="24"/>
          <w:szCs w:val="24"/>
          <w:vertAlign w:val="superscript"/>
        </w:rPr>
        <w:t>-2</w:t>
      </w:r>
      <w:r w:rsidRPr="00AE08F4">
        <w:rPr>
          <w:rFonts w:ascii="Times New Roman" w:hAnsi="Times New Roman" w:cs="Times New Roman"/>
          <w:sz w:val="24"/>
          <w:szCs w:val="24"/>
        </w:rPr>
        <w:t xml:space="preserve"> </w:t>
      </w:r>
      <w:r w:rsidRPr="00AE08F4">
        <w:rPr>
          <w:rFonts w:ascii="Times New Roman" w:eastAsia="Times New Roman" w:hAnsi="Times New Roman" w:cs="Times New Roman"/>
          <w:sz w:val="24"/>
          <w:szCs w:val="24"/>
          <w:lang w:eastAsia="en-GB"/>
        </w:rPr>
        <w:t xml:space="preserve">in the past week. </w:t>
      </w:r>
      <w:r w:rsidR="00254173">
        <w:rPr>
          <w:rFonts w:ascii="Times New Roman" w:eastAsia="Times New Roman" w:hAnsi="Times New Roman" w:cs="Times New Roman"/>
          <w:sz w:val="24"/>
          <w:szCs w:val="24"/>
          <w:lang w:eastAsia="en-GB"/>
        </w:rPr>
        <w:t>P</w:t>
      </w:r>
      <w:r w:rsidR="00254173" w:rsidRPr="00AE08F4">
        <w:rPr>
          <w:rFonts w:ascii="Times New Roman" w:eastAsia="Times New Roman" w:hAnsi="Times New Roman" w:cs="Times New Roman"/>
          <w:sz w:val="24"/>
          <w:szCs w:val="24"/>
          <w:lang w:eastAsia="en-GB"/>
        </w:rPr>
        <w:t xml:space="preserve">Rs </w:t>
      </w:r>
      <w:r w:rsidR="002E3E2A" w:rsidRPr="00AE08F4">
        <w:rPr>
          <w:rFonts w:ascii="Times New Roman" w:eastAsia="Times New Roman" w:hAnsi="Times New Roman" w:cs="Times New Roman"/>
          <w:sz w:val="24"/>
          <w:szCs w:val="24"/>
          <w:lang w:eastAsia="en-GB"/>
        </w:rPr>
        <w:t>f</w:t>
      </w:r>
      <w:r w:rsidR="002E3E2A">
        <w:rPr>
          <w:rFonts w:ascii="Times New Roman" w:eastAsia="Times New Roman" w:hAnsi="Times New Roman" w:cs="Times New Roman"/>
          <w:sz w:val="24"/>
          <w:szCs w:val="24"/>
          <w:lang w:eastAsia="en-GB"/>
        </w:rPr>
        <w:t>or</w:t>
      </w:r>
      <w:r w:rsidR="002E3E2A" w:rsidRPr="00AE08F4">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occupational</w:t>
      </w:r>
      <w:r w:rsidRPr="00AE08F4">
        <w:rPr>
          <w:rFonts w:ascii="Times New Roman" w:eastAsia="Times New Roman" w:hAnsi="Times New Roman" w:cs="Times New Roman"/>
          <w:sz w:val="24"/>
          <w:szCs w:val="24"/>
          <w:lang w:eastAsia="en-GB"/>
        </w:rPr>
        <w:t xml:space="preserve"> exposure to HTV were elevated 1.5-fold</w:t>
      </w:r>
      <w:r>
        <w:rPr>
          <w:rFonts w:ascii="Times New Roman" w:eastAsia="Times New Roman" w:hAnsi="Times New Roman" w:cs="Times New Roman"/>
          <w:sz w:val="24"/>
          <w:szCs w:val="24"/>
          <w:lang w:eastAsia="en-GB"/>
        </w:rPr>
        <w:t>.</w:t>
      </w:r>
      <w:r w:rsidRPr="00AE08F4">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F</w:t>
      </w:r>
      <w:r w:rsidRPr="00AE08F4">
        <w:rPr>
          <w:rFonts w:ascii="Times New Roman" w:eastAsia="Times New Roman" w:hAnsi="Times New Roman" w:cs="Times New Roman"/>
          <w:sz w:val="24"/>
          <w:szCs w:val="24"/>
          <w:lang w:eastAsia="en-GB"/>
        </w:rPr>
        <w:t xml:space="preserve">or men with an </w:t>
      </w:r>
      <w:proofErr w:type="gramStart"/>
      <w:r w:rsidRPr="004F22E4">
        <w:rPr>
          <w:rFonts w:ascii="Times New Roman" w:eastAsia="Times New Roman" w:hAnsi="Times New Roman" w:cs="Times New Roman"/>
          <w:i/>
          <w:sz w:val="24"/>
          <w:szCs w:val="24"/>
          <w:lang w:eastAsia="en-GB"/>
        </w:rPr>
        <w:t>A</w:t>
      </w:r>
      <w:r w:rsidRPr="00DE12CF">
        <w:rPr>
          <w:rFonts w:ascii="Times New Roman" w:eastAsia="Times New Roman" w:hAnsi="Times New Roman" w:cs="Times New Roman"/>
          <w:sz w:val="24"/>
          <w:szCs w:val="24"/>
          <w:lang w:eastAsia="en-GB"/>
        </w:rPr>
        <w:t>(</w:t>
      </w:r>
      <w:proofErr w:type="gramEnd"/>
      <w:r w:rsidRPr="00DE12CF">
        <w:rPr>
          <w:rFonts w:ascii="Times New Roman" w:eastAsia="Times New Roman" w:hAnsi="Times New Roman" w:cs="Times New Roman"/>
          <w:sz w:val="24"/>
          <w:szCs w:val="24"/>
          <w:lang w:eastAsia="en-GB"/>
        </w:rPr>
        <w:t>8)</w:t>
      </w:r>
      <w:r w:rsidRPr="00AE08F4">
        <w:rPr>
          <w:rFonts w:ascii="Times New Roman" w:eastAsia="Times New Roman" w:hAnsi="Times New Roman" w:cs="Times New Roman"/>
          <w:sz w:val="24"/>
          <w:szCs w:val="24"/>
          <w:lang w:eastAsia="en-GB"/>
        </w:rPr>
        <w:t>&gt;</w:t>
      </w:r>
      <w:r w:rsidRPr="00AE08F4">
        <w:rPr>
          <w:rFonts w:ascii="Times New Roman" w:hAnsi="Times New Roman" w:cs="Times New Roman"/>
          <w:sz w:val="24"/>
          <w:szCs w:val="24"/>
        </w:rPr>
        <w:t>2.8 ms</w:t>
      </w:r>
      <w:r w:rsidRPr="00AE08F4">
        <w:rPr>
          <w:rFonts w:ascii="Times New Roman" w:hAnsi="Times New Roman" w:cs="Times New Roman"/>
          <w:sz w:val="24"/>
          <w:szCs w:val="24"/>
          <w:vertAlign w:val="superscript"/>
        </w:rPr>
        <w:t>-2</w:t>
      </w:r>
      <w:r w:rsidRPr="00AE08F4">
        <w:rPr>
          <w:rFonts w:ascii="Times New Roman" w:hAnsi="Times New Roman" w:cs="Times New Roman"/>
          <w:sz w:val="24"/>
          <w:szCs w:val="24"/>
        </w:rPr>
        <w:t xml:space="preserve"> </w:t>
      </w:r>
      <w:r w:rsidRPr="00AE08F4">
        <w:rPr>
          <w:rFonts w:ascii="Times New Roman" w:eastAsia="Times New Roman" w:hAnsi="Times New Roman" w:cs="Times New Roman"/>
          <w:sz w:val="24"/>
          <w:szCs w:val="24"/>
          <w:lang w:eastAsia="en-GB"/>
        </w:rPr>
        <w:t xml:space="preserve">in the past week, the adjusted </w:t>
      </w:r>
      <w:r w:rsidR="00254173">
        <w:rPr>
          <w:rFonts w:ascii="Times New Roman" w:eastAsia="Times New Roman" w:hAnsi="Times New Roman" w:cs="Times New Roman"/>
          <w:sz w:val="24"/>
          <w:szCs w:val="24"/>
          <w:lang w:eastAsia="en-GB"/>
        </w:rPr>
        <w:t>P</w:t>
      </w:r>
      <w:r w:rsidR="00254173" w:rsidRPr="00AE08F4">
        <w:rPr>
          <w:rFonts w:ascii="Times New Roman" w:eastAsia="Times New Roman" w:hAnsi="Times New Roman" w:cs="Times New Roman"/>
          <w:sz w:val="24"/>
          <w:szCs w:val="24"/>
          <w:lang w:eastAsia="en-GB"/>
        </w:rPr>
        <w:t xml:space="preserve">R </w:t>
      </w:r>
      <w:r w:rsidRPr="00AE08F4">
        <w:rPr>
          <w:rFonts w:ascii="Times New Roman" w:eastAsia="Times New Roman" w:hAnsi="Times New Roman" w:cs="Times New Roman"/>
          <w:sz w:val="24"/>
          <w:szCs w:val="24"/>
          <w:lang w:eastAsia="en-GB"/>
        </w:rPr>
        <w:t>was 2.</w:t>
      </w:r>
      <w:r>
        <w:rPr>
          <w:rFonts w:ascii="Times New Roman" w:eastAsia="Times New Roman" w:hAnsi="Times New Roman" w:cs="Times New Roman"/>
          <w:sz w:val="24"/>
          <w:szCs w:val="24"/>
          <w:lang w:eastAsia="en-GB"/>
        </w:rPr>
        <w:t>85</w:t>
      </w:r>
      <w:r w:rsidRPr="00AE08F4">
        <w:rPr>
          <w:rFonts w:ascii="Times New Roman" w:eastAsia="Times New Roman" w:hAnsi="Times New Roman" w:cs="Times New Roman"/>
          <w:sz w:val="24"/>
          <w:szCs w:val="24"/>
          <w:lang w:eastAsia="en-GB"/>
        </w:rPr>
        <w:t xml:space="preserve"> (95% confidence interval 1.</w:t>
      </w:r>
      <w:r>
        <w:rPr>
          <w:rFonts w:ascii="Times New Roman" w:eastAsia="Times New Roman" w:hAnsi="Times New Roman" w:cs="Times New Roman"/>
          <w:sz w:val="24"/>
          <w:szCs w:val="24"/>
          <w:lang w:eastAsia="en-GB"/>
        </w:rPr>
        <w:t>37</w:t>
      </w:r>
      <w:r w:rsidRPr="00AE08F4">
        <w:rPr>
          <w:rFonts w:ascii="Times New Roman" w:eastAsia="Times New Roman" w:hAnsi="Times New Roman" w:cs="Times New Roman"/>
          <w:sz w:val="24"/>
          <w:szCs w:val="24"/>
          <w:lang w:eastAsia="en-GB"/>
        </w:rPr>
        <w:t xml:space="preserve"> to </w:t>
      </w:r>
      <w:r>
        <w:rPr>
          <w:rFonts w:ascii="Times New Roman" w:eastAsia="Times New Roman" w:hAnsi="Times New Roman" w:cs="Times New Roman"/>
          <w:sz w:val="24"/>
          <w:szCs w:val="24"/>
          <w:lang w:eastAsia="en-GB"/>
        </w:rPr>
        <w:t>5.97</w:t>
      </w:r>
      <w:r w:rsidRPr="00AE08F4">
        <w:rPr>
          <w:rFonts w:ascii="Times New Roman" w:eastAsia="Times New Roman" w:hAnsi="Times New Roman" w:cs="Times New Roman"/>
          <w:sz w:val="24"/>
          <w:szCs w:val="24"/>
          <w:lang w:eastAsia="en-GB"/>
        </w:rPr>
        <w:t>).</w:t>
      </w:r>
    </w:p>
    <w:p w:rsidR="0012271B" w:rsidRPr="00A16D5D" w:rsidRDefault="0012271B" w:rsidP="0012271B">
      <w:pPr>
        <w:jc w:val="both"/>
        <w:rPr>
          <w:rFonts w:ascii="Times New Roman" w:eastAsia="Times New Roman" w:hAnsi="Times New Roman" w:cs="Times New Roman"/>
          <w:b/>
          <w:sz w:val="24"/>
          <w:szCs w:val="24"/>
          <w:lang w:eastAsia="en-GB"/>
        </w:rPr>
      </w:pPr>
      <w:r w:rsidRPr="00A16D5D">
        <w:rPr>
          <w:rFonts w:ascii="Times New Roman" w:eastAsia="Times New Roman" w:hAnsi="Times New Roman" w:cs="Times New Roman"/>
          <w:b/>
          <w:sz w:val="24"/>
          <w:szCs w:val="24"/>
          <w:lang w:eastAsia="en-GB"/>
        </w:rPr>
        <w:t xml:space="preserve">Conclusions: </w:t>
      </w:r>
    </w:p>
    <w:p w:rsidR="0012271B" w:rsidRDefault="0012271B" w:rsidP="0012271B">
      <w:pPr>
        <w:jc w:val="both"/>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4"/>
          <w:lang w:eastAsia="en-GB"/>
        </w:rPr>
        <w:t xml:space="preserve">Our findings suggest that risk of </w:t>
      </w:r>
      <w:proofErr w:type="spellStart"/>
      <w:r>
        <w:rPr>
          <w:rFonts w:ascii="Times New Roman" w:eastAsia="Times New Roman" w:hAnsi="Times New Roman" w:cs="Times New Roman"/>
          <w:sz w:val="24"/>
          <w:szCs w:val="20"/>
          <w:lang w:eastAsia="en-GB"/>
        </w:rPr>
        <w:t>Dupuytren’s</w:t>
      </w:r>
      <w:proofErr w:type="spellEnd"/>
      <w:r>
        <w:rPr>
          <w:rFonts w:ascii="Times New Roman" w:eastAsia="Times New Roman" w:hAnsi="Times New Roman" w:cs="Times New Roman"/>
          <w:sz w:val="24"/>
          <w:szCs w:val="20"/>
          <w:lang w:eastAsia="en-GB"/>
        </w:rPr>
        <w:t xml:space="preserve"> contracture is more than doubled in men with high levels of weekly exposure to HTV.</w:t>
      </w:r>
    </w:p>
    <w:p w:rsidR="009E1F89" w:rsidRDefault="00F00262" w:rsidP="00C5234D">
      <w:pPr>
        <w:jc w:val="both"/>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 </w:t>
      </w:r>
    </w:p>
    <w:p w:rsidR="003F0524" w:rsidRDefault="003F0524" w:rsidP="00C5234D">
      <w:pPr>
        <w:jc w:val="both"/>
        <w:rPr>
          <w:rFonts w:ascii="Times New Roman" w:eastAsia="Times New Roman" w:hAnsi="Times New Roman" w:cs="Times New Roman"/>
          <w:sz w:val="24"/>
          <w:szCs w:val="20"/>
          <w:lang w:eastAsia="en-GB"/>
        </w:rPr>
      </w:pPr>
    </w:p>
    <w:p w:rsidR="003F0524" w:rsidRDefault="003F0524">
      <w:pP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br w:type="page"/>
      </w:r>
    </w:p>
    <w:p w:rsidR="00962E8A" w:rsidRDefault="00962E8A" w:rsidP="00C5234D">
      <w:pPr>
        <w:jc w:val="both"/>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lastRenderedPageBreak/>
        <w:t>What is known</w:t>
      </w:r>
      <w:r w:rsidR="00583A69">
        <w:rPr>
          <w:rFonts w:ascii="Times New Roman" w:eastAsia="Times New Roman" w:hAnsi="Times New Roman" w:cs="Times New Roman"/>
          <w:b/>
          <w:sz w:val="24"/>
          <w:szCs w:val="20"/>
          <w:lang w:eastAsia="en-GB"/>
        </w:rPr>
        <w:t xml:space="preserve"> on this </w:t>
      </w:r>
      <w:proofErr w:type="gramStart"/>
      <w:r w:rsidR="00583A69">
        <w:rPr>
          <w:rFonts w:ascii="Times New Roman" w:eastAsia="Times New Roman" w:hAnsi="Times New Roman" w:cs="Times New Roman"/>
          <w:b/>
          <w:sz w:val="24"/>
          <w:szCs w:val="20"/>
          <w:lang w:eastAsia="en-GB"/>
        </w:rPr>
        <w:t>topic</w:t>
      </w:r>
      <w:proofErr w:type="gramEnd"/>
    </w:p>
    <w:p w:rsidR="00962E8A" w:rsidRPr="00583A69" w:rsidRDefault="00962E8A" w:rsidP="00583A69">
      <w:pPr>
        <w:pStyle w:val="ListParagraph"/>
        <w:numPr>
          <w:ilvl w:val="0"/>
          <w:numId w:val="3"/>
        </w:numPr>
        <w:jc w:val="both"/>
        <w:rPr>
          <w:rFonts w:ascii="Times New Roman" w:eastAsia="Times New Roman" w:hAnsi="Times New Roman" w:cs="Times New Roman"/>
          <w:b/>
          <w:sz w:val="24"/>
          <w:szCs w:val="20"/>
          <w:lang w:eastAsia="en-GB"/>
        </w:rPr>
      </w:pPr>
      <w:r w:rsidRPr="00583A69">
        <w:rPr>
          <w:rFonts w:ascii="Times New Roman" w:eastAsia="Times New Roman" w:hAnsi="Times New Roman" w:cs="Times New Roman"/>
          <w:sz w:val="24"/>
          <w:szCs w:val="20"/>
          <w:lang w:eastAsia="en-GB"/>
        </w:rPr>
        <w:t xml:space="preserve">The relation between occupational activity and </w:t>
      </w:r>
      <w:proofErr w:type="spellStart"/>
      <w:r w:rsidRPr="00583A69">
        <w:rPr>
          <w:rFonts w:ascii="Times New Roman" w:eastAsia="Times New Roman" w:hAnsi="Times New Roman" w:cs="Times New Roman"/>
          <w:sz w:val="24"/>
          <w:szCs w:val="20"/>
          <w:lang w:eastAsia="en-GB"/>
        </w:rPr>
        <w:t>Dupuytren’s</w:t>
      </w:r>
      <w:proofErr w:type="spellEnd"/>
      <w:r w:rsidRPr="00583A69">
        <w:rPr>
          <w:rFonts w:ascii="Times New Roman" w:eastAsia="Times New Roman" w:hAnsi="Times New Roman" w:cs="Times New Roman"/>
          <w:sz w:val="24"/>
          <w:szCs w:val="20"/>
          <w:lang w:eastAsia="en-GB"/>
        </w:rPr>
        <w:t xml:space="preserve"> contracture has</w:t>
      </w:r>
      <w:r w:rsidR="00583A69">
        <w:rPr>
          <w:rFonts w:ascii="Times New Roman" w:eastAsia="Times New Roman" w:hAnsi="Times New Roman" w:cs="Times New Roman"/>
          <w:sz w:val="24"/>
          <w:szCs w:val="20"/>
          <w:lang w:eastAsia="en-GB"/>
        </w:rPr>
        <w:t xml:space="preserve"> long</w:t>
      </w:r>
      <w:r w:rsidRPr="00583A69">
        <w:rPr>
          <w:rFonts w:ascii="Times New Roman" w:eastAsia="Times New Roman" w:hAnsi="Times New Roman" w:cs="Times New Roman"/>
          <w:sz w:val="24"/>
          <w:szCs w:val="20"/>
          <w:lang w:eastAsia="en-GB"/>
        </w:rPr>
        <w:t xml:space="preserve"> been disputed</w:t>
      </w:r>
      <w:r w:rsidR="00583A69">
        <w:rPr>
          <w:rFonts w:ascii="Times New Roman" w:eastAsia="Times New Roman" w:hAnsi="Times New Roman" w:cs="Times New Roman"/>
          <w:sz w:val="24"/>
          <w:szCs w:val="20"/>
          <w:lang w:eastAsia="en-GB"/>
        </w:rPr>
        <w:t>,</w:t>
      </w:r>
      <w:r w:rsidRPr="00583A69">
        <w:rPr>
          <w:rFonts w:ascii="Times New Roman" w:eastAsia="Times New Roman" w:hAnsi="Times New Roman" w:cs="Times New Roman"/>
          <w:sz w:val="24"/>
          <w:szCs w:val="20"/>
          <w:lang w:eastAsia="en-GB"/>
        </w:rPr>
        <w:t xml:space="preserve"> but evidence is growing that exposure to hand-transmitted vibration (HTV) is a risk factor</w:t>
      </w:r>
      <w:r w:rsidR="00583A69">
        <w:rPr>
          <w:rFonts w:ascii="Times New Roman" w:eastAsia="Times New Roman" w:hAnsi="Times New Roman" w:cs="Times New Roman"/>
          <w:sz w:val="24"/>
          <w:szCs w:val="20"/>
          <w:lang w:eastAsia="en-GB"/>
        </w:rPr>
        <w:t xml:space="preserve"> for the disease</w:t>
      </w:r>
      <w:r w:rsidR="00583A69" w:rsidRPr="00583A69">
        <w:rPr>
          <w:rFonts w:ascii="Times New Roman" w:eastAsia="Times New Roman" w:hAnsi="Times New Roman" w:cs="Times New Roman"/>
          <w:sz w:val="24"/>
          <w:szCs w:val="20"/>
          <w:lang w:eastAsia="en-GB"/>
        </w:rPr>
        <w:t>.</w:t>
      </w:r>
    </w:p>
    <w:p w:rsidR="00583A69" w:rsidRDefault="00583A69" w:rsidP="00C5234D">
      <w:pPr>
        <w:jc w:val="both"/>
        <w:rPr>
          <w:rFonts w:ascii="Times New Roman" w:eastAsia="Times New Roman" w:hAnsi="Times New Roman" w:cs="Times New Roman"/>
          <w:b/>
          <w:sz w:val="24"/>
          <w:szCs w:val="20"/>
          <w:lang w:eastAsia="en-GB"/>
        </w:rPr>
      </w:pPr>
    </w:p>
    <w:p w:rsidR="00962E8A" w:rsidRDefault="00962E8A" w:rsidP="00C5234D">
      <w:pPr>
        <w:jc w:val="both"/>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What this study adds</w:t>
      </w:r>
    </w:p>
    <w:p w:rsidR="00583A69" w:rsidRPr="00583A69" w:rsidRDefault="00583A69" w:rsidP="00583A69">
      <w:pPr>
        <w:pStyle w:val="ListParagraph"/>
        <w:numPr>
          <w:ilvl w:val="0"/>
          <w:numId w:val="3"/>
        </w:numPr>
        <w:jc w:val="both"/>
        <w:rPr>
          <w:rFonts w:ascii="Times New Roman" w:eastAsia="Times New Roman" w:hAnsi="Times New Roman" w:cs="Times New Roman"/>
          <w:b/>
          <w:sz w:val="24"/>
          <w:szCs w:val="20"/>
          <w:lang w:eastAsia="en-GB"/>
        </w:rPr>
      </w:pPr>
      <w:r w:rsidRPr="00583A69">
        <w:rPr>
          <w:rFonts w:ascii="Times New Roman" w:eastAsia="Times New Roman" w:hAnsi="Times New Roman" w:cs="Times New Roman"/>
          <w:sz w:val="24"/>
          <w:szCs w:val="20"/>
          <w:lang w:eastAsia="en-GB"/>
        </w:rPr>
        <w:t>In a large national sample of workers with well-characterised exposure to HTV we found that risks of fixed flexion deformity affecting the ring or little finger were increased almost 3-fold in workers with a relatively high</w:t>
      </w:r>
      <w:r>
        <w:rPr>
          <w:rFonts w:ascii="Times New Roman" w:eastAsia="Times New Roman" w:hAnsi="Times New Roman" w:cs="Times New Roman"/>
          <w:sz w:val="24"/>
          <w:szCs w:val="20"/>
          <w:lang w:eastAsia="en-GB"/>
        </w:rPr>
        <w:t xml:space="preserve"> estimated</w:t>
      </w:r>
      <w:r w:rsidRPr="00583A69">
        <w:rPr>
          <w:rFonts w:ascii="Times New Roman" w:eastAsia="Times New Roman" w:hAnsi="Times New Roman" w:cs="Times New Roman"/>
          <w:sz w:val="24"/>
          <w:szCs w:val="20"/>
          <w:lang w:eastAsia="en-GB"/>
        </w:rPr>
        <w:t xml:space="preserve"> level of exposure in the previous week. </w:t>
      </w:r>
    </w:p>
    <w:p w:rsidR="00962E8A" w:rsidRPr="00583A69" w:rsidRDefault="00583A69" w:rsidP="00583A69">
      <w:pPr>
        <w:pStyle w:val="ListParagraph"/>
        <w:numPr>
          <w:ilvl w:val="0"/>
          <w:numId w:val="3"/>
        </w:numPr>
        <w:jc w:val="both"/>
        <w:rPr>
          <w:rFonts w:ascii="Times New Roman" w:eastAsia="Times New Roman" w:hAnsi="Times New Roman" w:cs="Times New Roman"/>
          <w:b/>
          <w:sz w:val="24"/>
          <w:szCs w:val="20"/>
          <w:lang w:eastAsia="en-GB"/>
        </w:rPr>
      </w:pPr>
      <w:r>
        <w:rPr>
          <w:rFonts w:ascii="Times New Roman" w:eastAsia="Times New Roman" w:hAnsi="Times New Roman" w:cs="Times New Roman"/>
          <w:sz w:val="24"/>
          <w:szCs w:val="20"/>
          <w:lang w:eastAsia="en-GB"/>
        </w:rPr>
        <w:t>R</w:t>
      </w:r>
      <w:r w:rsidRPr="00583A69">
        <w:rPr>
          <w:rFonts w:ascii="Times New Roman" w:eastAsia="Times New Roman" w:hAnsi="Times New Roman" w:cs="Times New Roman"/>
          <w:sz w:val="24"/>
          <w:szCs w:val="20"/>
          <w:lang w:eastAsia="en-GB"/>
        </w:rPr>
        <w:t>isk</w:t>
      </w:r>
      <w:r>
        <w:rPr>
          <w:rFonts w:ascii="Times New Roman" w:eastAsia="Times New Roman" w:hAnsi="Times New Roman" w:cs="Times New Roman"/>
          <w:sz w:val="24"/>
          <w:szCs w:val="20"/>
          <w:lang w:eastAsia="en-GB"/>
        </w:rPr>
        <w:t>s</w:t>
      </w:r>
      <w:r w:rsidRPr="00583A69">
        <w:rPr>
          <w:rFonts w:ascii="Times New Roman" w:eastAsia="Times New Roman" w:hAnsi="Times New Roman" w:cs="Times New Roman"/>
          <w:sz w:val="24"/>
          <w:szCs w:val="20"/>
          <w:lang w:eastAsia="en-GB"/>
        </w:rPr>
        <w:t xml:space="preserve"> were also </w:t>
      </w:r>
      <w:r w:rsidR="008B1A3C">
        <w:rPr>
          <w:rFonts w:ascii="Times New Roman" w:eastAsia="Times New Roman" w:hAnsi="Times New Roman" w:cs="Times New Roman"/>
          <w:sz w:val="24"/>
          <w:szCs w:val="20"/>
          <w:lang w:eastAsia="en-GB"/>
        </w:rPr>
        <w:t>increased</w:t>
      </w:r>
      <w:r w:rsidRPr="00583A69">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in relation to</w:t>
      </w:r>
      <w:r w:rsidRPr="00583A69">
        <w:rPr>
          <w:rFonts w:ascii="Times New Roman" w:eastAsia="Times New Roman" w:hAnsi="Times New Roman" w:cs="Times New Roman"/>
          <w:sz w:val="24"/>
          <w:szCs w:val="20"/>
          <w:lang w:eastAsia="en-GB"/>
        </w:rPr>
        <w:t xml:space="preserve"> certain manual activities </w:t>
      </w:r>
      <w:r>
        <w:rPr>
          <w:rFonts w:ascii="Times New Roman" w:eastAsia="Times New Roman" w:hAnsi="Times New Roman" w:cs="Times New Roman"/>
          <w:sz w:val="24"/>
          <w:szCs w:val="20"/>
          <w:lang w:eastAsia="en-GB"/>
        </w:rPr>
        <w:t>in a typical working week</w:t>
      </w:r>
      <w:r w:rsidR="008B1A3C">
        <w:rPr>
          <w:rFonts w:ascii="Times New Roman" w:eastAsia="Times New Roman" w:hAnsi="Times New Roman" w:cs="Times New Roman"/>
          <w:sz w:val="24"/>
          <w:szCs w:val="20"/>
          <w:lang w:eastAsia="en-GB"/>
        </w:rPr>
        <w:t xml:space="preserve"> (heavy lifting, digging</w:t>
      </w:r>
      <w:r w:rsidRPr="00583A69">
        <w:rPr>
          <w:rFonts w:ascii="Times New Roman" w:eastAsia="Times New Roman" w:hAnsi="Times New Roman" w:cs="Times New Roman"/>
          <w:sz w:val="24"/>
          <w:szCs w:val="20"/>
          <w:lang w:eastAsia="en-GB"/>
        </w:rPr>
        <w:t xml:space="preserve"> and shovelling).</w:t>
      </w:r>
    </w:p>
    <w:p w:rsidR="00583A69" w:rsidRPr="00583A69" w:rsidRDefault="00583A69" w:rsidP="00583A69">
      <w:pPr>
        <w:pStyle w:val="ListParagraph"/>
        <w:numPr>
          <w:ilvl w:val="0"/>
          <w:numId w:val="3"/>
        </w:numPr>
        <w:jc w:val="both"/>
        <w:rPr>
          <w:rFonts w:ascii="Times New Roman" w:eastAsia="Times New Roman" w:hAnsi="Times New Roman" w:cs="Times New Roman"/>
          <w:b/>
          <w:sz w:val="24"/>
          <w:szCs w:val="20"/>
          <w:lang w:eastAsia="en-GB"/>
        </w:rPr>
      </w:pPr>
      <w:r>
        <w:rPr>
          <w:rFonts w:ascii="Times New Roman" w:eastAsia="Times New Roman" w:hAnsi="Times New Roman" w:cs="Times New Roman"/>
          <w:sz w:val="24"/>
          <w:szCs w:val="20"/>
          <w:lang w:eastAsia="en-GB"/>
        </w:rPr>
        <w:t xml:space="preserve">Associations between HTV and </w:t>
      </w:r>
      <w:proofErr w:type="spellStart"/>
      <w:r w:rsidRPr="00583A69">
        <w:rPr>
          <w:rFonts w:ascii="Times New Roman" w:eastAsia="Times New Roman" w:hAnsi="Times New Roman" w:cs="Times New Roman"/>
          <w:sz w:val="24"/>
          <w:szCs w:val="20"/>
          <w:lang w:eastAsia="en-GB"/>
        </w:rPr>
        <w:t>Dupuytren’s</w:t>
      </w:r>
      <w:proofErr w:type="spellEnd"/>
      <w:r w:rsidRPr="00583A69">
        <w:rPr>
          <w:rFonts w:ascii="Times New Roman" w:eastAsia="Times New Roman" w:hAnsi="Times New Roman" w:cs="Times New Roman"/>
          <w:sz w:val="24"/>
          <w:szCs w:val="20"/>
          <w:lang w:eastAsia="en-GB"/>
        </w:rPr>
        <w:t xml:space="preserve"> contracture</w:t>
      </w:r>
      <w:r>
        <w:rPr>
          <w:rFonts w:ascii="Times New Roman" w:eastAsia="Times New Roman" w:hAnsi="Times New Roman" w:cs="Times New Roman"/>
          <w:sz w:val="24"/>
          <w:szCs w:val="20"/>
          <w:lang w:eastAsia="en-GB"/>
        </w:rPr>
        <w:t xml:space="preserve"> persisted after a</w:t>
      </w:r>
      <w:r w:rsidR="008B1A3C">
        <w:rPr>
          <w:rFonts w:ascii="Times New Roman" w:eastAsia="Times New Roman" w:hAnsi="Times New Roman" w:cs="Times New Roman"/>
          <w:sz w:val="24"/>
          <w:szCs w:val="20"/>
          <w:lang w:eastAsia="en-GB"/>
        </w:rPr>
        <w:t>djustment for age, social class</w:t>
      </w:r>
      <w:r>
        <w:rPr>
          <w:rFonts w:ascii="Times New Roman" w:eastAsia="Times New Roman" w:hAnsi="Times New Roman" w:cs="Times New Roman"/>
          <w:sz w:val="24"/>
          <w:szCs w:val="20"/>
          <w:lang w:eastAsia="en-GB"/>
        </w:rPr>
        <w:t xml:space="preserve"> and manual occupational activities.</w:t>
      </w:r>
    </w:p>
    <w:p w:rsidR="00962E8A" w:rsidRDefault="00962E8A" w:rsidP="00C5234D">
      <w:pPr>
        <w:jc w:val="both"/>
        <w:rPr>
          <w:rFonts w:ascii="Times New Roman" w:eastAsia="Times New Roman" w:hAnsi="Times New Roman" w:cs="Times New Roman"/>
          <w:b/>
          <w:sz w:val="24"/>
          <w:szCs w:val="20"/>
          <w:lang w:eastAsia="en-GB"/>
        </w:rPr>
      </w:pPr>
    </w:p>
    <w:p w:rsidR="00962E8A" w:rsidRDefault="00962E8A">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br w:type="page"/>
      </w:r>
    </w:p>
    <w:p w:rsidR="00962E8A" w:rsidRPr="00962E8A" w:rsidRDefault="00962E8A" w:rsidP="00C5234D">
      <w:pPr>
        <w:jc w:val="both"/>
        <w:rPr>
          <w:rFonts w:ascii="Times New Roman" w:eastAsia="Times New Roman" w:hAnsi="Times New Roman" w:cs="Times New Roman"/>
          <w:b/>
          <w:sz w:val="24"/>
          <w:szCs w:val="20"/>
          <w:lang w:eastAsia="en-GB"/>
        </w:rPr>
      </w:pPr>
      <w:r w:rsidRPr="00962E8A">
        <w:rPr>
          <w:rFonts w:ascii="Times New Roman" w:eastAsia="Times New Roman" w:hAnsi="Times New Roman" w:cs="Times New Roman"/>
          <w:b/>
          <w:sz w:val="24"/>
          <w:szCs w:val="20"/>
          <w:lang w:eastAsia="en-GB"/>
        </w:rPr>
        <w:lastRenderedPageBreak/>
        <w:t>Introduction</w:t>
      </w:r>
    </w:p>
    <w:p w:rsidR="00D256AF" w:rsidRPr="00A63A39" w:rsidRDefault="00191D4C" w:rsidP="00C5234D">
      <w:pPr>
        <w:jc w:val="both"/>
        <w:rPr>
          <w:rFonts w:ascii="Times New Roman" w:eastAsia="Times New Roman" w:hAnsi="Times New Roman" w:cs="Times New Roman"/>
          <w:sz w:val="24"/>
          <w:szCs w:val="20"/>
          <w:lang w:eastAsia="en-GB"/>
        </w:rPr>
      </w:pPr>
      <w:r w:rsidRPr="00A63A39">
        <w:rPr>
          <w:rFonts w:ascii="Times New Roman" w:eastAsia="Times New Roman" w:hAnsi="Times New Roman" w:cs="Times New Roman"/>
          <w:sz w:val="24"/>
          <w:szCs w:val="20"/>
          <w:lang w:eastAsia="en-GB"/>
        </w:rPr>
        <w:t xml:space="preserve">In 1831, </w:t>
      </w:r>
      <w:r w:rsidR="0013649A" w:rsidRPr="00A63A39">
        <w:rPr>
          <w:rFonts w:ascii="Times New Roman" w:eastAsia="Times New Roman" w:hAnsi="Times New Roman" w:cs="Times New Roman"/>
          <w:sz w:val="24"/>
          <w:szCs w:val="20"/>
          <w:lang w:eastAsia="en-GB"/>
        </w:rPr>
        <w:t>when</w:t>
      </w:r>
      <w:r w:rsidRPr="00A63A39">
        <w:rPr>
          <w:rFonts w:ascii="Times New Roman" w:eastAsia="Times New Roman" w:hAnsi="Times New Roman" w:cs="Times New Roman"/>
          <w:sz w:val="24"/>
          <w:szCs w:val="20"/>
          <w:lang w:eastAsia="en-GB"/>
        </w:rPr>
        <w:t xml:space="preserve"> describing the disorder that now bears his name, Baron Guillaume </w:t>
      </w:r>
      <w:proofErr w:type="spellStart"/>
      <w:r w:rsidRPr="00A63A39">
        <w:rPr>
          <w:rFonts w:ascii="Times New Roman" w:eastAsia="Times New Roman" w:hAnsi="Times New Roman" w:cs="Times New Roman"/>
          <w:sz w:val="24"/>
          <w:szCs w:val="20"/>
          <w:lang w:eastAsia="en-GB"/>
        </w:rPr>
        <w:t>Dupuytren</w:t>
      </w:r>
      <w:proofErr w:type="spellEnd"/>
      <w:r w:rsidRPr="00A63A39">
        <w:rPr>
          <w:rFonts w:ascii="Times New Roman" w:eastAsia="Times New Roman" w:hAnsi="Times New Roman" w:cs="Times New Roman"/>
          <w:sz w:val="24"/>
          <w:szCs w:val="20"/>
          <w:lang w:eastAsia="en-GB"/>
        </w:rPr>
        <w:t xml:space="preserve"> noted </w:t>
      </w:r>
      <w:r w:rsidR="0013649A" w:rsidRPr="00A63A39">
        <w:rPr>
          <w:rFonts w:ascii="Times New Roman" w:eastAsia="Times New Roman" w:hAnsi="Times New Roman" w:cs="Times New Roman"/>
          <w:sz w:val="24"/>
          <w:szCs w:val="20"/>
          <w:lang w:eastAsia="en-GB"/>
        </w:rPr>
        <w:t>an association</w:t>
      </w:r>
      <w:r w:rsidRPr="00A63A39">
        <w:rPr>
          <w:rFonts w:ascii="Times New Roman" w:eastAsia="Times New Roman" w:hAnsi="Times New Roman" w:cs="Times New Roman"/>
          <w:sz w:val="24"/>
          <w:szCs w:val="20"/>
          <w:lang w:eastAsia="en-GB"/>
        </w:rPr>
        <w:t xml:space="preserve"> with </w:t>
      </w:r>
      <w:r w:rsidR="0013649A" w:rsidRPr="00A63A39">
        <w:rPr>
          <w:rFonts w:ascii="Times New Roman" w:eastAsia="Times New Roman" w:hAnsi="Times New Roman" w:cs="Times New Roman"/>
          <w:sz w:val="24"/>
          <w:szCs w:val="20"/>
          <w:lang w:eastAsia="en-GB"/>
        </w:rPr>
        <w:t>hand</w:t>
      </w:r>
      <w:r w:rsidR="00CA2519">
        <w:rPr>
          <w:rFonts w:ascii="Times New Roman" w:eastAsia="Times New Roman" w:hAnsi="Times New Roman" w:cs="Times New Roman"/>
          <w:sz w:val="24"/>
          <w:szCs w:val="20"/>
          <w:lang w:eastAsia="en-GB"/>
        </w:rPr>
        <w:t xml:space="preserve"> activities</w:t>
      </w:r>
      <w:r w:rsidR="0013649A" w:rsidRPr="00A63A39">
        <w:rPr>
          <w:rFonts w:ascii="Times New Roman" w:eastAsia="Times New Roman" w:hAnsi="Times New Roman" w:cs="Times New Roman"/>
          <w:sz w:val="24"/>
          <w:szCs w:val="20"/>
          <w:lang w:eastAsia="en-GB"/>
        </w:rPr>
        <w:t xml:space="preserve"> in manual </w:t>
      </w:r>
      <w:r w:rsidR="00D256AF" w:rsidRPr="00A63A39">
        <w:rPr>
          <w:rFonts w:ascii="Times New Roman" w:eastAsia="Times New Roman" w:hAnsi="Times New Roman" w:cs="Times New Roman"/>
          <w:sz w:val="24"/>
          <w:szCs w:val="20"/>
          <w:lang w:eastAsia="en-GB"/>
        </w:rPr>
        <w:t>trades</w:t>
      </w:r>
      <w:r w:rsidRPr="00A63A39">
        <w:rPr>
          <w:rFonts w:ascii="Times New Roman" w:eastAsia="Times New Roman" w:hAnsi="Times New Roman" w:cs="Times New Roman"/>
          <w:sz w:val="24"/>
          <w:szCs w:val="20"/>
          <w:lang w:eastAsia="en-GB"/>
        </w:rPr>
        <w:t xml:space="preserve"> [1]</w:t>
      </w:r>
      <w:r w:rsidR="00D256AF" w:rsidRPr="00A63A39">
        <w:rPr>
          <w:rFonts w:ascii="Times New Roman" w:eastAsia="Times New Roman" w:hAnsi="Times New Roman" w:cs="Times New Roman"/>
          <w:sz w:val="24"/>
          <w:szCs w:val="20"/>
          <w:lang w:eastAsia="en-GB"/>
        </w:rPr>
        <w:t>.</w:t>
      </w:r>
      <w:r w:rsidRPr="00A63A39">
        <w:rPr>
          <w:rFonts w:ascii="Times New Roman" w:eastAsia="Times New Roman" w:hAnsi="Times New Roman" w:cs="Times New Roman"/>
          <w:sz w:val="24"/>
          <w:szCs w:val="20"/>
          <w:lang w:eastAsia="en-GB"/>
        </w:rPr>
        <w:t xml:space="preserve"> </w:t>
      </w:r>
      <w:r w:rsidR="00D256AF" w:rsidRPr="00A63A39">
        <w:rPr>
          <w:rFonts w:ascii="Times New Roman" w:eastAsia="Times New Roman" w:hAnsi="Times New Roman" w:cs="Times New Roman"/>
          <w:sz w:val="24"/>
          <w:szCs w:val="20"/>
          <w:lang w:eastAsia="en-GB"/>
        </w:rPr>
        <w:t>T</w:t>
      </w:r>
      <w:r w:rsidRPr="00A63A39">
        <w:rPr>
          <w:rFonts w:ascii="Times New Roman" w:eastAsia="Times New Roman" w:hAnsi="Times New Roman" w:cs="Times New Roman"/>
          <w:sz w:val="24"/>
          <w:szCs w:val="20"/>
          <w:lang w:eastAsia="en-GB"/>
        </w:rPr>
        <w:t xml:space="preserve">he relation between </w:t>
      </w:r>
      <w:r w:rsidR="00CA2519">
        <w:rPr>
          <w:rFonts w:ascii="Times New Roman" w:eastAsia="Times New Roman" w:hAnsi="Times New Roman" w:cs="Times New Roman"/>
          <w:sz w:val="24"/>
          <w:szCs w:val="20"/>
          <w:lang w:eastAsia="en-GB"/>
        </w:rPr>
        <w:t xml:space="preserve">occupation and </w:t>
      </w:r>
      <w:proofErr w:type="spellStart"/>
      <w:r w:rsidR="00D256AF" w:rsidRPr="00A63A39">
        <w:rPr>
          <w:rFonts w:ascii="Times New Roman" w:eastAsia="Times New Roman" w:hAnsi="Times New Roman" w:cs="Times New Roman"/>
          <w:sz w:val="24"/>
          <w:szCs w:val="20"/>
          <w:lang w:eastAsia="en-GB"/>
        </w:rPr>
        <w:t>Dupuytren’s</w:t>
      </w:r>
      <w:proofErr w:type="spellEnd"/>
      <w:r w:rsidR="00D256AF" w:rsidRPr="00A63A39">
        <w:rPr>
          <w:rFonts w:ascii="Times New Roman" w:eastAsia="Times New Roman" w:hAnsi="Times New Roman" w:cs="Times New Roman"/>
          <w:sz w:val="24"/>
          <w:szCs w:val="20"/>
          <w:lang w:eastAsia="en-GB"/>
        </w:rPr>
        <w:t xml:space="preserve"> contracture </w:t>
      </w:r>
      <w:r w:rsidRPr="00A63A39">
        <w:rPr>
          <w:rFonts w:ascii="Times New Roman" w:eastAsia="Times New Roman" w:hAnsi="Times New Roman" w:cs="Times New Roman"/>
          <w:sz w:val="24"/>
          <w:szCs w:val="20"/>
          <w:lang w:eastAsia="en-GB"/>
        </w:rPr>
        <w:t>has</w:t>
      </w:r>
      <w:r w:rsidR="0013649A" w:rsidRPr="00A63A39">
        <w:rPr>
          <w:rFonts w:ascii="Times New Roman" w:eastAsia="Times New Roman" w:hAnsi="Times New Roman" w:cs="Times New Roman"/>
          <w:sz w:val="24"/>
          <w:szCs w:val="20"/>
          <w:lang w:eastAsia="en-GB"/>
        </w:rPr>
        <w:t xml:space="preserve"> </w:t>
      </w:r>
      <w:r w:rsidR="00CA2519" w:rsidRPr="00A63A39">
        <w:rPr>
          <w:rFonts w:ascii="Times New Roman" w:eastAsia="Times New Roman" w:hAnsi="Times New Roman" w:cs="Times New Roman"/>
          <w:sz w:val="24"/>
          <w:szCs w:val="20"/>
          <w:lang w:eastAsia="en-GB"/>
        </w:rPr>
        <w:t xml:space="preserve">subsequently </w:t>
      </w:r>
      <w:r w:rsidRPr="00A63A39">
        <w:rPr>
          <w:rFonts w:ascii="Times New Roman" w:eastAsia="Times New Roman" w:hAnsi="Times New Roman" w:cs="Times New Roman"/>
          <w:sz w:val="24"/>
          <w:szCs w:val="20"/>
          <w:lang w:eastAsia="en-GB"/>
        </w:rPr>
        <w:t>been disputed</w:t>
      </w:r>
      <w:r w:rsidR="00D256AF" w:rsidRPr="00A63A39">
        <w:rPr>
          <w:rFonts w:ascii="Times New Roman" w:eastAsia="Times New Roman" w:hAnsi="Times New Roman" w:cs="Times New Roman"/>
          <w:sz w:val="24"/>
          <w:szCs w:val="20"/>
          <w:lang w:eastAsia="en-GB"/>
        </w:rPr>
        <w:t xml:space="preserve"> </w:t>
      </w:r>
      <w:r w:rsidRPr="00A63A39">
        <w:rPr>
          <w:rFonts w:ascii="Times New Roman" w:eastAsia="Times New Roman" w:hAnsi="Times New Roman" w:cs="Times New Roman"/>
          <w:sz w:val="24"/>
          <w:szCs w:val="20"/>
          <w:lang w:eastAsia="en-GB"/>
        </w:rPr>
        <w:t>[</w:t>
      </w:r>
      <w:r w:rsidR="00D256AF" w:rsidRPr="00A63A39">
        <w:rPr>
          <w:rFonts w:ascii="Times New Roman" w:eastAsia="Times New Roman" w:hAnsi="Times New Roman" w:cs="Times New Roman"/>
          <w:sz w:val="24"/>
          <w:szCs w:val="20"/>
          <w:lang w:eastAsia="en-GB"/>
        </w:rPr>
        <w:t>2-4</w:t>
      </w:r>
      <w:r w:rsidRPr="00A63A39">
        <w:rPr>
          <w:rFonts w:ascii="Times New Roman" w:eastAsia="Times New Roman" w:hAnsi="Times New Roman" w:cs="Times New Roman"/>
          <w:sz w:val="24"/>
          <w:szCs w:val="20"/>
          <w:lang w:eastAsia="en-GB"/>
        </w:rPr>
        <w:t>]</w:t>
      </w:r>
      <w:r w:rsidR="00D256AF" w:rsidRPr="00A63A39">
        <w:rPr>
          <w:rFonts w:ascii="Times New Roman" w:eastAsia="Times New Roman" w:hAnsi="Times New Roman" w:cs="Times New Roman"/>
          <w:sz w:val="24"/>
          <w:szCs w:val="20"/>
          <w:lang w:eastAsia="en-GB"/>
        </w:rPr>
        <w:t xml:space="preserve">, but evidence </w:t>
      </w:r>
      <w:r w:rsidR="00E864BD" w:rsidRPr="00A63A39">
        <w:rPr>
          <w:rFonts w:ascii="Times New Roman" w:eastAsia="Times New Roman" w:hAnsi="Times New Roman" w:cs="Times New Roman"/>
          <w:sz w:val="24"/>
          <w:szCs w:val="20"/>
          <w:lang w:eastAsia="en-GB"/>
        </w:rPr>
        <w:t xml:space="preserve">on risks from hand-transmitted vibration (HTV) and heavy manual work </w:t>
      </w:r>
      <w:r w:rsidR="00D256AF" w:rsidRPr="00A63A39">
        <w:rPr>
          <w:rFonts w:ascii="Times New Roman" w:eastAsia="Times New Roman" w:hAnsi="Times New Roman" w:cs="Times New Roman"/>
          <w:sz w:val="24"/>
          <w:szCs w:val="20"/>
          <w:lang w:eastAsia="en-GB"/>
        </w:rPr>
        <w:t xml:space="preserve">has </w:t>
      </w:r>
      <w:r w:rsidR="006E41C1" w:rsidRPr="00A63A39">
        <w:rPr>
          <w:rFonts w:ascii="Times New Roman" w:eastAsia="Times New Roman" w:hAnsi="Times New Roman" w:cs="Times New Roman"/>
          <w:sz w:val="24"/>
          <w:szCs w:val="20"/>
          <w:lang w:eastAsia="en-GB"/>
        </w:rPr>
        <w:t>grown</w:t>
      </w:r>
      <w:r w:rsidR="00D256AF" w:rsidRPr="00A63A39">
        <w:rPr>
          <w:rFonts w:ascii="Times New Roman" w:eastAsia="Times New Roman" w:hAnsi="Times New Roman" w:cs="Times New Roman"/>
          <w:sz w:val="24"/>
          <w:szCs w:val="20"/>
          <w:lang w:eastAsia="en-GB"/>
        </w:rPr>
        <w:t xml:space="preserve"> and a recent meta-analysis</w:t>
      </w:r>
      <w:r w:rsidR="006E41C1" w:rsidRPr="00A63A39">
        <w:rPr>
          <w:rFonts w:ascii="Times New Roman" w:eastAsia="Times New Roman" w:hAnsi="Times New Roman" w:cs="Times New Roman"/>
          <w:sz w:val="24"/>
          <w:szCs w:val="20"/>
          <w:lang w:eastAsia="en-GB"/>
        </w:rPr>
        <w:t xml:space="preserve"> </w:t>
      </w:r>
      <w:r w:rsidR="005268E8" w:rsidRPr="00A63A39">
        <w:rPr>
          <w:rFonts w:ascii="Times New Roman" w:eastAsia="Times New Roman" w:hAnsi="Times New Roman" w:cs="Times New Roman"/>
          <w:sz w:val="24"/>
          <w:szCs w:val="20"/>
          <w:lang w:eastAsia="en-GB"/>
        </w:rPr>
        <w:t>of studies published between 1951 and 2007</w:t>
      </w:r>
      <w:r w:rsidR="005268E8">
        <w:rPr>
          <w:rFonts w:ascii="Times New Roman" w:eastAsia="Times New Roman" w:hAnsi="Times New Roman" w:cs="Times New Roman"/>
          <w:sz w:val="24"/>
          <w:szCs w:val="20"/>
          <w:lang w:eastAsia="en-GB"/>
        </w:rPr>
        <w:t xml:space="preserve">, by </w:t>
      </w:r>
      <w:proofErr w:type="spellStart"/>
      <w:r w:rsidR="005268E8">
        <w:rPr>
          <w:rFonts w:ascii="Times New Roman" w:eastAsia="Times New Roman" w:hAnsi="Times New Roman" w:cs="Times New Roman"/>
          <w:sz w:val="24"/>
          <w:szCs w:val="20"/>
          <w:lang w:eastAsia="en-GB"/>
        </w:rPr>
        <w:t>Descatha</w:t>
      </w:r>
      <w:proofErr w:type="spellEnd"/>
      <w:r w:rsidR="005268E8">
        <w:rPr>
          <w:rFonts w:ascii="Times New Roman" w:eastAsia="Times New Roman" w:hAnsi="Times New Roman" w:cs="Times New Roman"/>
          <w:sz w:val="24"/>
          <w:szCs w:val="20"/>
          <w:lang w:eastAsia="en-GB"/>
        </w:rPr>
        <w:t xml:space="preserve"> </w:t>
      </w:r>
      <w:r w:rsidR="005268E8" w:rsidRPr="000818B4">
        <w:rPr>
          <w:rFonts w:ascii="Times New Roman" w:eastAsia="Times New Roman" w:hAnsi="Times New Roman" w:cs="Times New Roman"/>
          <w:i/>
          <w:sz w:val="24"/>
          <w:szCs w:val="20"/>
          <w:lang w:eastAsia="en-GB"/>
        </w:rPr>
        <w:t>et al</w:t>
      </w:r>
      <w:r w:rsidR="000818B4">
        <w:rPr>
          <w:rFonts w:ascii="Times New Roman" w:eastAsia="Times New Roman" w:hAnsi="Times New Roman" w:cs="Times New Roman"/>
          <w:sz w:val="24"/>
          <w:szCs w:val="20"/>
          <w:lang w:eastAsia="en-GB"/>
        </w:rPr>
        <w:t xml:space="preserve"> (2011)</w:t>
      </w:r>
      <w:r w:rsidR="005268E8">
        <w:rPr>
          <w:rFonts w:ascii="Times New Roman" w:eastAsia="Times New Roman" w:hAnsi="Times New Roman" w:cs="Times New Roman"/>
          <w:sz w:val="24"/>
          <w:szCs w:val="20"/>
          <w:lang w:eastAsia="en-GB"/>
        </w:rPr>
        <w:t>,</w:t>
      </w:r>
      <w:r w:rsidR="006E41C1" w:rsidRPr="00A63A39">
        <w:rPr>
          <w:rFonts w:ascii="Times New Roman" w:eastAsia="Times New Roman" w:hAnsi="Times New Roman" w:cs="Times New Roman"/>
          <w:sz w:val="24"/>
          <w:szCs w:val="20"/>
          <w:lang w:eastAsia="en-GB"/>
        </w:rPr>
        <w:t xml:space="preserve"> </w:t>
      </w:r>
      <w:r w:rsidR="00605074">
        <w:rPr>
          <w:rFonts w:ascii="Times New Roman" w:eastAsia="Times New Roman" w:hAnsi="Times New Roman" w:cs="Times New Roman"/>
          <w:sz w:val="24"/>
          <w:szCs w:val="20"/>
          <w:lang w:eastAsia="en-GB"/>
        </w:rPr>
        <w:t>estimated</w:t>
      </w:r>
      <w:r w:rsidR="0053121D">
        <w:rPr>
          <w:rFonts w:ascii="Times New Roman" w:eastAsia="Times New Roman" w:hAnsi="Times New Roman" w:cs="Times New Roman"/>
          <w:sz w:val="24"/>
          <w:szCs w:val="20"/>
          <w:lang w:eastAsia="en-GB"/>
        </w:rPr>
        <w:t xml:space="preserve"> </w:t>
      </w:r>
      <w:proofErr w:type="spellStart"/>
      <w:r w:rsidR="0053121D">
        <w:rPr>
          <w:rFonts w:ascii="Times New Roman" w:eastAsia="Times New Roman" w:hAnsi="Times New Roman" w:cs="Times New Roman"/>
          <w:sz w:val="24"/>
          <w:szCs w:val="20"/>
          <w:lang w:eastAsia="en-GB"/>
        </w:rPr>
        <w:t>a</w:t>
      </w:r>
      <w:proofErr w:type="spellEnd"/>
      <w:r w:rsidR="0053121D">
        <w:rPr>
          <w:rFonts w:ascii="Times New Roman" w:eastAsia="Times New Roman" w:hAnsi="Times New Roman" w:cs="Times New Roman"/>
          <w:sz w:val="24"/>
          <w:szCs w:val="20"/>
          <w:lang w:eastAsia="en-GB"/>
        </w:rPr>
        <w:t xml:space="preserve"> more than doubling of risk</w:t>
      </w:r>
      <w:r w:rsidR="00D256AF" w:rsidRPr="00A63A39">
        <w:rPr>
          <w:rFonts w:ascii="Times New Roman" w:eastAsia="Times New Roman" w:hAnsi="Times New Roman" w:cs="Times New Roman"/>
          <w:sz w:val="24"/>
          <w:szCs w:val="20"/>
          <w:lang w:eastAsia="en-GB"/>
        </w:rPr>
        <w:t xml:space="preserve"> from </w:t>
      </w:r>
      <w:r w:rsidR="000818B4">
        <w:rPr>
          <w:rFonts w:ascii="Times New Roman" w:eastAsia="Times New Roman" w:hAnsi="Times New Roman" w:cs="Times New Roman"/>
          <w:sz w:val="24"/>
          <w:szCs w:val="20"/>
          <w:lang w:eastAsia="en-GB"/>
        </w:rPr>
        <w:t>these</w:t>
      </w:r>
      <w:r w:rsidR="00D256AF" w:rsidRPr="00A63A39">
        <w:rPr>
          <w:rFonts w:ascii="Times New Roman" w:eastAsia="Times New Roman" w:hAnsi="Times New Roman" w:cs="Times New Roman"/>
          <w:sz w:val="24"/>
          <w:szCs w:val="20"/>
          <w:lang w:eastAsia="en-GB"/>
        </w:rPr>
        <w:t xml:space="preserve"> </w:t>
      </w:r>
      <w:r w:rsidR="006E41C1" w:rsidRPr="00A63A39">
        <w:rPr>
          <w:rFonts w:ascii="Times New Roman" w:eastAsia="Times New Roman" w:hAnsi="Times New Roman" w:cs="Times New Roman"/>
          <w:sz w:val="24"/>
          <w:szCs w:val="20"/>
          <w:lang w:eastAsia="en-GB"/>
        </w:rPr>
        <w:t xml:space="preserve">exposures </w:t>
      </w:r>
      <w:r w:rsidR="00D256AF" w:rsidRPr="00A63A39">
        <w:rPr>
          <w:rFonts w:ascii="Times New Roman" w:eastAsia="Times New Roman" w:hAnsi="Times New Roman" w:cs="Times New Roman"/>
          <w:sz w:val="24"/>
          <w:szCs w:val="20"/>
          <w:lang w:eastAsia="en-GB"/>
        </w:rPr>
        <w:t>[5].</w:t>
      </w:r>
    </w:p>
    <w:p w:rsidR="00D256AF" w:rsidRPr="00A63A39" w:rsidRDefault="00D256AF" w:rsidP="00C5234D">
      <w:pPr>
        <w:jc w:val="both"/>
        <w:rPr>
          <w:rFonts w:ascii="Times New Roman" w:eastAsia="Times New Roman" w:hAnsi="Times New Roman" w:cs="Times New Roman"/>
          <w:sz w:val="24"/>
          <w:szCs w:val="20"/>
          <w:lang w:eastAsia="en-GB"/>
        </w:rPr>
      </w:pPr>
    </w:p>
    <w:p w:rsidR="00D256AF" w:rsidRPr="00A63A39" w:rsidRDefault="00D256AF" w:rsidP="00C5234D">
      <w:pPr>
        <w:jc w:val="both"/>
        <w:rPr>
          <w:rFonts w:ascii="Times New Roman" w:eastAsia="Times New Roman" w:hAnsi="Times New Roman" w:cs="Times New Roman"/>
          <w:sz w:val="24"/>
          <w:szCs w:val="20"/>
          <w:lang w:eastAsia="en-GB"/>
        </w:rPr>
      </w:pPr>
      <w:r w:rsidRPr="00A63A39">
        <w:rPr>
          <w:rFonts w:ascii="Times New Roman" w:eastAsia="Times New Roman" w:hAnsi="Times New Roman" w:cs="Times New Roman"/>
          <w:sz w:val="24"/>
          <w:szCs w:val="20"/>
          <w:lang w:eastAsia="en-GB"/>
        </w:rPr>
        <w:t>Th</w:t>
      </w:r>
      <w:r w:rsidR="00E864BD" w:rsidRPr="00A63A39">
        <w:rPr>
          <w:rFonts w:ascii="Times New Roman" w:eastAsia="Times New Roman" w:hAnsi="Times New Roman" w:cs="Times New Roman"/>
          <w:sz w:val="24"/>
          <w:szCs w:val="20"/>
          <w:lang w:eastAsia="en-GB"/>
        </w:rPr>
        <w:t>e</w:t>
      </w:r>
      <w:r w:rsidRPr="00A63A39">
        <w:rPr>
          <w:rFonts w:ascii="Times New Roman" w:eastAsia="Times New Roman" w:hAnsi="Times New Roman" w:cs="Times New Roman"/>
          <w:sz w:val="24"/>
          <w:szCs w:val="20"/>
          <w:lang w:eastAsia="en-GB"/>
        </w:rPr>
        <w:t xml:space="preserve"> threshold</w:t>
      </w:r>
      <w:r w:rsidR="0053121D">
        <w:rPr>
          <w:rFonts w:ascii="Times New Roman" w:eastAsia="Times New Roman" w:hAnsi="Times New Roman" w:cs="Times New Roman"/>
          <w:sz w:val="24"/>
          <w:szCs w:val="20"/>
          <w:lang w:eastAsia="en-GB"/>
        </w:rPr>
        <w:t xml:space="preserve"> of a doubling of risk</w:t>
      </w:r>
      <w:r w:rsidRPr="00A63A39">
        <w:rPr>
          <w:rFonts w:ascii="Times New Roman" w:eastAsia="Times New Roman" w:hAnsi="Times New Roman" w:cs="Times New Roman"/>
          <w:sz w:val="24"/>
          <w:szCs w:val="20"/>
          <w:lang w:eastAsia="en-GB"/>
        </w:rPr>
        <w:t xml:space="preserve"> has been adopted by the</w:t>
      </w:r>
      <w:r w:rsidR="006E41C1" w:rsidRPr="00A63A39">
        <w:rPr>
          <w:rFonts w:ascii="Times New Roman" w:eastAsia="Times New Roman" w:hAnsi="Times New Roman" w:cs="Times New Roman"/>
          <w:sz w:val="24"/>
          <w:szCs w:val="20"/>
          <w:lang w:eastAsia="en-GB"/>
        </w:rPr>
        <w:t xml:space="preserve"> UK’s</w:t>
      </w:r>
      <w:r w:rsidRPr="00A63A39">
        <w:rPr>
          <w:rFonts w:ascii="Times New Roman" w:eastAsia="Times New Roman" w:hAnsi="Times New Roman" w:cs="Times New Roman"/>
          <w:sz w:val="24"/>
          <w:szCs w:val="20"/>
          <w:lang w:eastAsia="en-GB"/>
        </w:rPr>
        <w:t xml:space="preserve"> Industrial Injuries Advisory Council as a cut-point </w:t>
      </w:r>
      <w:r w:rsidR="006E41C1" w:rsidRPr="00A63A39">
        <w:rPr>
          <w:rFonts w:ascii="Times New Roman" w:eastAsia="Times New Roman" w:hAnsi="Times New Roman" w:cs="Times New Roman"/>
          <w:sz w:val="24"/>
          <w:szCs w:val="20"/>
          <w:lang w:eastAsia="en-GB"/>
        </w:rPr>
        <w:t>in</w:t>
      </w:r>
      <w:r w:rsidRPr="00A63A39">
        <w:rPr>
          <w:rFonts w:ascii="Times New Roman" w:eastAsia="Times New Roman" w:hAnsi="Times New Roman" w:cs="Times New Roman"/>
          <w:sz w:val="24"/>
          <w:szCs w:val="20"/>
          <w:lang w:eastAsia="en-GB"/>
        </w:rPr>
        <w:t xml:space="preserve"> recommending entitlement to state compensation</w:t>
      </w:r>
      <w:r w:rsidR="006E41C1" w:rsidRPr="00A63A39">
        <w:rPr>
          <w:rFonts w:ascii="Times New Roman" w:eastAsia="Times New Roman" w:hAnsi="Times New Roman" w:cs="Times New Roman"/>
          <w:sz w:val="24"/>
          <w:szCs w:val="20"/>
          <w:lang w:eastAsia="en-GB"/>
        </w:rPr>
        <w:t xml:space="preserve"> for occupationally-related illness (</w:t>
      </w:r>
      <w:r w:rsidR="0053121D">
        <w:rPr>
          <w:rFonts w:ascii="Times New Roman" w:eastAsia="Times New Roman" w:hAnsi="Times New Roman" w:cs="Times New Roman"/>
          <w:sz w:val="24"/>
          <w:szCs w:val="20"/>
          <w:lang w:eastAsia="en-GB"/>
        </w:rPr>
        <w:t>based</w:t>
      </w:r>
      <w:r w:rsidR="006E41C1" w:rsidRPr="00A63A39">
        <w:rPr>
          <w:rFonts w:ascii="Times New Roman" w:eastAsia="Times New Roman" w:hAnsi="Times New Roman" w:cs="Times New Roman"/>
          <w:sz w:val="24"/>
          <w:szCs w:val="20"/>
          <w:lang w:eastAsia="en-GB"/>
        </w:rPr>
        <w:t xml:space="preserve"> on the </w:t>
      </w:r>
      <w:r w:rsidR="0053121D">
        <w:rPr>
          <w:rFonts w:ascii="Times New Roman" w:eastAsia="Times New Roman" w:hAnsi="Times New Roman" w:cs="Times New Roman"/>
          <w:sz w:val="24"/>
          <w:szCs w:val="20"/>
          <w:lang w:eastAsia="en-GB"/>
        </w:rPr>
        <w:t>logic</w:t>
      </w:r>
      <w:r w:rsidR="006E41C1" w:rsidRPr="00A63A39">
        <w:rPr>
          <w:rFonts w:ascii="Times New Roman" w:eastAsia="Times New Roman" w:hAnsi="Times New Roman" w:cs="Times New Roman"/>
          <w:sz w:val="24"/>
          <w:szCs w:val="20"/>
          <w:lang w:eastAsia="en-GB"/>
        </w:rPr>
        <w:t xml:space="preserve"> that, if </w:t>
      </w:r>
      <w:r w:rsidR="0053121D">
        <w:rPr>
          <w:rFonts w:ascii="Times New Roman" w:eastAsia="Times New Roman" w:hAnsi="Times New Roman" w:cs="Times New Roman"/>
          <w:sz w:val="24"/>
          <w:szCs w:val="20"/>
          <w:lang w:eastAsia="en-GB"/>
        </w:rPr>
        <w:t>the association with exposure is causal</w:t>
      </w:r>
      <w:r w:rsidR="006E41C1" w:rsidRPr="00A63A39">
        <w:rPr>
          <w:rFonts w:ascii="Times New Roman" w:eastAsia="Times New Roman" w:hAnsi="Times New Roman" w:cs="Times New Roman"/>
          <w:sz w:val="24"/>
          <w:szCs w:val="20"/>
          <w:lang w:eastAsia="en-GB"/>
        </w:rPr>
        <w:t>, the attributable fraction in exposed claimant</w:t>
      </w:r>
      <w:r w:rsidR="0053121D">
        <w:rPr>
          <w:rFonts w:ascii="Times New Roman" w:eastAsia="Times New Roman" w:hAnsi="Times New Roman" w:cs="Times New Roman"/>
          <w:sz w:val="24"/>
          <w:szCs w:val="20"/>
          <w:lang w:eastAsia="en-GB"/>
        </w:rPr>
        <w:t>s</w:t>
      </w:r>
      <w:r w:rsidR="006E41C1" w:rsidRPr="00A63A39">
        <w:rPr>
          <w:rFonts w:ascii="Times New Roman" w:eastAsia="Times New Roman" w:hAnsi="Times New Roman" w:cs="Times New Roman"/>
          <w:sz w:val="24"/>
          <w:szCs w:val="20"/>
          <w:lang w:eastAsia="en-GB"/>
        </w:rPr>
        <w:t xml:space="preserve"> </w:t>
      </w:r>
      <w:r w:rsidR="0053121D">
        <w:rPr>
          <w:rFonts w:ascii="Times New Roman" w:eastAsia="Times New Roman" w:hAnsi="Times New Roman" w:cs="Times New Roman"/>
          <w:sz w:val="24"/>
          <w:szCs w:val="20"/>
          <w:lang w:eastAsia="en-GB"/>
        </w:rPr>
        <w:t>will</w:t>
      </w:r>
      <w:r w:rsidR="006E41C1" w:rsidRPr="00A63A39">
        <w:rPr>
          <w:rFonts w:ascii="Times New Roman" w:eastAsia="Times New Roman" w:hAnsi="Times New Roman" w:cs="Times New Roman"/>
          <w:sz w:val="24"/>
          <w:szCs w:val="20"/>
          <w:lang w:eastAsia="en-GB"/>
        </w:rPr>
        <w:t xml:space="preserve"> exceed 50% and the disease </w:t>
      </w:r>
      <w:r w:rsidR="00F75BE8">
        <w:rPr>
          <w:rFonts w:ascii="Times New Roman" w:eastAsia="Times New Roman" w:hAnsi="Times New Roman" w:cs="Times New Roman"/>
          <w:sz w:val="24"/>
          <w:szCs w:val="20"/>
          <w:lang w:eastAsia="en-GB"/>
        </w:rPr>
        <w:t>will be</w:t>
      </w:r>
      <w:r w:rsidR="006E41C1" w:rsidRPr="00A63A39">
        <w:rPr>
          <w:rFonts w:ascii="Times New Roman" w:eastAsia="Times New Roman" w:hAnsi="Times New Roman" w:cs="Times New Roman"/>
          <w:sz w:val="24"/>
          <w:szCs w:val="20"/>
          <w:lang w:eastAsia="en-GB"/>
        </w:rPr>
        <w:t xml:space="preserve"> attributable to work on the balance of probabilities [6]). However, </w:t>
      </w:r>
      <w:r w:rsidR="00E864BD" w:rsidRPr="00A63A39">
        <w:rPr>
          <w:rFonts w:ascii="Times New Roman" w:eastAsia="Times New Roman" w:hAnsi="Times New Roman" w:cs="Times New Roman"/>
          <w:sz w:val="24"/>
          <w:szCs w:val="20"/>
          <w:lang w:eastAsia="en-GB"/>
        </w:rPr>
        <w:t>especially in relation to</w:t>
      </w:r>
      <w:r w:rsidR="006E41C1" w:rsidRPr="00A63A39">
        <w:rPr>
          <w:rFonts w:ascii="Times New Roman" w:eastAsia="Times New Roman" w:hAnsi="Times New Roman" w:cs="Times New Roman"/>
          <w:sz w:val="24"/>
          <w:szCs w:val="20"/>
          <w:lang w:eastAsia="en-GB"/>
        </w:rPr>
        <w:t xml:space="preserve"> HTV, </w:t>
      </w:r>
      <w:proofErr w:type="spellStart"/>
      <w:r w:rsidR="00E864BD" w:rsidRPr="00A63A39">
        <w:rPr>
          <w:rFonts w:ascii="Times New Roman" w:eastAsia="Times New Roman" w:hAnsi="Times New Roman" w:cs="Times New Roman"/>
          <w:sz w:val="24"/>
          <w:szCs w:val="20"/>
          <w:lang w:eastAsia="en-GB"/>
        </w:rPr>
        <w:t>Descatha</w:t>
      </w:r>
      <w:proofErr w:type="spellEnd"/>
      <w:r w:rsidR="00E864BD" w:rsidRPr="00A63A39">
        <w:rPr>
          <w:rFonts w:ascii="Times New Roman" w:eastAsia="Times New Roman" w:hAnsi="Times New Roman" w:cs="Times New Roman"/>
          <w:sz w:val="24"/>
          <w:szCs w:val="20"/>
          <w:lang w:eastAsia="en-GB"/>
        </w:rPr>
        <w:t xml:space="preserve"> </w:t>
      </w:r>
      <w:r w:rsidR="00E864BD" w:rsidRPr="000818B4">
        <w:rPr>
          <w:rFonts w:ascii="Times New Roman" w:eastAsia="Times New Roman" w:hAnsi="Times New Roman" w:cs="Times New Roman"/>
          <w:i/>
          <w:sz w:val="24"/>
          <w:szCs w:val="20"/>
          <w:lang w:eastAsia="en-GB"/>
        </w:rPr>
        <w:t>et al</w:t>
      </w:r>
      <w:r w:rsidR="003F0524">
        <w:rPr>
          <w:rFonts w:ascii="Times New Roman" w:eastAsia="Times New Roman" w:hAnsi="Times New Roman" w:cs="Times New Roman"/>
          <w:sz w:val="24"/>
          <w:szCs w:val="20"/>
          <w:lang w:eastAsia="en-GB"/>
        </w:rPr>
        <w:t xml:space="preserve"> i</w:t>
      </w:r>
      <w:r w:rsidR="00E864BD" w:rsidRPr="00A63A39">
        <w:rPr>
          <w:rFonts w:ascii="Times New Roman" w:eastAsia="Times New Roman" w:hAnsi="Times New Roman" w:cs="Times New Roman"/>
          <w:sz w:val="24"/>
          <w:szCs w:val="20"/>
          <w:lang w:eastAsia="en-GB"/>
        </w:rPr>
        <w:t xml:space="preserve">dentified </w:t>
      </w:r>
      <w:r w:rsidR="00CA2519">
        <w:rPr>
          <w:rFonts w:ascii="Times New Roman" w:eastAsia="Times New Roman" w:hAnsi="Times New Roman" w:cs="Times New Roman"/>
          <w:sz w:val="24"/>
          <w:szCs w:val="20"/>
          <w:lang w:eastAsia="en-GB"/>
        </w:rPr>
        <w:t>comparatively</w:t>
      </w:r>
      <w:r w:rsidR="006E41C1" w:rsidRPr="00A63A39">
        <w:rPr>
          <w:rFonts w:ascii="Times New Roman" w:eastAsia="Times New Roman" w:hAnsi="Times New Roman" w:cs="Times New Roman"/>
          <w:sz w:val="24"/>
          <w:szCs w:val="20"/>
          <w:lang w:eastAsia="en-GB"/>
        </w:rPr>
        <w:t xml:space="preserve"> few reports to inform </w:t>
      </w:r>
      <w:r w:rsidR="00E864BD" w:rsidRPr="00A63A39">
        <w:rPr>
          <w:rFonts w:ascii="Times New Roman" w:eastAsia="Times New Roman" w:hAnsi="Times New Roman" w:cs="Times New Roman"/>
          <w:sz w:val="24"/>
          <w:szCs w:val="20"/>
          <w:lang w:eastAsia="en-GB"/>
        </w:rPr>
        <w:t xml:space="preserve">appraisal of risks. To </w:t>
      </w:r>
      <w:r w:rsidR="0053121D">
        <w:rPr>
          <w:rFonts w:ascii="Times New Roman" w:eastAsia="Times New Roman" w:hAnsi="Times New Roman" w:cs="Times New Roman"/>
          <w:sz w:val="24"/>
          <w:szCs w:val="20"/>
          <w:lang w:eastAsia="en-GB"/>
        </w:rPr>
        <w:t>inform</w:t>
      </w:r>
      <w:r w:rsidR="00E864BD" w:rsidRPr="00A63A39">
        <w:rPr>
          <w:rFonts w:ascii="Times New Roman" w:eastAsia="Times New Roman" w:hAnsi="Times New Roman" w:cs="Times New Roman"/>
          <w:sz w:val="24"/>
          <w:szCs w:val="20"/>
          <w:lang w:eastAsia="en-GB"/>
        </w:rPr>
        <w:t xml:space="preserve"> the Council’s deliberations</w:t>
      </w:r>
      <w:r w:rsidR="0053121D">
        <w:rPr>
          <w:rFonts w:ascii="Times New Roman" w:eastAsia="Times New Roman" w:hAnsi="Times New Roman" w:cs="Times New Roman"/>
          <w:sz w:val="24"/>
          <w:szCs w:val="20"/>
          <w:lang w:eastAsia="en-GB"/>
        </w:rPr>
        <w:t xml:space="preserve"> on </w:t>
      </w:r>
      <w:proofErr w:type="spellStart"/>
      <w:r w:rsidR="0053121D" w:rsidRPr="00A63A39">
        <w:rPr>
          <w:rFonts w:ascii="Times New Roman" w:eastAsia="Times New Roman" w:hAnsi="Times New Roman" w:cs="Times New Roman"/>
          <w:sz w:val="24"/>
          <w:szCs w:val="20"/>
          <w:lang w:eastAsia="en-GB"/>
        </w:rPr>
        <w:t>Dupuytren’s</w:t>
      </w:r>
      <w:proofErr w:type="spellEnd"/>
      <w:r w:rsidR="0053121D" w:rsidRPr="00A63A39">
        <w:rPr>
          <w:rFonts w:ascii="Times New Roman" w:eastAsia="Times New Roman" w:hAnsi="Times New Roman" w:cs="Times New Roman"/>
          <w:sz w:val="24"/>
          <w:szCs w:val="20"/>
          <w:lang w:eastAsia="en-GB"/>
        </w:rPr>
        <w:t xml:space="preserve"> contracture</w:t>
      </w:r>
      <w:r w:rsidR="0053121D">
        <w:rPr>
          <w:rFonts w:ascii="Times New Roman" w:eastAsia="Times New Roman" w:hAnsi="Times New Roman" w:cs="Times New Roman"/>
          <w:sz w:val="24"/>
          <w:szCs w:val="20"/>
          <w:lang w:eastAsia="en-GB"/>
        </w:rPr>
        <w:t xml:space="preserve"> and HTV</w:t>
      </w:r>
      <w:r w:rsidR="00E864BD" w:rsidRPr="00A63A39">
        <w:rPr>
          <w:rFonts w:ascii="Times New Roman" w:eastAsia="Times New Roman" w:hAnsi="Times New Roman" w:cs="Times New Roman"/>
          <w:sz w:val="24"/>
          <w:szCs w:val="20"/>
          <w:lang w:eastAsia="en-GB"/>
        </w:rPr>
        <w:t>, we revisited</w:t>
      </w:r>
      <w:r w:rsidR="005268E8">
        <w:rPr>
          <w:rFonts w:ascii="Times New Roman" w:eastAsia="Times New Roman" w:hAnsi="Times New Roman" w:cs="Times New Roman"/>
          <w:sz w:val="24"/>
          <w:szCs w:val="20"/>
          <w:lang w:eastAsia="en-GB"/>
        </w:rPr>
        <w:t xml:space="preserve"> data from</w:t>
      </w:r>
      <w:r w:rsidR="00E864BD" w:rsidRPr="00A63A39">
        <w:rPr>
          <w:rFonts w:ascii="Times New Roman" w:eastAsia="Times New Roman" w:hAnsi="Times New Roman" w:cs="Times New Roman"/>
          <w:sz w:val="24"/>
          <w:szCs w:val="20"/>
          <w:lang w:eastAsia="en-GB"/>
        </w:rPr>
        <w:t xml:space="preserve"> a national survey of vibration undertaken in Great Britain in 199</w:t>
      </w:r>
      <w:r w:rsidR="00064395">
        <w:rPr>
          <w:rFonts w:ascii="Times New Roman" w:eastAsia="Times New Roman" w:hAnsi="Times New Roman" w:cs="Times New Roman"/>
          <w:sz w:val="24"/>
          <w:szCs w:val="20"/>
          <w:lang w:eastAsia="en-GB"/>
        </w:rPr>
        <w:t>7-8</w:t>
      </w:r>
      <w:r w:rsidR="00E864BD" w:rsidRPr="00A63A39">
        <w:rPr>
          <w:rFonts w:ascii="Times New Roman" w:eastAsia="Times New Roman" w:hAnsi="Times New Roman" w:cs="Times New Roman"/>
          <w:sz w:val="24"/>
          <w:szCs w:val="20"/>
          <w:lang w:eastAsia="en-GB"/>
        </w:rPr>
        <w:t xml:space="preserve"> and analysed risks of </w:t>
      </w:r>
      <w:r w:rsidR="0053121D">
        <w:rPr>
          <w:rFonts w:ascii="Times New Roman" w:eastAsia="Times New Roman" w:hAnsi="Times New Roman" w:cs="Times New Roman"/>
          <w:sz w:val="24"/>
          <w:szCs w:val="20"/>
          <w:lang w:eastAsia="en-GB"/>
        </w:rPr>
        <w:t>the disease</w:t>
      </w:r>
      <w:r w:rsidR="00E864BD" w:rsidRPr="00A63A39">
        <w:rPr>
          <w:rFonts w:ascii="Times New Roman" w:eastAsia="Times New Roman" w:hAnsi="Times New Roman" w:cs="Times New Roman"/>
          <w:sz w:val="24"/>
          <w:szCs w:val="20"/>
          <w:lang w:eastAsia="en-GB"/>
        </w:rPr>
        <w:t xml:space="preserve"> in relation to a well-characterised assessment of occupational exposures to HTV</w:t>
      </w:r>
      <w:r w:rsidR="00400D8D" w:rsidRPr="00400D8D">
        <w:rPr>
          <w:rFonts w:ascii="Times New Roman" w:eastAsia="Times New Roman" w:hAnsi="Times New Roman" w:cs="Times New Roman"/>
          <w:sz w:val="24"/>
          <w:szCs w:val="20"/>
          <w:lang w:eastAsia="en-GB"/>
        </w:rPr>
        <w:t xml:space="preserve"> </w:t>
      </w:r>
      <w:r w:rsidR="00400D8D">
        <w:rPr>
          <w:rFonts w:ascii="Times New Roman" w:eastAsia="Times New Roman" w:hAnsi="Times New Roman" w:cs="Times New Roman"/>
          <w:sz w:val="24"/>
          <w:szCs w:val="20"/>
          <w:lang w:eastAsia="en-GB"/>
        </w:rPr>
        <w:t xml:space="preserve">in a </w:t>
      </w:r>
      <w:r w:rsidR="00400D8D" w:rsidRPr="00A63A39">
        <w:rPr>
          <w:rFonts w:ascii="Times New Roman" w:eastAsia="Times New Roman" w:hAnsi="Times New Roman" w:cs="Times New Roman"/>
          <w:sz w:val="24"/>
          <w:szCs w:val="20"/>
          <w:lang w:eastAsia="en-GB"/>
        </w:rPr>
        <w:t>nationally representative</w:t>
      </w:r>
      <w:r w:rsidR="00400D8D">
        <w:rPr>
          <w:rFonts w:ascii="Times New Roman" w:eastAsia="Times New Roman" w:hAnsi="Times New Roman" w:cs="Times New Roman"/>
          <w:sz w:val="24"/>
          <w:szCs w:val="20"/>
          <w:lang w:eastAsia="en-GB"/>
        </w:rPr>
        <w:t xml:space="preserve"> sample</w:t>
      </w:r>
      <w:r w:rsidR="00E864BD" w:rsidRPr="00A63A39">
        <w:rPr>
          <w:rFonts w:ascii="Times New Roman" w:eastAsia="Times New Roman" w:hAnsi="Times New Roman" w:cs="Times New Roman"/>
          <w:sz w:val="24"/>
          <w:szCs w:val="20"/>
          <w:lang w:eastAsia="en-GB"/>
        </w:rPr>
        <w:t>.</w:t>
      </w:r>
    </w:p>
    <w:p w:rsidR="0013649A" w:rsidRPr="00A63A39" w:rsidRDefault="0013649A" w:rsidP="00C5234D">
      <w:pPr>
        <w:jc w:val="both"/>
        <w:rPr>
          <w:rFonts w:ascii="Times New Roman" w:eastAsia="Times New Roman" w:hAnsi="Times New Roman" w:cs="Times New Roman"/>
          <w:sz w:val="24"/>
          <w:szCs w:val="20"/>
          <w:lang w:eastAsia="en-GB"/>
        </w:rPr>
      </w:pPr>
    </w:p>
    <w:p w:rsidR="00AB0FFC" w:rsidRPr="00A63A39" w:rsidRDefault="00E864BD" w:rsidP="00C5234D">
      <w:pPr>
        <w:jc w:val="both"/>
        <w:rPr>
          <w:rFonts w:ascii="Times New Roman" w:eastAsia="Times New Roman" w:hAnsi="Times New Roman" w:cs="Times New Roman"/>
          <w:b/>
          <w:sz w:val="24"/>
          <w:szCs w:val="20"/>
          <w:lang w:eastAsia="en-GB"/>
        </w:rPr>
      </w:pPr>
      <w:r w:rsidRPr="00A63A39">
        <w:rPr>
          <w:rFonts w:ascii="Times New Roman" w:eastAsia="Times New Roman" w:hAnsi="Times New Roman" w:cs="Times New Roman"/>
          <w:b/>
          <w:sz w:val="24"/>
          <w:szCs w:val="20"/>
          <w:lang w:eastAsia="en-GB"/>
        </w:rPr>
        <w:t>Methods</w:t>
      </w:r>
    </w:p>
    <w:p w:rsidR="005268E8" w:rsidRDefault="00FA12C6" w:rsidP="00C5234D">
      <w:pPr>
        <w:pStyle w:val="papers"/>
        <w:spacing w:line="360" w:lineRule="auto"/>
      </w:pPr>
      <w:r>
        <w:t>Full details of the sampling and methods</w:t>
      </w:r>
      <w:r w:rsidR="00057261">
        <w:t xml:space="preserve"> of this cross-sectional survey</w:t>
      </w:r>
      <w:r>
        <w:t xml:space="preserve"> are </w:t>
      </w:r>
      <w:r w:rsidR="00CA2519">
        <w:t>published</w:t>
      </w:r>
      <w:r>
        <w:t xml:space="preserve"> elsewhere [</w:t>
      </w:r>
      <w:r w:rsidR="00C32202">
        <w:t>7</w:t>
      </w:r>
      <w:proofErr w:type="gramStart"/>
      <w:r w:rsidR="00C32202">
        <w:t>,8</w:t>
      </w:r>
      <w:proofErr w:type="gramEnd"/>
      <w:r>
        <w:t>]. In brief, t</w:t>
      </w:r>
      <w:r w:rsidR="00E4783C">
        <w:t>he study sample comprised 21,422 men and women</w:t>
      </w:r>
      <w:r w:rsidR="00822803" w:rsidRPr="00822803">
        <w:t xml:space="preserve"> </w:t>
      </w:r>
      <w:r w:rsidR="00822803" w:rsidRPr="009E1F89">
        <w:t>aged 16 – 64 years</w:t>
      </w:r>
      <w:r w:rsidR="00822803">
        <w:t>,</w:t>
      </w:r>
      <w:r w:rsidR="00E4783C">
        <w:t xml:space="preserve"> selected </w:t>
      </w:r>
      <w:r w:rsidR="00822803">
        <w:t xml:space="preserve">at random </w:t>
      </w:r>
      <w:r w:rsidR="00E4783C">
        <w:t>from the patient lists of 34 general practices, and 993 members of the armed services</w:t>
      </w:r>
      <w:r w:rsidR="00822803">
        <w:t xml:space="preserve"> chosen randomly from central pay registers</w:t>
      </w:r>
      <w:r>
        <w:t xml:space="preserve">, but </w:t>
      </w:r>
      <w:r w:rsidR="003F0524">
        <w:t xml:space="preserve">221 patients were excluded </w:t>
      </w:r>
      <w:r>
        <w:t>on general practitioners' advice</w:t>
      </w:r>
      <w:r w:rsidR="00A63A39">
        <w:t xml:space="preserve">. The practices were chosen to give a broad geographical coverage of Great Britain, </w:t>
      </w:r>
      <w:r w:rsidR="005268E8">
        <w:t>while m</w:t>
      </w:r>
      <w:r w:rsidR="00A63A39">
        <w:t>embers of the armed forces</w:t>
      </w:r>
      <w:r w:rsidR="00777F24">
        <w:t xml:space="preserve"> (who have different provisions for primary care)</w:t>
      </w:r>
      <w:r w:rsidR="00A63A39">
        <w:t xml:space="preserve"> were</w:t>
      </w:r>
      <w:r w:rsidR="005268E8">
        <w:t xml:space="preserve"> included in a separate mailing</w:t>
      </w:r>
      <w:r w:rsidR="00A63A39">
        <w:t xml:space="preserve"> and selected at random from central military pay records.</w:t>
      </w:r>
      <w:r w:rsidR="00A63A39" w:rsidRPr="00A63A39">
        <w:t xml:space="preserve"> </w:t>
      </w:r>
      <w:r w:rsidR="00A63A39">
        <w:t>The questionnaire, which was developed in consultation with</w:t>
      </w:r>
      <w:r w:rsidR="005268E8">
        <w:t xml:space="preserve"> various</w:t>
      </w:r>
      <w:r w:rsidR="00A63A39">
        <w:t xml:space="preserve"> health and safety professionals, vibration specialists, trades unions,</w:t>
      </w:r>
      <w:r w:rsidR="005268E8">
        <w:t xml:space="preserve"> and</w:t>
      </w:r>
      <w:r w:rsidR="00A63A39">
        <w:t xml:space="preserve"> trade associations</w:t>
      </w:r>
      <w:r w:rsidR="00C32202">
        <w:t xml:space="preserve"> [9]</w:t>
      </w:r>
      <w:r w:rsidR="00A63A39">
        <w:t>, included</w:t>
      </w:r>
      <w:r>
        <w:t>, among other things,</w:t>
      </w:r>
      <w:r w:rsidR="005268E8">
        <w:t xml:space="preserve"> </w:t>
      </w:r>
      <w:r w:rsidR="00A63A39">
        <w:t xml:space="preserve">questions on current occupation and industry; </w:t>
      </w:r>
      <w:r w:rsidR="00B92882" w:rsidRPr="00AE08F4">
        <w:t xml:space="preserve">social class (manual, non-manual, armed services); </w:t>
      </w:r>
      <w:r w:rsidR="00A63A39" w:rsidRPr="00AE08F4">
        <w:t>exposures to HTV at work in the previous seven days (sources and durations of exposure)</w:t>
      </w:r>
      <w:r w:rsidR="00EB6ABC" w:rsidRPr="00AE08F4">
        <w:t>; exposures to HTV in previous paid jobs for &gt;1 hour/week</w:t>
      </w:r>
      <w:r w:rsidR="00A63A39" w:rsidRPr="00AE08F4">
        <w:t>;</w:t>
      </w:r>
      <w:r w:rsidRPr="00AE08F4">
        <w:t xml:space="preserve"> age, sex</w:t>
      </w:r>
      <w:r w:rsidR="001E1C11" w:rsidRPr="00AE08F4">
        <w:t>,</w:t>
      </w:r>
      <w:r w:rsidRPr="00AE08F4">
        <w:t xml:space="preserve"> and smoking habits; certain physical activities in a typical </w:t>
      </w:r>
      <w:r w:rsidRPr="00AE08F4">
        <w:lastRenderedPageBreak/>
        <w:t>work day (lifting weights &gt;56 pounds</w:t>
      </w:r>
      <w:r w:rsidR="004F22E4">
        <w:t xml:space="preserve"> (roughly 25 k</w:t>
      </w:r>
      <w:r w:rsidR="003F0524" w:rsidRPr="00AE08F4">
        <w:t>g)</w:t>
      </w:r>
      <w:r w:rsidRPr="00AE08F4">
        <w:t>, digging or shovelling, use of a computer keyboard for &gt;4</w:t>
      </w:r>
      <w:r w:rsidRPr="000818B4">
        <w:t xml:space="preserve"> hours/day);</w:t>
      </w:r>
      <w:r>
        <w:t xml:space="preserve"> </w:t>
      </w:r>
      <w:r w:rsidR="00A63A39" w:rsidRPr="00A63A39">
        <w:t xml:space="preserve"> </w:t>
      </w:r>
      <w:r w:rsidR="006E53E8">
        <w:t xml:space="preserve">and </w:t>
      </w:r>
      <w:proofErr w:type="spellStart"/>
      <w:r w:rsidR="001E1C11">
        <w:t>Dupuytren’s</w:t>
      </w:r>
      <w:proofErr w:type="spellEnd"/>
      <w:r w:rsidR="001E1C11">
        <w:t xml:space="preserve"> contracture.</w:t>
      </w:r>
    </w:p>
    <w:p w:rsidR="005268E8" w:rsidRDefault="005268E8" w:rsidP="00C5234D">
      <w:pPr>
        <w:pStyle w:val="papers"/>
        <w:spacing w:line="360" w:lineRule="auto"/>
      </w:pPr>
    </w:p>
    <w:p w:rsidR="001E1C11" w:rsidRDefault="00A63A39" w:rsidP="00C5234D">
      <w:pPr>
        <w:pStyle w:val="papers"/>
        <w:spacing w:line="360" w:lineRule="auto"/>
      </w:pPr>
      <w:r>
        <w:t>Information on current exposure to HTV was obtained principally from a question about use in the past week of 39 listed tools and machines</w:t>
      </w:r>
      <w:r w:rsidR="005268E8">
        <w:t xml:space="preserve"> for which dominant axis frequency-weighted vibration accelerations (</w:t>
      </w:r>
      <w:proofErr w:type="spellStart"/>
      <w:r w:rsidR="005268E8" w:rsidRPr="004F22E4">
        <w:rPr>
          <w:i/>
        </w:rPr>
        <w:t>a</w:t>
      </w:r>
      <w:r w:rsidR="005268E8">
        <w:rPr>
          <w:vertAlign w:val="subscript"/>
        </w:rPr>
        <w:t>hw</w:t>
      </w:r>
      <w:proofErr w:type="spellEnd"/>
      <w:r w:rsidR="005268E8">
        <w:t xml:space="preserve"> values) could be assigned from published measurements and other information held by the Institute of Sound and Vibration Research</w:t>
      </w:r>
      <w:r w:rsidR="00C32202">
        <w:t xml:space="preserve"> [10]</w:t>
      </w:r>
      <w:r w:rsidR="005268E8">
        <w:t xml:space="preserve">; </w:t>
      </w:r>
      <w:r w:rsidR="001E1C11">
        <w:t xml:space="preserve">from these and usage times, </w:t>
      </w:r>
      <w:r w:rsidR="005268E8">
        <w:t>average personal daily vibration exposures (</w:t>
      </w:r>
      <w:r w:rsidR="005268E8" w:rsidRPr="004F22E4">
        <w:rPr>
          <w:i/>
        </w:rPr>
        <w:t>A</w:t>
      </w:r>
      <w:r w:rsidR="005268E8" w:rsidRPr="00777F24">
        <w:t>(8)</w:t>
      </w:r>
      <w:r w:rsidR="005268E8">
        <w:t xml:space="preserve">) for the past week </w:t>
      </w:r>
      <w:r w:rsidR="001E1C11">
        <w:t>were</w:t>
      </w:r>
      <w:r w:rsidR="005268E8">
        <w:t xml:space="preserve"> estimated assuming the time dependency in ISO 5349</w:t>
      </w:r>
      <w:r w:rsidR="004F22E4">
        <w:t>-1</w:t>
      </w:r>
      <w:r w:rsidR="005268E8">
        <w:t xml:space="preserve">, </w:t>
      </w:r>
      <w:r w:rsidR="004F22E4">
        <w:t>2001</w:t>
      </w:r>
      <w:r w:rsidR="005268E8">
        <w:t xml:space="preserve"> and summing the partial doses arising from each source</w:t>
      </w:r>
      <w:r w:rsidR="001E1C11">
        <w:t>, as described elsewhere [</w:t>
      </w:r>
      <w:r w:rsidR="00C32202">
        <w:t>7</w:t>
      </w:r>
      <w:r w:rsidR="004D3351">
        <w:t>,8</w:t>
      </w:r>
      <w:r w:rsidR="001E1C11">
        <w:t>]</w:t>
      </w:r>
      <w:r w:rsidR="00FA12C6">
        <w:t xml:space="preserve">. </w:t>
      </w:r>
      <w:r w:rsidR="001E1C11" w:rsidRPr="00F04D49">
        <w:t>At the time of the survey</w:t>
      </w:r>
      <w:r w:rsidR="00F04D49" w:rsidRPr="00F04D49">
        <w:t>,</w:t>
      </w:r>
      <w:r w:rsidR="00F04D49">
        <w:t xml:space="preserve"> the UK’s Health and Safety E</w:t>
      </w:r>
      <w:r w:rsidR="001E1C11">
        <w:t>xecutive had suggested that when exposures exceeded the equivalent of 2.8 ms</w:t>
      </w:r>
      <w:r w:rsidR="001E1C11">
        <w:rPr>
          <w:vertAlign w:val="superscript"/>
        </w:rPr>
        <w:t>-2</w:t>
      </w:r>
      <w:r w:rsidR="001E1C11">
        <w:t xml:space="preserve"> for 8 hours (</w:t>
      </w:r>
      <w:proofErr w:type="gramStart"/>
      <w:r w:rsidR="001E1C11" w:rsidRPr="004F22E4">
        <w:rPr>
          <w:i/>
        </w:rPr>
        <w:t>A</w:t>
      </w:r>
      <w:r w:rsidR="001E1C11" w:rsidRPr="00777F24">
        <w:t>(</w:t>
      </w:r>
      <w:proofErr w:type="gramEnd"/>
      <w:r w:rsidR="001E1C11" w:rsidRPr="00777F24">
        <w:t>8)</w:t>
      </w:r>
      <w:r w:rsidR="001E1C11">
        <w:t xml:space="preserve"> &gt; 2.8 ms</w:t>
      </w:r>
      <w:r w:rsidR="001E1C11">
        <w:rPr>
          <w:vertAlign w:val="superscript"/>
        </w:rPr>
        <w:t>-2</w:t>
      </w:r>
      <w:r w:rsidR="001E1C11">
        <w:t xml:space="preserve"> </w:t>
      </w:r>
      <w:proofErr w:type="spellStart"/>
      <w:r w:rsidR="001E1C11">
        <w:t>r.m.s</w:t>
      </w:r>
      <w:proofErr w:type="spellEnd"/>
      <w:r w:rsidR="001E1C11">
        <w:t>.), control measures and a programme of health surveillance would be required</w:t>
      </w:r>
      <w:r w:rsidR="00F04D49">
        <w:t xml:space="preserve"> (a threshold since lowered to 2.5 ms</w:t>
      </w:r>
      <w:r w:rsidR="00F04D49">
        <w:rPr>
          <w:vertAlign w:val="superscript"/>
        </w:rPr>
        <w:t>-2</w:t>
      </w:r>
      <w:r w:rsidR="001E1C11">
        <w:t xml:space="preserve"> [</w:t>
      </w:r>
      <w:r w:rsidR="00C32202">
        <w:t>11</w:t>
      </w:r>
      <w:r w:rsidR="001E1C11">
        <w:t>]</w:t>
      </w:r>
      <w:r w:rsidR="00F04D49">
        <w:t>)</w:t>
      </w:r>
      <w:r w:rsidR="001E1C11">
        <w:t xml:space="preserve">, </w:t>
      </w:r>
      <w:r w:rsidR="0020614A">
        <w:t>and the present analysis uses</w:t>
      </w:r>
      <w:r w:rsidR="00F04D49">
        <w:t xml:space="preserve"> 2.8 ms</w:t>
      </w:r>
      <w:r w:rsidR="00F04D49">
        <w:rPr>
          <w:vertAlign w:val="superscript"/>
        </w:rPr>
        <w:t>-2</w:t>
      </w:r>
      <w:r w:rsidR="00F04D49">
        <w:t xml:space="preserve"> as </w:t>
      </w:r>
      <w:r w:rsidR="001123EB">
        <w:t>a</w:t>
      </w:r>
      <w:r w:rsidR="001E1C11">
        <w:t xml:space="preserve"> cut-point</w:t>
      </w:r>
      <w:r w:rsidR="008B31E5">
        <w:t xml:space="preserve"> </w:t>
      </w:r>
      <w:r w:rsidR="00F04D49">
        <w:t>in defining</w:t>
      </w:r>
      <w:r w:rsidR="008B31E5">
        <w:t xml:space="preserve"> higher levels of exposure.</w:t>
      </w:r>
      <w:r w:rsidR="001E1C11">
        <w:t xml:space="preserve">  </w:t>
      </w:r>
      <w:r w:rsidR="00EB6ABC">
        <w:t>Open questions on exposure to HTV in previous paid jobs were</w:t>
      </w:r>
      <w:r w:rsidR="0020614A">
        <w:t xml:space="preserve"> also asked, and these were coded by a panel of vibration specialists</w:t>
      </w:r>
      <w:r w:rsidR="00EB6ABC">
        <w:t xml:space="preserve"> to classify subjects’ lifetime exposure (ever vs. never) to relevant occupational tools.</w:t>
      </w:r>
    </w:p>
    <w:p w:rsidR="001E1C11" w:rsidRDefault="001E1C11" w:rsidP="00C5234D">
      <w:pPr>
        <w:pStyle w:val="papers"/>
        <w:spacing w:line="360" w:lineRule="auto"/>
      </w:pPr>
    </w:p>
    <w:p w:rsidR="001E1C11" w:rsidRDefault="001E1C11" w:rsidP="00C5234D">
      <w:pPr>
        <w:pStyle w:val="papers"/>
        <w:spacing w:line="360" w:lineRule="auto"/>
      </w:pPr>
      <w:proofErr w:type="spellStart"/>
      <w:r>
        <w:t>Dupuytren’s</w:t>
      </w:r>
      <w:proofErr w:type="spellEnd"/>
      <w:r>
        <w:t xml:space="preserve"> contracture was assessed by means of a single question: “Is your little finger (or little and ring finger) of either hand permanently bent as shown opposite so that you cannot straighten it, even with the other hand?” The question was accompanied by a line </w:t>
      </w:r>
      <w:r w:rsidR="0053121D">
        <w:t>drawing</w:t>
      </w:r>
      <w:r>
        <w:t xml:space="preserve"> (</w:t>
      </w:r>
      <w:r w:rsidR="00103CC4">
        <w:t>Figure</w:t>
      </w:r>
      <w:r>
        <w:t xml:space="preserve"> 1). </w:t>
      </w:r>
    </w:p>
    <w:p w:rsidR="001E1C11" w:rsidRDefault="001E1C11" w:rsidP="00C5234D">
      <w:pPr>
        <w:pStyle w:val="papers"/>
        <w:spacing w:line="360" w:lineRule="auto"/>
      </w:pPr>
    </w:p>
    <w:p w:rsidR="001E1C11" w:rsidRPr="008B31E5" w:rsidRDefault="001E1C11" w:rsidP="00C5234D">
      <w:pPr>
        <w:pStyle w:val="papers"/>
        <w:spacing w:line="360" w:lineRule="auto"/>
      </w:pPr>
      <w:r>
        <w:t>As exposure to HTV was far more common in men than women, we restrict</w:t>
      </w:r>
      <w:r w:rsidR="00B92882">
        <w:t>ed</w:t>
      </w:r>
      <w:r>
        <w:t xml:space="preserve"> analysis to male respondents with non-missing information on the above variables</w:t>
      </w:r>
      <w:r w:rsidR="008B31E5">
        <w:t>,</w:t>
      </w:r>
      <w:r>
        <w:t xml:space="preserve"> and who </w:t>
      </w:r>
      <w:r w:rsidR="008B31E5">
        <w:t>held a paid job</w:t>
      </w:r>
      <w:r>
        <w:t xml:space="preserve"> and</w:t>
      </w:r>
      <w:r w:rsidR="008B31E5">
        <w:t xml:space="preserve"> were</w:t>
      </w:r>
      <w:r>
        <w:t xml:space="preserve"> at work in the week before the questionnaire was completed. Associations with </w:t>
      </w:r>
      <w:proofErr w:type="spellStart"/>
      <w:r>
        <w:t>Dupuytren’s</w:t>
      </w:r>
      <w:proofErr w:type="spellEnd"/>
      <w:r>
        <w:t xml:space="preserve"> contracture were assessed </w:t>
      </w:r>
      <w:r w:rsidRPr="00AE08F4">
        <w:t xml:space="preserve">by </w:t>
      </w:r>
      <w:r w:rsidR="008B31E5" w:rsidRPr="00AE08F4">
        <w:t>Poisson regression</w:t>
      </w:r>
      <w:r w:rsidR="00254173">
        <w:t xml:space="preserve"> (using robust standard errors)</w:t>
      </w:r>
      <w:r w:rsidRPr="00AE08F4">
        <w:t xml:space="preserve">, </w:t>
      </w:r>
      <w:r w:rsidR="008B31E5" w:rsidRPr="00AE08F4">
        <w:t xml:space="preserve">according to </w:t>
      </w:r>
      <w:r w:rsidRPr="00AE08F4">
        <w:t>any releva</w:t>
      </w:r>
      <w:r w:rsidR="0020614A" w:rsidRPr="00AE08F4">
        <w:t>nt occupational exposure to HTV</w:t>
      </w:r>
      <w:r w:rsidRPr="00AE08F4">
        <w:t xml:space="preserve"> and according to whether exposure</w:t>
      </w:r>
      <w:r w:rsidR="008B31E5" w:rsidRPr="00AE08F4">
        <w:t xml:space="preserve">s to HTV had occurred in the past week or not, and were above or below </w:t>
      </w:r>
      <w:r w:rsidR="0047648B" w:rsidRPr="00AE08F4">
        <w:t xml:space="preserve">HSE’s action threshold </w:t>
      </w:r>
      <w:r w:rsidR="00E3182F" w:rsidRPr="00AE08F4">
        <w:t>(</w:t>
      </w:r>
      <w:r w:rsidR="0047648B" w:rsidRPr="00AE08F4">
        <w:t>2.8 m</w:t>
      </w:r>
      <w:r w:rsidR="008B31E5" w:rsidRPr="00AE08F4">
        <w:t>s</w:t>
      </w:r>
      <w:r w:rsidR="0047648B" w:rsidRPr="00AE08F4">
        <w:rPr>
          <w:vertAlign w:val="superscript"/>
        </w:rPr>
        <w:t>-2</w:t>
      </w:r>
      <w:r w:rsidR="00E3182F" w:rsidRPr="00AE08F4">
        <w:t>)</w:t>
      </w:r>
      <w:r w:rsidR="008B31E5" w:rsidRPr="00AE08F4">
        <w:t>. Models w</w:t>
      </w:r>
      <w:r w:rsidR="00E3182F" w:rsidRPr="00AE08F4">
        <w:t xml:space="preserve">ere adjusted initially for age in </w:t>
      </w:r>
      <w:r w:rsidR="00AE08F4">
        <w:t>three</w:t>
      </w:r>
      <w:r w:rsidR="00E3182F" w:rsidRPr="00AE08F4">
        <w:t xml:space="preserve"> bands</w:t>
      </w:r>
      <w:r w:rsidR="00AE08F4">
        <w:t xml:space="preserve"> (16-44, 45-54 and 55-65</w:t>
      </w:r>
      <w:r w:rsidR="008B31E5" w:rsidRPr="00AE08F4">
        <w:t xml:space="preserve"> </w:t>
      </w:r>
      <w:r w:rsidR="00AE08F4">
        <w:t>years)</w:t>
      </w:r>
      <w:r w:rsidR="00AE08F4" w:rsidRPr="00AE08F4">
        <w:t xml:space="preserve"> </w:t>
      </w:r>
      <w:r w:rsidR="008B31E5" w:rsidRPr="00AE08F4">
        <w:t>an</w:t>
      </w:r>
      <w:r w:rsidR="006E53E8" w:rsidRPr="00AE08F4">
        <w:t xml:space="preserve">d then </w:t>
      </w:r>
      <w:r w:rsidR="002E3E2A">
        <w:t xml:space="preserve">also </w:t>
      </w:r>
      <w:r w:rsidR="006E53E8" w:rsidRPr="00AE08F4">
        <w:t xml:space="preserve">for the other variables – i.e. </w:t>
      </w:r>
      <w:r w:rsidR="008B31E5" w:rsidRPr="00AE08F4">
        <w:t>smoking status</w:t>
      </w:r>
      <w:r w:rsidR="0020614A" w:rsidRPr="00AE08F4">
        <w:t xml:space="preserve"> (ever vs. never)</w:t>
      </w:r>
      <w:r w:rsidR="008B31E5" w:rsidRPr="00AE08F4">
        <w:t xml:space="preserve">, </w:t>
      </w:r>
      <w:r w:rsidR="00B92882" w:rsidRPr="00AE08F4">
        <w:t xml:space="preserve">social class, </w:t>
      </w:r>
      <w:r w:rsidR="008B31E5" w:rsidRPr="00AE08F4">
        <w:t>lifting weights</w:t>
      </w:r>
      <w:r w:rsidR="0020614A" w:rsidRPr="00AE08F4">
        <w:t xml:space="preserve"> &gt;56 lbs</w:t>
      </w:r>
      <w:r w:rsidR="008B31E5" w:rsidRPr="00AE08F4">
        <w:t xml:space="preserve">, digging/shovelling, </w:t>
      </w:r>
      <w:r w:rsidR="006E53E8" w:rsidRPr="00AE08F4">
        <w:t xml:space="preserve">and </w:t>
      </w:r>
      <w:r w:rsidR="008B31E5" w:rsidRPr="00AE08F4">
        <w:t>use of a computer keyboard</w:t>
      </w:r>
      <w:r w:rsidR="0020614A" w:rsidRPr="00AE08F4">
        <w:t xml:space="preserve"> for &gt;4 hours/day</w:t>
      </w:r>
      <w:r w:rsidR="008B31E5" w:rsidRPr="00AE08F4">
        <w:t>.</w:t>
      </w:r>
      <w:r w:rsidR="006E53E8" w:rsidRPr="00AE08F4">
        <w:t xml:space="preserve"> (The latter was included to test the specificity</w:t>
      </w:r>
      <w:r w:rsidR="00E3182F" w:rsidRPr="00AE08F4">
        <w:t xml:space="preserve"> of </w:t>
      </w:r>
      <w:r w:rsidR="0020614A" w:rsidRPr="00AE08F4">
        <w:t>association</w:t>
      </w:r>
      <w:r w:rsidR="00E3182F" w:rsidRPr="00AE08F4">
        <w:t xml:space="preserve"> with </w:t>
      </w:r>
      <w:r w:rsidR="00B92882" w:rsidRPr="00AE08F4">
        <w:t>physical</w:t>
      </w:r>
      <w:r w:rsidR="00E3182F" w:rsidRPr="00AE08F4">
        <w:t xml:space="preserve"> activity</w:t>
      </w:r>
      <w:r w:rsidR="006E53E8" w:rsidRPr="00AE08F4">
        <w:t xml:space="preserve"> and as a marker of potential reporting bias – specifically, the propensity to over-report work </w:t>
      </w:r>
      <w:r w:rsidR="006E53E8" w:rsidRPr="00AE08F4">
        <w:lastRenderedPageBreak/>
        <w:t>hand activities in general when limited by fixed flexion deformity of a digit.)</w:t>
      </w:r>
      <w:r w:rsidR="00A42241" w:rsidRPr="00AE08F4">
        <w:t xml:space="preserve"> Findings were expressed as </w:t>
      </w:r>
      <w:r w:rsidR="00254173">
        <w:t>prevalence ratios</w:t>
      </w:r>
      <w:r w:rsidR="00A42241" w:rsidRPr="00AE08F4">
        <w:t xml:space="preserve"> (</w:t>
      </w:r>
      <w:r w:rsidR="00254173">
        <w:t>P</w:t>
      </w:r>
      <w:r w:rsidR="00254173" w:rsidRPr="00AE08F4">
        <w:t>R</w:t>
      </w:r>
      <w:r w:rsidR="00681568">
        <w:t>s</w:t>
      </w:r>
      <w:r w:rsidR="00A42241" w:rsidRPr="00AE08F4">
        <w:t xml:space="preserve">) with associated 95% confidence intervals (95%CI). All analyses were performed in Stata (version </w:t>
      </w:r>
      <w:r w:rsidR="005E618B">
        <w:t>13</w:t>
      </w:r>
      <w:r w:rsidR="00A42241" w:rsidRPr="00AE08F4">
        <w:t>).</w:t>
      </w:r>
    </w:p>
    <w:p w:rsidR="00FA12C6" w:rsidRDefault="00FA12C6" w:rsidP="00C5234D">
      <w:pPr>
        <w:pStyle w:val="papers"/>
        <w:spacing w:line="360" w:lineRule="auto"/>
      </w:pPr>
    </w:p>
    <w:p w:rsidR="00FA12C6" w:rsidRPr="00EB6ABC" w:rsidRDefault="00FA12C6" w:rsidP="00EB6ABC">
      <w:pPr>
        <w:rPr>
          <w:rFonts w:ascii="Times New Roman" w:eastAsia="Times New Roman" w:hAnsi="Times New Roman" w:cs="Times New Roman"/>
          <w:b/>
          <w:sz w:val="24"/>
          <w:szCs w:val="20"/>
          <w:lang w:eastAsia="en-GB"/>
        </w:rPr>
      </w:pPr>
      <w:r w:rsidRPr="00EB6ABC">
        <w:rPr>
          <w:rFonts w:ascii="Times New Roman" w:hAnsi="Times New Roman" w:cs="Times New Roman"/>
          <w:b/>
        </w:rPr>
        <w:t>Results</w:t>
      </w:r>
    </w:p>
    <w:p w:rsidR="00E3182F" w:rsidRDefault="00FA12C6" w:rsidP="0047648B">
      <w:pPr>
        <w:jc w:val="both"/>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In all,</w:t>
      </w:r>
      <w:r w:rsidRPr="00FA12C6">
        <w:rPr>
          <w:rFonts w:ascii="Times New Roman" w:eastAsia="Times New Roman" w:hAnsi="Times New Roman" w:cs="Times New Roman"/>
          <w:sz w:val="24"/>
          <w:szCs w:val="20"/>
          <w:lang w:eastAsia="en-GB"/>
        </w:rPr>
        <w:t xml:space="preserve"> 22,194 </w:t>
      </w:r>
      <w:r w:rsidR="00951BF9">
        <w:rPr>
          <w:rFonts w:ascii="Times New Roman" w:eastAsia="Times New Roman" w:hAnsi="Times New Roman" w:cs="Times New Roman"/>
          <w:sz w:val="24"/>
          <w:szCs w:val="20"/>
          <w:lang w:eastAsia="en-GB"/>
        </w:rPr>
        <w:t>subjects</w:t>
      </w:r>
      <w:r>
        <w:rPr>
          <w:rFonts w:ascii="Times New Roman" w:eastAsia="Times New Roman" w:hAnsi="Times New Roman" w:cs="Times New Roman"/>
          <w:sz w:val="24"/>
          <w:szCs w:val="20"/>
          <w:lang w:eastAsia="en-GB"/>
        </w:rPr>
        <w:t xml:space="preserve"> </w:t>
      </w:r>
      <w:r w:rsidRPr="00FA12C6">
        <w:rPr>
          <w:rFonts w:ascii="Times New Roman" w:eastAsia="Times New Roman" w:hAnsi="Times New Roman" w:cs="Times New Roman"/>
          <w:sz w:val="24"/>
          <w:szCs w:val="20"/>
          <w:lang w:eastAsia="en-GB"/>
        </w:rPr>
        <w:t>were mailed</w:t>
      </w:r>
      <w:r>
        <w:rPr>
          <w:rFonts w:ascii="Times New Roman" w:eastAsia="Times New Roman" w:hAnsi="Times New Roman" w:cs="Times New Roman"/>
          <w:sz w:val="24"/>
          <w:szCs w:val="20"/>
          <w:lang w:eastAsia="en-GB"/>
        </w:rPr>
        <w:t xml:space="preserve"> a</w:t>
      </w:r>
      <w:r w:rsidR="00951BF9">
        <w:rPr>
          <w:rFonts w:ascii="Times New Roman" w:eastAsia="Times New Roman" w:hAnsi="Times New Roman" w:cs="Times New Roman"/>
          <w:sz w:val="24"/>
          <w:szCs w:val="20"/>
          <w:lang w:eastAsia="en-GB"/>
        </w:rPr>
        <w:t xml:space="preserve"> questionnaire </w:t>
      </w:r>
      <w:r w:rsidR="0047648B">
        <w:rPr>
          <w:rFonts w:ascii="Times New Roman" w:eastAsia="Times New Roman" w:hAnsi="Times New Roman" w:cs="Times New Roman"/>
          <w:sz w:val="24"/>
          <w:szCs w:val="20"/>
          <w:lang w:eastAsia="en-GB"/>
        </w:rPr>
        <w:t>and</w:t>
      </w:r>
      <w:r w:rsidR="00951BF9">
        <w:rPr>
          <w:rFonts w:ascii="Times New Roman" w:eastAsia="Times New Roman" w:hAnsi="Times New Roman" w:cs="Times New Roman"/>
          <w:sz w:val="24"/>
          <w:szCs w:val="20"/>
          <w:lang w:eastAsia="en-GB"/>
        </w:rPr>
        <w:t xml:space="preserve"> </w:t>
      </w:r>
      <w:r w:rsidR="00951BF9" w:rsidRPr="00FA12C6">
        <w:rPr>
          <w:rFonts w:ascii="Times New Roman" w:eastAsia="Times New Roman" w:hAnsi="Times New Roman" w:cs="Times New Roman"/>
          <w:sz w:val="24"/>
          <w:szCs w:val="20"/>
          <w:lang w:eastAsia="en-GB"/>
        </w:rPr>
        <w:t>12,907</w:t>
      </w:r>
      <w:r w:rsidR="00951BF9">
        <w:rPr>
          <w:rFonts w:ascii="Times New Roman" w:eastAsia="Times New Roman" w:hAnsi="Times New Roman" w:cs="Times New Roman"/>
          <w:sz w:val="24"/>
          <w:szCs w:val="20"/>
          <w:lang w:eastAsia="en-GB"/>
        </w:rPr>
        <w:t xml:space="preserve"> (</w:t>
      </w:r>
      <w:r w:rsidR="00951BF9" w:rsidRPr="00FA12C6">
        <w:rPr>
          <w:rFonts w:ascii="Times New Roman" w:eastAsia="Times New Roman" w:hAnsi="Times New Roman" w:cs="Times New Roman"/>
          <w:sz w:val="24"/>
          <w:szCs w:val="20"/>
          <w:lang w:eastAsia="en-GB"/>
        </w:rPr>
        <w:t>58%</w:t>
      </w:r>
      <w:r w:rsidR="00951BF9">
        <w:rPr>
          <w:rFonts w:ascii="Times New Roman" w:eastAsia="Times New Roman" w:hAnsi="Times New Roman" w:cs="Times New Roman"/>
          <w:sz w:val="24"/>
          <w:szCs w:val="20"/>
          <w:lang w:eastAsia="en-GB"/>
        </w:rPr>
        <w:t xml:space="preserve"> or </w:t>
      </w:r>
      <w:r w:rsidR="00951BF9" w:rsidRPr="00FA12C6">
        <w:rPr>
          <w:rFonts w:ascii="Times New Roman" w:eastAsia="Times New Roman" w:hAnsi="Times New Roman" w:cs="Times New Roman"/>
          <w:sz w:val="24"/>
          <w:szCs w:val="20"/>
          <w:lang w:eastAsia="en-GB"/>
        </w:rPr>
        <w:t xml:space="preserve">61% </w:t>
      </w:r>
      <w:r w:rsidR="00951BF9">
        <w:rPr>
          <w:rFonts w:ascii="Times New Roman" w:eastAsia="Times New Roman" w:hAnsi="Times New Roman" w:cs="Times New Roman"/>
          <w:sz w:val="24"/>
          <w:szCs w:val="20"/>
          <w:lang w:eastAsia="en-GB"/>
        </w:rPr>
        <w:t>of</w:t>
      </w:r>
      <w:r w:rsidR="00951BF9" w:rsidRPr="00FA12C6">
        <w:rPr>
          <w:rFonts w:ascii="Times New Roman" w:eastAsia="Times New Roman" w:hAnsi="Times New Roman" w:cs="Times New Roman"/>
          <w:sz w:val="24"/>
          <w:szCs w:val="20"/>
          <w:lang w:eastAsia="en-GB"/>
        </w:rPr>
        <w:t xml:space="preserve"> those </w:t>
      </w:r>
      <w:r w:rsidR="00951BF9">
        <w:rPr>
          <w:rFonts w:ascii="Times New Roman" w:eastAsia="Times New Roman" w:hAnsi="Times New Roman" w:cs="Times New Roman"/>
          <w:sz w:val="24"/>
          <w:szCs w:val="20"/>
          <w:lang w:eastAsia="en-GB"/>
        </w:rPr>
        <w:t xml:space="preserve">with valid </w:t>
      </w:r>
      <w:r w:rsidR="0053121D">
        <w:rPr>
          <w:rFonts w:ascii="Times New Roman" w:eastAsia="Times New Roman" w:hAnsi="Times New Roman" w:cs="Times New Roman"/>
          <w:sz w:val="24"/>
          <w:szCs w:val="20"/>
          <w:lang w:eastAsia="en-GB"/>
        </w:rPr>
        <w:t>postal</w:t>
      </w:r>
      <w:r w:rsidR="00951BF9">
        <w:rPr>
          <w:rFonts w:ascii="Times New Roman" w:eastAsia="Times New Roman" w:hAnsi="Times New Roman" w:cs="Times New Roman"/>
          <w:sz w:val="24"/>
          <w:szCs w:val="20"/>
          <w:lang w:eastAsia="en-GB"/>
        </w:rPr>
        <w:t xml:space="preserve"> addresses) </w:t>
      </w:r>
      <w:r w:rsidR="0047648B">
        <w:rPr>
          <w:rFonts w:ascii="Times New Roman" w:eastAsia="Times New Roman" w:hAnsi="Times New Roman" w:cs="Times New Roman"/>
          <w:sz w:val="24"/>
          <w:szCs w:val="20"/>
          <w:lang w:eastAsia="en-GB"/>
        </w:rPr>
        <w:t>returned</w:t>
      </w:r>
      <w:r w:rsidR="00951BF9">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u</w:t>
      </w:r>
      <w:r w:rsidRPr="00FA12C6">
        <w:rPr>
          <w:rFonts w:ascii="Times New Roman" w:eastAsia="Times New Roman" w:hAnsi="Times New Roman" w:cs="Times New Roman"/>
          <w:sz w:val="24"/>
          <w:szCs w:val="20"/>
          <w:lang w:eastAsia="en-GB"/>
        </w:rPr>
        <w:t>sable response</w:t>
      </w:r>
      <w:r w:rsidR="0047648B">
        <w:rPr>
          <w:rFonts w:ascii="Times New Roman" w:eastAsia="Times New Roman" w:hAnsi="Times New Roman" w:cs="Times New Roman"/>
          <w:sz w:val="24"/>
          <w:szCs w:val="20"/>
          <w:lang w:eastAsia="en-GB"/>
        </w:rPr>
        <w:t xml:space="preserve">s. These included 6,913 men; but 1,423 of the male respondents were unemployed, 126 </w:t>
      </w:r>
      <w:r w:rsidR="0053121D">
        <w:rPr>
          <w:rFonts w:ascii="Times New Roman" w:eastAsia="Times New Roman" w:hAnsi="Times New Roman" w:cs="Times New Roman"/>
          <w:sz w:val="24"/>
          <w:szCs w:val="20"/>
          <w:lang w:eastAsia="en-GB"/>
        </w:rPr>
        <w:t>had been</w:t>
      </w:r>
      <w:r w:rsidR="0047648B">
        <w:rPr>
          <w:rFonts w:ascii="Times New Roman" w:eastAsia="Times New Roman" w:hAnsi="Times New Roman" w:cs="Times New Roman"/>
          <w:sz w:val="24"/>
          <w:szCs w:val="20"/>
          <w:lang w:eastAsia="en-GB"/>
        </w:rPr>
        <w:t xml:space="preserve"> absent from</w:t>
      </w:r>
      <w:r w:rsidR="0047648B" w:rsidRPr="0047648B">
        <w:rPr>
          <w:rFonts w:ascii="Times New Roman" w:eastAsia="Times New Roman" w:hAnsi="Times New Roman" w:cs="Times New Roman"/>
          <w:sz w:val="24"/>
          <w:szCs w:val="20"/>
          <w:lang w:eastAsia="en-GB"/>
        </w:rPr>
        <w:t xml:space="preserve"> </w:t>
      </w:r>
      <w:r w:rsidR="0047648B">
        <w:rPr>
          <w:rFonts w:ascii="Times New Roman" w:eastAsia="Times New Roman" w:hAnsi="Times New Roman" w:cs="Times New Roman"/>
          <w:sz w:val="24"/>
          <w:szCs w:val="20"/>
          <w:lang w:eastAsia="en-GB"/>
        </w:rPr>
        <w:t>work</w:t>
      </w:r>
      <w:r w:rsidR="0047648B" w:rsidRPr="00951BF9">
        <w:rPr>
          <w:rFonts w:ascii="Times New Roman" w:eastAsia="Times New Roman" w:hAnsi="Times New Roman" w:cs="Times New Roman"/>
          <w:sz w:val="24"/>
          <w:szCs w:val="20"/>
          <w:lang w:eastAsia="en-GB"/>
        </w:rPr>
        <w:t xml:space="preserve"> </w:t>
      </w:r>
      <w:r w:rsidR="0047648B" w:rsidRPr="00FA12C6">
        <w:rPr>
          <w:rFonts w:ascii="Times New Roman" w:eastAsia="Times New Roman" w:hAnsi="Times New Roman" w:cs="Times New Roman"/>
          <w:sz w:val="24"/>
          <w:szCs w:val="20"/>
          <w:lang w:eastAsia="en-GB"/>
        </w:rPr>
        <w:t>in the previous week</w:t>
      </w:r>
      <w:r w:rsidR="0047648B">
        <w:rPr>
          <w:rFonts w:ascii="Times New Roman" w:eastAsia="Times New Roman" w:hAnsi="Times New Roman" w:cs="Times New Roman"/>
          <w:sz w:val="24"/>
          <w:szCs w:val="20"/>
          <w:lang w:eastAsia="en-GB"/>
        </w:rPr>
        <w:t xml:space="preserve">, and a further </w:t>
      </w:r>
      <w:r w:rsidR="00AE08F4">
        <w:rPr>
          <w:rFonts w:ascii="Times New Roman" w:eastAsia="Times New Roman" w:hAnsi="Times New Roman" w:cs="Times New Roman"/>
          <w:sz w:val="24"/>
          <w:szCs w:val="20"/>
          <w:lang w:eastAsia="en-GB"/>
        </w:rPr>
        <w:t>395</w:t>
      </w:r>
      <w:r w:rsidR="0047648B">
        <w:rPr>
          <w:rFonts w:ascii="Times New Roman" w:eastAsia="Times New Roman" w:hAnsi="Times New Roman" w:cs="Times New Roman"/>
          <w:sz w:val="24"/>
          <w:szCs w:val="20"/>
          <w:lang w:eastAsia="en-GB"/>
        </w:rPr>
        <w:t xml:space="preserve"> failed to provide complete information on the variables </w:t>
      </w:r>
      <w:r w:rsidR="00977696">
        <w:rPr>
          <w:rFonts w:ascii="Times New Roman" w:eastAsia="Times New Roman" w:hAnsi="Times New Roman" w:cs="Times New Roman"/>
          <w:sz w:val="24"/>
          <w:szCs w:val="20"/>
          <w:lang w:eastAsia="en-GB"/>
        </w:rPr>
        <w:t xml:space="preserve">to be analysed </w:t>
      </w:r>
      <w:r w:rsidR="00AE08F4">
        <w:rPr>
          <w:rFonts w:ascii="Times New Roman" w:eastAsia="Times New Roman" w:hAnsi="Times New Roman" w:cs="Times New Roman"/>
          <w:sz w:val="24"/>
          <w:szCs w:val="20"/>
          <w:lang w:eastAsia="en-GB"/>
        </w:rPr>
        <w:t>(with missing data on</w:t>
      </w:r>
      <w:r w:rsidR="00AE08F4" w:rsidRPr="00AE08F4">
        <w:rPr>
          <w:rFonts w:ascii="Times New Roman" w:eastAsia="Times New Roman" w:hAnsi="Times New Roman" w:cs="Times New Roman"/>
          <w:sz w:val="24"/>
          <w:szCs w:val="20"/>
          <w:lang w:eastAsia="en-GB"/>
        </w:rPr>
        <w:t xml:space="preserve"> </w:t>
      </w:r>
      <w:r w:rsidR="00AE08F4">
        <w:rPr>
          <w:rFonts w:ascii="Times New Roman" w:eastAsia="Times New Roman" w:hAnsi="Times New Roman" w:cs="Times New Roman"/>
          <w:sz w:val="24"/>
          <w:szCs w:val="20"/>
          <w:lang w:eastAsia="en-GB"/>
        </w:rPr>
        <w:t xml:space="preserve">vibration exposure (N=204), social class (132), </w:t>
      </w:r>
      <w:proofErr w:type="spellStart"/>
      <w:r w:rsidR="00977696">
        <w:rPr>
          <w:rFonts w:ascii="Times New Roman" w:eastAsia="Times New Roman" w:hAnsi="Times New Roman" w:cs="Times New Roman"/>
          <w:sz w:val="24"/>
          <w:szCs w:val="20"/>
          <w:lang w:eastAsia="en-GB"/>
        </w:rPr>
        <w:t>Dupuytren’s</w:t>
      </w:r>
      <w:proofErr w:type="spellEnd"/>
      <w:r w:rsidR="00977696">
        <w:rPr>
          <w:rFonts w:ascii="Times New Roman" w:eastAsia="Times New Roman" w:hAnsi="Times New Roman" w:cs="Times New Roman"/>
          <w:sz w:val="24"/>
          <w:szCs w:val="20"/>
          <w:lang w:eastAsia="en-GB"/>
        </w:rPr>
        <w:t xml:space="preserve"> contracture </w:t>
      </w:r>
      <w:r w:rsidR="00AE08F4">
        <w:rPr>
          <w:rFonts w:ascii="Times New Roman" w:eastAsia="Times New Roman" w:hAnsi="Times New Roman" w:cs="Times New Roman"/>
          <w:sz w:val="24"/>
          <w:szCs w:val="20"/>
          <w:lang w:eastAsia="en-GB"/>
        </w:rPr>
        <w:t>(55) and age (4))</w:t>
      </w:r>
      <w:r w:rsidR="0047648B">
        <w:rPr>
          <w:rFonts w:ascii="Times New Roman" w:eastAsia="Times New Roman" w:hAnsi="Times New Roman" w:cs="Times New Roman"/>
          <w:sz w:val="24"/>
          <w:szCs w:val="20"/>
          <w:lang w:eastAsia="en-GB"/>
        </w:rPr>
        <w:t xml:space="preserve">. Thus, the final sample comprised </w:t>
      </w:r>
      <w:r w:rsidR="00AE08F4">
        <w:rPr>
          <w:rFonts w:ascii="Times New Roman" w:eastAsia="Times New Roman" w:hAnsi="Times New Roman" w:cs="Times New Roman"/>
          <w:sz w:val="24"/>
          <w:szCs w:val="20"/>
          <w:lang w:eastAsia="en-GB"/>
        </w:rPr>
        <w:t>4,969</w:t>
      </w:r>
      <w:r w:rsidR="0047648B">
        <w:rPr>
          <w:rFonts w:ascii="Times New Roman" w:eastAsia="Times New Roman" w:hAnsi="Times New Roman" w:cs="Times New Roman"/>
          <w:sz w:val="24"/>
          <w:szCs w:val="20"/>
          <w:lang w:eastAsia="en-GB"/>
        </w:rPr>
        <w:t xml:space="preserve"> employed or self-employed men</w:t>
      </w:r>
      <w:r w:rsidR="00E3182F">
        <w:rPr>
          <w:rFonts w:ascii="Times New Roman" w:eastAsia="Times New Roman" w:hAnsi="Times New Roman" w:cs="Times New Roman"/>
          <w:sz w:val="24"/>
          <w:szCs w:val="20"/>
          <w:lang w:eastAsia="en-GB"/>
        </w:rPr>
        <w:t xml:space="preserve"> (95% of respondents in work over the relevant period). </w:t>
      </w:r>
    </w:p>
    <w:p w:rsidR="00E3182F" w:rsidRDefault="00E3182F" w:rsidP="0047648B">
      <w:pPr>
        <w:jc w:val="both"/>
        <w:rPr>
          <w:rFonts w:ascii="Times New Roman" w:eastAsia="Times New Roman" w:hAnsi="Times New Roman" w:cs="Times New Roman"/>
          <w:sz w:val="24"/>
          <w:szCs w:val="20"/>
          <w:lang w:eastAsia="en-GB"/>
        </w:rPr>
      </w:pPr>
    </w:p>
    <w:p w:rsidR="00A42241" w:rsidRDefault="00E3182F" w:rsidP="0047648B">
      <w:pPr>
        <w:jc w:val="both"/>
        <w:rPr>
          <w:rFonts w:ascii="Times New Roman" w:hAnsi="Times New Roman" w:cs="Times New Roman"/>
          <w:sz w:val="24"/>
          <w:szCs w:val="24"/>
        </w:rPr>
      </w:pPr>
      <w:proofErr w:type="spellStart"/>
      <w:r w:rsidRPr="00AE08F4">
        <w:rPr>
          <w:rFonts w:ascii="Times New Roman" w:eastAsia="Times New Roman" w:hAnsi="Times New Roman" w:cs="Times New Roman"/>
          <w:sz w:val="24"/>
          <w:szCs w:val="20"/>
          <w:lang w:eastAsia="en-GB"/>
        </w:rPr>
        <w:t>Dupuytren’</w:t>
      </w:r>
      <w:r w:rsidR="00AE08F4" w:rsidRPr="00AE08F4">
        <w:rPr>
          <w:rFonts w:ascii="Times New Roman" w:eastAsia="Times New Roman" w:hAnsi="Times New Roman" w:cs="Times New Roman"/>
          <w:sz w:val="24"/>
          <w:szCs w:val="20"/>
          <w:lang w:eastAsia="en-GB"/>
        </w:rPr>
        <w:t>s</w:t>
      </w:r>
      <w:proofErr w:type="spellEnd"/>
      <w:r w:rsidR="00AE08F4" w:rsidRPr="00AE08F4">
        <w:rPr>
          <w:rFonts w:ascii="Times New Roman" w:eastAsia="Times New Roman" w:hAnsi="Times New Roman" w:cs="Times New Roman"/>
          <w:sz w:val="24"/>
          <w:szCs w:val="20"/>
          <w:lang w:eastAsia="en-GB"/>
        </w:rPr>
        <w:t xml:space="preserve"> contracture was reported by 72</w:t>
      </w:r>
      <w:r w:rsidRPr="00AE08F4">
        <w:rPr>
          <w:rFonts w:ascii="Times New Roman" w:eastAsia="Times New Roman" w:hAnsi="Times New Roman" w:cs="Times New Roman"/>
          <w:sz w:val="24"/>
          <w:szCs w:val="20"/>
          <w:lang w:eastAsia="en-GB"/>
        </w:rPr>
        <w:t xml:space="preserve"> (1.</w:t>
      </w:r>
      <w:r w:rsidR="00AE08F4" w:rsidRPr="00AE08F4">
        <w:rPr>
          <w:rFonts w:ascii="Times New Roman" w:eastAsia="Times New Roman" w:hAnsi="Times New Roman" w:cs="Times New Roman"/>
          <w:sz w:val="24"/>
          <w:szCs w:val="20"/>
          <w:lang w:eastAsia="en-GB"/>
        </w:rPr>
        <w:t>4</w:t>
      </w:r>
      <w:r w:rsidRPr="00AE08F4">
        <w:rPr>
          <w:rFonts w:ascii="Times New Roman" w:eastAsia="Times New Roman" w:hAnsi="Times New Roman" w:cs="Times New Roman"/>
          <w:sz w:val="24"/>
          <w:szCs w:val="20"/>
          <w:lang w:eastAsia="en-GB"/>
        </w:rPr>
        <w:t>%) of these men. In all, 2,</w:t>
      </w:r>
      <w:r w:rsidR="00AE08F4" w:rsidRPr="00AE08F4">
        <w:rPr>
          <w:rFonts w:ascii="Times New Roman" w:eastAsia="Times New Roman" w:hAnsi="Times New Roman" w:cs="Times New Roman"/>
          <w:sz w:val="24"/>
          <w:szCs w:val="20"/>
          <w:lang w:eastAsia="en-GB"/>
        </w:rPr>
        <w:t>287</w:t>
      </w:r>
      <w:r w:rsidRPr="00AE08F4">
        <w:rPr>
          <w:rFonts w:ascii="Times New Roman" w:eastAsia="Times New Roman" w:hAnsi="Times New Roman" w:cs="Times New Roman"/>
          <w:sz w:val="24"/>
          <w:szCs w:val="20"/>
          <w:lang w:eastAsia="en-GB"/>
        </w:rPr>
        <w:t xml:space="preserve"> </w:t>
      </w:r>
      <w:r w:rsidR="00B961BF" w:rsidRPr="00AE08F4">
        <w:rPr>
          <w:rFonts w:ascii="Times New Roman" w:eastAsia="Times New Roman" w:hAnsi="Times New Roman" w:cs="Times New Roman"/>
          <w:sz w:val="24"/>
          <w:szCs w:val="20"/>
          <w:lang w:eastAsia="en-GB"/>
        </w:rPr>
        <w:t xml:space="preserve">men </w:t>
      </w:r>
      <w:r w:rsidRPr="00AE08F4">
        <w:rPr>
          <w:rFonts w:ascii="Times New Roman" w:eastAsia="Times New Roman" w:hAnsi="Times New Roman" w:cs="Times New Roman"/>
          <w:sz w:val="24"/>
          <w:szCs w:val="20"/>
          <w:lang w:eastAsia="en-GB"/>
        </w:rPr>
        <w:t xml:space="preserve">(46% of the sample) reported occupational exposure to one or more of the vibratory tools, including </w:t>
      </w:r>
      <w:r w:rsidRPr="00AE08F4">
        <w:rPr>
          <w:rFonts w:ascii="Times New Roman" w:eastAsia="Times New Roman" w:hAnsi="Times New Roman" w:cs="Times New Roman"/>
          <w:sz w:val="24"/>
          <w:szCs w:val="24"/>
          <w:lang w:eastAsia="en-GB"/>
        </w:rPr>
        <w:t>4</w:t>
      </w:r>
      <w:r w:rsidR="00AE08F4" w:rsidRPr="00AE08F4">
        <w:rPr>
          <w:rFonts w:ascii="Times New Roman" w:eastAsia="Times New Roman" w:hAnsi="Times New Roman" w:cs="Times New Roman"/>
          <w:sz w:val="24"/>
          <w:szCs w:val="24"/>
          <w:lang w:eastAsia="en-GB"/>
        </w:rPr>
        <w:t>09</w:t>
      </w:r>
      <w:r w:rsidRPr="00AE08F4">
        <w:rPr>
          <w:rFonts w:ascii="Times New Roman" w:eastAsia="Times New Roman" w:hAnsi="Times New Roman" w:cs="Times New Roman"/>
          <w:sz w:val="24"/>
          <w:szCs w:val="24"/>
          <w:lang w:eastAsia="en-GB"/>
        </w:rPr>
        <w:t xml:space="preserve"> men (8.2%) whose </w:t>
      </w:r>
      <w:proofErr w:type="gramStart"/>
      <w:r w:rsidRPr="004F22E4">
        <w:rPr>
          <w:rFonts w:ascii="Times New Roman" w:eastAsia="Times New Roman" w:hAnsi="Times New Roman" w:cs="Times New Roman"/>
          <w:i/>
          <w:sz w:val="24"/>
          <w:szCs w:val="24"/>
          <w:lang w:eastAsia="en-GB"/>
        </w:rPr>
        <w:t>A</w:t>
      </w:r>
      <w:r w:rsidRPr="00777F24">
        <w:rPr>
          <w:rFonts w:ascii="Times New Roman" w:eastAsia="Times New Roman" w:hAnsi="Times New Roman" w:cs="Times New Roman"/>
          <w:sz w:val="24"/>
          <w:szCs w:val="24"/>
          <w:lang w:eastAsia="en-GB"/>
        </w:rPr>
        <w:t>(</w:t>
      </w:r>
      <w:proofErr w:type="gramEnd"/>
      <w:r w:rsidRPr="00777F24">
        <w:rPr>
          <w:rFonts w:ascii="Times New Roman" w:eastAsia="Times New Roman" w:hAnsi="Times New Roman" w:cs="Times New Roman"/>
          <w:sz w:val="24"/>
          <w:szCs w:val="24"/>
          <w:lang w:eastAsia="en-GB"/>
        </w:rPr>
        <w:t>8)</w:t>
      </w:r>
      <w:r w:rsidRPr="00AE08F4">
        <w:rPr>
          <w:rFonts w:ascii="Times New Roman" w:eastAsia="Times New Roman" w:hAnsi="Times New Roman" w:cs="Times New Roman"/>
          <w:sz w:val="24"/>
          <w:szCs w:val="24"/>
          <w:lang w:eastAsia="en-GB"/>
        </w:rPr>
        <w:t xml:space="preserve"> in the past week was estimated to exceed </w:t>
      </w:r>
      <w:r w:rsidRPr="00AE08F4">
        <w:rPr>
          <w:rFonts w:ascii="Times New Roman" w:hAnsi="Times New Roman" w:cs="Times New Roman"/>
          <w:sz w:val="24"/>
          <w:szCs w:val="24"/>
        </w:rPr>
        <w:t>2.8 ms</w:t>
      </w:r>
      <w:r w:rsidRPr="00AE08F4">
        <w:rPr>
          <w:rFonts w:ascii="Times New Roman" w:hAnsi="Times New Roman" w:cs="Times New Roman"/>
          <w:sz w:val="24"/>
          <w:szCs w:val="24"/>
          <w:vertAlign w:val="superscript"/>
        </w:rPr>
        <w:t>-2</w:t>
      </w:r>
      <w:r w:rsidRPr="00AE08F4">
        <w:rPr>
          <w:rFonts w:ascii="Times New Roman" w:hAnsi="Times New Roman" w:cs="Times New Roman"/>
          <w:sz w:val="24"/>
          <w:szCs w:val="24"/>
        </w:rPr>
        <w:t>.</w:t>
      </w:r>
      <w:r>
        <w:rPr>
          <w:rFonts w:ascii="Times New Roman" w:hAnsi="Times New Roman" w:cs="Times New Roman"/>
          <w:sz w:val="24"/>
          <w:szCs w:val="24"/>
        </w:rPr>
        <w:t xml:space="preserve"> </w:t>
      </w:r>
      <w:r w:rsidR="00AF499F">
        <w:rPr>
          <w:rFonts w:ascii="Times New Roman" w:hAnsi="Times New Roman" w:cs="Times New Roman"/>
          <w:sz w:val="24"/>
          <w:szCs w:val="24"/>
        </w:rPr>
        <w:t xml:space="preserve"> </w:t>
      </w:r>
    </w:p>
    <w:p w:rsidR="00A42241" w:rsidRDefault="00A42241" w:rsidP="0047648B">
      <w:pPr>
        <w:jc w:val="both"/>
        <w:rPr>
          <w:rFonts w:ascii="Times New Roman" w:hAnsi="Times New Roman" w:cs="Times New Roman"/>
          <w:sz w:val="24"/>
          <w:szCs w:val="24"/>
        </w:rPr>
      </w:pPr>
    </w:p>
    <w:p w:rsidR="00A42241" w:rsidRDefault="00AF499F" w:rsidP="0047648B">
      <w:pPr>
        <w:jc w:val="both"/>
        <w:rPr>
          <w:rFonts w:ascii="Times New Roman" w:eastAsia="Times New Roman" w:hAnsi="Times New Roman" w:cs="Times New Roman"/>
          <w:sz w:val="24"/>
          <w:szCs w:val="20"/>
          <w:lang w:eastAsia="en-GB"/>
        </w:rPr>
      </w:pPr>
      <w:r w:rsidRPr="00AE08F4">
        <w:rPr>
          <w:rFonts w:ascii="Times New Roman" w:hAnsi="Times New Roman" w:cs="Times New Roman"/>
          <w:sz w:val="24"/>
          <w:szCs w:val="24"/>
        </w:rPr>
        <w:t xml:space="preserve">Table 1 </w:t>
      </w:r>
      <w:r w:rsidR="00A42241" w:rsidRPr="00AE08F4">
        <w:rPr>
          <w:rFonts w:ascii="Times New Roman" w:hAnsi="Times New Roman" w:cs="Times New Roman"/>
          <w:sz w:val="24"/>
          <w:szCs w:val="24"/>
        </w:rPr>
        <w:t>presents</w:t>
      </w:r>
      <w:r w:rsidRPr="00AE08F4">
        <w:rPr>
          <w:rFonts w:ascii="Times New Roman" w:hAnsi="Times New Roman" w:cs="Times New Roman"/>
          <w:sz w:val="24"/>
          <w:szCs w:val="24"/>
        </w:rPr>
        <w:t xml:space="preserve"> the prevalence of </w:t>
      </w:r>
      <w:proofErr w:type="spellStart"/>
      <w:r w:rsidRPr="00AE08F4">
        <w:rPr>
          <w:rFonts w:ascii="Times New Roman" w:eastAsia="Times New Roman" w:hAnsi="Times New Roman" w:cs="Times New Roman"/>
          <w:sz w:val="24"/>
          <w:szCs w:val="20"/>
          <w:lang w:eastAsia="en-GB"/>
        </w:rPr>
        <w:t>Dupuytren’s</w:t>
      </w:r>
      <w:proofErr w:type="spellEnd"/>
      <w:r w:rsidRPr="00AE08F4">
        <w:rPr>
          <w:rFonts w:ascii="Times New Roman" w:eastAsia="Times New Roman" w:hAnsi="Times New Roman" w:cs="Times New Roman"/>
          <w:sz w:val="24"/>
          <w:szCs w:val="20"/>
          <w:lang w:eastAsia="en-GB"/>
        </w:rPr>
        <w:t xml:space="preserve"> contracture according to</w:t>
      </w:r>
      <w:r w:rsidR="00A42241" w:rsidRPr="00AE08F4">
        <w:rPr>
          <w:rFonts w:ascii="Times New Roman" w:eastAsia="Times New Roman" w:hAnsi="Times New Roman" w:cs="Times New Roman"/>
          <w:sz w:val="24"/>
          <w:szCs w:val="20"/>
          <w:lang w:eastAsia="en-GB"/>
        </w:rPr>
        <w:t xml:space="preserve"> age, smoking status, </w:t>
      </w:r>
      <w:r w:rsidR="00B92882" w:rsidRPr="00AE08F4">
        <w:rPr>
          <w:rFonts w:ascii="Times New Roman" w:eastAsia="Times New Roman" w:hAnsi="Times New Roman" w:cs="Times New Roman"/>
          <w:sz w:val="24"/>
          <w:szCs w:val="20"/>
          <w:lang w:eastAsia="en-GB"/>
        </w:rPr>
        <w:t>social class</w:t>
      </w:r>
      <w:r w:rsidR="00F425B0">
        <w:rPr>
          <w:rFonts w:ascii="Times New Roman" w:eastAsia="Times New Roman" w:hAnsi="Times New Roman" w:cs="Times New Roman"/>
          <w:sz w:val="24"/>
          <w:szCs w:val="20"/>
          <w:lang w:eastAsia="en-GB"/>
        </w:rPr>
        <w:t>,</w:t>
      </w:r>
      <w:r w:rsidR="00B92882" w:rsidRPr="00AE08F4">
        <w:rPr>
          <w:rFonts w:ascii="Times New Roman" w:eastAsia="Times New Roman" w:hAnsi="Times New Roman" w:cs="Times New Roman"/>
          <w:sz w:val="24"/>
          <w:szCs w:val="20"/>
          <w:lang w:eastAsia="en-GB"/>
        </w:rPr>
        <w:t xml:space="preserve"> </w:t>
      </w:r>
      <w:r w:rsidR="0020614A" w:rsidRPr="00AE08F4">
        <w:rPr>
          <w:rFonts w:ascii="Times New Roman" w:eastAsia="Times New Roman" w:hAnsi="Times New Roman" w:cs="Times New Roman"/>
          <w:sz w:val="24"/>
          <w:szCs w:val="20"/>
          <w:lang w:eastAsia="en-GB"/>
        </w:rPr>
        <w:t xml:space="preserve">and </w:t>
      </w:r>
      <w:r w:rsidR="00A42241" w:rsidRPr="00AE08F4">
        <w:rPr>
          <w:rFonts w:ascii="Times New Roman" w:eastAsia="Times New Roman" w:hAnsi="Times New Roman" w:cs="Times New Roman"/>
          <w:sz w:val="24"/>
          <w:szCs w:val="20"/>
          <w:lang w:eastAsia="en-GB"/>
        </w:rPr>
        <w:t>physical activities</w:t>
      </w:r>
      <w:r w:rsidR="00B961BF" w:rsidRPr="00AE08F4">
        <w:rPr>
          <w:rFonts w:ascii="Times New Roman" w:eastAsia="Times New Roman" w:hAnsi="Times New Roman" w:cs="Times New Roman"/>
          <w:sz w:val="24"/>
          <w:szCs w:val="20"/>
          <w:lang w:eastAsia="en-GB"/>
        </w:rPr>
        <w:t xml:space="preserve"> </w:t>
      </w:r>
      <w:r w:rsidR="0020614A" w:rsidRPr="00AE08F4">
        <w:rPr>
          <w:rFonts w:ascii="Times New Roman" w:eastAsia="Times New Roman" w:hAnsi="Times New Roman" w:cs="Times New Roman"/>
          <w:sz w:val="24"/>
          <w:szCs w:val="20"/>
          <w:lang w:eastAsia="en-GB"/>
        </w:rPr>
        <w:t>in a typical working day</w:t>
      </w:r>
      <w:r w:rsidR="00A42241" w:rsidRPr="00AE08F4">
        <w:rPr>
          <w:rFonts w:ascii="Times New Roman" w:eastAsia="Times New Roman" w:hAnsi="Times New Roman" w:cs="Times New Roman"/>
          <w:sz w:val="24"/>
          <w:szCs w:val="20"/>
          <w:lang w:eastAsia="en-GB"/>
        </w:rPr>
        <w:t xml:space="preserve">; also, estimates of </w:t>
      </w:r>
      <w:r w:rsidR="00254173">
        <w:rPr>
          <w:rFonts w:ascii="Times New Roman" w:eastAsia="Times New Roman" w:hAnsi="Times New Roman" w:cs="Times New Roman"/>
          <w:sz w:val="24"/>
          <w:szCs w:val="20"/>
          <w:lang w:eastAsia="en-GB"/>
        </w:rPr>
        <w:t>P</w:t>
      </w:r>
      <w:r w:rsidR="00254173" w:rsidRPr="00AE08F4">
        <w:rPr>
          <w:rFonts w:ascii="Times New Roman" w:eastAsia="Times New Roman" w:hAnsi="Times New Roman" w:cs="Times New Roman"/>
          <w:sz w:val="24"/>
          <w:szCs w:val="20"/>
          <w:lang w:eastAsia="en-GB"/>
        </w:rPr>
        <w:t>R</w:t>
      </w:r>
      <w:r w:rsidR="002E3E2A">
        <w:rPr>
          <w:rFonts w:ascii="Times New Roman" w:eastAsia="Times New Roman" w:hAnsi="Times New Roman" w:cs="Times New Roman"/>
          <w:sz w:val="24"/>
          <w:szCs w:val="20"/>
          <w:lang w:eastAsia="en-GB"/>
        </w:rPr>
        <w:t>s</w:t>
      </w:r>
      <w:r w:rsidR="00254173" w:rsidRPr="00AE08F4">
        <w:rPr>
          <w:rFonts w:ascii="Times New Roman" w:eastAsia="Times New Roman" w:hAnsi="Times New Roman" w:cs="Times New Roman"/>
          <w:sz w:val="24"/>
          <w:szCs w:val="20"/>
          <w:lang w:eastAsia="en-GB"/>
        </w:rPr>
        <w:t xml:space="preserve"> </w:t>
      </w:r>
      <w:r w:rsidR="002E3E2A">
        <w:rPr>
          <w:rFonts w:ascii="Times New Roman" w:eastAsia="Times New Roman" w:hAnsi="Times New Roman" w:cs="Times New Roman"/>
          <w:sz w:val="24"/>
          <w:szCs w:val="20"/>
          <w:lang w:eastAsia="en-GB"/>
        </w:rPr>
        <w:t>for</w:t>
      </w:r>
      <w:r w:rsidR="002E3E2A" w:rsidRPr="00AE08F4">
        <w:rPr>
          <w:rFonts w:ascii="Times New Roman" w:eastAsia="Times New Roman" w:hAnsi="Times New Roman" w:cs="Times New Roman"/>
          <w:sz w:val="24"/>
          <w:szCs w:val="20"/>
          <w:lang w:eastAsia="en-GB"/>
        </w:rPr>
        <w:t xml:space="preserve"> </w:t>
      </w:r>
      <w:r w:rsidR="00A42241" w:rsidRPr="00AE08F4">
        <w:rPr>
          <w:rFonts w:ascii="Times New Roman" w:eastAsia="Times New Roman" w:hAnsi="Times New Roman" w:cs="Times New Roman"/>
          <w:sz w:val="24"/>
          <w:szCs w:val="20"/>
          <w:lang w:eastAsia="en-GB"/>
        </w:rPr>
        <w:t>these</w:t>
      </w:r>
      <w:r w:rsidR="00A42241">
        <w:rPr>
          <w:rFonts w:ascii="Times New Roman" w:eastAsia="Times New Roman" w:hAnsi="Times New Roman" w:cs="Times New Roman"/>
          <w:sz w:val="24"/>
          <w:szCs w:val="20"/>
          <w:lang w:eastAsia="en-GB"/>
        </w:rPr>
        <w:t xml:space="preserve"> factors</w:t>
      </w:r>
      <w:r w:rsidR="00B961BF">
        <w:rPr>
          <w:rFonts w:ascii="Times New Roman" w:eastAsia="Times New Roman" w:hAnsi="Times New Roman" w:cs="Times New Roman"/>
          <w:sz w:val="24"/>
          <w:szCs w:val="20"/>
          <w:lang w:eastAsia="en-GB"/>
        </w:rPr>
        <w:t>,</w:t>
      </w:r>
      <w:r w:rsidR="00AE08F4">
        <w:rPr>
          <w:rFonts w:ascii="Times New Roman" w:eastAsia="Times New Roman" w:hAnsi="Times New Roman" w:cs="Times New Roman"/>
          <w:sz w:val="24"/>
          <w:szCs w:val="20"/>
          <w:lang w:eastAsia="en-GB"/>
        </w:rPr>
        <w:t xml:space="preserve"> with adjustment for age</w:t>
      </w:r>
      <w:r w:rsidR="00B961BF">
        <w:rPr>
          <w:rFonts w:ascii="Times New Roman" w:eastAsia="Times New Roman" w:hAnsi="Times New Roman" w:cs="Times New Roman"/>
          <w:sz w:val="24"/>
          <w:szCs w:val="20"/>
          <w:lang w:eastAsia="en-GB"/>
        </w:rPr>
        <w:t>.</w:t>
      </w:r>
      <w:r w:rsidR="00A42241">
        <w:rPr>
          <w:rFonts w:ascii="Times New Roman" w:eastAsia="Times New Roman" w:hAnsi="Times New Roman" w:cs="Times New Roman"/>
          <w:sz w:val="24"/>
          <w:szCs w:val="20"/>
          <w:lang w:eastAsia="en-GB"/>
        </w:rPr>
        <w:t xml:space="preserve"> The prevalence </w:t>
      </w:r>
      <w:r w:rsidR="002E3E2A">
        <w:rPr>
          <w:rFonts w:ascii="Times New Roman" w:eastAsia="Times New Roman" w:hAnsi="Times New Roman" w:cs="Times New Roman"/>
          <w:sz w:val="24"/>
          <w:szCs w:val="20"/>
          <w:lang w:eastAsia="en-GB"/>
        </w:rPr>
        <w:t xml:space="preserve">of </w:t>
      </w:r>
      <w:r w:rsidR="00A42241">
        <w:rPr>
          <w:rFonts w:ascii="Times New Roman" w:eastAsia="Times New Roman" w:hAnsi="Times New Roman" w:cs="Times New Roman"/>
          <w:sz w:val="24"/>
          <w:szCs w:val="20"/>
          <w:lang w:eastAsia="en-GB"/>
        </w:rPr>
        <w:t xml:space="preserve">and </w:t>
      </w:r>
      <w:r w:rsidR="00254173">
        <w:rPr>
          <w:rFonts w:ascii="Times New Roman" w:eastAsia="Times New Roman" w:hAnsi="Times New Roman" w:cs="Times New Roman"/>
          <w:sz w:val="24"/>
          <w:szCs w:val="20"/>
          <w:lang w:eastAsia="en-GB"/>
        </w:rPr>
        <w:t xml:space="preserve">PR </w:t>
      </w:r>
      <w:r w:rsidR="002E3E2A">
        <w:rPr>
          <w:rFonts w:ascii="Times New Roman" w:eastAsia="Times New Roman" w:hAnsi="Times New Roman" w:cs="Times New Roman"/>
          <w:sz w:val="24"/>
          <w:szCs w:val="20"/>
          <w:lang w:eastAsia="en-GB"/>
        </w:rPr>
        <w:t xml:space="preserve">for </w:t>
      </w:r>
      <w:proofErr w:type="spellStart"/>
      <w:r w:rsidR="00A42241">
        <w:rPr>
          <w:rFonts w:ascii="Times New Roman" w:eastAsia="Times New Roman" w:hAnsi="Times New Roman" w:cs="Times New Roman"/>
          <w:sz w:val="24"/>
          <w:szCs w:val="20"/>
          <w:lang w:eastAsia="en-GB"/>
        </w:rPr>
        <w:t>Dupuytren’s</w:t>
      </w:r>
      <w:proofErr w:type="spellEnd"/>
      <w:r w:rsidR="00A42241">
        <w:rPr>
          <w:rFonts w:ascii="Times New Roman" w:eastAsia="Times New Roman" w:hAnsi="Times New Roman" w:cs="Times New Roman"/>
          <w:sz w:val="24"/>
          <w:szCs w:val="20"/>
          <w:lang w:eastAsia="en-GB"/>
        </w:rPr>
        <w:t xml:space="preserve"> contracture rose sharply with age</w:t>
      </w:r>
      <w:r w:rsidR="002E3E2A">
        <w:rPr>
          <w:rFonts w:ascii="Times New Roman" w:eastAsia="Times New Roman" w:hAnsi="Times New Roman" w:cs="Times New Roman"/>
          <w:sz w:val="24"/>
          <w:szCs w:val="20"/>
          <w:lang w:eastAsia="en-GB"/>
        </w:rPr>
        <w:t>,</w:t>
      </w:r>
      <w:r w:rsidR="00A42241">
        <w:rPr>
          <w:rFonts w:ascii="Times New Roman" w:eastAsia="Times New Roman" w:hAnsi="Times New Roman" w:cs="Times New Roman"/>
          <w:sz w:val="24"/>
          <w:szCs w:val="20"/>
          <w:lang w:eastAsia="en-GB"/>
        </w:rPr>
        <w:t xml:space="preserve"> and</w:t>
      </w:r>
      <w:r w:rsidR="00B961BF">
        <w:rPr>
          <w:rFonts w:ascii="Times New Roman" w:eastAsia="Times New Roman" w:hAnsi="Times New Roman" w:cs="Times New Roman"/>
          <w:sz w:val="24"/>
          <w:szCs w:val="20"/>
          <w:lang w:eastAsia="en-GB"/>
        </w:rPr>
        <w:t xml:space="preserve"> the outcome</w:t>
      </w:r>
      <w:r w:rsidR="00A42241">
        <w:rPr>
          <w:rFonts w:ascii="Times New Roman" w:eastAsia="Times New Roman" w:hAnsi="Times New Roman" w:cs="Times New Roman"/>
          <w:sz w:val="24"/>
          <w:szCs w:val="20"/>
          <w:lang w:eastAsia="en-GB"/>
        </w:rPr>
        <w:t xml:space="preserve"> was</w:t>
      </w:r>
      <w:r w:rsidR="00F425B0">
        <w:rPr>
          <w:rFonts w:ascii="Times New Roman" w:eastAsia="Times New Roman" w:hAnsi="Times New Roman" w:cs="Times New Roman"/>
          <w:sz w:val="24"/>
          <w:szCs w:val="20"/>
          <w:lang w:eastAsia="en-GB"/>
        </w:rPr>
        <w:t xml:space="preserve"> </w:t>
      </w:r>
      <w:r w:rsidR="00B1784E">
        <w:rPr>
          <w:rFonts w:ascii="Times New Roman" w:eastAsia="Times New Roman" w:hAnsi="Times New Roman" w:cs="Times New Roman"/>
          <w:sz w:val="24"/>
          <w:szCs w:val="20"/>
          <w:lang w:eastAsia="en-GB"/>
        </w:rPr>
        <w:t>significantly</w:t>
      </w:r>
      <w:r w:rsidR="00A42241">
        <w:rPr>
          <w:rFonts w:ascii="Times New Roman" w:eastAsia="Times New Roman" w:hAnsi="Times New Roman" w:cs="Times New Roman"/>
          <w:sz w:val="24"/>
          <w:szCs w:val="20"/>
          <w:lang w:eastAsia="en-GB"/>
        </w:rPr>
        <w:t xml:space="preserve"> more common in</w:t>
      </w:r>
      <w:r w:rsidR="00F425B0">
        <w:rPr>
          <w:rFonts w:ascii="Times New Roman" w:eastAsia="Times New Roman" w:hAnsi="Times New Roman" w:cs="Times New Roman"/>
          <w:sz w:val="24"/>
          <w:szCs w:val="20"/>
          <w:lang w:eastAsia="en-GB"/>
        </w:rPr>
        <w:t xml:space="preserve"> manual workers and</w:t>
      </w:r>
      <w:r w:rsidR="00A42241">
        <w:rPr>
          <w:rFonts w:ascii="Times New Roman" w:eastAsia="Times New Roman" w:hAnsi="Times New Roman" w:cs="Times New Roman"/>
          <w:sz w:val="24"/>
          <w:szCs w:val="20"/>
          <w:lang w:eastAsia="en-GB"/>
        </w:rPr>
        <w:t xml:space="preserve"> men </w:t>
      </w:r>
      <w:r w:rsidR="00A42241" w:rsidRPr="00F425B0">
        <w:rPr>
          <w:rFonts w:ascii="Times New Roman" w:eastAsia="Times New Roman" w:hAnsi="Times New Roman" w:cs="Times New Roman"/>
          <w:sz w:val="24"/>
          <w:szCs w:val="20"/>
          <w:lang w:eastAsia="en-GB"/>
        </w:rPr>
        <w:t>u</w:t>
      </w:r>
      <w:r w:rsidR="00F425B0" w:rsidRPr="00F425B0">
        <w:rPr>
          <w:rFonts w:ascii="Times New Roman" w:eastAsia="Times New Roman" w:hAnsi="Times New Roman" w:cs="Times New Roman"/>
          <w:sz w:val="24"/>
          <w:szCs w:val="20"/>
          <w:lang w:eastAsia="en-GB"/>
        </w:rPr>
        <w:t xml:space="preserve">ndertaking </w:t>
      </w:r>
      <w:r w:rsidR="00A42241" w:rsidRPr="00F425B0">
        <w:rPr>
          <w:rFonts w:ascii="Times New Roman" w:eastAsia="Times New Roman" w:hAnsi="Times New Roman" w:cs="Times New Roman"/>
          <w:sz w:val="24"/>
          <w:szCs w:val="20"/>
          <w:lang w:eastAsia="en-GB"/>
        </w:rPr>
        <w:t>heavy</w:t>
      </w:r>
      <w:r w:rsidR="00977696">
        <w:rPr>
          <w:rFonts w:ascii="Times New Roman" w:eastAsia="Times New Roman" w:hAnsi="Times New Roman" w:cs="Times New Roman"/>
          <w:sz w:val="24"/>
          <w:szCs w:val="20"/>
          <w:lang w:eastAsia="en-GB"/>
        </w:rPr>
        <w:t xml:space="preserve"> lifting, </w:t>
      </w:r>
      <w:r w:rsidR="002E3E2A">
        <w:rPr>
          <w:rFonts w:ascii="Times New Roman" w:eastAsia="Times New Roman" w:hAnsi="Times New Roman" w:cs="Times New Roman"/>
          <w:sz w:val="24"/>
          <w:szCs w:val="20"/>
          <w:lang w:eastAsia="en-GB"/>
        </w:rPr>
        <w:t xml:space="preserve">and </w:t>
      </w:r>
      <w:r w:rsidR="00977696">
        <w:rPr>
          <w:rFonts w:ascii="Times New Roman" w:eastAsia="Times New Roman" w:hAnsi="Times New Roman" w:cs="Times New Roman"/>
          <w:sz w:val="24"/>
          <w:szCs w:val="20"/>
          <w:lang w:eastAsia="en-GB"/>
        </w:rPr>
        <w:t>digging or shovelling</w:t>
      </w:r>
      <w:r w:rsidR="00A42241" w:rsidRPr="00F425B0">
        <w:rPr>
          <w:rFonts w:ascii="Times New Roman" w:eastAsia="Times New Roman" w:hAnsi="Times New Roman" w:cs="Times New Roman"/>
          <w:sz w:val="24"/>
          <w:szCs w:val="20"/>
          <w:lang w:eastAsia="en-GB"/>
        </w:rPr>
        <w:t xml:space="preserve"> at work</w:t>
      </w:r>
      <w:r w:rsidR="00F425B0" w:rsidRPr="00F425B0">
        <w:rPr>
          <w:rFonts w:ascii="Times New Roman" w:eastAsia="Times New Roman" w:hAnsi="Times New Roman" w:cs="Times New Roman"/>
          <w:sz w:val="24"/>
          <w:szCs w:val="20"/>
          <w:lang w:eastAsia="en-GB"/>
        </w:rPr>
        <w:t>;</w:t>
      </w:r>
      <w:r w:rsidR="00B961BF" w:rsidRPr="00F425B0">
        <w:rPr>
          <w:rFonts w:ascii="Times New Roman" w:eastAsia="Times New Roman" w:hAnsi="Times New Roman" w:cs="Times New Roman"/>
          <w:sz w:val="24"/>
          <w:szCs w:val="20"/>
          <w:lang w:eastAsia="en-GB"/>
        </w:rPr>
        <w:t xml:space="preserve"> but</w:t>
      </w:r>
      <w:r w:rsidR="00B961BF">
        <w:rPr>
          <w:rFonts w:ascii="Times New Roman" w:eastAsia="Times New Roman" w:hAnsi="Times New Roman" w:cs="Times New Roman"/>
          <w:sz w:val="24"/>
          <w:szCs w:val="20"/>
          <w:lang w:eastAsia="en-GB"/>
        </w:rPr>
        <w:t xml:space="preserve"> no </w:t>
      </w:r>
      <w:r w:rsidR="00F425B0">
        <w:rPr>
          <w:rFonts w:ascii="Times New Roman" w:eastAsia="Times New Roman" w:hAnsi="Times New Roman" w:cs="Times New Roman"/>
          <w:sz w:val="24"/>
          <w:szCs w:val="20"/>
          <w:lang w:eastAsia="en-GB"/>
        </w:rPr>
        <w:t xml:space="preserve">significant </w:t>
      </w:r>
      <w:r w:rsidR="00B961BF">
        <w:rPr>
          <w:rFonts w:ascii="Times New Roman" w:eastAsia="Times New Roman" w:hAnsi="Times New Roman" w:cs="Times New Roman"/>
          <w:sz w:val="24"/>
          <w:szCs w:val="20"/>
          <w:lang w:eastAsia="en-GB"/>
        </w:rPr>
        <w:t>association</w:t>
      </w:r>
      <w:r w:rsidR="00707844">
        <w:rPr>
          <w:rFonts w:ascii="Times New Roman" w:eastAsia="Times New Roman" w:hAnsi="Times New Roman" w:cs="Times New Roman"/>
          <w:sz w:val="24"/>
          <w:szCs w:val="20"/>
          <w:lang w:eastAsia="en-GB"/>
        </w:rPr>
        <w:t xml:space="preserve"> was found</w:t>
      </w:r>
      <w:r w:rsidR="00B961BF">
        <w:rPr>
          <w:rFonts w:ascii="Times New Roman" w:eastAsia="Times New Roman" w:hAnsi="Times New Roman" w:cs="Times New Roman"/>
          <w:sz w:val="24"/>
          <w:szCs w:val="20"/>
          <w:lang w:eastAsia="en-GB"/>
        </w:rPr>
        <w:t xml:space="preserve"> with smoking or with use of a computer keyboard.</w:t>
      </w:r>
      <w:r w:rsidR="00707844">
        <w:rPr>
          <w:rFonts w:ascii="Times New Roman" w:eastAsia="Times New Roman" w:hAnsi="Times New Roman" w:cs="Times New Roman"/>
          <w:sz w:val="24"/>
          <w:szCs w:val="20"/>
          <w:lang w:eastAsia="en-GB"/>
        </w:rPr>
        <w:t xml:space="preserve"> </w:t>
      </w:r>
    </w:p>
    <w:p w:rsidR="00A42241" w:rsidRDefault="00A42241" w:rsidP="0047648B">
      <w:pPr>
        <w:jc w:val="both"/>
        <w:rPr>
          <w:rFonts w:ascii="Times New Roman" w:eastAsia="Times New Roman" w:hAnsi="Times New Roman" w:cs="Times New Roman"/>
          <w:sz w:val="24"/>
          <w:szCs w:val="20"/>
          <w:lang w:eastAsia="en-GB"/>
        </w:rPr>
      </w:pPr>
    </w:p>
    <w:p w:rsidR="00F425B0" w:rsidRPr="00777F24" w:rsidRDefault="00B961BF" w:rsidP="00777F24">
      <w:pPr>
        <w:jc w:val="both"/>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Table 2 explores association</w:t>
      </w:r>
      <w:r w:rsidR="00977696">
        <w:rPr>
          <w:rFonts w:ascii="Times New Roman" w:eastAsia="Times New Roman" w:hAnsi="Times New Roman" w:cs="Times New Roman"/>
          <w:sz w:val="24"/>
          <w:szCs w:val="20"/>
          <w:lang w:eastAsia="en-GB"/>
        </w:rPr>
        <w:t>s</w:t>
      </w:r>
      <w:r>
        <w:rPr>
          <w:rFonts w:ascii="Times New Roman" w:eastAsia="Times New Roman" w:hAnsi="Times New Roman" w:cs="Times New Roman"/>
          <w:sz w:val="24"/>
          <w:szCs w:val="20"/>
          <w:lang w:eastAsia="en-GB"/>
        </w:rPr>
        <w:t xml:space="preserve"> with HTV</w:t>
      </w:r>
      <w:r w:rsidR="0020614A">
        <w:rPr>
          <w:rFonts w:ascii="Times New Roman" w:eastAsia="Times New Roman" w:hAnsi="Times New Roman" w:cs="Times New Roman"/>
          <w:sz w:val="24"/>
          <w:szCs w:val="20"/>
          <w:lang w:eastAsia="en-GB"/>
        </w:rPr>
        <w:t>, overall and then</w:t>
      </w:r>
      <w:r>
        <w:rPr>
          <w:rFonts w:ascii="Times New Roman" w:eastAsia="Times New Roman" w:hAnsi="Times New Roman" w:cs="Times New Roman"/>
          <w:sz w:val="24"/>
          <w:szCs w:val="20"/>
          <w:lang w:eastAsia="en-GB"/>
        </w:rPr>
        <w:t xml:space="preserve"> </w:t>
      </w:r>
      <w:r w:rsidR="00977696">
        <w:rPr>
          <w:rFonts w:ascii="Times New Roman" w:eastAsia="Times New Roman" w:hAnsi="Times New Roman" w:cs="Times New Roman"/>
          <w:sz w:val="24"/>
          <w:szCs w:val="20"/>
          <w:lang w:eastAsia="en-GB"/>
        </w:rPr>
        <w:t>for</w:t>
      </w:r>
      <w:r>
        <w:rPr>
          <w:rFonts w:ascii="Times New Roman" w:eastAsia="Times New Roman" w:hAnsi="Times New Roman" w:cs="Times New Roman"/>
          <w:sz w:val="24"/>
          <w:szCs w:val="20"/>
          <w:lang w:eastAsia="en-GB"/>
        </w:rPr>
        <w:t xml:space="preserve"> several mutually exclusive </w:t>
      </w:r>
      <w:r w:rsidR="00977696">
        <w:rPr>
          <w:rFonts w:ascii="Times New Roman" w:eastAsia="Times New Roman" w:hAnsi="Times New Roman" w:cs="Times New Roman"/>
          <w:sz w:val="24"/>
          <w:szCs w:val="20"/>
          <w:lang w:eastAsia="en-GB"/>
        </w:rPr>
        <w:t>categories</w:t>
      </w:r>
      <w:r>
        <w:rPr>
          <w:rFonts w:ascii="Times New Roman" w:eastAsia="Times New Roman" w:hAnsi="Times New Roman" w:cs="Times New Roman"/>
          <w:sz w:val="24"/>
          <w:szCs w:val="20"/>
          <w:lang w:eastAsia="en-GB"/>
        </w:rPr>
        <w:t xml:space="preserve"> of exposure, with risk</w:t>
      </w:r>
      <w:r w:rsidRPr="00B961BF">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estimates adjus</w:t>
      </w:r>
      <w:r w:rsidR="00F425B0">
        <w:rPr>
          <w:rFonts w:ascii="Times New Roman" w:eastAsia="Times New Roman" w:hAnsi="Times New Roman" w:cs="Times New Roman"/>
          <w:sz w:val="24"/>
          <w:szCs w:val="20"/>
          <w:lang w:eastAsia="en-GB"/>
        </w:rPr>
        <w:t xml:space="preserve">ted for age (model 1), </w:t>
      </w:r>
      <w:r>
        <w:rPr>
          <w:rFonts w:ascii="Times New Roman" w:eastAsia="Times New Roman" w:hAnsi="Times New Roman" w:cs="Times New Roman"/>
          <w:sz w:val="24"/>
          <w:szCs w:val="20"/>
          <w:lang w:eastAsia="en-GB"/>
        </w:rPr>
        <w:t xml:space="preserve">then </w:t>
      </w:r>
      <w:r w:rsidR="00F425B0">
        <w:rPr>
          <w:rFonts w:ascii="Times New Roman" w:eastAsia="Times New Roman" w:hAnsi="Times New Roman" w:cs="Times New Roman"/>
          <w:sz w:val="24"/>
          <w:szCs w:val="20"/>
          <w:lang w:eastAsia="en-GB"/>
        </w:rPr>
        <w:t xml:space="preserve">for age and social class (model 2), and </w:t>
      </w:r>
      <w:r w:rsidR="00977696">
        <w:rPr>
          <w:rFonts w:ascii="Times New Roman" w:eastAsia="Times New Roman" w:hAnsi="Times New Roman" w:cs="Times New Roman"/>
          <w:sz w:val="24"/>
          <w:szCs w:val="20"/>
          <w:lang w:eastAsia="en-GB"/>
        </w:rPr>
        <w:t>then</w:t>
      </w:r>
      <w:r w:rsidR="00F425B0">
        <w:rPr>
          <w:rFonts w:ascii="Times New Roman" w:eastAsia="Times New Roman" w:hAnsi="Times New Roman" w:cs="Times New Roman"/>
          <w:sz w:val="24"/>
          <w:szCs w:val="20"/>
          <w:lang w:eastAsia="en-GB"/>
        </w:rPr>
        <w:t xml:space="preserve"> for all</w:t>
      </w:r>
      <w:r>
        <w:rPr>
          <w:rFonts w:ascii="Times New Roman" w:eastAsia="Times New Roman" w:hAnsi="Times New Roman" w:cs="Times New Roman"/>
          <w:sz w:val="24"/>
          <w:szCs w:val="20"/>
          <w:lang w:eastAsia="en-GB"/>
        </w:rPr>
        <w:t xml:space="preserve"> </w:t>
      </w:r>
      <w:r w:rsidR="00977696">
        <w:rPr>
          <w:rFonts w:ascii="Times New Roman" w:eastAsia="Times New Roman" w:hAnsi="Times New Roman" w:cs="Times New Roman"/>
          <w:sz w:val="24"/>
          <w:szCs w:val="20"/>
          <w:lang w:eastAsia="en-GB"/>
        </w:rPr>
        <w:t>of the</w:t>
      </w:r>
      <w:r>
        <w:rPr>
          <w:rFonts w:ascii="Times New Roman" w:eastAsia="Times New Roman" w:hAnsi="Times New Roman" w:cs="Times New Roman"/>
          <w:sz w:val="24"/>
          <w:szCs w:val="20"/>
          <w:lang w:eastAsia="en-GB"/>
        </w:rPr>
        <w:t xml:space="preserve"> variables</w:t>
      </w:r>
      <w:r w:rsidR="00F425B0">
        <w:rPr>
          <w:rFonts w:ascii="Times New Roman" w:eastAsia="Times New Roman" w:hAnsi="Times New Roman" w:cs="Times New Roman"/>
          <w:sz w:val="24"/>
          <w:szCs w:val="20"/>
          <w:lang w:eastAsia="en-GB"/>
        </w:rPr>
        <w:t xml:space="preserve"> in Table 1</w:t>
      </w:r>
      <w:r>
        <w:rPr>
          <w:rFonts w:ascii="Times New Roman" w:eastAsia="Times New Roman" w:hAnsi="Times New Roman" w:cs="Times New Roman"/>
          <w:sz w:val="24"/>
          <w:szCs w:val="20"/>
          <w:lang w:eastAsia="en-GB"/>
        </w:rPr>
        <w:t xml:space="preserve"> (model </w:t>
      </w:r>
      <w:r w:rsidR="00F425B0">
        <w:rPr>
          <w:rFonts w:ascii="Times New Roman" w:eastAsia="Times New Roman" w:hAnsi="Times New Roman" w:cs="Times New Roman"/>
          <w:sz w:val="24"/>
          <w:szCs w:val="20"/>
          <w:lang w:eastAsia="en-GB"/>
        </w:rPr>
        <w:t>3</w:t>
      </w:r>
      <w:r>
        <w:rPr>
          <w:rFonts w:ascii="Times New Roman" w:eastAsia="Times New Roman" w:hAnsi="Times New Roman" w:cs="Times New Roman"/>
          <w:sz w:val="24"/>
          <w:szCs w:val="20"/>
          <w:lang w:eastAsia="en-GB"/>
        </w:rPr>
        <w:t xml:space="preserve">). With simple adjustment for age, </w:t>
      </w:r>
      <w:r w:rsidR="0020614A">
        <w:rPr>
          <w:rFonts w:ascii="Times New Roman" w:eastAsia="Times New Roman" w:hAnsi="Times New Roman" w:cs="Times New Roman"/>
          <w:sz w:val="24"/>
          <w:szCs w:val="20"/>
          <w:lang w:eastAsia="en-GB"/>
        </w:rPr>
        <w:t xml:space="preserve">the </w:t>
      </w:r>
      <w:r w:rsidR="00254173">
        <w:rPr>
          <w:rFonts w:ascii="Times New Roman" w:eastAsia="Times New Roman" w:hAnsi="Times New Roman" w:cs="Times New Roman"/>
          <w:sz w:val="24"/>
          <w:szCs w:val="20"/>
          <w:lang w:eastAsia="en-GB"/>
        </w:rPr>
        <w:t xml:space="preserve">PR </w:t>
      </w:r>
      <w:r w:rsidR="00977696">
        <w:rPr>
          <w:rFonts w:ascii="Times New Roman" w:eastAsia="Times New Roman" w:hAnsi="Times New Roman" w:cs="Times New Roman"/>
          <w:sz w:val="24"/>
          <w:szCs w:val="20"/>
          <w:lang w:eastAsia="en-GB"/>
        </w:rPr>
        <w:t>for any</w:t>
      </w:r>
      <w:r w:rsidR="0020614A">
        <w:rPr>
          <w:rFonts w:ascii="Times New Roman" w:eastAsia="Times New Roman" w:hAnsi="Times New Roman" w:cs="Times New Roman"/>
          <w:sz w:val="24"/>
          <w:szCs w:val="20"/>
          <w:lang w:eastAsia="en-GB"/>
        </w:rPr>
        <w:t xml:space="preserve"> occupational exposure to HTV (ever vs. never) was </w:t>
      </w:r>
      <w:r w:rsidR="004F22E4">
        <w:rPr>
          <w:rFonts w:ascii="Times New Roman" w:eastAsia="Times New Roman" w:hAnsi="Times New Roman" w:cs="Times New Roman"/>
          <w:sz w:val="24"/>
          <w:szCs w:val="20"/>
          <w:lang w:eastAsia="en-GB"/>
        </w:rPr>
        <w:t>1.87</w:t>
      </w:r>
      <w:r w:rsidR="0020614A" w:rsidRPr="00B1784E">
        <w:rPr>
          <w:rFonts w:ascii="Times New Roman" w:eastAsia="Times New Roman" w:hAnsi="Times New Roman" w:cs="Times New Roman"/>
          <w:sz w:val="24"/>
          <w:szCs w:val="20"/>
          <w:lang w:eastAsia="en-GB"/>
        </w:rPr>
        <w:t>.</w:t>
      </w:r>
      <w:r w:rsidR="0020614A" w:rsidRPr="00707844">
        <w:rPr>
          <w:rFonts w:ascii="Times New Roman" w:eastAsia="Times New Roman" w:hAnsi="Times New Roman" w:cs="Times New Roman"/>
          <w:sz w:val="24"/>
          <w:szCs w:val="20"/>
          <w:lang w:eastAsia="en-GB"/>
        </w:rPr>
        <w:t xml:space="preserve"> </w:t>
      </w:r>
      <w:r w:rsidR="00254173">
        <w:rPr>
          <w:rFonts w:ascii="Times New Roman" w:eastAsia="Times New Roman" w:hAnsi="Times New Roman" w:cs="Times New Roman"/>
          <w:sz w:val="24"/>
          <w:szCs w:val="20"/>
          <w:lang w:eastAsia="en-GB"/>
        </w:rPr>
        <w:t xml:space="preserve">PRs </w:t>
      </w:r>
      <w:r>
        <w:rPr>
          <w:rFonts w:ascii="Times New Roman" w:eastAsia="Times New Roman" w:hAnsi="Times New Roman" w:cs="Times New Roman"/>
          <w:sz w:val="24"/>
          <w:szCs w:val="20"/>
          <w:lang w:eastAsia="en-GB"/>
        </w:rPr>
        <w:t xml:space="preserve">were </w:t>
      </w:r>
      <w:r w:rsidR="00977696">
        <w:rPr>
          <w:rFonts w:ascii="Times New Roman" w:eastAsia="Times New Roman" w:hAnsi="Times New Roman" w:cs="Times New Roman"/>
          <w:sz w:val="24"/>
          <w:szCs w:val="20"/>
          <w:lang w:eastAsia="en-GB"/>
        </w:rPr>
        <w:t xml:space="preserve">also </w:t>
      </w:r>
      <w:r>
        <w:rPr>
          <w:rFonts w:ascii="Times New Roman" w:eastAsia="Times New Roman" w:hAnsi="Times New Roman" w:cs="Times New Roman"/>
          <w:sz w:val="24"/>
          <w:szCs w:val="20"/>
          <w:lang w:eastAsia="en-GB"/>
        </w:rPr>
        <w:t>sign</w:t>
      </w:r>
      <w:r w:rsidR="00977696">
        <w:rPr>
          <w:rFonts w:ascii="Times New Roman" w:eastAsia="Times New Roman" w:hAnsi="Times New Roman" w:cs="Times New Roman"/>
          <w:sz w:val="24"/>
          <w:szCs w:val="20"/>
          <w:lang w:eastAsia="en-GB"/>
        </w:rPr>
        <w:t>ificantly elevated for exposure</w:t>
      </w:r>
      <w:r>
        <w:rPr>
          <w:rFonts w:ascii="Times New Roman" w:eastAsia="Times New Roman" w:hAnsi="Times New Roman" w:cs="Times New Roman"/>
          <w:sz w:val="24"/>
          <w:szCs w:val="20"/>
          <w:lang w:eastAsia="en-GB"/>
        </w:rPr>
        <w:t xml:space="preserve"> to HTV in the previous week, more so when the </w:t>
      </w:r>
      <w:proofErr w:type="gramStart"/>
      <w:r w:rsidRPr="004F22E4">
        <w:rPr>
          <w:rFonts w:ascii="Times New Roman" w:eastAsia="Times New Roman" w:hAnsi="Times New Roman" w:cs="Times New Roman"/>
          <w:i/>
          <w:sz w:val="24"/>
          <w:szCs w:val="20"/>
          <w:lang w:eastAsia="en-GB"/>
        </w:rPr>
        <w:t>A</w:t>
      </w:r>
      <w:r w:rsidRPr="00777F24">
        <w:rPr>
          <w:rFonts w:ascii="Times New Roman" w:eastAsia="Times New Roman" w:hAnsi="Times New Roman" w:cs="Times New Roman"/>
          <w:sz w:val="24"/>
          <w:szCs w:val="20"/>
          <w:lang w:eastAsia="en-GB"/>
        </w:rPr>
        <w:t>(</w:t>
      </w:r>
      <w:proofErr w:type="gramEnd"/>
      <w:r w:rsidRPr="00777F24">
        <w:rPr>
          <w:rFonts w:ascii="Times New Roman" w:eastAsia="Times New Roman" w:hAnsi="Times New Roman" w:cs="Times New Roman"/>
          <w:sz w:val="24"/>
          <w:szCs w:val="20"/>
          <w:lang w:eastAsia="en-GB"/>
        </w:rPr>
        <w:t>8)</w:t>
      </w:r>
      <w:r>
        <w:rPr>
          <w:rFonts w:ascii="Times New Roman" w:eastAsia="Times New Roman" w:hAnsi="Times New Roman" w:cs="Times New Roman"/>
          <w:sz w:val="24"/>
          <w:szCs w:val="20"/>
          <w:lang w:eastAsia="en-GB"/>
        </w:rPr>
        <w:t xml:space="preserve"> was &gt;2.8ms</w:t>
      </w:r>
      <w:r>
        <w:rPr>
          <w:rFonts w:ascii="Times New Roman" w:eastAsia="Times New Roman" w:hAnsi="Times New Roman" w:cs="Times New Roman"/>
          <w:sz w:val="24"/>
          <w:szCs w:val="20"/>
          <w:vertAlign w:val="superscript"/>
          <w:lang w:eastAsia="en-GB"/>
        </w:rPr>
        <w:t xml:space="preserve">-2 </w:t>
      </w:r>
      <w:r>
        <w:rPr>
          <w:rFonts w:ascii="Times New Roman" w:eastAsia="Times New Roman" w:hAnsi="Times New Roman" w:cs="Times New Roman"/>
          <w:sz w:val="24"/>
          <w:szCs w:val="20"/>
          <w:lang w:eastAsia="en-GB"/>
        </w:rPr>
        <w:t>(</w:t>
      </w:r>
      <w:r w:rsidR="00254173">
        <w:rPr>
          <w:rFonts w:ascii="Times New Roman" w:eastAsia="Times New Roman" w:hAnsi="Times New Roman" w:cs="Times New Roman"/>
          <w:sz w:val="24"/>
          <w:szCs w:val="20"/>
          <w:lang w:eastAsia="en-GB"/>
        </w:rPr>
        <w:t xml:space="preserve">PR </w:t>
      </w:r>
      <w:r>
        <w:rPr>
          <w:rFonts w:ascii="Times New Roman" w:eastAsia="Times New Roman" w:hAnsi="Times New Roman" w:cs="Times New Roman"/>
          <w:sz w:val="24"/>
          <w:szCs w:val="20"/>
          <w:lang w:eastAsia="en-GB"/>
        </w:rPr>
        <w:t>3.</w:t>
      </w:r>
      <w:r w:rsidR="00B1784E">
        <w:rPr>
          <w:rFonts w:ascii="Times New Roman" w:eastAsia="Times New Roman" w:hAnsi="Times New Roman" w:cs="Times New Roman"/>
          <w:sz w:val="24"/>
          <w:szCs w:val="20"/>
          <w:lang w:eastAsia="en-GB"/>
        </w:rPr>
        <w:t>48</w:t>
      </w:r>
      <w:r>
        <w:rPr>
          <w:rFonts w:ascii="Times New Roman" w:eastAsia="Times New Roman" w:hAnsi="Times New Roman" w:cs="Times New Roman"/>
          <w:sz w:val="24"/>
          <w:szCs w:val="20"/>
          <w:lang w:eastAsia="en-GB"/>
        </w:rPr>
        <w:t xml:space="preserve">) than when it was </w:t>
      </w:r>
      <w:r w:rsidRPr="00B1784E">
        <w:rPr>
          <w:rFonts w:ascii="Times New Roman" w:eastAsia="Times New Roman" w:hAnsi="Times New Roman" w:cs="Times New Roman"/>
          <w:sz w:val="24"/>
          <w:szCs w:val="20"/>
          <w:u w:val="single"/>
          <w:lang w:eastAsia="en-GB"/>
        </w:rPr>
        <w:t>&lt;</w:t>
      </w:r>
      <w:r>
        <w:rPr>
          <w:rFonts w:ascii="Times New Roman" w:eastAsia="Times New Roman" w:hAnsi="Times New Roman" w:cs="Times New Roman"/>
          <w:sz w:val="24"/>
          <w:szCs w:val="20"/>
          <w:lang w:eastAsia="en-GB"/>
        </w:rPr>
        <w:t>2.8ms</w:t>
      </w:r>
      <w:r>
        <w:rPr>
          <w:rFonts w:ascii="Times New Roman" w:eastAsia="Times New Roman" w:hAnsi="Times New Roman" w:cs="Times New Roman"/>
          <w:sz w:val="24"/>
          <w:szCs w:val="20"/>
          <w:vertAlign w:val="superscript"/>
          <w:lang w:eastAsia="en-GB"/>
        </w:rPr>
        <w:t xml:space="preserve">-2 </w:t>
      </w:r>
      <w:r>
        <w:rPr>
          <w:rFonts w:ascii="Times New Roman" w:eastAsia="Times New Roman" w:hAnsi="Times New Roman" w:cs="Times New Roman"/>
          <w:sz w:val="24"/>
          <w:szCs w:val="20"/>
          <w:lang w:eastAsia="en-GB"/>
        </w:rPr>
        <w:t>(</w:t>
      </w:r>
      <w:r w:rsidR="00254173">
        <w:rPr>
          <w:rFonts w:ascii="Times New Roman" w:eastAsia="Times New Roman" w:hAnsi="Times New Roman" w:cs="Times New Roman"/>
          <w:sz w:val="24"/>
          <w:szCs w:val="20"/>
          <w:lang w:eastAsia="en-GB"/>
        </w:rPr>
        <w:t xml:space="preserve">PR </w:t>
      </w:r>
      <w:r>
        <w:rPr>
          <w:rFonts w:ascii="Times New Roman" w:eastAsia="Times New Roman" w:hAnsi="Times New Roman" w:cs="Times New Roman"/>
          <w:sz w:val="24"/>
          <w:szCs w:val="20"/>
          <w:lang w:eastAsia="en-GB"/>
        </w:rPr>
        <w:t xml:space="preserve">1.68). </w:t>
      </w:r>
      <w:r w:rsidR="00F425B0">
        <w:rPr>
          <w:rFonts w:ascii="Times New Roman" w:eastAsia="Times New Roman" w:hAnsi="Times New Roman" w:cs="Times New Roman"/>
          <w:sz w:val="24"/>
          <w:szCs w:val="20"/>
          <w:lang w:eastAsia="en-GB"/>
        </w:rPr>
        <w:t>In</w:t>
      </w:r>
      <w:r w:rsidR="00977696">
        <w:rPr>
          <w:rFonts w:ascii="Times New Roman" w:eastAsia="Times New Roman" w:hAnsi="Times New Roman" w:cs="Times New Roman"/>
          <w:sz w:val="24"/>
          <w:szCs w:val="20"/>
          <w:lang w:eastAsia="en-GB"/>
        </w:rPr>
        <w:t xml:space="preserve"> the fully adjusted model, risk</w:t>
      </w:r>
      <w:r w:rsidR="00F425B0">
        <w:rPr>
          <w:rFonts w:ascii="Times New Roman" w:eastAsia="Times New Roman" w:hAnsi="Times New Roman" w:cs="Times New Roman"/>
          <w:sz w:val="24"/>
          <w:szCs w:val="20"/>
          <w:lang w:eastAsia="en-GB"/>
        </w:rPr>
        <w:t xml:space="preserve"> </w:t>
      </w:r>
      <w:r w:rsidR="00977696">
        <w:rPr>
          <w:rFonts w:ascii="Times New Roman" w:eastAsia="Times New Roman" w:hAnsi="Times New Roman" w:cs="Times New Roman"/>
          <w:sz w:val="24"/>
          <w:szCs w:val="20"/>
          <w:lang w:eastAsia="en-GB"/>
        </w:rPr>
        <w:t>was</w:t>
      </w:r>
      <w:r w:rsidR="00F425B0">
        <w:rPr>
          <w:rFonts w:ascii="Times New Roman" w:eastAsia="Times New Roman" w:hAnsi="Times New Roman" w:cs="Times New Roman"/>
          <w:sz w:val="24"/>
          <w:szCs w:val="20"/>
          <w:lang w:eastAsia="en-GB"/>
        </w:rPr>
        <w:t xml:space="preserve"> elevated about 1.5-fold for a history of ever being occupationally exposed to HTV, while the </w:t>
      </w:r>
      <w:r w:rsidR="00254173">
        <w:rPr>
          <w:rFonts w:ascii="Times New Roman" w:eastAsia="Times New Roman" w:hAnsi="Times New Roman" w:cs="Times New Roman"/>
          <w:sz w:val="24"/>
          <w:szCs w:val="20"/>
          <w:lang w:eastAsia="en-GB"/>
        </w:rPr>
        <w:t xml:space="preserve">PR </w:t>
      </w:r>
      <w:r w:rsidR="00F425B0">
        <w:rPr>
          <w:rFonts w:ascii="Times New Roman" w:eastAsia="Times New Roman" w:hAnsi="Times New Roman" w:cs="Times New Roman"/>
          <w:sz w:val="24"/>
          <w:szCs w:val="20"/>
          <w:lang w:eastAsia="en-GB"/>
        </w:rPr>
        <w:t>for exposure in the past week above 2.8 ms</w:t>
      </w:r>
      <w:r w:rsidR="00F425B0">
        <w:rPr>
          <w:rFonts w:ascii="Times New Roman" w:eastAsia="Times New Roman" w:hAnsi="Times New Roman" w:cs="Times New Roman"/>
          <w:sz w:val="24"/>
          <w:szCs w:val="20"/>
          <w:vertAlign w:val="superscript"/>
          <w:lang w:eastAsia="en-GB"/>
        </w:rPr>
        <w:t>-2</w:t>
      </w:r>
      <w:r w:rsidR="00F425B0">
        <w:rPr>
          <w:rFonts w:ascii="Times New Roman" w:eastAsia="Times New Roman" w:hAnsi="Times New Roman" w:cs="Times New Roman"/>
          <w:sz w:val="24"/>
          <w:szCs w:val="20"/>
          <w:lang w:eastAsia="en-GB"/>
        </w:rPr>
        <w:t xml:space="preserve"> was 2.85 (95%CI 1.37 to 5.97).</w:t>
      </w:r>
      <w:r w:rsidR="00F425B0">
        <w:rPr>
          <w:rFonts w:ascii="Times New Roman" w:eastAsia="Times New Roman" w:hAnsi="Times New Roman" w:cs="Times New Roman"/>
          <w:b/>
          <w:sz w:val="24"/>
          <w:szCs w:val="20"/>
          <w:lang w:eastAsia="en-GB"/>
        </w:rPr>
        <w:br w:type="page"/>
      </w:r>
    </w:p>
    <w:p w:rsidR="00707844" w:rsidRPr="00707844" w:rsidRDefault="00707844" w:rsidP="0047648B">
      <w:pPr>
        <w:jc w:val="both"/>
        <w:rPr>
          <w:rFonts w:ascii="Times New Roman" w:eastAsia="Times New Roman" w:hAnsi="Times New Roman" w:cs="Times New Roman"/>
          <w:b/>
          <w:sz w:val="24"/>
          <w:szCs w:val="20"/>
          <w:lang w:eastAsia="en-GB"/>
        </w:rPr>
      </w:pPr>
      <w:r w:rsidRPr="00707844">
        <w:rPr>
          <w:rFonts w:ascii="Times New Roman" w:eastAsia="Times New Roman" w:hAnsi="Times New Roman" w:cs="Times New Roman"/>
          <w:b/>
          <w:sz w:val="24"/>
          <w:szCs w:val="20"/>
          <w:lang w:eastAsia="en-GB"/>
        </w:rPr>
        <w:lastRenderedPageBreak/>
        <w:t>Discussion</w:t>
      </w:r>
    </w:p>
    <w:p w:rsidR="00D8556F" w:rsidRDefault="009E1F89" w:rsidP="0047648B">
      <w:pPr>
        <w:jc w:val="both"/>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T</w:t>
      </w:r>
      <w:r w:rsidR="00D8556F">
        <w:rPr>
          <w:rFonts w:ascii="Times New Roman" w:eastAsia="Times New Roman" w:hAnsi="Times New Roman" w:cs="Times New Roman"/>
          <w:sz w:val="24"/>
          <w:szCs w:val="20"/>
          <w:lang w:eastAsia="en-GB"/>
        </w:rPr>
        <w:t>his analysis</w:t>
      </w:r>
      <w:r>
        <w:rPr>
          <w:rFonts w:ascii="Times New Roman" w:eastAsia="Times New Roman" w:hAnsi="Times New Roman" w:cs="Times New Roman"/>
          <w:sz w:val="24"/>
          <w:szCs w:val="20"/>
          <w:lang w:eastAsia="en-GB"/>
        </w:rPr>
        <w:t xml:space="preserve">, based on a large population survey of </w:t>
      </w:r>
      <w:r w:rsidR="00977696">
        <w:rPr>
          <w:rFonts w:ascii="Times New Roman" w:eastAsia="Times New Roman" w:hAnsi="Times New Roman" w:cs="Times New Roman"/>
          <w:sz w:val="24"/>
          <w:szCs w:val="20"/>
          <w:lang w:eastAsia="en-GB"/>
        </w:rPr>
        <w:t xml:space="preserve">occupational exposure to </w:t>
      </w:r>
      <w:r>
        <w:rPr>
          <w:rFonts w:ascii="Times New Roman" w:eastAsia="Times New Roman" w:hAnsi="Times New Roman" w:cs="Times New Roman"/>
          <w:sz w:val="24"/>
          <w:szCs w:val="20"/>
          <w:lang w:eastAsia="en-GB"/>
        </w:rPr>
        <w:t>vibration</w:t>
      </w:r>
      <w:r w:rsidR="00977696" w:rsidRPr="00977696">
        <w:rPr>
          <w:rFonts w:ascii="Times New Roman" w:eastAsia="Times New Roman" w:hAnsi="Times New Roman" w:cs="Times New Roman"/>
          <w:sz w:val="24"/>
          <w:szCs w:val="20"/>
          <w:lang w:eastAsia="en-GB"/>
        </w:rPr>
        <w:t xml:space="preserve"> </w:t>
      </w:r>
      <w:r w:rsidR="00977696">
        <w:rPr>
          <w:rFonts w:ascii="Times New Roman" w:eastAsia="Times New Roman" w:hAnsi="Times New Roman" w:cs="Times New Roman"/>
          <w:sz w:val="24"/>
          <w:szCs w:val="20"/>
          <w:lang w:eastAsia="en-GB"/>
        </w:rPr>
        <w:t>and health</w:t>
      </w:r>
      <w:r>
        <w:rPr>
          <w:rFonts w:ascii="Times New Roman" w:eastAsia="Times New Roman" w:hAnsi="Times New Roman" w:cs="Times New Roman"/>
          <w:sz w:val="24"/>
          <w:szCs w:val="20"/>
          <w:lang w:eastAsia="en-GB"/>
        </w:rPr>
        <w:t>, suggests</w:t>
      </w:r>
      <w:r w:rsidR="00D8556F">
        <w:rPr>
          <w:rFonts w:ascii="Times New Roman" w:eastAsia="Times New Roman" w:hAnsi="Times New Roman" w:cs="Times New Roman"/>
          <w:sz w:val="24"/>
          <w:szCs w:val="20"/>
          <w:lang w:eastAsia="en-GB"/>
        </w:rPr>
        <w:t xml:space="preserve"> that HTV increase</w:t>
      </w:r>
      <w:r w:rsidR="00FD0018">
        <w:rPr>
          <w:rFonts w:ascii="Times New Roman" w:eastAsia="Times New Roman" w:hAnsi="Times New Roman" w:cs="Times New Roman"/>
          <w:sz w:val="24"/>
          <w:szCs w:val="20"/>
          <w:lang w:eastAsia="en-GB"/>
        </w:rPr>
        <w:t>s</w:t>
      </w:r>
      <w:r w:rsidR="00D8556F">
        <w:rPr>
          <w:rFonts w:ascii="Times New Roman" w:eastAsia="Times New Roman" w:hAnsi="Times New Roman" w:cs="Times New Roman"/>
          <w:sz w:val="24"/>
          <w:szCs w:val="20"/>
          <w:lang w:eastAsia="en-GB"/>
        </w:rPr>
        <w:t xml:space="preserve"> the </w:t>
      </w:r>
      <w:r w:rsidR="0020614A">
        <w:rPr>
          <w:rFonts w:ascii="Times New Roman" w:eastAsia="Times New Roman" w:hAnsi="Times New Roman" w:cs="Times New Roman"/>
          <w:sz w:val="24"/>
          <w:szCs w:val="20"/>
          <w:lang w:eastAsia="en-GB"/>
        </w:rPr>
        <w:t xml:space="preserve">risk of </w:t>
      </w:r>
      <w:proofErr w:type="spellStart"/>
      <w:r w:rsidR="0020614A">
        <w:rPr>
          <w:rFonts w:ascii="Times New Roman" w:eastAsia="Times New Roman" w:hAnsi="Times New Roman" w:cs="Times New Roman"/>
          <w:sz w:val="24"/>
          <w:szCs w:val="20"/>
          <w:lang w:eastAsia="en-GB"/>
        </w:rPr>
        <w:t>Dupuytren’s</w:t>
      </w:r>
      <w:proofErr w:type="spellEnd"/>
      <w:r w:rsidR="0020614A">
        <w:rPr>
          <w:rFonts w:ascii="Times New Roman" w:eastAsia="Times New Roman" w:hAnsi="Times New Roman" w:cs="Times New Roman"/>
          <w:sz w:val="24"/>
          <w:szCs w:val="20"/>
          <w:lang w:eastAsia="en-GB"/>
        </w:rPr>
        <w:t xml:space="preserve"> contracture</w:t>
      </w:r>
      <w:r>
        <w:rPr>
          <w:rFonts w:ascii="Times New Roman" w:eastAsia="Times New Roman" w:hAnsi="Times New Roman" w:cs="Times New Roman"/>
          <w:sz w:val="24"/>
          <w:szCs w:val="20"/>
          <w:lang w:eastAsia="en-GB"/>
        </w:rPr>
        <w:t>,</w:t>
      </w:r>
      <w:r w:rsidR="00D8556F">
        <w:rPr>
          <w:rFonts w:ascii="Times New Roman" w:eastAsia="Times New Roman" w:hAnsi="Times New Roman" w:cs="Times New Roman"/>
          <w:sz w:val="24"/>
          <w:szCs w:val="20"/>
          <w:lang w:eastAsia="en-GB"/>
        </w:rPr>
        <w:t xml:space="preserve"> and that </w:t>
      </w:r>
      <w:r w:rsidR="00254173">
        <w:rPr>
          <w:rFonts w:ascii="Times New Roman" w:eastAsia="Times New Roman" w:hAnsi="Times New Roman" w:cs="Times New Roman"/>
          <w:sz w:val="24"/>
          <w:szCs w:val="20"/>
          <w:lang w:eastAsia="en-GB"/>
        </w:rPr>
        <w:t xml:space="preserve">prevalence ratios </w:t>
      </w:r>
      <w:r w:rsidR="00FD0018">
        <w:rPr>
          <w:rFonts w:ascii="Times New Roman" w:eastAsia="Times New Roman" w:hAnsi="Times New Roman" w:cs="Times New Roman"/>
          <w:sz w:val="24"/>
          <w:szCs w:val="20"/>
          <w:lang w:eastAsia="en-GB"/>
        </w:rPr>
        <w:t>can</w:t>
      </w:r>
      <w:r w:rsidR="00FE0C59">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be elevated</w:t>
      </w:r>
      <w:r w:rsidR="00D8556F">
        <w:rPr>
          <w:rFonts w:ascii="Times New Roman" w:eastAsia="Times New Roman" w:hAnsi="Times New Roman" w:cs="Times New Roman"/>
          <w:sz w:val="24"/>
          <w:szCs w:val="20"/>
          <w:lang w:eastAsia="en-GB"/>
        </w:rPr>
        <w:t xml:space="preserve"> </w:t>
      </w:r>
      <w:r w:rsidR="00DC38A1">
        <w:rPr>
          <w:rFonts w:ascii="Times New Roman" w:eastAsia="Times New Roman" w:hAnsi="Times New Roman" w:cs="Times New Roman"/>
          <w:sz w:val="24"/>
          <w:szCs w:val="20"/>
          <w:lang w:eastAsia="en-GB"/>
        </w:rPr>
        <w:t>some</w:t>
      </w:r>
      <w:r w:rsidR="00E73E54">
        <w:rPr>
          <w:rFonts w:ascii="Times New Roman" w:eastAsia="Times New Roman" w:hAnsi="Times New Roman" w:cs="Times New Roman"/>
          <w:sz w:val="24"/>
          <w:szCs w:val="20"/>
          <w:lang w:eastAsia="en-GB"/>
        </w:rPr>
        <w:t xml:space="preserve"> three</w:t>
      </w:r>
      <w:r>
        <w:rPr>
          <w:rFonts w:ascii="Times New Roman" w:eastAsia="Times New Roman" w:hAnsi="Times New Roman" w:cs="Times New Roman"/>
          <w:sz w:val="24"/>
          <w:szCs w:val="20"/>
          <w:lang w:eastAsia="en-GB"/>
        </w:rPr>
        <w:t>-fold,</w:t>
      </w:r>
      <w:r w:rsidR="00FE0C59">
        <w:rPr>
          <w:rFonts w:ascii="Times New Roman" w:eastAsia="Times New Roman" w:hAnsi="Times New Roman" w:cs="Times New Roman"/>
          <w:sz w:val="24"/>
          <w:szCs w:val="20"/>
          <w:lang w:eastAsia="en-GB"/>
        </w:rPr>
        <w:t xml:space="preserve"> </w:t>
      </w:r>
      <w:r w:rsidR="00977696">
        <w:rPr>
          <w:rFonts w:ascii="Times New Roman" w:eastAsia="Times New Roman" w:hAnsi="Times New Roman" w:cs="Times New Roman"/>
          <w:sz w:val="24"/>
          <w:szCs w:val="20"/>
          <w:lang w:eastAsia="en-GB"/>
        </w:rPr>
        <w:t>with higher</w:t>
      </w:r>
      <w:r w:rsidR="00370831">
        <w:rPr>
          <w:rFonts w:ascii="Times New Roman" w:eastAsia="Times New Roman" w:hAnsi="Times New Roman" w:cs="Times New Roman"/>
          <w:sz w:val="24"/>
          <w:szCs w:val="20"/>
          <w:lang w:eastAsia="en-GB"/>
        </w:rPr>
        <w:t xml:space="preserve"> exposure</w:t>
      </w:r>
      <w:r w:rsidR="00977696">
        <w:rPr>
          <w:rFonts w:ascii="Times New Roman" w:eastAsia="Times New Roman" w:hAnsi="Times New Roman" w:cs="Times New Roman"/>
          <w:sz w:val="24"/>
          <w:szCs w:val="20"/>
          <w:lang w:eastAsia="en-GB"/>
        </w:rPr>
        <w:t>s</w:t>
      </w:r>
      <w:r w:rsidR="00370831">
        <w:rPr>
          <w:rFonts w:ascii="Times New Roman" w:eastAsia="Times New Roman" w:hAnsi="Times New Roman" w:cs="Times New Roman"/>
          <w:sz w:val="24"/>
          <w:szCs w:val="20"/>
          <w:lang w:eastAsia="en-GB"/>
        </w:rPr>
        <w:t>.</w:t>
      </w:r>
    </w:p>
    <w:p w:rsidR="00D8556F" w:rsidRDefault="00D8556F" w:rsidP="0047648B">
      <w:pPr>
        <w:jc w:val="both"/>
        <w:rPr>
          <w:rFonts w:ascii="Times New Roman" w:eastAsia="Times New Roman" w:hAnsi="Times New Roman" w:cs="Times New Roman"/>
          <w:sz w:val="24"/>
          <w:szCs w:val="20"/>
          <w:lang w:eastAsia="en-GB"/>
        </w:rPr>
      </w:pPr>
    </w:p>
    <w:p w:rsidR="00FB5884" w:rsidRDefault="00FE0C59" w:rsidP="005A45C0">
      <w:pPr>
        <w:jc w:val="both"/>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Our</w:t>
      </w:r>
      <w:r w:rsidR="009E1F89">
        <w:rPr>
          <w:rFonts w:ascii="Times New Roman" w:eastAsia="Times New Roman" w:hAnsi="Times New Roman" w:cs="Times New Roman"/>
          <w:sz w:val="24"/>
          <w:szCs w:val="20"/>
          <w:lang w:eastAsia="en-GB"/>
        </w:rPr>
        <w:t xml:space="preserve"> dataset has some notable</w:t>
      </w:r>
      <w:r w:rsidR="00D8556F">
        <w:rPr>
          <w:rFonts w:ascii="Times New Roman" w:eastAsia="Times New Roman" w:hAnsi="Times New Roman" w:cs="Times New Roman"/>
          <w:sz w:val="24"/>
          <w:szCs w:val="20"/>
          <w:lang w:eastAsia="en-GB"/>
        </w:rPr>
        <w:t xml:space="preserve"> </w:t>
      </w:r>
      <w:proofErr w:type="gramStart"/>
      <w:r w:rsidR="00D8556F">
        <w:rPr>
          <w:rFonts w:ascii="Times New Roman" w:eastAsia="Times New Roman" w:hAnsi="Times New Roman" w:cs="Times New Roman"/>
          <w:sz w:val="24"/>
          <w:szCs w:val="20"/>
          <w:lang w:eastAsia="en-GB"/>
        </w:rPr>
        <w:t>strengths</w:t>
      </w:r>
      <w:proofErr w:type="gramEnd"/>
      <w:r w:rsidR="003358B6">
        <w:rPr>
          <w:rFonts w:ascii="Times New Roman" w:eastAsia="Times New Roman" w:hAnsi="Times New Roman" w:cs="Times New Roman"/>
          <w:sz w:val="24"/>
          <w:szCs w:val="20"/>
          <w:lang w:eastAsia="en-GB"/>
        </w:rPr>
        <w:t>,</w:t>
      </w:r>
      <w:r w:rsidR="00D8556F">
        <w:rPr>
          <w:rFonts w:ascii="Times New Roman" w:eastAsia="Times New Roman" w:hAnsi="Times New Roman" w:cs="Times New Roman"/>
          <w:sz w:val="24"/>
          <w:szCs w:val="20"/>
          <w:lang w:eastAsia="en-GB"/>
        </w:rPr>
        <w:t xml:space="preserve"> but also </w:t>
      </w:r>
      <w:r>
        <w:rPr>
          <w:rFonts w:ascii="Times New Roman" w:eastAsia="Times New Roman" w:hAnsi="Times New Roman" w:cs="Times New Roman"/>
          <w:sz w:val="24"/>
          <w:szCs w:val="20"/>
          <w:lang w:eastAsia="en-GB"/>
        </w:rPr>
        <w:t>certain</w:t>
      </w:r>
      <w:r w:rsidR="00D8556F">
        <w:rPr>
          <w:rFonts w:ascii="Times New Roman" w:eastAsia="Times New Roman" w:hAnsi="Times New Roman" w:cs="Times New Roman"/>
          <w:sz w:val="24"/>
          <w:szCs w:val="20"/>
          <w:lang w:eastAsia="en-GB"/>
        </w:rPr>
        <w:t xml:space="preserve"> limitations. The sample originally selected for study was chosen to provide information that within each occupation would be representative of Britain as a whole; it included more than 21,000 adults from general practices across the country</w:t>
      </w:r>
      <w:r w:rsidR="003358B6">
        <w:rPr>
          <w:rFonts w:ascii="Times New Roman" w:eastAsia="Times New Roman" w:hAnsi="Times New Roman" w:cs="Times New Roman"/>
          <w:sz w:val="24"/>
          <w:szCs w:val="20"/>
          <w:lang w:eastAsia="en-GB"/>
        </w:rPr>
        <w:t xml:space="preserve"> (</w:t>
      </w:r>
      <w:r w:rsidR="00D8556F">
        <w:rPr>
          <w:rFonts w:ascii="Times New Roman" w:eastAsia="Times New Roman" w:hAnsi="Times New Roman" w:cs="Times New Roman"/>
          <w:sz w:val="24"/>
          <w:szCs w:val="20"/>
          <w:lang w:eastAsia="en-GB"/>
        </w:rPr>
        <w:t>almost everyone registers with a National Health Service</w:t>
      </w:r>
      <w:r w:rsidR="005A45C0">
        <w:rPr>
          <w:rFonts w:ascii="Times New Roman" w:eastAsia="Times New Roman" w:hAnsi="Times New Roman" w:cs="Times New Roman"/>
          <w:sz w:val="24"/>
          <w:szCs w:val="20"/>
          <w:lang w:eastAsia="en-GB"/>
        </w:rPr>
        <w:t xml:space="preserve"> general practitioner</w:t>
      </w:r>
      <w:r w:rsidR="003358B6">
        <w:rPr>
          <w:rFonts w:ascii="Times New Roman" w:eastAsia="Times New Roman" w:hAnsi="Times New Roman" w:cs="Times New Roman"/>
          <w:sz w:val="24"/>
          <w:szCs w:val="20"/>
          <w:lang w:eastAsia="en-GB"/>
        </w:rPr>
        <w:t xml:space="preserve">, </w:t>
      </w:r>
      <w:r w:rsidR="00D8556F">
        <w:rPr>
          <w:rFonts w:ascii="Times New Roman" w:eastAsia="Times New Roman" w:hAnsi="Times New Roman" w:cs="Times New Roman"/>
          <w:sz w:val="24"/>
          <w:szCs w:val="20"/>
          <w:lang w:eastAsia="en-GB"/>
        </w:rPr>
        <w:t>apart from members of the armed forces who were sampled separately)</w:t>
      </w:r>
      <w:r w:rsidR="003358B6">
        <w:rPr>
          <w:rFonts w:ascii="Times New Roman" w:eastAsia="Times New Roman" w:hAnsi="Times New Roman" w:cs="Times New Roman"/>
          <w:sz w:val="24"/>
          <w:szCs w:val="20"/>
          <w:lang w:eastAsia="en-GB"/>
        </w:rPr>
        <w:t>.</w:t>
      </w:r>
      <w:r w:rsidR="00D8556F">
        <w:rPr>
          <w:rFonts w:ascii="Times New Roman" w:eastAsia="Times New Roman" w:hAnsi="Times New Roman" w:cs="Times New Roman"/>
          <w:sz w:val="24"/>
          <w:szCs w:val="20"/>
          <w:lang w:eastAsia="en-GB"/>
        </w:rPr>
        <w:t xml:space="preserve"> </w:t>
      </w:r>
      <w:r w:rsidR="003358B6" w:rsidRPr="003358B6">
        <w:rPr>
          <w:rFonts w:ascii="Times New Roman" w:eastAsia="Times New Roman" w:hAnsi="Times New Roman" w:cs="Times New Roman"/>
          <w:sz w:val="24"/>
          <w:szCs w:val="20"/>
          <w:lang w:eastAsia="en-GB"/>
        </w:rPr>
        <w:t>Quantitative estimates of exposure</w:t>
      </w:r>
      <w:r w:rsidR="003358B6">
        <w:rPr>
          <w:rFonts w:ascii="Times New Roman" w:eastAsia="Times New Roman" w:hAnsi="Times New Roman" w:cs="Times New Roman"/>
          <w:sz w:val="24"/>
          <w:szCs w:val="20"/>
          <w:lang w:eastAsia="en-GB"/>
        </w:rPr>
        <w:t xml:space="preserve"> to HTV </w:t>
      </w:r>
      <w:r w:rsidR="003358B6" w:rsidRPr="003358B6">
        <w:rPr>
          <w:rFonts w:ascii="Times New Roman" w:eastAsia="Times New Roman" w:hAnsi="Times New Roman" w:cs="Times New Roman"/>
          <w:sz w:val="24"/>
          <w:szCs w:val="20"/>
          <w:lang w:eastAsia="en-GB"/>
        </w:rPr>
        <w:t>are subject to several potential sources of er</w:t>
      </w:r>
      <w:r w:rsidR="003358B6">
        <w:rPr>
          <w:rFonts w:ascii="Times New Roman" w:eastAsia="Times New Roman" w:hAnsi="Times New Roman" w:cs="Times New Roman"/>
          <w:sz w:val="24"/>
          <w:szCs w:val="20"/>
          <w:lang w:eastAsia="en-GB"/>
        </w:rPr>
        <w:t xml:space="preserve">ror and </w:t>
      </w:r>
      <w:r w:rsidR="003358B6" w:rsidRPr="003358B6">
        <w:rPr>
          <w:rFonts w:ascii="Times New Roman" w:eastAsia="Times New Roman" w:hAnsi="Times New Roman" w:cs="Times New Roman"/>
          <w:sz w:val="24"/>
          <w:szCs w:val="20"/>
          <w:lang w:eastAsia="en-GB"/>
        </w:rPr>
        <w:t>bias</w:t>
      </w:r>
      <w:r w:rsidR="003358B6">
        <w:rPr>
          <w:rFonts w:ascii="Times New Roman" w:eastAsia="Times New Roman" w:hAnsi="Times New Roman" w:cs="Times New Roman"/>
          <w:sz w:val="24"/>
          <w:szCs w:val="20"/>
          <w:lang w:eastAsia="en-GB"/>
        </w:rPr>
        <w:t xml:space="preserve"> [7</w:t>
      </w:r>
      <w:proofErr w:type="gramStart"/>
      <w:r w:rsidR="003358B6">
        <w:rPr>
          <w:rFonts w:ascii="Times New Roman" w:eastAsia="Times New Roman" w:hAnsi="Times New Roman" w:cs="Times New Roman"/>
          <w:sz w:val="24"/>
          <w:szCs w:val="20"/>
          <w:lang w:eastAsia="en-GB"/>
        </w:rPr>
        <w:t>,</w:t>
      </w:r>
      <w:r w:rsidR="007035CE">
        <w:rPr>
          <w:rFonts w:ascii="Times New Roman" w:eastAsia="Times New Roman" w:hAnsi="Times New Roman" w:cs="Times New Roman"/>
          <w:sz w:val="24"/>
          <w:szCs w:val="20"/>
          <w:lang w:eastAsia="en-GB"/>
        </w:rPr>
        <w:t>12</w:t>
      </w:r>
      <w:proofErr w:type="gramEnd"/>
      <w:r w:rsidR="003358B6">
        <w:rPr>
          <w:rFonts w:ascii="Times New Roman" w:eastAsia="Times New Roman" w:hAnsi="Times New Roman" w:cs="Times New Roman"/>
          <w:sz w:val="24"/>
          <w:szCs w:val="20"/>
          <w:lang w:eastAsia="en-GB"/>
        </w:rPr>
        <w:t>], but estimates from this study were particularly well characterised</w:t>
      </w:r>
      <w:r w:rsidR="00CD543C">
        <w:rPr>
          <w:rFonts w:ascii="Times New Roman" w:eastAsia="Times New Roman" w:hAnsi="Times New Roman" w:cs="Times New Roman"/>
          <w:sz w:val="24"/>
          <w:szCs w:val="20"/>
          <w:lang w:eastAsia="en-GB"/>
        </w:rPr>
        <w:t>. T</w:t>
      </w:r>
      <w:r w:rsidR="003358B6">
        <w:rPr>
          <w:rFonts w:ascii="Times New Roman" w:eastAsia="Times New Roman" w:hAnsi="Times New Roman" w:cs="Times New Roman"/>
          <w:sz w:val="24"/>
          <w:szCs w:val="20"/>
          <w:lang w:eastAsia="en-GB"/>
        </w:rPr>
        <w:t>hey were based</w:t>
      </w:r>
      <w:r w:rsidR="003358B6" w:rsidRPr="005A45C0">
        <w:rPr>
          <w:rFonts w:ascii="Times New Roman" w:eastAsia="Times New Roman" w:hAnsi="Times New Roman" w:cs="Times New Roman"/>
          <w:sz w:val="24"/>
          <w:szCs w:val="20"/>
          <w:lang w:eastAsia="en-GB"/>
        </w:rPr>
        <w:t xml:space="preserve"> </w:t>
      </w:r>
      <w:r w:rsidR="003358B6">
        <w:rPr>
          <w:rFonts w:ascii="Times New Roman" w:eastAsia="Times New Roman" w:hAnsi="Times New Roman" w:cs="Times New Roman"/>
          <w:sz w:val="24"/>
          <w:szCs w:val="20"/>
          <w:lang w:eastAsia="en-GB"/>
        </w:rPr>
        <w:t xml:space="preserve">principally </w:t>
      </w:r>
      <w:r w:rsidR="00CD543C">
        <w:rPr>
          <w:rFonts w:ascii="Times New Roman" w:eastAsia="Times New Roman" w:hAnsi="Times New Roman" w:cs="Times New Roman"/>
          <w:sz w:val="24"/>
          <w:szCs w:val="20"/>
          <w:lang w:eastAsia="en-GB"/>
        </w:rPr>
        <w:t>around</w:t>
      </w:r>
      <w:r w:rsidR="003358B6" w:rsidRPr="005A45C0">
        <w:rPr>
          <w:rFonts w:ascii="Times New Roman" w:eastAsia="Times New Roman" w:hAnsi="Times New Roman" w:cs="Times New Roman"/>
          <w:sz w:val="24"/>
          <w:szCs w:val="20"/>
          <w:lang w:eastAsia="en-GB"/>
        </w:rPr>
        <w:t xml:space="preserve"> a pre-defined</w:t>
      </w:r>
      <w:r w:rsidR="003358B6" w:rsidRPr="003358B6">
        <w:rPr>
          <w:rFonts w:ascii="Times New Roman" w:eastAsia="Times New Roman" w:hAnsi="Times New Roman" w:cs="Times New Roman"/>
          <w:sz w:val="24"/>
          <w:szCs w:val="20"/>
          <w:lang w:eastAsia="en-GB"/>
        </w:rPr>
        <w:t xml:space="preserve"> </w:t>
      </w:r>
      <w:r w:rsidR="00CD543C">
        <w:rPr>
          <w:rFonts w:ascii="Times New Roman" w:eastAsia="Times New Roman" w:hAnsi="Times New Roman" w:cs="Times New Roman"/>
          <w:sz w:val="24"/>
          <w:szCs w:val="20"/>
          <w:lang w:eastAsia="en-GB"/>
        </w:rPr>
        <w:t>check</w:t>
      </w:r>
      <w:r w:rsidR="003358B6" w:rsidRPr="003358B6">
        <w:rPr>
          <w:rFonts w:ascii="Times New Roman" w:eastAsia="Times New Roman" w:hAnsi="Times New Roman" w:cs="Times New Roman"/>
          <w:sz w:val="24"/>
          <w:szCs w:val="20"/>
          <w:lang w:eastAsia="en-GB"/>
        </w:rPr>
        <w:t xml:space="preserve">list of sources </w:t>
      </w:r>
      <w:r w:rsidR="00CD543C">
        <w:rPr>
          <w:rFonts w:ascii="Times New Roman" w:eastAsia="Times New Roman" w:hAnsi="Times New Roman" w:cs="Times New Roman"/>
          <w:sz w:val="24"/>
          <w:szCs w:val="20"/>
          <w:lang w:eastAsia="en-GB"/>
        </w:rPr>
        <w:t>(</w:t>
      </w:r>
      <w:r w:rsidR="00CD543C" w:rsidRPr="00CD543C">
        <w:rPr>
          <w:rFonts w:ascii="Times New Roman" w:eastAsia="Times New Roman" w:hAnsi="Times New Roman" w:cs="Times New Roman"/>
          <w:sz w:val="24"/>
          <w:szCs w:val="20"/>
          <w:lang w:eastAsia="en-GB"/>
        </w:rPr>
        <w:t xml:space="preserve">identified </w:t>
      </w:r>
      <w:r w:rsidR="00CD543C">
        <w:rPr>
          <w:rFonts w:ascii="Times New Roman" w:eastAsia="Times New Roman" w:hAnsi="Times New Roman" w:cs="Times New Roman"/>
          <w:sz w:val="24"/>
          <w:szCs w:val="20"/>
          <w:lang w:eastAsia="en-GB"/>
        </w:rPr>
        <w:t>by</w:t>
      </w:r>
      <w:r w:rsidR="00CD543C" w:rsidRPr="00CD543C">
        <w:rPr>
          <w:rFonts w:ascii="Times New Roman" w:eastAsia="Times New Roman" w:hAnsi="Times New Roman" w:cs="Times New Roman"/>
          <w:sz w:val="24"/>
          <w:szCs w:val="20"/>
          <w:lang w:eastAsia="en-GB"/>
        </w:rPr>
        <w:t xml:space="preserve"> literature review</w:t>
      </w:r>
      <w:r w:rsidR="00CD543C">
        <w:rPr>
          <w:rFonts w:ascii="Times New Roman" w:eastAsia="Times New Roman" w:hAnsi="Times New Roman" w:cs="Times New Roman"/>
          <w:sz w:val="24"/>
          <w:szCs w:val="20"/>
          <w:lang w:eastAsia="en-GB"/>
        </w:rPr>
        <w:t xml:space="preserve">, </w:t>
      </w:r>
      <w:r w:rsidR="00CD543C" w:rsidRPr="00CD543C">
        <w:rPr>
          <w:rFonts w:ascii="Times New Roman" w:eastAsia="Times New Roman" w:hAnsi="Times New Roman" w:cs="Times New Roman"/>
          <w:sz w:val="24"/>
          <w:szCs w:val="20"/>
          <w:lang w:eastAsia="en-GB"/>
        </w:rPr>
        <w:t>by CEN/TC 231/WG2 as requiring type testing, and</w:t>
      </w:r>
      <w:r w:rsidR="00CD543C">
        <w:rPr>
          <w:rFonts w:ascii="Times New Roman" w:eastAsia="Times New Roman" w:hAnsi="Times New Roman" w:cs="Times New Roman"/>
          <w:sz w:val="24"/>
          <w:szCs w:val="20"/>
          <w:lang w:eastAsia="en-GB"/>
        </w:rPr>
        <w:t xml:space="preserve"> by a</w:t>
      </w:r>
      <w:r w:rsidR="00CD543C" w:rsidRPr="00CD543C">
        <w:rPr>
          <w:rFonts w:ascii="Times New Roman" w:eastAsia="Times New Roman" w:hAnsi="Times New Roman" w:cs="Times New Roman"/>
          <w:sz w:val="24"/>
          <w:szCs w:val="20"/>
          <w:lang w:eastAsia="en-GB"/>
        </w:rPr>
        <w:t xml:space="preserve"> </w:t>
      </w:r>
      <w:r w:rsidR="00CD543C">
        <w:rPr>
          <w:rFonts w:ascii="Times New Roman" w:eastAsia="Times New Roman" w:hAnsi="Times New Roman" w:cs="Times New Roman"/>
          <w:sz w:val="24"/>
          <w:szCs w:val="20"/>
          <w:lang w:eastAsia="en-GB"/>
        </w:rPr>
        <w:t xml:space="preserve">broad panel of vibration specialists and stakeholders) [9], together with </w:t>
      </w:r>
      <w:r w:rsidR="00CD543C" w:rsidRPr="003358B6">
        <w:rPr>
          <w:rFonts w:ascii="Times New Roman" w:eastAsia="Times New Roman" w:hAnsi="Times New Roman" w:cs="Times New Roman"/>
          <w:sz w:val="24"/>
          <w:szCs w:val="20"/>
          <w:lang w:eastAsia="en-GB"/>
        </w:rPr>
        <w:t>independent</w:t>
      </w:r>
      <w:r w:rsidR="00CD543C">
        <w:rPr>
          <w:rFonts w:ascii="Times New Roman" w:eastAsia="Times New Roman" w:hAnsi="Times New Roman" w:cs="Times New Roman"/>
          <w:sz w:val="24"/>
          <w:szCs w:val="20"/>
          <w:lang w:eastAsia="en-GB"/>
        </w:rPr>
        <w:t xml:space="preserve"> </w:t>
      </w:r>
      <w:r w:rsidR="00CD543C" w:rsidRPr="003358B6">
        <w:rPr>
          <w:rFonts w:ascii="Times New Roman" w:eastAsia="Times New Roman" w:hAnsi="Times New Roman" w:cs="Times New Roman"/>
          <w:sz w:val="24"/>
          <w:szCs w:val="20"/>
          <w:lang w:eastAsia="en-GB"/>
        </w:rPr>
        <w:t xml:space="preserve">workplace visits to </w:t>
      </w:r>
      <w:r>
        <w:rPr>
          <w:rFonts w:ascii="Times New Roman" w:eastAsia="Times New Roman" w:hAnsi="Times New Roman" w:cs="Times New Roman"/>
          <w:sz w:val="24"/>
          <w:szCs w:val="20"/>
          <w:lang w:eastAsia="en-GB"/>
        </w:rPr>
        <w:t>confirm</w:t>
      </w:r>
      <w:r w:rsidR="00CD543C" w:rsidRPr="003358B6">
        <w:rPr>
          <w:rFonts w:ascii="Times New Roman" w:eastAsia="Times New Roman" w:hAnsi="Times New Roman" w:cs="Times New Roman"/>
          <w:sz w:val="24"/>
          <w:szCs w:val="20"/>
          <w:lang w:eastAsia="en-GB"/>
        </w:rPr>
        <w:t xml:space="preserve"> the accuracy</w:t>
      </w:r>
      <w:r w:rsidR="00CD543C">
        <w:rPr>
          <w:rFonts w:ascii="Times New Roman" w:eastAsia="Times New Roman" w:hAnsi="Times New Roman" w:cs="Times New Roman"/>
          <w:sz w:val="24"/>
          <w:szCs w:val="20"/>
          <w:lang w:eastAsia="en-GB"/>
        </w:rPr>
        <w:t xml:space="preserve"> of exposure reporting [12] and </w:t>
      </w:r>
      <w:r w:rsidR="00CD543C" w:rsidRPr="003358B6">
        <w:rPr>
          <w:rFonts w:ascii="Times New Roman" w:eastAsia="Times New Roman" w:hAnsi="Times New Roman" w:cs="Times New Roman"/>
          <w:sz w:val="24"/>
          <w:szCs w:val="20"/>
          <w:lang w:eastAsia="en-GB"/>
        </w:rPr>
        <w:t>independent</w:t>
      </w:r>
      <w:r w:rsidR="00CD543C">
        <w:rPr>
          <w:rFonts w:ascii="Times New Roman" w:eastAsia="Times New Roman" w:hAnsi="Times New Roman" w:cs="Times New Roman"/>
          <w:sz w:val="24"/>
          <w:szCs w:val="20"/>
          <w:lang w:eastAsia="en-GB"/>
        </w:rPr>
        <w:t xml:space="preserve"> field </w:t>
      </w:r>
      <w:r w:rsidR="00CD543C" w:rsidRPr="003358B6">
        <w:rPr>
          <w:rFonts w:ascii="Times New Roman" w:eastAsia="Times New Roman" w:hAnsi="Times New Roman" w:cs="Times New Roman"/>
          <w:sz w:val="24"/>
          <w:szCs w:val="20"/>
          <w:lang w:eastAsia="en-GB"/>
        </w:rPr>
        <w:t>measurements</w:t>
      </w:r>
      <w:r w:rsidR="00CD543C">
        <w:rPr>
          <w:rFonts w:ascii="Times New Roman" w:eastAsia="Times New Roman" w:hAnsi="Times New Roman" w:cs="Times New Roman"/>
          <w:sz w:val="24"/>
          <w:szCs w:val="20"/>
          <w:lang w:eastAsia="en-GB"/>
        </w:rPr>
        <w:t xml:space="preserve"> </w:t>
      </w:r>
      <w:r w:rsidR="00FB5884" w:rsidRPr="003358B6">
        <w:rPr>
          <w:rFonts w:ascii="Times New Roman" w:eastAsia="Times New Roman" w:hAnsi="Times New Roman" w:cs="Times New Roman"/>
          <w:sz w:val="24"/>
          <w:szCs w:val="20"/>
          <w:lang w:eastAsia="en-GB"/>
        </w:rPr>
        <w:t xml:space="preserve">of exposure </w:t>
      </w:r>
      <w:r w:rsidR="00FB5884">
        <w:rPr>
          <w:rFonts w:ascii="Times New Roman" w:eastAsia="Times New Roman" w:hAnsi="Times New Roman" w:cs="Times New Roman"/>
          <w:sz w:val="24"/>
          <w:szCs w:val="20"/>
          <w:lang w:eastAsia="en-GB"/>
        </w:rPr>
        <w:t>for</w:t>
      </w:r>
      <w:r w:rsidR="00CD543C" w:rsidRPr="003358B6">
        <w:rPr>
          <w:rFonts w:ascii="Times New Roman" w:eastAsia="Times New Roman" w:hAnsi="Times New Roman" w:cs="Times New Roman"/>
          <w:sz w:val="24"/>
          <w:szCs w:val="20"/>
          <w:lang w:eastAsia="en-GB"/>
        </w:rPr>
        <w:t xml:space="preserve"> sources that were common in th</w:t>
      </w:r>
      <w:r w:rsidR="00CD543C">
        <w:rPr>
          <w:rFonts w:ascii="Times New Roman" w:eastAsia="Times New Roman" w:hAnsi="Times New Roman" w:cs="Times New Roman"/>
          <w:sz w:val="24"/>
          <w:szCs w:val="20"/>
          <w:lang w:eastAsia="en-GB"/>
        </w:rPr>
        <w:t>e survey [10].</w:t>
      </w:r>
      <w:r w:rsidR="00FB5884">
        <w:rPr>
          <w:rFonts w:ascii="Times New Roman" w:eastAsia="Times New Roman" w:hAnsi="Times New Roman" w:cs="Times New Roman"/>
          <w:sz w:val="24"/>
          <w:szCs w:val="20"/>
          <w:lang w:eastAsia="en-GB"/>
        </w:rPr>
        <w:t xml:space="preserve"> </w:t>
      </w:r>
    </w:p>
    <w:p w:rsidR="00FB5884" w:rsidRDefault="00FB5884" w:rsidP="005A45C0">
      <w:pPr>
        <w:jc w:val="both"/>
        <w:rPr>
          <w:rFonts w:ascii="Times New Roman" w:eastAsia="Times New Roman" w:hAnsi="Times New Roman" w:cs="Times New Roman"/>
          <w:sz w:val="24"/>
          <w:szCs w:val="20"/>
          <w:lang w:eastAsia="en-GB"/>
        </w:rPr>
      </w:pPr>
    </w:p>
    <w:p w:rsidR="003358B6" w:rsidRDefault="007035CE" w:rsidP="005A45C0">
      <w:pPr>
        <w:jc w:val="both"/>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Set against this, the </w:t>
      </w:r>
      <w:r w:rsidR="00977696">
        <w:rPr>
          <w:rFonts w:ascii="Times New Roman" w:eastAsia="Times New Roman" w:hAnsi="Times New Roman" w:cs="Times New Roman"/>
          <w:sz w:val="24"/>
          <w:szCs w:val="20"/>
          <w:lang w:eastAsia="en-GB"/>
        </w:rPr>
        <w:t>survey</w:t>
      </w:r>
      <w:r>
        <w:rPr>
          <w:rFonts w:ascii="Times New Roman" w:eastAsia="Times New Roman" w:hAnsi="Times New Roman" w:cs="Times New Roman"/>
          <w:sz w:val="24"/>
          <w:szCs w:val="20"/>
          <w:lang w:eastAsia="en-GB"/>
        </w:rPr>
        <w:t xml:space="preserve"> focussed principally on exposures over the previous week and did not seek to </w:t>
      </w:r>
      <w:r w:rsidR="00BB2CC3">
        <w:rPr>
          <w:rFonts w:ascii="Times New Roman" w:eastAsia="Times New Roman" w:hAnsi="Times New Roman" w:cs="Times New Roman"/>
          <w:sz w:val="24"/>
          <w:szCs w:val="20"/>
          <w:lang w:eastAsia="en-GB"/>
        </w:rPr>
        <w:t>quantify</w:t>
      </w:r>
      <w:r>
        <w:rPr>
          <w:rFonts w:ascii="Times New Roman" w:eastAsia="Times New Roman" w:hAnsi="Times New Roman" w:cs="Times New Roman"/>
          <w:sz w:val="24"/>
          <w:szCs w:val="20"/>
          <w:lang w:eastAsia="en-GB"/>
        </w:rPr>
        <w:t xml:space="preserve"> lifet</w:t>
      </w:r>
      <w:r w:rsidR="00FB5884">
        <w:rPr>
          <w:rFonts w:ascii="Times New Roman" w:eastAsia="Times New Roman" w:hAnsi="Times New Roman" w:cs="Times New Roman"/>
          <w:sz w:val="24"/>
          <w:szCs w:val="20"/>
          <w:lang w:eastAsia="en-GB"/>
        </w:rPr>
        <w:t xml:space="preserve">ime cumulative exposure to HTV – </w:t>
      </w:r>
      <w:r>
        <w:rPr>
          <w:rFonts w:ascii="Times New Roman" w:eastAsia="Times New Roman" w:hAnsi="Times New Roman" w:cs="Times New Roman"/>
          <w:sz w:val="24"/>
          <w:szCs w:val="20"/>
          <w:lang w:eastAsia="en-GB"/>
        </w:rPr>
        <w:t>a task that is f</w:t>
      </w:r>
      <w:r w:rsidR="00FB5884">
        <w:rPr>
          <w:rFonts w:ascii="Times New Roman" w:eastAsia="Times New Roman" w:hAnsi="Times New Roman" w:cs="Times New Roman"/>
          <w:sz w:val="24"/>
          <w:szCs w:val="20"/>
          <w:lang w:eastAsia="en-GB"/>
        </w:rPr>
        <w:t>raught with potential for error. Thus, the exposures analysed</w:t>
      </w:r>
      <w:r w:rsidR="00FE0C59">
        <w:rPr>
          <w:rFonts w:ascii="Times New Roman" w:eastAsia="Times New Roman" w:hAnsi="Times New Roman" w:cs="Times New Roman"/>
          <w:sz w:val="24"/>
          <w:szCs w:val="20"/>
          <w:lang w:eastAsia="en-GB"/>
        </w:rPr>
        <w:t xml:space="preserve"> here</w:t>
      </w:r>
      <w:r w:rsidR="00FB5884">
        <w:rPr>
          <w:rFonts w:ascii="Times New Roman" w:eastAsia="Times New Roman" w:hAnsi="Times New Roman" w:cs="Times New Roman"/>
          <w:sz w:val="24"/>
          <w:szCs w:val="20"/>
          <w:lang w:eastAsia="en-GB"/>
        </w:rPr>
        <w:t xml:space="preserve"> are only a proxy for those of </w:t>
      </w:r>
      <w:r w:rsidR="00FE0C59">
        <w:rPr>
          <w:rFonts w:ascii="Times New Roman" w:eastAsia="Times New Roman" w:hAnsi="Times New Roman" w:cs="Times New Roman"/>
          <w:sz w:val="24"/>
          <w:szCs w:val="20"/>
          <w:lang w:eastAsia="en-GB"/>
        </w:rPr>
        <w:t>greatest</w:t>
      </w:r>
      <w:r w:rsidR="00FB5884">
        <w:rPr>
          <w:rFonts w:ascii="Times New Roman" w:eastAsia="Times New Roman" w:hAnsi="Times New Roman" w:cs="Times New Roman"/>
          <w:sz w:val="24"/>
          <w:szCs w:val="20"/>
          <w:lang w:eastAsia="en-GB"/>
        </w:rPr>
        <w:t xml:space="preserve"> interest. Misclassification of exposure in these circumstances is liable to be non-differential</w:t>
      </w:r>
      <w:r w:rsidR="00FE0C59">
        <w:rPr>
          <w:rFonts w:ascii="Times New Roman" w:eastAsia="Times New Roman" w:hAnsi="Times New Roman" w:cs="Times New Roman"/>
          <w:sz w:val="24"/>
          <w:szCs w:val="20"/>
          <w:lang w:eastAsia="en-GB"/>
        </w:rPr>
        <w:t>,</w:t>
      </w:r>
      <w:r w:rsidR="00FB5884">
        <w:rPr>
          <w:rFonts w:ascii="Times New Roman" w:eastAsia="Times New Roman" w:hAnsi="Times New Roman" w:cs="Times New Roman"/>
          <w:sz w:val="24"/>
          <w:szCs w:val="20"/>
          <w:lang w:eastAsia="en-GB"/>
        </w:rPr>
        <w:t xml:space="preserve"> however, and should, if anything, lead to an underestimation of risks.</w:t>
      </w:r>
    </w:p>
    <w:p w:rsidR="00FB5884" w:rsidRDefault="00FB5884" w:rsidP="005A45C0">
      <w:pPr>
        <w:jc w:val="both"/>
        <w:rPr>
          <w:rFonts w:ascii="Times New Roman" w:eastAsia="Times New Roman" w:hAnsi="Times New Roman" w:cs="Times New Roman"/>
          <w:sz w:val="24"/>
          <w:szCs w:val="20"/>
          <w:lang w:eastAsia="en-GB"/>
        </w:rPr>
      </w:pPr>
    </w:p>
    <w:p w:rsidR="00BD1BFA" w:rsidRDefault="00FB5884" w:rsidP="003249F8">
      <w:pPr>
        <w:jc w:val="both"/>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Another limitation of our study is that we were not able to </w:t>
      </w:r>
      <w:r w:rsidR="003249F8">
        <w:rPr>
          <w:rFonts w:ascii="Times New Roman" w:eastAsia="Times New Roman" w:hAnsi="Times New Roman" w:cs="Times New Roman"/>
          <w:sz w:val="24"/>
          <w:szCs w:val="20"/>
          <w:lang w:eastAsia="en-GB"/>
        </w:rPr>
        <w:t>examine</w:t>
      </w:r>
      <w:r>
        <w:rPr>
          <w:rFonts w:ascii="Times New Roman" w:eastAsia="Times New Roman" w:hAnsi="Times New Roman" w:cs="Times New Roman"/>
          <w:sz w:val="24"/>
          <w:szCs w:val="20"/>
          <w:lang w:eastAsia="en-GB"/>
        </w:rPr>
        <w:t xml:space="preserve"> respondents</w:t>
      </w:r>
      <w:r w:rsidR="003249F8">
        <w:rPr>
          <w:rFonts w:ascii="Times New Roman" w:eastAsia="Times New Roman" w:hAnsi="Times New Roman" w:cs="Times New Roman"/>
          <w:sz w:val="24"/>
          <w:szCs w:val="20"/>
          <w:lang w:eastAsia="en-GB"/>
        </w:rPr>
        <w:t xml:space="preserve"> clinically</w:t>
      </w:r>
      <w:r>
        <w:rPr>
          <w:rFonts w:ascii="Times New Roman" w:eastAsia="Times New Roman" w:hAnsi="Times New Roman" w:cs="Times New Roman"/>
          <w:sz w:val="24"/>
          <w:szCs w:val="20"/>
          <w:lang w:eastAsia="en-GB"/>
        </w:rPr>
        <w:t xml:space="preserve">, to corroborate </w:t>
      </w:r>
      <w:r w:rsidR="001123EB">
        <w:rPr>
          <w:rFonts w:ascii="Times New Roman" w:eastAsia="Times New Roman" w:hAnsi="Times New Roman" w:cs="Times New Roman"/>
          <w:sz w:val="24"/>
          <w:szCs w:val="20"/>
          <w:lang w:eastAsia="en-GB"/>
        </w:rPr>
        <w:t>the</w:t>
      </w:r>
      <w:r>
        <w:rPr>
          <w:rFonts w:ascii="Times New Roman" w:eastAsia="Times New Roman" w:hAnsi="Times New Roman" w:cs="Times New Roman"/>
          <w:sz w:val="24"/>
          <w:szCs w:val="20"/>
          <w:lang w:eastAsia="en-GB"/>
        </w:rPr>
        <w:t xml:space="preserve"> diagnosis of </w:t>
      </w:r>
      <w:proofErr w:type="spellStart"/>
      <w:r>
        <w:rPr>
          <w:rFonts w:ascii="Times New Roman" w:eastAsia="Times New Roman" w:hAnsi="Times New Roman" w:cs="Times New Roman"/>
          <w:sz w:val="24"/>
          <w:szCs w:val="20"/>
          <w:lang w:eastAsia="en-GB"/>
        </w:rPr>
        <w:t>Dupuytren’s</w:t>
      </w:r>
      <w:proofErr w:type="spellEnd"/>
      <w:r>
        <w:rPr>
          <w:rFonts w:ascii="Times New Roman" w:eastAsia="Times New Roman" w:hAnsi="Times New Roman" w:cs="Times New Roman"/>
          <w:sz w:val="24"/>
          <w:szCs w:val="20"/>
          <w:lang w:eastAsia="en-GB"/>
        </w:rPr>
        <w:t xml:space="preserve"> contracture. We believe</w:t>
      </w:r>
      <w:r w:rsidR="003249F8">
        <w:rPr>
          <w:rFonts w:ascii="Times New Roman" w:eastAsia="Times New Roman" w:hAnsi="Times New Roman" w:cs="Times New Roman"/>
          <w:sz w:val="24"/>
          <w:szCs w:val="20"/>
          <w:lang w:eastAsia="en-GB"/>
        </w:rPr>
        <w:t xml:space="preserve"> that</w:t>
      </w:r>
      <w:r>
        <w:rPr>
          <w:rFonts w:ascii="Times New Roman" w:eastAsia="Times New Roman" w:hAnsi="Times New Roman" w:cs="Times New Roman"/>
          <w:sz w:val="24"/>
          <w:szCs w:val="20"/>
          <w:lang w:eastAsia="en-GB"/>
        </w:rPr>
        <w:t xml:space="preserve"> the question and line </w:t>
      </w:r>
      <w:r w:rsidR="00977696">
        <w:rPr>
          <w:rFonts w:ascii="Times New Roman" w:eastAsia="Times New Roman" w:hAnsi="Times New Roman" w:cs="Times New Roman"/>
          <w:sz w:val="24"/>
          <w:szCs w:val="20"/>
          <w:lang w:eastAsia="en-GB"/>
        </w:rPr>
        <w:t>drawing</w:t>
      </w:r>
      <w:r>
        <w:rPr>
          <w:rFonts w:ascii="Times New Roman" w:eastAsia="Times New Roman" w:hAnsi="Times New Roman" w:cs="Times New Roman"/>
          <w:sz w:val="24"/>
          <w:szCs w:val="20"/>
          <w:lang w:eastAsia="en-GB"/>
        </w:rPr>
        <w:t xml:space="preserve"> in </w:t>
      </w:r>
      <w:r w:rsidR="0060012E">
        <w:rPr>
          <w:rFonts w:ascii="Times New Roman" w:eastAsia="Times New Roman" w:hAnsi="Times New Roman" w:cs="Times New Roman"/>
          <w:sz w:val="24"/>
          <w:szCs w:val="20"/>
          <w:lang w:eastAsia="en-GB"/>
        </w:rPr>
        <w:t>Figure</w:t>
      </w:r>
      <w:r>
        <w:rPr>
          <w:rFonts w:ascii="Times New Roman" w:eastAsia="Times New Roman" w:hAnsi="Times New Roman" w:cs="Times New Roman"/>
          <w:sz w:val="24"/>
          <w:szCs w:val="20"/>
          <w:lang w:eastAsia="en-GB"/>
        </w:rPr>
        <w:t xml:space="preserve"> 1 have </w:t>
      </w:r>
      <w:r w:rsidR="003249F8">
        <w:rPr>
          <w:rFonts w:ascii="Times New Roman" w:eastAsia="Times New Roman" w:hAnsi="Times New Roman" w:cs="Times New Roman"/>
          <w:sz w:val="24"/>
          <w:szCs w:val="20"/>
          <w:lang w:eastAsia="en-GB"/>
        </w:rPr>
        <w:t>acceptable</w:t>
      </w:r>
      <w:r w:rsidRPr="00FB5884">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face validity</w:t>
      </w:r>
      <w:r w:rsidR="003249F8">
        <w:rPr>
          <w:rFonts w:ascii="Times New Roman" w:eastAsia="Times New Roman" w:hAnsi="Times New Roman" w:cs="Times New Roman"/>
          <w:sz w:val="24"/>
          <w:szCs w:val="20"/>
          <w:lang w:eastAsia="en-GB"/>
        </w:rPr>
        <w:t xml:space="preserve">, but this not been </w:t>
      </w:r>
      <w:r>
        <w:rPr>
          <w:rFonts w:ascii="Times New Roman" w:eastAsia="Times New Roman" w:hAnsi="Times New Roman" w:cs="Times New Roman"/>
          <w:sz w:val="24"/>
          <w:szCs w:val="20"/>
          <w:lang w:eastAsia="en-GB"/>
        </w:rPr>
        <w:t xml:space="preserve">tested empirically; nor </w:t>
      </w:r>
      <w:r w:rsidR="003249F8">
        <w:rPr>
          <w:rFonts w:ascii="Times New Roman" w:eastAsia="Times New Roman" w:hAnsi="Times New Roman" w:cs="Times New Roman"/>
          <w:sz w:val="24"/>
          <w:szCs w:val="20"/>
          <w:lang w:eastAsia="en-GB"/>
        </w:rPr>
        <w:t>would our</w:t>
      </w:r>
      <w:r>
        <w:rPr>
          <w:rFonts w:ascii="Times New Roman" w:eastAsia="Times New Roman" w:hAnsi="Times New Roman" w:cs="Times New Roman"/>
          <w:sz w:val="24"/>
          <w:szCs w:val="20"/>
          <w:lang w:eastAsia="en-GB"/>
        </w:rPr>
        <w:t xml:space="preserve"> question identify the </w:t>
      </w:r>
      <w:r w:rsidR="003249F8">
        <w:rPr>
          <w:rFonts w:ascii="Times New Roman" w:eastAsia="Times New Roman" w:hAnsi="Times New Roman" w:cs="Times New Roman"/>
          <w:sz w:val="24"/>
          <w:szCs w:val="20"/>
          <w:lang w:eastAsia="en-GB"/>
        </w:rPr>
        <w:t>milder</w:t>
      </w:r>
      <w:r>
        <w:rPr>
          <w:rFonts w:ascii="Times New Roman" w:eastAsia="Times New Roman" w:hAnsi="Times New Roman" w:cs="Times New Roman"/>
          <w:sz w:val="24"/>
          <w:szCs w:val="20"/>
          <w:lang w:eastAsia="en-GB"/>
        </w:rPr>
        <w:t xml:space="preserve"> earl</w:t>
      </w:r>
      <w:r w:rsidR="003249F8">
        <w:rPr>
          <w:rFonts w:ascii="Times New Roman" w:eastAsia="Times New Roman" w:hAnsi="Times New Roman" w:cs="Times New Roman"/>
          <w:sz w:val="24"/>
          <w:szCs w:val="20"/>
          <w:lang w:eastAsia="en-GB"/>
        </w:rPr>
        <w:t>y</w:t>
      </w:r>
      <w:r>
        <w:rPr>
          <w:rFonts w:ascii="Times New Roman" w:eastAsia="Times New Roman" w:hAnsi="Times New Roman" w:cs="Times New Roman"/>
          <w:sz w:val="24"/>
          <w:szCs w:val="20"/>
          <w:lang w:eastAsia="en-GB"/>
        </w:rPr>
        <w:t xml:space="preserve"> stages of disease</w:t>
      </w:r>
      <w:r w:rsidR="003249F8">
        <w:rPr>
          <w:rFonts w:ascii="Times New Roman" w:eastAsia="Times New Roman" w:hAnsi="Times New Roman" w:cs="Times New Roman"/>
          <w:sz w:val="24"/>
          <w:szCs w:val="20"/>
          <w:lang w:eastAsia="en-GB"/>
        </w:rPr>
        <w:t xml:space="preserve"> in which nodules and palmar thickenings </w:t>
      </w:r>
      <w:r w:rsidR="001123EB">
        <w:rPr>
          <w:rFonts w:ascii="Times New Roman" w:eastAsia="Times New Roman" w:hAnsi="Times New Roman" w:cs="Times New Roman"/>
          <w:sz w:val="24"/>
          <w:szCs w:val="20"/>
          <w:lang w:eastAsia="en-GB"/>
        </w:rPr>
        <w:t>occur without</w:t>
      </w:r>
      <w:r w:rsidR="003249F8">
        <w:rPr>
          <w:rFonts w:ascii="Times New Roman" w:eastAsia="Times New Roman" w:hAnsi="Times New Roman" w:cs="Times New Roman"/>
          <w:sz w:val="24"/>
          <w:szCs w:val="20"/>
          <w:lang w:eastAsia="en-GB"/>
        </w:rPr>
        <w:t xml:space="preserve"> fixed flexion contracture. However, it seems unlikely that deficiencies in question</w:t>
      </w:r>
      <w:r w:rsidR="00FE0C59">
        <w:rPr>
          <w:rFonts w:ascii="Times New Roman" w:eastAsia="Times New Roman" w:hAnsi="Times New Roman" w:cs="Times New Roman"/>
          <w:sz w:val="24"/>
          <w:szCs w:val="20"/>
          <w:lang w:eastAsia="en-GB"/>
        </w:rPr>
        <w:t>ing</w:t>
      </w:r>
      <w:r w:rsidR="003249F8">
        <w:rPr>
          <w:rFonts w:ascii="Times New Roman" w:eastAsia="Times New Roman" w:hAnsi="Times New Roman" w:cs="Times New Roman"/>
          <w:sz w:val="24"/>
          <w:szCs w:val="20"/>
          <w:lang w:eastAsia="en-GB"/>
        </w:rPr>
        <w:t xml:space="preserve"> </w:t>
      </w:r>
      <w:r w:rsidR="00BD1BFA">
        <w:rPr>
          <w:rFonts w:ascii="Times New Roman" w:eastAsia="Times New Roman" w:hAnsi="Times New Roman" w:cs="Times New Roman"/>
          <w:sz w:val="24"/>
          <w:szCs w:val="20"/>
          <w:lang w:eastAsia="en-GB"/>
        </w:rPr>
        <w:t>could explain the gradient found with estimated exposure to HTV; nor is it likely to have arisen from</w:t>
      </w:r>
      <w:r w:rsidR="00FE0C59">
        <w:rPr>
          <w:rFonts w:ascii="Times New Roman" w:eastAsia="Times New Roman" w:hAnsi="Times New Roman" w:cs="Times New Roman"/>
          <w:sz w:val="24"/>
          <w:szCs w:val="20"/>
          <w:lang w:eastAsia="en-GB"/>
        </w:rPr>
        <w:t xml:space="preserve"> response bias</w:t>
      </w:r>
      <w:r w:rsidR="00BD1BFA">
        <w:rPr>
          <w:rFonts w:ascii="Times New Roman" w:eastAsia="Times New Roman" w:hAnsi="Times New Roman" w:cs="Times New Roman"/>
          <w:sz w:val="24"/>
          <w:szCs w:val="20"/>
          <w:lang w:eastAsia="en-GB"/>
        </w:rPr>
        <w:t xml:space="preserve">, since </w:t>
      </w:r>
      <w:r w:rsidR="00FE0C59">
        <w:rPr>
          <w:rFonts w:ascii="Times New Roman" w:eastAsia="Times New Roman" w:hAnsi="Times New Roman" w:cs="Times New Roman"/>
          <w:sz w:val="24"/>
          <w:szCs w:val="20"/>
          <w:lang w:eastAsia="en-GB"/>
        </w:rPr>
        <w:t>this particular inquiry would have been relatively disguised from respondents (</w:t>
      </w:r>
      <w:r w:rsidR="00BD1BFA">
        <w:rPr>
          <w:rFonts w:ascii="Times New Roman" w:eastAsia="Times New Roman" w:hAnsi="Times New Roman" w:cs="Times New Roman"/>
          <w:sz w:val="24"/>
          <w:szCs w:val="20"/>
          <w:lang w:eastAsia="en-GB"/>
        </w:rPr>
        <w:t>a single</w:t>
      </w:r>
      <w:r w:rsidR="00FE0C59">
        <w:rPr>
          <w:rFonts w:ascii="Times New Roman" w:eastAsia="Times New Roman" w:hAnsi="Times New Roman" w:cs="Times New Roman"/>
          <w:sz w:val="24"/>
          <w:szCs w:val="20"/>
          <w:lang w:eastAsia="en-GB"/>
        </w:rPr>
        <w:t xml:space="preserve"> </w:t>
      </w:r>
      <w:r w:rsidR="00BD1BFA">
        <w:rPr>
          <w:rFonts w:ascii="Times New Roman" w:eastAsia="Times New Roman" w:hAnsi="Times New Roman" w:cs="Times New Roman"/>
          <w:sz w:val="24"/>
          <w:szCs w:val="20"/>
          <w:lang w:eastAsia="en-GB"/>
        </w:rPr>
        <w:t>item</w:t>
      </w:r>
      <w:r w:rsidR="00FE0C59">
        <w:rPr>
          <w:rFonts w:ascii="Times New Roman" w:eastAsia="Times New Roman" w:hAnsi="Times New Roman" w:cs="Times New Roman"/>
          <w:sz w:val="24"/>
          <w:szCs w:val="20"/>
          <w:lang w:eastAsia="en-GB"/>
        </w:rPr>
        <w:t xml:space="preserve"> in a 20-page questionnaire on exposures to vibration)</w:t>
      </w:r>
      <w:r w:rsidR="00BD1BFA">
        <w:rPr>
          <w:rFonts w:ascii="Times New Roman" w:eastAsia="Times New Roman" w:hAnsi="Times New Roman" w:cs="Times New Roman"/>
          <w:sz w:val="24"/>
          <w:szCs w:val="20"/>
          <w:lang w:eastAsia="en-GB"/>
        </w:rPr>
        <w:t>,</w:t>
      </w:r>
      <w:r w:rsidR="00FE0C59">
        <w:rPr>
          <w:rFonts w:ascii="Times New Roman" w:eastAsia="Times New Roman" w:hAnsi="Times New Roman" w:cs="Times New Roman"/>
          <w:sz w:val="24"/>
          <w:szCs w:val="20"/>
          <w:lang w:eastAsia="en-GB"/>
        </w:rPr>
        <w:t xml:space="preserve"> and </w:t>
      </w:r>
      <w:r w:rsidR="00BD1BFA">
        <w:rPr>
          <w:rFonts w:ascii="Times New Roman" w:eastAsia="Times New Roman" w:hAnsi="Times New Roman" w:cs="Times New Roman"/>
          <w:sz w:val="24"/>
          <w:szCs w:val="20"/>
          <w:lang w:eastAsia="en-GB"/>
        </w:rPr>
        <w:t>the ‘dummy’ hand activity we analysed (use of a computer keyboard) showed no association with flexion contracture.</w:t>
      </w:r>
    </w:p>
    <w:p w:rsidR="00FD0018" w:rsidRDefault="00FD0018" w:rsidP="003249F8">
      <w:pPr>
        <w:jc w:val="both"/>
        <w:rPr>
          <w:rFonts w:ascii="Times New Roman" w:eastAsia="Times New Roman" w:hAnsi="Times New Roman" w:cs="Times New Roman"/>
          <w:sz w:val="24"/>
          <w:szCs w:val="20"/>
          <w:lang w:eastAsia="en-GB"/>
        </w:rPr>
      </w:pPr>
    </w:p>
    <w:p w:rsidR="00A34A87" w:rsidRDefault="00FD0018" w:rsidP="005A45C0">
      <w:pPr>
        <w:jc w:val="both"/>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We restricted analysis to a cross-section of men at work in the previous week. Risks </w:t>
      </w:r>
      <w:r w:rsidR="00EB6ABC">
        <w:rPr>
          <w:rFonts w:ascii="Times New Roman" w:eastAsia="Times New Roman" w:hAnsi="Times New Roman" w:cs="Times New Roman"/>
          <w:sz w:val="24"/>
          <w:szCs w:val="20"/>
          <w:lang w:eastAsia="en-GB"/>
        </w:rPr>
        <w:t>could have been</w:t>
      </w:r>
      <w:r>
        <w:rPr>
          <w:rFonts w:ascii="Times New Roman" w:eastAsia="Times New Roman" w:hAnsi="Times New Roman" w:cs="Times New Roman"/>
          <w:sz w:val="24"/>
          <w:szCs w:val="20"/>
          <w:lang w:eastAsia="en-GB"/>
        </w:rPr>
        <w:t xml:space="preserve"> underestimated if </w:t>
      </w:r>
      <w:proofErr w:type="spellStart"/>
      <w:r>
        <w:rPr>
          <w:rFonts w:ascii="Times New Roman" w:eastAsia="Times New Roman" w:hAnsi="Times New Roman" w:cs="Times New Roman"/>
          <w:sz w:val="24"/>
          <w:szCs w:val="20"/>
          <w:lang w:eastAsia="en-GB"/>
        </w:rPr>
        <w:t>Dupuytren’s</w:t>
      </w:r>
      <w:proofErr w:type="spellEnd"/>
      <w:r>
        <w:rPr>
          <w:rFonts w:ascii="Times New Roman" w:eastAsia="Times New Roman" w:hAnsi="Times New Roman" w:cs="Times New Roman"/>
          <w:sz w:val="24"/>
          <w:szCs w:val="20"/>
          <w:lang w:eastAsia="en-GB"/>
        </w:rPr>
        <w:t xml:space="preserve"> contracture cause</w:t>
      </w:r>
      <w:r w:rsidR="00EB6ABC">
        <w:rPr>
          <w:rFonts w:ascii="Times New Roman" w:eastAsia="Times New Roman" w:hAnsi="Times New Roman" w:cs="Times New Roman"/>
          <w:sz w:val="24"/>
          <w:szCs w:val="20"/>
          <w:lang w:eastAsia="en-GB"/>
        </w:rPr>
        <w:t>d</w:t>
      </w:r>
      <w:r>
        <w:rPr>
          <w:rFonts w:ascii="Times New Roman" w:eastAsia="Times New Roman" w:hAnsi="Times New Roman" w:cs="Times New Roman"/>
          <w:sz w:val="24"/>
          <w:szCs w:val="20"/>
          <w:lang w:eastAsia="en-GB"/>
        </w:rPr>
        <w:t xml:space="preserve"> men to quit exposed jobs for unexposed </w:t>
      </w:r>
      <w:r w:rsidR="00EB6ABC">
        <w:rPr>
          <w:rFonts w:ascii="Times New Roman" w:eastAsia="Times New Roman" w:hAnsi="Times New Roman" w:cs="Times New Roman"/>
          <w:sz w:val="24"/>
          <w:szCs w:val="20"/>
          <w:lang w:eastAsia="en-GB"/>
        </w:rPr>
        <w:t>ones</w:t>
      </w:r>
      <w:r>
        <w:rPr>
          <w:rFonts w:ascii="Times New Roman" w:eastAsia="Times New Roman" w:hAnsi="Times New Roman" w:cs="Times New Roman"/>
          <w:sz w:val="24"/>
          <w:szCs w:val="20"/>
          <w:lang w:eastAsia="en-GB"/>
        </w:rPr>
        <w:t xml:space="preserve"> or to leave employment altogether (unhealthy worker selection bias). Only the latter would bias risk estimates in relation to </w:t>
      </w:r>
      <w:r w:rsidR="00EB6ABC">
        <w:rPr>
          <w:rFonts w:ascii="Times New Roman" w:eastAsia="Times New Roman" w:hAnsi="Times New Roman" w:cs="Times New Roman"/>
          <w:sz w:val="24"/>
          <w:szCs w:val="20"/>
          <w:lang w:eastAsia="en-GB"/>
        </w:rPr>
        <w:t>lifetime exposure to HTV, but the former could have reduced the apparent exposure</w:t>
      </w:r>
      <w:r w:rsidR="00E73E54">
        <w:rPr>
          <w:rFonts w:ascii="Times New Roman" w:eastAsia="Times New Roman" w:hAnsi="Times New Roman" w:cs="Times New Roman"/>
          <w:sz w:val="24"/>
          <w:szCs w:val="20"/>
          <w:lang w:eastAsia="en-GB"/>
        </w:rPr>
        <w:t>-risk</w:t>
      </w:r>
      <w:r w:rsidR="00EB6ABC">
        <w:rPr>
          <w:rFonts w:ascii="Times New Roman" w:eastAsia="Times New Roman" w:hAnsi="Times New Roman" w:cs="Times New Roman"/>
          <w:sz w:val="24"/>
          <w:szCs w:val="20"/>
          <w:lang w:eastAsia="en-GB"/>
        </w:rPr>
        <w:t xml:space="preserve"> gradient to the extent that this comparatively mild disease prompts job change</w:t>
      </w:r>
      <w:r w:rsidR="00A34A87">
        <w:rPr>
          <w:rFonts w:ascii="Times New Roman" w:eastAsia="Times New Roman" w:hAnsi="Times New Roman" w:cs="Times New Roman"/>
          <w:sz w:val="24"/>
          <w:szCs w:val="20"/>
          <w:lang w:eastAsia="en-GB"/>
        </w:rPr>
        <w:t xml:space="preserve">. </w:t>
      </w:r>
      <w:r w:rsidR="00210981" w:rsidRPr="00075EBD">
        <w:rPr>
          <w:rFonts w:ascii="Times New Roman" w:eastAsia="Times New Roman" w:hAnsi="Times New Roman" w:cs="Times New Roman"/>
          <w:sz w:val="24"/>
          <w:szCs w:val="20"/>
          <w:lang w:eastAsia="en-GB"/>
        </w:rPr>
        <w:t xml:space="preserve">In theory, bias might also have arisen to the extent that </w:t>
      </w:r>
      <w:proofErr w:type="spellStart"/>
      <w:r w:rsidR="00210981" w:rsidRPr="00075EBD">
        <w:rPr>
          <w:rFonts w:ascii="Times New Roman" w:eastAsia="Times New Roman" w:hAnsi="Times New Roman" w:cs="Times New Roman"/>
          <w:sz w:val="24"/>
          <w:szCs w:val="20"/>
          <w:lang w:eastAsia="en-GB"/>
        </w:rPr>
        <w:t>Dupuytren’s</w:t>
      </w:r>
      <w:proofErr w:type="spellEnd"/>
      <w:r w:rsidR="00210981" w:rsidRPr="00075EBD">
        <w:rPr>
          <w:rFonts w:ascii="Times New Roman" w:eastAsia="Times New Roman" w:hAnsi="Times New Roman" w:cs="Times New Roman"/>
          <w:sz w:val="24"/>
          <w:szCs w:val="20"/>
          <w:lang w:eastAsia="en-GB"/>
        </w:rPr>
        <w:t xml:space="preserve"> contracture is surgically correctable and</w:t>
      </w:r>
      <w:r w:rsidR="00210981">
        <w:rPr>
          <w:rFonts w:ascii="Times New Roman" w:eastAsia="Times New Roman" w:hAnsi="Times New Roman" w:cs="Times New Roman"/>
          <w:sz w:val="24"/>
          <w:szCs w:val="20"/>
          <w:lang w:eastAsia="en-GB"/>
        </w:rPr>
        <w:t xml:space="preserve"> (</w:t>
      </w:r>
      <w:r w:rsidR="00210981" w:rsidRPr="00075EBD">
        <w:rPr>
          <w:rFonts w:ascii="Times New Roman" w:eastAsia="Times New Roman" w:hAnsi="Times New Roman" w:cs="Times New Roman"/>
          <w:sz w:val="24"/>
          <w:szCs w:val="20"/>
          <w:lang w:eastAsia="en-GB"/>
        </w:rPr>
        <w:t>in the a</w:t>
      </w:r>
      <w:r w:rsidR="00210981">
        <w:rPr>
          <w:rFonts w:ascii="Times New Roman" w:eastAsia="Times New Roman" w:hAnsi="Times New Roman" w:cs="Times New Roman"/>
          <w:sz w:val="24"/>
          <w:szCs w:val="20"/>
          <w:lang w:eastAsia="en-GB"/>
        </w:rPr>
        <w:t>bsence of selection out of work)</w:t>
      </w:r>
      <w:r w:rsidR="00210981" w:rsidRPr="00075EBD">
        <w:rPr>
          <w:rFonts w:ascii="Times New Roman" w:eastAsia="Times New Roman" w:hAnsi="Times New Roman" w:cs="Times New Roman"/>
          <w:sz w:val="24"/>
          <w:szCs w:val="20"/>
          <w:lang w:eastAsia="en-GB"/>
        </w:rPr>
        <w:t xml:space="preserve"> manual workers accessed surgery less (or more) readily than non-manual workers. We have no information on subjects’ past surgical history, but judge the </w:t>
      </w:r>
      <w:r w:rsidR="00210981">
        <w:rPr>
          <w:rFonts w:ascii="Times New Roman" w:eastAsia="Times New Roman" w:hAnsi="Times New Roman" w:cs="Times New Roman"/>
          <w:sz w:val="24"/>
          <w:szCs w:val="20"/>
          <w:lang w:eastAsia="en-GB"/>
        </w:rPr>
        <w:t>likely</w:t>
      </w:r>
      <w:r w:rsidR="00210981" w:rsidRPr="00075EBD">
        <w:rPr>
          <w:rFonts w:ascii="Times New Roman" w:eastAsia="Times New Roman" w:hAnsi="Times New Roman" w:cs="Times New Roman"/>
          <w:sz w:val="24"/>
          <w:szCs w:val="20"/>
          <w:lang w:eastAsia="en-GB"/>
        </w:rPr>
        <w:t xml:space="preserve"> impact to be small, since most cases</w:t>
      </w:r>
      <w:r w:rsidR="00210981">
        <w:rPr>
          <w:rFonts w:ascii="Times New Roman" w:eastAsia="Times New Roman" w:hAnsi="Times New Roman" w:cs="Times New Roman"/>
          <w:sz w:val="24"/>
          <w:szCs w:val="20"/>
          <w:lang w:eastAsia="en-GB"/>
        </w:rPr>
        <w:t xml:space="preserve"> of the disease</w:t>
      </w:r>
      <w:r w:rsidR="00210981" w:rsidRPr="00075EBD">
        <w:rPr>
          <w:rFonts w:ascii="Times New Roman" w:eastAsia="Times New Roman" w:hAnsi="Times New Roman" w:cs="Times New Roman"/>
          <w:sz w:val="24"/>
          <w:szCs w:val="20"/>
          <w:lang w:eastAsia="en-GB"/>
        </w:rPr>
        <w:t xml:space="preserve"> cause minor disability and are not so treated</w:t>
      </w:r>
      <w:r w:rsidR="00210981">
        <w:rPr>
          <w:rFonts w:ascii="Times New Roman" w:eastAsia="Times New Roman" w:hAnsi="Times New Roman" w:cs="Times New Roman"/>
          <w:sz w:val="24"/>
          <w:szCs w:val="20"/>
          <w:lang w:eastAsia="en-GB"/>
        </w:rPr>
        <w:t>.</w:t>
      </w:r>
    </w:p>
    <w:p w:rsidR="00075131" w:rsidRDefault="00075131" w:rsidP="005A45C0">
      <w:pPr>
        <w:jc w:val="both"/>
        <w:rPr>
          <w:rFonts w:ascii="Times New Roman" w:eastAsia="Times New Roman" w:hAnsi="Times New Roman" w:cs="Times New Roman"/>
          <w:sz w:val="24"/>
          <w:szCs w:val="20"/>
          <w:lang w:eastAsia="en-GB"/>
        </w:rPr>
      </w:pPr>
    </w:p>
    <w:p w:rsidR="00EB6ABC" w:rsidRDefault="00B76971" w:rsidP="005A45C0">
      <w:pPr>
        <w:jc w:val="both"/>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Statistical power</w:t>
      </w:r>
      <w:r w:rsidR="00A34A87">
        <w:rPr>
          <w:rFonts w:ascii="Times New Roman" w:eastAsia="Times New Roman" w:hAnsi="Times New Roman" w:cs="Times New Roman"/>
          <w:sz w:val="24"/>
          <w:szCs w:val="20"/>
          <w:lang w:eastAsia="en-GB"/>
        </w:rPr>
        <w:t xml:space="preserve"> in our study</w:t>
      </w:r>
      <w:r>
        <w:rPr>
          <w:rFonts w:ascii="Times New Roman" w:eastAsia="Times New Roman" w:hAnsi="Times New Roman" w:cs="Times New Roman"/>
          <w:sz w:val="24"/>
          <w:szCs w:val="20"/>
          <w:lang w:eastAsia="en-GB"/>
        </w:rPr>
        <w:t xml:space="preserve"> was limited by the age of those studied (disease prevalence is comparatively low at working ages and rises substantially in later life), but we were still able to detect </w:t>
      </w:r>
      <w:r w:rsidR="00E01644">
        <w:rPr>
          <w:rFonts w:ascii="Times New Roman" w:eastAsia="Times New Roman" w:hAnsi="Times New Roman" w:cs="Times New Roman"/>
          <w:sz w:val="24"/>
          <w:szCs w:val="20"/>
          <w:lang w:eastAsia="en-GB"/>
        </w:rPr>
        <w:t xml:space="preserve">PRs </w:t>
      </w:r>
      <w:r>
        <w:rPr>
          <w:rFonts w:ascii="Times New Roman" w:eastAsia="Times New Roman" w:hAnsi="Times New Roman" w:cs="Times New Roman"/>
          <w:sz w:val="24"/>
          <w:szCs w:val="20"/>
          <w:lang w:eastAsia="en-GB"/>
        </w:rPr>
        <w:t>that were significantly elevated at the 5%</w:t>
      </w:r>
      <w:r w:rsidR="00977696">
        <w:rPr>
          <w:rFonts w:ascii="Times New Roman" w:eastAsia="Times New Roman" w:hAnsi="Times New Roman" w:cs="Times New Roman"/>
          <w:sz w:val="24"/>
          <w:szCs w:val="20"/>
          <w:lang w:eastAsia="en-GB"/>
        </w:rPr>
        <w:t xml:space="preserve"> level</w:t>
      </w:r>
      <w:r>
        <w:rPr>
          <w:rFonts w:ascii="Times New Roman" w:eastAsia="Times New Roman" w:hAnsi="Times New Roman" w:cs="Times New Roman"/>
          <w:sz w:val="24"/>
          <w:szCs w:val="20"/>
          <w:lang w:eastAsia="en-GB"/>
        </w:rPr>
        <w:t>.</w:t>
      </w:r>
    </w:p>
    <w:p w:rsidR="00B76971" w:rsidRDefault="00B76971" w:rsidP="005A45C0">
      <w:pPr>
        <w:jc w:val="both"/>
        <w:rPr>
          <w:rFonts w:ascii="Times New Roman" w:eastAsia="Times New Roman" w:hAnsi="Times New Roman" w:cs="Times New Roman"/>
          <w:sz w:val="24"/>
          <w:szCs w:val="20"/>
          <w:lang w:eastAsia="en-GB"/>
        </w:rPr>
      </w:pPr>
    </w:p>
    <w:p w:rsidR="00B76971" w:rsidRPr="00370831" w:rsidRDefault="00B76971" w:rsidP="005A45C0">
      <w:pPr>
        <w:jc w:val="both"/>
        <w:rPr>
          <w:rFonts w:ascii="Times New Roman" w:eastAsia="Times New Roman" w:hAnsi="Times New Roman" w:cs="Times New Roman"/>
          <w:sz w:val="24"/>
          <w:szCs w:val="20"/>
          <w:lang w:eastAsia="en-GB"/>
        </w:rPr>
      </w:pPr>
      <w:proofErr w:type="spellStart"/>
      <w:r>
        <w:rPr>
          <w:rFonts w:ascii="Times New Roman" w:eastAsia="Times New Roman" w:hAnsi="Times New Roman" w:cs="Times New Roman"/>
          <w:sz w:val="24"/>
          <w:szCs w:val="20"/>
          <w:lang w:eastAsia="en-GB"/>
        </w:rPr>
        <w:t>Dupuytren’s</w:t>
      </w:r>
      <w:proofErr w:type="spellEnd"/>
      <w:r>
        <w:rPr>
          <w:rFonts w:ascii="Times New Roman" w:eastAsia="Times New Roman" w:hAnsi="Times New Roman" w:cs="Times New Roman"/>
          <w:sz w:val="24"/>
          <w:szCs w:val="20"/>
          <w:lang w:eastAsia="en-GB"/>
        </w:rPr>
        <w:t xml:space="preserve"> disease has a number of established non-occupational risk factors beyond age. These include genetic constitution (e.g. the disease is commoner in Nordic </w:t>
      </w:r>
      <w:r w:rsidR="00977696">
        <w:rPr>
          <w:rFonts w:ascii="Times New Roman" w:eastAsia="Times New Roman" w:hAnsi="Times New Roman" w:cs="Times New Roman"/>
          <w:sz w:val="24"/>
          <w:szCs w:val="20"/>
          <w:lang w:eastAsia="en-GB"/>
        </w:rPr>
        <w:t>populations</w:t>
      </w:r>
      <w:r>
        <w:rPr>
          <w:rFonts w:ascii="Times New Roman" w:eastAsia="Times New Roman" w:hAnsi="Times New Roman" w:cs="Times New Roman"/>
          <w:sz w:val="24"/>
          <w:szCs w:val="20"/>
          <w:lang w:eastAsia="en-GB"/>
        </w:rPr>
        <w:t xml:space="preserve">), </w:t>
      </w:r>
      <w:r w:rsidR="001D594C">
        <w:rPr>
          <w:rFonts w:ascii="Times New Roman" w:eastAsia="Times New Roman" w:hAnsi="Times New Roman" w:cs="Times New Roman"/>
          <w:sz w:val="24"/>
          <w:szCs w:val="20"/>
          <w:lang w:eastAsia="en-GB"/>
        </w:rPr>
        <w:t>smoking, heavy alcohol consumption</w:t>
      </w:r>
      <w:r>
        <w:rPr>
          <w:rFonts w:ascii="Times New Roman" w:eastAsia="Times New Roman" w:hAnsi="Times New Roman" w:cs="Times New Roman"/>
          <w:sz w:val="24"/>
          <w:szCs w:val="20"/>
          <w:lang w:eastAsia="en-GB"/>
        </w:rPr>
        <w:t xml:space="preserve">, epilepsy, </w:t>
      </w:r>
      <w:r w:rsidR="001D594C">
        <w:rPr>
          <w:rFonts w:ascii="Times New Roman" w:eastAsia="Times New Roman" w:hAnsi="Times New Roman" w:cs="Times New Roman"/>
          <w:sz w:val="24"/>
          <w:szCs w:val="20"/>
          <w:lang w:eastAsia="en-GB"/>
        </w:rPr>
        <w:t>anticonvulsants</w:t>
      </w:r>
      <w:r>
        <w:rPr>
          <w:rFonts w:ascii="Times New Roman" w:eastAsia="Times New Roman" w:hAnsi="Times New Roman" w:cs="Times New Roman"/>
          <w:sz w:val="24"/>
          <w:szCs w:val="20"/>
          <w:lang w:eastAsia="en-GB"/>
        </w:rPr>
        <w:t xml:space="preserve"> and diabetes mellitus [</w:t>
      </w:r>
      <w:r w:rsidR="001D594C">
        <w:rPr>
          <w:rFonts w:ascii="Times New Roman" w:eastAsia="Times New Roman" w:hAnsi="Times New Roman" w:cs="Times New Roman"/>
          <w:sz w:val="24"/>
          <w:szCs w:val="20"/>
          <w:lang w:eastAsia="en-GB"/>
        </w:rPr>
        <w:t>4</w:t>
      </w:r>
      <w:r>
        <w:rPr>
          <w:rFonts w:ascii="Times New Roman" w:eastAsia="Times New Roman" w:hAnsi="Times New Roman" w:cs="Times New Roman"/>
          <w:sz w:val="24"/>
          <w:szCs w:val="20"/>
          <w:lang w:eastAsia="en-GB"/>
        </w:rPr>
        <w:t>]. A</w:t>
      </w:r>
      <w:r w:rsidR="00977696">
        <w:rPr>
          <w:rFonts w:ascii="Times New Roman" w:eastAsia="Times New Roman" w:hAnsi="Times New Roman" w:cs="Times New Roman"/>
          <w:sz w:val="24"/>
          <w:szCs w:val="20"/>
          <w:lang w:eastAsia="en-GB"/>
        </w:rPr>
        <w:t>mong these and other potential confounders,</w:t>
      </w:r>
      <w:r>
        <w:rPr>
          <w:rFonts w:ascii="Times New Roman" w:eastAsia="Times New Roman" w:hAnsi="Times New Roman" w:cs="Times New Roman"/>
          <w:sz w:val="24"/>
          <w:szCs w:val="20"/>
          <w:lang w:eastAsia="en-GB"/>
        </w:rPr>
        <w:t xml:space="preserve"> we were able to adjust </w:t>
      </w:r>
      <w:r w:rsidR="00977696">
        <w:rPr>
          <w:rFonts w:ascii="Times New Roman" w:eastAsia="Times New Roman" w:hAnsi="Times New Roman" w:cs="Times New Roman"/>
          <w:sz w:val="24"/>
          <w:szCs w:val="20"/>
          <w:lang w:eastAsia="en-GB"/>
        </w:rPr>
        <w:t xml:space="preserve">only </w:t>
      </w:r>
      <w:r>
        <w:rPr>
          <w:rFonts w:ascii="Times New Roman" w:eastAsia="Times New Roman" w:hAnsi="Times New Roman" w:cs="Times New Roman"/>
          <w:sz w:val="24"/>
          <w:szCs w:val="20"/>
          <w:lang w:eastAsia="en-GB"/>
        </w:rPr>
        <w:t>for age</w:t>
      </w:r>
      <w:r w:rsidR="001D594C">
        <w:rPr>
          <w:rFonts w:ascii="Times New Roman" w:eastAsia="Times New Roman" w:hAnsi="Times New Roman" w:cs="Times New Roman"/>
          <w:sz w:val="24"/>
          <w:szCs w:val="20"/>
          <w:lang w:eastAsia="en-GB"/>
        </w:rPr>
        <w:t xml:space="preserve"> and smoking</w:t>
      </w:r>
      <w:r>
        <w:rPr>
          <w:rFonts w:ascii="Times New Roman" w:eastAsia="Times New Roman" w:hAnsi="Times New Roman" w:cs="Times New Roman"/>
          <w:sz w:val="24"/>
          <w:szCs w:val="20"/>
          <w:lang w:eastAsia="en-GB"/>
        </w:rPr>
        <w:t xml:space="preserve">, as data on the other variables were not collected. It seems unlikely, however, that the </w:t>
      </w:r>
      <w:r w:rsidR="001D594C">
        <w:rPr>
          <w:rFonts w:ascii="Times New Roman" w:eastAsia="Times New Roman" w:hAnsi="Times New Roman" w:cs="Times New Roman"/>
          <w:sz w:val="24"/>
          <w:szCs w:val="20"/>
          <w:lang w:eastAsia="en-GB"/>
        </w:rPr>
        <w:t xml:space="preserve">observed </w:t>
      </w:r>
      <w:r>
        <w:rPr>
          <w:rFonts w:ascii="Times New Roman" w:eastAsia="Times New Roman" w:hAnsi="Times New Roman" w:cs="Times New Roman"/>
          <w:sz w:val="24"/>
          <w:szCs w:val="20"/>
          <w:lang w:eastAsia="en-GB"/>
        </w:rPr>
        <w:t xml:space="preserve">dose-related effects of HTV could arise from confounding by comparatively uncommon risk factors in the population at large. </w:t>
      </w:r>
      <w:r w:rsidR="00370831">
        <w:rPr>
          <w:rFonts w:ascii="Times New Roman" w:eastAsia="Times New Roman" w:hAnsi="Times New Roman" w:cs="Times New Roman"/>
          <w:sz w:val="24"/>
          <w:szCs w:val="20"/>
          <w:lang w:eastAsia="en-GB"/>
        </w:rPr>
        <w:t xml:space="preserve">The disease may also arise from the physical labour of work [1,5], and adjustment for manual social class and certain physical aspects of respondents’ jobs reduced estimated </w:t>
      </w:r>
      <w:r w:rsidR="00E01644">
        <w:rPr>
          <w:rFonts w:ascii="Times New Roman" w:eastAsia="Times New Roman" w:hAnsi="Times New Roman" w:cs="Times New Roman"/>
          <w:sz w:val="24"/>
          <w:szCs w:val="20"/>
          <w:lang w:eastAsia="en-GB"/>
        </w:rPr>
        <w:t xml:space="preserve">PRs </w:t>
      </w:r>
      <w:r w:rsidR="00370831">
        <w:rPr>
          <w:rFonts w:ascii="Times New Roman" w:eastAsia="Times New Roman" w:hAnsi="Times New Roman" w:cs="Times New Roman"/>
          <w:sz w:val="24"/>
          <w:szCs w:val="20"/>
          <w:lang w:eastAsia="en-GB"/>
        </w:rPr>
        <w:t>for exposure above 2.8 ms</w:t>
      </w:r>
      <w:r w:rsidR="00370831">
        <w:rPr>
          <w:rFonts w:ascii="Times New Roman" w:eastAsia="Times New Roman" w:hAnsi="Times New Roman" w:cs="Times New Roman"/>
          <w:sz w:val="24"/>
          <w:szCs w:val="20"/>
          <w:vertAlign w:val="superscript"/>
          <w:lang w:eastAsia="en-GB"/>
        </w:rPr>
        <w:t>-2</w:t>
      </w:r>
      <w:r w:rsidR="00977696">
        <w:rPr>
          <w:rFonts w:ascii="Times New Roman" w:eastAsia="Times New Roman" w:hAnsi="Times New Roman" w:cs="Times New Roman"/>
          <w:sz w:val="24"/>
          <w:szCs w:val="20"/>
          <w:lang w:eastAsia="en-GB"/>
        </w:rPr>
        <w:t xml:space="preserve"> in the past week by some 20%. H</w:t>
      </w:r>
      <w:r w:rsidR="00370831">
        <w:rPr>
          <w:rFonts w:ascii="Times New Roman" w:eastAsia="Times New Roman" w:hAnsi="Times New Roman" w:cs="Times New Roman"/>
          <w:sz w:val="24"/>
          <w:szCs w:val="20"/>
          <w:lang w:eastAsia="en-GB"/>
        </w:rPr>
        <w:t>owever, they remained substantially and significantly elevated.</w:t>
      </w:r>
    </w:p>
    <w:p w:rsidR="00EB6ABC" w:rsidRDefault="00EB6ABC" w:rsidP="005A45C0">
      <w:pPr>
        <w:jc w:val="both"/>
        <w:rPr>
          <w:rFonts w:ascii="Times New Roman" w:eastAsia="Times New Roman" w:hAnsi="Times New Roman" w:cs="Times New Roman"/>
          <w:sz w:val="24"/>
          <w:szCs w:val="20"/>
          <w:lang w:eastAsia="en-GB"/>
        </w:rPr>
      </w:pPr>
    </w:p>
    <w:p w:rsidR="00E50AB3" w:rsidRDefault="001D594C" w:rsidP="005A45C0">
      <w:pPr>
        <w:jc w:val="both"/>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In keeping with our study, </w:t>
      </w:r>
      <w:r w:rsidR="00E01644">
        <w:rPr>
          <w:rFonts w:ascii="Times New Roman" w:eastAsia="Times New Roman" w:hAnsi="Times New Roman" w:cs="Times New Roman"/>
          <w:sz w:val="24"/>
          <w:szCs w:val="20"/>
          <w:lang w:eastAsia="en-GB"/>
        </w:rPr>
        <w:t xml:space="preserve">relative risks </w:t>
      </w:r>
      <w:r w:rsidR="00370831">
        <w:rPr>
          <w:rFonts w:ascii="Times New Roman" w:eastAsia="Times New Roman" w:hAnsi="Times New Roman" w:cs="Times New Roman"/>
          <w:sz w:val="24"/>
          <w:szCs w:val="20"/>
          <w:lang w:eastAsia="en-GB"/>
        </w:rPr>
        <w:t>of 2</w:t>
      </w:r>
      <w:r w:rsidR="000F044E">
        <w:rPr>
          <w:rFonts w:ascii="Times New Roman" w:eastAsia="Times New Roman" w:hAnsi="Times New Roman" w:cs="Times New Roman"/>
          <w:sz w:val="24"/>
          <w:szCs w:val="20"/>
          <w:lang w:eastAsia="en-GB"/>
        </w:rPr>
        <w:t xml:space="preserve"> to </w:t>
      </w:r>
      <w:r w:rsidR="00370831">
        <w:rPr>
          <w:rFonts w:ascii="Times New Roman" w:eastAsia="Times New Roman" w:hAnsi="Times New Roman" w:cs="Times New Roman"/>
          <w:sz w:val="24"/>
          <w:szCs w:val="20"/>
          <w:lang w:eastAsia="en-GB"/>
        </w:rPr>
        <w:t xml:space="preserve">3 </w:t>
      </w:r>
      <w:r w:rsidRPr="00A94CCA">
        <w:rPr>
          <w:rFonts w:ascii="Times New Roman" w:eastAsia="Times New Roman" w:hAnsi="Times New Roman" w:cs="Times New Roman"/>
          <w:sz w:val="24"/>
          <w:szCs w:val="20"/>
          <w:lang w:eastAsia="en-GB"/>
        </w:rPr>
        <w:t>(with evidence of a dose-response relationship</w:t>
      </w:r>
      <w:r w:rsidR="00370831">
        <w:rPr>
          <w:rFonts w:ascii="Times New Roman" w:eastAsia="Times New Roman" w:hAnsi="Times New Roman" w:cs="Times New Roman"/>
          <w:sz w:val="24"/>
          <w:szCs w:val="20"/>
          <w:lang w:eastAsia="en-GB"/>
        </w:rPr>
        <w:t>)</w:t>
      </w:r>
      <w:r w:rsidR="00370831" w:rsidRPr="00370831">
        <w:rPr>
          <w:rFonts w:ascii="Times New Roman" w:eastAsia="Times New Roman" w:hAnsi="Times New Roman" w:cs="Times New Roman"/>
          <w:sz w:val="24"/>
          <w:szCs w:val="20"/>
          <w:lang w:eastAsia="en-GB"/>
        </w:rPr>
        <w:t xml:space="preserve"> </w:t>
      </w:r>
      <w:r w:rsidR="00370831">
        <w:rPr>
          <w:rFonts w:ascii="Times New Roman" w:eastAsia="Times New Roman" w:hAnsi="Times New Roman" w:cs="Times New Roman"/>
          <w:sz w:val="24"/>
          <w:szCs w:val="20"/>
          <w:lang w:eastAsia="en-GB"/>
        </w:rPr>
        <w:t>were reported</w:t>
      </w:r>
      <w:r w:rsidRPr="00A94CCA">
        <w:rPr>
          <w:rFonts w:ascii="Times New Roman" w:eastAsia="Times New Roman" w:hAnsi="Times New Roman" w:cs="Times New Roman"/>
          <w:sz w:val="24"/>
          <w:szCs w:val="20"/>
          <w:lang w:eastAsia="en-GB"/>
        </w:rPr>
        <w:t xml:space="preserve"> in a cross-sectional study of</w:t>
      </w:r>
      <w:r w:rsidR="00D6278D">
        <w:rPr>
          <w:rFonts w:ascii="Times New Roman" w:eastAsia="Times New Roman" w:hAnsi="Times New Roman" w:cs="Times New Roman"/>
          <w:sz w:val="24"/>
          <w:szCs w:val="20"/>
          <w:lang w:eastAsia="en-GB"/>
        </w:rPr>
        <w:t xml:space="preserve"> Italian</w:t>
      </w:r>
      <w:r w:rsidRPr="00A94CCA">
        <w:rPr>
          <w:rFonts w:ascii="Times New Roman" w:eastAsia="Times New Roman" w:hAnsi="Times New Roman" w:cs="Times New Roman"/>
          <w:sz w:val="24"/>
          <w:szCs w:val="20"/>
          <w:lang w:eastAsia="en-GB"/>
        </w:rPr>
        <w:t xml:space="preserve"> quarry drillers and </w:t>
      </w:r>
      <w:proofErr w:type="spellStart"/>
      <w:r w:rsidRPr="00A94CCA">
        <w:rPr>
          <w:rFonts w:ascii="Times New Roman" w:eastAsia="Times New Roman" w:hAnsi="Times New Roman" w:cs="Times New Roman"/>
          <w:sz w:val="24"/>
          <w:szCs w:val="20"/>
          <w:lang w:eastAsia="en-GB"/>
        </w:rPr>
        <w:t>stonecarvers</w:t>
      </w:r>
      <w:proofErr w:type="spellEnd"/>
      <w:r w:rsidRPr="00A94CCA">
        <w:rPr>
          <w:rFonts w:ascii="Times New Roman" w:eastAsia="Times New Roman" w:hAnsi="Times New Roman" w:cs="Times New Roman"/>
          <w:sz w:val="24"/>
          <w:szCs w:val="20"/>
          <w:lang w:eastAsia="en-GB"/>
        </w:rPr>
        <w:t xml:space="preserve"> </w:t>
      </w:r>
      <w:r w:rsidR="00D6278D">
        <w:rPr>
          <w:rFonts w:ascii="Times New Roman" w:eastAsia="Times New Roman" w:hAnsi="Times New Roman" w:cs="Times New Roman"/>
          <w:sz w:val="24"/>
          <w:szCs w:val="20"/>
          <w:lang w:eastAsia="en-GB"/>
        </w:rPr>
        <w:t xml:space="preserve">with </w:t>
      </w:r>
      <w:r w:rsidR="00CD31F3">
        <w:rPr>
          <w:rFonts w:ascii="Times New Roman" w:eastAsia="Times New Roman" w:hAnsi="Times New Roman" w:cs="Times New Roman"/>
          <w:sz w:val="24"/>
          <w:szCs w:val="20"/>
          <w:lang w:eastAsia="en-GB"/>
        </w:rPr>
        <w:t>an average of 17.4 years</w:t>
      </w:r>
      <w:r w:rsidR="00D6278D">
        <w:rPr>
          <w:rFonts w:ascii="Times New Roman" w:eastAsia="Times New Roman" w:hAnsi="Times New Roman" w:cs="Times New Roman"/>
          <w:sz w:val="24"/>
          <w:szCs w:val="20"/>
          <w:lang w:eastAsia="en-GB"/>
        </w:rPr>
        <w:t xml:space="preserve"> </w:t>
      </w:r>
      <w:r w:rsidR="00CD31F3">
        <w:rPr>
          <w:rFonts w:ascii="Times New Roman" w:eastAsia="Times New Roman" w:hAnsi="Times New Roman" w:cs="Times New Roman"/>
          <w:sz w:val="24"/>
          <w:szCs w:val="20"/>
          <w:lang w:eastAsia="en-GB"/>
        </w:rPr>
        <w:t>of</w:t>
      </w:r>
      <w:r w:rsidR="00D6278D">
        <w:rPr>
          <w:rFonts w:ascii="Times New Roman" w:eastAsia="Times New Roman" w:hAnsi="Times New Roman" w:cs="Times New Roman"/>
          <w:sz w:val="24"/>
          <w:szCs w:val="20"/>
          <w:lang w:eastAsia="en-GB"/>
        </w:rPr>
        <w:t xml:space="preserve"> exposure to</w:t>
      </w:r>
      <w:r w:rsidR="00CD31F3">
        <w:rPr>
          <w:rFonts w:ascii="Times New Roman" w:eastAsia="Times New Roman" w:hAnsi="Times New Roman" w:cs="Times New Roman"/>
          <w:sz w:val="24"/>
          <w:szCs w:val="20"/>
          <w:lang w:eastAsia="en-GB"/>
        </w:rPr>
        <w:t xml:space="preserve"> relatively high levels of</w:t>
      </w:r>
      <w:r w:rsidR="00D6278D">
        <w:rPr>
          <w:rFonts w:ascii="Times New Roman" w:eastAsia="Times New Roman" w:hAnsi="Times New Roman" w:cs="Times New Roman"/>
          <w:sz w:val="24"/>
          <w:szCs w:val="20"/>
          <w:lang w:eastAsia="en-GB"/>
        </w:rPr>
        <w:t xml:space="preserve"> HTV</w:t>
      </w:r>
      <w:r w:rsidR="004F4BB8" w:rsidRPr="00A94CCA">
        <w:rPr>
          <w:rFonts w:ascii="Times New Roman" w:eastAsia="Times New Roman" w:hAnsi="Times New Roman" w:cs="Times New Roman"/>
          <w:sz w:val="24"/>
          <w:szCs w:val="20"/>
          <w:lang w:eastAsia="en-GB"/>
        </w:rPr>
        <w:t xml:space="preserve"> [13];</w:t>
      </w:r>
      <w:r w:rsidRPr="00A94CCA">
        <w:rPr>
          <w:rFonts w:ascii="Times New Roman" w:eastAsia="Times New Roman" w:hAnsi="Times New Roman" w:cs="Times New Roman"/>
          <w:sz w:val="24"/>
          <w:szCs w:val="20"/>
          <w:lang w:eastAsia="en-GB"/>
        </w:rPr>
        <w:t xml:space="preserve"> by </w:t>
      </w:r>
      <w:r w:rsidR="004F4BB8" w:rsidRPr="00A94CCA">
        <w:rPr>
          <w:rFonts w:ascii="Times New Roman" w:eastAsia="Times New Roman" w:hAnsi="Times New Roman" w:cs="Times New Roman"/>
          <w:sz w:val="24"/>
          <w:szCs w:val="20"/>
          <w:lang w:eastAsia="en-GB"/>
        </w:rPr>
        <w:t>about</w:t>
      </w:r>
      <w:r w:rsidR="005D45B3">
        <w:rPr>
          <w:rFonts w:ascii="Times New Roman" w:eastAsia="Times New Roman" w:hAnsi="Times New Roman" w:cs="Times New Roman"/>
          <w:sz w:val="24"/>
          <w:szCs w:val="20"/>
          <w:lang w:eastAsia="en-GB"/>
        </w:rPr>
        <w:t xml:space="preserve"> 5 to </w:t>
      </w:r>
      <w:r w:rsidR="004F4BB8" w:rsidRPr="00A94CCA">
        <w:rPr>
          <w:rFonts w:ascii="Times New Roman" w:eastAsia="Times New Roman" w:hAnsi="Times New Roman" w:cs="Times New Roman"/>
          <w:sz w:val="24"/>
          <w:szCs w:val="20"/>
          <w:lang w:eastAsia="en-GB"/>
        </w:rPr>
        <w:t>1</w:t>
      </w:r>
      <w:r w:rsidR="00D6278D">
        <w:rPr>
          <w:rFonts w:ascii="Times New Roman" w:eastAsia="Times New Roman" w:hAnsi="Times New Roman" w:cs="Times New Roman"/>
          <w:sz w:val="24"/>
          <w:szCs w:val="20"/>
          <w:lang w:eastAsia="en-GB"/>
        </w:rPr>
        <w:t>1</w:t>
      </w:r>
      <w:r w:rsidR="004F4BB8" w:rsidRPr="00A94CCA">
        <w:rPr>
          <w:rFonts w:ascii="Times New Roman" w:eastAsia="Times New Roman" w:hAnsi="Times New Roman" w:cs="Times New Roman"/>
          <w:sz w:val="24"/>
          <w:szCs w:val="20"/>
          <w:lang w:eastAsia="en-GB"/>
        </w:rPr>
        <w:t xml:space="preserve"> </w:t>
      </w:r>
      <w:r w:rsidRPr="00A94CCA">
        <w:rPr>
          <w:rFonts w:ascii="Times New Roman" w:eastAsia="Times New Roman" w:hAnsi="Times New Roman" w:cs="Times New Roman"/>
          <w:sz w:val="24"/>
          <w:szCs w:val="20"/>
          <w:lang w:eastAsia="en-GB"/>
        </w:rPr>
        <w:t xml:space="preserve">fold in manual workers employed by private companies in the Pays de Loire region </w:t>
      </w:r>
      <w:r w:rsidR="004F4BB8" w:rsidRPr="00A94CCA">
        <w:rPr>
          <w:rFonts w:ascii="Times New Roman" w:eastAsia="Times New Roman" w:hAnsi="Times New Roman" w:cs="Times New Roman"/>
          <w:sz w:val="24"/>
          <w:szCs w:val="20"/>
          <w:lang w:eastAsia="en-GB"/>
        </w:rPr>
        <w:t>of</w:t>
      </w:r>
      <w:r w:rsidRPr="00A94CCA">
        <w:rPr>
          <w:rFonts w:ascii="Times New Roman" w:eastAsia="Times New Roman" w:hAnsi="Times New Roman" w:cs="Times New Roman"/>
          <w:sz w:val="24"/>
          <w:szCs w:val="20"/>
          <w:lang w:eastAsia="en-GB"/>
        </w:rPr>
        <w:t xml:space="preserve"> France</w:t>
      </w:r>
      <w:r w:rsidR="004F4BB8" w:rsidRPr="00A94CCA">
        <w:rPr>
          <w:rFonts w:ascii="Times New Roman" w:eastAsia="Times New Roman" w:hAnsi="Times New Roman" w:cs="Times New Roman"/>
          <w:sz w:val="24"/>
          <w:szCs w:val="20"/>
          <w:lang w:eastAsia="en-GB"/>
        </w:rPr>
        <w:t xml:space="preserve"> [14];</w:t>
      </w:r>
      <w:r w:rsidRPr="00A94CCA">
        <w:rPr>
          <w:rFonts w:ascii="Times New Roman" w:eastAsia="Times New Roman" w:hAnsi="Times New Roman" w:cs="Times New Roman"/>
          <w:sz w:val="24"/>
          <w:szCs w:val="20"/>
          <w:lang w:eastAsia="en-GB"/>
        </w:rPr>
        <w:t xml:space="preserve"> by </w:t>
      </w:r>
      <w:r w:rsidR="004F4BB8" w:rsidRPr="00A94CCA">
        <w:rPr>
          <w:rFonts w:ascii="Times New Roman" w:eastAsia="Times New Roman" w:hAnsi="Times New Roman" w:cs="Times New Roman"/>
          <w:sz w:val="24"/>
          <w:szCs w:val="20"/>
          <w:lang w:eastAsia="en-GB"/>
        </w:rPr>
        <w:t>almost</w:t>
      </w:r>
      <w:r w:rsidRPr="00A94CCA">
        <w:rPr>
          <w:rFonts w:ascii="Times New Roman" w:eastAsia="Times New Roman" w:hAnsi="Times New Roman" w:cs="Times New Roman"/>
          <w:sz w:val="24"/>
          <w:szCs w:val="20"/>
          <w:lang w:eastAsia="en-GB"/>
        </w:rPr>
        <w:t xml:space="preserve"> two-fold in </w:t>
      </w:r>
      <w:r w:rsidR="004F4BB8" w:rsidRPr="00A94CCA">
        <w:rPr>
          <w:rFonts w:ascii="Times New Roman" w:eastAsia="Times New Roman" w:hAnsi="Times New Roman" w:cs="Times New Roman"/>
          <w:sz w:val="24"/>
          <w:szCs w:val="20"/>
          <w:lang w:eastAsia="en-GB"/>
        </w:rPr>
        <w:t>male users of powered tools from a different</w:t>
      </w:r>
      <w:r w:rsidRPr="00A94CCA">
        <w:rPr>
          <w:rFonts w:ascii="Times New Roman" w:eastAsia="Times New Roman" w:hAnsi="Times New Roman" w:cs="Times New Roman"/>
          <w:sz w:val="24"/>
          <w:szCs w:val="20"/>
          <w:lang w:eastAsia="en-GB"/>
        </w:rPr>
        <w:t xml:space="preserve"> </w:t>
      </w:r>
      <w:r w:rsidR="004F4BB8" w:rsidRPr="00A94CCA">
        <w:rPr>
          <w:rFonts w:ascii="Times New Roman" w:eastAsia="Times New Roman" w:hAnsi="Times New Roman" w:cs="Times New Roman"/>
          <w:sz w:val="24"/>
          <w:szCs w:val="20"/>
          <w:lang w:eastAsia="en-GB"/>
        </w:rPr>
        <w:t xml:space="preserve">French </w:t>
      </w:r>
      <w:r w:rsidRPr="00A94CCA">
        <w:rPr>
          <w:rFonts w:ascii="Times New Roman" w:eastAsia="Times New Roman" w:hAnsi="Times New Roman" w:cs="Times New Roman"/>
          <w:sz w:val="24"/>
          <w:szCs w:val="20"/>
          <w:lang w:eastAsia="en-GB"/>
        </w:rPr>
        <w:t>survey</w:t>
      </w:r>
      <w:r w:rsidR="00977696">
        <w:rPr>
          <w:rFonts w:ascii="Times New Roman" w:eastAsia="Times New Roman" w:hAnsi="Times New Roman" w:cs="Times New Roman"/>
          <w:sz w:val="24"/>
          <w:szCs w:val="20"/>
          <w:lang w:eastAsia="en-GB"/>
        </w:rPr>
        <w:t xml:space="preserve"> who had been</w:t>
      </w:r>
      <w:r w:rsidR="00CD31F3">
        <w:rPr>
          <w:rFonts w:ascii="Times New Roman" w:eastAsia="Times New Roman" w:hAnsi="Times New Roman" w:cs="Times New Roman"/>
          <w:sz w:val="24"/>
          <w:szCs w:val="20"/>
          <w:lang w:eastAsia="en-GB"/>
        </w:rPr>
        <w:t xml:space="preserve"> exposed for a median of 10 years</w:t>
      </w:r>
      <w:r w:rsidRPr="00A94CCA">
        <w:rPr>
          <w:rFonts w:ascii="Times New Roman" w:eastAsia="Times New Roman" w:hAnsi="Times New Roman" w:cs="Times New Roman"/>
          <w:sz w:val="24"/>
          <w:szCs w:val="20"/>
          <w:lang w:eastAsia="en-GB"/>
        </w:rPr>
        <w:t xml:space="preserve"> </w:t>
      </w:r>
      <w:r w:rsidR="004F4BB8" w:rsidRPr="00A94CCA">
        <w:rPr>
          <w:rFonts w:ascii="Times New Roman" w:eastAsia="Times New Roman" w:hAnsi="Times New Roman" w:cs="Times New Roman"/>
          <w:sz w:val="24"/>
          <w:szCs w:val="20"/>
          <w:lang w:eastAsia="en-GB"/>
        </w:rPr>
        <w:t>[15];</w:t>
      </w:r>
      <w:r w:rsidRPr="00A94CCA">
        <w:rPr>
          <w:rFonts w:ascii="Times New Roman" w:eastAsia="Times New Roman" w:hAnsi="Times New Roman" w:cs="Times New Roman"/>
          <w:sz w:val="24"/>
          <w:szCs w:val="20"/>
          <w:lang w:eastAsia="en-GB"/>
        </w:rPr>
        <w:t xml:space="preserve"> </w:t>
      </w:r>
      <w:r w:rsidR="000F044E">
        <w:rPr>
          <w:rFonts w:ascii="Times New Roman" w:eastAsia="Times New Roman" w:hAnsi="Times New Roman" w:cs="Times New Roman"/>
          <w:sz w:val="24"/>
          <w:szCs w:val="20"/>
          <w:lang w:eastAsia="en-GB"/>
        </w:rPr>
        <w:t xml:space="preserve">by 2 to </w:t>
      </w:r>
      <w:r w:rsidR="004F4BB8" w:rsidRPr="00A94CCA">
        <w:rPr>
          <w:rFonts w:ascii="Times New Roman" w:eastAsia="Times New Roman" w:hAnsi="Times New Roman" w:cs="Times New Roman"/>
          <w:sz w:val="24"/>
          <w:szCs w:val="20"/>
          <w:lang w:eastAsia="en-GB"/>
        </w:rPr>
        <w:t xml:space="preserve">3 fold in Italian men from a broad range of occupations (mine driller, stone cutter, stone dresser, building </w:t>
      </w:r>
      <w:r w:rsidR="004F4BB8" w:rsidRPr="00A94CCA">
        <w:rPr>
          <w:rFonts w:ascii="Times New Roman" w:eastAsia="Times New Roman" w:hAnsi="Times New Roman" w:cs="Times New Roman"/>
          <w:sz w:val="24"/>
          <w:szCs w:val="20"/>
          <w:lang w:eastAsia="en-GB"/>
        </w:rPr>
        <w:lastRenderedPageBreak/>
        <w:t>worker, chainsaw user, timber worker, milling worker, grinder, polisher</w:t>
      </w:r>
      <w:r w:rsidR="00A94CCA">
        <w:rPr>
          <w:rFonts w:ascii="Times New Roman" w:eastAsia="Times New Roman" w:hAnsi="Times New Roman" w:cs="Times New Roman"/>
          <w:sz w:val="24"/>
          <w:szCs w:val="20"/>
          <w:lang w:eastAsia="en-GB"/>
        </w:rPr>
        <w:t>)</w:t>
      </w:r>
      <w:r w:rsidR="00CD31F3">
        <w:rPr>
          <w:rFonts w:ascii="Times New Roman" w:eastAsia="Times New Roman" w:hAnsi="Times New Roman" w:cs="Times New Roman"/>
          <w:sz w:val="24"/>
          <w:szCs w:val="20"/>
          <w:lang w:eastAsia="en-GB"/>
        </w:rPr>
        <w:t xml:space="preserve"> when exposed for </w:t>
      </w:r>
      <w:r w:rsidR="00CD31F3" w:rsidRPr="00CD31F3">
        <w:rPr>
          <w:rFonts w:ascii="Times New Roman" w:eastAsia="Times New Roman" w:hAnsi="Times New Roman" w:cs="Times New Roman"/>
          <w:sz w:val="24"/>
          <w:szCs w:val="20"/>
          <w:u w:val="single"/>
          <w:lang w:eastAsia="en-GB"/>
        </w:rPr>
        <w:t>&gt;</w:t>
      </w:r>
      <w:r w:rsidR="00CD31F3">
        <w:rPr>
          <w:rFonts w:ascii="Times New Roman" w:eastAsia="Times New Roman" w:hAnsi="Times New Roman" w:cs="Times New Roman"/>
          <w:sz w:val="24"/>
          <w:szCs w:val="20"/>
          <w:lang w:eastAsia="en-GB"/>
        </w:rPr>
        <w:t>10 years</w:t>
      </w:r>
      <w:r w:rsidR="004F4BB8" w:rsidRPr="00A94CCA">
        <w:rPr>
          <w:rFonts w:ascii="Times New Roman" w:eastAsia="Times New Roman" w:hAnsi="Times New Roman" w:cs="Times New Roman"/>
          <w:sz w:val="24"/>
          <w:szCs w:val="20"/>
          <w:lang w:eastAsia="en-GB"/>
        </w:rPr>
        <w:t xml:space="preserve"> [16];  and, </w:t>
      </w:r>
      <w:r w:rsidR="00A94CCA">
        <w:rPr>
          <w:rFonts w:ascii="Times New Roman" w:eastAsia="Times New Roman" w:hAnsi="Times New Roman" w:cs="Times New Roman"/>
          <w:sz w:val="24"/>
          <w:szCs w:val="20"/>
          <w:lang w:eastAsia="en-GB"/>
        </w:rPr>
        <w:t>also</w:t>
      </w:r>
      <w:r w:rsidR="004F4BB8" w:rsidRPr="00A94CCA">
        <w:rPr>
          <w:rFonts w:ascii="Times New Roman" w:eastAsia="Times New Roman" w:hAnsi="Times New Roman" w:cs="Times New Roman"/>
          <w:sz w:val="24"/>
          <w:szCs w:val="20"/>
          <w:lang w:eastAsia="en-GB"/>
        </w:rPr>
        <w:t>, by almost 2-fold in men claiming</w:t>
      </w:r>
      <w:r w:rsidR="009E1F89">
        <w:rPr>
          <w:rFonts w:ascii="Times New Roman" w:eastAsia="Times New Roman" w:hAnsi="Times New Roman" w:cs="Times New Roman"/>
          <w:sz w:val="24"/>
          <w:szCs w:val="20"/>
          <w:lang w:eastAsia="en-GB"/>
        </w:rPr>
        <w:t xml:space="preserve"> vibration-induced white finger</w:t>
      </w:r>
      <w:r w:rsidR="004F4BB8" w:rsidRPr="00A94CCA">
        <w:rPr>
          <w:rFonts w:ascii="Times New Roman" w:eastAsia="Times New Roman" w:hAnsi="Times New Roman" w:cs="Times New Roman"/>
          <w:sz w:val="24"/>
          <w:szCs w:val="20"/>
          <w:lang w:eastAsia="en-GB"/>
        </w:rPr>
        <w:t xml:space="preserve"> when compared with similarly aged men from a general surgical ward of a hospital in England [17].</w:t>
      </w:r>
      <w:r w:rsidR="00A94CCA" w:rsidRPr="00A94CCA">
        <w:rPr>
          <w:rFonts w:ascii="Times New Roman" w:eastAsia="Times New Roman" w:hAnsi="Times New Roman" w:cs="Times New Roman"/>
          <w:sz w:val="24"/>
          <w:szCs w:val="20"/>
          <w:lang w:eastAsia="en-GB"/>
        </w:rPr>
        <w:t xml:space="preserve"> </w:t>
      </w:r>
      <w:r w:rsidR="00A94CCA">
        <w:rPr>
          <w:rFonts w:ascii="Times New Roman" w:eastAsia="Times New Roman" w:hAnsi="Times New Roman" w:cs="Times New Roman"/>
          <w:sz w:val="24"/>
          <w:szCs w:val="20"/>
          <w:lang w:eastAsia="en-GB"/>
        </w:rPr>
        <w:t>By contrast</w:t>
      </w:r>
      <w:r w:rsidR="00A94CCA" w:rsidRPr="00A94CCA">
        <w:rPr>
          <w:rFonts w:ascii="Times New Roman" w:eastAsia="Times New Roman" w:hAnsi="Times New Roman" w:cs="Times New Roman"/>
          <w:sz w:val="24"/>
          <w:szCs w:val="20"/>
          <w:lang w:eastAsia="en-GB"/>
        </w:rPr>
        <w:t xml:space="preserve">, a very large British study, involving over 97,000 miners and ex-miners </w:t>
      </w:r>
      <w:r w:rsidR="009E1F89">
        <w:rPr>
          <w:rFonts w:ascii="Times New Roman" w:eastAsia="Times New Roman" w:hAnsi="Times New Roman" w:cs="Times New Roman"/>
          <w:sz w:val="24"/>
          <w:szCs w:val="20"/>
          <w:lang w:eastAsia="en-GB"/>
        </w:rPr>
        <w:t>seeking</w:t>
      </w:r>
      <w:r w:rsidR="00A94CCA" w:rsidRPr="00A94CCA">
        <w:rPr>
          <w:rFonts w:ascii="Times New Roman" w:eastAsia="Times New Roman" w:hAnsi="Times New Roman" w:cs="Times New Roman"/>
          <w:sz w:val="24"/>
          <w:szCs w:val="20"/>
          <w:lang w:eastAsia="en-GB"/>
        </w:rPr>
        <w:t xml:space="preserve"> compensation for Hand-arm Vibration Syndrome, found no relationship with years of exposure to </w:t>
      </w:r>
      <w:r w:rsidR="00CD31F3">
        <w:rPr>
          <w:rFonts w:ascii="Times New Roman" w:eastAsia="Times New Roman" w:hAnsi="Times New Roman" w:cs="Times New Roman"/>
          <w:sz w:val="24"/>
          <w:szCs w:val="20"/>
          <w:lang w:eastAsia="en-GB"/>
        </w:rPr>
        <w:t>HTV</w:t>
      </w:r>
      <w:r w:rsidR="00A94CCA" w:rsidRPr="00A94CCA">
        <w:rPr>
          <w:rFonts w:ascii="Times New Roman" w:eastAsia="Times New Roman" w:hAnsi="Times New Roman" w:cs="Times New Roman"/>
          <w:sz w:val="24"/>
          <w:szCs w:val="20"/>
          <w:lang w:eastAsia="en-GB"/>
        </w:rPr>
        <w:t xml:space="preserve"> when analysed as a continuous </w:t>
      </w:r>
      <w:r w:rsidR="00CD31F3">
        <w:rPr>
          <w:rFonts w:ascii="Times New Roman" w:eastAsia="Times New Roman" w:hAnsi="Times New Roman" w:cs="Times New Roman"/>
          <w:sz w:val="24"/>
          <w:szCs w:val="20"/>
          <w:lang w:eastAsia="en-GB"/>
        </w:rPr>
        <w:t>variable</w:t>
      </w:r>
      <w:r w:rsidR="00A94CCA" w:rsidRPr="00A94CCA">
        <w:rPr>
          <w:rFonts w:ascii="Times New Roman" w:eastAsia="Times New Roman" w:hAnsi="Times New Roman" w:cs="Times New Roman"/>
          <w:sz w:val="24"/>
          <w:szCs w:val="20"/>
          <w:lang w:eastAsia="en-GB"/>
        </w:rPr>
        <w:t xml:space="preserve"> [18]. However, the </w:t>
      </w:r>
      <w:r w:rsidR="00CD4F80">
        <w:rPr>
          <w:rFonts w:ascii="Times New Roman" w:eastAsia="Times New Roman" w:hAnsi="Times New Roman" w:cs="Times New Roman"/>
          <w:sz w:val="24"/>
          <w:szCs w:val="20"/>
          <w:lang w:eastAsia="en-GB"/>
        </w:rPr>
        <w:t>extent</w:t>
      </w:r>
      <w:r w:rsidR="00A94CCA" w:rsidRPr="00A94CCA">
        <w:rPr>
          <w:rFonts w:ascii="Times New Roman" w:eastAsia="Times New Roman" w:hAnsi="Times New Roman" w:cs="Times New Roman"/>
          <w:sz w:val="24"/>
          <w:szCs w:val="20"/>
          <w:lang w:eastAsia="en-GB"/>
        </w:rPr>
        <w:t xml:space="preserve"> of exposure contrast within this </w:t>
      </w:r>
      <w:r w:rsidR="00D6278D">
        <w:rPr>
          <w:rFonts w:ascii="Times New Roman" w:eastAsia="Times New Roman" w:hAnsi="Times New Roman" w:cs="Times New Roman"/>
          <w:sz w:val="24"/>
          <w:szCs w:val="20"/>
          <w:lang w:eastAsia="en-GB"/>
        </w:rPr>
        <w:t xml:space="preserve">selected </w:t>
      </w:r>
      <w:r w:rsidR="00A94CCA" w:rsidRPr="00A94CCA">
        <w:rPr>
          <w:rFonts w:ascii="Times New Roman" w:eastAsia="Times New Roman" w:hAnsi="Times New Roman" w:cs="Times New Roman"/>
          <w:sz w:val="24"/>
          <w:szCs w:val="20"/>
          <w:lang w:eastAsia="en-GB"/>
        </w:rPr>
        <w:t xml:space="preserve">group of heavily exposed claimants </w:t>
      </w:r>
      <w:r w:rsidR="00CD4F80">
        <w:rPr>
          <w:rFonts w:ascii="Times New Roman" w:eastAsia="Times New Roman" w:hAnsi="Times New Roman" w:cs="Times New Roman"/>
          <w:sz w:val="24"/>
          <w:szCs w:val="20"/>
          <w:lang w:eastAsia="en-GB"/>
        </w:rPr>
        <w:t>is unclear</w:t>
      </w:r>
      <w:r w:rsidR="00A94CCA" w:rsidRPr="00A94CCA">
        <w:rPr>
          <w:rFonts w:ascii="Times New Roman" w:eastAsia="Times New Roman" w:hAnsi="Times New Roman" w:cs="Times New Roman"/>
          <w:sz w:val="24"/>
          <w:szCs w:val="20"/>
          <w:lang w:eastAsia="en-GB"/>
        </w:rPr>
        <w:t xml:space="preserve"> and no analysis was provided by exposure in </w:t>
      </w:r>
      <w:r w:rsidR="009459B4">
        <w:rPr>
          <w:rFonts w:ascii="Times New Roman" w:eastAsia="Times New Roman" w:hAnsi="Times New Roman" w:cs="Times New Roman"/>
          <w:sz w:val="24"/>
          <w:szCs w:val="20"/>
          <w:lang w:eastAsia="en-GB"/>
        </w:rPr>
        <w:t xml:space="preserve">categorical </w:t>
      </w:r>
      <w:r w:rsidR="00A94CCA" w:rsidRPr="00A94CCA">
        <w:rPr>
          <w:rFonts w:ascii="Times New Roman" w:eastAsia="Times New Roman" w:hAnsi="Times New Roman" w:cs="Times New Roman"/>
          <w:sz w:val="24"/>
          <w:szCs w:val="20"/>
          <w:lang w:eastAsia="en-GB"/>
        </w:rPr>
        <w:t>bands</w:t>
      </w:r>
      <w:r w:rsidR="00E50AB3">
        <w:rPr>
          <w:rFonts w:ascii="Times New Roman" w:eastAsia="Times New Roman" w:hAnsi="Times New Roman" w:cs="Times New Roman"/>
          <w:sz w:val="24"/>
          <w:szCs w:val="20"/>
          <w:lang w:eastAsia="en-GB"/>
        </w:rPr>
        <w:t>.</w:t>
      </w:r>
      <w:r w:rsidR="00A94CCA">
        <w:rPr>
          <w:rFonts w:ascii="Times New Roman" w:eastAsia="Times New Roman" w:hAnsi="Times New Roman" w:cs="Times New Roman"/>
          <w:sz w:val="24"/>
          <w:szCs w:val="20"/>
          <w:lang w:eastAsia="en-GB"/>
        </w:rPr>
        <w:t xml:space="preserve"> (</w:t>
      </w:r>
      <w:r w:rsidR="009459B4">
        <w:rPr>
          <w:rFonts w:ascii="Times New Roman" w:eastAsia="Times New Roman" w:hAnsi="Times New Roman" w:cs="Times New Roman"/>
          <w:sz w:val="24"/>
          <w:szCs w:val="20"/>
          <w:lang w:eastAsia="en-GB"/>
        </w:rPr>
        <w:t xml:space="preserve">The </w:t>
      </w:r>
      <w:r w:rsidR="00CD4F80">
        <w:rPr>
          <w:rFonts w:ascii="Times New Roman" w:eastAsia="Times New Roman" w:hAnsi="Times New Roman" w:cs="Times New Roman"/>
          <w:sz w:val="24"/>
          <w:szCs w:val="20"/>
          <w:lang w:eastAsia="en-GB"/>
        </w:rPr>
        <w:t xml:space="preserve">chosen approach </w:t>
      </w:r>
      <w:r w:rsidR="009459B4">
        <w:rPr>
          <w:rFonts w:ascii="Times New Roman" w:eastAsia="Times New Roman" w:hAnsi="Times New Roman" w:cs="Times New Roman"/>
          <w:sz w:val="24"/>
          <w:szCs w:val="20"/>
          <w:lang w:eastAsia="en-GB"/>
        </w:rPr>
        <w:t>assumes that exposure increases disease risk exponentially</w:t>
      </w:r>
      <w:r w:rsidR="00CD4F80">
        <w:rPr>
          <w:rFonts w:ascii="Times New Roman" w:eastAsia="Times New Roman" w:hAnsi="Times New Roman" w:cs="Times New Roman"/>
          <w:sz w:val="24"/>
          <w:szCs w:val="20"/>
          <w:lang w:eastAsia="en-GB"/>
        </w:rPr>
        <w:t>,</w:t>
      </w:r>
      <w:r w:rsidR="009459B4">
        <w:rPr>
          <w:rFonts w:ascii="Times New Roman" w:eastAsia="Times New Roman" w:hAnsi="Times New Roman" w:cs="Times New Roman"/>
          <w:sz w:val="24"/>
          <w:szCs w:val="20"/>
          <w:lang w:eastAsia="en-GB"/>
        </w:rPr>
        <w:t xml:space="preserve"> </w:t>
      </w:r>
      <w:r w:rsidR="00CD4F80">
        <w:rPr>
          <w:rFonts w:ascii="Times New Roman" w:eastAsia="Times New Roman" w:hAnsi="Times New Roman" w:cs="Times New Roman"/>
          <w:sz w:val="24"/>
          <w:szCs w:val="20"/>
          <w:lang w:eastAsia="en-GB"/>
        </w:rPr>
        <w:t>p</w:t>
      </w:r>
      <w:r w:rsidR="00A92B12">
        <w:rPr>
          <w:rFonts w:ascii="Times New Roman" w:eastAsia="Times New Roman" w:hAnsi="Times New Roman" w:cs="Times New Roman"/>
          <w:sz w:val="24"/>
          <w:szCs w:val="20"/>
          <w:lang w:eastAsia="en-GB"/>
        </w:rPr>
        <w:t>ossibly</w:t>
      </w:r>
      <w:r w:rsidR="00CD4F80">
        <w:rPr>
          <w:rFonts w:ascii="Times New Roman" w:eastAsia="Times New Roman" w:hAnsi="Times New Roman" w:cs="Times New Roman"/>
          <w:sz w:val="24"/>
          <w:szCs w:val="20"/>
          <w:lang w:eastAsia="en-GB"/>
        </w:rPr>
        <w:t xml:space="preserve"> overlooking </w:t>
      </w:r>
      <w:r w:rsidR="00A92B12">
        <w:rPr>
          <w:rFonts w:ascii="Times New Roman" w:eastAsia="Times New Roman" w:hAnsi="Times New Roman" w:cs="Times New Roman"/>
          <w:sz w:val="24"/>
          <w:szCs w:val="20"/>
          <w:lang w:eastAsia="en-GB"/>
        </w:rPr>
        <w:t xml:space="preserve">an </w:t>
      </w:r>
      <w:r w:rsidR="00CD4F80">
        <w:rPr>
          <w:rFonts w:ascii="Times New Roman" w:eastAsia="Times New Roman" w:hAnsi="Times New Roman" w:cs="Times New Roman"/>
          <w:sz w:val="24"/>
          <w:szCs w:val="20"/>
          <w:lang w:eastAsia="en-GB"/>
        </w:rPr>
        <w:t xml:space="preserve">alternative </w:t>
      </w:r>
      <w:r w:rsidR="00A92B12">
        <w:rPr>
          <w:rFonts w:ascii="Times New Roman" w:eastAsia="Times New Roman" w:hAnsi="Times New Roman" w:cs="Times New Roman"/>
          <w:sz w:val="24"/>
          <w:szCs w:val="20"/>
          <w:lang w:eastAsia="en-GB"/>
        </w:rPr>
        <w:t>shape</w:t>
      </w:r>
      <w:r w:rsidR="00CD4F80">
        <w:rPr>
          <w:rFonts w:ascii="Times New Roman" w:eastAsia="Times New Roman" w:hAnsi="Times New Roman" w:cs="Times New Roman"/>
          <w:sz w:val="24"/>
          <w:szCs w:val="20"/>
          <w:lang w:eastAsia="en-GB"/>
        </w:rPr>
        <w:t xml:space="preserve"> of exposure-response </w:t>
      </w:r>
      <w:r w:rsidR="00D6278D">
        <w:rPr>
          <w:rFonts w:ascii="Times New Roman" w:eastAsia="Times New Roman" w:hAnsi="Times New Roman" w:cs="Times New Roman"/>
          <w:sz w:val="24"/>
          <w:szCs w:val="20"/>
          <w:lang w:eastAsia="en-GB"/>
        </w:rPr>
        <w:t>[19].)</w:t>
      </w:r>
      <w:r w:rsidR="00E50AB3">
        <w:rPr>
          <w:rFonts w:ascii="Times New Roman" w:eastAsia="Times New Roman" w:hAnsi="Times New Roman" w:cs="Times New Roman"/>
          <w:sz w:val="24"/>
          <w:szCs w:val="20"/>
          <w:lang w:eastAsia="en-GB"/>
        </w:rPr>
        <w:t xml:space="preserve"> </w:t>
      </w:r>
    </w:p>
    <w:p w:rsidR="00E50AB3" w:rsidRDefault="00E50AB3" w:rsidP="005A45C0">
      <w:pPr>
        <w:jc w:val="both"/>
        <w:rPr>
          <w:rFonts w:ascii="Times New Roman" w:eastAsia="Times New Roman" w:hAnsi="Times New Roman" w:cs="Times New Roman"/>
          <w:sz w:val="24"/>
          <w:szCs w:val="20"/>
          <w:lang w:eastAsia="en-GB"/>
        </w:rPr>
      </w:pPr>
    </w:p>
    <w:p w:rsidR="00A94CCA" w:rsidRDefault="00CD31F3" w:rsidP="005A45C0">
      <w:pPr>
        <w:jc w:val="both"/>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I</w:t>
      </w:r>
      <w:r w:rsidR="00E50AB3">
        <w:rPr>
          <w:rFonts w:ascii="Times New Roman" w:eastAsia="Times New Roman" w:hAnsi="Times New Roman" w:cs="Times New Roman"/>
          <w:sz w:val="24"/>
          <w:szCs w:val="20"/>
          <w:lang w:eastAsia="en-GB"/>
        </w:rPr>
        <w:t xml:space="preserve">n </w:t>
      </w:r>
      <w:proofErr w:type="spellStart"/>
      <w:r w:rsidR="00E50AB3">
        <w:rPr>
          <w:rFonts w:ascii="Times New Roman" w:eastAsia="Times New Roman" w:hAnsi="Times New Roman" w:cs="Times New Roman"/>
          <w:sz w:val="24"/>
          <w:szCs w:val="20"/>
          <w:lang w:eastAsia="en-GB"/>
        </w:rPr>
        <w:t>Descatha’s</w:t>
      </w:r>
      <w:proofErr w:type="spellEnd"/>
      <w:r w:rsidR="00E50AB3">
        <w:rPr>
          <w:rFonts w:ascii="Times New Roman" w:eastAsia="Times New Roman" w:hAnsi="Times New Roman" w:cs="Times New Roman"/>
          <w:sz w:val="24"/>
          <w:szCs w:val="20"/>
          <w:lang w:eastAsia="en-GB"/>
        </w:rPr>
        <w:t xml:space="preserve"> review [</w:t>
      </w:r>
      <w:r w:rsidR="00D6278D">
        <w:rPr>
          <w:rFonts w:ascii="Times New Roman" w:eastAsia="Times New Roman" w:hAnsi="Times New Roman" w:cs="Times New Roman"/>
          <w:sz w:val="24"/>
          <w:szCs w:val="20"/>
          <w:lang w:eastAsia="en-GB"/>
        </w:rPr>
        <w:t>5</w:t>
      </w:r>
      <w:r w:rsidR="00E50AB3">
        <w:rPr>
          <w:rFonts w:ascii="Times New Roman" w:eastAsia="Times New Roman" w:hAnsi="Times New Roman" w:cs="Times New Roman"/>
          <w:sz w:val="24"/>
          <w:szCs w:val="20"/>
          <w:lang w:eastAsia="en-GB"/>
        </w:rPr>
        <w:t xml:space="preserve">] (which </w:t>
      </w:r>
      <w:r w:rsidR="00A92B12">
        <w:rPr>
          <w:rFonts w:ascii="Times New Roman" w:eastAsia="Times New Roman" w:hAnsi="Times New Roman" w:cs="Times New Roman"/>
          <w:sz w:val="24"/>
          <w:szCs w:val="20"/>
          <w:lang w:eastAsia="en-GB"/>
        </w:rPr>
        <w:t>excluded</w:t>
      </w:r>
      <w:r w:rsidR="00E50AB3">
        <w:rPr>
          <w:rFonts w:ascii="Times New Roman" w:eastAsia="Times New Roman" w:hAnsi="Times New Roman" w:cs="Times New Roman"/>
          <w:sz w:val="24"/>
          <w:szCs w:val="20"/>
          <w:lang w:eastAsia="en-GB"/>
        </w:rPr>
        <w:t xml:space="preserve"> this last study of miners</w:t>
      </w:r>
      <w:r w:rsidR="00A92B12">
        <w:rPr>
          <w:rFonts w:ascii="Times New Roman" w:eastAsia="Times New Roman" w:hAnsi="Times New Roman" w:cs="Times New Roman"/>
          <w:sz w:val="24"/>
          <w:szCs w:val="20"/>
          <w:lang w:eastAsia="en-GB"/>
        </w:rPr>
        <w:t xml:space="preserve"> </w:t>
      </w:r>
      <w:r w:rsidR="00977696">
        <w:rPr>
          <w:rFonts w:ascii="Times New Roman" w:eastAsia="Times New Roman" w:hAnsi="Times New Roman" w:cs="Times New Roman"/>
          <w:sz w:val="24"/>
          <w:szCs w:val="20"/>
          <w:lang w:eastAsia="en-GB"/>
        </w:rPr>
        <w:t>because it lacked</w:t>
      </w:r>
      <w:r w:rsidR="00A92B12">
        <w:rPr>
          <w:rFonts w:ascii="Times New Roman" w:eastAsia="Times New Roman" w:hAnsi="Times New Roman" w:cs="Times New Roman"/>
          <w:sz w:val="24"/>
          <w:szCs w:val="20"/>
          <w:lang w:eastAsia="en-GB"/>
        </w:rPr>
        <w:t xml:space="preserve"> a control group</w:t>
      </w:r>
      <w:r w:rsidR="00E50AB3">
        <w:rPr>
          <w:rFonts w:ascii="Times New Roman" w:eastAsia="Times New Roman" w:hAnsi="Times New Roman" w:cs="Times New Roman"/>
          <w:sz w:val="24"/>
          <w:szCs w:val="20"/>
          <w:lang w:eastAsia="en-GB"/>
        </w:rPr>
        <w:t>), the meta-</w:t>
      </w:r>
      <w:r w:rsidR="00E01644">
        <w:rPr>
          <w:rFonts w:ascii="Times New Roman" w:eastAsia="Times New Roman" w:hAnsi="Times New Roman" w:cs="Times New Roman"/>
          <w:sz w:val="24"/>
          <w:szCs w:val="20"/>
          <w:lang w:eastAsia="en-GB"/>
        </w:rPr>
        <w:t xml:space="preserve">relative risk </w:t>
      </w:r>
      <w:r w:rsidR="00E50AB3">
        <w:rPr>
          <w:rFonts w:ascii="Times New Roman" w:eastAsia="Times New Roman" w:hAnsi="Times New Roman" w:cs="Times New Roman"/>
          <w:sz w:val="24"/>
          <w:szCs w:val="20"/>
          <w:lang w:eastAsia="en-GB"/>
        </w:rPr>
        <w:t xml:space="preserve">for </w:t>
      </w:r>
      <w:r w:rsidR="00E50AB3" w:rsidRPr="00E50AB3">
        <w:rPr>
          <w:rFonts w:ascii="Times New Roman" w:eastAsia="Times New Roman" w:hAnsi="Times New Roman" w:cs="Times New Roman"/>
          <w:sz w:val="24"/>
          <w:szCs w:val="20"/>
          <w:lang w:eastAsia="en-GB"/>
        </w:rPr>
        <w:t>vibration at work was 2.88 (95%CI 1.36 to 6.07)</w:t>
      </w:r>
      <w:r w:rsidR="00E50AB3">
        <w:rPr>
          <w:rFonts w:ascii="Times New Roman" w:eastAsia="Times New Roman" w:hAnsi="Times New Roman" w:cs="Times New Roman"/>
          <w:sz w:val="24"/>
          <w:szCs w:val="20"/>
          <w:lang w:eastAsia="en-GB"/>
        </w:rPr>
        <w:t>,</w:t>
      </w:r>
      <w:r w:rsidR="00E50AB3" w:rsidRPr="00E50AB3">
        <w:rPr>
          <w:rFonts w:ascii="Times New Roman" w:eastAsia="Times New Roman" w:hAnsi="Times New Roman" w:cs="Times New Roman"/>
          <w:sz w:val="24"/>
          <w:szCs w:val="20"/>
          <w:lang w:eastAsia="en-GB"/>
        </w:rPr>
        <w:t xml:space="preserve"> </w:t>
      </w:r>
      <w:r w:rsidR="00977696">
        <w:rPr>
          <w:rFonts w:ascii="Times New Roman" w:eastAsia="Times New Roman" w:hAnsi="Times New Roman" w:cs="Times New Roman"/>
          <w:sz w:val="24"/>
          <w:szCs w:val="20"/>
          <w:lang w:eastAsia="en-GB"/>
        </w:rPr>
        <w:t>and</w:t>
      </w:r>
      <w:r w:rsidR="00E50AB3" w:rsidRPr="00E50AB3">
        <w:rPr>
          <w:rFonts w:ascii="Times New Roman" w:eastAsia="Times New Roman" w:hAnsi="Times New Roman" w:cs="Times New Roman"/>
          <w:sz w:val="24"/>
          <w:szCs w:val="20"/>
          <w:lang w:eastAsia="en-GB"/>
        </w:rPr>
        <w:t xml:space="preserve"> 2.14 (95%CI 1.59 to 2.88) in a sub-</w:t>
      </w:r>
      <w:r w:rsidR="00E50AB3">
        <w:rPr>
          <w:rFonts w:ascii="Times New Roman" w:eastAsia="Times New Roman" w:hAnsi="Times New Roman" w:cs="Times New Roman"/>
          <w:sz w:val="24"/>
          <w:szCs w:val="20"/>
          <w:lang w:eastAsia="en-GB"/>
        </w:rPr>
        <w:t>analysis</w:t>
      </w:r>
      <w:r w:rsidR="00E50AB3" w:rsidRPr="00E50AB3">
        <w:rPr>
          <w:rFonts w:ascii="Times New Roman" w:eastAsia="Times New Roman" w:hAnsi="Times New Roman" w:cs="Times New Roman"/>
          <w:sz w:val="24"/>
          <w:szCs w:val="20"/>
          <w:lang w:eastAsia="en-GB"/>
        </w:rPr>
        <w:t xml:space="preserve"> confined to reports of higher quality. </w:t>
      </w:r>
      <w:r w:rsidR="00E50AB3">
        <w:rPr>
          <w:rFonts w:ascii="Times New Roman" w:eastAsia="Times New Roman" w:hAnsi="Times New Roman" w:cs="Times New Roman"/>
          <w:sz w:val="24"/>
          <w:szCs w:val="20"/>
          <w:lang w:eastAsia="en-GB"/>
        </w:rPr>
        <w:t xml:space="preserve">Our findings from the </w:t>
      </w:r>
      <w:r w:rsidR="00977696">
        <w:rPr>
          <w:rFonts w:ascii="Times New Roman" w:eastAsia="Times New Roman" w:hAnsi="Times New Roman" w:cs="Times New Roman"/>
          <w:sz w:val="24"/>
          <w:szCs w:val="20"/>
          <w:lang w:eastAsia="en-GB"/>
        </w:rPr>
        <w:t>present survey</w:t>
      </w:r>
      <w:r w:rsidR="005D6FF5">
        <w:rPr>
          <w:rFonts w:ascii="Times New Roman" w:eastAsia="Times New Roman" w:hAnsi="Times New Roman" w:cs="Times New Roman"/>
          <w:sz w:val="24"/>
          <w:szCs w:val="20"/>
          <w:lang w:eastAsia="en-GB"/>
        </w:rPr>
        <w:t xml:space="preserve">, especially </w:t>
      </w:r>
      <w:r w:rsidR="00977696">
        <w:rPr>
          <w:rFonts w:ascii="Times New Roman" w:eastAsia="Times New Roman" w:hAnsi="Times New Roman" w:cs="Times New Roman"/>
          <w:sz w:val="24"/>
          <w:szCs w:val="20"/>
          <w:lang w:eastAsia="en-GB"/>
        </w:rPr>
        <w:t>the fully adjusted risk estimates</w:t>
      </w:r>
      <w:r w:rsidR="005D6FF5">
        <w:rPr>
          <w:rFonts w:ascii="Times New Roman" w:eastAsia="Times New Roman" w:hAnsi="Times New Roman" w:cs="Times New Roman"/>
          <w:sz w:val="24"/>
          <w:szCs w:val="20"/>
          <w:lang w:eastAsia="en-GB"/>
        </w:rPr>
        <w:t xml:space="preserve"> </w:t>
      </w:r>
      <w:r w:rsidR="00977696">
        <w:rPr>
          <w:rFonts w:ascii="Times New Roman" w:eastAsia="Times New Roman" w:hAnsi="Times New Roman" w:cs="Times New Roman"/>
          <w:sz w:val="24"/>
          <w:szCs w:val="20"/>
          <w:lang w:eastAsia="en-GB"/>
        </w:rPr>
        <w:t>for</w:t>
      </w:r>
      <w:r w:rsidR="005D6FF5">
        <w:rPr>
          <w:rFonts w:ascii="Times New Roman" w:eastAsia="Times New Roman" w:hAnsi="Times New Roman" w:cs="Times New Roman"/>
          <w:sz w:val="24"/>
          <w:szCs w:val="20"/>
          <w:lang w:eastAsia="en-GB"/>
        </w:rPr>
        <w:t xml:space="preserve"> exposures &gt;2.8ms</w:t>
      </w:r>
      <w:r w:rsidR="005D6FF5">
        <w:rPr>
          <w:rFonts w:ascii="Times New Roman" w:eastAsia="Times New Roman" w:hAnsi="Times New Roman" w:cs="Times New Roman"/>
          <w:sz w:val="24"/>
          <w:szCs w:val="20"/>
          <w:vertAlign w:val="superscript"/>
          <w:lang w:eastAsia="en-GB"/>
        </w:rPr>
        <w:t>-2</w:t>
      </w:r>
      <w:r w:rsidR="005D6FF5">
        <w:rPr>
          <w:rFonts w:ascii="Times New Roman" w:eastAsia="Times New Roman" w:hAnsi="Times New Roman" w:cs="Times New Roman"/>
          <w:sz w:val="24"/>
          <w:szCs w:val="20"/>
          <w:lang w:eastAsia="en-GB"/>
        </w:rPr>
        <w:t>,</w:t>
      </w:r>
      <w:r w:rsidR="00E50AB3">
        <w:rPr>
          <w:rFonts w:ascii="Times New Roman" w:eastAsia="Times New Roman" w:hAnsi="Times New Roman" w:cs="Times New Roman"/>
          <w:sz w:val="24"/>
          <w:szCs w:val="20"/>
          <w:lang w:eastAsia="en-GB"/>
        </w:rPr>
        <w:t xml:space="preserve"> are </w:t>
      </w:r>
      <w:r w:rsidR="005D6FF5">
        <w:rPr>
          <w:rFonts w:ascii="Times New Roman" w:eastAsia="Times New Roman" w:hAnsi="Times New Roman" w:cs="Times New Roman"/>
          <w:sz w:val="24"/>
          <w:szCs w:val="20"/>
          <w:lang w:eastAsia="en-GB"/>
        </w:rPr>
        <w:t>remarkably</w:t>
      </w:r>
      <w:r w:rsidR="00E50AB3">
        <w:rPr>
          <w:rFonts w:ascii="Times New Roman" w:eastAsia="Times New Roman" w:hAnsi="Times New Roman" w:cs="Times New Roman"/>
          <w:sz w:val="24"/>
          <w:szCs w:val="20"/>
          <w:lang w:eastAsia="en-GB"/>
        </w:rPr>
        <w:t xml:space="preserve"> </w:t>
      </w:r>
      <w:r w:rsidR="005D6FF5">
        <w:rPr>
          <w:rFonts w:ascii="Times New Roman" w:eastAsia="Times New Roman" w:hAnsi="Times New Roman" w:cs="Times New Roman"/>
          <w:sz w:val="24"/>
          <w:szCs w:val="20"/>
          <w:lang w:eastAsia="en-GB"/>
        </w:rPr>
        <w:t xml:space="preserve">close to </w:t>
      </w:r>
      <w:proofErr w:type="spellStart"/>
      <w:r w:rsidR="005D6FF5">
        <w:rPr>
          <w:rFonts w:ascii="Times New Roman" w:eastAsia="Times New Roman" w:hAnsi="Times New Roman" w:cs="Times New Roman"/>
          <w:sz w:val="24"/>
          <w:szCs w:val="20"/>
          <w:lang w:eastAsia="en-GB"/>
        </w:rPr>
        <w:t>Descatha’s</w:t>
      </w:r>
      <w:proofErr w:type="spellEnd"/>
      <w:r w:rsidR="005D6FF5">
        <w:rPr>
          <w:rFonts w:ascii="Times New Roman" w:eastAsia="Times New Roman" w:hAnsi="Times New Roman" w:cs="Times New Roman"/>
          <w:sz w:val="24"/>
          <w:szCs w:val="20"/>
          <w:lang w:eastAsia="en-GB"/>
        </w:rPr>
        <w:t xml:space="preserve"> meta-estimate</w:t>
      </w:r>
      <w:r w:rsidR="00E50AB3">
        <w:rPr>
          <w:rFonts w:ascii="Times New Roman" w:eastAsia="Times New Roman" w:hAnsi="Times New Roman" w:cs="Times New Roman"/>
          <w:sz w:val="24"/>
          <w:szCs w:val="20"/>
          <w:lang w:eastAsia="en-GB"/>
        </w:rPr>
        <w:t xml:space="preserve"> of </w:t>
      </w:r>
      <w:r w:rsidR="005D6FF5">
        <w:rPr>
          <w:rFonts w:ascii="Times New Roman" w:eastAsia="Times New Roman" w:hAnsi="Times New Roman" w:cs="Times New Roman"/>
          <w:sz w:val="24"/>
          <w:szCs w:val="20"/>
          <w:lang w:eastAsia="en-GB"/>
        </w:rPr>
        <w:t>effect</w:t>
      </w:r>
      <w:r w:rsidR="00E50AB3">
        <w:rPr>
          <w:rFonts w:ascii="Times New Roman" w:eastAsia="Times New Roman" w:hAnsi="Times New Roman" w:cs="Times New Roman"/>
          <w:sz w:val="24"/>
          <w:szCs w:val="20"/>
          <w:lang w:eastAsia="en-GB"/>
        </w:rPr>
        <w:t>.</w:t>
      </w:r>
      <w:r w:rsidRPr="00CD31F3">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 xml:space="preserve">We judge the balance of evidence now to support a rough doubling </w:t>
      </w:r>
      <w:r w:rsidR="00E73E54">
        <w:rPr>
          <w:rFonts w:ascii="Times New Roman" w:eastAsia="Times New Roman" w:hAnsi="Times New Roman" w:cs="Times New Roman"/>
          <w:sz w:val="24"/>
          <w:szCs w:val="20"/>
          <w:lang w:eastAsia="en-GB"/>
        </w:rPr>
        <w:t>in such</w:t>
      </w:r>
      <w:r w:rsidR="005D6FF5">
        <w:rPr>
          <w:rFonts w:ascii="Times New Roman" w:eastAsia="Times New Roman" w:hAnsi="Times New Roman" w:cs="Times New Roman"/>
          <w:sz w:val="24"/>
          <w:szCs w:val="20"/>
          <w:lang w:eastAsia="en-GB"/>
        </w:rPr>
        <w:t xml:space="preserve"> risks</w:t>
      </w:r>
      <w:r>
        <w:rPr>
          <w:rFonts w:ascii="Times New Roman" w:eastAsia="Times New Roman" w:hAnsi="Times New Roman" w:cs="Times New Roman"/>
          <w:sz w:val="24"/>
          <w:szCs w:val="20"/>
          <w:lang w:eastAsia="en-GB"/>
        </w:rPr>
        <w:t xml:space="preserve"> assuming a decade or more of exposure to HTV at substantial </w:t>
      </w:r>
      <w:r w:rsidR="00977696">
        <w:rPr>
          <w:rFonts w:ascii="Times New Roman" w:eastAsia="Times New Roman" w:hAnsi="Times New Roman" w:cs="Times New Roman"/>
          <w:sz w:val="24"/>
          <w:szCs w:val="20"/>
          <w:lang w:eastAsia="en-GB"/>
        </w:rPr>
        <w:t>levels</w:t>
      </w:r>
      <w:r>
        <w:rPr>
          <w:rFonts w:ascii="Times New Roman" w:eastAsia="Times New Roman" w:hAnsi="Times New Roman" w:cs="Times New Roman"/>
          <w:sz w:val="24"/>
          <w:szCs w:val="20"/>
          <w:lang w:eastAsia="en-GB"/>
        </w:rPr>
        <w:t xml:space="preserve"> of vibration.</w:t>
      </w:r>
    </w:p>
    <w:p w:rsidR="00FB5884" w:rsidRDefault="00FB5884" w:rsidP="005A45C0">
      <w:pPr>
        <w:jc w:val="both"/>
        <w:rPr>
          <w:rFonts w:ascii="Times New Roman" w:eastAsia="Times New Roman" w:hAnsi="Times New Roman" w:cs="Times New Roman"/>
          <w:sz w:val="24"/>
          <w:szCs w:val="20"/>
          <w:lang w:eastAsia="en-GB"/>
        </w:rPr>
      </w:pPr>
    </w:p>
    <w:p w:rsidR="008950C7" w:rsidRDefault="008950C7" w:rsidP="005A45C0">
      <w:pPr>
        <w:jc w:val="both"/>
        <w:rPr>
          <w:rFonts w:ascii="Times New Roman" w:eastAsia="Times New Roman" w:hAnsi="Times New Roman" w:cs="Times New Roman"/>
          <w:b/>
          <w:sz w:val="24"/>
          <w:szCs w:val="20"/>
          <w:lang w:eastAsia="en-GB"/>
        </w:rPr>
      </w:pPr>
    </w:p>
    <w:p w:rsidR="008950C7" w:rsidRPr="008950C7" w:rsidRDefault="008950C7" w:rsidP="005A45C0">
      <w:pPr>
        <w:jc w:val="both"/>
        <w:rPr>
          <w:rFonts w:ascii="Times New Roman" w:eastAsia="Times New Roman" w:hAnsi="Times New Roman" w:cs="Times New Roman"/>
          <w:b/>
          <w:sz w:val="24"/>
          <w:szCs w:val="20"/>
          <w:lang w:eastAsia="en-GB"/>
        </w:rPr>
      </w:pPr>
      <w:r w:rsidRPr="008950C7">
        <w:rPr>
          <w:rFonts w:ascii="Times New Roman" w:eastAsia="Times New Roman" w:hAnsi="Times New Roman" w:cs="Times New Roman"/>
          <w:b/>
          <w:sz w:val="24"/>
          <w:szCs w:val="20"/>
          <w:lang w:eastAsia="en-GB"/>
        </w:rPr>
        <w:t>Acknowledgements:</w:t>
      </w:r>
    </w:p>
    <w:p w:rsidR="008950C7" w:rsidRDefault="008950C7" w:rsidP="005A45C0">
      <w:pPr>
        <w:jc w:val="both"/>
        <w:rPr>
          <w:rFonts w:ascii="Times New Roman" w:eastAsia="Times New Roman" w:hAnsi="Times New Roman" w:cs="Times New Roman"/>
          <w:sz w:val="24"/>
          <w:szCs w:val="20"/>
          <w:lang w:eastAsia="en-GB"/>
        </w:rPr>
      </w:pPr>
      <w:r w:rsidRPr="008950C7">
        <w:rPr>
          <w:rFonts w:ascii="Times New Roman" w:eastAsia="Times New Roman" w:hAnsi="Times New Roman" w:cs="Times New Roman"/>
          <w:sz w:val="24"/>
          <w:szCs w:val="20"/>
          <w:lang w:eastAsia="en-GB"/>
        </w:rPr>
        <w:t>This study was</w:t>
      </w:r>
      <w:r>
        <w:rPr>
          <w:rFonts w:ascii="Times New Roman" w:eastAsia="Times New Roman" w:hAnsi="Times New Roman" w:cs="Times New Roman"/>
          <w:sz w:val="24"/>
          <w:szCs w:val="20"/>
          <w:lang w:eastAsia="en-GB"/>
        </w:rPr>
        <w:t xml:space="preserve"> originally</w:t>
      </w:r>
      <w:r w:rsidRPr="008950C7">
        <w:rPr>
          <w:rFonts w:ascii="Times New Roman" w:eastAsia="Times New Roman" w:hAnsi="Times New Roman" w:cs="Times New Roman"/>
          <w:sz w:val="24"/>
          <w:szCs w:val="20"/>
          <w:lang w:eastAsia="en-GB"/>
        </w:rPr>
        <w:t xml:space="preserve"> supported by a grant from the Health and Safety Executive.  </w:t>
      </w:r>
      <w:r>
        <w:rPr>
          <w:rFonts w:ascii="Times New Roman" w:eastAsia="Times New Roman" w:hAnsi="Times New Roman" w:cs="Times New Roman"/>
          <w:sz w:val="24"/>
          <w:szCs w:val="20"/>
          <w:lang w:eastAsia="en-GB"/>
        </w:rPr>
        <w:t>T</w:t>
      </w:r>
      <w:r w:rsidRPr="008950C7">
        <w:rPr>
          <w:rFonts w:ascii="Times New Roman" w:eastAsia="Times New Roman" w:hAnsi="Times New Roman" w:cs="Times New Roman"/>
          <w:sz w:val="24"/>
          <w:szCs w:val="20"/>
          <w:lang w:eastAsia="en-GB"/>
        </w:rPr>
        <w:t xml:space="preserve">he Royal College of General Practitioners, the Primary Care Rheumatology Society, HM Armed Forces and </w:t>
      </w:r>
      <w:r>
        <w:rPr>
          <w:rFonts w:ascii="Times New Roman" w:eastAsia="Times New Roman" w:hAnsi="Times New Roman" w:cs="Times New Roman"/>
          <w:sz w:val="24"/>
          <w:szCs w:val="20"/>
          <w:lang w:eastAsia="en-GB"/>
        </w:rPr>
        <w:t xml:space="preserve">the staff of </w:t>
      </w:r>
      <w:r w:rsidRPr="008950C7">
        <w:rPr>
          <w:rFonts w:ascii="Times New Roman" w:eastAsia="Times New Roman" w:hAnsi="Times New Roman" w:cs="Times New Roman"/>
          <w:sz w:val="24"/>
          <w:szCs w:val="20"/>
          <w:lang w:eastAsia="en-GB"/>
        </w:rPr>
        <w:t xml:space="preserve">34 general practices assisted </w:t>
      </w:r>
      <w:r>
        <w:rPr>
          <w:rFonts w:ascii="Times New Roman" w:eastAsia="Times New Roman" w:hAnsi="Times New Roman" w:cs="Times New Roman"/>
          <w:sz w:val="24"/>
          <w:szCs w:val="20"/>
          <w:lang w:eastAsia="en-GB"/>
        </w:rPr>
        <w:t>in assembling the mailing lists. Many MRC staff contributed to</w:t>
      </w:r>
      <w:r w:rsidRPr="008950C7">
        <w:rPr>
          <w:rFonts w:ascii="Times New Roman" w:eastAsia="Times New Roman" w:hAnsi="Times New Roman" w:cs="Times New Roman"/>
          <w:sz w:val="24"/>
          <w:szCs w:val="20"/>
          <w:lang w:eastAsia="en-GB"/>
        </w:rPr>
        <w:t xml:space="preserve"> data </w:t>
      </w:r>
      <w:r>
        <w:rPr>
          <w:rFonts w:ascii="Times New Roman" w:eastAsia="Times New Roman" w:hAnsi="Times New Roman" w:cs="Times New Roman"/>
          <w:sz w:val="24"/>
          <w:szCs w:val="20"/>
          <w:lang w:eastAsia="en-GB"/>
        </w:rPr>
        <w:t>processing, notably</w:t>
      </w:r>
      <w:r w:rsidRPr="008950C7">
        <w:rPr>
          <w:rFonts w:ascii="Times New Roman" w:eastAsia="Times New Roman" w:hAnsi="Times New Roman" w:cs="Times New Roman"/>
          <w:sz w:val="24"/>
          <w:szCs w:val="20"/>
          <w:lang w:eastAsia="en-GB"/>
        </w:rPr>
        <w:t xml:space="preserve"> Ian Bowes and Vanessa Cox.  </w:t>
      </w:r>
    </w:p>
    <w:p w:rsidR="003358B6" w:rsidRDefault="003358B6" w:rsidP="005A45C0">
      <w:pPr>
        <w:jc w:val="both"/>
        <w:rPr>
          <w:rFonts w:ascii="Times New Roman" w:eastAsia="Times New Roman" w:hAnsi="Times New Roman" w:cs="Times New Roman"/>
          <w:sz w:val="24"/>
          <w:szCs w:val="20"/>
          <w:lang w:eastAsia="en-GB"/>
        </w:rPr>
      </w:pPr>
    </w:p>
    <w:p w:rsidR="003358B6" w:rsidRDefault="003358B6" w:rsidP="005A45C0">
      <w:pPr>
        <w:jc w:val="both"/>
      </w:pPr>
    </w:p>
    <w:p w:rsidR="003358B6" w:rsidRDefault="003358B6" w:rsidP="005A45C0">
      <w:pPr>
        <w:jc w:val="both"/>
        <w:rPr>
          <w:rFonts w:ascii="Times New Roman" w:eastAsia="Times New Roman" w:hAnsi="Times New Roman" w:cs="Times New Roman"/>
          <w:sz w:val="24"/>
          <w:szCs w:val="20"/>
          <w:lang w:eastAsia="en-GB"/>
        </w:rPr>
      </w:pPr>
    </w:p>
    <w:p w:rsidR="00D8556F" w:rsidRDefault="00D8556F" w:rsidP="007035CE">
      <w:pPr>
        <w:jc w:val="both"/>
        <w:rPr>
          <w:rFonts w:ascii="Times New Roman" w:eastAsia="Times New Roman" w:hAnsi="Times New Roman" w:cs="Times New Roman"/>
          <w:sz w:val="24"/>
          <w:szCs w:val="20"/>
          <w:lang w:eastAsia="en-GB"/>
        </w:rPr>
      </w:pPr>
    </w:p>
    <w:p w:rsidR="00D8556F" w:rsidRDefault="00D8556F" w:rsidP="0047648B">
      <w:pPr>
        <w:jc w:val="both"/>
        <w:rPr>
          <w:rFonts w:ascii="Times New Roman" w:eastAsia="Times New Roman" w:hAnsi="Times New Roman" w:cs="Times New Roman"/>
          <w:sz w:val="24"/>
          <w:szCs w:val="20"/>
          <w:lang w:eastAsia="en-GB"/>
        </w:rPr>
      </w:pPr>
    </w:p>
    <w:p w:rsidR="00D8556F" w:rsidRDefault="00D8556F" w:rsidP="0047648B">
      <w:pPr>
        <w:jc w:val="both"/>
        <w:rPr>
          <w:rFonts w:ascii="Times New Roman" w:eastAsia="Times New Roman" w:hAnsi="Times New Roman" w:cs="Times New Roman"/>
          <w:sz w:val="24"/>
          <w:szCs w:val="20"/>
          <w:lang w:eastAsia="en-GB"/>
        </w:rPr>
        <w:sectPr w:rsidR="00D8556F" w:rsidSect="00AB0FFC">
          <w:footerReference w:type="default" r:id="rId10"/>
          <w:pgSz w:w="11906" w:h="16838"/>
          <w:pgMar w:top="1440" w:right="1440" w:bottom="1440" w:left="1440" w:header="708" w:footer="708" w:gutter="0"/>
          <w:cols w:space="708"/>
          <w:docGrid w:linePitch="360"/>
        </w:sectPr>
      </w:pPr>
    </w:p>
    <w:p w:rsidR="00B961BF" w:rsidRPr="003061FB" w:rsidRDefault="004D7F5A" w:rsidP="004D7F5A">
      <w:pPr>
        <w:rPr>
          <w:rFonts w:ascii="Times New Roman" w:eastAsia="Times New Roman" w:hAnsi="Times New Roman" w:cs="Times New Roman"/>
          <w:b/>
          <w:sz w:val="24"/>
          <w:szCs w:val="20"/>
          <w:lang w:eastAsia="en-GB"/>
        </w:rPr>
      </w:pPr>
      <w:r w:rsidRPr="003061FB">
        <w:rPr>
          <w:rFonts w:ascii="Times New Roman" w:eastAsia="Times New Roman" w:hAnsi="Times New Roman" w:cs="Times New Roman"/>
          <w:b/>
          <w:sz w:val="24"/>
          <w:szCs w:val="20"/>
          <w:lang w:eastAsia="en-GB"/>
        </w:rPr>
        <w:lastRenderedPageBreak/>
        <w:t xml:space="preserve">Table 1: Prevalence of </w:t>
      </w:r>
      <w:proofErr w:type="spellStart"/>
      <w:r w:rsidRPr="003061FB">
        <w:rPr>
          <w:rFonts w:ascii="Times New Roman" w:eastAsia="Times New Roman" w:hAnsi="Times New Roman" w:cs="Times New Roman"/>
          <w:b/>
          <w:sz w:val="24"/>
          <w:szCs w:val="20"/>
          <w:lang w:eastAsia="en-GB"/>
        </w:rPr>
        <w:t>Dupuytren’s</w:t>
      </w:r>
      <w:proofErr w:type="spellEnd"/>
      <w:r w:rsidRPr="003061FB">
        <w:rPr>
          <w:rFonts w:ascii="Times New Roman" w:eastAsia="Times New Roman" w:hAnsi="Times New Roman" w:cs="Times New Roman"/>
          <w:b/>
          <w:sz w:val="24"/>
          <w:szCs w:val="20"/>
          <w:lang w:eastAsia="en-GB"/>
        </w:rPr>
        <w:t xml:space="preserve"> contracture and its relation to demographic and occupational activities</w:t>
      </w:r>
    </w:p>
    <w:tbl>
      <w:tblPr>
        <w:tblW w:w="8338" w:type="dxa"/>
        <w:jc w:val="center"/>
        <w:tblInd w:w="94" w:type="dxa"/>
        <w:tblLook w:val="04A0" w:firstRow="1" w:lastRow="0" w:firstColumn="1" w:lastColumn="0" w:noHBand="0" w:noVBand="1"/>
      </w:tblPr>
      <w:tblGrid>
        <w:gridCol w:w="3160"/>
        <w:gridCol w:w="960"/>
        <w:gridCol w:w="819"/>
        <w:gridCol w:w="1361"/>
        <w:gridCol w:w="2038"/>
      </w:tblGrid>
      <w:tr w:rsidR="00370831" w:rsidRPr="00370831" w:rsidTr="00370831">
        <w:trPr>
          <w:trHeight w:val="300"/>
          <w:jc w:val="center"/>
        </w:trPr>
        <w:tc>
          <w:tcPr>
            <w:tcW w:w="3160" w:type="dxa"/>
            <w:tcBorders>
              <w:top w:val="single" w:sz="4" w:space="0" w:color="auto"/>
              <w:left w:val="nil"/>
              <w:bottom w:val="nil"/>
              <w:right w:val="nil"/>
            </w:tcBorders>
            <w:shd w:val="clear" w:color="auto" w:fill="auto"/>
            <w:noWrap/>
            <w:vAlign w:val="bottom"/>
            <w:hideMark/>
          </w:tcPr>
          <w:p w:rsidR="00370831" w:rsidRPr="00370831" w:rsidRDefault="00370831" w:rsidP="00977696">
            <w:pPr>
              <w:spacing w:line="240" w:lineRule="auto"/>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 </w:t>
            </w:r>
          </w:p>
        </w:tc>
        <w:tc>
          <w:tcPr>
            <w:tcW w:w="960" w:type="dxa"/>
            <w:tcBorders>
              <w:top w:val="single" w:sz="4" w:space="0" w:color="auto"/>
              <w:left w:val="nil"/>
              <w:bottom w:val="nil"/>
              <w:right w:val="nil"/>
            </w:tcBorders>
            <w:shd w:val="clear" w:color="auto" w:fill="auto"/>
            <w:noWrap/>
            <w:vAlign w:val="bottom"/>
            <w:hideMark/>
          </w:tcPr>
          <w:p w:rsidR="00370831" w:rsidRPr="00370831" w:rsidRDefault="00370831" w:rsidP="00977696">
            <w:pPr>
              <w:spacing w:line="240" w:lineRule="auto"/>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 </w:t>
            </w:r>
          </w:p>
        </w:tc>
        <w:tc>
          <w:tcPr>
            <w:tcW w:w="2180" w:type="dxa"/>
            <w:gridSpan w:val="2"/>
            <w:tcBorders>
              <w:top w:val="single" w:sz="4" w:space="0" w:color="auto"/>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roofErr w:type="spellStart"/>
            <w:r w:rsidRPr="00370831">
              <w:rPr>
                <w:rFonts w:ascii="Times New Roman" w:eastAsia="Times New Roman" w:hAnsi="Times New Roman" w:cs="Times New Roman"/>
                <w:color w:val="000000"/>
                <w:sz w:val="24"/>
                <w:szCs w:val="24"/>
                <w:lang w:eastAsia="en-GB"/>
              </w:rPr>
              <w:t>Dupuytren's</w:t>
            </w:r>
            <w:proofErr w:type="spellEnd"/>
            <w:r w:rsidRPr="00370831">
              <w:rPr>
                <w:rFonts w:ascii="Times New Roman" w:eastAsia="Times New Roman" w:hAnsi="Times New Roman" w:cs="Times New Roman"/>
                <w:color w:val="000000"/>
                <w:sz w:val="24"/>
                <w:szCs w:val="24"/>
                <w:lang w:eastAsia="en-GB"/>
              </w:rPr>
              <w:t xml:space="preserve"> </w:t>
            </w:r>
            <w:r w:rsidR="00977696">
              <w:rPr>
                <w:rFonts w:ascii="Times New Roman" w:eastAsia="Times New Roman" w:hAnsi="Times New Roman" w:cs="Times New Roman"/>
                <w:color w:val="000000"/>
                <w:sz w:val="24"/>
                <w:szCs w:val="24"/>
                <w:lang w:eastAsia="en-GB"/>
              </w:rPr>
              <w:t xml:space="preserve">contracture </w:t>
            </w:r>
            <w:r w:rsidRPr="00370831">
              <w:rPr>
                <w:rFonts w:ascii="Times New Roman" w:eastAsia="Times New Roman" w:hAnsi="Times New Roman" w:cs="Times New Roman"/>
                <w:color w:val="000000"/>
                <w:sz w:val="24"/>
                <w:szCs w:val="24"/>
                <w:lang w:eastAsia="en-GB"/>
              </w:rPr>
              <w:t>present</w:t>
            </w:r>
          </w:p>
        </w:tc>
        <w:tc>
          <w:tcPr>
            <w:tcW w:w="2038" w:type="dxa"/>
            <w:tcBorders>
              <w:top w:val="single" w:sz="4" w:space="0" w:color="auto"/>
              <w:left w:val="nil"/>
              <w:bottom w:val="nil"/>
              <w:right w:val="nil"/>
            </w:tcBorders>
            <w:shd w:val="clear" w:color="auto" w:fill="auto"/>
            <w:noWrap/>
            <w:vAlign w:val="bottom"/>
            <w:hideMark/>
          </w:tcPr>
          <w:p w:rsidR="00370831" w:rsidRPr="00370831" w:rsidRDefault="00370831" w:rsidP="00977696">
            <w:pPr>
              <w:spacing w:line="240" w:lineRule="auto"/>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 </w:t>
            </w:r>
          </w:p>
        </w:tc>
      </w:tr>
      <w:tr w:rsidR="00370831" w:rsidRPr="00370831" w:rsidTr="00370831">
        <w:trPr>
          <w:trHeight w:val="300"/>
          <w:jc w:val="center"/>
        </w:trPr>
        <w:tc>
          <w:tcPr>
            <w:tcW w:w="3160" w:type="dxa"/>
            <w:tcBorders>
              <w:top w:val="nil"/>
              <w:left w:val="nil"/>
              <w:bottom w:val="single" w:sz="4" w:space="0" w:color="auto"/>
              <w:right w:val="nil"/>
            </w:tcBorders>
            <w:shd w:val="clear" w:color="auto" w:fill="auto"/>
            <w:noWrap/>
            <w:vAlign w:val="bottom"/>
            <w:hideMark/>
          </w:tcPr>
          <w:p w:rsidR="00370831" w:rsidRPr="00370831" w:rsidRDefault="00370831" w:rsidP="00977696">
            <w:pPr>
              <w:spacing w:line="240" w:lineRule="auto"/>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Characteristic</w:t>
            </w:r>
          </w:p>
        </w:tc>
        <w:tc>
          <w:tcPr>
            <w:tcW w:w="960" w:type="dxa"/>
            <w:tcBorders>
              <w:top w:val="nil"/>
              <w:left w:val="nil"/>
              <w:bottom w:val="single" w:sz="4" w:space="0" w:color="auto"/>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N</w:t>
            </w:r>
          </w:p>
        </w:tc>
        <w:tc>
          <w:tcPr>
            <w:tcW w:w="819" w:type="dxa"/>
            <w:tcBorders>
              <w:top w:val="nil"/>
              <w:left w:val="nil"/>
              <w:bottom w:val="single" w:sz="4" w:space="0" w:color="auto"/>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N</w:t>
            </w:r>
          </w:p>
        </w:tc>
        <w:tc>
          <w:tcPr>
            <w:tcW w:w="1361" w:type="dxa"/>
            <w:tcBorders>
              <w:top w:val="nil"/>
              <w:left w:val="nil"/>
              <w:bottom w:val="single" w:sz="4" w:space="0" w:color="auto"/>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w:t>
            </w:r>
          </w:p>
        </w:tc>
        <w:tc>
          <w:tcPr>
            <w:tcW w:w="2038" w:type="dxa"/>
            <w:tcBorders>
              <w:top w:val="nil"/>
              <w:left w:val="nil"/>
              <w:bottom w:val="single" w:sz="4" w:space="0" w:color="auto"/>
              <w:right w:val="nil"/>
            </w:tcBorders>
            <w:shd w:val="clear" w:color="auto" w:fill="auto"/>
            <w:noWrap/>
            <w:vAlign w:val="bottom"/>
            <w:hideMark/>
          </w:tcPr>
          <w:p w:rsidR="00370831" w:rsidRPr="00370831" w:rsidRDefault="00E01644" w:rsidP="00977696">
            <w:pPr>
              <w:spacing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PR</w:t>
            </w:r>
            <w:r w:rsidRPr="00370831">
              <w:rPr>
                <w:rFonts w:ascii="Times New Roman" w:eastAsia="Times New Roman" w:hAnsi="Times New Roman" w:cs="Times New Roman"/>
                <w:color w:val="000000"/>
                <w:sz w:val="24"/>
                <w:szCs w:val="24"/>
                <w:lang w:eastAsia="en-GB"/>
              </w:rPr>
              <w:t xml:space="preserve"> </w:t>
            </w:r>
            <w:r w:rsidR="00370831" w:rsidRPr="00370831">
              <w:rPr>
                <w:rFonts w:ascii="Times New Roman" w:eastAsia="Times New Roman" w:hAnsi="Times New Roman" w:cs="Times New Roman"/>
                <w:color w:val="000000"/>
                <w:sz w:val="24"/>
                <w:szCs w:val="24"/>
                <w:lang w:eastAsia="en-GB"/>
              </w:rPr>
              <w:t>(95% CI)</w:t>
            </w: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Age (year</w:t>
            </w:r>
            <w:r w:rsidR="005A688D">
              <w:rPr>
                <w:rFonts w:ascii="Times New Roman" w:eastAsia="Times New Roman" w:hAnsi="Times New Roman" w:cs="Times New Roman"/>
                <w:color w:val="000000"/>
                <w:sz w:val="24"/>
                <w:szCs w:val="24"/>
                <w:lang w:eastAsia="en-GB"/>
              </w:rPr>
              <w:t>s</w:t>
            </w:r>
            <w:r w:rsidRPr="00370831">
              <w:rPr>
                <w:rFonts w:ascii="Times New Roman" w:eastAsia="Times New Roman" w:hAnsi="Times New Roman" w:cs="Times New Roman"/>
                <w:color w:val="000000"/>
                <w:sz w:val="24"/>
                <w:szCs w:val="24"/>
                <w:lang w:eastAsia="en-GB"/>
              </w:rPr>
              <w:t>)</w:t>
            </w:r>
            <w:r w:rsidR="005A688D">
              <w:rPr>
                <w:rFonts w:ascii="Times New Roman" w:eastAsia="Times New Roman" w:hAnsi="Times New Roman" w:cs="Times New Roman"/>
                <w:color w:val="000000"/>
                <w:sz w:val="24"/>
                <w:szCs w:val="24"/>
                <w:lang w:eastAsia="en-GB"/>
              </w:rPr>
              <w:t>:</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370831">
            <w:pPr>
              <w:spacing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Pr="00370831">
              <w:rPr>
                <w:rFonts w:ascii="Times New Roman" w:eastAsia="Times New Roman" w:hAnsi="Times New Roman" w:cs="Times New Roman"/>
                <w:color w:val="000000"/>
                <w:sz w:val="24"/>
                <w:szCs w:val="24"/>
                <w:lang w:eastAsia="en-GB"/>
              </w:rPr>
              <w:t>16-44</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3066</w:t>
            </w: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30</w:t>
            </w: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0.98</w:t>
            </w: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w:t>
            </w: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370831">
            <w:pPr>
              <w:spacing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Pr="00370831">
              <w:rPr>
                <w:rFonts w:ascii="Times New Roman" w:eastAsia="Times New Roman" w:hAnsi="Times New Roman" w:cs="Times New Roman"/>
                <w:color w:val="000000"/>
                <w:sz w:val="24"/>
                <w:szCs w:val="24"/>
                <w:lang w:eastAsia="en-GB"/>
              </w:rPr>
              <w:t>45-54</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1273</w:t>
            </w: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19</w:t>
            </w: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1.49</w:t>
            </w: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1.53 (0.86-2.70)</w:t>
            </w: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370831">
            <w:pPr>
              <w:spacing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Pr="00370831">
              <w:rPr>
                <w:rFonts w:ascii="Times New Roman" w:eastAsia="Times New Roman" w:hAnsi="Times New Roman" w:cs="Times New Roman"/>
                <w:color w:val="000000"/>
                <w:sz w:val="24"/>
                <w:szCs w:val="24"/>
                <w:lang w:eastAsia="en-GB"/>
              </w:rPr>
              <w:t>55-65</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630</w:t>
            </w: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23</w:t>
            </w: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3.65</w:t>
            </w: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3.73 (2.18-6.38)</w:t>
            </w: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Smoking</w:t>
            </w:r>
            <w:r w:rsidR="005A688D">
              <w:rPr>
                <w:rFonts w:ascii="Times New Roman" w:eastAsia="Times New Roman" w:hAnsi="Times New Roman" w:cs="Times New Roman"/>
                <w:color w:val="000000"/>
                <w:sz w:val="24"/>
                <w:szCs w:val="24"/>
                <w:lang w:eastAsia="en-GB"/>
              </w:rPr>
              <w:t>:</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370831">
            <w:pPr>
              <w:spacing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Pr="00370831">
              <w:rPr>
                <w:rFonts w:ascii="Times New Roman" w:eastAsia="Times New Roman" w:hAnsi="Times New Roman" w:cs="Times New Roman"/>
                <w:color w:val="000000"/>
                <w:sz w:val="24"/>
                <w:szCs w:val="24"/>
                <w:lang w:eastAsia="en-GB"/>
              </w:rPr>
              <w:t>Never</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2380</w:t>
            </w: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28</w:t>
            </w: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1.18</w:t>
            </w: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w:t>
            </w: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370831">
            <w:pPr>
              <w:spacing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Pr="00370831">
              <w:rPr>
                <w:rFonts w:ascii="Times New Roman" w:eastAsia="Times New Roman" w:hAnsi="Times New Roman" w:cs="Times New Roman"/>
                <w:color w:val="000000"/>
                <w:sz w:val="24"/>
                <w:szCs w:val="24"/>
                <w:lang w:eastAsia="en-GB"/>
              </w:rPr>
              <w:t>Ever</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2589</w:t>
            </w: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44</w:t>
            </w: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1.70</w:t>
            </w: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1.22 (0.76-1.97)</w:t>
            </w: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Social class</w:t>
            </w:r>
            <w:r w:rsidR="005A688D">
              <w:rPr>
                <w:rFonts w:ascii="Times New Roman" w:eastAsia="Times New Roman" w:hAnsi="Times New Roman" w:cs="Times New Roman"/>
                <w:color w:val="000000"/>
                <w:sz w:val="24"/>
                <w:szCs w:val="24"/>
                <w:lang w:eastAsia="en-GB"/>
              </w:rPr>
              <w:t>:</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370831">
            <w:pPr>
              <w:spacing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Pr="00370831">
              <w:rPr>
                <w:rFonts w:ascii="Times New Roman" w:eastAsia="Times New Roman" w:hAnsi="Times New Roman" w:cs="Times New Roman"/>
                <w:color w:val="000000"/>
                <w:sz w:val="24"/>
                <w:szCs w:val="24"/>
                <w:lang w:eastAsia="en-GB"/>
              </w:rPr>
              <w:t>Non manual (I,II, IIINM)</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2161</w:t>
            </w: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23</w:t>
            </w: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1.06</w:t>
            </w: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w:t>
            </w: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370831">
            <w:pPr>
              <w:spacing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Pr="00370831">
              <w:rPr>
                <w:rFonts w:ascii="Times New Roman" w:eastAsia="Times New Roman" w:hAnsi="Times New Roman" w:cs="Times New Roman"/>
                <w:color w:val="000000"/>
                <w:sz w:val="24"/>
                <w:szCs w:val="24"/>
                <w:lang w:eastAsia="en-GB"/>
              </w:rPr>
              <w:t>Manual (IIIM, IV, V)</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2303</w:t>
            </w: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44</w:t>
            </w: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1.91</w:t>
            </w: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1.76 (1.06-2.90)</w:t>
            </w: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370831">
            <w:pPr>
              <w:spacing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Pr="00370831">
              <w:rPr>
                <w:rFonts w:ascii="Times New Roman" w:eastAsia="Times New Roman" w:hAnsi="Times New Roman" w:cs="Times New Roman"/>
                <w:color w:val="000000"/>
                <w:sz w:val="24"/>
                <w:szCs w:val="24"/>
                <w:lang w:eastAsia="en-GB"/>
              </w:rPr>
              <w:t>Armed forces</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505</w:t>
            </w: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5</w:t>
            </w: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0.99</w:t>
            </w: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1.36 (0.52-3.59)</w:t>
            </w: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Lifting weights</w:t>
            </w:r>
            <w:r w:rsidR="005A688D">
              <w:rPr>
                <w:rFonts w:ascii="Times New Roman" w:eastAsia="Times New Roman" w:hAnsi="Times New Roman" w:cs="Times New Roman"/>
                <w:color w:val="000000"/>
                <w:sz w:val="24"/>
                <w:szCs w:val="24"/>
                <w:lang w:eastAsia="en-GB"/>
              </w:rPr>
              <w:t>*:</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370831">
            <w:pPr>
              <w:spacing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Pr="00370831">
              <w:rPr>
                <w:rFonts w:ascii="Times New Roman" w:eastAsia="Times New Roman" w:hAnsi="Times New Roman" w:cs="Times New Roman"/>
                <w:color w:val="000000"/>
                <w:sz w:val="24"/>
                <w:szCs w:val="24"/>
                <w:lang w:eastAsia="en-GB"/>
              </w:rPr>
              <w:t xml:space="preserve">No </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2508</w:t>
            </w: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30</w:t>
            </w: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1.20</w:t>
            </w: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w:t>
            </w: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370831">
            <w:pPr>
              <w:spacing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Pr="00370831">
              <w:rPr>
                <w:rFonts w:ascii="Times New Roman" w:eastAsia="Times New Roman" w:hAnsi="Times New Roman" w:cs="Times New Roman"/>
                <w:color w:val="000000"/>
                <w:sz w:val="24"/>
                <w:szCs w:val="24"/>
                <w:lang w:eastAsia="en-GB"/>
              </w:rPr>
              <w:t>&gt;20lbs</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2461</w:t>
            </w: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42</w:t>
            </w: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1.71</w:t>
            </w: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1.48 (0.94-2.35)</w:t>
            </w: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370831">
            <w:pPr>
              <w:spacing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Pr="00370831">
              <w:rPr>
                <w:rFonts w:ascii="Times New Roman" w:eastAsia="Times New Roman" w:hAnsi="Times New Roman" w:cs="Times New Roman"/>
                <w:color w:val="000000"/>
                <w:sz w:val="24"/>
                <w:szCs w:val="24"/>
                <w:lang w:eastAsia="en-GB"/>
              </w:rPr>
              <w:t>&gt;56lbs</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1627</w:t>
            </w: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31</w:t>
            </w: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1.91</w:t>
            </w: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1.64 (1.04-2.60)</w:t>
            </w: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Digging/shovelling</w:t>
            </w:r>
            <w:r w:rsidR="005A688D">
              <w:rPr>
                <w:rFonts w:ascii="Times New Roman" w:eastAsia="Times New Roman" w:hAnsi="Times New Roman" w:cs="Times New Roman"/>
                <w:color w:val="000000"/>
                <w:sz w:val="24"/>
                <w:szCs w:val="24"/>
                <w:lang w:eastAsia="en-GB"/>
              </w:rPr>
              <w:t>*:</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370831">
            <w:pPr>
              <w:spacing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Pr="00370831">
              <w:rPr>
                <w:rFonts w:ascii="Times New Roman" w:eastAsia="Times New Roman" w:hAnsi="Times New Roman" w:cs="Times New Roman"/>
                <w:color w:val="000000"/>
                <w:sz w:val="24"/>
                <w:szCs w:val="24"/>
                <w:lang w:eastAsia="en-GB"/>
              </w:rPr>
              <w:t>No</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4333</w:t>
            </w: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57</w:t>
            </w: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1.32</w:t>
            </w: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w:t>
            </w: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370831">
            <w:pPr>
              <w:spacing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Pr="00370831">
              <w:rPr>
                <w:rFonts w:ascii="Times New Roman" w:eastAsia="Times New Roman" w:hAnsi="Times New Roman" w:cs="Times New Roman"/>
                <w:color w:val="000000"/>
                <w:sz w:val="24"/>
                <w:szCs w:val="24"/>
                <w:lang w:eastAsia="en-GB"/>
              </w:rPr>
              <w:t>Yes</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636</w:t>
            </w: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15</w:t>
            </w: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2.36</w:t>
            </w: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1.87 (1.07-3.28)</w:t>
            </w: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5A688D">
            <w:pPr>
              <w:spacing w:line="240" w:lineRule="auto"/>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 xml:space="preserve">Use of </w:t>
            </w:r>
            <w:r w:rsidR="005A688D">
              <w:rPr>
                <w:rFonts w:ascii="Times New Roman" w:eastAsia="Times New Roman" w:hAnsi="Times New Roman" w:cs="Times New Roman"/>
                <w:color w:val="000000"/>
                <w:sz w:val="24"/>
                <w:szCs w:val="24"/>
                <w:lang w:eastAsia="en-GB"/>
              </w:rPr>
              <w:t>keyboard (&gt;4h</w:t>
            </w:r>
            <w:r w:rsidRPr="00370831">
              <w:rPr>
                <w:rFonts w:ascii="Times New Roman" w:eastAsia="Times New Roman" w:hAnsi="Times New Roman" w:cs="Times New Roman"/>
                <w:color w:val="000000"/>
                <w:sz w:val="24"/>
                <w:szCs w:val="24"/>
                <w:lang w:eastAsia="en-GB"/>
              </w:rPr>
              <w:t>)</w:t>
            </w:r>
            <w:r w:rsidR="005A688D">
              <w:rPr>
                <w:rFonts w:ascii="Times New Roman" w:eastAsia="Times New Roman" w:hAnsi="Times New Roman" w:cs="Times New Roman"/>
                <w:color w:val="000000"/>
                <w:sz w:val="24"/>
                <w:szCs w:val="24"/>
                <w:lang w:eastAsia="en-GB"/>
              </w:rPr>
              <w:t>*:</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p>
        </w:tc>
      </w:tr>
      <w:tr w:rsidR="00370831" w:rsidRPr="00370831" w:rsidTr="00370831">
        <w:trPr>
          <w:trHeight w:val="300"/>
          <w:jc w:val="center"/>
        </w:trPr>
        <w:tc>
          <w:tcPr>
            <w:tcW w:w="3160" w:type="dxa"/>
            <w:tcBorders>
              <w:top w:val="nil"/>
              <w:left w:val="nil"/>
              <w:bottom w:val="nil"/>
              <w:right w:val="nil"/>
            </w:tcBorders>
            <w:shd w:val="clear" w:color="auto" w:fill="auto"/>
            <w:noWrap/>
            <w:vAlign w:val="bottom"/>
            <w:hideMark/>
          </w:tcPr>
          <w:p w:rsidR="00370831" w:rsidRPr="00370831" w:rsidRDefault="00370831" w:rsidP="00370831">
            <w:pPr>
              <w:spacing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Pr="00370831">
              <w:rPr>
                <w:rFonts w:ascii="Times New Roman" w:eastAsia="Times New Roman" w:hAnsi="Times New Roman" w:cs="Times New Roman"/>
                <w:color w:val="000000"/>
                <w:sz w:val="24"/>
                <w:szCs w:val="24"/>
                <w:lang w:eastAsia="en-GB"/>
              </w:rPr>
              <w:t>No</w:t>
            </w:r>
          </w:p>
        </w:tc>
        <w:tc>
          <w:tcPr>
            <w:tcW w:w="960"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3847</w:t>
            </w:r>
          </w:p>
        </w:tc>
        <w:tc>
          <w:tcPr>
            <w:tcW w:w="819"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60</w:t>
            </w:r>
          </w:p>
        </w:tc>
        <w:tc>
          <w:tcPr>
            <w:tcW w:w="1361"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1.56</w:t>
            </w:r>
          </w:p>
        </w:tc>
        <w:tc>
          <w:tcPr>
            <w:tcW w:w="2038" w:type="dxa"/>
            <w:tcBorders>
              <w:top w:val="nil"/>
              <w:left w:val="nil"/>
              <w:bottom w:val="nil"/>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w:t>
            </w:r>
          </w:p>
        </w:tc>
      </w:tr>
      <w:tr w:rsidR="00370831" w:rsidRPr="00370831" w:rsidTr="00370831">
        <w:trPr>
          <w:trHeight w:val="300"/>
          <w:jc w:val="center"/>
        </w:trPr>
        <w:tc>
          <w:tcPr>
            <w:tcW w:w="3160" w:type="dxa"/>
            <w:tcBorders>
              <w:top w:val="nil"/>
              <w:left w:val="nil"/>
              <w:bottom w:val="single" w:sz="4" w:space="0" w:color="auto"/>
              <w:right w:val="nil"/>
            </w:tcBorders>
            <w:shd w:val="clear" w:color="auto" w:fill="auto"/>
            <w:noWrap/>
            <w:vAlign w:val="bottom"/>
            <w:hideMark/>
          </w:tcPr>
          <w:p w:rsidR="00370831" w:rsidRPr="00370831" w:rsidRDefault="00370831" w:rsidP="00370831">
            <w:pPr>
              <w:spacing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Pr="00370831">
              <w:rPr>
                <w:rFonts w:ascii="Times New Roman" w:eastAsia="Times New Roman" w:hAnsi="Times New Roman" w:cs="Times New Roman"/>
                <w:color w:val="000000"/>
                <w:sz w:val="24"/>
                <w:szCs w:val="24"/>
                <w:lang w:eastAsia="en-GB"/>
              </w:rPr>
              <w:t>Yes</w:t>
            </w:r>
          </w:p>
        </w:tc>
        <w:tc>
          <w:tcPr>
            <w:tcW w:w="960" w:type="dxa"/>
            <w:tcBorders>
              <w:top w:val="nil"/>
              <w:left w:val="nil"/>
              <w:bottom w:val="single" w:sz="4" w:space="0" w:color="auto"/>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1122</w:t>
            </w:r>
          </w:p>
        </w:tc>
        <w:tc>
          <w:tcPr>
            <w:tcW w:w="819" w:type="dxa"/>
            <w:tcBorders>
              <w:top w:val="nil"/>
              <w:left w:val="nil"/>
              <w:bottom w:val="single" w:sz="4" w:space="0" w:color="auto"/>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12</w:t>
            </w:r>
          </w:p>
        </w:tc>
        <w:tc>
          <w:tcPr>
            <w:tcW w:w="1361" w:type="dxa"/>
            <w:tcBorders>
              <w:top w:val="nil"/>
              <w:left w:val="nil"/>
              <w:bottom w:val="single" w:sz="4" w:space="0" w:color="auto"/>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1.07</w:t>
            </w:r>
          </w:p>
        </w:tc>
        <w:tc>
          <w:tcPr>
            <w:tcW w:w="2038" w:type="dxa"/>
            <w:tcBorders>
              <w:top w:val="nil"/>
              <w:left w:val="nil"/>
              <w:bottom w:val="single" w:sz="4" w:space="0" w:color="auto"/>
              <w:right w:val="nil"/>
            </w:tcBorders>
            <w:shd w:val="clear" w:color="auto" w:fill="auto"/>
            <w:noWrap/>
            <w:vAlign w:val="bottom"/>
            <w:hideMark/>
          </w:tcPr>
          <w:p w:rsidR="00370831" w:rsidRPr="00370831" w:rsidRDefault="00370831" w:rsidP="00977696">
            <w:pPr>
              <w:spacing w:line="240" w:lineRule="auto"/>
              <w:jc w:val="center"/>
              <w:rPr>
                <w:rFonts w:ascii="Times New Roman" w:eastAsia="Times New Roman" w:hAnsi="Times New Roman" w:cs="Times New Roman"/>
                <w:color w:val="000000"/>
                <w:sz w:val="24"/>
                <w:szCs w:val="24"/>
                <w:lang w:eastAsia="en-GB"/>
              </w:rPr>
            </w:pPr>
            <w:r w:rsidRPr="00370831">
              <w:rPr>
                <w:rFonts w:ascii="Times New Roman" w:eastAsia="Times New Roman" w:hAnsi="Times New Roman" w:cs="Times New Roman"/>
                <w:color w:val="000000"/>
                <w:sz w:val="24"/>
                <w:szCs w:val="24"/>
                <w:lang w:eastAsia="en-GB"/>
              </w:rPr>
              <w:t>0.79 (0.42-1.46)</w:t>
            </w:r>
          </w:p>
        </w:tc>
      </w:tr>
    </w:tbl>
    <w:p w:rsidR="00370831" w:rsidRDefault="00370831" w:rsidP="00370831">
      <w:pPr>
        <w:rPr>
          <w:rFonts w:ascii="Times New Roman" w:hAnsi="Times New Roman" w:cs="Times New Roman"/>
          <w:b/>
          <w:sz w:val="24"/>
          <w:szCs w:val="24"/>
        </w:rPr>
      </w:pPr>
      <w:r w:rsidRPr="00370831">
        <w:rPr>
          <w:rFonts w:ascii="Times New Roman" w:hAnsi="Times New Roman" w:cs="Times New Roman"/>
          <w:b/>
          <w:sz w:val="24"/>
          <w:szCs w:val="24"/>
        </w:rPr>
        <w:tab/>
      </w:r>
    </w:p>
    <w:p w:rsidR="004D7F5A" w:rsidRDefault="00697E03" w:rsidP="00697E03">
      <w:pPr>
        <w:spacing w:line="240"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Each risk factor was assessed in a separate model; all models were adjusted for age (in </w:t>
      </w:r>
      <w:r w:rsidR="00A13A46">
        <w:rPr>
          <w:rFonts w:ascii="Times New Roman" w:eastAsia="Times New Roman" w:hAnsi="Times New Roman" w:cs="Times New Roman"/>
          <w:sz w:val="24"/>
          <w:szCs w:val="20"/>
          <w:lang w:eastAsia="en-GB"/>
        </w:rPr>
        <w:t>three</w:t>
      </w:r>
      <w:r>
        <w:rPr>
          <w:rFonts w:ascii="Times New Roman" w:eastAsia="Times New Roman" w:hAnsi="Times New Roman" w:cs="Times New Roman"/>
          <w:sz w:val="24"/>
          <w:szCs w:val="20"/>
          <w:lang w:eastAsia="en-GB"/>
        </w:rPr>
        <w:t xml:space="preserve"> bands)</w:t>
      </w:r>
    </w:p>
    <w:p w:rsidR="00B961BF" w:rsidRPr="00B961BF" w:rsidRDefault="00697E03" w:rsidP="00697E03">
      <w:pPr>
        <w:spacing w:line="240"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w:t>
      </w:r>
      <w:r w:rsidR="003061FB">
        <w:rPr>
          <w:rFonts w:ascii="Times New Roman" w:eastAsia="Times New Roman" w:hAnsi="Times New Roman" w:cs="Times New Roman"/>
          <w:sz w:val="24"/>
          <w:szCs w:val="20"/>
          <w:vertAlign w:val="superscript"/>
          <w:lang w:eastAsia="en-GB"/>
        </w:rPr>
        <w:t xml:space="preserve"> </w:t>
      </w:r>
      <w:r w:rsidR="004D7F5A">
        <w:rPr>
          <w:rFonts w:ascii="Times New Roman" w:eastAsia="Times New Roman" w:hAnsi="Times New Roman" w:cs="Times New Roman"/>
          <w:sz w:val="24"/>
          <w:szCs w:val="20"/>
          <w:lang w:eastAsia="en-GB"/>
        </w:rPr>
        <w:t>In an average working day</w:t>
      </w:r>
    </w:p>
    <w:p w:rsidR="0047648B" w:rsidRDefault="0047648B" w:rsidP="0047648B">
      <w:pPr>
        <w:jc w:val="both"/>
        <w:rPr>
          <w:rFonts w:ascii="Times New Roman" w:eastAsia="Times New Roman" w:hAnsi="Times New Roman" w:cs="Times New Roman"/>
          <w:sz w:val="24"/>
          <w:szCs w:val="20"/>
          <w:lang w:eastAsia="en-GB"/>
        </w:rPr>
      </w:pPr>
    </w:p>
    <w:p w:rsidR="000818B4" w:rsidRDefault="000818B4" w:rsidP="00C5234D">
      <w:pPr>
        <w:jc w:val="both"/>
        <w:rPr>
          <w:rFonts w:ascii="Times New Roman" w:eastAsia="Times New Roman" w:hAnsi="Times New Roman" w:cs="Times New Roman"/>
          <w:sz w:val="24"/>
          <w:szCs w:val="20"/>
          <w:lang w:eastAsia="en-GB"/>
        </w:rPr>
        <w:sectPr w:rsidR="000818B4" w:rsidSect="00AB0FFC">
          <w:pgSz w:w="11906" w:h="16838"/>
          <w:pgMar w:top="1440" w:right="1440" w:bottom="1440" w:left="1440" w:header="708" w:footer="708" w:gutter="0"/>
          <w:cols w:space="708"/>
          <w:docGrid w:linePitch="360"/>
        </w:sectPr>
      </w:pPr>
    </w:p>
    <w:p w:rsidR="00951BF9" w:rsidRDefault="003061FB" w:rsidP="00C5234D">
      <w:pPr>
        <w:jc w:val="both"/>
        <w:rPr>
          <w:rFonts w:ascii="Times New Roman" w:eastAsia="Times New Roman" w:hAnsi="Times New Roman" w:cs="Times New Roman"/>
          <w:sz w:val="24"/>
          <w:szCs w:val="20"/>
          <w:lang w:eastAsia="en-GB"/>
        </w:rPr>
      </w:pPr>
      <w:r w:rsidRPr="003061FB">
        <w:rPr>
          <w:rFonts w:ascii="Times New Roman" w:eastAsia="Times New Roman" w:hAnsi="Times New Roman" w:cs="Times New Roman"/>
          <w:b/>
          <w:sz w:val="24"/>
          <w:szCs w:val="20"/>
          <w:lang w:eastAsia="en-GB"/>
        </w:rPr>
        <w:lastRenderedPageBreak/>
        <w:t xml:space="preserve">Table 2: Relation between </w:t>
      </w:r>
      <w:proofErr w:type="spellStart"/>
      <w:r w:rsidRPr="003061FB">
        <w:rPr>
          <w:rFonts w:ascii="Times New Roman" w:eastAsia="Times New Roman" w:hAnsi="Times New Roman" w:cs="Times New Roman"/>
          <w:b/>
          <w:sz w:val="24"/>
          <w:szCs w:val="20"/>
          <w:lang w:eastAsia="en-GB"/>
        </w:rPr>
        <w:t>Dupuytren’s</w:t>
      </w:r>
      <w:proofErr w:type="spellEnd"/>
      <w:r w:rsidRPr="003061FB">
        <w:rPr>
          <w:rFonts w:ascii="Times New Roman" w:eastAsia="Times New Roman" w:hAnsi="Times New Roman" w:cs="Times New Roman"/>
          <w:b/>
          <w:sz w:val="24"/>
          <w:szCs w:val="20"/>
          <w:lang w:eastAsia="en-GB"/>
        </w:rPr>
        <w:t xml:space="preserve"> contracture</w:t>
      </w:r>
      <w:r>
        <w:rPr>
          <w:rFonts w:ascii="Times New Roman" w:eastAsia="Times New Roman" w:hAnsi="Times New Roman" w:cs="Times New Roman"/>
          <w:b/>
          <w:sz w:val="24"/>
          <w:szCs w:val="20"/>
          <w:lang w:eastAsia="en-GB"/>
        </w:rPr>
        <w:t xml:space="preserve"> and occupational exposure to hand-transmitted vibration</w:t>
      </w:r>
    </w:p>
    <w:p w:rsidR="00FA12C6" w:rsidRDefault="00FA12C6" w:rsidP="00C5234D">
      <w:pPr>
        <w:pStyle w:val="papers"/>
        <w:spacing w:line="360" w:lineRule="auto"/>
      </w:pPr>
    </w:p>
    <w:tbl>
      <w:tblPr>
        <w:tblW w:w="12731" w:type="dxa"/>
        <w:tblInd w:w="94" w:type="dxa"/>
        <w:tblLook w:val="04A0" w:firstRow="1" w:lastRow="0" w:firstColumn="1" w:lastColumn="0" w:noHBand="0" w:noVBand="1"/>
      </w:tblPr>
      <w:tblGrid>
        <w:gridCol w:w="3618"/>
        <w:gridCol w:w="861"/>
        <w:gridCol w:w="735"/>
        <w:gridCol w:w="1220"/>
        <w:gridCol w:w="384"/>
        <w:gridCol w:w="1843"/>
        <w:gridCol w:w="2085"/>
        <w:gridCol w:w="1985"/>
      </w:tblGrid>
      <w:tr w:rsidR="005A688D" w:rsidRPr="00A443E8" w:rsidTr="005A688D">
        <w:trPr>
          <w:trHeight w:val="73"/>
        </w:trPr>
        <w:tc>
          <w:tcPr>
            <w:tcW w:w="3618" w:type="dxa"/>
            <w:tcBorders>
              <w:top w:val="single" w:sz="4" w:space="0" w:color="auto"/>
              <w:left w:val="nil"/>
              <w:bottom w:val="nil"/>
              <w:right w:val="nil"/>
            </w:tcBorders>
            <w:shd w:val="clear" w:color="auto" w:fill="auto"/>
            <w:noWrap/>
            <w:vAlign w:val="bottom"/>
            <w:hideMark/>
          </w:tcPr>
          <w:p w:rsidR="005A688D" w:rsidRPr="005A688D" w:rsidRDefault="005A688D" w:rsidP="00977696">
            <w:pPr>
              <w:spacing w:line="240" w:lineRule="auto"/>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 </w:t>
            </w:r>
          </w:p>
        </w:tc>
        <w:tc>
          <w:tcPr>
            <w:tcW w:w="861" w:type="dxa"/>
            <w:tcBorders>
              <w:top w:val="single" w:sz="4" w:space="0" w:color="auto"/>
              <w:left w:val="nil"/>
              <w:bottom w:val="nil"/>
              <w:right w:val="nil"/>
            </w:tcBorders>
            <w:shd w:val="clear" w:color="auto" w:fill="auto"/>
            <w:noWrap/>
            <w:vAlign w:val="bottom"/>
            <w:hideMark/>
          </w:tcPr>
          <w:p w:rsidR="005A688D" w:rsidRPr="005A688D" w:rsidRDefault="005A688D" w:rsidP="00977696">
            <w:pPr>
              <w:spacing w:line="240" w:lineRule="auto"/>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 </w:t>
            </w:r>
          </w:p>
        </w:tc>
        <w:tc>
          <w:tcPr>
            <w:tcW w:w="1955" w:type="dxa"/>
            <w:gridSpan w:val="2"/>
            <w:tcBorders>
              <w:top w:val="single" w:sz="4" w:space="0" w:color="auto"/>
              <w:left w:val="nil"/>
              <w:bottom w:val="single" w:sz="4" w:space="0" w:color="auto"/>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roofErr w:type="spellStart"/>
            <w:r w:rsidRPr="005A688D">
              <w:rPr>
                <w:rFonts w:ascii="Times New Roman" w:eastAsia="Times New Roman" w:hAnsi="Times New Roman" w:cs="Times New Roman"/>
                <w:sz w:val="24"/>
                <w:szCs w:val="20"/>
                <w:lang w:eastAsia="en-GB"/>
              </w:rPr>
              <w:t>Dupuytren's</w:t>
            </w:r>
            <w:proofErr w:type="spellEnd"/>
            <w:r w:rsidRPr="005A688D">
              <w:rPr>
                <w:rFonts w:ascii="Times New Roman" w:eastAsia="Times New Roman" w:hAnsi="Times New Roman" w:cs="Times New Roman"/>
                <w:sz w:val="24"/>
                <w:szCs w:val="20"/>
                <w:lang w:eastAsia="en-GB"/>
              </w:rPr>
              <w:t xml:space="preserve"> </w:t>
            </w:r>
          </w:p>
        </w:tc>
        <w:tc>
          <w:tcPr>
            <w:tcW w:w="384" w:type="dxa"/>
            <w:tcBorders>
              <w:top w:val="single" w:sz="4" w:space="0" w:color="auto"/>
              <w:left w:val="nil"/>
              <w:right w:val="nil"/>
            </w:tcBorders>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1843" w:type="dxa"/>
            <w:tcBorders>
              <w:top w:val="single" w:sz="4" w:space="0" w:color="auto"/>
              <w:left w:val="nil"/>
              <w:bottom w:val="single" w:sz="4" w:space="0" w:color="auto"/>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Model 1*</w:t>
            </w:r>
          </w:p>
        </w:tc>
        <w:tc>
          <w:tcPr>
            <w:tcW w:w="2085" w:type="dxa"/>
            <w:tcBorders>
              <w:top w:val="single" w:sz="4" w:space="0" w:color="auto"/>
              <w:left w:val="nil"/>
              <w:bottom w:val="single" w:sz="4" w:space="0" w:color="auto"/>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Model 2*</w:t>
            </w:r>
          </w:p>
        </w:tc>
        <w:tc>
          <w:tcPr>
            <w:tcW w:w="1985" w:type="dxa"/>
            <w:tcBorders>
              <w:top w:val="single" w:sz="4" w:space="0" w:color="auto"/>
              <w:left w:val="nil"/>
              <w:bottom w:val="single" w:sz="4" w:space="0" w:color="auto"/>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Model 3*</w:t>
            </w:r>
          </w:p>
        </w:tc>
      </w:tr>
      <w:tr w:rsidR="005A688D" w:rsidRPr="00A443E8" w:rsidTr="005A688D">
        <w:trPr>
          <w:trHeight w:val="568"/>
        </w:trPr>
        <w:tc>
          <w:tcPr>
            <w:tcW w:w="3618" w:type="dxa"/>
            <w:tcBorders>
              <w:top w:val="nil"/>
              <w:left w:val="nil"/>
              <w:bottom w:val="single" w:sz="4" w:space="0" w:color="auto"/>
              <w:right w:val="nil"/>
            </w:tcBorders>
            <w:shd w:val="clear" w:color="auto" w:fill="auto"/>
            <w:vAlign w:val="bottom"/>
            <w:hideMark/>
          </w:tcPr>
          <w:p w:rsidR="005A688D" w:rsidRPr="005A688D" w:rsidRDefault="005A688D" w:rsidP="00977696">
            <w:pPr>
              <w:spacing w:line="240" w:lineRule="auto"/>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 xml:space="preserve">Exposure to hand-transmitted vibration </w:t>
            </w:r>
          </w:p>
        </w:tc>
        <w:tc>
          <w:tcPr>
            <w:tcW w:w="861" w:type="dxa"/>
            <w:tcBorders>
              <w:top w:val="nil"/>
              <w:left w:val="nil"/>
              <w:bottom w:val="single" w:sz="4" w:space="0" w:color="auto"/>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N</w:t>
            </w:r>
          </w:p>
        </w:tc>
        <w:tc>
          <w:tcPr>
            <w:tcW w:w="735" w:type="dxa"/>
            <w:tcBorders>
              <w:top w:val="nil"/>
              <w:left w:val="nil"/>
              <w:bottom w:val="single" w:sz="4" w:space="0" w:color="auto"/>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N</w:t>
            </w:r>
          </w:p>
        </w:tc>
        <w:tc>
          <w:tcPr>
            <w:tcW w:w="1220" w:type="dxa"/>
            <w:tcBorders>
              <w:top w:val="nil"/>
              <w:left w:val="nil"/>
              <w:bottom w:val="single" w:sz="4" w:space="0" w:color="auto"/>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w:t>
            </w:r>
          </w:p>
        </w:tc>
        <w:tc>
          <w:tcPr>
            <w:tcW w:w="384" w:type="dxa"/>
            <w:tcBorders>
              <w:left w:val="nil"/>
              <w:bottom w:val="single" w:sz="4" w:space="0" w:color="auto"/>
              <w:right w:val="nil"/>
            </w:tcBorders>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1843" w:type="dxa"/>
            <w:tcBorders>
              <w:top w:val="nil"/>
              <w:left w:val="nil"/>
              <w:bottom w:val="single" w:sz="4" w:space="0" w:color="auto"/>
              <w:right w:val="nil"/>
            </w:tcBorders>
            <w:shd w:val="clear" w:color="auto" w:fill="auto"/>
            <w:noWrap/>
            <w:vAlign w:val="bottom"/>
            <w:hideMark/>
          </w:tcPr>
          <w:p w:rsidR="005A688D" w:rsidRPr="005A688D" w:rsidRDefault="00E01644" w:rsidP="00977696">
            <w:pPr>
              <w:spacing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P</w:t>
            </w:r>
            <w:r w:rsidRPr="005A688D">
              <w:rPr>
                <w:rFonts w:ascii="Times New Roman" w:eastAsia="Times New Roman" w:hAnsi="Times New Roman" w:cs="Times New Roman"/>
                <w:sz w:val="24"/>
                <w:szCs w:val="20"/>
                <w:lang w:eastAsia="en-GB"/>
              </w:rPr>
              <w:t xml:space="preserve">R </w:t>
            </w:r>
            <w:r w:rsidR="005A688D" w:rsidRPr="005A688D">
              <w:rPr>
                <w:rFonts w:ascii="Times New Roman" w:eastAsia="Times New Roman" w:hAnsi="Times New Roman" w:cs="Times New Roman"/>
                <w:sz w:val="24"/>
                <w:szCs w:val="20"/>
                <w:lang w:eastAsia="en-GB"/>
              </w:rPr>
              <w:t>(95% CI)</w:t>
            </w:r>
          </w:p>
        </w:tc>
        <w:tc>
          <w:tcPr>
            <w:tcW w:w="2085" w:type="dxa"/>
            <w:tcBorders>
              <w:top w:val="nil"/>
              <w:left w:val="nil"/>
              <w:bottom w:val="single" w:sz="4" w:space="0" w:color="auto"/>
              <w:right w:val="nil"/>
            </w:tcBorders>
            <w:shd w:val="clear" w:color="auto" w:fill="auto"/>
            <w:noWrap/>
            <w:vAlign w:val="bottom"/>
            <w:hideMark/>
          </w:tcPr>
          <w:p w:rsidR="005A688D" w:rsidRPr="005A688D" w:rsidRDefault="00E01644" w:rsidP="00977696">
            <w:pPr>
              <w:spacing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P</w:t>
            </w:r>
            <w:r w:rsidRPr="005A688D">
              <w:rPr>
                <w:rFonts w:ascii="Times New Roman" w:eastAsia="Times New Roman" w:hAnsi="Times New Roman" w:cs="Times New Roman"/>
                <w:sz w:val="24"/>
                <w:szCs w:val="20"/>
                <w:lang w:eastAsia="en-GB"/>
              </w:rPr>
              <w:t xml:space="preserve">R </w:t>
            </w:r>
            <w:r w:rsidR="005A688D" w:rsidRPr="005A688D">
              <w:rPr>
                <w:rFonts w:ascii="Times New Roman" w:eastAsia="Times New Roman" w:hAnsi="Times New Roman" w:cs="Times New Roman"/>
                <w:sz w:val="24"/>
                <w:szCs w:val="20"/>
                <w:lang w:eastAsia="en-GB"/>
              </w:rPr>
              <w:t>(95% CI)</w:t>
            </w:r>
          </w:p>
        </w:tc>
        <w:tc>
          <w:tcPr>
            <w:tcW w:w="1985" w:type="dxa"/>
            <w:tcBorders>
              <w:top w:val="nil"/>
              <w:left w:val="nil"/>
              <w:bottom w:val="single" w:sz="4" w:space="0" w:color="auto"/>
              <w:right w:val="nil"/>
            </w:tcBorders>
            <w:shd w:val="clear" w:color="auto" w:fill="auto"/>
            <w:noWrap/>
            <w:vAlign w:val="bottom"/>
            <w:hideMark/>
          </w:tcPr>
          <w:p w:rsidR="005A688D" w:rsidRPr="005A688D" w:rsidRDefault="00E01644" w:rsidP="00977696">
            <w:pPr>
              <w:spacing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P</w:t>
            </w:r>
            <w:r w:rsidRPr="005A688D">
              <w:rPr>
                <w:rFonts w:ascii="Times New Roman" w:eastAsia="Times New Roman" w:hAnsi="Times New Roman" w:cs="Times New Roman"/>
                <w:sz w:val="24"/>
                <w:szCs w:val="20"/>
                <w:lang w:eastAsia="en-GB"/>
              </w:rPr>
              <w:t xml:space="preserve">R </w:t>
            </w:r>
            <w:r w:rsidR="005A688D" w:rsidRPr="005A688D">
              <w:rPr>
                <w:rFonts w:ascii="Times New Roman" w:eastAsia="Times New Roman" w:hAnsi="Times New Roman" w:cs="Times New Roman"/>
                <w:sz w:val="24"/>
                <w:szCs w:val="20"/>
                <w:lang w:eastAsia="en-GB"/>
              </w:rPr>
              <w:t>(95% CI)</w:t>
            </w:r>
          </w:p>
        </w:tc>
      </w:tr>
      <w:tr w:rsidR="005A688D" w:rsidRPr="00A443E8" w:rsidTr="005A688D">
        <w:trPr>
          <w:trHeight w:val="383"/>
        </w:trPr>
        <w:tc>
          <w:tcPr>
            <w:tcW w:w="3618" w:type="dxa"/>
            <w:tcBorders>
              <w:top w:val="nil"/>
              <w:left w:val="nil"/>
              <w:bottom w:val="nil"/>
              <w:right w:val="nil"/>
            </w:tcBorders>
            <w:shd w:val="clear" w:color="auto" w:fill="auto"/>
            <w:noWrap/>
            <w:vAlign w:val="bottom"/>
            <w:hideMark/>
          </w:tcPr>
          <w:p w:rsidR="005A688D" w:rsidRPr="005A688D" w:rsidRDefault="005A688D" w:rsidP="00977696">
            <w:pPr>
              <w:spacing w:line="240" w:lineRule="auto"/>
              <w:rPr>
                <w:rFonts w:ascii="Times New Roman" w:eastAsia="Times New Roman" w:hAnsi="Times New Roman" w:cs="Times New Roman"/>
                <w:sz w:val="24"/>
                <w:szCs w:val="20"/>
                <w:lang w:eastAsia="en-GB"/>
              </w:rPr>
            </w:pPr>
          </w:p>
        </w:tc>
        <w:tc>
          <w:tcPr>
            <w:tcW w:w="861"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735"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1220"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384" w:type="dxa"/>
            <w:tcBorders>
              <w:top w:val="nil"/>
              <w:left w:val="nil"/>
              <w:bottom w:val="nil"/>
              <w:right w:val="nil"/>
            </w:tcBorders>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1843"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2085"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1985"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r>
      <w:tr w:rsidR="005A688D" w:rsidRPr="00A443E8" w:rsidTr="005A688D">
        <w:trPr>
          <w:trHeight w:val="383"/>
        </w:trPr>
        <w:tc>
          <w:tcPr>
            <w:tcW w:w="3618" w:type="dxa"/>
            <w:tcBorders>
              <w:top w:val="nil"/>
              <w:left w:val="nil"/>
              <w:bottom w:val="nil"/>
              <w:right w:val="nil"/>
            </w:tcBorders>
            <w:shd w:val="clear" w:color="auto" w:fill="auto"/>
            <w:noWrap/>
            <w:vAlign w:val="bottom"/>
            <w:hideMark/>
          </w:tcPr>
          <w:p w:rsidR="005A688D" w:rsidRPr="005A688D" w:rsidRDefault="005A688D" w:rsidP="00977696">
            <w:pPr>
              <w:spacing w:line="240" w:lineRule="auto"/>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Never</w:t>
            </w:r>
          </w:p>
        </w:tc>
        <w:tc>
          <w:tcPr>
            <w:tcW w:w="861"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2,682</w:t>
            </w:r>
          </w:p>
        </w:tc>
        <w:tc>
          <w:tcPr>
            <w:tcW w:w="735"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28</w:t>
            </w:r>
          </w:p>
        </w:tc>
        <w:tc>
          <w:tcPr>
            <w:tcW w:w="1220"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1.04</w:t>
            </w:r>
          </w:p>
        </w:tc>
        <w:tc>
          <w:tcPr>
            <w:tcW w:w="384" w:type="dxa"/>
            <w:tcBorders>
              <w:top w:val="nil"/>
              <w:left w:val="nil"/>
              <w:bottom w:val="nil"/>
              <w:right w:val="nil"/>
            </w:tcBorders>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1843"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w:t>
            </w:r>
          </w:p>
        </w:tc>
        <w:tc>
          <w:tcPr>
            <w:tcW w:w="2085"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w:t>
            </w:r>
          </w:p>
        </w:tc>
        <w:tc>
          <w:tcPr>
            <w:tcW w:w="1985"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w:t>
            </w:r>
          </w:p>
        </w:tc>
      </w:tr>
      <w:tr w:rsidR="005A688D" w:rsidRPr="00A443E8" w:rsidTr="005A688D">
        <w:trPr>
          <w:trHeight w:val="383"/>
        </w:trPr>
        <w:tc>
          <w:tcPr>
            <w:tcW w:w="3618" w:type="dxa"/>
            <w:tcBorders>
              <w:top w:val="nil"/>
              <w:left w:val="nil"/>
              <w:bottom w:val="nil"/>
              <w:right w:val="nil"/>
            </w:tcBorders>
            <w:shd w:val="clear" w:color="auto" w:fill="auto"/>
            <w:noWrap/>
            <w:vAlign w:val="bottom"/>
            <w:hideMark/>
          </w:tcPr>
          <w:p w:rsidR="005A688D" w:rsidRPr="005A688D" w:rsidRDefault="005A688D" w:rsidP="00977696">
            <w:pPr>
              <w:spacing w:line="240" w:lineRule="auto"/>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Ever</w:t>
            </w:r>
          </w:p>
        </w:tc>
        <w:tc>
          <w:tcPr>
            <w:tcW w:w="861"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2</w:t>
            </w:r>
            <w:r>
              <w:rPr>
                <w:rFonts w:ascii="Times New Roman" w:eastAsia="Times New Roman" w:hAnsi="Times New Roman" w:cs="Times New Roman"/>
                <w:sz w:val="24"/>
                <w:szCs w:val="20"/>
                <w:lang w:eastAsia="en-GB"/>
              </w:rPr>
              <w:t>,</w:t>
            </w:r>
            <w:r w:rsidRPr="005A688D">
              <w:rPr>
                <w:rFonts w:ascii="Times New Roman" w:eastAsia="Times New Roman" w:hAnsi="Times New Roman" w:cs="Times New Roman"/>
                <w:sz w:val="24"/>
                <w:szCs w:val="20"/>
                <w:lang w:eastAsia="en-GB"/>
              </w:rPr>
              <w:t>287</w:t>
            </w:r>
          </w:p>
        </w:tc>
        <w:tc>
          <w:tcPr>
            <w:tcW w:w="735"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44</w:t>
            </w:r>
          </w:p>
        </w:tc>
        <w:tc>
          <w:tcPr>
            <w:tcW w:w="1220"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1.92</w:t>
            </w:r>
          </w:p>
        </w:tc>
        <w:tc>
          <w:tcPr>
            <w:tcW w:w="384" w:type="dxa"/>
            <w:tcBorders>
              <w:top w:val="nil"/>
              <w:left w:val="nil"/>
              <w:bottom w:val="nil"/>
              <w:right w:val="nil"/>
            </w:tcBorders>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1843"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1.87 (1.17-2.98)</w:t>
            </w:r>
          </w:p>
        </w:tc>
        <w:tc>
          <w:tcPr>
            <w:tcW w:w="2085"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1.65 (1.00-2.67)</w:t>
            </w:r>
          </w:p>
        </w:tc>
        <w:tc>
          <w:tcPr>
            <w:tcW w:w="1985" w:type="dxa"/>
            <w:tcBorders>
              <w:top w:val="nil"/>
              <w:left w:val="nil"/>
              <w:bottom w:val="nil"/>
              <w:right w:val="nil"/>
            </w:tcBorders>
            <w:shd w:val="clear" w:color="auto" w:fill="auto"/>
            <w:noWrap/>
            <w:vAlign w:val="bottom"/>
            <w:hideMark/>
          </w:tcPr>
          <w:p w:rsidR="005A688D" w:rsidRPr="005A688D" w:rsidRDefault="005A688D" w:rsidP="00977696">
            <w:pPr>
              <w:spacing w:line="240" w:lineRule="auto"/>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1.53 (0.93-2.51)</w:t>
            </w:r>
          </w:p>
        </w:tc>
      </w:tr>
      <w:tr w:rsidR="005A688D" w:rsidRPr="00A443E8" w:rsidTr="005A688D">
        <w:trPr>
          <w:trHeight w:val="383"/>
        </w:trPr>
        <w:tc>
          <w:tcPr>
            <w:tcW w:w="3618" w:type="dxa"/>
            <w:tcBorders>
              <w:top w:val="nil"/>
              <w:left w:val="nil"/>
              <w:bottom w:val="nil"/>
              <w:right w:val="nil"/>
            </w:tcBorders>
            <w:shd w:val="clear" w:color="auto" w:fill="auto"/>
            <w:noWrap/>
            <w:vAlign w:val="bottom"/>
            <w:hideMark/>
          </w:tcPr>
          <w:p w:rsidR="005A688D" w:rsidRPr="005A688D" w:rsidRDefault="005A688D" w:rsidP="005A688D">
            <w:pPr>
              <w:spacing w:line="240" w:lineRule="auto"/>
              <w:ind w:firstLineChars="200" w:firstLine="480"/>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Ever, but not in the past week</w:t>
            </w:r>
          </w:p>
        </w:tc>
        <w:tc>
          <w:tcPr>
            <w:tcW w:w="861"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710</w:t>
            </w:r>
          </w:p>
        </w:tc>
        <w:tc>
          <w:tcPr>
            <w:tcW w:w="735"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9</w:t>
            </w:r>
          </w:p>
        </w:tc>
        <w:tc>
          <w:tcPr>
            <w:tcW w:w="1220"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1.27</w:t>
            </w:r>
          </w:p>
        </w:tc>
        <w:tc>
          <w:tcPr>
            <w:tcW w:w="384" w:type="dxa"/>
            <w:tcBorders>
              <w:top w:val="nil"/>
              <w:left w:val="nil"/>
              <w:bottom w:val="nil"/>
              <w:right w:val="nil"/>
            </w:tcBorders>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1843"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1.28 (0.61-2.70)</w:t>
            </w:r>
          </w:p>
        </w:tc>
        <w:tc>
          <w:tcPr>
            <w:tcW w:w="2085"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1.25 (0.59-2.65)</w:t>
            </w:r>
          </w:p>
        </w:tc>
        <w:tc>
          <w:tcPr>
            <w:tcW w:w="1985" w:type="dxa"/>
            <w:tcBorders>
              <w:top w:val="nil"/>
              <w:left w:val="nil"/>
              <w:bottom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1.23 (0.58-2.62)</w:t>
            </w:r>
          </w:p>
        </w:tc>
      </w:tr>
      <w:tr w:rsidR="005A688D" w:rsidRPr="00A443E8" w:rsidTr="005A688D">
        <w:trPr>
          <w:trHeight w:val="383"/>
        </w:trPr>
        <w:tc>
          <w:tcPr>
            <w:tcW w:w="3618" w:type="dxa"/>
            <w:tcBorders>
              <w:top w:val="nil"/>
              <w:left w:val="nil"/>
              <w:right w:val="nil"/>
            </w:tcBorders>
            <w:shd w:val="clear" w:color="auto" w:fill="auto"/>
            <w:noWrap/>
            <w:vAlign w:val="bottom"/>
            <w:hideMark/>
          </w:tcPr>
          <w:p w:rsidR="005A688D" w:rsidRPr="005A688D" w:rsidRDefault="005A688D" w:rsidP="005A688D">
            <w:pPr>
              <w:spacing w:line="240" w:lineRule="auto"/>
              <w:ind w:firstLineChars="200" w:firstLine="480"/>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Past week, </w:t>
            </w:r>
            <w:r w:rsidRPr="004F22E4">
              <w:rPr>
                <w:rFonts w:ascii="Times New Roman" w:eastAsia="Times New Roman" w:hAnsi="Times New Roman" w:cs="Times New Roman"/>
                <w:i/>
                <w:sz w:val="24"/>
                <w:szCs w:val="20"/>
                <w:lang w:eastAsia="en-GB"/>
              </w:rPr>
              <w:t>A</w:t>
            </w:r>
            <w:r w:rsidRPr="00136A43">
              <w:rPr>
                <w:rFonts w:ascii="Times New Roman" w:eastAsia="Times New Roman" w:hAnsi="Times New Roman" w:cs="Times New Roman"/>
                <w:sz w:val="24"/>
                <w:szCs w:val="20"/>
                <w:lang w:eastAsia="en-GB"/>
              </w:rPr>
              <w:t>(8)</w:t>
            </w:r>
            <w:r>
              <w:rPr>
                <w:rFonts w:ascii="Times New Roman" w:eastAsia="Times New Roman" w:hAnsi="Times New Roman" w:cs="Times New Roman"/>
                <w:sz w:val="24"/>
                <w:szCs w:val="20"/>
                <w:lang w:eastAsia="en-GB"/>
              </w:rPr>
              <w:t>&lt;=2.8 ms</w:t>
            </w:r>
            <w:r w:rsidRPr="005A688D">
              <w:rPr>
                <w:rFonts w:ascii="Times New Roman" w:eastAsia="Times New Roman" w:hAnsi="Times New Roman" w:cs="Times New Roman"/>
                <w:sz w:val="24"/>
                <w:szCs w:val="20"/>
                <w:vertAlign w:val="superscript"/>
                <w:lang w:eastAsia="en-GB"/>
              </w:rPr>
              <w:t>-2</w:t>
            </w:r>
          </w:p>
        </w:tc>
        <w:tc>
          <w:tcPr>
            <w:tcW w:w="861"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1,168</w:t>
            </w:r>
          </w:p>
        </w:tc>
        <w:tc>
          <w:tcPr>
            <w:tcW w:w="735"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21</w:t>
            </w:r>
          </w:p>
        </w:tc>
        <w:tc>
          <w:tcPr>
            <w:tcW w:w="1220"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1.80</w:t>
            </w:r>
          </w:p>
        </w:tc>
        <w:tc>
          <w:tcPr>
            <w:tcW w:w="384" w:type="dxa"/>
            <w:tcBorders>
              <w:top w:val="nil"/>
              <w:left w:val="nil"/>
              <w:right w:val="nil"/>
            </w:tcBorders>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1843"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1.68 (0.96-2.94)</w:t>
            </w:r>
          </w:p>
        </w:tc>
        <w:tc>
          <w:tcPr>
            <w:tcW w:w="2085"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1.53 (0.86-2.72)</w:t>
            </w:r>
          </w:p>
        </w:tc>
        <w:tc>
          <w:tcPr>
            <w:tcW w:w="1985"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1.51 (0.82-2.79)</w:t>
            </w:r>
          </w:p>
        </w:tc>
      </w:tr>
      <w:tr w:rsidR="005A688D" w:rsidRPr="00A443E8" w:rsidTr="005A688D">
        <w:trPr>
          <w:trHeight w:val="383"/>
        </w:trPr>
        <w:tc>
          <w:tcPr>
            <w:tcW w:w="3618" w:type="dxa"/>
            <w:tcBorders>
              <w:top w:val="nil"/>
              <w:left w:val="nil"/>
              <w:right w:val="nil"/>
            </w:tcBorders>
            <w:shd w:val="clear" w:color="auto" w:fill="auto"/>
            <w:noWrap/>
            <w:vAlign w:val="bottom"/>
            <w:hideMark/>
          </w:tcPr>
          <w:p w:rsidR="005A688D" w:rsidRPr="005A688D" w:rsidRDefault="005A688D" w:rsidP="005A688D">
            <w:pPr>
              <w:spacing w:line="240" w:lineRule="auto"/>
              <w:ind w:firstLineChars="200" w:firstLine="480"/>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 xml:space="preserve">Past week, </w:t>
            </w:r>
            <w:r w:rsidRPr="004F22E4">
              <w:rPr>
                <w:rFonts w:ascii="Times New Roman" w:eastAsia="Times New Roman" w:hAnsi="Times New Roman" w:cs="Times New Roman"/>
                <w:i/>
                <w:sz w:val="24"/>
                <w:szCs w:val="20"/>
                <w:lang w:eastAsia="en-GB"/>
              </w:rPr>
              <w:t>A</w:t>
            </w:r>
            <w:r w:rsidRPr="00136A43">
              <w:rPr>
                <w:rFonts w:ascii="Times New Roman" w:eastAsia="Times New Roman" w:hAnsi="Times New Roman" w:cs="Times New Roman"/>
                <w:sz w:val="24"/>
                <w:szCs w:val="20"/>
                <w:lang w:eastAsia="en-GB"/>
              </w:rPr>
              <w:t>(8)</w:t>
            </w:r>
            <w:r w:rsidRPr="005A688D">
              <w:rPr>
                <w:rFonts w:ascii="Times New Roman" w:eastAsia="Times New Roman" w:hAnsi="Times New Roman" w:cs="Times New Roman"/>
                <w:sz w:val="24"/>
                <w:szCs w:val="20"/>
                <w:lang w:eastAsia="en-GB"/>
              </w:rPr>
              <w:t>&gt;</w:t>
            </w:r>
            <w:r>
              <w:rPr>
                <w:rFonts w:ascii="Times New Roman" w:eastAsia="Times New Roman" w:hAnsi="Times New Roman" w:cs="Times New Roman"/>
                <w:sz w:val="24"/>
                <w:szCs w:val="20"/>
                <w:lang w:eastAsia="en-GB"/>
              </w:rPr>
              <w:t>2.8 ms</w:t>
            </w:r>
            <w:r w:rsidRPr="005A688D">
              <w:rPr>
                <w:rFonts w:ascii="Times New Roman" w:eastAsia="Times New Roman" w:hAnsi="Times New Roman" w:cs="Times New Roman"/>
                <w:sz w:val="24"/>
                <w:szCs w:val="20"/>
                <w:vertAlign w:val="superscript"/>
                <w:lang w:eastAsia="en-GB"/>
              </w:rPr>
              <w:t>-2</w:t>
            </w:r>
          </w:p>
        </w:tc>
        <w:tc>
          <w:tcPr>
            <w:tcW w:w="861"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409</w:t>
            </w:r>
          </w:p>
        </w:tc>
        <w:tc>
          <w:tcPr>
            <w:tcW w:w="735"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14</w:t>
            </w:r>
          </w:p>
        </w:tc>
        <w:tc>
          <w:tcPr>
            <w:tcW w:w="1220"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3.42</w:t>
            </w:r>
          </w:p>
        </w:tc>
        <w:tc>
          <w:tcPr>
            <w:tcW w:w="384" w:type="dxa"/>
            <w:tcBorders>
              <w:top w:val="nil"/>
              <w:left w:val="nil"/>
              <w:right w:val="nil"/>
            </w:tcBorders>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1843"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3.48 (1.85-6.53)</w:t>
            </w:r>
          </w:p>
        </w:tc>
        <w:tc>
          <w:tcPr>
            <w:tcW w:w="2085"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3.06 (1.46-6.40)</w:t>
            </w:r>
          </w:p>
        </w:tc>
        <w:tc>
          <w:tcPr>
            <w:tcW w:w="1985"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r w:rsidRPr="005A688D">
              <w:rPr>
                <w:rFonts w:ascii="Times New Roman" w:eastAsia="Times New Roman" w:hAnsi="Times New Roman" w:cs="Times New Roman"/>
                <w:sz w:val="24"/>
                <w:szCs w:val="20"/>
                <w:lang w:eastAsia="en-GB"/>
              </w:rPr>
              <w:t>2.85 (1.37-5.97)</w:t>
            </w:r>
          </w:p>
        </w:tc>
      </w:tr>
      <w:tr w:rsidR="005A688D" w:rsidRPr="00A443E8" w:rsidTr="005A688D">
        <w:trPr>
          <w:trHeight w:val="383"/>
        </w:trPr>
        <w:tc>
          <w:tcPr>
            <w:tcW w:w="3618" w:type="dxa"/>
            <w:tcBorders>
              <w:top w:val="nil"/>
              <w:left w:val="nil"/>
              <w:right w:val="nil"/>
            </w:tcBorders>
            <w:shd w:val="clear" w:color="auto" w:fill="auto"/>
            <w:noWrap/>
            <w:vAlign w:val="bottom"/>
            <w:hideMark/>
          </w:tcPr>
          <w:p w:rsidR="005A688D" w:rsidRPr="005A688D" w:rsidRDefault="005A688D" w:rsidP="005A688D">
            <w:pPr>
              <w:spacing w:line="240" w:lineRule="auto"/>
              <w:ind w:firstLineChars="200" w:firstLine="480"/>
              <w:rPr>
                <w:rFonts w:ascii="Times New Roman" w:eastAsia="Times New Roman" w:hAnsi="Times New Roman" w:cs="Times New Roman"/>
                <w:sz w:val="24"/>
                <w:szCs w:val="20"/>
                <w:lang w:eastAsia="en-GB"/>
              </w:rPr>
            </w:pPr>
          </w:p>
        </w:tc>
        <w:tc>
          <w:tcPr>
            <w:tcW w:w="861"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735"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1220"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384" w:type="dxa"/>
            <w:tcBorders>
              <w:top w:val="nil"/>
              <w:left w:val="nil"/>
              <w:right w:val="nil"/>
            </w:tcBorders>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1843"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2085"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c>
          <w:tcPr>
            <w:tcW w:w="1985" w:type="dxa"/>
            <w:tcBorders>
              <w:top w:val="nil"/>
              <w:left w:val="nil"/>
              <w:right w:val="nil"/>
            </w:tcBorders>
            <w:shd w:val="clear" w:color="auto" w:fill="auto"/>
            <w:noWrap/>
            <w:vAlign w:val="bottom"/>
            <w:hideMark/>
          </w:tcPr>
          <w:p w:rsidR="005A688D" w:rsidRPr="005A688D" w:rsidRDefault="005A688D" w:rsidP="00977696">
            <w:pPr>
              <w:spacing w:line="240" w:lineRule="auto"/>
              <w:jc w:val="center"/>
              <w:rPr>
                <w:rFonts w:ascii="Times New Roman" w:eastAsia="Times New Roman" w:hAnsi="Times New Roman" w:cs="Times New Roman"/>
                <w:sz w:val="24"/>
                <w:szCs w:val="20"/>
                <w:lang w:eastAsia="en-GB"/>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56"/>
        <w:gridCol w:w="769"/>
        <w:gridCol w:w="905"/>
        <w:gridCol w:w="240"/>
        <w:gridCol w:w="831"/>
        <w:gridCol w:w="1445"/>
        <w:gridCol w:w="259"/>
        <w:gridCol w:w="2073"/>
        <w:gridCol w:w="437"/>
        <w:gridCol w:w="897"/>
        <w:gridCol w:w="1531"/>
      </w:tblGrid>
      <w:tr w:rsidR="005A688D" w:rsidTr="005A688D">
        <w:trPr>
          <w:trHeight w:val="104"/>
        </w:trPr>
        <w:tc>
          <w:tcPr>
            <w:tcW w:w="3510" w:type="dxa"/>
            <w:tcBorders>
              <w:top w:val="single" w:sz="12" w:space="0" w:color="auto"/>
            </w:tcBorders>
          </w:tcPr>
          <w:p w:rsidR="005A688D" w:rsidRDefault="005A688D" w:rsidP="00CF0384">
            <w:pPr>
              <w:pStyle w:val="papers"/>
              <w:spacing w:after="120" w:line="240" w:lineRule="auto"/>
            </w:pPr>
          </w:p>
        </w:tc>
        <w:tc>
          <w:tcPr>
            <w:tcW w:w="756" w:type="dxa"/>
            <w:tcBorders>
              <w:top w:val="single" w:sz="12" w:space="0" w:color="auto"/>
            </w:tcBorders>
            <w:vAlign w:val="center"/>
          </w:tcPr>
          <w:p w:rsidR="005A688D" w:rsidRDefault="005A688D" w:rsidP="00CF0384">
            <w:pPr>
              <w:pStyle w:val="papers"/>
              <w:spacing w:after="120" w:line="240" w:lineRule="auto"/>
              <w:jc w:val="center"/>
            </w:pPr>
          </w:p>
        </w:tc>
        <w:tc>
          <w:tcPr>
            <w:tcW w:w="769" w:type="dxa"/>
            <w:tcBorders>
              <w:top w:val="single" w:sz="12" w:space="0" w:color="auto"/>
            </w:tcBorders>
            <w:vAlign w:val="center"/>
          </w:tcPr>
          <w:p w:rsidR="005A688D" w:rsidRDefault="005A688D" w:rsidP="00CF0384">
            <w:pPr>
              <w:pStyle w:val="papers"/>
              <w:spacing w:after="120" w:line="240" w:lineRule="auto"/>
              <w:jc w:val="center"/>
            </w:pPr>
          </w:p>
        </w:tc>
        <w:tc>
          <w:tcPr>
            <w:tcW w:w="905" w:type="dxa"/>
            <w:tcBorders>
              <w:top w:val="single" w:sz="12" w:space="0" w:color="auto"/>
            </w:tcBorders>
            <w:vAlign w:val="center"/>
          </w:tcPr>
          <w:p w:rsidR="005A688D" w:rsidRDefault="005A688D" w:rsidP="00CF0384">
            <w:pPr>
              <w:pStyle w:val="papers"/>
              <w:spacing w:after="120" w:line="240" w:lineRule="auto"/>
              <w:jc w:val="center"/>
            </w:pPr>
          </w:p>
        </w:tc>
        <w:tc>
          <w:tcPr>
            <w:tcW w:w="240" w:type="dxa"/>
            <w:tcBorders>
              <w:top w:val="single" w:sz="12" w:space="0" w:color="auto"/>
            </w:tcBorders>
          </w:tcPr>
          <w:p w:rsidR="005A688D" w:rsidRDefault="005A688D" w:rsidP="00CF0384">
            <w:pPr>
              <w:pStyle w:val="papers"/>
              <w:spacing w:after="120" w:line="240" w:lineRule="auto"/>
            </w:pPr>
          </w:p>
        </w:tc>
        <w:tc>
          <w:tcPr>
            <w:tcW w:w="831" w:type="dxa"/>
            <w:tcBorders>
              <w:top w:val="single" w:sz="12" w:space="0" w:color="auto"/>
            </w:tcBorders>
            <w:vAlign w:val="center"/>
          </w:tcPr>
          <w:p w:rsidR="005A688D" w:rsidRDefault="005A688D" w:rsidP="00CF0384">
            <w:pPr>
              <w:pStyle w:val="papers"/>
              <w:spacing w:after="120" w:line="240" w:lineRule="auto"/>
              <w:jc w:val="right"/>
            </w:pPr>
          </w:p>
        </w:tc>
        <w:tc>
          <w:tcPr>
            <w:tcW w:w="1445" w:type="dxa"/>
            <w:tcBorders>
              <w:top w:val="single" w:sz="12" w:space="0" w:color="auto"/>
            </w:tcBorders>
            <w:vAlign w:val="center"/>
          </w:tcPr>
          <w:p w:rsidR="005A688D" w:rsidRDefault="005A688D" w:rsidP="00CF0384">
            <w:pPr>
              <w:pStyle w:val="papers"/>
              <w:spacing w:after="120" w:line="240" w:lineRule="auto"/>
              <w:jc w:val="left"/>
            </w:pPr>
          </w:p>
        </w:tc>
        <w:tc>
          <w:tcPr>
            <w:tcW w:w="259" w:type="dxa"/>
            <w:tcBorders>
              <w:top w:val="single" w:sz="12" w:space="0" w:color="auto"/>
            </w:tcBorders>
          </w:tcPr>
          <w:p w:rsidR="005A688D" w:rsidRDefault="005A688D" w:rsidP="00CF0384">
            <w:pPr>
              <w:pStyle w:val="papers"/>
              <w:spacing w:after="120" w:line="240" w:lineRule="auto"/>
            </w:pPr>
          </w:p>
        </w:tc>
        <w:tc>
          <w:tcPr>
            <w:tcW w:w="2073" w:type="dxa"/>
            <w:tcBorders>
              <w:top w:val="single" w:sz="12" w:space="0" w:color="auto"/>
            </w:tcBorders>
          </w:tcPr>
          <w:p w:rsidR="005A688D" w:rsidRDefault="005A688D" w:rsidP="00CF0384">
            <w:pPr>
              <w:pStyle w:val="papers"/>
              <w:spacing w:after="120" w:line="240" w:lineRule="auto"/>
              <w:jc w:val="right"/>
            </w:pPr>
          </w:p>
        </w:tc>
        <w:tc>
          <w:tcPr>
            <w:tcW w:w="437" w:type="dxa"/>
            <w:tcBorders>
              <w:top w:val="single" w:sz="12" w:space="0" w:color="auto"/>
            </w:tcBorders>
          </w:tcPr>
          <w:p w:rsidR="005A688D" w:rsidRDefault="005A688D" w:rsidP="00CF0384">
            <w:pPr>
              <w:pStyle w:val="papers"/>
              <w:spacing w:after="120" w:line="240" w:lineRule="auto"/>
              <w:jc w:val="right"/>
            </w:pPr>
          </w:p>
        </w:tc>
        <w:tc>
          <w:tcPr>
            <w:tcW w:w="897" w:type="dxa"/>
            <w:tcBorders>
              <w:top w:val="single" w:sz="12" w:space="0" w:color="auto"/>
            </w:tcBorders>
            <w:vAlign w:val="center"/>
          </w:tcPr>
          <w:p w:rsidR="005A688D" w:rsidRDefault="005A688D" w:rsidP="00CF0384">
            <w:pPr>
              <w:pStyle w:val="papers"/>
              <w:spacing w:after="120" w:line="240" w:lineRule="auto"/>
              <w:jc w:val="right"/>
            </w:pPr>
          </w:p>
        </w:tc>
        <w:tc>
          <w:tcPr>
            <w:tcW w:w="1531" w:type="dxa"/>
            <w:tcBorders>
              <w:top w:val="single" w:sz="12" w:space="0" w:color="auto"/>
            </w:tcBorders>
            <w:vAlign w:val="center"/>
          </w:tcPr>
          <w:p w:rsidR="005A688D" w:rsidRDefault="005A688D" w:rsidP="00CF0384">
            <w:pPr>
              <w:pStyle w:val="papers"/>
              <w:spacing w:after="120" w:line="240" w:lineRule="auto"/>
              <w:jc w:val="left"/>
            </w:pPr>
          </w:p>
        </w:tc>
      </w:tr>
    </w:tbl>
    <w:p w:rsidR="00CF0384" w:rsidRPr="00B961BF" w:rsidRDefault="00A13A46" w:rsidP="00CF0384">
      <w:pPr>
        <w:spacing w:line="240"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Model 1: adjusted for age (in three</w:t>
      </w:r>
      <w:r w:rsidR="00CF0384">
        <w:rPr>
          <w:rFonts w:ascii="Times New Roman" w:eastAsia="Times New Roman" w:hAnsi="Times New Roman" w:cs="Times New Roman"/>
          <w:sz w:val="24"/>
          <w:szCs w:val="20"/>
          <w:lang w:eastAsia="en-GB"/>
        </w:rPr>
        <w:t xml:space="preserve"> bands)</w:t>
      </w:r>
      <w:r>
        <w:rPr>
          <w:rFonts w:ascii="Times New Roman" w:eastAsia="Times New Roman" w:hAnsi="Times New Roman" w:cs="Times New Roman"/>
          <w:sz w:val="24"/>
          <w:szCs w:val="20"/>
          <w:lang w:eastAsia="en-GB"/>
        </w:rPr>
        <w:t>; Model 2 adjusted for age and social class; Model 3: a</w:t>
      </w:r>
      <w:r w:rsidR="00CF0384">
        <w:rPr>
          <w:rFonts w:ascii="Times New Roman" w:eastAsia="Times New Roman" w:hAnsi="Times New Roman" w:cs="Times New Roman"/>
          <w:sz w:val="24"/>
          <w:szCs w:val="20"/>
          <w:lang w:eastAsia="en-GB"/>
        </w:rPr>
        <w:t xml:space="preserve">djusted for age and the </w:t>
      </w:r>
      <w:r w:rsidR="00B92882">
        <w:rPr>
          <w:rFonts w:ascii="Times New Roman" w:eastAsia="Times New Roman" w:hAnsi="Times New Roman" w:cs="Times New Roman"/>
          <w:sz w:val="24"/>
          <w:szCs w:val="20"/>
          <w:lang w:eastAsia="en-GB"/>
        </w:rPr>
        <w:t>other factors</w:t>
      </w:r>
      <w:r w:rsidR="00CF0384">
        <w:rPr>
          <w:rFonts w:ascii="Times New Roman" w:eastAsia="Times New Roman" w:hAnsi="Times New Roman" w:cs="Times New Roman"/>
          <w:sz w:val="24"/>
          <w:szCs w:val="20"/>
          <w:lang w:eastAsia="en-GB"/>
        </w:rPr>
        <w:t xml:space="preserve"> listed in Table 1</w:t>
      </w:r>
      <w:r w:rsidR="0009015A">
        <w:rPr>
          <w:rFonts w:ascii="Times New Roman" w:eastAsia="Times New Roman" w:hAnsi="Times New Roman" w:cs="Times New Roman"/>
          <w:sz w:val="24"/>
          <w:szCs w:val="20"/>
          <w:lang w:eastAsia="en-GB"/>
        </w:rPr>
        <w:t>.</w:t>
      </w:r>
    </w:p>
    <w:p w:rsidR="003061FB" w:rsidRDefault="003061FB" w:rsidP="00C5234D">
      <w:pPr>
        <w:pStyle w:val="papers"/>
        <w:spacing w:line="360" w:lineRule="auto"/>
      </w:pPr>
    </w:p>
    <w:p w:rsidR="000818B4" w:rsidRDefault="000818B4" w:rsidP="000818B4">
      <w:pPr>
        <w:rPr>
          <w:rFonts w:ascii="Times New Roman" w:eastAsia="Times New Roman" w:hAnsi="Times New Roman" w:cs="Times New Roman"/>
          <w:b/>
          <w:sz w:val="24"/>
          <w:szCs w:val="20"/>
          <w:lang w:eastAsia="en-GB"/>
        </w:rPr>
        <w:sectPr w:rsidR="000818B4" w:rsidSect="000818B4">
          <w:pgSz w:w="16838" w:h="11906" w:orient="landscape"/>
          <w:pgMar w:top="1440" w:right="1440" w:bottom="1440" w:left="1440" w:header="708" w:footer="708" w:gutter="0"/>
          <w:cols w:space="708"/>
          <w:docGrid w:linePitch="360"/>
        </w:sectPr>
      </w:pPr>
    </w:p>
    <w:p w:rsidR="00962E8A" w:rsidRDefault="00962E8A">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lastRenderedPageBreak/>
        <w:br w:type="page"/>
      </w:r>
    </w:p>
    <w:p w:rsidR="00E864BD" w:rsidRPr="000818B4" w:rsidRDefault="00C32202" w:rsidP="000818B4">
      <w:pPr>
        <w:rPr>
          <w:rFonts w:ascii="Times New Roman" w:eastAsia="Times New Roman" w:hAnsi="Times New Roman" w:cs="Times New Roman"/>
          <w:sz w:val="24"/>
          <w:szCs w:val="20"/>
          <w:lang w:eastAsia="en-GB"/>
        </w:rPr>
      </w:pPr>
      <w:r w:rsidRPr="006E53E8">
        <w:rPr>
          <w:rFonts w:ascii="Times New Roman" w:eastAsia="Times New Roman" w:hAnsi="Times New Roman" w:cs="Times New Roman"/>
          <w:b/>
          <w:sz w:val="24"/>
          <w:szCs w:val="20"/>
          <w:lang w:eastAsia="en-GB"/>
        </w:rPr>
        <w:lastRenderedPageBreak/>
        <w:t>References</w:t>
      </w:r>
    </w:p>
    <w:p w:rsidR="00C32202" w:rsidRDefault="003D406A" w:rsidP="00C32202">
      <w:pPr>
        <w:pStyle w:val="ListParagraph"/>
        <w:numPr>
          <w:ilvl w:val="0"/>
          <w:numId w:val="1"/>
        </w:numPr>
        <w:ind w:left="714" w:hanging="357"/>
        <w:jc w:val="both"/>
        <w:rPr>
          <w:rFonts w:ascii="Times New Roman" w:eastAsia="Times New Roman" w:hAnsi="Times New Roman" w:cs="Times New Roman"/>
          <w:sz w:val="24"/>
          <w:szCs w:val="20"/>
          <w:lang w:eastAsia="en-GB"/>
        </w:rPr>
      </w:pPr>
      <w:proofErr w:type="spellStart"/>
      <w:r w:rsidRPr="00E71E36">
        <w:rPr>
          <w:rFonts w:ascii="Times New Roman" w:eastAsia="Times New Roman" w:hAnsi="Times New Roman" w:cs="Times New Roman"/>
          <w:sz w:val="24"/>
          <w:szCs w:val="20"/>
          <w:lang w:eastAsia="en-GB"/>
        </w:rPr>
        <w:t>Dupuytren</w:t>
      </w:r>
      <w:proofErr w:type="spellEnd"/>
      <w:r>
        <w:rPr>
          <w:rFonts w:ascii="Times New Roman" w:eastAsia="Times New Roman" w:hAnsi="Times New Roman" w:cs="Times New Roman"/>
          <w:sz w:val="24"/>
          <w:szCs w:val="20"/>
          <w:lang w:eastAsia="en-GB"/>
        </w:rPr>
        <w:t xml:space="preserve"> G. Permanent retraction of the fingers produced by an affection of the palmar fascia. Lancet 1834; 2: 222-5.</w:t>
      </w:r>
    </w:p>
    <w:p w:rsidR="00E71E36" w:rsidRDefault="00E71E36" w:rsidP="00E71E36">
      <w:pPr>
        <w:pStyle w:val="ListParagraph"/>
        <w:numPr>
          <w:ilvl w:val="0"/>
          <w:numId w:val="1"/>
        </w:numPr>
        <w:ind w:left="714" w:hanging="357"/>
        <w:jc w:val="both"/>
        <w:rPr>
          <w:rFonts w:ascii="Times New Roman" w:eastAsia="Times New Roman" w:hAnsi="Times New Roman" w:cs="Times New Roman"/>
          <w:sz w:val="24"/>
          <w:szCs w:val="20"/>
          <w:lang w:eastAsia="en-GB"/>
        </w:rPr>
      </w:pPr>
      <w:r w:rsidRPr="00E71E36">
        <w:rPr>
          <w:rFonts w:ascii="Times New Roman" w:eastAsia="Times New Roman" w:hAnsi="Times New Roman" w:cs="Times New Roman"/>
          <w:sz w:val="24"/>
          <w:szCs w:val="20"/>
          <w:lang w:eastAsia="en-GB"/>
        </w:rPr>
        <w:t xml:space="preserve">McFarlane RM.  </w:t>
      </w:r>
      <w:proofErr w:type="spellStart"/>
      <w:r w:rsidRPr="00E71E36">
        <w:rPr>
          <w:rFonts w:ascii="Times New Roman" w:eastAsia="Times New Roman" w:hAnsi="Times New Roman" w:cs="Times New Roman"/>
          <w:sz w:val="24"/>
          <w:szCs w:val="20"/>
          <w:lang w:eastAsia="en-GB"/>
        </w:rPr>
        <w:t>Dupuytren’s</w:t>
      </w:r>
      <w:proofErr w:type="spellEnd"/>
      <w:r w:rsidRPr="00E71E36">
        <w:rPr>
          <w:rFonts w:ascii="Times New Roman" w:eastAsia="Times New Roman" w:hAnsi="Times New Roman" w:cs="Times New Roman"/>
          <w:sz w:val="24"/>
          <w:szCs w:val="20"/>
          <w:lang w:eastAsia="en-GB"/>
        </w:rPr>
        <w:t xml:space="preserve"> disease: relation to wor</w:t>
      </w:r>
      <w:r>
        <w:rPr>
          <w:rFonts w:ascii="Times New Roman" w:eastAsia="Times New Roman" w:hAnsi="Times New Roman" w:cs="Times New Roman"/>
          <w:sz w:val="24"/>
          <w:szCs w:val="20"/>
          <w:lang w:eastAsia="en-GB"/>
        </w:rPr>
        <w:t xml:space="preserve">k and injury. J Hand </w:t>
      </w:r>
      <w:proofErr w:type="spellStart"/>
      <w:r>
        <w:rPr>
          <w:rFonts w:ascii="Times New Roman" w:eastAsia="Times New Roman" w:hAnsi="Times New Roman" w:cs="Times New Roman"/>
          <w:sz w:val="24"/>
          <w:szCs w:val="20"/>
          <w:lang w:eastAsia="en-GB"/>
        </w:rPr>
        <w:t>Surg</w:t>
      </w:r>
      <w:proofErr w:type="spellEnd"/>
      <w:r>
        <w:rPr>
          <w:rFonts w:ascii="Times New Roman" w:eastAsia="Times New Roman" w:hAnsi="Times New Roman" w:cs="Times New Roman"/>
          <w:sz w:val="24"/>
          <w:szCs w:val="20"/>
          <w:lang w:eastAsia="en-GB"/>
        </w:rPr>
        <w:t xml:space="preserve"> (Am)</w:t>
      </w:r>
      <w:r w:rsidR="004D3351">
        <w:rPr>
          <w:rFonts w:ascii="Times New Roman" w:eastAsia="Times New Roman" w:hAnsi="Times New Roman" w:cs="Times New Roman"/>
          <w:sz w:val="24"/>
          <w:szCs w:val="20"/>
          <w:lang w:eastAsia="en-GB"/>
        </w:rPr>
        <w:t xml:space="preserve"> </w:t>
      </w:r>
      <w:r w:rsidRPr="00E71E36">
        <w:rPr>
          <w:rFonts w:ascii="Times New Roman" w:eastAsia="Times New Roman" w:hAnsi="Times New Roman" w:cs="Times New Roman"/>
          <w:sz w:val="24"/>
          <w:szCs w:val="20"/>
          <w:lang w:eastAsia="en-GB"/>
        </w:rPr>
        <w:t>1991</w:t>
      </w:r>
      <w:proofErr w:type="gramStart"/>
      <w:r w:rsidRPr="00E71E36">
        <w:rPr>
          <w:rFonts w:ascii="Times New Roman" w:eastAsia="Times New Roman" w:hAnsi="Times New Roman" w:cs="Times New Roman"/>
          <w:sz w:val="24"/>
          <w:szCs w:val="20"/>
          <w:lang w:eastAsia="en-GB"/>
        </w:rPr>
        <w:t>;16:775</w:t>
      </w:r>
      <w:proofErr w:type="gramEnd"/>
      <w:r w:rsidRPr="00E71E36">
        <w:rPr>
          <w:rFonts w:ascii="Times New Roman" w:eastAsia="Times New Roman" w:hAnsi="Times New Roman" w:cs="Times New Roman"/>
          <w:sz w:val="24"/>
          <w:szCs w:val="20"/>
          <w:lang w:eastAsia="en-GB"/>
        </w:rPr>
        <w:t>-9.</w:t>
      </w:r>
    </w:p>
    <w:p w:rsidR="00E71E36" w:rsidRPr="00E71E36" w:rsidRDefault="00E71E36" w:rsidP="00E71E36">
      <w:pPr>
        <w:pStyle w:val="ListParagraph"/>
        <w:numPr>
          <w:ilvl w:val="0"/>
          <w:numId w:val="1"/>
        </w:numPr>
        <w:ind w:left="714" w:hanging="357"/>
        <w:jc w:val="both"/>
        <w:rPr>
          <w:rFonts w:ascii="Times New Roman" w:eastAsia="Times New Roman" w:hAnsi="Times New Roman" w:cs="Times New Roman"/>
          <w:sz w:val="24"/>
          <w:szCs w:val="20"/>
          <w:lang w:eastAsia="en-GB"/>
        </w:rPr>
      </w:pPr>
      <w:r w:rsidRPr="00E71E36">
        <w:rPr>
          <w:rFonts w:ascii="Times New Roman" w:eastAsia="Times New Roman" w:hAnsi="Times New Roman" w:cs="Times New Roman"/>
          <w:sz w:val="24"/>
          <w:szCs w:val="20"/>
          <w:lang w:eastAsia="en-GB"/>
        </w:rPr>
        <w:t xml:space="preserve">Burge CP.  </w:t>
      </w:r>
      <w:proofErr w:type="spellStart"/>
      <w:r w:rsidRPr="00E71E36">
        <w:rPr>
          <w:rFonts w:ascii="Times New Roman" w:eastAsia="Times New Roman" w:hAnsi="Times New Roman" w:cs="Times New Roman"/>
          <w:sz w:val="24"/>
          <w:szCs w:val="20"/>
          <w:lang w:eastAsia="en-GB"/>
        </w:rPr>
        <w:t>Dupuytren</w:t>
      </w:r>
      <w:r>
        <w:rPr>
          <w:rFonts w:ascii="Times New Roman" w:eastAsia="Times New Roman" w:hAnsi="Times New Roman" w:cs="Times New Roman"/>
          <w:sz w:val="24"/>
          <w:szCs w:val="20"/>
          <w:lang w:eastAsia="en-GB"/>
        </w:rPr>
        <w:t>’s</w:t>
      </w:r>
      <w:proofErr w:type="spellEnd"/>
      <w:r>
        <w:rPr>
          <w:rFonts w:ascii="Times New Roman" w:eastAsia="Times New Roman" w:hAnsi="Times New Roman" w:cs="Times New Roman"/>
          <w:sz w:val="24"/>
          <w:szCs w:val="20"/>
          <w:lang w:eastAsia="en-GB"/>
        </w:rPr>
        <w:t xml:space="preserve"> disease.  J Bone Joint </w:t>
      </w:r>
      <w:proofErr w:type="spellStart"/>
      <w:r>
        <w:rPr>
          <w:rFonts w:ascii="Times New Roman" w:eastAsia="Times New Roman" w:hAnsi="Times New Roman" w:cs="Times New Roman"/>
          <w:sz w:val="24"/>
          <w:szCs w:val="20"/>
          <w:lang w:eastAsia="en-GB"/>
        </w:rPr>
        <w:t>Surg</w:t>
      </w:r>
      <w:proofErr w:type="spellEnd"/>
      <w:r>
        <w:rPr>
          <w:rFonts w:ascii="Times New Roman" w:eastAsia="Times New Roman" w:hAnsi="Times New Roman" w:cs="Times New Roman"/>
          <w:sz w:val="24"/>
          <w:szCs w:val="20"/>
          <w:lang w:eastAsia="en-GB"/>
        </w:rPr>
        <w:t xml:space="preserve"> (Br) </w:t>
      </w:r>
      <w:r w:rsidRPr="00E71E36">
        <w:rPr>
          <w:rFonts w:ascii="Times New Roman" w:eastAsia="Times New Roman" w:hAnsi="Times New Roman" w:cs="Times New Roman"/>
          <w:sz w:val="24"/>
          <w:szCs w:val="20"/>
          <w:lang w:eastAsia="en-GB"/>
        </w:rPr>
        <w:t>2004</w:t>
      </w:r>
      <w:proofErr w:type="gramStart"/>
      <w:r w:rsidRPr="00E71E36">
        <w:rPr>
          <w:rFonts w:ascii="Times New Roman" w:eastAsia="Times New Roman" w:hAnsi="Times New Roman" w:cs="Times New Roman"/>
          <w:sz w:val="24"/>
          <w:szCs w:val="20"/>
          <w:lang w:eastAsia="en-GB"/>
        </w:rPr>
        <w:t>;86B:1088</w:t>
      </w:r>
      <w:proofErr w:type="gramEnd"/>
      <w:r w:rsidRPr="00E71E36">
        <w:rPr>
          <w:rFonts w:ascii="Times New Roman" w:eastAsia="Times New Roman" w:hAnsi="Times New Roman" w:cs="Times New Roman"/>
          <w:sz w:val="24"/>
          <w:szCs w:val="20"/>
          <w:lang w:eastAsia="en-GB"/>
        </w:rPr>
        <w:t xml:space="preserve">-90. </w:t>
      </w:r>
    </w:p>
    <w:p w:rsidR="00C32202" w:rsidRDefault="00E71E36" w:rsidP="00E71E36">
      <w:pPr>
        <w:pStyle w:val="ListParagraph"/>
        <w:numPr>
          <w:ilvl w:val="0"/>
          <w:numId w:val="1"/>
        </w:numPr>
        <w:ind w:left="714" w:hanging="357"/>
        <w:jc w:val="both"/>
        <w:rPr>
          <w:rFonts w:ascii="Times New Roman" w:eastAsia="Times New Roman" w:hAnsi="Times New Roman" w:cs="Times New Roman"/>
          <w:sz w:val="24"/>
          <w:szCs w:val="20"/>
          <w:lang w:eastAsia="en-GB"/>
        </w:rPr>
      </w:pPr>
      <w:proofErr w:type="spellStart"/>
      <w:r w:rsidRPr="00E71E36">
        <w:rPr>
          <w:rFonts w:ascii="Times New Roman" w:eastAsia="Times New Roman" w:hAnsi="Times New Roman" w:cs="Times New Roman"/>
          <w:sz w:val="24"/>
          <w:szCs w:val="20"/>
          <w:lang w:eastAsia="en-GB"/>
        </w:rPr>
        <w:t>Townley</w:t>
      </w:r>
      <w:proofErr w:type="spellEnd"/>
      <w:r w:rsidRPr="00E71E36">
        <w:rPr>
          <w:rFonts w:ascii="Times New Roman" w:eastAsia="Times New Roman" w:hAnsi="Times New Roman" w:cs="Times New Roman"/>
          <w:sz w:val="24"/>
          <w:szCs w:val="20"/>
          <w:lang w:eastAsia="en-GB"/>
        </w:rPr>
        <w:t xml:space="preserve"> WA, Baker</w:t>
      </w:r>
      <w:r>
        <w:rPr>
          <w:rFonts w:ascii="Times New Roman" w:eastAsia="Times New Roman" w:hAnsi="Times New Roman" w:cs="Times New Roman"/>
          <w:sz w:val="24"/>
          <w:szCs w:val="20"/>
          <w:lang w:eastAsia="en-GB"/>
        </w:rPr>
        <w:t xml:space="preserve"> R, Sheppard N, </w:t>
      </w:r>
      <w:proofErr w:type="spellStart"/>
      <w:r>
        <w:rPr>
          <w:rFonts w:ascii="Times New Roman" w:eastAsia="Times New Roman" w:hAnsi="Times New Roman" w:cs="Times New Roman"/>
          <w:sz w:val="24"/>
          <w:szCs w:val="20"/>
          <w:lang w:eastAsia="en-GB"/>
        </w:rPr>
        <w:t>Grobbelaar</w:t>
      </w:r>
      <w:proofErr w:type="spellEnd"/>
      <w:r>
        <w:rPr>
          <w:rFonts w:ascii="Times New Roman" w:eastAsia="Times New Roman" w:hAnsi="Times New Roman" w:cs="Times New Roman"/>
          <w:sz w:val="24"/>
          <w:szCs w:val="20"/>
          <w:lang w:eastAsia="en-GB"/>
        </w:rPr>
        <w:t xml:space="preserve"> AO. </w:t>
      </w:r>
      <w:proofErr w:type="spellStart"/>
      <w:r w:rsidRPr="00E71E36">
        <w:rPr>
          <w:rFonts w:ascii="Times New Roman" w:eastAsia="Times New Roman" w:hAnsi="Times New Roman" w:cs="Times New Roman"/>
          <w:sz w:val="24"/>
          <w:szCs w:val="20"/>
          <w:lang w:eastAsia="en-GB"/>
        </w:rPr>
        <w:t>Dupuytr</w:t>
      </w:r>
      <w:r>
        <w:rPr>
          <w:rFonts w:ascii="Times New Roman" w:eastAsia="Times New Roman" w:hAnsi="Times New Roman" w:cs="Times New Roman"/>
          <w:sz w:val="24"/>
          <w:szCs w:val="20"/>
          <w:lang w:eastAsia="en-GB"/>
        </w:rPr>
        <w:t>en’s</w:t>
      </w:r>
      <w:proofErr w:type="spellEnd"/>
      <w:r>
        <w:rPr>
          <w:rFonts w:ascii="Times New Roman" w:eastAsia="Times New Roman" w:hAnsi="Times New Roman" w:cs="Times New Roman"/>
          <w:sz w:val="24"/>
          <w:szCs w:val="20"/>
          <w:lang w:eastAsia="en-GB"/>
        </w:rPr>
        <w:t xml:space="preserve"> contracture unfolded. BMJ</w:t>
      </w:r>
      <w:r w:rsidRPr="00E71E36">
        <w:rPr>
          <w:rFonts w:ascii="Times New Roman" w:eastAsia="Times New Roman" w:hAnsi="Times New Roman" w:cs="Times New Roman"/>
          <w:sz w:val="24"/>
          <w:szCs w:val="20"/>
          <w:lang w:eastAsia="en-GB"/>
        </w:rPr>
        <w:t xml:space="preserve"> 2006</w:t>
      </w:r>
      <w:proofErr w:type="gramStart"/>
      <w:r w:rsidRPr="00E71E36">
        <w:rPr>
          <w:rFonts w:ascii="Times New Roman" w:eastAsia="Times New Roman" w:hAnsi="Times New Roman" w:cs="Times New Roman"/>
          <w:sz w:val="24"/>
          <w:szCs w:val="20"/>
          <w:lang w:eastAsia="en-GB"/>
        </w:rPr>
        <w:t>;332:397</w:t>
      </w:r>
      <w:proofErr w:type="gramEnd"/>
      <w:r w:rsidRPr="00E71E36">
        <w:rPr>
          <w:rFonts w:ascii="Times New Roman" w:eastAsia="Times New Roman" w:hAnsi="Times New Roman" w:cs="Times New Roman"/>
          <w:sz w:val="24"/>
          <w:szCs w:val="20"/>
          <w:lang w:eastAsia="en-GB"/>
        </w:rPr>
        <w:t>-400</w:t>
      </w:r>
      <w:r>
        <w:rPr>
          <w:rFonts w:ascii="Times New Roman" w:eastAsia="Times New Roman" w:hAnsi="Times New Roman" w:cs="Times New Roman"/>
          <w:sz w:val="24"/>
          <w:szCs w:val="20"/>
          <w:lang w:eastAsia="en-GB"/>
        </w:rPr>
        <w:t>.</w:t>
      </w:r>
    </w:p>
    <w:p w:rsidR="006E53E8" w:rsidRDefault="006E53E8" w:rsidP="00C06ADE">
      <w:pPr>
        <w:pStyle w:val="ListParagraph"/>
        <w:numPr>
          <w:ilvl w:val="0"/>
          <w:numId w:val="1"/>
        </w:numPr>
        <w:ind w:left="714" w:hanging="357"/>
        <w:jc w:val="both"/>
        <w:rPr>
          <w:rFonts w:ascii="Times New Roman" w:eastAsia="Times New Roman" w:hAnsi="Times New Roman" w:cs="Times New Roman"/>
          <w:sz w:val="24"/>
          <w:szCs w:val="20"/>
          <w:lang w:eastAsia="en-GB"/>
        </w:rPr>
      </w:pPr>
      <w:proofErr w:type="spellStart"/>
      <w:r w:rsidRPr="006E53E8">
        <w:rPr>
          <w:rFonts w:ascii="Times New Roman" w:eastAsia="Times New Roman" w:hAnsi="Times New Roman" w:cs="Times New Roman"/>
          <w:sz w:val="24"/>
          <w:szCs w:val="20"/>
          <w:lang w:eastAsia="en-GB"/>
        </w:rPr>
        <w:t>Descatha</w:t>
      </w:r>
      <w:proofErr w:type="spellEnd"/>
      <w:r w:rsidRPr="006E53E8">
        <w:rPr>
          <w:rFonts w:ascii="Times New Roman" w:eastAsia="Times New Roman" w:hAnsi="Times New Roman" w:cs="Times New Roman"/>
          <w:sz w:val="24"/>
          <w:szCs w:val="20"/>
          <w:lang w:eastAsia="en-GB"/>
        </w:rPr>
        <w:t xml:space="preserve"> A, </w:t>
      </w:r>
      <w:proofErr w:type="spellStart"/>
      <w:r w:rsidRPr="006E53E8">
        <w:rPr>
          <w:rFonts w:ascii="Times New Roman" w:eastAsia="Times New Roman" w:hAnsi="Times New Roman" w:cs="Times New Roman"/>
          <w:sz w:val="24"/>
          <w:szCs w:val="20"/>
          <w:lang w:eastAsia="en-GB"/>
        </w:rPr>
        <w:t>Jauffret</w:t>
      </w:r>
      <w:proofErr w:type="spellEnd"/>
      <w:r w:rsidRPr="006E53E8">
        <w:rPr>
          <w:rFonts w:ascii="Times New Roman" w:eastAsia="Times New Roman" w:hAnsi="Times New Roman" w:cs="Times New Roman"/>
          <w:sz w:val="24"/>
          <w:szCs w:val="20"/>
          <w:lang w:eastAsia="en-GB"/>
        </w:rPr>
        <w:t xml:space="preserve"> P, </w:t>
      </w:r>
      <w:proofErr w:type="spellStart"/>
      <w:r w:rsidRPr="006E53E8">
        <w:rPr>
          <w:rFonts w:ascii="Times New Roman" w:eastAsia="Times New Roman" w:hAnsi="Times New Roman" w:cs="Times New Roman"/>
          <w:sz w:val="24"/>
          <w:szCs w:val="20"/>
          <w:lang w:eastAsia="en-GB"/>
        </w:rPr>
        <w:t>Chastang</w:t>
      </w:r>
      <w:proofErr w:type="spellEnd"/>
      <w:r w:rsidRPr="006E53E8">
        <w:rPr>
          <w:rFonts w:ascii="Times New Roman" w:eastAsia="Times New Roman" w:hAnsi="Times New Roman" w:cs="Times New Roman"/>
          <w:sz w:val="24"/>
          <w:szCs w:val="20"/>
          <w:lang w:eastAsia="en-GB"/>
        </w:rPr>
        <w:t xml:space="preserve"> J-F, </w:t>
      </w:r>
      <w:proofErr w:type="spellStart"/>
      <w:r w:rsidRPr="006E53E8">
        <w:rPr>
          <w:rFonts w:ascii="Times New Roman" w:eastAsia="Times New Roman" w:hAnsi="Times New Roman" w:cs="Times New Roman"/>
          <w:sz w:val="24"/>
          <w:szCs w:val="20"/>
          <w:lang w:eastAsia="en-GB"/>
        </w:rPr>
        <w:t>Roquelaure</w:t>
      </w:r>
      <w:proofErr w:type="spellEnd"/>
      <w:r w:rsidRPr="006E53E8">
        <w:rPr>
          <w:rFonts w:ascii="Times New Roman" w:eastAsia="Times New Roman" w:hAnsi="Times New Roman" w:cs="Times New Roman"/>
          <w:sz w:val="24"/>
          <w:szCs w:val="20"/>
          <w:lang w:eastAsia="en-GB"/>
        </w:rPr>
        <w:t xml:space="preserve"> Y, </w:t>
      </w:r>
      <w:proofErr w:type="gramStart"/>
      <w:r w:rsidRPr="006E53E8">
        <w:rPr>
          <w:rFonts w:ascii="Times New Roman" w:eastAsia="Times New Roman" w:hAnsi="Times New Roman" w:cs="Times New Roman"/>
          <w:sz w:val="24"/>
          <w:szCs w:val="20"/>
          <w:lang w:eastAsia="en-GB"/>
        </w:rPr>
        <w:t>Leclerc</w:t>
      </w:r>
      <w:proofErr w:type="gramEnd"/>
      <w:r w:rsidRPr="006E53E8">
        <w:rPr>
          <w:rFonts w:ascii="Times New Roman" w:eastAsia="Times New Roman" w:hAnsi="Times New Roman" w:cs="Times New Roman"/>
          <w:sz w:val="24"/>
          <w:szCs w:val="20"/>
          <w:lang w:eastAsia="en-GB"/>
        </w:rPr>
        <w:t xml:space="preserve"> A. Should we consider </w:t>
      </w:r>
      <w:proofErr w:type="spellStart"/>
      <w:r w:rsidRPr="006E53E8">
        <w:rPr>
          <w:rFonts w:ascii="Times New Roman" w:eastAsia="Times New Roman" w:hAnsi="Times New Roman" w:cs="Times New Roman"/>
          <w:sz w:val="24"/>
          <w:szCs w:val="20"/>
          <w:lang w:eastAsia="en-GB"/>
        </w:rPr>
        <w:t>Dupuytren's</w:t>
      </w:r>
      <w:proofErr w:type="spellEnd"/>
      <w:r w:rsidRPr="006E53E8">
        <w:rPr>
          <w:rFonts w:ascii="Times New Roman" w:eastAsia="Times New Roman" w:hAnsi="Times New Roman" w:cs="Times New Roman"/>
          <w:sz w:val="24"/>
          <w:szCs w:val="20"/>
          <w:lang w:eastAsia="en-GB"/>
        </w:rPr>
        <w:t xml:space="preserve"> contracture as work-related? A review and meta-analysis of an old debate. BMC </w:t>
      </w:r>
      <w:proofErr w:type="spellStart"/>
      <w:r w:rsidRPr="006E53E8">
        <w:rPr>
          <w:rFonts w:ascii="Times New Roman" w:eastAsia="Times New Roman" w:hAnsi="Times New Roman" w:cs="Times New Roman"/>
          <w:sz w:val="24"/>
          <w:szCs w:val="20"/>
          <w:lang w:eastAsia="en-GB"/>
        </w:rPr>
        <w:t>Musc</w:t>
      </w:r>
      <w:proofErr w:type="spellEnd"/>
      <w:r w:rsidRPr="006E53E8">
        <w:rPr>
          <w:rFonts w:ascii="Times New Roman" w:eastAsia="Times New Roman" w:hAnsi="Times New Roman" w:cs="Times New Roman"/>
          <w:sz w:val="24"/>
          <w:szCs w:val="20"/>
          <w:lang w:eastAsia="en-GB"/>
        </w:rPr>
        <w:t xml:space="preserve"> Dis 2011: 12: 96.</w:t>
      </w:r>
    </w:p>
    <w:p w:rsidR="00C06ADE" w:rsidRDefault="00C06ADE" w:rsidP="00C06ADE">
      <w:pPr>
        <w:pStyle w:val="ListParagraph"/>
        <w:numPr>
          <w:ilvl w:val="0"/>
          <w:numId w:val="1"/>
        </w:numPr>
        <w:ind w:left="714" w:hanging="357"/>
        <w:jc w:val="both"/>
        <w:rPr>
          <w:rFonts w:ascii="Times New Roman" w:eastAsia="Times New Roman" w:hAnsi="Times New Roman" w:cs="Times New Roman"/>
          <w:sz w:val="24"/>
          <w:szCs w:val="20"/>
          <w:lang w:eastAsia="en-GB"/>
        </w:rPr>
      </w:pPr>
      <w:r w:rsidRPr="00C06ADE">
        <w:rPr>
          <w:rFonts w:ascii="Times New Roman" w:eastAsia="Times New Roman" w:hAnsi="Times New Roman" w:cs="Times New Roman"/>
          <w:sz w:val="24"/>
          <w:szCs w:val="20"/>
          <w:lang w:eastAsia="en-GB"/>
        </w:rPr>
        <w:t>Harrington JM, Newman Taylor AJ, Cogg</w:t>
      </w:r>
      <w:r>
        <w:rPr>
          <w:rFonts w:ascii="Times New Roman" w:eastAsia="Times New Roman" w:hAnsi="Times New Roman" w:cs="Times New Roman"/>
          <w:sz w:val="24"/>
          <w:szCs w:val="20"/>
          <w:lang w:eastAsia="en-GB"/>
        </w:rPr>
        <w:t>o</w:t>
      </w:r>
      <w:r w:rsidRPr="00C06ADE">
        <w:rPr>
          <w:rFonts w:ascii="Times New Roman" w:eastAsia="Times New Roman" w:hAnsi="Times New Roman" w:cs="Times New Roman"/>
          <w:sz w:val="24"/>
          <w:szCs w:val="20"/>
          <w:lang w:eastAsia="en-GB"/>
        </w:rPr>
        <w:t>n D. Industrial</w:t>
      </w:r>
      <w:r>
        <w:rPr>
          <w:rFonts w:ascii="Times New Roman" w:eastAsia="Times New Roman" w:hAnsi="Times New Roman" w:cs="Times New Roman"/>
          <w:sz w:val="24"/>
          <w:szCs w:val="20"/>
          <w:lang w:eastAsia="en-GB"/>
        </w:rPr>
        <w:t xml:space="preserve"> </w:t>
      </w:r>
      <w:r w:rsidRPr="00C06ADE">
        <w:rPr>
          <w:rFonts w:ascii="Times New Roman" w:eastAsia="Times New Roman" w:hAnsi="Times New Roman" w:cs="Times New Roman"/>
          <w:sz w:val="24"/>
          <w:szCs w:val="20"/>
          <w:lang w:eastAsia="en-GB"/>
        </w:rPr>
        <w:t xml:space="preserve">injuries compensation. Br J </w:t>
      </w:r>
      <w:proofErr w:type="spellStart"/>
      <w:r w:rsidRPr="00C06ADE">
        <w:rPr>
          <w:rFonts w:ascii="Times New Roman" w:eastAsia="Times New Roman" w:hAnsi="Times New Roman" w:cs="Times New Roman"/>
          <w:sz w:val="24"/>
          <w:szCs w:val="20"/>
          <w:lang w:eastAsia="en-GB"/>
        </w:rPr>
        <w:t>Ind</w:t>
      </w:r>
      <w:proofErr w:type="spellEnd"/>
      <w:r w:rsidRPr="00C06ADE">
        <w:rPr>
          <w:rFonts w:ascii="Times New Roman" w:eastAsia="Times New Roman" w:hAnsi="Times New Roman" w:cs="Times New Roman"/>
          <w:sz w:val="24"/>
          <w:szCs w:val="20"/>
          <w:lang w:eastAsia="en-GB"/>
        </w:rPr>
        <w:t xml:space="preserve"> Med 1991</w:t>
      </w:r>
      <w:proofErr w:type="gramStart"/>
      <w:r w:rsidRPr="00C06ADE">
        <w:rPr>
          <w:rFonts w:ascii="Times New Roman" w:eastAsia="Times New Roman" w:hAnsi="Times New Roman" w:cs="Times New Roman"/>
          <w:sz w:val="24"/>
          <w:szCs w:val="20"/>
          <w:lang w:eastAsia="en-GB"/>
        </w:rPr>
        <w:t>;48:577</w:t>
      </w:r>
      <w:proofErr w:type="gramEnd"/>
      <w:r w:rsidRPr="00C06ADE">
        <w:rPr>
          <w:rFonts w:ascii="Times New Roman" w:eastAsia="Times New Roman" w:hAnsi="Times New Roman" w:cs="Times New Roman"/>
          <w:sz w:val="24"/>
          <w:szCs w:val="20"/>
          <w:lang w:eastAsia="en-GB"/>
        </w:rPr>
        <w:t>–578.</w:t>
      </w:r>
    </w:p>
    <w:p w:rsidR="00C32202" w:rsidRPr="00C06ADE" w:rsidRDefault="00C32202" w:rsidP="00C06ADE">
      <w:pPr>
        <w:pStyle w:val="ListParagraph"/>
        <w:numPr>
          <w:ilvl w:val="0"/>
          <w:numId w:val="1"/>
        </w:numPr>
        <w:ind w:left="714" w:hanging="357"/>
        <w:jc w:val="both"/>
        <w:rPr>
          <w:rFonts w:ascii="Times New Roman" w:eastAsia="Times New Roman" w:hAnsi="Times New Roman" w:cs="Times New Roman"/>
          <w:sz w:val="24"/>
          <w:szCs w:val="20"/>
          <w:lang w:eastAsia="en-GB"/>
        </w:rPr>
      </w:pPr>
      <w:r w:rsidRPr="00C06ADE">
        <w:rPr>
          <w:rFonts w:ascii="Times New Roman" w:eastAsia="Times New Roman" w:hAnsi="Times New Roman" w:cs="Times New Roman"/>
          <w:sz w:val="24"/>
          <w:szCs w:val="20"/>
          <w:lang w:eastAsia="en-GB"/>
        </w:rPr>
        <w:t xml:space="preserve">Palmer KT, Griffin MJ, </w:t>
      </w:r>
      <w:proofErr w:type="spellStart"/>
      <w:r w:rsidRPr="00C06ADE">
        <w:rPr>
          <w:rFonts w:ascii="Times New Roman" w:eastAsia="Times New Roman" w:hAnsi="Times New Roman" w:cs="Times New Roman"/>
          <w:sz w:val="24"/>
          <w:szCs w:val="20"/>
          <w:lang w:eastAsia="en-GB"/>
        </w:rPr>
        <w:t>Bendall</w:t>
      </w:r>
      <w:proofErr w:type="spellEnd"/>
      <w:r w:rsidRPr="00C06ADE">
        <w:rPr>
          <w:rFonts w:ascii="Times New Roman" w:eastAsia="Times New Roman" w:hAnsi="Times New Roman" w:cs="Times New Roman"/>
          <w:sz w:val="24"/>
          <w:szCs w:val="20"/>
          <w:lang w:eastAsia="en-GB"/>
        </w:rPr>
        <w:t xml:space="preserve"> H, </w:t>
      </w:r>
      <w:proofErr w:type="spellStart"/>
      <w:r w:rsidRPr="00C06ADE">
        <w:rPr>
          <w:rFonts w:ascii="Times New Roman" w:eastAsia="Times New Roman" w:hAnsi="Times New Roman" w:cs="Times New Roman"/>
          <w:sz w:val="24"/>
          <w:szCs w:val="20"/>
          <w:lang w:eastAsia="en-GB"/>
        </w:rPr>
        <w:t>Pannett</w:t>
      </w:r>
      <w:proofErr w:type="spellEnd"/>
      <w:r w:rsidRPr="00C06ADE">
        <w:rPr>
          <w:rFonts w:ascii="Times New Roman" w:eastAsia="Times New Roman" w:hAnsi="Times New Roman" w:cs="Times New Roman"/>
          <w:sz w:val="24"/>
          <w:szCs w:val="20"/>
          <w:lang w:eastAsia="en-GB"/>
        </w:rPr>
        <w:t xml:space="preserve"> B, Coggon D.  Prevalence and pattern of occupational exposure to hand-transmitted vibration in Great Britain: findings from a national survey.  </w:t>
      </w:r>
      <w:proofErr w:type="spellStart"/>
      <w:r w:rsidRPr="00C06ADE">
        <w:rPr>
          <w:rFonts w:ascii="Times New Roman" w:eastAsia="Times New Roman" w:hAnsi="Times New Roman" w:cs="Times New Roman"/>
          <w:sz w:val="24"/>
          <w:szCs w:val="20"/>
          <w:lang w:eastAsia="en-GB"/>
        </w:rPr>
        <w:t>Occup</w:t>
      </w:r>
      <w:proofErr w:type="spellEnd"/>
      <w:r w:rsidRPr="00C06ADE">
        <w:rPr>
          <w:rFonts w:ascii="Times New Roman" w:eastAsia="Times New Roman" w:hAnsi="Times New Roman" w:cs="Times New Roman"/>
          <w:sz w:val="24"/>
          <w:szCs w:val="20"/>
          <w:lang w:eastAsia="en-GB"/>
        </w:rPr>
        <w:t xml:space="preserve"> Environ Med 2000; 57:218-28.  </w:t>
      </w:r>
    </w:p>
    <w:p w:rsidR="00C32202" w:rsidRDefault="00C32202" w:rsidP="00C32202">
      <w:pPr>
        <w:numPr>
          <w:ilvl w:val="0"/>
          <w:numId w:val="1"/>
        </w:numPr>
        <w:ind w:left="714" w:hanging="357"/>
        <w:jc w:val="both"/>
        <w:rPr>
          <w:rFonts w:ascii="Times New Roman" w:eastAsia="Times New Roman" w:hAnsi="Times New Roman" w:cs="Times New Roman"/>
          <w:sz w:val="24"/>
          <w:szCs w:val="20"/>
          <w:lang w:eastAsia="en-GB"/>
        </w:rPr>
      </w:pPr>
      <w:r w:rsidRPr="00C32202">
        <w:rPr>
          <w:rFonts w:ascii="Times New Roman" w:eastAsia="Times New Roman" w:hAnsi="Times New Roman" w:cs="Times New Roman"/>
          <w:sz w:val="24"/>
          <w:szCs w:val="20"/>
          <w:lang w:eastAsia="en-GB"/>
        </w:rPr>
        <w:t xml:space="preserve">Palmer KT, Coggon DN, </w:t>
      </w:r>
      <w:proofErr w:type="spellStart"/>
      <w:r w:rsidRPr="00C32202">
        <w:rPr>
          <w:rFonts w:ascii="Times New Roman" w:eastAsia="Times New Roman" w:hAnsi="Times New Roman" w:cs="Times New Roman"/>
          <w:sz w:val="24"/>
          <w:szCs w:val="20"/>
          <w:lang w:eastAsia="en-GB"/>
        </w:rPr>
        <w:t>Bendall</w:t>
      </w:r>
      <w:proofErr w:type="spellEnd"/>
      <w:r w:rsidRPr="00C32202">
        <w:rPr>
          <w:rFonts w:ascii="Times New Roman" w:eastAsia="Times New Roman" w:hAnsi="Times New Roman" w:cs="Times New Roman"/>
          <w:sz w:val="24"/>
          <w:szCs w:val="20"/>
          <w:lang w:eastAsia="en-GB"/>
        </w:rPr>
        <w:t xml:space="preserve"> HE, </w:t>
      </w:r>
      <w:proofErr w:type="spellStart"/>
      <w:r w:rsidRPr="00C32202">
        <w:rPr>
          <w:rFonts w:ascii="Times New Roman" w:eastAsia="Times New Roman" w:hAnsi="Times New Roman" w:cs="Times New Roman"/>
          <w:sz w:val="24"/>
          <w:szCs w:val="20"/>
          <w:lang w:eastAsia="en-GB"/>
        </w:rPr>
        <w:t>Kellingray</w:t>
      </w:r>
      <w:proofErr w:type="spellEnd"/>
      <w:r w:rsidRPr="00C32202">
        <w:rPr>
          <w:rFonts w:ascii="Times New Roman" w:eastAsia="Times New Roman" w:hAnsi="Times New Roman" w:cs="Times New Roman"/>
          <w:sz w:val="24"/>
          <w:szCs w:val="20"/>
          <w:lang w:eastAsia="en-GB"/>
        </w:rPr>
        <w:t xml:space="preserve"> S, </w:t>
      </w:r>
      <w:proofErr w:type="spellStart"/>
      <w:r w:rsidRPr="00C32202">
        <w:rPr>
          <w:rFonts w:ascii="Times New Roman" w:eastAsia="Times New Roman" w:hAnsi="Times New Roman" w:cs="Times New Roman"/>
          <w:sz w:val="24"/>
          <w:szCs w:val="20"/>
          <w:lang w:eastAsia="en-GB"/>
        </w:rPr>
        <w:t>Pannett</w:t>
      </w:r>
      <w:proofErr w:type="spellEnd"/>
      <w:r w:rsidRPr="00C32202">
        <w:rPr>
          <w:rFonts w:ascii="Times New Roman" w:eastAsia="Times New Roman" w:hAnsi="Times New Roman" w:cs="Times New Roman"/>
          <w:sz w:val="24"/>
          <w:szCs w:val="20"/>
          <w:lang w:eastAsia="en-GB"/>
        </w:rPr>
        <w:t xml:space="preserve"> B, Griffin M, </w:t>
      </w:r>
      <w:proofErr w:type="spellStart"/>
      <w:r w:rsidRPr="00C32202">
        <w:rPr>
          <w:rFonts w:ascii="Times New Roman" w:eastAsia="Times New Roman" w:hAnsi="Times New Roman" w:cs="Times New Roman"/>
          <w:sz w:val="24"/>
          <w:szCs w:val="20"/>
          <w:lang w:eastAsia="en-GB"/>
        </w:rPr>
        <w:t>Haward</w:t>
      </w:r>
      <w:proofErr w:type="spellEnd"/>
      <w:r w:rsidRPr="00C32202">
        <w:rPr>
          <w:rFonts w:ascii="Times New Roman" w:eastAsia="Times New Roman" w:hAnsi="Times New Roman" w:cs="Times New Roman"/>
          <w:sz w:val="24"/>
          <w:szCs w:val="20"/>
          <w:lang w:eastAsia="en-GB"/>
        </w:rPr>
        <w:t xml:space="preserve"> B.  Hand-transmitted vibration: Occupational exposures and their health effects in Great Britain.  HSE Contract Research Report 232/1999, Sudbury, HSE Books, 1999.</w:t>
      </w:r>
    </w:p>
    <w:p w:rsidR="00C32202" w:rsidRPr="00C32202" w:rsidRDefault="00C32202" w:rsidP="00C32202">
      <w:pPr>
        <w:numPr>
          <w:ilvl w:val="0"/>
          <w:numId w:val="1"/>
        </w:numPr>
        <w:ind w:left="714" w:hanging="357"/>
        <w:jc w:val="both"/>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Palmer K, Coggon D, Griffin M, </w:t>
      </w:r>
      <w:proofErr w:type="spellStart"/>
      <w:r>
        <w:rPr>
          <w:rFonts w:ascii="Times New Roman" w:eastAsia="Times New Roman" w:hAnsi="Times New Roman" w:cs="Times New Roman"/>
          <w:sz w:val="24"/>
          <w:szCs w:val="20"/>
          <w:lang w:eastAsia="en-GB"/>
        </w:rPr>
        <w:t>Pannett</w:t>
      </w:r>
      <w:proofErr w:type="spellEnd"/>
      <w:r w:rsidRPr="00C32202">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B.</w:t>
      </w:r>
      <w:r w:rsidRPr="00C32202">
        <w:rPr>
          <w:rFonts w:ascii="Times New Roman" w:eastAsia="Times New Roman" w:hAnsi="Times New Roman" w:cs="Times New Roman"/>
          <w:sz w:val="24"/>
          <w:szCs w:val="20"/>
          <w:lang w:eastAsia="en-GB"/>
        </w:rPr>
        <w:t xml:space="preserve"> The development of a self-administered questionnaire to assess exposures to hand-transmitted and whole body vibration and their health effects. </w:t>
      </w:r>
      <w:r>
        <w:rPr>
          <w:rFonts w:ascii="Times New Roman" w:eastAsia="Times New Roman" w:hAnsi="Times New Roman" w:cs="Times New Roman"/>
          <w:sz w:val="24"/>
          <w:szCs w:val="20"/>
          <w:lang w:eastAsia="en-GB"/>
        </w:rPr>
        <w:t>J</w:t>
      </w:r>
      <w:r w:rsidRPr="00C32202">
        <w:rPr>
          <w:rFonts w:ascii="Times New Roman" w:eastAsia="Times New Roman" w:hAnsi="Times New Roman" w:cs="Times New Roman"/>
          <w:sz w:val="24"/>
          <w:szCs w:val="20"/>
          <w:lang w:eastAsia="en-GB"/>
        </w:rPr>
        <w:t xml:space="preserve"> Sound </w:t>
      </w:r>
      <w:proofErr w:type="spellStart"/>
      <w:r>
        <w:rPr>
          <w:rFonts w:ascii="Times New Roman" w:eastAsia="Times New Roman" w:hAnsi="Times New Roman" w:cs="Times New Roman"/>
          <w:sz w:val="24"/>
          <w:szCs w:val="20"/>
          <w:lang w:eastAsia="en-GB"/>
        </w:rPr>
        <w:t>Vib</w:t>
      </w:r>
      <w:proofErr w:type="spellEnd"/>
      <w:r w:rsidRPr="00C32202">
        <w:rPr>
          <w:rFonts w:ascii="Times New Roman" w:eastAsia="Times New Roman" w:hAnsi="Times New Roman" w:cs="Times New Roman"/>
          <w:sz w:val="24"/>
          <w:szCs w:val="20"/>
          <w:lang w:eastAsia="en-GB"/>
        </w:rPr>
        <w:t xml:space="preserve"> 1998; 215: 653-86.</w:t>
      </w:r>
    </w:p>
    <w:p w:rsidR="00474E2F" w:rsidRDefault="004F22E4" w:rsidP="00C32202">
      <w:pPr>
        <w:pStyle w:val="ListParagraph"/>
        <w:numPr>
          <w:ilvl w:val="0"/>
          <w:numId w:val="1"/>
        </w:numPr>
        <w:ind w:left="714" w:hanging="357"/>
        <w:jc w:val="both"/>
        <w:rPr>
          <w:rFonts w:ascii="Times New Roman" w:eastAsia="Times New Roman" w:hAnsi="Times New Roman" w:cs="Times New Roman"/>
          <w:sz w:val="24"/>
          <w:szCs w:val="20"/>
          <w:lang w:eastAsia="en-GB"/>
        </w:rPr>
      </w:pPr>
      <w:proofErr w:type="spellStart"/>
      <w:r>
        <w:rPr>
          <w:rFonts w:ascii="Times New Roman" w:eastAsia="Times New Roman" w:hAnsi="Times New Roman" w:cs="Times New Roman"/>
          <w:sz w:val="24"/>
          <w:szCs w:val="20"/>
          <w:lang w:eastAsia="en-GB"/>
        </w:rPr>
        <w:t>Padda</w:t>
      </w:r>
      <w:r w:rsidR="00474E2F" w:rsidRPr="00474E2F">
        <w:rPr>
          <w:rFonts w:ascii="Times New Roman" w:eastAsia="Times New Roman" w:hAnsi="Times New Roman" w:cs="Times New Roman"/>
          <w:sz w:val="24"/>
          <w:szCs w:val="20"/>
          <w:lang w:eastAsia="en-GB"/>
        </w:rPr>
        <w:t>n</w:t>
      </w:r>
      <w:proofErr w:type="spellEnd"/>
      <w:r w:rsidR="00474E2F" w:rsidRPr="00474E2F">
        <w:rPr>
          <w:rFonts w:ascii="Times New Roman" w:eastAsia="Times New Roman" w:hAnsi="Times New Roman" w:cs="Times New Roman"/>
          <w:sz w:val="24"/>
          <w:szCs w:val="20"/>
          <w:lang w:eastAsia="en-GB"/>
        </w:rPr>
        <w:t xml:space="preserve"> GS, </w:t>
      </w:r>
      <w:proofErr w:type="spellStart"/>
      <w:r w:rsidR="00474E2F" w:rsidRPr="00474E2F">
        <w:rPr>
          <w:rFonts w:ascii="Times New Roman" w:eastAsia="Times New Roman" w:hAnsi="Times New Roman" w:cs="Times New Roman"/>
          <w:sz w:val="24"/>
          <w:szCs w:val="20"/>
          <w:lang w:eastAsia="en-GB"/>
        </w:rPr>
        <w:t>Haward</w:t>
      </w:r>
      <w:proofErr w:type="spellEnd"/>
      <w:r w:rsidR="00474E2F" w:rsidRPr="00474E2F">
        <w:rPr>
          <w:rFonts w:ascii="Times New Roman" w:eastAsia="Times New Roman" w:hAnsi="Times New Roman" w:cs="Times New Roman"/>
          <w:sz w:val="24"/>
          <w:szCs w:val="20"/>
          <w:lang w:eastAsia="en-GB"/>
        </w:rPr>
        <w:t xml:space="preserve"> BM, Griffin MJ, Palmer KT.  Hand-transmitted vibration: Evaluation of some common occupational sources of exposure in Great Britain.  HSE Contract Research Report 234/1999, Sudbury, HSE Books, 1999.</w:t>
      </w:r>
    </w:p>
    <w:p w:rsidR="00C32202" w:rsidRPr="00F04D49" w:rsidRDefault="00F04D49" w:rsidP="00F04D49">
      <w:pPr>
        <w:pStyle w:val="ListParagraph"/>
        <w:numPr>
          <w:ilvl w:val="0"/>
          <w:numId w:val="1"/>
        </w:numPr>
        <w:ind w:left="714" w:hanging="357"/>
        <w:jc w:val="both"/>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Health and Safety Executive. </w:t>
      </w:r>
      <w:r w:rsidRPr="00F04D49">
        <w:rPr>
          <w:rFonts w:ascii="Times New Roman" w:eastAsia="Times New Roman" w:hAnsi="Times New Roman" w:cs="Times New Roman"/>
          <w:sz w:val="24"/>
          <w:szCs w:val="20"/>
          <w:lang w:eastAsia="en-GB"/>
        </w:rPr>
        <w:t>Health surveillance for Hand-arm vibration syndrome</w:t>
      </w:r>
      <w:r>
        <w:rPr>
          <w:rFonts w:ascii="Times New Roman" w:eastAsia="Times New Roman" w:hAnsi="Times New Roman" w:cs="Times New Roman"/>
          <w:sz w:val="24"/>
          <w:szCs w:val="20"/>
          <w:lang w:eastAsia="en-GB"/>
        </w:rPr>
        <w:t>.</w:t>
      </w:r>
      <w:r w:rsidRPr="00F04D49">
        <w:rPr>
          <w:rFonts w:ascii="Times New Roman" w:eastAsia="Times New Roman" w:hAnsi="Times New Roman" w:cs="Times New Roman"/>
          <w:sz w:val="24"/>
          <w:szCs w:val="20"/>
          <w:lang w:eastAsia="en-GB"/>
        </w:rPr>
        <w:t xml:space="preserve"> </w:t>
      </w:r>
      <w:r w:rsidR="00C32202" w:rsidRPr="00F04D49">
        <w:rPr>
          <w:rFonts w:ascii="Times New Roman" w:eastAsia="Times New Roman" w:hAnsi="Times New Roman" w:cs="Times New Roman"/>
          <w:sz w:val="24"/>
          <w:szCs w:val="20"/>
          <w:highlight w:val="yellow"/>
          <w:lang w:eastAsia="en-GB"/>
        </w:rPr>
        <w:t xml:space="preserve"> </w:t>
      </w:r>
      <w:hyperlink r:id="rId11" w:history="1">
        <w:r w:rsidRPr="00C979F6">
          <w:rPr>
            <w:rStyle w:val="Hyperlink"/>
            <w:rFonts w:ascii="Times New Roman" w:eastAsia="Times New Roman" w:hAnsi="Times New Roman" w:cs="Times New Roman"/>
            <w:sz w:val="24"/>
            <w:szCs w:val="20"/>
            <w:lang w:eastAsia="en-GB"/>
          </w:rPr>
          <w:t>http://www.hse.gov.uk/vibration/hav/advicetoemployers/havsemployers.pdf</w:t>
        </w:r>
      </w:hyperlink>
      <w:r>
        <w:rPr>
          <w:rFonts w:ascii="Times New Roman" w:eastAsia="Times New Roman" w:hAnsi="Times New Roman" w:cs="Times New Roman"/>
          <w:sz w:val="24"/>
          <w:szCs w:val="20"/>
          <w:lang w:eastAsia="en-GB"/>
        </w:rPr>
        <w:t xml:space="preserve"> (accessed 19/08/2013)</w:t>
      </w:r>
    </w:p>
    <w:p w:rsidR="00C32202" w:rsidRPr="00C32202" w:rsidRDefault="00C32202" w:rsidP="00C32202">
      <w:pPr>
        <w:pStyle w:val="ListParagraph"/>
        <w:numPr>
          <w:ilvl w:val="0"/>
          <w:numId w:val="1"/>
        </w:numPr>
        <w:ind w:left="714" w:hanging="357"/>
        <w:jc w:val="both"/>
        <w:rPr>
          <w:rFonts w:ascii="Times New Roman" w:eastAsia="Times New Roman" w:hAnsi="Times New Roman" w:cs="Times New Roman"/>
          <w:sz w:val="24"/>
          <w:szCs w:val="20"/>
          <w:lang w:eastAsia="en-GB"/>
        </w:rPr>
      </w:pPr>
      <w:r w:rsidRPr="00217074">
        <w:rPr>
          <w:rFonts w:ascii="Times New Roman" w:eastAsia="Times New Roman" w:hAnsi="Times New Roman" w:cs="Times New Roman"/>
          <w:sz w:val="24"/>
          <w:szCs w:val="20"/>
          <w:lang w:eastAsia="en-GB"/>
        </w:rPr>
        <w:t xml:space="preserve">Palmer KT, </w:t>
      </w:r>
      <w:proofErr w:type="spellStart"/>
      <w:r w:rsidRPr="00217074">
        <w:rPr>
          <w:rFonts w:ascii="Times New Roman" w:eastAsia="Times New Roman" w:hAnsi="Times New Roman" w:cs="Times New Roman"/>
          <w:sz w:val="24"/>
          <w:szCs w:val="20"/>
          <w:lang w:eastAsia="en-GB"/>
        </w:rPr>
        <w:t>Haward</w:t>
      </w:r>
      <w:proofErr w:type="spellEnd"/>
      <w:r w:rsidRPr="00217074">
        <w:rPr>
          <w:rFonts w:ascii="Times New Roman" w:eastAsia="Times New Roman" w:hAnsi="Times New Roman" w:cs="Times New Roman"/>
          <w:sz w:val="24"/>
          <w:szCs w:val="20"/>
          <w:lang w:eastAsia="en-GB"/>
        </w:rPr>
        <w:t xml:space="preserve"> B, Griffin MJ, </w:t>
      </w:r>
      <w:proofErr w:type="spellStart"/>
      <w:r w:rsidRPr="00217074">
        <w:rPr>
          <w:rFonts w:ascii="Times New Roman" w:eastAsia="Times New Roman" w:hAnsi="Times New Roman" w:cs="Times New Roman"/>
          <w:sz w:val="24"/>
          <w:szCs w:val="20"/>
          <w:lang w:eastAsia="en-GB"/>
        </w:rPr>
        <w:t>Bendall</w:t>
      </w:r>
      <w:proofErr w:type="spellEnd"/>
      <w:r w:rsidRPr="00217074">
        <w:rPr>
          <w:rFonts w:ascii="Times New Roman" w:eastAsia="Times New Roman" w:hAnsi="Times New Roman" w:cs="Times New Roman"/>
          <w:sz w:val="24"/>
          <w:szCs w:val="20"/>
          <w:lang w:eastAsia="en-GB"/>
        </w:rPr>
        <w:t xml:space="preserve"> H</w:t>
      </w:r>
      <w:r w:rsidRPr="00C32202">
        <w:rPr>
          <w:rFonts w:ascii="Times New Roman" w:eastAsia="Times New Roman" w:hAnsi="Times New Roman" w:cs="Times New Roman"/>
          <w:sz w:val="24"/>
          <w:szCs w:val="20"/>
          <w:lang w:eastAsia="en-GB"/>
        </w:rPr>
        <w:t xml:space="preserve">, Coggon D.  Validity of self-reported occupational exposures to hand-transmitted and whole-body vibration. </w:t>
      </w:r>
      <w:proofErr w:type="spellStart"/>
      <w:r>
        <w:rPr>
          <w:rFonts w:ascii="Times New Roman" w:eastAsia="Times New Roman" w:hAnsi="Times New Roman" w:cs="Times New Roman"/>
          <w:sz w:val="24"/>
          <w:szCs w:val="20"/>
          <w:lang w:eastAsia="en-GB"/>
        </w:rPr>
        <w:t>Occup</w:t>
      </w:r>
      <w:proofErr w:type="spellEnd"/>
      <w:r>
        <w:rPr>
          <w:rFonts w:ascii="Times New Roman" w:eastAsia="Times New Roman" w:hAnsi="Times New Roman" w:cs="Times New Roman"/>
          <w:sz w:val="24"/>
          <w:szCs w:val="20"/>
          <w:lang w:eastAsia="en-GB"/>
        </w:rPr>
        <w:t xml:space="preserve"> Environ Med</w:t>
      </w:r>
      <w:r w:rsidRPr="00C32202">
        <w:rPr>
          <w:rFonts w:ascii="Times New Roman" w:eastAsia="Times New Roman" w:hAnsi="Times New Roman" w:cs="Times New Roman"/>
          <w:sz w:val="24"/>
          <w:szCs w:val="20"/>
          <w:lang w:eastAsia="en-GB"/>
        </w:rPr>
        <w:t xml:space="preserve"> 2000</w:t>
      </w:r>
      <w:proofErr w:type="gramStart"/>
      <w:r w:rsidRPr="00C32202">
        <w:rPr>
          <w:rFonts w:ascii="Times New Roman" w:eastAsia="Times New Roman" w:hAnsi="Times New Roman" w:cs="Times New Roman"/>
          <w:sz w:val="24"/>
          <w:szCs w:val="20"/>
          <w:lang w:eastAsia="en-GB"/>
        </w:rPr>
        <w:t>;57:237</w:t>
      </w:r>
      <w:proofErr w:type="gramEnd"/>
      <w:r w:rsidRPr="00C32202">
        <w:rPr>
          <w:rFonts w:ascii="Times New Roman" w:eastAsia="Times New Roman" w:hAnsi="Times New Roman" w:cs="Times New Roman"/>
          <w:sz w:val="24"/>
          <w:szCs w:val="20"/>
          <w:lang w:eastAsia="en-GB"/>
        </w:rPr>
        <w:t xml:space="preserve">-41. </w:t>
      </w:r>
    </w:p>
    <w:p w:rsidR="00C32202" w:rsidRDefault="004D3351" w:rsidP="00C32202">
      <w:pPr>
        <w:pStyle w:val="ListParagraph"/>
        <w:numPr>
          <w:ilvl w:val="0"/>
          <w:numId w:val="1"/>
        </w:numPr>
        <w:ind w:left="714" w:hanging="357"/>
        <w:jc w:val="both"/>
        <w:rPr>
          <w:rFonts w:ascii="Times New Roman" w:eastAsia="Times New Roman" w:hAnsi="Times New Roman" w:cs="Times New Roman"/>
          <w:sz w:val="24"/>
          <w:szCs w:val="20"/>
          <w:lang w:eastAsia="en-GB"/>
        </w:rPr>
      </w:pPr>
      <w:proofErr w:type="spellStart"/>
      <w:r w:rsidRPr="004D3351">
        <w:rPr>
          <w:rFonts w:ascii="Times New Roman" w:eastAsia="Times New Roman" w:hAnsi="Times New Roman" w:cs="Times New Roman"/>
          <w:sz w:val="24"/>
          <w:szCs w:val="20"/>
          <w:lang w:eastAsia="en-GB"/>
        </w:rPr>
        <w:t>Bovenzi</w:t>
      </w:r>
      <w:proofErr w:type="spellEnd"/>
      <w:r w:rsidRPr="004D3351">
        <w:rPr>
          <w:rFonts w:ascii="Times New Roman" w:eastAsia="Times New Roman" w:hAnsi="Times New Roman" w:cs="Times New Roman"/>
          <w:sz w:val="24"/>
          <w:szCs w:val="20"/>
          <w:lang w:eastAsia="en-GB"/>
        </w:rPr>
        <w:t xml:space="preserve"> M. Hand-arm vibration syndrome and dose-response relation for vibration induced white finger among quarry drillers and </w:t>
      </w:r>
      <w:proofErr w:type="spellStart"/>
      <w:r w:rsidRPr="004D3351">
        <w:rPr>
          <w:rFonts w:ascii="Times New Roman" w:eastAsia="Times New Roman" w:hAnsi="Times New Roman" w:cs="Times New Roman"/>
          <w:sz w:val="24"/>
          <w:szCs w:val="20"/>
          <w:lang w:eastAsia="en-GB"/>
        </w:rPr>
        <w:t>stonecarvers</w:t>
      </w:r>
      <w:proofErr w:type="spellEnd"/>
      <w:r w:rsidRPr="004D3351">
        <w:rPr>
          <w:rFonts w:ascii="Times New Roman" w:eastAsia="Times New Roman" w:hAnsi="Times New Roman" w:cs="Times New Roman"/>
          <w:sz w:val="24"/>
          <w:szCs w:val="20"/>
          <w:lang w:eastAsia="en-GB"/>
        </w:rPr>
        <w:t xml:space="preserve">.  </w:t>
      </w:r>
      <w:proofErr w:type="spellStart"/>
      <w:r w:rsidRPr="004D3351">
        <w:rPr>
          <w:rFonts w:ascii="Times New Roman" w:eastAsia="Times New Roman" w:hAnsi="Times New Roman" w:cs="Times New Roman"/>
          <w:sz w:val="24"/>
          <w:szCs w:val="20"/>
          <w:lang w:eastAsia="en-GB"/>
        </w:rPr>
        <w:t>Occup</w:t>
      </w:r>
      <w:proofErr w:type="spellEnd"/>
      <w:r w:rsidRPr="004D3351">
        <w:rPr>
          <w:rFonts w:ascii="Times New Roman" w:eastAsia="Times New Roman" w:hAnsi="Times New Roman" w:cs="Times New Roman"/>
          <w:sz w:val="24"/>
          <w:szCs w:val="20"/>
          <w:lang w:eastAsia="en-GB"/>
        </w:rPr>
        <w:t xml:space="preserve"> Environ Med 1994; 51:603-6.</w:t>
      </w:r>
    </w:p>
    <w:p w:rsidR="004D3351" w:rsidRDefault="004D3351" w:rsidP="00C32202">
      <w:pPr>
        <w:pStyle w:val="ListParagraph"/>
        <w:numPr>
          <w:ilvl w:val="0"/>
          <w:numId w:val="1"/>
        </w:numPr>
        <w:ind w:left="714" w:hanging="357"/>
        <w:jc w:val="both"/>
        <w:rPr>
          <w:rFonts w:ascii="Times New Roman" w:eastAsia="Times New Roman" w:hAnsi="Times New Roman" w:cs="Times New Roman"/>
          <w:sz w:val="24"/>
          <w:szCs w:val="20"/>
          <w:lang w:eastAsia="en-GB"/>
        </w:rPr>
      </w:pPr>
      <w:proofErr w:type="spellStart"/>
      <w:r w:rsidRPr="004D3351">
        <w:rPr>
          <w:rFonts w:ascii="Times New Roman" w:eastAsia="Times New Roman" w:hAnsi="Times New Roman" w:cs="Times New Roman"/>
          <w:sz w:val="24"/>
          <w:szCs w:val="20"/>
          <w:lang w:eastAsia="en-GB"/>
        </w:rPr>
        <w:lastRenderedPageBreak/>
        <w:t>Descatha</w:t>
      </w:r>
      <w:proofErr w:type="spellEnd"/>
      <w:r w:rsidRPr="004D3351">
        <w:rPr>
          <w:rFonts w:ascii="Times New Roman" w:eastAsia="Times New Roman" w:hAnsi="Times New Roman" w:cs="Times New Roman"/>
          <w:sz w:val="24"/>
          <w:szCs w:val="20"/>
          <w:lang w:eastAsia="en-GB"/>
        </w:rPr>
        <w:t xml:space="preserve"> et al. Heavy manual work, exposure to vibration and </w:t>
      </w:r>
      <w:proofErr w:type="spellStart"/>
      <w:r w:rsidRPr="004D3351">
        <w:rPr>
          <w:rFonts w:ascii="Times New Roman" w:eastAsia="Times New Roman" w:hAnsi="Times New Roman" w:cs="Times New Roman"/>
          <w:sz w:val="24"/>
          <w:szCs w:val="20"/>
          <w:lang w:eastAsia="en-GB"/>
        </w:rPr>
        <w:t>Dupuytren's</w:t>
      </w:r>
      <w:proofErr w:type="spellEnd"/>
      <w:r w:rsidRPr="004D3351">
        <w:rPr>
          <w:rFonts w:ascii="Times New Roman" w:eastAsia="Times New Roman" w:hAnsi="Times New Roman" w:cs="Times New Roman"/>
          <w:sz w:val="24"/>
          <w:szCs w:val="20"/>
          <w:lang w:eastAsia="en-GB"/>
        </w:rPr>
        <w:t xml:space="preserve"> disease? Results of a surveillance program for musculoskeletal disorders. </w:t>
      </w:r>
      <w:proofErr w:type="spellStart"/>
      <w:r>
        <w:rPr>
          <w:rFonts w:ascii="Times New Roman" w:eastAsia="Times New Roman" w:hAnsi="Times New Roman" w:cs="Times New Roman"/>
          <w:sz w:val="24"/>
          <w:szCs w:val="20"/>
          <w:lang w:eastAsia="en-GB"/>
        </w:rPr>
        <w:t>Occup</w:t>
      </w:r>
      <w:proofErr w:type="spellEnd"/>
      <w:r>
        <w:rPr>
          <w:rFonts w:ascii="Times New Roman" w:eastAsia="Times New Roman" w:hAnsi="Times New Roman" w:cs="Times New Roman"/>
          <w:sz w:val="24"/>
          <w:szCs w:val="20"/>
          <w:lang w:eastAsia="en-GB"/>
        </w:rPr>
        <w:t xml:space="preserve"> Environ Med 2012</w:t>
      </w:r>
      <w:proofErr w:type="gramStart"/>
      <w:r>
        <w:rPr>
          <w:rFonts w:ascii="Times New Roman" w:eastAsia="Times New Roman" w:hAnsi="Times New Roman" w:cs="Times New Roman"/>
          <w:sz w:val="24"/>
          <w:szCs w:val="20"/>
          <w:lang w:eastAsia="en-GB"/>
        </w:rPr>
        <w:t>;69:296</w:t>
      </w:r>
      <w:proofErr w:type="gramEnd"/>
      <w:r>
        <w:rPr>
          <w:rFonts w:ascii="Times New Roman" w:eastAsia="Times New Roman" w:hAnsi="Times New Roman" w:cs="Times New Roman"/>
          <w:sz w:val="24"/>
          <w:szCs w:val="20"/>
          <w:lang w:eastAsia="en-GB"/>
        </w:rPr>
        <w:t>-2.</w:t>
      </w:r>
    </w:p>
    <w:p w:rsidR="004D3351" w:rsidRDefault="004D3351" w:rsidP="00C32202">
      <w:pPr>
        <w:pStyle w:val="ListParagraph"/>
        <w:numPr>
          <w:ilvl w:val="0"/>
          <w:numId w:val="1"/>
        </w:numPr>
        <w:ind w:left="714" w:hanging="357"/>
        <w:jc w:val="both"/>
        <w:rPr>
          <w:rFonts w:ascii="Times New Roman" w:eastAsia="Times New Roman" w:hAnsi="Times New Roman" w:cs="Times New Roman"/>
          <w:sz w:val="24"/>
          <w:szCs w:val="20"/>
          <w:lang w:eastAsia="en-GB"/>
        </w:rPr>
      </w:pPr>
      <w:r w:rsidRPr="004D3351">
        <w:rPr>
          <w:rFonts w:ascii="Times New Roman" w:eastAsia="Times New Roman" w:hAnsi="Times New Roman" w:cs="Times New Roman"/>
          <w:sz w:val="24"/>
          <w:szCs w:val="20"/>
          <w:lang w:eastAsia="en-GB"/>
        </w:rPr>
        <w:t xml:space="preserve">Lucas G, </w:t>
      </w:r>
      <w:proofErr w:type="spellStart"/>
      <w:r w:rsidRPr="004D3351">
        <w:rPr>
          <w:rFonts w:ascii="Times New Roman" w:eastAsia="Times New Roman" w:hAnsi="Times New Roman" w:cs="Times New Roman"/>
          <w:sz w:val="24"/>
          <w:szCs w:val="20"/>
          <w:lang w:eastAsia="en-GB"/>
        </w:rPr>
        <w:t>Brichet</w:t>
      </w:r>
      <w:proofErr w:type="spellEnd"/>
      <w:r w:rsidRPr="004D3351">
        <w:rPr>
          <w:rFonts w:ascii="Times New Roman" w:eastAsia="Times New Roman" w:hAnsi="Times New Roman" w:cs="Times New Roman"/>
          <w:sz w:val="24"/>
          <w:szCs w:val="20"/>
          <w:lang w:eastAsia="en-GB"/>
        </w:rPr>
        <w:t xml:space="preserve"> A, </w:t>
      </w:r>
      <w:proofErr w:type="spellStart"/>
      <w:r w:rsidRPr="004D3351">
        <w:rPr>
          <w:rFonts w:ascii="Times New Roman" w:eastAsia="Times New Roman" w:hAnsi="Times New Roman" w:cs="Times New Roman"/>
          <w:sz w:val="24"/>
          <w:szCs w:val="20"/>
          <w:lang w:eastAsia="en-GB"/>
        </w:rPr>
        <w:t>Roquelaure</w:t>
      </w:r>
      <w:proofErr w:type="spellEnd"/>
      <w:r w:rsidRPr="004D3351">
        <w:rPr>
          <w:rFonts w:ascii="Times New Roman" w:eastAsia="Times New Roman" w:hAnsi="Times New Roman" w:cs="Times New Roman"/>
          <w:sz w:val="24"/>
          <w:szCs w:val="20"/>
          <w:lang w:eastAsia="en-GB"/>
        </w:rPr>
        <w:t xml:space="preserve"> Y, Leclerc A, </w:t>
      </w:r>
      <w:proofErr w:type="spellStart"/>
      <w:r w:rsidRPr="004D3351">
        <w:rPr>
          <w:rFonts w:ascii="Times New Roman" w:eastAsia="Times New Roman" w:hAnsi="Times New Roman" w:cs="Times New Roman"/>
          <w:sz w:val="24"/>
          <w:szCs w:val="20"/>
          <w:lang w:eastAsia="en-GB"/>
        </w:rPr>
        <w:t>Descatha</w:t>
      </w:r>
      <w:proofErr w:type="spellEnd"/>
      <w:r w:rsidRPr="004D3351">
        <w:rPr>
          <w:rFonts w:ascii="Times New Roman" w:eastAsia="Times New Roman" w:hAnsi="Times New Roman" w:cs="Times New Roman"/>
          <w:sz w:val="24"/>
          <w:szCs w:val="20"/>
          <w:lang w:eastAsia="en-GB"/>
        </w:rPr>
        <w:t xml:space="preserve"> A. </w:t>
      </w:r>
      <w:proofErr w:type="spellStart"/>
      <w:r w:rsidRPr="004D3351">
        <w:rPr>
          <w:rFonts w:ascii="Times New Roman" w:eastAsia="Times New Roman" w:hAnsi="Times New Roman" w:cs="Times New Roman"/>
          <w:sz w:val="24"/>
          <w:szCs w:val="20"/>
          <w:lang w:eastAsia="en-GB"/>
        </w:rPr>
        <w:t>Dupuytren's</w:t>
      </w:r>
      <w:proofErr w:type="spellEnd"/>
      <w:r w:rsidRPr="004D3351">
        <w:rPr>
          <w:rFonts w:ascii="Times New Roman" w:eastAsia="Times New Roman" w:hAnsi="Times New Roman" w:cs="Times New Roman"/>
          <w:sz w:val="24"/>
          <w:szCs w:val="20"/>
          <w:lang w:eastAsia="en-GB"/>
        </w:rPr>
        <w:t xml:space="preserve"> disease: Personal factors and occupational exposure.  </w:t>
      </w:r>
      <w:proofErr w:type="gramStart"/>
      <w:r w:rsidRPr="004D3351">
        <w:rPr>
          <w:rFonts w:ascii="Times New Roman" w:eastAsia="Times New Roman" w:hAnsi="Times New Roman" w:cs="Times New Roman"/>
          <w:sz w:val="24"/>
          <w:szCs w:val="20"/>
          <w:lang w:eastAsia="en-GB"/>
        </w:rPr>
        <w:t>Am</w:t>
      </w:r>
      <w:proofErr w:type="gramEnd"/>
      <w:r w:rsidRPr="004D3351">
        <w:rPr>
          <w:rFonts w:ascii="Times New Roman" w:eastAsia="Times New Roman" w:hAnsi="Times New Roman" w:cs="Times New Roman"/>
          <w:sz w:val="24"/>
          <w:szCs w:val="20"/>
          <w:lang w:eastAsia="en-GB"/>
        </w:rPr>
        <w:t xml:space="preserve"> J </w:t>
      </w:r>
      <w:proofErr w:type="spellStart"/>
      <w:r w:rsidRPr="004D3351">
        <w:rPr>
          <w:rFonts w:ascii="Times New Roman" w:eastAsia="Times New Roman" w:hAnsi="Times New Roman" w:cs="Times New Roman"/>
          <w:sz w:val="24"/>
          <w:szCs w:val="20"/>
          <w:lang w:eastAsia="en-GB"/>
        </w:rPr>
        <w:t>Ind</w:t>
      </w:r>
      <w:proofErr w:type="spellEnd"/>
      <w:r w:rsidRPr="004D3351">
        <w:rPr>
          <w:rFonts w:ascii="Times New Roman" w:eastAsia="Times New Roman" w:hAnsi="Times New Roman" w:cs="Times New Roman"/>
          <w:sz w:val="24"/>
          <w:szCs w:val="20"/>
          <w:lang w:eastAsia="en-GB"/>
        </w:rPr>
        <w:t xml:space="preserve"> Med 2008; 51:9-15.</w:t>
      </w:r>
    </w:p>
    <w:p w:rsidR="004D3351" w:rsidRDefault="004D3351" w:rsidP="00C32202">
      <w:pPr>
        <w:pStyle w:val="ListParagraph"/>
        <w:numPr>
          <w:ilvl w:val="0"/>
          <w:numId w:val="1"/>
        </w:numPr>
        <w:ind w:left="714" w:hanging="357"/>
        <w:jc w:val="both"/>
        <w:rPr>
          <w:rFonts w:ascii="Times New Roman" w:eastAsia="Times New Roman" w:hAnsi="Times New Roman" w:cs="Times New Roman"/>
          <w:sz w:val="24"/>
          <w:szCs w:val="20"/>
          <w:lang w:eastAsia="en-GB"/>
        </w:rPr>
      </w:pPr>
      <w:proofErr w:type="spellStart"/>
      <w:r w:rsidRPr="004D3351">
        <w:rPr>
          <w:rFonts w:ascii="Times New Roman" w:eastAsia="Times New Roman" w:hAnsi="Times New Roman" w:cs="Times New Roman"/>
          <w:sz w:val="24"/>
          <w:szCs w:val="20"/>
          <w:lang w:eastAsia="en-GB"/>
        </w:rPr>
        <w:t>Cocco</w:t>
      </w:r>
      <w:proofErr w:type="spellEnd"/>
      <w:r w:rsidRPr="004D3351">
        <w:rPr>
          <w:rFonts w:ascii="Times New Roman" w:eastAsia="Times New Roman" w:hAnsi="Times New Roman" w:cs="Times New Roman"/>
          <w:sz w:val="24"/>
          <w:szCs w:val="20"/>
          <w:lang w:eastAsia="en-GB"/>
        </w:rPr>
        <w:t xml:space="preserve"> Frau P, Rapallo M, </w:t>
      </w:r>
      <w:proofErr w:type="spellStart"/>
      <w:r w:rsidRPr="004D3351">
        <w:rPr>
          <w:rFonts w:ascii="Times New Roman" w:eastAsia="Times New Roman" w:hAnsi="Times New Roman" w:cs="Times New Roman"/>
          <w:sz w:val="24"/>
          <w:szCs w:val="20"/>
          <w:lang w:eastAsia="en-GB"/>
        </w:rPr>
        <w:t>Casula</w:t>
      </w:r>
      <w:proofErr w:type="spellEnd"/>
      <w:r w:rsidRPr="004D3351">
        <w:rPr>
          <w:rFonts w:ascii="Times New Roman" w:eastAsia="Times New Roman" w:hAnsi="Times New Roman" w:cs="Times New Roman"/>
          <w:sz w:val="24"/>
          <w:szCs w:val="20"/>
          <w:lang w:eastAsia="en-GB"/>
        </w:rPr>
        <w:t xml:space="preserve"> D: [Occupational exposure to vibration and </w:t>
      </w:r>
      <w:proofErr w:type="spellStart"/>
      <w:r w:rsidRPr="004D3351">
        <w:rPr>
          <w:rFonts w:ascii="Times New Roman" w:eastAsia="Times New Roman" w:hAnsi="Times New Roman" w:cs="Times New Roman"/>
          <w:sz w:val="24"/>
          <w:szCs w:val="20"/>
          <w:lang w:eastAsia="en-GB"/>
        </w:rPr>
        <w:t>Dupuytren's</w:t>
      </w:r>
      <w:proofErr w:type="spellEnd"/>
      <w:r w:rsidRPr="004D3351">
        <w:rPr>
          <w:rFonts w:ascii="Times New Roman" w:eastAsia="Times New Roman" w:hAnsi="Times New Roman" w:cs="Times New Roman"/>
          <w:sz w:val="24"/>
          <w:szCs w:val="20"/>
          <w:lang w:eastAsia="en-GB"/>
        </w:rPr>
        <w:t xml:space="preserve"> disease: a case-controlled study].  Med </w:t>
      </w:r>
      <w:proofErr w:type="spellStart"/>
      <w:r w:rsidRPr="004D3351">
        <w:rPr>
          <w:rFonts w:ascii="Times New Roman" w:eastAsia="Times New Roman" w:hAnsi="Times New Roman" w:cs="Times New Roman"/>
          <w:sz w:val="24"/>
          <w:szCs w:val="20"/>
          <w:lang w:eastAsia="en-GB"/>
        </w:rPr>
        <w:t>Lav</w:t>
      </w:r>
      <w:proofErr w:type="spellEnd"/>
      <w:r w:rsidRPr="004D3351">
        <w:rPr>
          <w:rFonts w:ascii="Times New Roman" w:eastAsia="Times New Roman" w:hAnsi="Times New Roman" w:cs="Times New Roman"/>
          <w:sz w:val="24"/>
          <w:szCs w:val="20"/>
          <w:lang w:eastAsia="en-GB"/>
        </w:rPr>
        <w:t xml:space="preserve"> 1987; 78:386-392.</w:t>
      </w:r>
    </w:p>
    <w:p w:rsidR="004D3351" w:rsidRDefault="004D3351" w:rsidP="00C32202">
      <w:pPr>
        <w:pStyle w:val="ListParagraph"/>
        <w:numPr>
          <w:ilvl w:val="0"/>
          <w:numId w:val="1"/>
        </w:numPr>
        <w:ind w:left="714" w:hanging="357"/>
        <w:jc w:val="both"/>
        <w:rPr>
          <w:rFonts w:ascii="Times New Roman" w:eastAsia="Times New Roman" w:hAnsi="Times New Roman" w:cs="Times New Roman"/>
          <w:sz w:val="24"/>
          <w:szCs w:val="20"/>
          <w:lang w:eastAsia="en-GB"/>
        </w:rPr>
      </w:pPr>
      <w:r w:rsidRPr="004D3351">
        <w:rPr>
          <w:rFonts w:ascii="Times New Roman" w:eastAsia="Times New Roman" w:hAnsi="Times New Roman" w:cs="Times New Roman"/>
          <w:sz w:val="24"/>
          <w:szCs w:val="20"/>
          <w:lang w:eastAsia="en-GB"/>
        </w:rPr>
        <w:t xml:space="preserve">Thomas PR, Clarke D: Vibration white finger and </w:t>
      </w:r>
      <w:proofErr w:type="spellStart"/>
      <w:r w:rsidRPr="004D3351">
        <w:rPr>
          <w:rFonts w:ascii="Times New Roman" w:eastAsia="Times New Roman" w:hAnsi="Times New Roman" w:cs="Times New Roman"/>
          <w:sz w:val="24"/>
          <w:szCs w:val="20"/>
          <w:lang w:eastAsia="en-GB"/>
        </w:rPr>
        <w:t>Dupuytren's</w:t>
      </w:r>
      <w:proofErr w:type="spellEnd"/>
      <w:r w:rsidRPr="004D3351">
        <w:rPr>
          <w:rFonts w:ascii="Times New Roman" w:eastAsia="Times New Roman" w:hAnsi="Times New Roman" w:cs="Times New Roman"/>
          <w:sz w:val="24"/>
          <w:szCs w:val="20"/>
          <w:lang w:eastAsia="en-GB"/>
        </w:rPr>
        <w:t xml:space="preserve"> contracture: are they related? </w:t>
      </w:r>
      <w:proofErr w:type="spellStart"/>
      <w:r w:rsidRPr="004D3351">
        <w:rPr>
          <w:rFonts w:ascii="Times New Roman" w:eastAsia="Times New Roman" w:hAnsi="Times New Roman" w:cs="Times New Roman"/>
          <w:sz w:val="24"/>
          <w:szCs w:val="20"/>
          <w:lang w:eastAsia="en-GB"/>
        </w:rPr>
        <w:t>Occup</w:t>
      </w:r>
      <w:proofErr w:type="spellEnd"/>
      <w:r w:rsidRPr="004D3351">
        <w:rPr>
          <w:rFonts w:ascii="Times New Roman" w:eastAsia="Times New Roman" w:hAnsi="Times New Roman" w:cs="Times New Roman"/>
          <w:sz w:val="24"/>
          <w:szCs w:val="20"/>
          <w:lang w:eastAsia="en-GB"/>
        </w:rPr>
        <w:t xml:space="preserve"> Med 1992; 42:155-158.</w:t>
      </w:r>
    </w:p>
    <w:p w:rsidR="00D513D2" w:rsidRDefault="004D3351" w:rsidP="00D513D2">
      <w:pPr>
        <w:pStyle w:val="ListParagraph"/>
        <w:numPr>
          <w:ilvl w:val="0"/>
          <w:numId w:val="1"/>
        </w:numPr>
        <w:ind w:left="714" w:hanging="357"/>
        <w:jc w:val="both"/>
        <w:rPr>
          <w:rFonts w:ascii="Times New Roman" w:eastAsia="Times New Roman" w:hAnsi="Times New Roman" w:cs="Times New Roman"/>
          <w:sz w:val="24"/>
          <w:szCs w:val="20"/>
          <w:lang w:eastAsia="en-GB"/>
        </w:rPr>
      </w:pPr>
      <w:r w:rsidRPr="004D3351">
        <w:rPr>
          <w:rFonts w:ascii="Times New Roman" w:eastAsia="Times New Roman" w:hAnsi="Times New Roman" w:cs="Times New Roman"/>
          <w:sz w:val="24"/>
          <w:szCs w:val="20"/>
          <w:lang w:eastAsia="en-GB"/>
        </w:rPr>
        <w:t xml:space="preserve">Burke </w:t>
      </w:r>
      <w:r>
        <w:rPr>
          <w:rFonts w:ascii="Times New Roman" w:eastAsia="Times New Roman" w:hAnsi="Times New Roman" w:cs="Times New Roman"/>
          <w:sz w:val="24"/>
          <w:szCs w:val="20"/>
          <w:lang w:eastAsia="en-GB"/>
        </w:rPr>
        <w:t xml:space="preserve">FD, Proud G, Lawson IJ, </w:t>
      </w:r>
      <w:proofErr w:type="spellStart"/>
      <w:r>
        <w:rPr>
          <w:rFonts w:ascii="Times New Roman" w:eastAsia="Times New Roman" w:hAnsi="Times New Roman" w:cs="Times New Roman"/>
          <w:sz w:val="24"/>
          <w:szCs w:val="20"/>
          <w:lang w:eastAsia="en-GB"/>
        </w:rPr>
        <w:t>McGeoch</w:t>
      </w:r>
      <w:proofErr w:type="spellEnd"/>
      <w:r>
        <w:rPr>
          <w:rFonts w:ascii="Times New Roman" w:eastAsia="Times New Roman" w:hAnsi="Times New Roman" w:cs="Times New Roman"/>
          <w:sz w:val="24"/>
          <w:szCs w:val="20"/>
          <w:lang w:eastAsia="en-GB"/>
        </w:rPr>
        <w:t xml:space="preserve"> KL, Miles JN</w:t>
      </w:r>
      <w:r w:rsidRPr="004D3351">
        <w:rPr>
          <w:rFonts w:ascii="Times New Roman" w:eastAsia="Times New Roman" w:hAnsi="Times New Roman" w:cs="Times New Roman"/>
          <w:sz w:val="24"/>
          <w:szCs w:val="20"/>
          <w:lang w:eastAsia="en-GB"/>
        </w:rPr>
        <w:t xml:space="preserve">. An assessment of the effects of exposure to vibration, smoking, alcohol and diabetes on the prevalence of </w:t>
      </w:r>
      <w:proofErr w:type="spellStart"/>
      <w:r w:rsidRPr="004D3351">
        <w:rPr>
          <w:rFonts w:ascii="Times New Roman" w:eastAsia="Times New Roman" w:hAnsi="Times New Roman" w:cs="Times New Roman"/>
          <w:sz w:val="24"/>
          <w:szCs w:val="20"/>
          <w:lang w:eastAsia="en-GB"/>
        </w:rPr>
        <w:t>Dupuytren's</w:t>
      </w:r>
      <w:proofErr w:type="spellEnd"/>
      <w:r w:rsidRPr="004D3351">
        <w:rPr>
          <w:rFonts w:ascii="Times New Roman" w:eastAsia="Times New Roman" w:hAnsi="Times New Roman" w:cs="Times New Roman"/>
          <w:sz w:val="24"/>
          <w:szCs w:val="20"/>
          <w:lang w:eastAsia="en-GB"/>
        </w:rPr>
        <w:t xml:space="preserve"> disease in 97,537 miners. J Hand </w:t>
      </w:r>
      <w:proofErr w:type="spellStart"/>
      <w:r w:rsidRPr="004D3351">
        <w:rPr>
          <w:rFonts w:ascii="Times New Roman" w:eastAsia="Times New Roman" w:hAnsi="Times New Roman" w:cs="Times New Roman"/>
          <w:sz w:val="24"/>
          <w:szCs w:val="20"/>
          <w:lang w:eastAsia="en-GB"/>
        </w:rPr>
        <w:t>Surg</w:t>
      </w:r>
      <w:proofErr w:type="spellEnd"/>
      <w:r w:rsidRPr="004D3351">
        <w:rPr>
          <w:rFonts w:ascii="Times New Roman" w:eastAsia="Times New Roman" w:hAnsi="Times New Roman" w:cs="Times New Roman"/>
          <w:sz w:val="24"/>
          <w:szCs w:val="20"/>
          <w:lang w:eastAsia="en-GB"/>
        </w:rPr>
        <w:t xml:space="preserve"> </w:t>
      </w:r>
      <w:proofErr w:type="spellStart"/>
      <w:r w:rsidRPr="004D3351">
        <w:rPr>
          <w:rFonts w:ascii="Times New Roman" w:eastAsia="Times New Roman" w:hAnsi="Times New Roman" w:cs="Times New Roman"/>
          <w:sz w:val="24"/>
          <w:szCs w:val="20"/>
          <w:lang w:eastAsia="en-GB"/>
        </w:rPr>
        <w:t>Eur</w:t>
      </w:r>
      <w:proofErr w:type="spellEnd"/>
      <w:r w:rsidRPr="004D3351">
        <w:rPr>
          <w:rFonts w:ascii="Times New Roman" w:eastAsia="Times New Roman" w:hAnsi="Times New Roman" w:cs="Times New Roman"/>
          <w:sz w:val="24"/>
          <w:szCs w:val="20"/>
          <w:lang w:eastAsia="en-GB"/>
        </w:rPr>
        <w:t xml:space="preserve"> </w:t>
      </w:r>
      <w:proofErr w:type="spellStart"/>
      <w:r w:rsidRPr="004D3351">
        <w:rPr>
          <w:rFonts w:ascii="Times New Roman" w:eastAsia="Times New Roman" w:hAnsi="Times New Roman" w:cs="Times New Roman"/>
          <w:sz w:val="24"/>
          <w:szCs w:val="20"/>
          <w:lang w:eastAsia="en-GB"/>
        </w:rPr>
        <w:t>Vol</w:t>
      </w:r>
      <w:proofErr w:type="spellEnd"/>
      <w:r w:rsidRPr="004D3351">
        <w:rPr>
          <w:rFonts w:ascii="Times New Roman" w:eastAsia="Times New Roman" w:hAnsi="Times New Roman" w:cs="Times New Roman"/>
          <w:sz w:val="24"/>
          <w:szCs w:val="20"/>
          <w:lang w:eastAsia="en-GB"/>
        </w:rPr>
        <w:t xml:space="preserve"> 2007; 32:400-406.</w:t>
      </w:r>
    </w:p>
    <w:p w:rsidR="0060012E" w:rsidRPr="00D513D2" w:rsidRDefault="00D513D2" w:rsidP="00D513D2">
      <w:pPr>
        <w:pStyle w:val="ListParagraph"/>
        <w:numPr>
          <w:ilvl w:val="0"/>
          <w:numId w:val="1"/>
        </w:numPr>
        <w:ind w:left="714" w:hanging="357"/>
        <w:jc w:val="both"/>
        <w:rPr>
          <w:rFonts w:ascii="Times New Roman" w:eastAsia="Times New Roman" w:hAnsi="Times New Roman" w:cs="Times New Roman"/>
          <w:sz w:val="24"/>
          <w:szCs w:val="20"/>
          <w:lang w:eastAsia="en-GB"/>
        </w:rPr>
      </w:pPr>
      <w:proofErr w:type="spellStart"/>
      <w:r w:rsidRPr="00D513D2">
        <w:rPr>
          <w:rFonts w:ascii="Times New Roman" w:eastAsia="Times New Roman" w:hAnsi="Times New Roman" w:cs="Times New Roman"/>
          <w:sz w:val="24"/>
          <w:szCs w:val="20"/>
          <w:lang w:eastAsia="en-GB"/>
        </w:rPr>
        <w:t>Checkoway</w:t>
      </w:r>
      <w:proofErr w:type="spellEnd"/>
      <w:r w:rsidRPr="00D513D2">
        <w:rPr>
          <w:rFonts w:ascii="Times New Roman" w:eastAsia="Times New Roman" w:hAnsi="Times New Roman" w:cs="Times New Roman"/>
          <w:sz w:val="24"/>
          <w:szCs w:val="20"/>
          <w:lang w:eastAsia="en-GB"/>
        </w:rPr>
        <w:t xml:space="preserve"> H, Pearce N, </w:t>
      </w:r>
      <w:proofErr w:type="spellStart"/>
      <w:r w:rsidRPr="00D513D2">
        <w:rPr>
          <w:rFonts w:ascii="Times New Roman" w:eastAsia="Times New Roman" w:hAnsi="Times New Roman" w:cs="Times New Roman"/>
          <w:sz w:val="24"/>
          <w:szCs w:val="20"/>
          <w:lang w:eastAsia="en-GB"/>
        </w:rPr>
        <w:t>Kriebel</w:t>
      </w:r>
      <w:proofErr w:type="spellEnd"/>
      <w:r w:rsidRPr="00D513D2">
        <w:rPr>
          <w:rFonts w:ascii="Times New Roman" w:eastAsia="Times New Roman" w:hAnsi="Times New Roman" w:cs="Times New Roman"/>
          <w:sz w:val="24"/>
          <w:szCs w:val="20"/>
          <w:lang w:eastAsia="en-GB"/>
        </w:rPr>
        <w:t xml:space="preserve"> D. Research methods in occupational epidemiology. 2nd </w:t>
      </w:r>
      <w:proofErr w:type="gramStart"/>
      <w:r w:rsidRPr="00D513D2">
        <w:rPr>
          <w:rFonts w:ascii="Times New Roman" w:eastAsia="Times New Roman" w:hAnsi="Times New Roman" w:cs="Times New Roman"/>
          <w:sz w:val="24"/>
          <w:szCs w:val="20"/>
          <w:lang w:eastAsia="en-GB"/>
        </w:rPr>
        <w:t>ed</w:t>
      </w:r>
      <w:proofErr w:type="gramEnd"/>
      <w:r w:rsidRPr="00D513D2">
        <w:rPr>
          <w:rFonts w:ascii="Times New Roman" w:eastAsia="Times New Roman" w:hAnsi="Times New Roman" w:cs="Times New Roman"/>
          <w:sz w:val="24"/>
          <w:szCs w:val="20"/>
          <w:lang w:eastAsia="en-GB"/>
        </w:rPr>
        <w:t>. New York: Oxford University Press, 2004</w:t>
      </w:r>
      <w:r w:rsidR="00B02F2A">
        <w:rPr>
          <w:rFonts w:ascii="Times New Roman" w:eastAsia="Times New Roman" w:hAnsi="Times New Roman" w:cs="Times New Roman"/>
          <w:sz w:val="24"/>
          <w:szCs w:val="20"/>
          <w:lang w:eastAsia="en-GB"/>
        </w:rPr>
        <w:t>, p280-2</w:t>
      </w:r>
      <w:r>
        <w:rPr>
          <w:rFonts w:ascii="Times New Roman" w:eastAsia="Times New Roman" w:hAnsi="Times New Roman" w:cs="Times New Roman"/>
          <w:sz w:val="24"/>
          <w:szCs w:val="20"/>
          <w:lang w:eastAsia="en-GB"/>
        </w:rPr>
        <w:t>.</w:t>
      </w:r>
    </w:p>
    <w:sectPr w:rsidR="0060012E" w:rsidRPr="00D513D2" w:rsidSect="00081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F6E" w:rsidRDefault="00C73F6E" w:rsidP="00CD543C">
      <w:pPr>
        <w:spacing w:line="240" w:lineRule="auto"/>
      </w:pPr>
      <w:r>
        <w:separator/>
      </w:r>
    </w:p>
  </w:endnote>
  <w:endnote w:type="continuationSeparator" w:id="0">
    <w:p w:rsidR="00C73F6E" w:rsidRDefault="00C73F6E" w:rsidP="00CD5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5391"/>
      <w:docPartObj>
        <w:docPartGallery w:val="Page Numbers (Bottom of Page)"/>
        <w:docPartUnique/>
      </w:docPartObj>
    </w:sdtPr>
    <w:sdtEndPr/>
    <w:sdtContent>
      <w:p w:rsidR="00075131" w:rsidRDefault="00413510">
        <w:pPr>
          <w:pStyle w:val="Footer"/>
          <w:jc w:val="right"/>
        </w:pPr>
        <w:r>
          <w:fldChar w:fldCharType="begin"/>
        </w:r>
        <w:r w:rsidR="00167833">
          <w:instrText xml:space="preserve"> PAGE   \* MERGEFORMAT </w:instrText>
        </w:r>
        <w:r>
          <w:fldChar w:fldCharType="separate"/>
        </w:r>
        <w:r w:rsidR="002A6BC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F6E" w:rsidRDefault="00C73F6E" w:rsidP="00CD543C">
      <w:pPr>
        <w:spacing w:line="240" w:lineRule="auto"/>
      </w:pPr>
      <w:r>
        <w:separator/>
      </w:r>
    </w:p>
  </w:footnote>
  <w:footnote w:type="continuationSeparator" w:id="0">
    <w:p w:rsidR="00C73F6E" w:rsidRDefault="00C73F6E" w:rsidP="00CD543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7533C"/>
    <w:multiLevelType w:val="hybridMultilevel"/>
    <w:tmpl w:val="CD42FE0A"/>
    <w:lvl w:ilvl="0" w:tplc="547C9362">
      <w:start w:val="1"/>
      <w:numFmt w:val="decimal"/>
      <w:lvlText w:val="%1."/>
      <w:lvlJc w:val="left"/>
      <w:pPr>
        <w:ind w:left="502"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C77626"/>
    <w:multiLevelType w:val="hybridMultilevel"/>
    <w:tmpl w:val="FCCA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940C96"/>
    <w:multiLevelType w:val="hybridMultilevel"/>
    <w:tmpl w:val="CD3C0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4C"/>
    <w:rsid w:val="000434AB"/>
    <w:rsid w:val="00057261"/>
    <w:rsid w:val="00064395"/>
    <w:rsid w:val="000647DD"/>
    <w:rsid w:val="0006534B"/>
    <w:rsid w:val="0006597D"/>
    <w:rsid w:val="00075131"/>
    <w:rsid w:val="000818B4"/>
    <w:rsid w:val="0009015A"/>
    <w:rsid w:val="000E5E02"/>
    <w:rsid w:val="000F044E"/>
    <w:rsid w:val="00103CC4"/>
    <w:rsid w:val="001123EB"/>
    <w:rsid w:val="0012271B"/>
    <w:rsid w:val="001363E0"/>
    <w:rsid w:val="0013649A"/>
    <w:rsid w:val="00136A43"/>
    <w:rsid w:val="00167833"/>
    <w:rsid w:val="00191D4C"/>
    <w:rsid w:val="001A098C"/>
    <w:rsid w:val="001A74DC"/>
    <w:rsid w:val="001C0C64"/>
    <w:rsid w:val="001C3059"/>
    <w:rsid w:val="001D594C"/>
    <w:rsid w:val="001E1C11"/>
    <w:rsid w:val="001E3271"/>
    <w:rsid w:val="001F0EB2"/>
    <w:rsid w:val="0020614A"/>
    <w:rsid w:val="00210981"/>
    <w:rsid w:val="00212D30"/>
    <w:rsid w:val="00217074"/>
    <w:rsid w:val="00217C7A"/>
    <w:rsid w:val="00230D99"/>
    <w:rsid w:val="002408C5"/>
    <w:rsid w:val="00244CEE"/>
    <w:rsid w:val="00254173"/>
    <w:rsid w:val="00257848"/>
    <w:rsid w:val="002A6BC9"/>
    <w:rsid w:val="002C057A"/>
    <w:rsid w:val="002E180A"/>
    <w:rsid w:val="002E3E2A"/>
    <w:rsid w:val="002E7CEF"/>
    <w:rsid w:val="00301C37"/>
    <w:rsid w:val="0030311B"/>
    <w:rsid w:val="003061FB"/>
    <w:rsid w:val="003249F8"/>
    <w:rsid w:val="0033470A"/>
    <w:rsid w:val="003358B6"/>
    <w:rsid w:val="00370831"/>
    <w:rsid w:val="003964FA"/>
    <w:rsid w:val="003C6B70"/>
    <w:rsid w:val="003D406A"/>
    <w:rsid w:val="003F0524"/>
    <w:rsid w:val="00400D8D"/>
    <w:rsid w:val="004079CC"/>
    <w:rsid w:val="00413510"/>
    <w:rsid w:val="00474E2F"/>
    <w:rsid w:val="0047648B"/>
    <w:rsid w:val="004B2DD7"/>
    <w:rsid w:val="004D3351"/>
    <w:rsid w:val="004D426C"/>
    <w:rsid w:val="004D7F5A"/>
    <w:rsid w:val="004F22E4"/>
    <w:rsid w:val="004F4BB8"/>
    <w:rsid w:val="005268E8"/>
    <w:rsid w:val="0053121D"/>
    <w:rsid w:val="0056019B"/>
    <w:rsid w:val="00583A69"/>
    <w:rsid w:val="005A45C0"/>
    <w:rsid w:val="005A4853"/>
    <w:rsid w:val="005A688D"/>
    <w:rsid w:val="005B3CBC"/>
    <w:rsid w:val="005B7A05"/>
    <w:rsid w:val="005D45B3"/>
    <w:rsid w:val="005D6FF5"/>
    <w:rsid w:val="005E618B"/>
    <w:rsid w:val="0060012E"/>
    <w:rsid w:val="00605074"/>
    <w:rsid w:val="00631456"/>
    <w:rsid w:val="00642902"/>
    <w:rsid w:val="00663A1A"/>
    <w:rsid w:val="006753F1"/>
    <w:rsid w:val="00681568"/>
    <w:rsid w:val="00697E03"/>
    <w:rsid w:val="006E41C1"/>
    <w:rsid w:val="006E53E8"/>
    <w:rsid w:val="007035CE"/>
    <w:rsid w:val="00707844"/>
    <w:rsid w:val="00760342"/>
    <w:rsid w:val="00777F24"/>
    <w:rsid w:val="00790D03"/>
    <w:rsid w:val="007B51B6"/>
    <w:rsid w:val="007E43EF"/>
    <w:rsid w:val="007F2EE3"/>
    <w:rsid w:val="00806551"/>
    <w:rsid w:val="00822803"/>
    <w:rsid w:val="008255DB"/>
    <w:rsid w:val="00847C8A"/>
    <w:rsid w:val="008950C7"/>
    <w:rsid w:val="008A7E71"/>
    <w:rsid w:val="008B1A3C"/>
    <w:rsid w:val="008B31E5"/>
    <w:rsid w:val="008C5DCB"/>
    <w:rsid w:val="009263CB"/>
    <w:rsid w:val="009459B4"/>
    <w:rsid w:val="00951BF9"/>
    <w:rsid w:val="00962E8A"/>
    <w:rsid w:val="009770E9"/>
    <w:rsid w:val="00977696"/>
    <w:rsid w:val="009862E5"/>
    <w:rsid w:val="00991125"/>
    <w:rsid w:val="00993A00"/>
    <w:rsid w:val="009A77BD"/>
    <w:rsid w:val="009E1F89"/>
    <w:rsid w:val="00A053BE"/>
    <w:rsid w:val="00A13A46"/>
    <w:rsid w:val="00A16D5D"/>
    <w:rsid w:val="00A21DB1"/>
    <w:rsid w:val="00A30AFD"/>
    <w:rsid w:val="00A34A87"/>
    <w:rsid w:val="00A42241"/>
    <w:rsid w:val="00A47F97"/>
    <w:rsid w:val="00A6325E"/>
    <w:rsid w:val="00A63A39"/>
    <w:rsid w:val="00A8342F"/>
    <w:rsid w:val="00A85437"/>
    <w:rsid w:val="00A92B12"/>
    <w:rsid w:val="00A94CCA"/>
    <w:rsid w:val="00A96608"/>
    <w:rsid w:val="00AA1E96"/>
    <w:rsid w:val="00AB0FFC"/>
    <w:rsid w:val="00AB1CAF"/>
    <w:rsid w:val="00AB7CF5"/>
    <w:rsid w:val="00AC06B6"/>
    <w:rsid w:val="00AC3E32"/>
    <w:rsid w:val="00AE08F4"/>
    <w:rsid w:val="00AF499F"/>
    <w:rsid w:val="00AF5A05"/>
    <w:rsid w:val="00B02F2A"/>
    <w:rsid w:val="00B1784E"/>
    <w:rsid w:val="00B33CD5"/>
    <w:rsid w:val="00B443BF"/>
    <w:rsid w:val="00B5688A"/>
    <w:rsid w:val="00B73D8D"/>
    <w:rsid w:val="00B76971"/>
    <w:rsid w:val="00B77731"/>
    <w:rsid w:val="00B831A7"/>
    <w:rsid w:val="00B92882"/>
    <w:rsid w:val="00B961BF"/>
    <w:rsid w:val="00BB2CC3"/>
    <w:rsid w:val="00BD1BFA"/>
    <w:rsid w:val="00C06ADE"/>
    <w:rsid w:val="00C14E44"/>
    <w:rsid w:val="00C32202"/>
    <w:rsid w:val="00C5234D"/>
    <w:rsid w:val="00C57525"/>
    <w:rsid w:val="00C73F6E"/>
    <w:rsid w:val="00C8592A"/>
    <w:rsid w:val="00C863C9"/>
    <w:rsid w:val="00CA2519"/>
    <w:rsid w:val="00CB35C5"/>
    <w:rsid w:val="00CB7959"/>
    <w:rsid w:val="00CD31F3"/>
    <w:rsid w:val="00CD4F80"/>
    <w:rsid w:val="00CD543C"/>
    <w:rsid w:val="00CF0384"/>
    <w:rsid w:val="00D132A4"/>
    <w:rsid w:val="00D256AF"/>
    <w:rsid w:val="00D356C0"/>
    <w:rsid w:val="00D513D2"/>
    <w:rsid w:val="00D6278D"/>
    <w:rsid w:val="00D753DA"/>
    <w:rsid w:val="00D8556F"/>
    <w:rsid w:val="00DC38A1"/>
    <w:rsid w:val="00DE12CF"/>
    <w:rsid w:val="00DE280A"/>
    <w:rsid w:val="00E01644"/>
    <w:rsid w:val="00E173BB"/>
    <w:rsid w:val="00E30F18"/>
    <w:rsid w:val="00E3182F"/>
    <w:rsid w:val="00E4783C"/>
    <w:rsid w:val="00E50AB3"/>
    <w:rsid w:val="00E71E36"/>
    <w:rsid w:val="00E73E54"/>
    <w:rsid w:val="00E864BD"/>
    <w:rsid w:val="00E9639C"/>
    <w:rsid w:val="00EB6ABC"/>
    <w:rsid w:val="00EC7212"/>
    <w:rsid w:val="00EE4DED"/>
    <w:rsid w:val="00F00262"/>
    <w:rsid w:val="00F04D49"/>
    <w:rsid w:val="00F21AA8"/>
    <w:rsid w:val="00F425B0"/>
    <w:rsid w:val="00F57796"/>
    <w:rsid w:val="00F64746"/>
    <w:rsid w:val="00F672EB"/>
    <w:rsid w:val="00F734DE"/>
    <w:rsid w:val="00F75BE8"/>
    <w:rsid w:val="00F9306B"/>
    <w:rsid w:val="00FA12C6"/>
    <w:rsid w:val="00FB5884"/>
    <w:rsid w:val="00FD0018"/>
    <w:rsid w:val="00FE0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
    <w:name w:val="papers"/>
    <w:basedOn w:val="Normal"/>
    <w:rsid w:val="00A63A39"/>
    <w:pPr>
      <w:spacing w:line="480" w:lineRule="auto"/>
      <w:jc w:val="both"/>
    </w:pPr>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C32202"/>
    <w:pPr>
      <w:ind w:left="720"/>
      <w:contextualSpacing/>
    </w:pPr>
  </w:style>
  <w:style w:type="character" w:styleId="Hyperlink">
    <w:name w:val="Hyperlink"/>
    <w:basedOn w:val="DefaultParagraphFont"/>
    <w:uiPriority w:val="99"/>
    <w:unhideWhenUsed/>
    <w:rsid w:val="00F04D49"/>
    <w:rPr>
      <w:color w:val="0000FF" w:themeColor="hyperlink"/>
      <w:u w:val="single"/>
    </w:rPr>
  </w:style>
  <w:style w:type="table" w:styleId="TableGrid">
    <w:name w:val="Table Grid"/>
    <w:basedOn w:val="TableNormal"/>
    <w:uiPriority w:val="59"/>
    <w:rsid w:val="004D7F5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CD543C"/>
    <w:rPr>
      <w:vertAlign w:val="superscript"/>
    </w:rPr>
  </w:style>
  <w:style w:type="paragraph" w:styleId="BalloonText">
    <w:name w:val="Balloon Text"/>
    <w:basedOn w:val="Normal"/>
    <w:link w:val="BalloonTextChar"/>
    <w:uiPriority w:val="99"/>
    <w:semiHidden/>
    <w:unhideWhenUsed/>
    <w:rsid w:val="00F6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746"/>
    <w:rPr>
      <w:rFonts w:ascii="Tahoma" w:hAnsi="Tahoma" w:cs="Tahoma"/>
      <w:sz w:val="16"/>
      <w:szCs w:val="16"/>
    </w:rPr>
  </w:style>
  <w:style w:type="paragraph" w:styleId="Header">
    <w:name w:val="header"/>
    <w:basedOn w:val="Normal"/>
    <w:link w:val="HeaderChar"/>
    <w:uiPriority w:val="99"/>
    <w:semiHidden/>
    <w:unhideWhenUsed/>
    <w:rsid w:val="005A688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A688D"/>
  </w:style>
  <w:style w:type="paragraph" w:styleId="Footer">
    <w:name w:val="footer"/>
    <w:basedOn w:val="Normal"/>
    <w:link w:val="FooterChar"/>
    <w:uiPriority w:val="99"/>
    <w:unhideWhenUsed/>
    <w:rsid w:val="005A688D"/>
    <w:pPr>
      <w:tabs>
        <w:tab w:val="center" w:pos="4513"/>
        <w:tab w:val="right" w:pos="9026"/>
      </w:tabs>
      <w:spacing w:line="240" w:lineRule="auto"/>
    </w:pPr>
  </w:style>
  <w:style w:type="character" w:customStyle="1" w:styleId="FooterChar">
    <w:name w:val="Footer Char"/>
    <w:basedOn w:val="DefaultParagraphFont"/>
    <w:link w:val="Footer"/>
    <w:uiPriority w:val="99"/>
    <w:rsid w:val="005A6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
    <w:name w:val="papers"/>
    <w:basedOn w:val="Normal"/>
    <w:rsid w:val="00A63A39"/>
    <w:pPr>
      <w:spacing w:line="480" w:lineRule="auto"/>
      <w:jc w:val="both"/>
    </w:pPr>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C32202"/>
    <w:pPr>
      <w:ind w:left="720"/>
      <w:contextualSpacing/>
    </w:pPr>
  </w:style>
  <w:style w:type="character" w:styleId="Hyperlink">
    <w:name w:val="Hyperlink"/>
    <w:basedOn w:val="DefaultParagraphFont"/>
    <w:uiPriority w:val="99"/>
    <w:unhideWhenUsed/>
    <w:rsid w:val="00F04D49"/>
    <w:rPr>
      <w:color w:val="0000FF" w:themeColor="hyperlink"/>
      <w:u w:val="single"/>
    </w:rPr>
  </w:style>
  <w:style w:type="table" w:styleId="TableGrid">
    <w:name w:val="Table Grid"/>
    <w:basedOn w:val="TableNormal"/>
    <w:uiPriority w:val="59"/>
    <w:rsid w:val="004D7F5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CD543C"/>
    <w:rPr>
      <w:vertAlign w:val="superscript"/>
    </w:rPr>
  </w:style>
  <w:style w:type="paragraph" w:styleId="BalloonText">
    <w:name w:val="Balloon Text"/>
    <w:basedOn w:val="Normal"/>
    <w:link w:val="BalloonTextChar"/>
    <w:uiPriority w:val="99"/>
    <w:semiHidden/>
    <w:unhideWhenUsed/>
    <w:rsid w:val="00F6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746"/>
    <w:rPr>
      <w:rFonts w:ascii="Tahoma" w:hAnsi="Tahoma" w:cs="Tahoma"/>
      <w:sz w:val="16"/>
      <w:szCs w:val="16"/>
    </w:rPr>
  </w:style>
  <w:style w:type="paragraph" w:styleId="Header">
    <w:name w:val="header"/>
    <w:basedOn w:val="Normal"/>
    <w:link w:val="HeaderChar"/>
    <w:uiPriority w:val="99"/>
    <w:semiHidden/>
    <w:unhideWhenUsed/>
    <w:rsid w:val="005A688D"/>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5A688D"/>
  </w:style>
  <w:style w:type="paragraph" w:styleId="Footer">
    <w:name w:val="footer"/>
    <w:basedOn w:val="Normal"/>
    <w:link w:val="FooterChar"/>
    <w:uiPriority w:val="99"/>
    <w:unhideWhenUsed/>
    <w:rsid w:val="005A688D"/>
    <w:pPr>
      <w:tabs>
        <w:tab w:val="center" w:pos="4513"/>
        <w:tab w:val="right" w:pos="9026"/>
      </w:tabs>
      <w:spacing w:line="240" w:lineRule="auto"/>
    </w:pPr>
  </w:style>
  <w:style w:type="character" w:customStyle="1" w:styleId="FooterChar">
    <w:name w:val="Footer Char"/>
    <w:basedOn w:val="DefaultParagraphFont"/>
    <w:link w:val="Footer"/>
    <w:uiPriority w:val="99"/>
    <w:rsid w:val="005A6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e.gov.uk/vibration/hav/advicetoemployers/havsemployers.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tp@mrc.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11E8DE-7190-499A-935E-27EDE30A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3491</Words>
  <Characters>19903</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MRC ERC</Company>
  <LinksUpToDate>false</LinksUpToDate>
  <CharactersWithSpaces>23348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dc:creator>
  <cp:lastModifiedBy>Karen Drake</cp:lastModifiedBy>
  <cp:revision>2</cp:revision>
  <cp:lastPrinted>2013-12-27T11:09:00Z</cp:lastPrinted>
  <dcterms:created xsi:type="dcterms:W3CDTF">2014-06-19T14:00:00Z</dcterms:created>
  <dcterms:modified xsi:type="dcterms:W3CDTF">2014-06-19T14:00:00Z</dcterms:modified>
</cp:coreProperties>
</file>