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59" w:rsidRDefault="00482259" w:rsidP="00236019">
      <w:pPr>
        <w:jc w:val="both"/>
        <w:rPr>
          <w:rFonts w:cs="Arial"/>
          <w:b/>
          <w:bCs/>
        </w:rPr>
      </w:pPr>
    </w:p>
    <w:p w:rsidR="00482259" w:rsidRDefault="00CB1BF2" w:rsidP="000A301F">
      <w:pPr>
        <w:jc w:val="both"/>
        <w:rPr>
          <w:rFonts w:cs="Arial"/>
          <w:b/>
          <w:bCs/>
          <w:sz w:val="24"/>
          <w:szCs w:val="24"/>
        </w:rPr>
      </w:pPr>
      <w:r>
        <w:rPr>
          <w:b/>
          <w:bCs/>
        </w:rPr>
        <w:t>The reliability of a novel MRI-based tool for the evaluation of forefoot bursae in patients with rheumatoid a</w:t>
      </w:r>
      <w:r w:rsidR="00482259">
        <w:rPr>
          <w:b/>
          <w:bCs/>
        </w:rPr>
        <w:t>rthritis: The ‘</w:t>
      </w:r>
      <w:r w:rsidR="00482259">
        <w:rPr>
          <w:b/>
          <w:bCs/>
          <w:i/>
          <w:iCs/>
        </w:rPr>
        <w:t>FFB-Score</w:t>
      </w:r>
      <w:r w:rsidR="00482259">
        <w:rPr>
          <w:b/>
          <w:bCs/>
        </w:rPr>
        <w:t>’</w:t>
      </w:r>
    </w:p>
    <w:p w:rsidR="00482259" w:rsidRPr="00205EB2" w:rsidRDefault="00482259" w:rsidP="00FC1652">
      <w:pPr>
        <w:jc w:val="both"/>
        <w:rPr>
          <w:rFonts w:cs="Arial"/>
        </w:rPr>
      </w:pPr>
      <w:r>
        <w:t xml:space="preserve">Lindsey </w:t>
      </w:r>
      <w:r w:rsidR="00FC1652">
        <w:t>Cherry</w:t>
      </w:r>
      <w:r w:rsidR="00FC1652" w:rsidRPr="00113B85">
        <w:rPr>
          <w:vertAlign w:val="superscript"/>
        </w:rPr>
        <w:t>1</w:t>
      </w:r>
      <w:r w:rsidRPr="00113B85">
        <w:rPr>
          <w:vertAlign w:val="superscript"/>
        </w:rPr>
        <w:t>,2</w:t>
      </w:r>
      <w:r>
        <w:rPr>
          <w:vertAlign w:val="superscript"/>
        </w:rPr>
        <w:t>,3</w:t>
      </w:r>
      <w:r w:rsidRPr="00113B85">
        <w:t xml:space="preserve">, </w:t>
      </w:r>
      <w:r>
        <w:t>Leonard King</w:t>
      </w:r>
      <w:r>
        <w:rPr>
          <w:vertAlign w:val="superscript"/>
        </w:rPr>
        <w:t>1</w:t>
      </w:r>
      <w:r w:rsidRPr="00113B85">
        <w:t>,</w:t>
      </w:r>
      <w:r w:rsidRPr="00113B85">
        <w:rPr>
          <w:vertAlign w:val="superscript"/>
        </w:rPr>
        <w:t xml:space="preserve"> </w:t>
      </w:r>
      <w:r>
        <w:t>Matthew Thomas</w:t>
      </w:r>
      <w:r>
        <w:rPr>
          <w:vertAlign w:val="superscript"/>
        </w:rPr>
        <w:t>1</w:t>
      </w:r>
      <w:r>
        <w:t>, Frank Roemer</w:t>
      </w:r>
      <w:r>
        <w:rPr>
          <w:vertAlign w:val="superscript"/>
        </w:rPr>
        <w:t>4,5</w:t>
      </w:r>
      <w:r>
        <w:t>, David Culliford</w:t>
      </w:r>
      <w:r w:rsidR="00912B57">
        <w:rPr>
          <w:vertAlign w:val="superscript"/>
        </w:rPr>
        <w:t>1,</w:t>
      </w:r>
      <w:r w:rsidRPr="00205EB2">
        <w:rPr>
          <w:vertAlign w:val="superscript"/>
        </w:rPr>
        <w:t>2,3</w:t>
      </w:r>
      <w:r>
        <w:t>, Catherine J Bowen</w:t>
      </w:r>
      <w:r>
        <w:rPr>
          <w:vertAlign w:val="superscript"/>
        </w:rPr>
        <w:t>1,3</w:t>
      </w:r>
      <w:r>
        <w:t>, Nigel K Arden</w:t>
      </w:r>
      <w:r>
        <w:rPr>
          <w:vertAlign w:val="superscript"/>
        </w:rPr>
        <w:t>2,3</w:t>
      </w:r>
      <w:r>
        <w:t>, Christopher J Edwards</w:t>
      </w:r>
      <w:r>
        <w:rPr>
          <w:vertAlign w:val="superscript"/>
        </w:rPr>
        <w:t>1,2</w:t>
      </w:r>
    </w:p>
    <w:p w:rsidR="00482259" w:rsidRPr="00205EB2" w:rsidRDefault="00482259" w:rsidP="0078100E">
      <w:pPr>
        <w:spacing w:after="0"/>
      </w:pPr>
      <w:r w:rsidRPr="00B73B34">
        <w:rPr>
          <w:b/>
          <w:bCs/>
        </w:rPr>
        <w:t xml:space="preserve">Name of department(s) and institution(s) to which the work should be attributed: </w:t>
      </w:r>
      <w:r>
        <w:rPr>
          <w:rFonts w:cs="Arial"/>
          <w:b/>
          <w:bCs/>
        </w:rPr>
        <w:br/>
      </w:r>
      <w:r w:rsidRPr="00E213B7">
        <w:t>1.</w:t>
      </w:r>
      <w:r w:rsidRPr="00205EB2">
        <w:t xml:space="preserve"> </w:t>
      </w:r>
      <w:r>
        <w:t xml:space="preserve">Southampton </w:t>
      </w:r>
      <w:r w:rsidR="004152A0">
        <w:t>NIHR-Wellcome Trust Clinical Research Facility, UK</w:t>
      </w:r>
      <w:r>
        <w:br/>
        <w:t xml:space="preserve">2. </w:t>
      </w:r>
      <w:r w:rsidRPr="00B73B34">
        <w:t xml:space="preserve">University of Southampton, </w:t>
      </w:r>
      <w:r>
        <w:t>UK</w:t>
      </w:r>
      <w:r w:rsidRPr="00B73B34">
        <w:rPr>
          <w:rFonts w:cs="Arial"/>
        </w:rPr>
        <w:br/>
      </w:r>
      <w:r>
        <w:t xml:space="preserve">3. </w:t>
      </w:r>
      <w:r w:rsidRPr="00B73B34">
        <w:t xml:space="preserve">University of Oxford, </w:t>
      </w:r>
      <w:r>
        <w:t>NIHR Musculo</w:t>
      </w:r>
      <w:r w:rsidRPr="00205EB2">
        <w:t>skeletal Biomedical Research Unit, UK</w:t>
      </w:r>
    </w:p>
    <w:p w:rsidR="00482259" w:rsidRPr="00637863" w:rsidRDefault="00482259" w:rsidP="00205EB2">
      <w:pPr>
        <w:spacing w:after="0"/>
      </w:pPr>
      <w:r w:rsidRPr="00637863">
        <w:t xml:space="preserve">4. Klinikum Augsburg, Augsburg, Germany </w:t>
      </w:r>
    </w:p>
    <w:p w:rsidR="00482259" w:rsidRPr="00637863" w:rsidRDefault="00482259" w:rsidP="00205EB2">
      <w:pPr>
        <w:spacing w:after="0"/>
        <w:rPr>
          <w:rFonts w:cs="Arial"/>
        </w:rPr>
      </w:pPr>
      <w:r w:rsidRPr="00637863">
        <w:t>5. Boston University, Boston, MA, USA</w:t>
      </w:r>
    </w:p>
    <w:p w:rsidR="00482259" w:rsidRPr="00637863" w:rsidRDefault="00482259" w:rsidP="00E213B7">
      <w:pPr>
        <w:spacing w:line="240" w:lineRule="auto"/>
        <w:rPr>
          <w:rFonts w:cs="Arial"/>
        </w:rPr>
      </w:pPr>
    </w:p>
    <w:p w:rsidR="00482259" w:rsidRPr="00F72423" w:rsidRDefault="00482259" w:rsidP="000A301F">
      <w:pPr>
        <w:spacing w:after="0" w:line="240" w:lineRule="auto"/>
        <w:rPr>
          <w:rFonts w:cs="Arial"/>
          <w:b/>
          <w:bCs/>
        </w:rPr>
      </w:pPr>
      <w:r w:rsidRPr="0025748B">
        <w:rPr>
          <w:b/>
          <w:bCs/>
        </w:rPr>
        <w:t>Corresponding author</w:t>
      </w:r>
      <w:r>
        <w:rPr>
          <w:rFonts w:cs="Arial"/>
          <w:b/>
          <w:bCs/>
        </w:rPr>
        <w:br/>
      </w:r>
      <w:r w:rsidR="000A301F">
        <w:t xml:space="preserve">Dr </w:t>
      </w:r>
      <w:r>
        <w:t>Lindsey S. Hooper</w:t>
      </w:r>
      <w:r>
        <w:rPr>
          <w:rFonts w:cs="Arial"/>
          <w:b/>
          <w:bCs/>
        </w:rPr>
        <w:br/>
      </w:r>
      <w:r>
        <w:t xml:space="preserve">Postal address: </w:t>
      </w:r>
      <w:r>
        <w:tab/>
        <w:t xml:space="preserve">Faculty of Health Sciences, University of Southampton, </w:t>
      </w:r>
      <w:r>
        <w:rPr>
          <w:rFonts w:cs="Arial"/>
          <w:b/>
          <w:bCs/>
        </w:rPr>
        <w:br/>
      </w:r>
      <w:r>
        <w:rPr>
          <w:b/>
          <w:bCs/>
        </w:rPr>
        <w:t xml:space="preserve">                             </w:t>
      </w:r>
      <w:r>
        <w:t>Building 45, Burgess Road,</w:t>
      </w:r>
    </w:p>
    <w:p w:rsidR="00482259" w:rsidRDefault="00482259" w:rsidP="00F72423">
      <w:pPr>
        <w:spacing w:after="0" w:line="240" w:lineRule="auto"/>
      </w:pPr>
      <w:r>
        <w:rPr>
          <w:rFonts w:cs="Arial"/>
        </w:rPr>
        <w:tab/>
      </w:r>
      <w:r>
        <w:rPr>
          <w:rFonts w:cs="Arial"/>
        </w:rPr>
        <w:tab/>
      </w:r>
      <w:r>
        <w:t xml:space="preserve">Southampton, Hampshire. United Kingdom. </w:t>
      </w:r>
    </w:p>
    <w:p w:rsidR="00482259" w:rsidRDefault="00482259" w:rsidP="00F72423">
      <w:pPr>
        <w:spacing w:after="0" w:line="240" w:lineRule="auto"/>
      </w:pPr>
      <w:r>
        <w:tab/>
      </w:r>
      <w:r>
        <w:tab/>
        <w:t>SO17 1BJ</w:t>
      </w:r>
    </w:p>
    <w:p w:rsidR="00482259" w:rsidRPr="005119E4" w:rsidRDefault="00482259" w:rsidP="00F72423">
      <w:pPr>
        <w:spacing w:after="0" w:line="240" w:lineRule="auto"/>
        <w:rPr>
          <w:rFonts w:cs="Arial"/>
          <w:lang w:val="fr-FR"/>
        </w:rPr>
      </w:pPr>
      <w:r w:rsidRPr="005119E4">
        <w:rPr>
          <w:lang w:val="fr-FR"/>
        </w:rPr>
        <w:t xml:space="preserve">Email: </w:t>
      </w:r>
      <w:hyperlink r:id="rId9" w:history="1">
        <w:r w:rsidR="00FC1652" w:rsidRPr="00FC1652">
          <w:rPr>
            <w:rStyle w:val="Hyperlink"/>
            <w:lang w:val="fr-FR"/>
          </w:rPr>
          <w:t>l.cherry@soton.ac.uk</w:t>
        </w:r>
      </w:hyperlink>
    </w:p>
    <w:p w:rsidR="00482259" w:rsidRDefault="00482259" w:rsidP="009D0B4B">
      <w:pPr>
        <w:spacing w:after="0" w:line="240" w:lineRule="auto"/>
        <w:rPr>
          <w:lang w:val="fr-FR"/>
        </w:rPr>
      </w:pPr>
      <w:r w:rsidRPr="005119E4">
        <w:rPr>
          <w:lang w:val="fr-FR"/>
        </w:rPr>
        <w:t>Tel: 02380 7</w:t>
      </w:r>
      <w:r w:rsidR="009D0B4B">
        <w:rPr>
          <w:lang w:val="fr-FR"/>
        </w:rPr>
        <w:t>95279</w:t>
      </w:r>
    </w:p>
    <w:p w:rsidR="009D0B4B" w:rsidRPr="005119E4" w:rsidRDefault="009D0B4B" w:rsidP="009D0B4B">
      <w:pPr>
        <w:spacing w:after="0" w:line="240" w:lineRule="auto"/>
        <w:rPr>
          <w:lang w:val="fr-FR"/>
        </w:rPr>
      </w:pPr>
      <w:r>
        <w:rPr>
          <w:lang w:val="fr-FR"/>
        </w:rPr>
        <w:t>Fax: 02380 796711</w:t>
      </w:r>
    </w:p>
    <w:p w:rsidR="00482259" w:rsidRPr="005119E4" w:rsidRDefault="00482259" w:rsidP="00F72423">
      <w:pPr>
        <w:spacing w:after="0" w:line="240" w:lineRule="auto"/>
        <w:rPr>
          <w:rFonts w:cs="Arial"/>
          <w:b/>
          <w:bCs/>
          <w:lang w:val="fr-FR"/>
        </w:rPr>
      </w:pPr>
    </w:p>
    <w:p w:rsidR="00482259" w:rsidRPr="005119E4" w:rsidRDefault="00482259" w:rsidP="00F72423">
      <w:pPr>
        <w:spacing w:after="0" w:line="240" w:lineRule="auto"/>
        <w:rPr>
          <w:rFonts w:cs="Arial"/>
          <w:b/>
          <w:bCs/>
          <w:lang w:val="fr-FR"/>
        </w:rPr>
      </w:pPr>
    </w:p>
    <w:p w:rsidR="00482259" w:rsidRPr="0025748B" w:rsidRDefault="00482259" w:rsidP="00F72423">
      <w:pPr>
        <w:spacing w:after="0" w:line="240" w:lineRule="auto"/>
        <w:rPr>
          <w:b/>
          <w:bCs/>
        </w:rPr>
      </w:pPr>
      <w:r w:rsidRPr="0025748B">
        <w:rPr>
          <w:b/>
          <w:bCs/>
        </w:rPr>
        <w:t>Co-authors</w:t>
      </w:r>
    </w:p>
    <w:p w:rsidR="00482259" w:rsidRDefault="00482259" w:rsidP="00205EB2">
      <w:pPr>
        <w:numPr>
          <w:ilvl w:val="0"/>
          <w:numId w:val="6"/>
        </w:numPr>
        <w:spacing w:after="0" w:line="240" w:lineRule="auto"/>
      </w:pPr>
      <w:r>
        <w:t>Dr Leonard King; Department of Radiology, University Hospital Southampton NHS Foundation Trust, Southampton, UK.</w:t>
      </w:r>
    </w:p>
    <w:p w:rsidR="00482259" w:rsidRDefault="00482259" w:rsidP="00205EB2">
      <w:pPr>
        <w:numPr>
          <w:ilvl w:val="0"/>
          <w:numId w:val="6"/>
        </w:numPr>
        <w:spacing w:after="0" w:line="240" w:lineRule="auto"/>
      </w:pPr>
      <w:r>
        <w:t xml:space="preserve">Dr Matthew Thomas; Department of Radiology, University Hospital Southampton NHS Foundation Trust, Southampton, UK. </w:t>
      </w:r>
    </w:p>
    <w:p w:rsidR="00482259" w:rsidRDefault="00482259" w:rsidP="00205EB2">
      <w:pPr>
        <w:numPr>
          <w:ilvl w:val="0"/>
          <w:numId w:val="6"/>
        </w:numPr>
        <w:spacing w:after="0" w:line="240" w:lineRule="auto"/>
      </w:pPr>
      <w:r>
        <w:t>Professor Frank Roemer; Department of Radiology, Klinikum Augsburg, Augsburg, Germany.</w:t>
      </w:r>
    </w:p>
    <w:p w:rsidR="00482259" w:rsidRDefault="00482259" w:rsidP="00F72423">
      <w:pPr>
        <w:numPr>
          <w:ilvl w:val="0"/>
          <w:numId w:val="7"/>
        </w:numPr>
        <w:spacing w:after="0" w:line="240" w:lineRule="auto"/>
      </w:pPr>
      <w:r>
        <w:t>Mr David Culliford, Faculty of Medicine, University of Southampton, UK</w:t>
      </w:r>
    </w:p>
    <w:p w:rsidR="00482259" w:rsidRDefault="00482259" w:rsidP="00F72423">
      <w:pPr>
        <w:numPr>
          <w:ilvl w:val="0"/>
          <w:numId w:val="7"/>
        </w:numPr>
        <w:spacing w:after="0" w:line="240" w:lineRule="auto"/>
      </w:pPr>
      <w:r>
        <w:t>Dr Cathy J. Bowen; Faculty of Health Sciences, University of Southampton, Southampton, UK.</w:t>
      </w:r>
    </w:p>
    <w:p w:rsidR="00482259" w:rsidRDefault="00482259" w:rsidP="00205EB2">
      <w:pPr>
        <w:numPr>
          <w:ilvl w:val="0"/>
          <w:numId w:val="7"/>
        </w:numPr>
        <w:spacing w:after="0" w:line="240" w:lineRule="auto"/>
      </w:pPr>
      <w:r>
        <w:t>Professor Nigel K. Arden; NIHR Musculoskeletal Biomedical Research Unit, Oxford, UK.</w:t>
      </w:r>
    </w:p>
    <w:p w:rsidR="00993D49" w:rsidRDefault="00993D49" w:rsidP="00993D49">
      <w:pPr>
        <w:numPr>
          <w:ilvl w:val="0"/>
          <w:numId w:val="7"/>
        </w:numPr>
        <w:spacing w:after="0" w:line="240" w:lineRule="auto"/>
      </w:pPr>
      <w:r>
        <w:t>Dr Christopher J. Edwards; Department of Rheumatology</w:t>
      </w:r>
      <w:r w:rsidR="004152A0">
        <w:t xml:space="preserve"> &amp; NIHR-Wellcome Trust Clinical Research Facility</w:t>
      </w:r>
      <w:r>
        <w:t xml:space="preserve">, University Hospital Southampton NHS Foundation Trust, Southampton, UK. </w:t>
      </w:r>
    </w:p>
    <w:p w:rsidR="00993D49" w:rsidRDefault="00993D49" w:rsidP="00993D49">
      <w:pPr>
        <w:spacing w:after="0" w:line="240" w:lineRule="auto"/>
        <w:ind w:left="720"/>
      </w:pPr>
    </w:p>
    <w:p w:rsidR="00482259" w:rsidRDefault="00482259">
      <w:pPr>
        <w:rPr>
          <w:rFonts w:cs="Arial"/>
          <w:b/>
          <w:bCs/>
        </w:rPr>
      </w:pPr>
      <w:r>
        <w:rPr>
          <w:rFonts w:cs="Arial"/>
          <w:b/>
          <w:bCs/>
        </w:rPr>
        <w:br/>
      </w:r>
      <w:r w:rsidR="00B22B08">
        <w:rPr>
          <w:rFonts w:cs="Arial"/>
          <w:b/>
          <w:bCs/>
        </w:rPr>
        <w:t xml:space="preserve">Short title: </w:t>
      </w:r>
      <w:r w:rsidR="00B22B08" w:rsidRPr="00260A18">
        <w:rPr>
          <w:rFonts w:cs="Arial"/>
          <w:bCs/>
        </w:rPr>
        <w:t>MRI evaluation of bursae in patients with RA</w:t>
      </w:r>
    </w:p>
    <w:p w:rsidR="00482259" w:rsidRDefault="00482259" w:rsidP="00562DBF">
      <w:pPr>
        <w:rPr>
          <w:rFonts w:cs="Arial"/>
          <w:b/>
          <w:bCs/>
        </w:rPr>
      </w:pPr>
      <w:r>
        <w:rPr>
          <w:b/>
          <w:bCs/>
        </w:rPr>
        <w:t xml:space="preserve">Key words: </w:t>
      </w:r>
      <w:r>
        <w:t xml:space="preserve">Magnetic Resonance Imaging, Rheumatoid Arthritis, </w:t>
      </w:r>
      <w:r w:rsidR="004229DA">
        <w:t xml:space="preserve">Disease Activity, Inflammation, </w:t>
      </w:r>
      <w:r w:rsidR="00562DBF">
        <w:t>Foot</w:t>
      </w:r>
    </w:p>
    <w:p w:rsidR="00482259" w:rsidRDefault="00260A18">
      <w:pPr>
        <w:rPr>
          <w:rFonts w:cs="Arial"/>
          <w:bCs/>
        </w:rPr>
      </w:pPr>
      <w:r>
        <w:rPr>
          <w:rFonts w:cs="Arial"/>
          <w:b/>
          <w:bCs/>
        </w:rPr>
        <w:t xml:space="preserve">Manuscript type: </w:t>
      </w:r>
      <w:r w:rsidRPr="00260A18">
        <w:rPr>
          <w:rFonts w:cs="Arial"/>
          <w:bCs/>
        </w:rPr>
        <w:t>Brief communication</w:t>
      </w:r>
    </w:p>
    <w:p w:rsidR="008B42D0" w:rsidRPr="008B42D0" w:rsidRDefault="008B42D0">
      <w:pPr>
        <w:rPr>
          <w:b/>
          <w:bCs/>
        </w:rPr>
      </w:pPr>
      <w:r>
        <w:rPr>
          <w:b/>
          <w:bCs/>
        </w:rPr>
        <w:t xml:space="preserve">Funding: </w:t>
      </w:r>
      <w:r w:rsidRPr="00B22B08">
        <w:t>NIHR, Pfizer UK, Southampton Rheumatology Trust</w:t>
      </w:r>
    </w:p>
    <w:p w:rsidR="00482259" w:rsidRPr="0001581D" w:rsidRDefault="00482259" w:rsidP="003F49FF">
      <w:pPr>
        <w:spacing w:line="240" w:lineRule="auto"/>
        <w:rPr>
          <w:rFonts w:cs="Arial"/>
          <w:b/>
          <w:bCs/>
        </w:rPr>
      </w:pPr>
      <w:r>
        <w:rPr>
          <w:b/>
          <w:bCs/>
        </w:rPr>
        <w:t xml:space="preserve">Manuscript word count: </w:t>
      </w:r>
      <w:r w:rsidR="00F32902">
        <w:rPr>
          <w:b/>
          <w:bCs/>
        </w:rPr>
        <w:t>1,326</w:t>
      </w:r>
      <w:r>
        <w:rPr>
          <w:rFonts w:cs="Arial"/>
          <w:b/>
          <w:bCs/>
        </w:rPr>
        <w:br w:type="page"/>
      </w:r>
      <w:r w:rsidRPr="0001581D">
        <w:rPr>
          <w:b/>
          <w:bCs/>
        </w:rPr>
        <w:lastRenderedPageBreak/>
        <w:t>ABSTRACT</w:t>
      </w:r>
    </w:p>
    <w:p w:rsidR="00482259" w:rsidRPr="00703B1B" w:rsidRDefault="00482259" w:rsidP="00C11A7D">
      <w:pPr>
        <w:spacing w:before="240" w:after="240" w:line="360" w:lineRule="auto"/>
        <w:jc w:val="both"/>
      </w:pPr>
      <w:r w:rsidRPr="00703B1B">
        <w:rPr>
          <w:b/>
          <w:bCs/>
        </w:rPr>
        <w:t>Objective:</w:t>
      </w:r>
      <w:r>
        <w:t xml:space="preserve"> </w:t>
      </w:r>
      <w:r w:rsidRPr="00703B1B">
        <w:t xml:space="preserve">To determine the reliability </w:t>
      </w:r>
      <w:r w:rsidR="00B35EE5">
        <w:t xml:space="preserve">of an </w:t>
      </w:r>
      <w:r w:rsidR="00260A18">
        <w:t>MRI-based score</w:t>
      </w:r>
      <w:r w:rsidR="00B35EE5">
        <w:t xml:space="preserve"> that </w:t>
      </w:r>
      <w:r w:rsidRPr="00703B1B">
        <w:t>ev</w:t>
      </w:r>
      <w:r w:rsidR="00B35EE5">
        <w:t xml:space="preserve">aluates </w:t>
      </w:r>
      <w:r w:rsidR="00260A18">
        <w:t xml:space="preserve">forefoot bursae (FFB) </w:t>
      </w:r>
      <w:r w:rsidRPr="00703B1B">
        <w:t>in patients with RA.</w:t>
      </w:r>
    </w:p>
    <w:p w:rsidR="00482259" w:rsidRPr="00703B1B" w:rsidRDefault="00482259" w:rsidP="00C11A7D">
      <w:pPr>
        <w:spacing w:after="240" w:line="360" w:lineRule="auto"/>
        <w:jc w:val="both"/>
      </w:pPr>
      <w:r w:rsidRPr="00703B1B">
        <w:rPr>
          <w:b/>
          <w:bCs/>
        </w:rPr>
        <w:t>Methods:</w:t>
      </w:r>
      <w:r w:rsidRPr="00703B1B">
        <w:t xml:space="preserve"> Items </w:t>
      </w:r>
      <w:r w:rsidR="00CA1525">
        <w:t>for inclusion</w:t>
      </w:r>
      <w:r w:rsidR="008B42D0">
        <w:t>, grading criteria</w:t>
      </w:r>
      <w:r w:rsidRPr="00703B1B">
        <w:t xml:space="preserve"> and MRI sequences were determined</w:t>
      </w:r>
      <w:r w:rsidR="00CA1525">
        <w:t xml:space="preserve"> iteratively</w:t>
      </w:r>
      <w:r w:rsidRPr="00703B1B">
        <w:t>.</w:t>
      </w:r>
      <w:r w:rsidR="00B35EE5">
        <w:t xml:space="preserve"> The score was evaluated i</w:t>
      </w:r>
      <w:r w:rsidRPr="00703B1B">
        <w:t xml:space="preserve">n </w:t>
      </w:r>
      <w:r w:rsidR="002922EA">
        <w:t>3</w:t>
      </w:r>
      <w:r w:rsidR="00FC1652">
        <w:t>0</w:t>
      </w:r>
      <w:r w:rsidRPr="00703B1B">
        <w:t xml:space="preserve"> </w:t>
      </w:r>
      <w:r w:rsidR="00B35EE5">
        <w:t>patients with established RA</w:t>
      </w:r>
      <w:r w:rsidRPr="00703B1B">
        <w:t xml:space="preserve">. </w:t>
      </w:r>
      <w:r w:rsidR="00260A18">
        <w:t xml:space="preserve">Reader </w:t>
      </w:r>
      <w:r w:rsidRPr="00703B1B">
        <w:t>agreement was ev</w:t>
      </w:r>
      <w:r w:rsidR="00E315AC">
        <w:t>aluated using Percentage Exact/</w:t>
      </w:r>
      <w:r w:rsidRPr="00703B1B">
        <w:t>Close Agreement</w:t>
      </w:r>
      <w:r w:rsidR="002922EA">
        <w:t>,</w:t>
      </w:r>
      <w:r w:rsidRPr="00703B1B">
        <w:t xml:space="preserve"> </w:t>
      </w:r>
      <w:r w:rsidR="002922EA">
        <w:t xml:space="preserve">Bland and Altman plots, </w:t>
      </w:r>
      <w:r>
        <w:t>kappa</w:t>
      </w:r>
      <w:r w:rsidR="002922EA">
        <w:t xml:space="preserve">, and ICC </w:t>
      </w:r>
      <w:r>
        <w:t>analyses</w:t>
      </w:r>
      <w:r w:rsidRPr="00703B1B">
        <w:t xml:space="preserve">. </w:t>
      </w:r>
    </w:p>
    <w:p w:rsidR="00F32902" w:rsidRDefault="00482259" w:rsidP="00C11A7D">
      <w:pPr>
        <w:spacing w:line="360" w:lineRule="auto"/>
        <w:jc w:val="both"/>
      </w:pPr>
      <w:r w:rsidRPr="00703B1B">
        <w:rPr>
          <w:b/>
          <w:bCs/>
        </w:rPr>
        <w:t>Results:</w:t>
      </w:r>
      <w:r w:rsidRPr="00703B1B">
        <w:t xml:space="preserve"> </w:t>
      </w:r>
      <w:r w:rsidR="00B35EE5" w:rsidRPr="00703B1B">
        <w:t xml:space="preserve">The </w:t>
      </w:r>
      <w:r w:rsidR="00B35EE5">
        <w:rPr>
          <w:i/>
          <w:iCs/>
        </w:rPr>
        <w:t>FFB-S</w:t>
      </w:r>
      <w:r w:rsidR="00B35EE5" w:rsidRPr="00703B1B">
        <w:rPr>
          <w:i/>
          <w:iCs/>
        </w:rPr>
        <w:t>core</w:t>
      </w:r>
      <w:r w:rsidR="00B35EE5" w:rsidRPr="00703B1B">
        <w:t xml:space="preserve"> assesses 9 forefoot regions a</w:t>
      </w:r>
      <w:r w:rsidR="00B35EE5">
        <w:t>nd contains 4</w:t>
      </w:r>
      <w:r w:rsidR="00B35EE5" w:rsidRPr="00703B1B">
        <w:t xml:space="preserve"> items; presence, shape, enhancement, and </w:t>
      </w:r>
      <w:r w:rsidR="00B35EE5">
        <w:t>MR</w:t>
      </w:r>
      <w:r w:rsidR="00B35EE5" w:rsidRPr="00703B1B">
        <w:t xml:space="preserve"> characteristics</w:t>
      </w:r>
      <w:r w:rsidR="00B35EE5">
        <w:t xml:space="preserve">. </w:t>
      </w:r>
      <w:r w:rsidR="008B42D0">
        <w:t>T</w:t>
      </w:r>
      <w:r w:rsidRPr="00703B1B">
        <w:t xml:space="preserve">he </w:t>
      </w:r>
      <w:r w:rsidR="00E315AC">
        <w:rPr>
          <w:i/>
          <w:iCs/>
        </w:rPr>
        <w:t>FFB-S</w:t>
      </w:r>
      <w:r w:rsidRPr="00703B1B">
        <w:rPr>
          <w:i/>
          <w:iCs/>
        </w:rPr>
        <w:t>core</w:t>
      </w:r>
      <w:r w:rsidRPr="00703B1B">
        <w:t xml:space="preserve"> </w:t>
      </w:r>
      <w:r>
        <w:t xml:space="preserve">showed </w:t>
      </w:r>
      <w:r w:rsidR="004C695B">
        <w:t>moderate</w:t>
      </w:r>
      <w:r w:rsidR="00190997">
        <w:t xml:space="preserve"> to </w:t>
      </w:r>
      <w:r>
        <w:t>good</w:t>
      </w:r>
      <w:r w:rsidR="008B42D0">
        <w:t xml:space="preserve"> intra/inter-</w:t>
      </w:r>
      <w:r w:rsidR="00E315AC">
        <w:t xml:space="preserve">reader </w:t>
      </w:r>
      <w:r w:rsidR="008B42D0">
        <w:t xml:space="preserve">agreement </w:t>
      </w:r>
      <w:r w:rsidR="00E315AC">
        <w:t>(kappa range=</w:t>
      </w:r>
      <w:r>
        <w:t>0.5-0.9</w:t>
      </w:r>
      <w:r w:rsidR="008B42D0">
        <w:t xml:space="preserve">, </w:t>
      </w:r>
      <w:r>
        <w:t>0.47-0.87</w:t>
      </w:r>
      <w:r w:rsidR="008B42D0">
        <w:t xml:space="preserve"> respectively</w:t>
      </w:r>
      <w:r w:rsidRPr="00703B1B">
        <w:t xml:space="preserve">). </w:t>
      </w:r>
    </w:p>
    <w:p w:rsidR="00482259" w:rsidRDefault="00482259" w:rsidP="00C11A7D">
      <w:pPr>
        <w:spacing w:line="360" w:lineRule="auto"/>
        <w:jc w:val="both"/>
        <w:rPr>
          <w:rFonts w:cs="Arial"/>
          <w:color w:val="231F20"/>
          <w:lang w:val="en-US"/>
        </w:rPr>
      </w:pPr>
      <w:r w:rsidRPr="00703B1B">
        <w:rPr>
          <w:b/>
          <w:bCs/>
        </w:rPr>
        <w:t>Conclusion:</w:t>
      </w:r>
      <w:r w:rsidRPr="00703B1B">
        <w:t xml:space="preserve"> </w:t>
      </w:r>
      <w:r w:rsidRPr="002A7724">
        <w:t xml:space="preserve">The </w:t>
      </w:r>
      <w:r w:rsidRPr="002A7724">
        <w:rPr>
          <w:i/>
          <w:iCs/>
        </w:rPr>
        <w:t>FFB-Score</w:t>
      </w:r>
      <w:r w:rsidR="008B42D0">
        <w:t xml:space="preserve"> is </w:t>
      </w:r>
      <w:r w:rsidR="002922EA">
        <w:t xml:space="preserve">adequately </w:t>
      </w:r>
      <w:r w:rsidRPr="002A7724">
        <w:t xml:space="preserve">reliable </w:t>
      </w:r>
      <w:r w:rsidR="008B42D0">
        <w:t xml:space="preserve">in </w:t>
      </w:r>
      <w:r w:rsidRPr="002A7724">
        <w:t xml:space="preserve">the </w:t>
      </w:r>
      <w:r w:rsidR="008B42D0">
        <w:t xml:space="preserve">evaluation </w:t>
      </w:r>
      <w:r w:rsidRPr="002A7724">
        <w:t xml:space="preserve">of </w:t>
      </w:r>
      <w:r w:rsidR="002922EA">
        <w:t>bursa-like lesions of the forefoot</w:t>
      </w:r>
      <w:r w:rsidR="002922EA" w:rsidRPr="002A7724">
        <w:t xml:space="preserve"> </w:t>
      </w:r>
      <w:r w:rsidRPr="002A7724">
        <w:t xml:space="preserve">in patients with RA. </w:t>
      </w:r>
    </w:p>
    <w:p w:rsidR="00E315AC" w:rsidRDefault="00E315AC" w:rsidP="00B22B08">
      <w:pPr>
        <w:rPr>
          <w:b/>
          <w:bCs/>
        </w:rPr>
      </w:pPr>
    </w:p>
    <w:p w:rsidR="00B22B08" w:rsidRDefault="00B22B08" w:rsidP="00217E75">
      <w:pPr>
        <w:rPr>
          <w:rFonts w:cs="Arial"/>
          <w:b/>
          <w:bCs/>
        </w:rPr>
      </w:pPr>
      <w:r>
        <w:rPr>
          <w:b/>
          <w:bCs/>
        </w:rPr>
        <w:t xml:space="preserve">Key words: </w:t>
      </w:r>
      <w:r>
        <w:t xml:space="preserve">Magnetic Resonance Imaging, Rheumatoid Arthritis, </w:t>
      </w:r>
      <w:r w:rsidR="00217E75">
        <w:t>Foot, Synovium, Radiology, Outcome measures</w:t>
      </w:r>
    </w:p>
    <w:p w:rsidR="00482259" w:rsidRPr="00BE660B" w:rsidRDefault="00B22B08" w:rsidP="00E315AC">
      <w:pPr>
        <w:spacing w:after="0" w:line="360" w:lineRule="auto"/>
        <w:rPr>
          <w:rFonts w:cs="Arial"/>
        </w:rPr>
      </w:pPr>
      <w:r>
        <w:rPr>
          <w:rFonts w:cs="Arial"/>
        </w:rPr>
        <w:br w:type="page"/>
      </w:r>
      <w:r w:rsidR="00482259" w:rsidRPr="0001581D">
        <w:rPr>
          <w:b/>
          <w:bCs/>
        </w:rPr>
        <w:lastRenderedPageBreak/>
        <w:t>INTRODUCTION</w:t>
      </w:r>
    </w:p>
    <w:p w:rsidR="00482259" w:rsidRDefault="00BD1140" w:rsidP="00BD1140">
      <w:pPr>
        <w:spacing w:line="360" w:lineRule="auto"/>
        <w:jc w:val="both"/>
      </w:pPr>
      <w:r>
        <w:t>A</w:t>
      </w:r>
      <w:r w:rsidR="00482259" w:rsidRPr="001E778A">
        <w:t xml:space="preserve"> high prevalence of bursa</w:t>
      </w:r>
      <w:r w:rsidR="00482259">
        <w:t>-like lesions</w:t>
      </w:r>
      <w:r w:rsidR="00482259" w:rsidRPr="001E778A">
        <w:t xml:space="preserve"> (FFB</w:t>
      </w:r>
      <w:r w:rsidR="00482259">
        <w:t>)</w:t>
      </w:r>
      <w:r w:rsidR="00482259" w:rsidRPr="001E778A">
        <w:t xml:space="preserve"> in </w:t>
      </w:r>
      <w:r w:rsidR="00F61349">
        <w:t xml:space="preserve">the forefoot of </w:t>
      </w:r>
      <w:r w:rsidR="00482259" w:rsidRPr="001E778A">
        <w:t>patients with rheumatoid arthr</w:t>
      </w:r>
      <w:r w:rsidR="00EC2FC4">
        <w:t xml:space="preserve">itis (RA) </w:t>
      </w:r>
      <w:r w:rsidR="00EB1785">
        <w:t xml:space="preserve">has been reported </w:t>
      </w:r>
      <w:r w:rsidR="00EC2FC4">
        <w:t>using ultrasound (US)</w:t>
      </w:r>
      <w:r w:rsidR="00FD04A6">
        <w:fldChar w:fldCharType="begin"/>
      </w:r>
      <w:r w:rsidR="00F32902">
        <w:instrText xml:space="preserve"> ADDIN EN.CITE &lt;EndNote&gt;&lt;Cite&gt;&lt;Author&gt;Bowen&lt;/Author&gt;&lt;Year&gt;2010&lt;/Year&gt;&lt;RecNum&gt;8505&lt;/RecNum&gt;&lt;record&gt;&lt;rec-number&gt;8505&lt;/rec-number&gt;&lt;foreign-keys&gt;&lt;key app="EN" db-id="2pva02r23zrr2jet0e5pzdxo5zat9wsvs0av"&gt;8505&lt;/key&gt;&lt;/foreign-keys&gt;&lt;ref-type name="Journal Article"&gt;17&lt;/ref-type&gt;&lt;contributors&gt;&lt;authors&gt;&lt;author&gt;Bowen, C. J.&lt;/author&gt;&lt;author&gt;Hooper, L.&lt;/author&gt;&lt;author&gt;Culliford, D.&lt;/author&gt;&lt;author&gt;Dewbury, K.&lt;/author&gt;&lt;author&gt;Sampson, M.&lt;/author&gt;&lt;author&gt;Burridge, J.&lt;/author&gt;&lt;author&gt;Edwards, C. J.&lt;/author&gt;&lt;author&gt;Arden, N. K.&lt;/author&gt;&lt;/authors&gt;&lt;/contributors&gt;&lt;auth-address&gt;University of Southampton, Southampton University Hospitals National Health Service Trust, Southampton, UK. cjb5@soton.ac.uk&lt;/auth-address&gt;&lt;titles&gt;&lt;title&gt;Assessment of the natural history of forefoot bursae using ultrasonography in patients with rheumatoid arthritis: a twelve-month investigation&lt;/title&gt;&lt;secondary-title&gt;Arthritis Care Res (Hoboken)&lt;/secondary-title&gt;&lt;/titles&gt;&lt;periodical&gt;&lt;full-title&gt;Arthritis Care Res (Hoboken)&lt;/full-title&gt;&lt;/periodical&gt;&lt;pages&gt;1756-62&lt;/pages&gt;&lt;volume&gt;62&lt;/volume&gt;&lt;number&gt;12&lt;/number&gt;&lt;edition&gt;2010/08/20&lt;/edition&gt;&lt;dates&gt;&lt;year&gt;2010&lt;/year&gt;&lt;pub-dates&gt;&lt;date&gt;Dec&lt;/date&gt;&lt;/pub-dates&gt;&lt;/dates&gt;&lt;isbn&gt;2151-4658 (Electronic)&lt;/isbn&gt;&lt;accession-num&gt;20722046&lt;/accession-num&gt;&lt;urls&gt;&lt;related-urls&gt;&lt;url&gt;http://onlinelibrary.wiley.com/doi/10.1002/acr.20326/abstract;jsessionid=3006ACFAED2C4FDE3F8FD08BA70E2F99.d02t01&lt;/url&gt;&lt;url&gt;http://www.ncbi.nlm.nih.gov/entrez/query.fcgi?cmd=Retrieve&amp;amp;db=PubMed&amp;amp;dopt=Citation&amp;amp;list_uids=20722046&lt;/url&gt;&lt;url&gt;http://onlinelibrary.wiley.com/doi/10.1002/acr.20326/pdf&lt;/url&gt;&lt;/related-urls&gt;&lt;/urls&gt;&lt;electronic-resource-num&gt;10.1002/acr.20326&lt;/electronic-resource-num&gt;&lt;language&gt;eng&lt;/language&gt;&lt;/record&gt;&lt;/Cite&gt;&lt;/EndNote&gt;</w:instrText>
      </w:r>
      <w:r w:rsidR="00FD04A6">
        <w:fldChar w:fldCharType="separate"/>
      </w:r>
      <w:r w:rsidR="002B7732">
        <w:rPr>
          <w:noProof/>
        </w:rPr>
        <w:t>[</w:t>
      </w:r>
      <w:hyperlink w:anchor="_ENREF_1" w:tooltip="Bowen, 2010 #8505" w:history="1">
        <w:r w:rsidR="002B7732">
          <w:rPr>
            <w:noProof/>
          </w:rPr>
          <w:t>1</w:t>
        </w:r>
      </w:hyperlink>
      <w:r w:rsidR="002B7732">
        <w:rPr>
          <w:noProof/>
        </w:rPr>
        <w:t>]</w:t>
      </w:r>
      <w:r w:rsidR="00FD04A6">
        <w:fldChar w:fldCharType="end"/>
      </w:r>
      <w:r w:rsidR="00482259" w:rsidRPr="001E778A">
        <w:t xml:space="preserve">. </w:t>
      </w:r>
      <w:r w:rsidR="00482259">
        <w:t xml:space="preserve">FFB </w:t>
      </w:r>
      <w:r>
        <w:t xml:space="preserve"> are associated with </w:t>
      </w:r>
      <w:r w:rsidR="00482259" w:rsidRPr="001E778A">
        <w:t xml:space="preserve">increased </w:t>
      </w:r>
      <w:r w:rsidR="00F61349">
        <w:t xml:space="preserve">RA </w:t>
      </w:r>
      <w:r w:rsidR="00482259" w:rsidRPr="001E778A">
        <w:t xml:space="preserve">disease activity </w:t>
      </w:r>
      <w:r w:rsidR="00FD04A6">
        <w:fldChar w:fldCharType="begin">
          <w:fldData xml:space="preserve">PEVuZE5vdGU+PENpdGU+PEF1dGhvcj5Cb3dlbjwvQXV0aG9yPjxZZWFyPjIwMTA8L1llYXI+PFJl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</w:fldData>
        </w:fldChar>
      </w:r>
      <w:r w:rsidR="00F32902">
        <w:instrText xml:space="preserve"> ADDIN EN.CITE </w:instrText>
      </w:r>
      <w:r w:rsidR="00F32902">
        <w:fldChar w:fldCharType="begin">
          <w:fldData xml:space="preserve">PEVuZE5vdGU+PENpdGU+PEF1dGhvcj5Cb3dlbjwvQXV0aG9yPjxZZWFyPjIwMTA8L1llYXI+PFJl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</w:fldData>
        </w:fldChar>
      </w:r>
      <w:r w:rsidR="00F32902">
        <w:instrText xml:space="preserve"> ADDIN EN.CITE.DATA </w:instrText>
      </w:r>
      <w:r w:rsidR="00F32902">
        <w:fldChar w:fldCharType="end"/>
      </w:r>
      <w:r w:rsidR="00FD04A6">
        <w:fldChar w:fldCharType="separate"/>
      </w:r>
      <w:r w:rsidR="002B7732">
        <w:rPr>
          <w:noProof/>
        </w:rPr>
        <w:t>[</w:t>
      </w:r>
      <w:hyperlink w:anchor="_ENREF_1" w:tooltip="Bowen, 2010 #8505" w:history="1">
        <w:r w:rsidR="002B7732">
          <w:rPr>
            <w:noProof/>
          </w:rPr>
          <w:t>1</w:t>
        </w:r>
      </w:hyperlink>
      <w:r w:rsidR="002B7732">
        <w:rPr>
          <w:noProof/>
        </w:rPr>
        <w:t xml:space="preserve">, </w:t>
      </w:r>
      <w:hyperlink w:anchor="_ENREF_2" w:tooltip="Koski, 1998 #7242" w:history="1">
        <w:r w:rsidR="002B7732">
          <w:rPr>
            <w:noProof/>
          </w:rPr>
          <w:t>2</w:t>
        </w:r>
      </w:hyperlink>
      <w:r w:rsidR="002B7732">
        <w:rPr>
          <w:noProof/>
        </w:rPr>
        <w:t>]</w:t>
      </w:r>
      <w:r w:rsidR="00FD04A6">
        <w:fldChar w:fldCharType="end"/>
      </w:r>
      <w:r w:rsidR="00482259">
        <w:t xml:space="preserve">, and </w:t>
      </w:r>
      <w:r w:rsidR="00F61349">
        <w:t xml:space="preserve">appear </w:t>
      </w:r>
      <w:r w:rsidR="00482259" w:rsidRPr="001E778A">
        <w:t xml:space="preserve">to be a prognostic indicator of foot-related disability </w:t>
      </w:r>
      <w:r w:rsidR="00FD04A6">
        <w:fldChar w:fldCharType="begin"/>
      </w:r>
      <w:r w:rsidR="00F32902">
        <w:instrText xml:space="preserve"> ADDIN EN.CITE &lt;EndNote&gt;&lt;Cite&gt;&lt;Author&gt;Hooper&lt;/Author&gt;&lt;Year&gt;2012&lt;/Year&gt;&lt;RecNum&gt;12801&lt;/RecNum&gt;&lt;record&gt;&lt;rec-number&gt;12801&lt;/rec-number&gt;&lt;foreign-keys&gt;&lt;key app="EN" db-id="2pva02r23zrr2jet0e5pzdxo5zat9wsvs0av"&gt;12801&lt;/key&gt;&lt;/foreign-keys&gt;&lt;ref-type name="Journal Article"&gt;17&lt;/ref-type&gt;&lt;contributors&gt;&lt;authors&gt;&lt;author&gt;Hooper, L.&lt;/author&gt;&lt;author&gt;Bowen, C. J.&lt;/author&gt;&lt;author&gt;Gates, L.&lt;/author&gt;&lt;author&gt;Culliford, D. J.&lt;/author&gt;&lt;author&gt;Ball, C.&lt;/author&gt;&lt;author&gt;Edwards, C. J.&lt;/author&gt;&lt;author&gt;Arden, N. K.&lt;/author&gt;&lt;/authors&gt;&lt;/contributors&gt;&lt;auth-address&gt;University of Southampton, Faculty of Health Sciences &amp;amp; Faculty of Medicine; University Hospital Southampton NHS Foundation Trust, Department of Rheumatology; University of Oxford, NIHR Musculoskeletal BRU. l.hooper@soton.ac.uk.&lt;/auth-address&gt;&lt;titles&gt;&lt;title&gt;Prognostic indicators of foot related disability in patients with RA: Results of a prospective three-year study&lt;/title&gt;&lt;secondary-title&gt;Arthritis Care Res (Hoboken)&lt;/secondary-title&gt;&lt;/titles&gt;&lt;periodical&gt;&lt;full-title&gt;Arthritis Care Res (Hoboken)&lt;/full-title&gt;&lt;/periodical&gt;&lt;edition&gt;2012/03/17&lt;/edition&gt;&lt;dates&gt;&lt;year&gt;2012&lt;/year&gt;&lt;pub-dates&gt;&lt;date&gt;Mar 15&lt;/date&gt;&lt;/pub-dates&gt;&lt;/dates&gt;&lt;isbn&gt;2151-4658 (Electronic)&amp;#xD;2151-464X (Linking)&lt;/isbn&gt;&lt;accession-num&gt;22422621&lt;/accession-num&gt;&lt;urls&gt;&lt;related-urls&gt;&lt;url&gt;http://www.ncbi.nlm.nih.gov/pubmed/22422621&lt;/url&gt;&lt;url&gt;http://onlinelibrary.wiley.com/store/10.1002/acr.21672/asset/21672_ftp.pdf?v=1&amp;amp;t=hdonooda&amp;amp;s=1e1905bc2ec9b25a4113b4944e13178ddd2ef5fd&lt;/url&gt;&lt;/related-urls&gt;&lt;/urls&gt;&lt;electronic-resource-num&gt;10.1002/acr.21672&lt;/electronic-resource-num&gt;&lt;language&gt;Eng&lt;/language&gt;&lt;/record&gt;&lt;/Cite&gt;&lt;/EndNote&gt;</w:instrText>
      </w:r>
      <w:r w:rsidR="00FD04A6">
        <w:fldChar w:fldCharType="separate"/>
      </w:r>
      <w:r w:rsidR="002B7732">
        <w:rPr>
          <w:noProof/>
        </w:rPr>
        <w:t>[</w:t>
      </w:r>
      <w:hyperlink w:anchor="_ENREF_3" w:tooltip="Hooper, 2012 #12801" w:history="1">
        <w:r w:rsidR="002B7732">
          <w:rPr>
            <w:noProof/>
          </w:rPr>
          <w:t>3</w:t>
        </w:r>
      </w:hyperlink>
      <w:r w:rsidR="002B7732">
        <w:rPr>
          <w:noProof/>
        </w:rPr>
        <w:t>]</w:t>
      </w:r>
      <w:r w:rsidR="00FD04A6">
        <w:fldChar w:fldCharType="end"/>
      </w:r>
      <w:r w:rsidR="00482259">
        <w:t xml:space="preserve">. </w:t>
      </w:r>
      <w:r>
        <w:t>I</w:t>
      </w:r>
      <w:r w:rsidR="00482259">
        <w:t>nvestigations of FF</w:t>
      </w:r>
      <w:r w:rsidR="00190997">
        <w:t>B</w:t>
      </w:r>
      <w:r w:rsidR="00482259">
        <w:t xml:space="preserve"> have not</w:t>
      </w:r>
      <w:r>
        <w:t xml:space="preserve"> </w:t>
      </w:r>
      <w:r w:rsidR="00525D5C">
        <w:t>yet characterised</w:t>
      </w:r>
      <w:r w:rsidR="00482259">
        <w:t xml:space="preserve"> </w:t>
      </w:r>
      <w:r>
        <w:t xml:space="preserve">the underlying </w:t>
      </w:r>
      <w:r w:rsidR="00EC2FC4">
        <w:t>pathophysiolog</w:t>
      </w:r>
      <w:r>
        <w:t>y</w:t>
      </w:r>
      <w:r w:rsidR="00EC2FC4">
        <w:t xml:space="preserve"> </w:t>
      </w:r>
      <w:r w:rsidR="00482259">
        <w:t xml:space="preserve">and it is possible that </w:t>
      </w:r>
      <w:r>
        <w:t xml:space="preserve">a </w:t>
      </w:r>
      <w:r w:rsidR="00482259">
        <w:t>rang</w:t>
      </w:r>
      <w:r>
        <w:t>e</w:t>
      </w:r>
      <w:r w:rsidR="00482259">
        <w:t xml:space="preserve"> of bursa-like lesions have been </w:t>
      </w:r>
      <w:r w:rsidR="00EC2FC4">
        <w:t>reported</w:t>
      </w:r>
      <w:r w:rsidR="00482259">
        <w:t xml:space="preserve">. </w:t>
      </w:r>
      <w:r w:rsidR="00482259" w:rsidRPr="001E778A">
        <w:t xml:space="preserve">Accurately </w:t>
      </w:r>
      <w:r w:rsidR="00482259">
        <w:t xml:space="preserve">characterising </w:t>
      </w:r>
      <w:r w:rsidR="00482259" w:rsidRPr="001E778A">
        <w:t>FFB wou</w:t>
      </w:r>
      <w:r w:rsidR="00482259">
        <w:t xml:space="preserve">ld inform future studies of targeted intervention. </w:t>
      </w:r>
    </w:p>
    <w:p w:rsidR="00482259" w:rsidRPr="00F72423" w:rsidRDefault="00482259" w:rsidP="002B7732">
      <w:pPr>
        <w:spacing w:line="360" w:lineRule="auto"/>
        <w:jc w:val="both"/>
        <w:rPr>
          <w:rFonts w:cs="Arial"/>
        </w:rPr>
      </w:pPr>
      <w:r w:rsidRPr="001E778A">
        <w:t xml:space="preserve">Magnetic Resonance Imaging (MRI) allows </w:t>
      </w:r>
      <w:r>
        <w:t xml:space="preserve">multi-planar </w:t>
      </w:r>
      <w:r w:rsidRPr="001E778A">
        <w:t xml:space="preserve">visualisation </w:t>
      </w:r>
      <w:r>
        <w:t xml:space="preserve">of the forefoot with differentiation and </w:t>
      </w:r>
      <w:r w:rsidRPr="001E778A">
        <w:t xml:space="preserve">characterisation of </w:t>
      </w:r>
      <w:r>
        <w:t xml:space="preserve">soft tissues </w:t>
      </w:r>
      <w:r w:rsidRPr="00F022F3">
        <w:t>structures</w:t>
      </w:r>
      <w:r w:rsidR="002B7732">
        <w:t xml:space="preserve"> </w:t>
      </w:r>
      <w:r w:rsidR="00FD04A6">
        <w:fldChar w:fldCharType="begin">
          <w:fldData xml:space="preserve">PEVuZE5vdGU+PENpdGU+PEF1dGhvcj5Pc3RlcmdhYXJkPC9BdXRob3I+PFllYXI+MjAwNDwvWWVh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</w:fldData>
        </w:fldChar>
      </w:r>
      <w:r w:rsidR="00F32902">
        <w:instrText xml:space="preserve"> ADDIN EN.CITE </w:instrText>
      </w:r>
      <w:r w:rsidR="00F32902">
        <w:fldChar w:fldCharType="begin">
          <w:fldData xml:space="preserve">PEVuZE5vdGU+PENpdGU+PEF1dGhvcj5Pc3RlcmdhYXJkPC9BdXRob3I+PFllYXI+MjAwNDwvWWVh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</w:fldData>
        </w:fldChar>
      </w:r>
      <w:r w:rsidR="00F32902">
        <w:instrText xml:space="preserve"> ADDIN EN.CITE.DATA </w:instrText>
      </w:r>
      <w:r w:rsidR="00F32902">
        <w:fldChar w:fldCharType="end"/>
      </w:r>
      <w:r w:rsidR="00FD04A6">
        <w:fldChar w:fldCharType="separate"/>
      </w:r>
      <w:r w:rsidR="002B7732">
        <w:rPr>
          <w:noProof/>
        </w:rPr>
        <w:t>[</w:t>
      </w:r>
      <w:hyperlink w:anchor="_ENREF_4" w:tooltip="Ostergaard, 2004 #8598" w:history="1">
        <w:r w:rsidR="002B7732">
          <w:rPr>
            <w:noProof/>
          </w:rPr>
          <w:t>4</w:t>
        </w:r>
      </w:hyperlink>
      <w:r w:rsidR="002B7732">
        <w:rPr>
          <w:noProof/>
        </w:rPr>
        <w:t xml:space="preserve">, </w:t>
      </w:r>
      <w:hyperlink w:anchor="_ENREF_5" w:tooltip="Haavardsholm, 2005 #8664" w:history="1">
        <w:r w:rsidR="002B7732">
          <w:rPr>
            <w:noProof/>
          </w:rPr>
          <w:t>5</w:t>
        </w:r>
      </w:hyperlink>
      <w:r w:rsidR="002B7732">
        <w:rPr>
          <w:noProof/>
        </w:rPr>
        <w:t>]</w:t>
      </w:r>
      <w:r w:rsidR="00FD04A6">
        <w:fldChar w:fldCharType="end"/>
      </w:r>
      <w:r w:rsidRPr="00F022F3">
        <w:t xml:space="preserve">. MRI has greater sensitivity and specificity </w:t>
      </w:r>
      <w:r w:rsidR="004152A0">
        <w:t>for</w:t>
      </w:r>
      <w:r w:rsidR="004152A0" w:rsidRPr="00F022F3">
        <w:t xml:space="preserve"> </w:t>
      </w:r>
      <w:r w:rsidRPr="00F022F3">
        <w:t>RA disease activity within peripheral joints than US</w:t>
      </w:r>
      <w:r w:rsidR="00EB1785">
        <w:t xml:space="preserve"> or clinical examination</w:t>
      </w:r>
      <w:r w:rsidRPr="00F022F3">
        <w:t xml:space="preserve"> which </w:t>
      </w:r>
      <w:r w:rsidR="00EB1785">
        <w:t xml:space="preserve">can both be highly </w:t>
      </w:r>
      <w:r w:rsidRPr="00F022F3">
        <w:t>operator dependent</w:t>
      </w:r>
      <w:r w:rsidR="002B7732">
        <w:t xml:space="preserve"> </w:t>
      </w:r>
      <w:r w:rsidR="00FD04A6">
        <w:fldChar w:fldCharType="begin"/>
      </w:r>
      <w:r w:rsidR="00F32902">
        <w:instrText xml:space="preserve"> ADDIN EN.CITE &lt;EndNote&gt;&lt;Cite&gt;&lt;Author&gt;Bancroft&lt;/Author&gt;&lt;Year&gt;2008&lt;/Year&gt;&lt;RecNum&gt;714&lt;/RecNum&gt;&lt;record&gt;&lt;rec-number&gt;714&lt;/rec-number&gt;&lt;foreign-keys&gt;&lt;key app="EN" db-id="2pva02r23zrr2jet0e5pzdxo5zat9wsvs0av"&gt;714&lt;/key&gt;&lt;/foreign-keys&gt;&lt;ref-type name="Journal Article"&gt;17&lt;/ref-type&gt;&lt;contributors&gt;&lt;authors&gt;&lt;author&gt;Bancroft, L. W.&lt;/author&gt;&lt;author&gt;Peterson, J. J.&lt;/author&gt;&lt;author&gt;Kransdorf, M. J.&lt;/author&gt;&lt;/authors&gt;&lt;/contributors&gt;&lt;auth-address&gt;Department of Radiology, University of Central Florida, Florida Hospital, 601 East Rollins Street, Orlando, FL 32803, USA&lt;/auth-address&gt;&lt;titles&gt;&lt;title&gt;Imaging of soft tissue lesions of the foot and ankle&lt;/title&gt;&lt;secondary-title&gt;Radiologic Clinics of North America&lt;/secondary-title&gt;&lt;/titles&gt;&lt;periodical&gt;&lt;full-title&gt;Radiologic Clinics of North America&lt;/full-title&gt;&lt;/periodical&gt;&lt;pages&gt;1093-1103&lt;/pages&gt;&lt;volume&gt;46&lt;/volume&gt;&lt;number&gt;6&lt;/number&gt;&lt;keywords&gt;&lt;keyword&gt;Ankle&lt;/keyword&gt;&lt;keyword&gt;Diagnostic Imaging&lt;/keyword&gt;&lt;keyword&gt;Foot&lt;/keyword&gt;&lt;keyword&gt;Neoplasms, Connective and Soft Tissue&lt;/keyword&gt;&lt;keyword&gt;Chondroma&lt;/keyword&gt;&lt;keyword&gt;Ganglia&lt;/keyword&gt;&lt;keyword&gt;Gout&lt;/keyword&gt;&lt;keyword&gt;Lipoma&lt;/keyword&gt;&lt;keyword&gt;Sarcoma&lt;/keyword&gt;&lt;keyword&gt;Synovial Cyst&lt;/keyword&gt;&lt;/keywords&gt;&lt;dates&gt;&lt;year&gt;2008&lt;/year&gt;&lt;/dates&gt;&lt;isbn&gt;0033-8389&lt;/isbn&gt;&lt;urls&gt;&lt;related-urls&gt;&lt;url&gt;http://search.ebscohost.com/login.aspx?direct=true&amp;amp;db=cin20&amp;amp;AN=2010141786&amp;amp;site=ehost-live&lt;/url&gt;&lt;url&gt;Publisher URL: www.cinahl.com/cgi-bin/refsvc?jid=1342&amp;amp;accno=2010141786&lt;/url&gt;&lt;/related-urls&gt;&lt;/urls&gt;&lt;/record&gt;&lt;/Cite&gt;&lt;/EndNote&gt;</w:instrText>
      </w:r>
      <w:r w:rsidR="00FD04A6">
        <w:fldChar w:fldCharType="separate"/>
      </w:r>
      <w:r w:rsidR="002B7732">
        <w:rPr>
          <w:noProof/>
        </w:rPr>
        <w:t>[</w:t>
      </w:r>
      <w:hyperlink w:anchor="_ENREF_6" w:tooltip="Bancroft, 2008 #714" w:history="1">
        <w:r w:rsidR="002B7732">
          <w:rPr>
            <w:noProof/>
          </w:rPr>
          <w:t>6</w:t>
        </w:r>
      </w:hyperlink>
      <w:r w:rsidR="002B7732">
        <w:rPr>
          <w:noProof/>
        </w:rPr>
        <w:t>]</w:t>
      </w:r>
      <w:r w:rsidR="00FD04A6">
        <w:fldChar w:fldCharType="end"/>
      </w:r>
      <w:r>
        <w:t>,</w:t>
      </w:r>
      <w:r w:rsidRPr="00F022F3">
        <w:t xml:space="preserve"> or clinical examination</w:t>
      </w:r>
      <w:r w:rsidR="00FD04A6">
        <w:fldChar w:fldCharType="begin">
          <w:fldData xml:space="preserve">PEVuZE5vdGU+PENpdGU+PEF1dGhvcj5Pc3RlcmdhYXJkPC9BdXRob3I+PFllYXI+MjAwMzwvWWVh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</w:fldData>
        </w:fldChar>
      </w:r>
      <w:r w:rsidR="00F32902">
        <w:instrText xml:space="preserve"> ADDIN EN.CITE </w:instrText>
      </w:r>
      <w:r w:rsidR="00F32902">
        <w:fldChar w:fldCharType="begin">
          <w:fldData xml:space="preserve">PEVuZE5vdGU+PENpdGU+PEF1dGhvcj5Pc3RlcmdhYXJkPC9BdXRob3I+PFllYXI+MjAwMzwvWWVh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</w:fldData>
        </w:fldChar>
      </w:r>
      <w:r w:rsidR="00F32902">
        <w:instrText xml:space="preserve"> ADDIN EN.CITE.DATA </w:instrText>
      </w:r>
      <w:r w:rsidR="00F32902">
        <w:fldChar w:fldCharType="end"/>
      </w:r>
      <w:r w:rsidR="00FD04A6">
        <w:fldChar w:fldCharType="separate"/>
      </w:r>
      <w:r w:rsidR="002B7732">
        <w:rPr>
          <w:noProof/>
        </w:rPr>
        <w:t>[</w:t>
      </w:r>
      <w:hyperlink w:anchor="_ENREF_7" w:tooltip="Ostergaard, 2003 #8556" w:history="1">
        <w:r w:rsidR="002B7732">
          <w:rPr>
            <w:noProof/>
          </w:rPr>
          <w:t>7-9</w:t>
        </w:r>
      </w:hyperlink>
      <w:r w:rsidR="002B7732">
        <w:rPr>
          <w:noProof/>
        </w:rPr>
        <w:t>]</w:t>
      </w:r>
      <w:r w:rsidR="00FD04A6">
        <w:fldChar w:fldCharType="end"/>
      </w:r>
      <w:r w:rsidRPr="00F022F3">
        <w:t>.</w:t>
      </w:r>
      <w:r>
        <w:t xml:space="preserve"> MRI is potentially </w:t>
      </w:r>
      <w:r w:rsidRPr="001E778A">
        <w:t>an observer-independent</w:t>
      </w:r>
      <w:r w:rsidR="00DE01A2">
        <w:t xml:space="preserve"> </w:t>
      </w:r>
      <w:r w:rsidRPr="001E778A">
        <w:t xml:space="preserve">method of characterising FFB in patients with RA. </w:t>
      </w:r>
      <w:r>
        <w:t>T</w:t>
      </w:r>
      <w:r w:rsidRPr="001E778A">
        <w:t xml:space="preserve">he aim of this study was to determine the reliability of a novel MRI-based </w:t>
      </w:r>
      <w:r>
        <w:t>score</w:t>
      </w:r>
      <w:r w:rsidRPr="001E778A">
        <w:t xml:space="preserve"> for the evaluation of FFB in patients with RA. </w:t>
      </w:r>
    </w:p>
    <w:p w:rsidR="00482259" w:rsidRDefault="00482259" w:rsidP="00BF4062">
      <w:pPr>
        <w:rPr>
          <w:rFonts w:cs="Arial"/>
          <w:b/>
          <w:bCs/>
        </w:rPr>
      </w:pPr>
      <w:r w:rsidRPr="0001581D">
        <w:rPr>
          <w:b/>
          <w:bCs/>
        </w:rPr>
        <w:t>METHODS</w:t>
      </w:r>
    </w:p>
    <w:p w:rsidR="00482259" w:rsidRDefault="00482259" w:rsidP="00C11A7D">
      <w:pPr>
        <w:spacing w:after="0" w:line="360" w:lineRule="auto"/>
        <w:rPr>
          <w:b/>
          <w:bCs/>
        </w:rPr>
      </w:pPr>
      <w:r>
        <w:rPr>
          <w:b/>
          <w:bCs/>
        </w:rPr>
        <w:t>Study design</w:t>
      </w:r>
    </w:p>
    <w:p w:rsidR="00482259" w:rsidRPr="001E778A" w:rsidRDefault="00482259" w:rsidP="00F76231">
      <w:pPr>
        <w:spacing w:line="360" w:lineRule="auto"/>
        <w:jc w:val="both"/>
        <w:rPr>
          <w:rFonts w:cs="Arial"/>
        </w:rPr>
      </w:pPr>
      <w:r>
        <w:t>A</w:t>
      </w:r>
      <w:r w:rsidR="00EC2FC4">
        <w:t>n</w:t>
      </w:r>
      <w:r w:rsidRPr="001E778A">
        <w:t xml:space="preserve"> </w:t>
      </w:r>
      <w:r w:rsidR="00EC2FC4">
        <w:t>iterative</w:t>
      </w:r>
      <w:r w:rsidRPr="001E778A">
        <w:t xml:space="preserve"> process of </w:t>
      </w:r>
      <w:r w:rsidR="00EC2FC4">
        <w:t>score</w:t>
      </w:r>
      <w:r w:rsidRPr="001E778A">
        <w:t xml:space="preserve"> design was completed by a team of rheumatologists, radiologists, and podiatrists</w:t>
      </w:r>
      <w:r w:rsidR="00EC2FC4">
        <w:t xml:space="preserve">, in a </w:t>
      </w:r>
      <w:r w:rsidRPr="001E778A">
        <w:t xml:space="preserve">cross-sectional cohort </w:t>
      </w:r>
      <w:r w:rsidR="0023196E">
        <w:t xml:space="preserve">of patients with RA. </w:t>
      </w:r>
      <w:r w:rsidRPr="001E778A">
        <w:t xml:space="preserve">Ethical approval was obtained from </w:t>
      </w:r>
      <w:r w:rsidR="0023196E">
        <w:t>S.W. Hampshire Ethics Committee</w:t>
      </w:r>
      <w:r w:rsidRPr="001E778A">
        <w:t xml:space="preserve">. All participants gave </w:t>
      </w:r>
      <w:r w:rsidR="00DF5608">
        <w:t xml:space="preserve">written </w:t>
      </w:r>
      <w:r w:rsidRPr="001E778A">
        <w:t>informed consent</w:t>
      </w:r>
      <w:r w:rsidR="00F76231">
        <w:t>.</w:t>
      </w:r>
      <w:r w:rsidR="00DF5608">
        <w:t xml:space="preserve"> </w:t>
      </w:r>
    </w:p>
    <w:p w:rsidR="00482259" w:rsidRDefault="00482259" w:rsidP="00C11A7D">
      <w:pPr>
        <w:spacing w:after="0" w:line="360" w:lineRule="auto"/>
        <w:rPr>
          <w:b/>
          <w:bCs/>
        </w:rPr>
      </w:pPr>
      <w:r>
        <w:rPr>
          <w:b/>
          <w:bCs/>
        </w:rPr>
        <w:t>Study population</w:t>
      </w:r>
    </w:p>
    <w:p w:rsidR="00482259" w:rsidRDefault="0023196E" w:rsidP="0023196E">
      <w:pPr>
        <w:spacing w:line="360" w:lineRule="auto"/>
        <w:jc w:val="both"/>
        <w:rPr>
          <w:rFonts w:cs="Arial"/>
        </w:rPr>
      </w:pPr>
      <w:r>
        <w:t>P</w:t>
      </w:r>
      <w:r w:rsidR="00482259">
        <w:t xml:space="preserve">articipants </w:t>
      </w:r>
      <w:r w:rsidR="00F61349">
        <w:t xml:space="preserve">with </w:t>
      </w:r>
      <w:r>
        <w:t xml:space="preserve">an ACR diagnosis of </w:t>
      </w:r>
      <w:r w:rsidR="00F61349">
        <w:t>RA</w:t>
      </w:r>
      <w:r>
        <w:t>, aged 18-80 years,</w:t>
      </w:r>
      <w:r w:rsidR="00F61349">
        <w:t xml:space="preserve"> </w:t>
      </w:r>
      <w:r w:rsidR="00482259">
        <w:t xml:space="preserve">were </w:t>
      </w:r>
      <w:r>
        <w:t xml:space="preserve">recruited </w:t>
      </w:r>
      <w:r w:rsidR="00EB1785">
        <w:t xml:space="preserve">consecutively </w:t>
      </w:r>
      <w:r>
        <w:t>from a rheumatology clinic</w:t>
      </w:r>
      <w:r w:rsidR="00482259">
        <w:t>. P</w:t>
      </w:r>
      <w:r w:rsidR="00482259" w:rsidRPr="00333013">
        <w:t xml:space="preserve">articipants were excluded if they had received </w:t>
      </w:r>
      <w:r>
        <w:t xml:space="preserve">forefoot corticosteroid injection </w:t>
      </w:r>
      <w:r w:rsidR="00DE01A2">
        <w:t xml:space="preserve">within </w:t>
      </w:r>
      <w:r>
        <w:t>12-weeks</w:t>
      </w:r>
      <w:r w:rsidR="00482259" w:rsidRPr="00333013">
        <w:t xml:space="preserve">, had concomitant musculoskeletal disease or </w:t>
      </w:r>
      <w:r w:rsidR="00482259" w:rsidRPr="00333013">
        <w:rPr>
          <w:noProof/>
        </w:rPr>
        <w:t>were</w:t>
      </w:r>
      <w:r w:rsidR="00482259" w:rsidRPr="00333013">
        <w:t xml:space="preserve"> unable to provide consent.</w:t>
      </w:r>
      <w:r w:rsidR="00782238">
        <w:t xml:space="preserve"> </w:t>
      </w:r>
    </w:p>
    <w:p w:rsidR="00482259" w:rsidRDefault="00482259" w:rsidP="00C11A7D">
      <w:pPr>
        <w:spacing w:after="0" w:line="360" w:lineRule="auto"/>
        <w:rPr>
          <w:b/>
          <w:bCs/>
        </w:rPr>
      </w:pPr>
      <w:r>
        <w:rPr>
          <w:b/>
          <w:bCs/>
        </w:rPr>
        <w:t>Protocol for score development</w:t>
      </w:r>
    </w:p>
    <w:p w:rsidR="00482259" w:rsidRDefault="0023196E" w:rsidP="003E0E43">
      <w:pPr>
        <w:spacing w:line="360" w:lineRule="auto"/>
        <w:jc w:val="both"/>
        <w:rPr>
          <w:rFonts w:cs="Arial"/>
        </w:rPr>
      </w:pPr>
      <w:r>
        <w:t>S</w:t>
      </w:r>
      <w:r w:rsidR="00482259" w:rsidRPr="00724DA1">
        <w:t>core development adhere</w:t>
      </w:r>
      <w:r w:rsidR="00482259">
        <w:t xml:space="preserve">d as closely as possible to </w:t>
      </w:r>
      <w:r w:rsidR="00482259" w:rsidRPr="00724DA1">
        <w:t xml:space="preserve">OMERACT </w:t>
      </w:r>
      <w:r w:rsidR="00482259">
        <w:t>(</w:t>
      </w:r>
      <w:r w:rsidR="00482259" w:rsidRPr="00724DA1">
        <w:t>2009</w:t>
      </w:r>
      <w:r w:rsidR="00482259">
        <w:t xml:space="preserve">) </w:t>
      </w:r>
      <w:r w:rsidR="00482259" w:rsidRPr="00724DA1">
        <w:t>recommendations for MRI-base</w:t>
      </w:r>
      <w:r w:rsidR="00482259">
        <w:t>d</w:t>
      </w:r>
      <w:r w:rsidR="00482259" w:rsidRPr="00724DA1">
        <w:t xml:space="preserve"> quantification of RA. </w:t>
      </w:r>
      <w:r>
        <w:t xml:space="preserve">Items </w:t>
      </w:r>
      <w:r w:rsidR="00482259">
        <w:t xml:space="preserve">included were </w:t>
      </w:r>
      <w:r w:rsidR="00482259" w:rsidRPr="00724DA1">
        <w:t xml:space="preserve">FFB anatomical location, shape, enhancement, and MR </w:t>
      </w:r>
      <w:r w:rsidR="00482259">
        <w:t>signal characteristics</w:t>
      </w:r>
      <w:r w:rsidR="00482259" w:rsidRPr="00724DA1">
        <w:t>. The categorisation of FFB based upon</w:t>
      </w:r>
      <w:r w:rsidR="00482259">
        <w:t xml:space="preserve"> descriptive characteristics</w:t>
      </w:r>
      <w:r w:rsidR="00482259" w:rsidRPr="00724DA1">
        <w:t xml:space="preserve"> rather than aetiology or clinical importance, was considered the most objective approach and is consistent with principles of radiological investigation. </w:t>
      </w:r>
    </w:p>
    <w:p w:rsidR="00482259" w:rsidRPr="00633016" w:rsidRDefault="00482259" w:rsidP="00C11A7D">
      <w:pPr>
        <w:spacing w:after="0" w:line="360" w:lineRule="auto"/>
        <w:rPr>
          <w:rFonts w:cs="Arial"/>
          <w:b/>
          <w:bCs/>
        </w:rPr>
      </w:pPr>
      <w:r>
        <w:rPr>
          <w:b/>
          <w:bCs/>
        </w:rPr>
        <w:t>P</w:t>
      </w:r>
      <w:r w:rsidRPr="005D31F6">
        <w:rPr>
          <w:b/>
          <w:bCs/>
        </w:rPr>
        <w:t>rotocol</w:t>
      </w:r>
      <w:r>
        <w:rPr>
          <w:b/>
          <w:bCs/>
        </w:rPr>
        <w:t xml:space="preserve"> for image acquisition</w:t>
      </w:r>
    </w:p>
    <w:p w:rsidR="00482259" w:rsidRPr="00925B8B" w:rsidRDefault="00482259" w:rsidP="009E06BA">
      <w:pPr>
        <w:spacing w:line="360" w:lineRule="auto"/>
        <w:jc w:val="both"/>
      </w:pPr>
      <w:r>
        <w:t>A 1.5 Tesla</w:t>
      </w:r>
      <w:r w:rsidR="009E06BA">
        <w:t xml:space="preserve"> (T) whole body scanner </w:t>
      </w:r>
      <w:r>
        <w:t xml:space="preserve">was used for </w:t>
      </w:r>
      <w:r w:rsidRPr="00724DA1">
        <w:t>MRI acquisition</w:t>
      </w:r>
      <w:r>
        <w:t>s</w:t>
      </w:r>
      <w:r w:rsidR="009E06BA">
        <w:t xml:space="preserve"> and a </w:t>
      </w:r>
      <w:r w:rsidRPr="00724DA1">
        <w:t>four channel flex extremity rad</w:t>
      </w:r>
      <w:r w:rsidR="009E06BA">
        <w:t xml:space="preserve">io frequency (RF) surface coil </w:t>
      </w:r>
      <w:r w:rsidRPr="00724DA1">
        <w:t xml:space="preserve">was used to image the forefoot </w:t>
      </w:r>
      <w:r w:rsidR="009E06BA" w:rsidRPr="00724DA1">
        <w:t>(</w:t>
      </w:r>
      <w:r w:rsidR="009E06BA">
        <w:t>Siemens, Germany)</w:t>
      </w:r>
      <w:r w:rsidRPr="00724DA1">
        <w:t xml:space="preserve">. </w:t>
      </w:r>
      <w:r w:rsidR="009E06BA">
        <w:t>T</w:t>
      </w:r>
      <w:r w:rsidRPr="00F46663">
        <w:t xml:space="preserve">wo-dimensional and three-dimensional sequences, of between 29 and 96 slices with 3mm to 0.6mm slice thickness respectively, were completed after orientation with a T1 localiser image. </w:t>
      </w:r>
      <w:r>
        <w:t>The</w:t>
      </w:r>
      <w:r w:rsidRPr="00F46663">
        <w:t xml:space="preserve"> MRI </w:t>
      </w:r>
      <w:r>
        <w:t xml:space="preserve">sequence </w:t>
      </w:r>
      <w:r w:rsidRPr="00F46663">
        <w:t xml:space="preserve">protocol </w:t>
      </w:r>
      <w:r w:rsidR="00DE01A2">
        <w:t>is</w:t>
      </w:r>
      <w:r w:rsidR="00DE01A2" w:rsidRPr="00F46663">
        <w:t xml:space="preserve"> </w:t>
      </w:r>
      <w:r w:rsidR="00DE01A2">
        <w:t>included</w:t>
      </w:r>
      <w:r w:rsidRPr="00F46663">
        <w:t xml:space="preserve"> in appendix </w:t>
      </w:r>
      <w:r w:rsidR="003E0E43">
        <w:t>1</w:t>
      </w:r>
      <w:r w:rsidR="00395AC2">
        <w:t xml:space="preserve"> </w:t>
      </w:r>
      <w:r w:rsidR="009D0B4B">
        <w:t>(web only)</w:t>
      </w:r>
      <w:r w:rsidRPr="00F46663">
        <w:t xml:space="preserve">. </w:t>
      </w:r>
      <w:r w:rsidR="00925B8B">
        <w:t>P</w:t>
      </w:r>
      <w:r w:rsidR="00925B8B" w:rsidRPr="00F46663">
        <w:t xml:space="preserve">ulse sequence type and timing were selected to </w:t>
      </w:r>
      <w:r w:rsidR="00925B8B">
        <w:t>visualise</w:t>
      </w:r>
      <w:r w:rsidR="00925B8B" w:rsidRPr="00F46663">
        <w:t xml:space="preserve"> </w:t>
      </w:r>
      <w:r w:rsidR="00925B8B">
        <w:t>a)</w:t>
      </w:r>
      <w:r w:rsidR="00925B8B" w:rsidRPr="00F46663">
        <w:t xml:space="preserve"> anatomical structure (</w:t>
      </w:r>
      <w:r w:rsidR="00925B8B">
        <w:t>coronal T1 SE</w:t>
      </w:r>
      <w:r w:rsidR="00925B8B" w:rsidRPr="00F46663">
        <w:t>)</w:t>
      </w:r>
      <w:r w:rsidR="00925B8B">
        <w:t xml:space="preserve"> b) high contrast between fluid and soft tissue (coronal STIR)</w:t>
      </w:r>
      <w:r w:rsidR="00925B8B" w:rsidRPr="00F46663">
        <w:t xml:space="preserve">, and </w:t>
      </w:r>
      <w:r w:rsidR="00925B8B">
        <w:t>c) synovial inflammation</w:t>
      </w:r>
      <w:r w:rsidR="00925B8B" w:rsidRPr="00F46663">
        <w:t xml:space="preserve"> (</w:t>
      </w:r>
      <w:r w:rsidR="00925B8B">
        <w:t>coronal and sagittal T1w fat suppressed sequences after intravenous contrast administration).</w:t>
      </w:r>
      <w:r w:rsidR="00925B8B" w:rsidRPr="00F46663">
        <w:t xml:space="preserve"> </w:t>
      </w:r>
      <w:r w:rsidR="00925B8B">
        <w:t>The 3D SPACE s</w:t>
      </w:r>
      <w:r w:rsidR="00925B8B" w:rsidRPr="00F46663">
        <w:t>equence allowed the three-dimensional reconstruction of identified lesions and orientation with adjacent features.</w:t>
      </w:r>
      <w:r w:rsidR="00925B8B">
        <w:t xml:space="preserve"> C</w:t>
      </w:r>
      <w:r w:rsidR="00925B8B" w:rsidRPr="00724DA1">
        <w:t>oronal scans were orientat</w:t>
      </w:r>
      <w:r w:rsidR="00925B8B">
        <w:t>ed approximately perpendicular to the metatarsal parabola and</w:t>
      </w:r>
      <w:r w:rsidR="00925B8B" w:rsidRPr="00724DA1">
        <w:t xml:space="preserve"> sagittal scans were </w:t>
      </w:r>
      <w:r w:rsidR="00925B8B">
        <w:t xml:space="preserve">orientated </w:t>
      </w:r>
      <w:r w:rsidR="00925B8B" w:rsidRPr="00724DA1">
        <w:t>approximately perpendicular to the coronal slice profile and with the shaft of the third metatarsal. The field of view (FoV) in the read direction was determined as the base of 1</w:t>
      </w:r>
      <w:r w:rsidR="00925B8B" w:rsidRPr="00724DA1">
        <w:rPr>
          <w:vertAlign w:val="superscript"/>
        </w:rPr>
        <w:t>st</w:t>
      </w:r>
      <w:r w:rsidR="00925B8B" w:rsidRPr="00724DA1">
        <w:t xml:space="preserve"> metatarsal to the distal aspect of the hallux. The FoV in the phase-encode direction was defined as extending from the medial to the lateral foot borders. The TE/TR ratios were adjusted in an iterative process by the </w:t>
      </w:r>
      <w:r w:rsidR="00925B8B">
        <w:t xml:space="preserve">radiologist </w:t>
      </w:r>
      <w:r w:rsidR="00925B8B" w:rsidRPr="00724DA1">
        <w:t>until appropriate image clarity or contrast was achieved</w:t>
      </w:r>
      <w:r w:rsidR="00925B8B">
        <w:t>.</w:t>
      </w:r>
    </w:p>
    <w:p w:rsidR="00482259" w:rsidRDefault="00482259" w:rsidP="00C11A7D">
      <w:pPr>
        <w:spacing w:after="0" w:line="360" w:lineRule="auto"/>
        <w:rPr>
          <w:rFonts w:cs="Arial"/>
          <w:b/>
          <w:bCs/>
        </w:rPr>
      </w:pPr>
      <w:r>
        <w:rPr>
          <w:b/>
          <w:bCs/>
        </w:rPr>
        <w:t>Protocol for i</w:t>
      </w:r>
      <w:r w:rsidRPr="0001581D">
        <w:rPr>
          <w:b/>
          <w:bCs/>
        </w:rPr>
        <w:t xml:space="preserve">mage reading </w:t>
      </w:r>
    </w:p>
    <w:p w:rsidR="00482259" w:rsidRPr="00262611" w:rsidRDefault="00482259" w:rsidP="003E0E43">
      <w:pPr>
        <w:spacing w:line="360" w:lineRule="auto"/>
        <w:jc w:val="both"/>
        <w:rPr>
          <w:rFonts w:cs="Arial"/>
        </w:rPr>
      </w:pPr>
      <w:r w:rsidRPr="00CF3A72">
        <w:t>Images were viewed using Siemen</w:t>
      </w:r>
      <w:r>
        <w:t>s</w:t>
      </w:r>
      <w:r w:rsidRPr="00CF3A72">
        <w:t xml:space="preserve"> </w:t>
      </w:r>
      <w:r w:rsidRPr="00CF3A72">
        <w:rPr>
          <w:i/>
          <w:iCs/>
        </w:rPr>
        <w:t>Syngo</w:t>
      </w:r>
      <w:r w:rsidRPr="00CF3A72">
        <w:rPr>
          <w:i/>
          <w:iCs/>
          <w:vertAlign w:val="superscript"/>
        </w:rPr>
        <w:t>©</w:t>
      </w:r>
      <w:r w:rsidRPr="00CF3A72">
        <w:rPr>
          <w:i/>
          <w:iCs/>
        </w:rPr>
        <w:t xml:space="preserve"> </w:t>
      </w:r>
      <w:r w:rsidR="000D5090">
        <w:t>Fast view software.</w:t>
      </w:r>
      <w:r w:rsidRPr="00CF3A72">
        <w:t xml:space="preserve"> </w:t>
      </w:r>
      <w:r>
        <w:t>All images were read by two radiologists</w:t>
      </w:r>
      <w:r w:rsidR="0023196E">
        <w:t>, blinded to each other’s scores and clinical data</w:t>
      </w:r>
      <w:r>
        <w:t>. LK re-read a</w:t>
      </w:r>
      <w:r w:rsidR="00EB1785">
        <w:t>n additional</w:t>
      </w:r>
      <w:r>
        <w:t xml:space="preserve"> set of 10 image sets, at an interval of 4-6 weeks, for the purposes of </w:t>
      </w:r>
      <w:r w:rsidR="00EB1785">
        <w:t>intra-rate</w:t>
      </w:r>
      <w:r w:rsidR="00925B8B">
        <w:t>r</w:t>
      </w:r>
      <w:r w:rsidR="00EB1785">
        <w:t xml:space="preserve"> agreement </w:t>
      </w:r>
      <w:r>
        <w:t xml:space="preserve">analysis. </w:t>
      </w:r>
    </w:p>
    <w:p w:rsidR="00482259" w:rsidRDefault="00482259" w:rsidP="004C1AB7">
      <w:pPr>
        <w:spacing w:line="360" w:lineRule="auto"/>
        <w:jc w:val="both"/>
        <w:rPr>
          <w:rFonts w:cs="Arial"/>
        </w:rPr>
      </w:pPr>
      <w:r w:rsidRPr="00CF3A72">
        <w:t>Ident</w:t>
      </w:r>
      <w:r w:rsidR="00F61349">
        <w:t xml:space="preserve">ified FFB were categorised to </w:t>
      </w:r>
      <w:r>
        <w:t>one of nine</w:t>
      </w:r>
      <w:r w:rsidRPr="00CF3A72">
        <w:t xml:space="preserve"> site</w:t>
      </w:r>
      <w:r>
        <w:t>s</w:t>
      </w:r>
      <w:r w:rsidRPr="00CF3A72">
        <w:t xml:space="preserve"> (</w:t>
      </w:r>
      <w:r w:rsidR="004C1AB7">
        <w:t>Appendix</w:t>
      </w:r>
      <w:r w:rsidR="004C1AB7" w:rsidRPr="00CF3A72">
        <w:t xml:space="preserve"> </w:t>
      </w:r>
      <w:r w:rsidR="003745F9">
        <w:t>1</w:t>
      </w:r>
      <w:r w:rsidRPr="00CF3A72">
        <w:t xml:space="preserve">). </w:t>
      </w:r>
      <w:r w:rsidR="00283351" w:rsidRPr="00CF3A72">
        <w:t xml:space="preserve">In the event of </w:t>
      </w:r>
      <w:r w:rsidR="00283351">
        <w:t xml:space="preserve">an </w:t>
      </w:r>
      <w:r w:rsidR="00283351" w:rsidRPr="00CF3A72">
        <w:t xml:space="preserve">FFB extending across anatomical boundaries, the site in which </w:t>
      </w:r>
      <w:r w:rsidR="00DE01A2">
        <w:t>contained the majority of the</w:t>
      </w:r>
      <w:r w:rsidR="00DE01A2" w:rsidRPr="00CF3A72">
        <w:t xml:space="preserve"> </w:t>
      </w:r>
      <w:r w:rsidR="008B3CB1">
        <w:t xml:space="preserve">FFB </w:t>
      </w:r>
      <w:r w:rsidR="00283351" w:rsidRPr="008F0F07">
        <w:t xml:space="preserve">was recorded. </w:t>
      </w:r>
      <w:r w:rsidR="00DE01A2">
        <w:t>F</w:t>
      </w:r>
      <w:r w:rsidRPr="008F0F07">
        <w:t xml:space="preserve">luid and soft tissue lesions </w:t>
      </w:r>
      <w:r w:rsidR="00DE01A2">
        <w:t>were differentiated</w:t>
      </w:r>
      <w:r w:rsidR="00DE01A2" w:rsidRPr="008F0F07">
        <w:t xml:space="preserve"> </w:t>
      </w:r>
      <w:r w:rsidR="00DE01A2">
        <w:t>using</w:t>
      </w:r>
      <w:r>
        <w:t xml:space="preserve"> STIR </w:t>
      </w:r>
      <w:r w:rsidR="0023196E">
        <w:t>sequence</w:t>
      </w:r>
      <w:r w:rsidRPr="008F0F07">
        <w:t xml:space="preserve">. </w:t>
      </w:r>
      <w:r w:rsidR="008B3CB1">
        <w:t>F</w:t>
      </w:r>
      <w:r w:rsidRPr="008F0F07">
        <w:t>luid collection</w:t>
      </w:r>
      <w:r w:rsidR="008B3CB1">
        <w:t>s were defined as</w:t>
      </w:r>
      <w:r w:rsidRPr="008F0F07">
        <w:t xml:space="preserve"> homogeneous hyperintense</w:t>
      </w:r>
      <w:r>
        <w:t xml:space="preserve"> structure</w:t>
      </w:r>
      <w:r w:rsidR="008B3CB1">
        <w:t>s</w:t>
      </w:r>
      <w:r>
        <w:t xml:space="preserve">, </w:t>
      </w:r>
      <w:r w:rsidRPr="008F0F07">
        <w:t>with fluid-equivalent signal on</w:t>
      </w:r>
      <w:r w:rsidR="0023196E">
        <w:t xml:space="preserve"> STIR</w:t>
      </w:r>
      <w:r w:rsidRPr="008F0F07">
        <w:t xml:space="preserve"> sequence and homogenous</w:t>
      </w:r>
      <w:r>
        <w:t xml:space="preserve"> intermediate sig</w:t>
      </w:r>
      <w:r w:rsidR="0023196E">
        <w:t>nal on non-contrast T1-</w:t>
      </w:r>
      <w:r>
        <w:t xml:space="preserve">weighted images. Soft tissue lesions were defined as </w:t>
      </w:r>
      <w:r w:rsidRPr="008F0F07">
        <w:t>non-fluid equiv</w:t>
      </w:r>
      <w:r w:rsidR="0023196E">
        <w:t>alent/</w:t>
      </w:r>
      <w:r>
        <w:t>intermediate signal on STIR, relative to skeletal muscle</w:t>
      </w:r>
      <w:r w:rsidRPr="008F0F07">
        <w:t xml:space="preserve">. </w:t>
      </w:r>
    </w:p>
    <w:p w:rsidR="00482259" w:rsidRDefault="00482259" w:rsidP="00C11A7D">
      <w:pPr>
        <w:spacing w:after="0" w:line="360" w:lineRule="auto"/>
        <w:rPr>
          <w:rFonts w:cs="Arial"/>
          <w:b/>
          <w:bCs/>
        </w:rPr>
      </w:pPr>
      <w:r w:rsidRPr="0001581D">
        <w:rPr>
          <w:b/>
          <w:bCs/>
        </w:rPr>
        <w:t>Statistical analysis</w:t>
      </w:r>
      <w:r>
        <w:rPr>
          <w:b/>
          <w:bCs/>
        </w:rPr>
        <w:t xml:space="preserve"> </w:t>
      </w:r>
    </w:p>
    <w:p w:rsidR="00482259" w:rsidRDefault="00DE01A2" w:rsidP="002B7732">
      <w:pPr>
        <w:spacing w:line="360" w:lineRule="auto"/>
        <w:jc w:val="both"/>
      </w:pPr>
      <w:r>
        <w:t>A</w:t>
      </w:r>
      <w:r w:rsidR="00482259" w:rsidRPr="009711E5">
        <w:t xml:space="preserve">nalysis was completed using Stata version 11.0, (Stata Corp, USA) or SPSS version 18.0 (Chicago, USA). The </w:t>
      </w:r>
      <w:r w:rsidR="008B3CB1">
        <w:t xml:space="preserve">study </w:t>
      </w:r>
      <w:r w:rsidR="00482259" w:rsidRPr="009711E5">
        <w:t xml:space="preserve">sample size </w:t>
      </w:r>
      <w:r w:rsidR="00782238">
        <w:t xml:space="preserve">(n=30) </w:t>
      </w:r>
      <w:r w:rsidR="00482259" w:rsidRPr="009711E5">
        <w:t xml:space="preserve">was </w:t>
      </w:r>
      <w:r w:rsidR="00782238">
        <w:t xml:space="preserve">pragmatically </w:t>
      </w:r>
      <w:r w:rsidR="00482259" w:rsidRPr="009711E5">
        <w:t xml:space="preserve">determined </w:t>
      </w:r>
      <w:r w:rsidR="00782238">
        <w:t xml:space="preserve">based upon estimates of presence/absence identified in previous our previous work </w:t>
      </w:r>
      <w:r w:rsidR="00FD04A6">
        <w:fldChar w:fldCharType="begin"/>
      </w:r>
      <w:r w:rsidR="00F32902">
        <w:instrText xml:space="preserve"> ADDIN EN.CITE &lt;EndNote&gt;&lt;Cite&gt;&lt;Author&gt;Bowen&lt;/Author&gt;&lt;Year&gt;2009&lt;/Year&gt;&lt;RecNum&gt;1816&lt;/RecNum&gt;&lt;record&gt;&lt;rec-number&gt;1816&lt;/rec-number&gt;&lt;foreign-keys&gt;&lt;key app="EN" db-id="2pva02r23zrr2jet0e5pzdxo5zat9wsvs0av"&gt;1816&lt;/key&gt;&lt;/foreign-keys&gt;&lt;ref-type name="Journal Article"&gt;17&lt;/ref-type&gt;&lt;contributors&gt;&lt;authors&gt;&lt;author&gt;Bowen, C. J.&lt;/author&gt;&lt;author&gt;Culliford, D.&lt;/author&gt;&lt;author&gt;Dewbury, K.&lt;/author&gt;&lt;author&gt;Sampson, M.&lt;/author&gt;&lt;author&gt;Burridge, J.&lt;/author&gt;&lt;author&gt;Hooper, L.&lt;/author&gt;&lt;author&gt;Edwards, C. J.&lt;/author&gt;&lt;author&gt;Arden, N. K.&lt;/author&gt;&lt;/authors&gt;&lt;/contributors&gt;&lt;titles&gt;&lt;title&gt;The clinical importance of ultrasound detectable forefoot bursae in rheumatoid arthritis&lt;/title&gt;&lt;secondary-title&gt;Rheumatology (Oxford)&lt;/secondary-title&gt;&lt;/titles&gt;&lt;periodical&gt;&lt;full-title&gt;Rheumatology (Oxford)&lt;/full-title&gt;&lt;/periodical&gt;&lt;pages&gt;191-2&lt;/pages&gt;&lt;volume&gt;49&lt;/volume&gt;&lt;number&gt;1&lt;/number&gt;&lt;edition&gt;2009/10/03&lt;/edition&gt;&lt;dates&gt;&lt;year&gt;2009&lt;/year&gt;&lt;pub-dates&gt;&lt;date&gt;Jan&lt;/date&gt;&lt;/pub-dates&gt;&lt;/dates&gt;&lt;isbn&gt;1462-0332 (Electronic)&amp;#xD;1462-0332 (Linking)&lt;/isbn&gt;&lt;accession-num&gt;19797311&lt;/accession-num&gt;&lt;urls&gt;&lt;related-urls&gt;&lt;url&gt;http://www.ncbi.nlm.nih.gov/entrez/query.fcgi?cmd=Retrieve&amp;amp;db=PubMed&amp;amp;dopt=Citation&amp;amp;list_uids=19797311&lt;/url&gt;&lt;/related-urls&gt;&lt;/urls&gt;&lt;electronic-resource-num&gt;kep307 [pii]&amp;#xD;10.1093/rheumatology/kep307&lt;/electronic-resource-num&gt;&lt;language&gt;eng&lt;/language&gt;&lt;/record&gt;&lt;/Cite&gt;&lt;/EndNote&gt;</w:instrText>
      </w:r>
      <w:r w:rsidR="00FD04A6">
        <w:fldChar w:fldCharType="separate"/>
      </w:r>
      <w:r w:rsidR="002B7732">
        <w:rPr>
          <w:noProof/>
        </w:rPr>
        <w:t>[</w:t>
      </w:r>
      <w:hyperlink w:anchor="_ENREF_10" w:tooltip="Bowen, 2009 #1816" w:history="1">
        <w:r w:rsidR="002B7732">
          <w:rPr>
            <w:noProof/>
          </w:rPr>
          <w:t>10</w:t>
        </w:r>
      </w:hyperlink>
      <w:r w:rsidR="002B7732">
        <w:rPr>
          <w:noProof/>
        </w:rPr>
        <w:t>]</w:t>
      </w:r>
      <w:r w:rsidR="00FD04A6">
        <w:fldChar w:fldCharType="end"/>
      </w:r>
      <w:r w:rsidR="00482259" w:rsidRPr="009711E5">
        <w:t xml:space="preserve">. </w:t>
      </w:r>
      <w:r w:rsidR="00782238">
        <w:t>An additional cohort of 10 patients was recruited to complete preliminary intra-rate</w:t>
      </w:r>
      <w:r w:rsidR="002C65BC">
        <w:t>r</w:t>
      </w:r>
      <w:r w:rsidR="00782238">
        <w:t xml:space="preserve"> agreement analysis. </w:t>
      </w:r>
      <w:r w:rsidR="00395AC2">
        <w:t xml:space="preserve">Participant </w:t>
      </w:r>
      <w:r w:rsidR="00395AC2">
        <w:rPr>
          <w:color w:val="000000"/>
        </w:rPr>
        <w:t>d</w:t>
      </w:r>
      <w:r w:rsidR="0023196E">
        <w:rPr>
          <w:color w:val="000000"/>
        </w:rPr>
        <w:t>emographic</w:t>
      </w:r>
      <w:r w:rsidR="00482259" w:rsidRPr="009711E5">
        <w:rPr>
          <w:color w:val="000000"/>
        </w:rPr>
        <w:t xml:space="preserve"> and clinical characteristics are </w:t>
      </w:r>
      <w:r w:rsidR="00395AC2">
        <w:t xml:space="preserve">reported </w:t>
      </w:r>
      <w:r w:rsidR="00482259" w:rsidRPr="009711E5">
        <w:t>as mean</w:t>
      </w:r>
      <w:r w:rsidR="00395AC2">
        <w:t>s</w:t>
      </w:r>
      <w:r w:rsidR="00482259" w:rsidRPr="009711E5">
        <w:t>, standard deviation</w:t>
      </w:r>
      <w:r w:rsidR="00395AC2">
        <w:t>s</w:t>
      </w:r>
      <w:r w:rsidR="00482259" w:rsidRPr="009711E5">
        <w:t xml:space="preserve"> (SD) and range</w:t>
      </w:r>
      <w:r w:rsidR="00395AC2">
        <w:t>s</w:t>
      </w:r>
      <w:r w:rsidR="00482259" w:rsidRPr="009711E5">
        <w:t>.</w:t>
      </w:r>
      <w:r w:rsidR="00482259">
        <w:t xml:space="preserve"> </w:t>
      </w:r>
    </w:p>
    <w:p w:rsidR="00395AC2" w:rsidRDefault="00925B8B" w:rsidP="002C65BC">
      <w:pPr>
        <w:spacing w:line="360" w:lineRule="auto"/>
        <w:jc w:val="both"/>
      </w:pPr>
      <w:r>
        <w:t>A r</w:t>
      </w:r>
      <w:r w:rsidR="00395AC2">
        <w:t>adiologist combined mean score</w:t>
      </w:r>
      <w:r w:rsidR="00482259" w:rsidRPr="009711E5">
        <w:t xml:space="preserve"> for each item was calculated. </w:t>
      </w:r>
      <w:r w:rsidR="000D5090">
        <w:t>A</w:t>
      </w:r>
      <w:r w:rsidR="00482259" w:rsidRPr="009711E5">
        <w:t xml:space="preserve">greement was evaluated using estimations of percentage exact agreement (PEA), percentage close agreement (PCA; within ± 2 scores) for all items and Kappa agreement for determination of presence or absence. </w:t>
      </w:r>
      <w:r w:rsidR="002C65BC">
        <w:t>Weighted kappa</w:t>
      </w:r>
      <w:r w:rsidR="000A45E8">
        <w:t>s</w:t>
      </w:r>
      <w:r w:rsidR="00AA7047">
        <w:t xml:space="preserve"> w</w:t>
      </w:r>
      <w:r w:rsidR="000A45E8">
        <w:t>ere</w:t>
      </w:r>
      <w:r w:rsidR="002C65BC">
        <w:t xml:space="preserve"> used to determine inter-rater agreement for fluid and soft tissue lesion shape and enhancement scores where both readers identified a lesion as being present. </w:t>
      </w:r>
    </w:p>
    <w:p w:rsidR="00482259" w:rsidRDefault="00482259" w:rsidP="00C11A7D">
      <w:pPr>
        <w:spacing w:line="360" w:lineRule="auto"/>
        <w:rPr>
          <w:b/>
          <w:bCs/>
        </w:rPr>
      </w:pPr>
      <w:r w:rsidRPr="0001581D">
        <w:rPr>
          <w:b/>
          <w:bCs/>
        </w:rPr>
        <w:t>RESULTS</w:t>
      </w:r>
      <w:r>
        <w:rPr>
          <w:b/>
          <w:bCs/>
        </w:rPr>
        <w:t xml:space="preserve"> </w:t>
      </w:r>
    </w:p>
    <w:p w:rsidR="00482259" w:rsidRPr="004735C4" w:rsidRDefault="00482259" w:rsidP="00C11A7D">
      <w:pPr>
        <w:spacing w:after="0" w:line="360" w:lineRule="auto"/>
        <w:jc w:val="both"/>
        <w:rPr>
          <w:b/>
          <w:bCs/>
        </w:rPr>
      </w:pPr>
      <w:r w:rsidRPr="004735C4">
        <w:rPr>
          <w:b/>
          <w:bCs/>
        </w:rPr>
        <w:t>Study population</w:t>
      </w:r>
    </w:p>
    <w:p w:rsidR="00482259" w:rsidRDefault="00F61349" w:rsidP="004C1AB7">
      <w:pPr>
        <w:spacing w:line="360" w:lineRule="auto"/>
        <w:jc w:val="both"/>
      </w:pPr>
      <w:r>
        <w:t>T</w:t>
      </w:r>
      <w:r w:rsidR="00482259" w:rsidRPr="00703B1B">
        <w:t xml:space="preserve">he </w:t>
      </w:r>
      <w:r w:rsidR="00395AC2">
        <w:t xml:space="preserve">score </w:t>
      </w:r>
      <w:r w:rsidR="00482259">
        <w:t>was evaluated in</w:t>
      </w:r>
      <w:r w:rsidR="00190997">
        <w:t xml:space="preserve"> 30</w:t>
      </w:r>
      <w:r w:rsidR="00482259">
        <w:t xml:space="preserve"> </w:t>
      </w:r>
      <w:r w:rsidR="00395AC2">
        <w:t xml:space="preserve">RA </w:t>
      </w:r>
      <w:r w:rsidR="00482259" w:rsidRPr="00703B1B">
        <w:t xml:space="preserve">patients </w:t>
      </w:r>
      <w:r w:rsidR="00482259">
        <w:t>(n=</w:t>
      </w:r>
      <w:r w:rsidR="004C1AB7">
        <w:t>23</w:t>
      </w:r>
      <w:r w:rsidR="00482259">
        <w:t xml:space="preserve"> female, n</w:t>
      </w:r>
      <w:r w:rsidR="00190997">
        <w:t>=</w:t>
      </w:r>
      <w:r w:rsidR="004C1AB7">
        <w:t>7</w:t>
      </w:r>
      <w:r w:rsidR="00482259">
        <w:t xml:space="preserve"> male)</w:t>
      </w:r>
      <w:r w:rsidR="00482259" w:rsidRPr="00703B1B">
        <w:t xml:space="preserve">, with mean (±SD) age </w:t>
      </w:r>
      <w:r w:rsidR="004C1AB7">
        <w:t>61.7</w:t>
      </w:r>
      <w:r w:rsidR="00482259" w:rsidRPr="00703B1B">
        <w:t xml:space="preserve"> (±</w:t>
      </w:r>
      <w:r w:rsidR="004C1AB7">
        <w:t>4.1</w:t>
      </w:r>
      <w:r w:rsidR="00482259" w:rsidRPr="00703B1B">
        <w:t xml:space="preserve">) years, disease duration </w:t>
      </w:r>
      <w:r w:rsidR="004C1AB7">
        <w:t>15.3</w:t>
      </w:r>
      <w:r w:rsidR="00482259" w:rsidRPr="00703B1B">
        <w:t xml:space="preserve"> (±</w:t>
      </w:r>
      <w:r w:rsidR="004C1AB7">
        <w:t>10.3</w:t>
      </w:r>
      <w:r w:rsidR="00482259" w:rsidRPr="00703B1B">
        <w:t>) years</w:t>
      </w:r>
      <w:r w:rsidR="004C1AB7">
        <w:t>, and DAS28 (crp) 3.4 (±4.5)</w:t>
      </w:r>
      <w:r w:rsidR="00482259" w:rsidRPr="00703B1B">
        <w:t>.</w:t>
      </w:r>
      <w:r w:rsidR="00482259" w:rsidRPr="009711E5">
        <w:t xml:space="preserve">. A total of </w:t>
      </w:r>
      <w:r w:rsidR="004C1AB7">
        <w:t>300</w:t>
      </w:r>
      <w:r w:rsidR="00482259" w:rsidRPr="009711E5">
        <w:t xml:space="preserve"> joints and </w:t>
      </w:r>
      <w:r w:rsidR="004C1AB7">
        <w:t>540</w:t>
      </w:r>
      <w:r w:rsidR="00482259" w:rsidRPr="009711E5">
        <w:t xml:space="preserve"> possible FFB sites per reader were reviewed.</w:t>
      </w:r>
    </w:p>
    <w:p w:rsidR="00482259" w:rsidRDefault="00482259" w:rsidP="002A7724">
      <w:pPr>
        <w:spacing w:after="0"/>
        <w:jc w:val="both"/>
        <w:rPr>
          <w:rFonts w:cs="Arial"/>
          <w:b/>
          <w:bCs/>
          <w:i/>
          <w:iCs/>
        </w:rPr>
      </w:pPr>
      <w:r>
        <w:rPr>
          <w:b/>
          <w:bCs/>
        </w:rPr>
        <w:t xml:space="preserve">The </w:t>
      </w:r>
      <w:r w:rsidR="00E315AC">
        <w:rPr>
          <w:b/>
          <w:bCs/>
          <w:i/>
          <w:iCs/>
        </w:rPr>
        <w:t>FFB-S</w:t>
      </w:r>
      <w:r w:rsidRPr="002C313E">
        <w:rPr>
          <w:b/>
          <w:bCs/>
          <w:i/>
          <w:iCs/>
        </w:rPr>
        <w:t>core</w:t>
      </w:r>
    </w:p>
    <w:p w:rsidR="009D0B4B" w:rsidRPr="00E315AC" w:rsidRDefault="00482259" w:rsidP="004C1AB7">
      <w:pPr>
        <w:spacing w:line="360" w:lineRule="auto"/>
        <w:jc w:val="both"/>
        <w:rPr>
          <w:sz w:val="24"/>
          <w:szCs w:val="24"/>
        </w:rPr>
      </w:pPr>
      <w:r w:rsidRPr="00B21D5D">
        <w:t xml:space="preserve">The </w:t>
      </w:r>
      <w:r w:rsidR="00E315AC">
        <w:rPr>
          <w:i/>
          <w:iCs/>
        </w:rPr>
        <w:t>FFB-S</w:t>
      </w:r>
      <w:r w:rsidRPr="00B21D5D">
        <w:rPr>
          <w:i/>
          <w:iCs/>
        </w:rPr>
        <w:t>core</w:t>
      </w:r>
      <w:r w:rsidRPr="00B21D5D">
        <w:t xml:space="preserve"> items, definitions and grading criteria are presented in</w:t>
      </w:r>
      <w:r w:rsidR="004C1AB7">
        <w:t xml:space="preserve"> Appendix file 2</w:t>
      </w:r>
      <w:r>
        <w:t>.</w:t>
      </w:r>
      <w:r w:rsidRPr="00B21D5D">
        <w:t xml:space="preserve"> The </w:t>
      </w:r>
      <w:r w:rsidR="00E315AC">
        <w:rPr>
          <w:i/>
          <w:iCs/>
        </w:rPr>
        <w:t>FFB-S</w:t>
      </w:r>
      <w:r w:rsidRPr="00B21D5D">
        <w:rPr>
          <w:i/>
          <w:iCs/>
        </w:rPr>
        <w:t>core</w:t>
      </w:r>
      <w:r w:rsidRPr="00B21D5D">
        <w:t xml:space="preserve"> </w:t>
      </w:r>
      <w:r w:rsidR="009D0B4B">
        <w:t xml:space="preserve">image atlas and </w:t>
      </w:r>
      <w:r w:rsidRPr="00B21D5D">
        <w:t xml:space="preserve">user guide can be found in Appendix </w:t>
      </w:r>
      <w:r w:rsidR="004C1AB7">
        <w:t>3</w:t>
      </w:r>
      <w:r w:rsidR="009D0B4B">
        <w:t xml:space="preserve"> (web only)</w:t>
      </w:r>
      <w:r w:rsidRPr="00B21D5D">
        <w:t>.</w:t>
      </w:r>
      <w:r w:rsidRPr="00B21D5D">
        <w:rPr>
          <w:sz w:val="24"/>
          <w:szCs w:val="24"/>
        </w:rPr>
        <w:t xml:space="preserve"> </w:t>
      </w:r>
    </w:p>
    <w:p w:rsidR="00482259" w:rsidRPr="009D0B4B" w:rsidRDefault="00E315AC" w:rsidP="00C11A7D">
      <w:pPr>
        <w:spacing w:after="0" w:line="360" w:lineRule="auto"/>
        <w:rPr>
          <w:rFonts w:cs="Arial"/>
          <w:b/>
          <w:bCs/>
          <w:lang w:eastAsia="en-GB"/>
        </w:rPr>
      </w:pPr>
      <w:r>
        <w:rPr>
          <w:b/>
          <w:bCs/>
          <w:i/>
          <w:iCs/>
        </w:rPr>
        <w:t>FFB-S</w:t>
      </w:r>
      <w:r w:rsidR="00482259" w:rsidRPr="00E933D8">
        <w:rPr>
          <w:b/>
          <w:bCs/>
          <w:i/>
          <w:iCs/>
        </w:rPr>
        <w:t>core</w:t>
      </w:r>
      <w:r w:rsidR="00482259">
        <w:rPr>
          <w:b/>
          <w:bCs/>
        </w:rPr>
        <w:t xml:space="preserve"> r</w:t>
      </w:r>
      <w:r w:rsidR="00482259" w:rsidRPr="00E933D8">
        <w:rPr>
          <w:b/>
          <w:bCs/>
        </w:rPr>
        <w:t xml:space="preserve">eader </w:t>
      </w:r>
      <w:r w:rsidR="00482259">
        <w:rPr>
          <w:b/>
          <w:bCs/>
        </w:rPr>
        <w:t>reliability</w:t>
      </w:r>
      <w:r w:rsidR="00482259" w:rsidRPr="00E933D8">
        <w:rPr>
          <w:b/>
          <w:bCs/>
        </w:rPr>
        <w:t xml:space="preserve"> </w:t>
      </w:r>
    </w:p>
    <w:p w:rsidR="00C11A7D" w:rsidRPr="00262611" w:rsidRDefault="00482259" w:rsidP="000A45E8">
      <w:pPr>
        <w:keepNext/>
        <w:spacing w:line="360" w:lineRule="auto"/>
        <w:jc w:val="both"/>
      </w:pPr>
      <w:r>
        <w:t xml:space="preserve">A range </w:t>
      </w:r>
      <w:r w:rsidR="00395AC2">
        <w:t xml:space="preserve">of </w:t>
      </w:r>
      <w:r>
        <w:t xml:space="preserve">lesion </w:t>
      </w:r>
      <w:r w:rsidR="00395AC2">
        <w:t>characteristics w</w:t>
      </w:r>
      <w:r w:rsidR="00202294">
        <w:t>as</w:t>
      </w:r>
      <w:r>
        <w:t xml:space="preserve"> </w:t>
      </w:r>
      <w:r w:rsidR="00395AC2">
        <w:t>observed</w:t>
      </w:r>
      <w:r>
        <w:t xml:space="preserve">. </w:t>
      </w:r>
      <w:r w:rsidR="00190997">
        <w:t>The FFB score was demonstrated to have moderate to substantial i</w:t>
      </w:r>
      <w:r w:rsidR="00925B8B">
        <w:t xml:space="preserve">ntra-reader agreement in the additional </w:t>
      </w:r>
      <w:r w:rsidR="00190997">
        <w:t xml:space="preserve">set of 10 scans that were re-read </w:t>
      </w:r>
      <w:r w:rsidR="003E0E43">
        <w:t xml:space="preserve">(table </w:t>
      </w:r>
      <w:r w:rsidR="004C1AB7">
        <w:t>1</w:t>
      </w:r>
      <w:r w:rsidR="00395AC2">
        <w:t xml:space="preserve">). </w:t>
      </w:r>
      <w:r w:rsidR="002C65BC">
        <w:t xml:space="preserve">Weighted kappa analysis demonstrated that, where both readers identified a lesion as being present, there was </w:t>
      </w:r>
      <w:r w:rsidR="00277DF0">
        <w:t xml:space="preserve">moderate to </w:t>
      </w:r>
      <w:r w:rsidR="002C65BC">
        <w:t xml:space="preserve">substantial </w:t>
      </w:r>
      <w:r w:rsidR="00E956D8">
        <w:t>agreement in shape and</w:t>
      </w:r>
      <w:r w:rsidR="002C65BC">
        <w:t xml:space="preserve"> enhancement grading</w:t>
      </w:r>
      <w:r w:rsidR="00E956D8">
        <w:t>.</w:t>
      </w:r>
      <w:r w:rsidR="002C65BC">
        <w:t xml:space="preserve"> </w:t>
      </w:r>
      <w:r w:rsidR="00232F20">
        <w:t xml:space="preserve">ICC analysis demonstrated low to moderate agreement; with greater agreement regarding intermetatarsal lesions than plantar lesions demonstrated. </w:t>
      </w:r>
      <w:r w:rsidR="00CE7727">
        <w:t>As illustrated in the Bland Altman plots, (figure</w:t>
      </w:r>
      <w:r w:rsidR="000E6CDA">
        <w:t xml:space="preserve"> 2</w:t>
      </w:r>
      <w:r w:rsidR="00CE7727">
        <w:t>), t</w:t>
      </w:r>
      <w:r w:rsidR="002A0941">
        <w:t xml:space="preserve">he standard error mean difference between reader scores was 0.69 (95% CI </w:t>
      </w:r>
      <w:r w:rsidR="00CE7727">
        <w:t>-8.9 – 6.72)</w:t>
      </w:r>
      <w:r w:rsidR="000A45E8">
        <w:t>.</w:t>
      </w:r>
      <w:r w:rsidR="00CE7727">
        <w:t xml:space="preserve"> The majority of scores were bounded between the upper and lower limits of two standard deviations from the mean</w:t>
      </w:r>
      <w:r w:rsidR="000A45E8">
        <w:t>.</w:t>
      </w:r>
      <w:r w:rsidR="00CE7727">
        <w:t xml:space="preserve"> </w:t>
      </w:r>
    </w:p>
    <w:p w:rsidR="00482259" w:rsidRPr="002A7724" w:rsidRDefault="00482259" w:rsidP="00C11A7D">
      <w:pPr>
        <w:spacing w:line="360" w:lineRule="auto"/>
        <w:rPr>
          <w:rFonts w:cs="Arial"/>
        </w:rPr>
      </w:pPr>
      <w:r w:rsidRPr="002A7724">
        <w:rPr>
          <w:b/>
          <w:bCs/>
        </w:rPr>
        <w:t xml:space="preserve">DISCUSSION </w:t>
      </w:r>
    </w:p>
    <w:p w:rsidR="00482259" w:rsidRDefault="00482259" w:rsidP="007E3937">
      <w:pPr>
        <w:spacing w:after="0" w:line="360" w:lineRule="auto"/>
        <w:jc w:val="both"/>
      </w:pPr>
      <w:r>
        <w:t xml:space="preserve">This study is the first to propose a systematic method, for the semi-quantitative characterisation of </w:t>
      </w:r>
      <w:r w:rsidR="001D2DBB">
        <w:t xml:space="preserve">bursa-like lesions of the forefoot </w:t>
      </w:r>
      <w:r>
        <w:t xml:space="preserve">in patients with RA. </w:t>
      </w:r>
      <w:r w:rsidR="003341C3">
        <w:t>In this preliminary analysis, t</w:t>
      </w:r>
      <w:r>
        <w:t xml:space="preserve">he </w:t>
      </w:r>
      <w:r w:rsidR="003341C3">
        <w:rPr>
          <w:i/>
          <w:iCs/>
        </w:rPr>
        <w:t xml:space="preserve">FFB-Score </w:t>
      </w:r>
      <w:r w:rsidR="003341C3" w:rsidRPr="003341C3">
        <w:t>was</w:t>
      </w:r>
      <w:r w:rsidR="003341C3">
        <w:t xml:space="preserve"> demonstrated to have </w:t>
      </w:r>
      <w:r w:rsidR="00925B8B">
        <w:t xml:space="preserve">moderate to </w:t>
      </w:r>
      <w:r w:rsidR="00202294">
        <w:t>substantial</w:t>
      </w:r>
      <w:r w:rsidR="003341C3">
        <w:t xml:space="preserve"> reliability. </w:t>
      </w:r>
    </w:p>
    <w:p w:rsidR="00925B8B" w:rsidRDefault="00925B8B" w:rsidP="007E3937">
      <w:pPr>
        <w:spacing w:after="0" w:line="360" w:lineRule="auto"/>
        <w:jc w:val="both"/>
      </w:pPr>
    </w:p>
    <w:p w:rsidR="00482259" w:rsidRDefault="00925B8B" w:rsidP="00C11A7D">
      <w:pPr>
        <w:spacing w:after="0" w:line="360" w:lineRule="auto"/>
        <w:jc w:val="both"/>
      </w:pPr>
      <w:r>
        <w:t xml:space="preserve">The evaluation of </w:t>
      </w:r>
      <w:r w:rsidR="002A0941">
        <w:t>forefoot bursae (</w:t>
      </w:r>
      <w:r>
        <w:t>FFB</w:t>
      </w:r>
      <w:r w:rsidR="002A0941">
        <w:t>)</w:t>
      </w:r>
      <w:r>
        <w:t xml:space="preserve">, completed as part of the </w:t>
      </w:r>
      <w:r>
        <w:rPr>
          <w:i/>
          <w:iCs/>
        </w:rPr>
        <w:t>FFB-S</w:t>
      </w:r>
      <w:r w:rsidRPr="00187F25">
        <w:rPr>
          <w:i/>
          <w:iCs/>
        </w:rPr>
        <w:t>core</w:t>
      </w:r>
      <w:r>
        <w:t xml:space="preserve"> development, identified differences in the tissue characteristics of observed lesions. Previous authors have suggested that such differences are related to the FFB aetiology </w:t>
      </w:r>
      <w:r w:rsidR="00FD04A6">
        <w:fldChar w:fldCharType="begin">
          <w:fldData xml:space="preserve">PEVuZE5vdGU+PENpdGU+PEF1dGhvcj5TdHVkbGVyPC9BdXRob3I+PFllYXI+MjAwODwvWWVhcj48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</w:fldData>
        </w:fldChar>
      </w:r>
      <w:r w:rsidR="00F32902">
        <w:instrText xml:space="preserve"> ADDIN EN.CITE </w:instrText>
      </w:r>
      <w:r w:rsidR="00F32902">
        <w:fldChar w:fldCharType="begin">
          <w:fldData xml:space="preserve">PEVuZE5vdGU+PENpdGU+PEF1dGhvcj5TdHVkbGVyPC9BdXRob3I+PFllYXI+MjAwODwvWWVhcj48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</w:fldData>
        </w:fldChar>
      </w:r>
      <w:r w:rsidR="00F32902">
        <w:instrText xml:space="preserve"> ADDIN EN.CITE.DATA </w:instrText>
      </w:r>
      <w:r w:rsidR="00F32902">
        <w:fldChar w:fldCharType="end"/>
      </w:r>
      <w:r w:rsidR="00FD04A6">
        <w:fldChar w:fldCharType="separate"/>
      </w:r>
      <w:r>
        <w:t>[2, 11]</w:t>
      </w:r>
      <w:r w:rsidR="00FD04A6">
        <w:fldChar w:fldCharType="end"/>
      </w:r>
      <w:r>
        <w:t xml:space="preserve">, although characterisation by pathological or aetiological means has arguably contributed to confusion within the literature. It is proposed that the </w:t>
      </w:r>
      <w:r>
        <w:rPr>
          <w:i/>
          <w:iCs/>
        </w:rPr>
        <w:t>FFB-S</w:t>
      </w:r>
      <w:r w:rsidRPr="001374DB">
        <w:rPr>
          <w:i/>
          <w:iCs/>
        </w:rPr>
        <w:t>core</w:t>
      </w:r>
      <w:r>
        <w:t xml:space="preserve"> can be utilised to characterise a range of forefoot bursa-like lesions without bias towards their potential aetiology or clinical importance. </w:t>
      </w:r>
      <w:r w:rsidR="00202294">
        <w:t>I</w:t>
      </w:r>
      <w:r>
        <w:t xml:space="preserve">t should be noted </w:t>
      </w:r>
      <w:r w:rsidR="00202294">
        <w:t xml:space="preserve">however </w:t>
      </w:r>
      <w:r>
        <w:t>that despite all identified lesions meeting our study definition of bursa (fluid filled cavity), a range of bursa-like lesions were observed and the clinical significance of this remains unclear.</w:t>
      </w:r>
      <w:r w:rsidRPr="0065158E">
        <w:t xml:space="preserve"> </w:t>
      </w:r>
      <w:r>
        <w:t>Further evaluation of the clinical importance of MRI-detected FFB in patients with RA is warranted.</w:t>
      </w:r>
    </w:p>
    <w:p w:rsidR="00925B8B" w:rsidRDefault="00925B8B" w:rsidP="00C11A7D">
      <w:pPr>
        <w:spacing w:after="0" w:line="360" w:lineRule="auto"/>
        <w:jc w:val="both"/>
        <w:rPr>
          <w:rFonts w:cs="Arial"/>
        </w:rPr>
      </w:pPr>
    </w:p>
    <w:p w:rsidR="00482259" w:rsidRPr="00724F1B" w:rsidRDefault="00482259" w:rsidP="004C695B">
      <w:pPr>
        <w:spacing w:after="0" w:line="360" w:lineRule="auto"/>
        <w:ind w:left="60"/>
        <w:jc w:val="both"/>
      </w:pPr>
      <w:r w:rsidRPr="002A7724">
        <w:t>This study has stre</w:t>
      </w:r>
      <w:r>
        <w:t xml:space="preserve">ngths and potential limitations. </w:t>
      </w:r>
      <w:r w:rsidR="002A0941">
        <w:t xml:space="preserve">Bland and Altman plots, </w:t>
      </w:r>
      <w:r>
        <w:t xml:space="preserve">Kappa values </w:t>
      </w:r>
      <w:r w:rsidR="002A0941">
        <w:t xml:space="preserve">and ICC analyses </w:t>
      </w:r>
      <w:r>
        <w:t>were used to determine the agreement between readers for the presence of lesion</w:t>
      </w:r>
      <w:r w:rsidR="00724F1B">
        <w:t>s</w:t>
      </w:r>
      <w:r w:rsidR="002A0941">
        <w:t xml:space="preserve"> and the characteristics thereof</w:t>
      </w:r>
      <w:r>
        <w:t xml:space="preserve">. </w:t>
      </w:r>
      <w:r w:rsidR="002A0941">
        <w:t xml:space="preserve">These analyses consistently demonstrated moderate to substantial agreement between readers, across all items. </w:t>
      </w:r>
      <w:r w:rsidR="00202294">
        <w:t>T</w:t>
      </w:r>
      <w:r>
        <w:t>h</w:t>
      </w:r>
      <w:r w:rsidR="002A0941">
        <w:t>e</w:t>
      </w:r>
      <w:r>
        <w:t>s</w:t>
      </w:r>
      <w:r w:rsidR="002A0941">
        <w:t>e</w:t>
      </w:r>
      <w:r>
        <w:t xml:space="preserve"> method</w:t>
      </w:r>
      <w:r w:rsidR="002A0941">
        <w:t>s</w:t>
      </w:r>
      <w:r>
        <w:t xml:space="preserve"> do not account </w:t>
      </w:r>
      <w:r w:rsidR="00202294">
        <w:t xml:space="preserve">however, </w:t>
      </w:r>
      <w:r>
        <w:t>for instances where the same lesion may be observed by each reader but scored as occu</w:t>
      </w:r>
      <w:r w:rsidR="004C695B">
        <w:t>rring in neighbouring locations</w:t>
      </w:r>
      <w:r>
        <w:t xml:space="preserve">. The studied population is a </w:t>
      </w:r>
      <w:r w:rsidR="004C695B">
        <w:t xml:space="preserve">cross-sectional </w:t>
      </w:r>
      <w:r>
        <w:t xml:space="preserve">consecutive sample of well phenotyped patients with established RA. </w:t>
      </w:r>
      <w:r w:rsidR="004C695B">
        <w:t>Thus, t</w:t>
      </w:r>
      <w:r>
        <w:t>he generalisability of the study findings to those patients with early or high disease activity</w:t>
      </w:r>
      <w:r w:rsidR="004C695B">
        <w:t xml:space="preserve"> </w:t>
      </w:r>
      <w:r w:rsidR="006D70AD">
        <w:t>should</w:t>
      </w:r>
      <w:r>
        <w:t xml:space="preserve"> be explored. </w:t>
      </w:r>
      <w:r w:rsidR="00616A93">
        <w:t xml:space="preserve">Similarly, the studied population were recruited from a single site and </w:t>
      </w:r>
      <w:r w:rsidR="006D70AD">
        <w:t>therefore</w:t>
      </w:r>
      <w:r w:rsidR="00616A93">
        <w:t xml:space="preserve"> external validation of the </w:t>
      </w:r>
      <w:r w:rsidR="00616A93" w:rsidRPr="00616A93">
        <w:rPr>
          <w:i/>
          <w:iCs/>
        </w:rPr>
        <w:t>FFB-Score</w:t>
      </w:r>
      <w:r w:rsidR="00616A93">
        <w:t xml:space="preserve"> is required. </w:t>
      </w:r>
      <w:r w:rsidR="00724F1B">
        <w:t>In addition,</w:t>
      </w:r>
      <w:r>
        <w:t xml:space="preserve"> the measures of MRI-determined localised disease activity used within this study have not been validated, although </w:t>
      </w:r>
      <w:r w:rsidR="00724F1B">
        <w:t>they are</w:t>
      </w:r>
      <w:r>
        <w:t xml:space="preserve"> reproducible </w:t>
      </w:r>
      <w:r w:rsidR="00FD04A6">
        <w:fldChar w:fldCharType="begin"/>
      </w:r>
      <w:r w:rsidR="00F32902">
        <w:instrText xml:space="preserve"> ADDIN EN.CITE &lt;EndNote&gt;&lt;Cite&gt;&lt;Author&gt;Baan&lt;/Author&gt;&lt;Year&gt;2011&lt;/Year&gt;&lt;RecNum&gt;11210&lt;/RecNum&gt;&lt;record&gt;&lt;rec-number&gt;11210&lt;/rec-number&gt;&lt;foreign-keys&gt;&lt;key app="EN" db-id="2pva02r23zrr2jet0e5pzdxo5zat9wsvs0av"&gt;11210&lt;/key&gt;&lt;/foreign-keys&gt;&lt;ref-type name="Journal Article"&gt;17&lt;/ref-type&gt;&lt;contributors&gt;&lt;authors&gt;&lt;author&gt;Baan, H.&lt;/author&gt;&lt;author&gt;Bezooijen, R.&lt;/author&gt;&lt;author&gt;Avenarius, J. K.&lt;/author&gt;&lt;author&gt;Dubbeldam, R.&lt;/author&gt;&lt;author&gt;Drossaers-Bakker, W. K.&lt;/author&gt;&lt;author&gt;van de Laar, M. A.&lt;/author&gt;&lt;/authors&gt;&lt;/contributors&gt;&lt;auth-address&gt;Department of Rheumatology, ZGT, Locatie Twenteborg Ziekenhuis, Postbus 7600, 7600 SZ Almelo, The Netherlands. h.baan@zgt.nl.&lt;/auth-address&gt;&lt;titles&gt;&lt;title&gt;Magnetic Resonance Imaging of the Rheumatic Foot According to the RAMRIS System Is Reliable&lt;/title&gt;&lt;secondary-title&gt;J Rheumatol&lt;/secondary-title&gt;&lt;/titles&gt;&lt;periodical&gt;&lt;full-title&gt;J Rheumatol&lt;/full-title&gt;&lt;/periodical&gt;&lt;pages&gt;1003-8&lt;/pages&gt;&lt;volume&gt;38&lt;/volume&gt;&lt;number&gt;6&lt;/number&gt;&lt;edition&gt;2011/03/03&lt;/edition&gt;&lt;dates&gt;&lt;year&gt;2011&lt;/year&gt;&lt;pub-dates&gt;&lt;date&gt;Jun&lt;/date&gt;&lt;/pub-dates&gt;&lt;/dates&gt;&lt;isbn&gt;0315-162X (Print)&amp;#xD;0315-162X (Linking)&lt;/isbn&gt;&lt;accession-num&gt;21362763&lt;/accession-num&gt;&lt;urls&gt;&lt;related-urls&gt;&lt;url&gt;http://www.ncbi.nlm.nih.gov/pubmed/21362763&lt;/url&gt;&lt;/related-urls&gt;&lt;/urls&gt;&lt;electronic-resource-num&gt;jrheum.100906 [pii]&amp;#xD;10.3899/jrheum.100906&lt;/electronic-resource-num&gt;&lt;language&gt;eng&lt;/language&gt;&lt;/record&gt;&lt;/Cite&gt;&lt;/EndNote&gt;</w:instrText>
      </w:r>
      <w:r w:rsidR="00FD04A6">
        <w:fldChar w:fldCharType="separate"/>
      </w:r>
      <w:r w:rsidR="002B7732">
        <w:rPr>
          <w:noProof/>
        </w:rPr>
        <w:t>[</w:t>
      </w:r>
      <w:hyperlink w:anchor="_ENREF_12" w:tooltip="Baan, 2011 #11210" w:history="1">
        <w:r w:rsidR="002B7732">
          <w:rPr>
            <w:noProof/>
          </w:rPr>
          <w:t>12</w:t>
        </w:r>
      </w:hyperlink>
      <w:r w:rsidR="002B7732">
        <w:rPr>
          <w:noProof/>
        </w:rPr>
        <w:t>]</w:t>
      </w:r>
      <w:r w:rsidR="00FD04A6">
        <w:fldChar w:fldCharType="end"/>
      </w:r>
      <w:r>
        <w:t xml:space="preserve">. </w:t>
      </w:r>
      <w:r w:rsidR="00724F1B">
        <w:t xml:space="preserve"> D</w:t>
      </w:r>
      <w:r>
        <w:t xml:space="preserve">evelopment of a tool for the evaluation of RA disease activity in the forefoot would significantly enhance work in this area. </w:t>
      </w:r>
    </w:p>
    <w:p w:rsidR="00B22B08" w:rsidRPr="00B22B08" w:rsidRDefault="00B22B08" w:rsidP="00B22B08">
      <w:pPr>
        <w:spacing w:after="0" w:line="360" w:lineRule="auto"/>
        <w:ind w:left="60"/>
        <w:jc w:val="both"/>
        <w:rPr>
          <w:rFonts w:cs="Arial"/>
        </w:rPr>
      </w:pPr>
    </w:p>
    <w:p w:rsidR="00B22B08" w:rsidRDefault="00B22B08" w:rsidP="00B22B08">
      <w:pPr>
        <w:rPr>
          <w:b/>
          <w:bCs/>
        </w:rPr>
      </w:pPr>
      <w:r>
        <w:rPr>
          <w:b/>
          <w:bCs/>
        </w:rPr>
        <w:t>KEY MESSAGES</w:t>
      </w:r>
    </w:p>
    <w:p w:rsidR="009D0B4B" w:rsidRDefault="00B22B08" w:rsidP="009E06BA">
      <w:pPr>
        <w:pStyle w:val="ListParagraph"/>
        <w:numPr>
          <w:ilvl w:val="0"/>
          <w:numId w:val="19"/>
        </w:numPr>
      </w:pPr>
      <w:r w:rsidRPr="002A7724">
        <w:t xml:space="preserve">The </w:t>
      </w:r>
      <w:r w:rsidRPr="00640DA6">
        <w:rPr>
          <w:i/>
          <w:iCs/>
        </w:rPr>
        <w:t>FFB-Score</w:t>
      </w:r>
      <w:r w:rsidRPr="002A7724">
        <w:t xml:space="preserve"> is </w:t>
      </w:r>
      <w:r w:rsidR="00202294">
        <w:t xml:space="preserve">adequately </w:t>
      </w:r>
      <w:r w:rsidR="009E06BA">
        <w:t xml:space="preserve">reliable for the characterisation of bursa-like lesions of the forefoot in </w:t>
      </w:r>
      <w:r>
        <w:t xml:space="preserve">patients </w:t>
      </w:r>
      <w:r w:rsidRPr="00640DA6">
        <w:t>with RA</w:t>
      </w:r>
    </w:p>
    <w:p w:rsidR="00E34D29" w:rsidRDefault="00E34D29" w:rsidP="00E34D29">
      <w:pPr>
        <w:pStyle w:val="ListParagraph"/>
        <w:numPr>
          <w:ilvl w:val="0"/>
          <w:numId w:val="19"/>
        </w:numPr>
      </w:pPr>
      <w:r>
        <w:t xml:space="preserve">Further validation of the FFB-Score is required. </w:t>
      </w:r>
    </w:p>
    <w:p w:rsidR="00E34D29" w:rsidRDefault="00E34D29" w:rsidP="00E34D29">
      <w:pPr>
        <w:pStyle w:val="ListParagraph"/>
        <w:numPr>
          <w:ilvl w:val="0"/>
          <w:numId w:val="19"/>
        </w:numPr>
      </w:pPr>
      <w:r>
        <w:t>Additional validation of MRI-determined disease activity within the joints of the forefoot would be of considerable clinical and research benefit</w:t>
      </w:r>
    </w:p>
    <w:p w:rsidR="009E06BA" w:rsidRPr="009E06BA" w:rsidRDefault="009E06BA" w:rsidP="009E06BA">
      <w:pPr>
        <w:pStyle w:val="ListParagraph"/>
      </w:pPr>
    </w:p>
    <w:p w:rsidR="00482259" w:rsidRPr="00800B3A" w:rsidRDefault="00800B3A" w:rsidP="00800B3A">
      <w:pPr>
        <w:spacing w:line="240" w:lineRule="auto"/>
        <w:jc w:val="both"/>
        <w:rPr>
          <w:rFonts w:cs="Arial"/>
          <w:color w:val="231F20"/>
          <w:lang w:val="en-US"/>
        </w:rPr>
      </w:pPr>
      <w:r>
        <w:rPr>
          <w:b/>
          <w:bCs/>
        </w:rPr>
        <w:t>ACKNOWLEDGEMENTS</w:t>
      </w:r>
      <w:r w:rsidR="00482259">
        <w:rPr>
          <w:b/>
          <w:bCs/>
        </w:rPr>
        <w:t>:</w:t>
      </w:r>
      <w:r w:rsidR="00482259" w:rsidRPr="00D23CE2">
        <w:rPr>
          <w:b/>
          <w:bCs/>
        </w:rPr>
        <w:t xml:space="preserve"> </w:t>
      </w:r>
      <w:r w:rsidR="00482259" w:rsidRPr="00D23CE2">
        <w:t>The authors thank the participants of the Southampton FeeTURA cohort for</w:t>
      </w:r>
      <w:r w:rsidR="00482259">
        <w:t xml:space="preserve"> their ongoing contribution to this work,</w:t>
      </w:r>
      <w:r w:rsidR="00640DA6">
        <w:t xml:space="preserve"> Ms Nicky Reid &amp;</w:t>
      </w:r>
      <w:r w:rsidR="00482259">
        <w:t xml:space="preserve"> Mrs Philandra Costello for help with administration of the study and the Southampton NIHR-Wellcome Trust Clinical Research Facility for their support of this project.</w:t>
      </w:r>
    </w:p>
    <w:p w:rsidR="0053309A" w:rsidRDefault="0053309A" w:rsidP="00B35E1A">
      <w:pPr>
        <w:jc w:val="both"/>
        <w:rPr>
          <w:b/>
          <w:bCs/>
        </w:rPr>
      </w:pPr>
    </w:p>
    <w:p w:rsidR="00482259" w:rsidRPr="00F963A0" w:rsidRDefault="00B22B08" w:rsidP="00B35E1A">
      <w:pPr>
        <w:jc w:val="both"/>
        <w:rPr>
          <w:rFonts w:cs="Arial"/>
          <w:b/>
          <w:bCs/>
        </w:rPr>
      </w:pPr>
      <w:r>
        <w:rPr>
          <w:b/>
          <w:bCs/>
        </w:rPr>
        <w:t>CONFLICT OF INTEREST</w:t>
      </w:r>
      <w:r w:rsidR="00482259">
        <w:rPr>
          <w:b/>
          <w:bCs/>
        </w:rPr>
        <w:t xml:space="preserve">: </w:t>
      </w:r>
      <w:r w:rsidR="00482259" w:rsidRPr="003648AB">
        <w:t>None</w:t>
      </w:r>
    </w:p>
    <w:p w:rsidR="0053309A" w:rsidRDefault="0053309A" w:rsidP="00B11010">
      <w:pPr>
        <w:spacing w:line="240" w:lineRule="auto"/>
        <w:jc w:val="both"/>
        <w:rPr>
          <w:b/>
          <w:bCs/>
        </w:rPr>
      </w:pPr>
    </w:p>
    <w:p w:rsidR="00482259" w:rsidRDefault="00800B3A" w:rsidP="00B22B08">
      <w:pPr>
        <w:spacing w:line="240" w:lineRule="auto"/>
        <w:jc w:val="both"/>
      </w:pPr>
      <w:r>
        <w:rPr>
          <w:b/>
          <w:bCs/>
        </w:rPr>
        <w:t>FUNDING</w:t>
      </w:r>
      <w:r w:rsidR="00482259">
        <w:rPr>
          <w:b/>
          <w:bCs/>
        </w:rPr>
        <w:t xml:space="preserve">: </w:t>
      </w:r>
      <w:r w:rsidR="00B22B08" w:rsidRPr="00B22B08">
        <w:t>This work was supported by a project grant from Pfizer UK and the Southampton Rheumatology Trust.</w:t>
      </w:r>
      <w:r w:rsidR="00B22B08">
        <w:rPr>
          <w:b/>
          <w:bCs/>
        </w:rPr>
        <w:t xml:space="preserve"> </w:t>
      </w:r>
      <w:r w:rsidR="00482259">
        <w:t>LH was supported to undertake this work by a National Institute of Health Res</w:t>
      </w:r>
      <w:r w:rsidR="00B22B08">
        <w:t>earch Clinical Doctoral Research Fellowship</w:t>
      </w:r>
      <w:r w:rsidR="00482259">
        <w:t xml:space="preserve">. </w:t>
      </w:r>
    </w:p>
    <w:p w:rsidR="0053309A" w:rsidRDefault="0053309A" w:rsidP="00C5442D">
      <w:pPr>
        <w:rPr>
          <w:b/>
          <w:bCs/>
        </w:rPr>
      </w:pPr>
    </w:p>
    <w:p w:rsidR="00482259" w:rsidRPr="002B7732" w:rsidRDefault="00482259" w:rsidP="00C5442D">
      <w:pPr>
        <w:rPr>
          <w:i/>
          <w:iCs/>
        </w:rPr>
      </w:pPr>
      <w:r w:rsidRPr="002B7732">
        <w:rPr>
          <w:b/>
          <w:bCs/>
        </w:rPr>
        <w:t>REFERENCES</w:t>
      </w:r>
      <w:r w:rsidRPr="002B7732">
        <w:rPr>
          <w:i/>
          <w:iCs/>
        </w:rPr>
        <w:t xml:space="preserve"> </w:t>
      </w:r>
    </w:p>
    <w:p w:rsidR="00F32902" w:rsidRPr="00A64F37" w:rsidRDefault="00FD04A6" w:rsidP="00F32902">
      <w:pPr>
        <w:spacing w:after="0" w:line="240" w:lineRule="auto"/>
        <w:ind w:left="720" w:hanging="720"/>
        <w:rPr>
          <w:rFonts w:cs="Arial"/>
          <w:szCs w:val="28"/>
          <w:lang w:eastAsia="en-US"/>
        </w:rPr>
      </w:pPr>
      <w:r w:rsidRPr="002A7724">
        <w:rPr>
          <w:rFonts w:ascii="Arial" w:hAnsi="Arial" w:cs="Arial"/>
          <w:sz w:val="28"/>
          <w:szCs w:val="28"/>
          <w:lang w:val="en-AU" w:eastAsia="en-US"/>
        </w:rPr>
        <w:fldChar w:fldCharType="begin"/>
      </w:r>
      <w:r w:rsidR="00482259" w:rsidRPr="002B7732">
        <w:rPr>
          <w:rFonts w:ascii="Arial" w:hAnsi="Arial" w:cs="Arial"/>
          <w:sz w:val="28"/>
          <w:szCs w:val="28"/>
          <w:lang w:eastAsia="en-US"/>
        </w:rPr>
        <w:instrText xml:space="preserve"> ADDIN EN.REFLIST </w:instrText>
      </w:r>
      <w:r w:rsidRPr="002A7724">
        <w:rPr>
          <w:rFonts w:ascii="Arial" w:hAnsi="Arial" w:cs="Arial"/>
          <w:sz w:val="28"/>
          <w:szCs w:val="28"/>
          <w:lang w:val="en-AU" w:eastAsia="en-US"/>
        </w:rPr>
        <w:fldChar w:fldCharType="separate"/>
      </w:r>
      <w:bookmarkStart w:id="0" w:name="_ENREF_1"/>
      <w:r w:rsidR="00F32902" w:rsidRPr="00A64F37">
        <w:rPr>
          <w:rFonts w:cs="Arial"/>
          <w:szCs w:val="28"/>
          <w:lang w:eastAsia="en-US"/>
        </w:rPr>
        <w:t>1.</w:t>
      </w:r>
      <w:r w:rsidR="00F32902" w:rsidRPr="00A64F37">
        <w:rPr>
          <w:rFonts w:cs="Arial"/>
          <w:szCs w:val="28"/>
          <w:lang w:eastAsia="en-US"/>
        </w:rPr>
        <w:tab/>
        <w:t xml:space="preserve">Bowen, C.J., et al., </w:t>
      </w:r>
      <w:r w:rsidR="00F32902" w:rsidRPr="00A64F37">
        <w:rPr>
          <w:rFonts w:cs="Arial"/>
          <w:i/>
          <w:szCs w:val="28"/>
          <w:lang w:eastAsia="en-US"/>
        </w:rPr>
        <w:t>Assessment of the natural history of forefoot bursae using ultrasonography in patients with rheumatoid arthritis: a twelve-month investigation.</w:t>
      </w:r>
      <w:r w:rsidR="00F32902" w:rsidRPr="00A64F37">
        <w:rPr>
          <w:rFonts w:cs="Arial"/>
          <w:szCs w:val="28"/>
          <w:lang w:eastAsia="en-US"/>
        </w:rPr>
        <w:t xml:space="preserve"> Arthritis Care Res (Hoboken), 2010. </w:t>
      </w:r>
      <w:r w:rsidR="00F32902" w:rsidRPr="00A64F37">
        <w:rPr>
          <w:rFonts w:cs="Arial"/>
          <w:b/>
          <w:szCs w:val="28"/>
          <w:lang w:eastAsia="en-US"/>
        </w:rPr>
        <w:t>62</w:t>
      </w:r>
      <w:r w:rsidR="00F32902" w:rsidRPr="00A64F37">
        <w:rPr>
          <w:rFonts w:cs="Arial"/>
          <w:szCs w:val="28"/>
          <w:lang w:eastAsia="en-US"/>
        </w:rPr>
        <w:t>(12): p. 1756-62.</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2.</w:t>
      </w:r>
      <w:r w:rsidRPr="00A64F37">
        <w:rPr>
          <w:rFonts w:cs="Arial"/>
          <w:szCs w:val="28"/>
          <w:lang w:eastAsia="en-US"/>
        </w:rPr>
        <w:tab/>
        <w:t xml:space="preserve">Koski, J.M., </w:t>
      </w:r>
      <w:r w:rsidRPr="00A64F37">
        <w:rPr>
          <w:rFonts w:cs="Arial"/>
          <w:i/>
          <w:szCs w:val="28"/>
          <w:lang w:eastAsia="en-US"/>
        </w:rPr>
        <w:t>Ultrasound detection of plantar bursitis of the forefoot in patients with early rheumatoid arthritis.</w:t>
      </w:r>
      <w:r w:rsidRPr="00A64F37">
        <w:rPr>
          <w:rFonts w:cs="Arial"/>
          <w:szCs w:val="28"/>
          <w:lang w:eastAsia="en-US"/>
        </w:rPr>
        <w:t xml:space="preserve"> J Rheumatol, 1998. </w:t>
      </w:r>
      <w:r w:rsidRPr="00A64F37">
        <w:rPr>
          <w:rFonts w:cs="Arial"/>
          <w:b/>
          <w:szCs w:val="28"/>
          <w:lang w:eastAsia="en-US"/>
        </w:rPr>
        <w:t>25</w:t>
      </w:r>
      <w:r w:rsidRPr="00A64F37">
        <w:rPr>
          <w:rFonts w:cs="Arial"/>
          <w:szCs w:val="28"/>
          <w:lang w:eastAsia="en-US"/>
        </w:rPr>
        <w:t>(2): p. 229-30.</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3.</w:t>
      </w:r>
      <w:r w:rsidRPr="00A64F37">
        <w:rPr>
          <w:rFonts w:cs="Arial"/>
          <w:szCs w:val="28"/>
          <w:lang w:eastAsia="en-US"/>
        </w:rPr>
        <w:tab/>
        <w:t xml:space="preserve">Hooper, L., et al., </w:t>
      </w:r>
      <w:r w:rsidRPr="00A64F37">
        <w:rPr>
          <w:rFonts w:cs="Arial"/>
          <w:i/>
          <w:szCs w:val="28"/>
          <w:lang w:eastAsia="en-US"/>
        </w:rPr>
        <w:t>Prognostic indicators of foot related disability in patients with RA: Results of a prospective three-year study.</w:t>
      </w:r>
      <w:r w:rsidRPr="00A64F37">
        <w:rPr>
          <w:rFonts w:cs="Arial"/>
          <w:szCs w:val="28"/>
          <w:lang w:eastAsia="en-US"/>
        </w:rPr>
        <w:t xml:space="preserve"> Arthritis Care Res (Hoboken), 2012.</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4.</w:t>
      </w:r>
      <w:r w:rsidRPr="00A64F37">
        <w:rPr>
          <w:rFonts w:cs="Arial"/>
          <w:szCs w:val="28"/>
          <w:lang w:eastAsia="en-US"/>
        </w:rPr>
        <w:tab/>
        <w:t xml:space="preserve">Ostergaard, M., et al., </w:t>
      </w:r>
      <w:r w:rsidRPr="00A64F37">
        <w:rPr>
          <w:rFonts w:cs="Arial"/>
          <w:i/>
          <w:szCs w:val="28"/>
          <w:lang w:eastAsia="en-US"/>
        </w:rPr>
        <w:t>Magnetic resonance imaging of peripheral joints in rheumatic diseases.</w:t>
      </w:r>
      <w:r w:rsidRPr="00A64F37">
        <w:rPr>
          <w:rFonts w:cs="Arial"/>
          <w:szCs w:val="28"/>
          <w:lang w:eastAsia="en-US"/>
        </w:rPr>
        <w:t xml:space="preserve"> Best Pract Res Clin Rheumatol, 2004. </w:t>
      </w:r>
      <w:r w:rsidRPr="00A64F37">
        <w:rPr>
          <w:rFonts w:cs="Arial"/>
          <w:b/>
          <w:szCs w:val="28"/>
          <w:lang w:eastAsia="en-US"/>
        </w:rPr>
        <w:t>18</w:t>
      </w:r>
      <w:r w:rsidRPr="00A64F37">
        <w:rPr>
          <w:rFonts w:cs="Arial"/>
          <w:szCs w:val="28"/>
          <w:lang w:eastAsia="en-US"/>
        </w:rPr>
        <w:t>(6): p. 861-79.</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5.</w:t>
      </w:r>
      <w:r w:rsidRPr="00A64F37">
        <w:rPr>
          <w:rFonts w:cs="Arial"/>
          <w:szCs w:val="28"/>
          <w:lang w:eastAsia="en-US"/>
        </w:rPr>
        <w:tab/>
        <w:t xml:space="preserve">Haavardsholm, E.A., et al., </w:t>
      </w:r>
      <w:r w:rsidRPr="00A64F37">
        <w:rPr>
          <w:rFonts w:cs="Arial"/>
          <w:i/>
          <w:szCs w:val="28"/>
          <w:lang w:eastAsia="en-US"/>
        </w:rPr>
        <w:t>Reliability and sensitivity to change of the OMERACT rheumatoid arthritis magnetic resonance imaging score in a multireader, longitudinal setting.</w:t>
      </w:r>
      <w:r w:rsidRPr="00A64F37">
        <w:rPr>
          <w:rFonts w:cs="Arial"/>
          <w:szCs w:val="28"/>
          <w:lang w:eastAsia="en-US"/>
        </w:rPr>
        <w:t xml:space="preserve"> Arthritis Rheum, 2005. </w:t>
      </w:r>
      <w:r w:rsidRPr="00A64F37">
        <w:rPr>
          <w:rFonts w:cs="Arial"/>
          <w:b/>
          <w:szCs w:val="28"/>
          <w:lang w:eastAsia="en-US"/>
        </w:rPr>
        <w:t>52</w:t>
      </w:r>
      <w:r w:rsidRPr="00A64F37">
        <w:rPr>
          <w:rFonts w:cs="Arial"/>
          <w:szCs w:val="28"/>
          <w:lang w:eastAsia="en-US"/>
        </w:rPr>
        <w:t>(12): p. 3860-7.</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6.</w:t>
      </w:r>
      <w:r w:rsidRPr="00A64F37">
        <w:rPr>
          <w:rFonts w:cs="Arial"/>
          <w:szCs w:val="28"/>
          <w:lang w:eastAsia="en-US"/>
        </w:rPr>
        <w:tab/>
        <w:t xml:space="preserve">Bancroft, L.W., J.J. Peterson, and M.J. Kransdorf, </w:t>
      </w:r>
      <w:r w:rsidRPr="00A64F37">
        <w:rPr>
          <w:rFonts w:cs="Arial"/>
          <w:i/>
          <w:szCs w:val="28"/>
          <w:lang w:eastAsia="en-US"/>
        </w:rPr>
        <w:t>Imaging of soft tissue lesions of the foot and ankle.</w:t>
      </w:r>
      <w:r w:rsidRPr="00A64F37">
        <w:rPr>
          <w:rFonts w:cs="Arial"/>
          <w:szCs w:val="28"/>
          <w:lang w:eastAsia="en-US"/>
        </w:rPr>
        <w:t xml:space="preserve"> Radiologic Clinics of North America, 2008. </w:t>
      </w:r>
      <w:r w:rsidRPr="00A64F37">
        <w:rPr>
          <w:rFonts w:cs="Arial"/>
          <w:b/>
          <w:szCs w:val="28"/>
          <w:lang w:eastAsia="en-US"/>
        </w:rPr>
        <w:t>46</w:t>
      </w:r>
      <w:r w:rsidRPr="00A64F37">
        <w:rPr>
          <w:rFonts w:cs="Arial"/>
          <w:szCs w:val="28"/>
          <w:lang w:eastAsia="en-US"/>
        </w:rPr>
        <w:t>(6): p. 1093-1103.</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7.</w:t>
      </w:r>
      <w:r w:rsidRPr="00A64F37">
        <w:rPr>
          <w:rFonts w:cs="Arial"/>
          <w:szCs w:val="28"/>
          <w:lang w:eastAsia="en-US"/>
        </w:rPr>
        <w:tab/>
        <w:t xml:space="preserve">Ostergaard, M., et al., </w:t>
      </w:r>
      <w:r w:rsidRPr="00A64F37">
        <w:rPr>
          <w:rFonts w:cs="Arial"/>
          <w:i/>
          <w:szCs w:val="28"/>
          <w:lang w:eastAsia="en-US"/>
        </w:rPr>
        <w:t>OMERACT Rheumatoid Arthritis Magnetic Resonance Imaging Studies. Core set of MRI acquisitions, joint pathology definitions, and the OMERACT RA-MRI scoring system.</w:t>
      </w:r>
      <w:r w:rsidRPr="00A64F37">
        <w:rPr>
          <w:rFonts w:cs="Arial"/>
          <w:szCs w:val="28"/>
          <w:lang w:eastAsia="en-US"/>
        </w:rPr>
        <w:t xml:space="preserve"> J Rheumatol, 2003. </w:t>
      </w:r>
      <w:r w:rsidRPr="00A64F37">
        <w:rPr>
          <w:rFonts w:cs="Arial"/>
          <w:b/>
          <w:szCs w:val="28"/>
          <w:lang w:eastAsia="en-US"/>
        </w:rPr>
        <w:t>30</w:t>
      </w:r>
      <w:r w:rsidRPr="00A64F37">
        <w:rPr>
          <w:rFonts w:cs="Arial"/>
          <w:szCs w:val="28"/>
          <w:lang w:eastAsia="en-US"/>
        </w:rPr>
        <w:t>(6): p. 1385-6.</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8.</w:t>
      </w:r>
      <w:r w:rsidRPr="00A64F37">
        <w:rPr>
          <w:rFonts w:cs="Arial"/>
          <w:szCs w:val="28"/>
          <w:lang w:eastAsia="en-US"/>
        </w:rPr>
        <w:tab/>
        <w:t xml:space="preserve">Cimmino, M.A., Grassi, W., </w:t>
      </w:r>
      <w:r w:rsidRPr="00A64F37">
        <w:rPr>
          <w:rFonts w:cs="Arial"/>
          <w:i/>
          <w:szCs w:val="28"/>
          <w:lang w:eastAsia="en-US"/>
        </w:rPr>
        <w:t>What is new in ultrasound and magnetic resonance imaging for musculoskeletal disorders?</w:t>
      </w:r>
      <w:r w:rsidRPr="00A64F37">
        <w:rPr>
          <w:rFonts w:cs="Arial"/>
          <w:szCs w:val="28"/>
          <w:lang w:eastAsia="en-US"/>
        </w:rPr>
        <w:t xml:space="preserve"> Best Practice and Research in Clinical Rheumatology, 2008. </w:t>
      </w:r>
      <w:r w:rsidRPr="00A64F37">
        <w:rPr>
          <w:rFonts w:cs="Arial"/>
          <w:b/>
          <w:szCs w:val="28"/>
          <w:lang w:eastAsia="en-US"/>
        </w:rPr>
        <w:t>22</w:t>
      </w:r>
      <w:r w:rsidRPr="00A64F37">
        <w:rPr>
          <w:rFonts w:cs="Arial"/>
          <w:szCs w:val="28"/>
          <w:lang w:eastAsia="en-US"/>
        </w:rPr>
        <w:t>(6): p. 1141-1148.</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9.</w:t>
      </w:r>
      <w:r w:rsidRPr="00A64F37">
        <w:rPr>
          <w:rFonts w:cs="Arial"/>
          <w:szCs w:val="28"/>
          <w:lang w:eastAsia="en-US"/>
        </w:rPr>
        <w:tab/>
        <w:t xml:space="preserve">Gregg, J.M., T. Schneider, and P. Marks, </w:t>
      </w:r>
      <w:r w:rsidRPr="00A64F37">
        <w:rPr>
          <w:rFonts w:cs="Arial"/>
          <w:i/>
          <w:szCs w:val="28"/>
          <w:lang w:eastAsia="en-US"/>
        </w:rPr>
        <w:t>MR imaging and ultrasound of metatarsalgia--the lesser metatarsals.</w:t>
      </w:r>
      <w:r w:rsidRPr="00A64F37">
        <w:rPr>
          <w:rFonts w:cs="Arial"/>
          <w:szCs w:val="28"/>
          <w:lang w:eastAsia="en-US"/>
        </w:rPr>
        <w:t xml:space="preserve"> Radiol Clin North Am, 2008. </w:t>
      </w:r>
      <w:r w:rsidRPr="00A64F37">
        <w:rPr>
          <w:rFonts w:cs="Arial"/>
          <w:b/>
          <w:szCs w:val="28"/>
          <w:lang w:eastAsia="en-US"/>
        </w:rPr>
        <w:t>46</w:t>
      </w:r>
      <w:r w:rsidRPr="00A64F37">
        <w:rPr>
          <w:rFonts w:cs="Arial"/>
          <w:szCs w:val="28"/>
          <w:lang w:eastAsia="en-US"/>
        </w:rPr>
        <w:t>(6): p. 1061-78, vi-vii.</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10.</w:t>
      </w:r>
      <w:r w:rsidRPr="00A64F37">
        <w:rPr>
          <w:rFonts w:cs="Arial"/>
          <w:szCs w:val="28"/>
          <w:lang w:eastAsia="en-US"/>
        </w:rPr>
        <w:tab/>
        <w:t xml:space="preserve">Bowen, C.J., et al., </w:t>
      </w:r>
      <w:r w:rsidRPr="00A64F37">
        <w:rPr>
          <w:rFonts w:cs="Arial"/>
          <w:i/>
          <w:szCs w:val="28"/>
          <w:lang w:eastAsia="en-US"/>
        </w:rPr>
        <w:t>The clinical importance of ultrasound detectable forefoot bursae in rheumatoid arthritis.</w:t>
      </w:r>
      <w:r w:rsidRPr="00A64F37">
        <w:rPr>
          <w:rFonts w:cs="Arial"/>
          <w:szCs w:val="28"/>
          <w:lang w:eastAsia="en-US"/>
        </w:rPr>
        <w:t xml:space="preserve"> Rheumatology (Oxford), 2009. </w:t>
      </w:r>
      <w:r w:rsidRPr="00A64F37">
        <w:rPr>
          <w:rFonts w:cs="Arial"/>
          <w:b/>
          <w:szCs w:val="28"/>
          <w:lang w:eastAsia="en-US"/>
        </w:rPr>
        <w:t>49</w:t>
      </w:r>
      <w:r w:rsidRPr="00A64F37">
        <w:rPr>
          <w:rFonts w:cs="Arial"/>
          <w:szCs w:val="28"/>
          <w:lang w:eastAsia="en-US"/>
        </w:rPr>
        <w:t>(1): p. 191-2.</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11.</w:t>
      </w:r>
      <w:r w:rsidRPr="00A64F37">
        <w:rPr>
          <w:rFonts w:cs="Arial"/>
          <w:szCs w:val="28"/>
          <w:lang w:eastAsia="en-US"/>
        </w:rPr>
        <w:tab/>
        <w:t xml:space="preserve">Studler, U., et al., </w:t>
      </w:r>
      <w:r w:rsidRPr="00A64F37">
        <w:rPr>
          <w:rFonts w:cs="Arial"/>
          <w:i/>
          <w:szCs w:val="28"/>
          <w:lang w:eastAsia="en-US"/>
        </w:rPr>
        <w:t>Fibrosis and adventitious bursae in plantar fat pad of forefoot: MR imaging findings in asymptomatic volunteers and MR imaging-histologic comparison.</w:t>
      </w:r>
      <w:r w:rsidRPr="00A64F37">
        <w:rPr>
          <w:rFonts w:cs="Arial"/>
          <w:szCs w:val="28"/>
          <w:lang w:eastAsia="en-US"/>
        </w:rPr>
        <w:t xml:space="preserve"> Radiology, 2008. </w:t>
      </w:r>
      <w:r w:rsidRPr="00A64F37">
        <w:rPr>
          <w:rFonts w:cs="Arial"/>
          <w:b/>
          <w:szCs w:val="28"/>
          <w:lang w:eastAsia="en-US"/>
        </w:rPr>
        <w:t>246</w:t>
      </w:r>
      <w:r w:rsidRPr="00A64F37">
        <w:rPr>
          <w:rFonts w:cs="Arial"/>
          <w:szCs w:val="28"/>
          <w:lang w:eastAsia="en-US"/>
        </w:rPr>
        <w:t>(3): p. 863-70.</w:t>
      </w:r>
    </w:p>
    <w:p w:rsidR="00F32902" w:rsidRPr="00A64F37" w:rsidRDefault="00F32902" w:rsidP="00F32902">
      <w:pPr>
        <w:spacing w:after="0" w:line="240" w:lineRule="auto"/>
        <w:ind w:left="720" w:hanging="720"/>
        <w:rPr>
          <w:rFonts w:cs="Arial"/>
          <w:szCs w:val="28"/>
          <w:lang w:eastAsia="en-US"/>
        </w:rPr>
      </w:pPr>
      <w:r w:rsidRPr="00A64F37">
        <w:rPr>
          <w:rFonts w:cs="Arial"/>
          <w:szCs w:val="28"/>
          <w:lang w:eastAsia="en-US"/>
        </w:rPr>
        <w:t>12.</w:t>
      </w:r>
      <w:r w:rsidRPr="00A64F37">
        <w:rPr>
          <w:rFonts w:cs="Arial"/>
          <w:szCs w:val="28"/>
          <w:lang w:eastAsia="en-US"/>
        </w:rPr>
        <w:tab/>
        <w:t xml:space="preserve">Baan, H., et al., </w:t>
      </w:r>
      <w:r w:rsidRPr="00A64F37">
        <w:rPr>
          <w:rFonts w:cs="Arial"/>
          <w:i/>
          <w:szCs w:val="28"/>
          <w:lang w:eastAsia="en-US"/>
        </w:rPr>
        <w:t>Magnetic Resonance Imaging of the Rheumatic Foot According to the RAMRIS System Is Reliable.</w:t>
      </w:r>
      <w:r w:rsidRPr="00A64F37">
        <w:rPr>
          <w:rFonts w:cs="Arial"/>
          <w:szCs w:val="28"/>
          <w:lang w:eastAsia="en-US"/>
        </w:rPr>
        <w:t xml:space="preserve"> J Rheumatol, 2011. </w:t>
      </w:r>
      <w:r w:rsidRPr="00A64F37">
        <w:rPr>
          <w:rFonts w:cs="Arial"/>
          <w:b/>
          <w:szCs w:val="28"/>
          <w:lang w:eastAsia="en-US"/>
        </w:rPr>
        <w:t>38</w:t>
      </w:r>
      <w:r w:rsidRPr="00A64F37">
        <w:rPr>
          <w:rFonts w:cs="Arial"/>
          <w:szCs w:val="28"/>
          <w:lang w:eastAsia="en-US"/>
        </w:rPr>
        <w:t>(6): p. 1003-8.</w:t>
      </w:r>
    </w:p>
    <w:p w:rsidR="00F32902" w:rsidRDefault="00F32902" w:rsidP="00F32902">
      <w:pPr>
        <w:spacing w:after="0" w:line="240" w:lineRule="auto"/>
        <w:ind w:left="720" w:hanging="720"/>
        <w:rPr>
          <w:rFonts w:cs="Arial"/>
          <w:szCs w:val="28"/>
          <w:lang w:eastAsia="en-US"/>
        </w:rPr>
      </w:pPr>
    </w:p>
    <w:bookmarkEnd w:id="0"/>
    <w:p w:rsidR="00482259" w:rsidRDefault="00FD04A6" w:rsidP="002A7724">
      <w:pPr>
        <w:rPr>
          <w:rFonts w:cs="Arial"/>
          <w:b/>
          <w:bCs/>
        </w:rPr>
      </w:pPr>
      <w:r w:rsidRPr="002A7724">
        <w:rPr>
          <w:rFonts w:ascii="Arial" w:hAnsi="Arial" w:cs="Arial"/>
          <w:sz w:val="28"/>
          <w:szCs w:val="28"/>
          <w:lang w:val="en-AU" w:eastAsia="en-US"/>
        </w:rPr>
        <w:fldChar w:fldCharType="end"/>
      </w:r>
    </w:p>
    <w:p w:rsidR="00B22B08" w:rsidRDefault="00482259" w:rsidP="00B068E0">
      <w:pPr>
        <w:spacing w:after="0" w:line="240" w:lineRule="auto"/>
        <w:rPr>
          <w:rFonts w:cs="Arial"/>
          <w:b/>
          <w:bCs/>
        </w:rPr>
      </w:pPr>
      <w:r>
        <w:rPr>
          <w:rFonts w:cs="Arial"/>
          <w:b/>
          <w:bCs/>
        </w:rPr>
        <w:br w:type="page"/>
      </w:r>
      <w:r w:rsidR="00B22B08">
        <w:rPr>
          <w:rFonts w:cs="Arial"/>
          <w:b/>
          <w:bCs/>
        </w:rPr>
        <w:t>TABLES</w:t>
      </w:r>
    </w:p>
    <w:p w:rsidR="00B22B08" w:rsidRDefault="00B22B08" w:rsidP="00B068E0">
      <w:pPr>
        <w:spacing w:after="0" w:line="240" w:lineRule="auto"/>
        <w:rPr>
          <w:rFonts w:cs="Arial"/>
          <w:b/>
          <w:bCs/>
        </w:rPr>
      </w:pPr>
    </w:p>
    <w:p w:rsidR="00E315AC" w:rsidRPr="009711E5" w:rsidRDefault="00E315AC" w:rsidP="00E315AC">
      <w:pPr>
        <w:spacing w:line="240" w:lineRule="auto"/>
        <w:jc w:val="both"/>
      </w:pPr>
    </w:p>
    <w:p w:rsidR="00E315AC" w:rsidRPr="003E0E43" w:rsidRDefault="00E315AC" w:rsidP="003E0E43">
      <w:pPr>
        <w:spacing w:after="0" w:line="240" w:lineRule="auto"/>
        <w:rPr>
          <w:b/>
          <w:bCs/>
        </w:rPr>
      </w:pPr>
      <w:r>
        <w:rPr>
          <w:b/>
          <w:bCs/>
        </w:rPr>
        <w:br w:type="page"/>
      </w:r>
    </w:p>
    <w:p w:rsidR="00E34D29" w:rsidRDefault="00E34D29" w:rsidP="003E0E43">
      <w:pPr>
        <w:spacing w:after="0" w:line="240" w:lineRule="auto"/>
        <w:rPr>
          <w:b/>
          <w:bCs/>
          <w:lang w:eastAsia="en-GB"/>
        </w:rPr>
        <w:sectPr w:rsidR="00E34D29" w:rsidSect="0053309A">
          <w:headerReference w:type="default" r:id="rId10"/>
          <w:footerReference w:type="default" r:id="rId11"/>
          <w:pgSz w:w="11906" w:h="16838"/>
          <w:pgMar w:top="1440" w:right="1134" w:bottom="1440" w:left="1417" w:header="708" w:footer="708" w:gutter="0"/>
          <w:cols w:space="708"/>
          <w:docGrid w:linePitch="360"/>
        </w:sectPr>
      </w:pPr>
    </w:p>
    <w:p w:rsidR="00E34D29" w:rsidRPr="00324600" w:rsidRDefault="00E34D29" w:rsidP="00E34D29">
      <w:pPr>
        <w:spacing w:after="0" w:line="240" w:lineRule="auto"/>
        <w:rPr>
          <w:b/>
          <w:bCs/>
          <w:lang w:eastAsia="en-GB"/>
        </w:rPr>
      </w:pPr>
      <w:r>
        <w:rPr>
          <w:b/>
          <w:bCs/>
          <w:lang w:eastAsia="en-GB"/>
        </w:rPr>
        <w:t>Table 1</w:t>
      </w:r>
      <w:r w:rsidRPr="00324600">
        <w:rPr>
          <w:b/>
          <w:bCs/>
          <w:lang w:eastAsia="en-GB"/>
        </w:rPr>
        <w:t xml:space="preserve">: </w:t>
      </w:r>
      <w:r>
        <w:rPr>
          <w:b/>
          <w:bCs/>
          <w:i/>
          <w:iCs/>
          <w:lang w:eastAsia="en-GB"/>
        </w:rPr>
        <w:t>FFB-S</w:t>
      </w:r>
      <w:r w:rsidRPr="00324600">
        <w:rPr>
          <w:b/>
          <w:bCs/>
          <w:i/>
          <w:iCs/>
          <w:lang w:eastAsia="en-GB"/>
        </w:rPr>
        <w:t>core</w:t>
      </w:r>
      <w:r w:rsidRPr="00324600">
        <w:rPr>
          <w:b/>
          <w:bCs/>
          <w:lang w:eastAsia="en-GB"/>
        </w:rPr>
        <w:t xml:space="preserve"> intra</w:t>
      </w:r>
      <w:r>
        <w:rPr>
          <w:b/>
          <w:bCs/>
          <w:lang w:eastAsia="en-GB"/>
        </w:rPr>
        <w:t xml:space="preserve"> &amp; inter-</w:t>
      </w:r>
      <w:r w:rsidRPr="00324600">
        <w:rPr>
          <w:b/>
          <w:bCs/>
          <w:lang w:eastAsia="en-GB"/>
        </w:rPr>
        <w:t>reader agreement</w:t>
      </w:r>
      <w:r>
        <w:rPr>
          <w:b/>
          <w:bCs/>
          <w:lang w:eastAsia="en-G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763"/>
        <w:gridCol w:w="1879"/>
        <w:gridCol w:w="1559"/>
        <w:gridCol w:w="1556"/>
        <w:gridCol w:w="1556"/>
        <w:gridCol w:w="1556"/>
        <w:gridCol w:w="1556"/>
        <w:gridCol w:w="1551"/>
        <w:gridCol w:w="1534"/>
      </w:tblGrid>
      <w:tr w:rsidR="00E34D29" w:rsidRPr="005A3F9B" w:rsidTr="00E1601D">
        <w:trPr>
          <w:jc w:val="center"/>
        </w:trPr>
        <w:tc>
          <w:tcPr>
            <w:tcW w:w="503" w:type="pct"/>
            <w:gridSpan w:val="2"/>
            <w:tcBorders>
              <w:top w:val="single" w:sz="12" w:space="0" w:color="auto"/>
              <w:left w:val="single" w:sz="12" w:space="0" w:color="auto"/>
            </w:tcBorders>
            <w:vAlign w:val="center"/>
          </w:tcPr>
          <w:p w:rsidR="00E34D29" w:rsidRPr="005A3F9B" w:rsidRDefault="00E34D29" w:rsidP="00E1601D">
            <w:pPr>
              <w:keepNext/>
              <w:spacing w:after="0" w:line="240" w:lineRule="auto"/>
              <w:jc w:val="center"/>
              <w:rPr>
                <w:sz w:val="20"/>
                <w:szCs w:val="20"/>
                <w:lang w:eastAsia="en-GB"/>
              </w:rPr>
            </w:pPr>
          </w:p>
        </w:tc>
        <w:tc>
          <w:tcPr>
            <w:tcW w:w="2311" w:type="pct"/>
            <w:gridSpan w:val="4"/>
            <w:tcBorders>
              <w:top w:val="single" w:sz="12"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Intra-reader agreement</w:t>
            </w:r>
          </w:p>
        </w:tc>
        <w:tc>
          <w:tcPr>
            <w:tcW w:w="2186" w:type="pct"/>
            <w:gridSpan w:val="4"/>
            <w:tcBorders>
              <w:top w:val="single" w:sz="12" w:space="0" w:color="auto"/>
              <w:right w:val="single" w:sz="12" w:space="0" w:color="auto"/>
            </w:tcBorders>
          </w:tcPr>
          <w:p w:rsidR="00E34D29" w:rsidRPr="005A3F9B" w:rsidRDefault="00E34D29" w:rsidP="00E1601D">
            <w:pPr>
              <w:keepNext/>
              <w:spacing w:after="0" w:line="240" w:lineRule="auto"/>
              <w:jc w:val="center"/>
              <w:rPr>
                <w:sz w:val="20"/>
                <w:szCs w:val="20"/>
                <w:lang w:eastAsia="en-GB"/>
              </w:rPr>
            </w:pPr>
            <w:r>
              <w:rPr>
                <w:sz w:val="20"/>
                <w:szCs w:val="20"/>
                <w:lang w:eastAsia="en-GB"/>
              </w:rPr>
              <w:t>Inter-reader agreement</w:t>
            </w:r>
          </w:p>
        </w:tc>
      </w:tr>
      <w:tr w:rsidR="00E34D29" w:rsidRPr="005A3F9B" w:rsidTr="00E1601D">
        <w:trPr>
          <w:jc w:val="center"/>
        </w:trPr>
        <w:tc>
          <w:tcPr>
            <w:tcW w:w="503" w:type="pct"/>
            <w:gridSpan w:val="2"/>
            <w:tcBorders>
              <w:left w:val="single" w:sz="12" w:space="0" w:color="auto"/>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Lesion type</w:t>
            </w:r>
          </w:p>
        </w:tc>
        <w:tc>
          <w:tcPr>
            <w:tcW w:w="663"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Factor</w:t>
            </w:r>
          </w:p>
        </w:tc>
        <w:tc>
          <w:tcPr>
            <w:tcW w:w="550"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PEA</w:t>
            </w:r>
          </w:p>
        </w:tc>
        <w:tc>
          <w:tcPr>
            <w:tcW w:w="549"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PCA</w:t>
            </w:r>
          </w:p>
        </w:tc>
        <w:tc>
          <w:tcPr>
            <w:tcW w:w="549" w:type="pct"/>
            <w:tcBorders>
              <w:bottom w:val="single" w:sz="12" w:space="0" w:color="auto"/>
            </w:tcBorders>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Kappa</w:t>
            </w:r>
          </w:p>
          <w:p w:rsidR="00E34D29" w:rsidRPr="005A3F9B" w:rsidRDefault="00E34D29" w:rsidP="00E1601D">
            <w:pPr>
              <w:keepNext/>
              <w:spacing w:after="0" w:line="240" w:lineRule="auto"/>
              <w:jc w:val="center"/>
              <w:rPr>
                <w:sz w:val="20"/>
                <w:szCs w:val="20"/>
                <w:lang w:eastAsia="en-GB"/>
              </w:rPr>
            </w:pPr>
            <w:r w:rsidRPr="005A3F9B">
              <w:rPr>
                <w:sz w:val="20"/>
                <w:szCs w:val="20"/>
                <w:lang w:eastAsia="en-GB"/>
              </w:rPr>
              <w:t>(Left: right)</w:t>
            </w:r>
          </w:p>
        </w:tc>
        <w:tc>
          <w:tcPr>
            <w:tcW w:w="549"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PEA</w:t>
            </w:r>
          </w:p>
        </w:tc>
        <w:tc>
          <w:tcPr>
            <w:tcW w:w="549"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PCA</w:t>
            </w:r>
          </w:p>
        </w:tc>
        <w:tc>
          <w:tcPr>
            <w:tcW w:w="547" w:type="pct"/>
            <w:tcBorders>
              <w:bottom w:val="single" w:sz="12" w:space="0" w:color="auto"/>
            </w:tcBorders>
          </w:tcPr>
          <w:p w:rsidR="00E34D29" w:rsidRDefault="00E34D29" w:rsidP="00E1601D">
            <w:pPr>
              <w:keepNext/>
              <w:spacing w:after="0" w:line="240" w:lineRule="auto"/>
              <w:jc w:val="center"/>
              <w:rPr>
                <w:sz w:val="20"/>
                <w:szCs w:val="20"/>
                <w:lang w:eastAsia="en-GB"/>
              </w:rPr>
            </w:pPr>
            <w:r>
              <w:rPr>
                <w:sz w:val="20"/>
                <w:szCs w:val="20"/>
                <w:lang w:eastAsia="en-GB"/>
              </w:rPr>
              <w:t>ICC</w:t>
            </w:r>
          </w:p>
          <w:p w:rsidR="00E34D29" w:rsidRPr="005A3F9B" w:rsidRDefault="00E34D29" w:rsidP="00E1601D">
            <w:pPr>
              <w:keepNext/>
              <w:spacing w:after="0" w:line="240" w:lineRule="auto"/>
              <w:jc w:val="center"/>
              <w:rPr>
                <w:sz w:val="20"/>
                <w:szCs w:val="20"/>
                <w:lang w:eastAsia="en-GB"/>
              </w:rPr>
            </w:pPr>
            <w:r>
              <w:rPr>
                <w:sz w:val="20"/>
                <w:szCs w:val="20"/>
                <w:lang w:eastAsia="en-GB"/>
              </w:rPr>
              <w:t>(SDD)</w:t>
            </w:r>
          </w:p>
        </w:tc>
        <w:tc>
          <w:tcPr>
            <w:tcW w:w="541" w:type="pct"/>
            <w:tcBorders>
              <w:bottom w:val="single" w:sz="12" w:space="0" w:color="auto"/>
              <w:right w:val="single" w:sz="12" w:space="0" w:color="auto"/>
            </w:tcBorders>
          </w:tcPr>
          <w:p w:rsidR="00E34D29" w:rsidRDefault="00E34D29" w:rsidP="00E1601D">
            <w:pPr>
              <w:keepNext/>
              <w:spacing w:after="0" w:line="240" w:lineRule="auto"/>
              <w:jc w:val="center"/>
              <w:rPr>
                <w:sz w:val="20"/>
                <w:szCs w:val="20"/>
                <w:lang w:eastAsia="en-GB"/>
              </w:rPr>
            </w:pPr>
            <w:r>
              <w:rPr>
                <w:sz w:val="20"/>
                <w:szCs w:val="20"/>
                <w:lang w:eastAsia="en-GB"/>
              </w:rPr>
              <w:t>Kappa</w:t>
            </w:r>
          </w:p>
          <w:p w:rsidR="00E34D29" w:rsidRPr="005A3F9B" w:rsidRDefault="00E34D29" w:rsidP="00E1601D">
            <w:pPr>
              <w:keepNext/>
              <w:spacing w:after="0" w:line="240" w:lineRule="auto"/>
              <w:jc w:val="center"/>
              <w:rPr>
                <w:sz w:val="20"/>
                <w:szCs w:val="20"/>
                <w:lang w:eastAsia="en-GB"/>
              </w:rPr>
            </w:pPr>
            <w:r>
              <w:rPr>
                <w:sz w:val="20"/>
                <w:szCs w:val="20"/>
                <w:lang w:eastAsia="en-GB"/>
              </w:rPr>
              <w:t>(left: right)</w:t>
            </w:r>
          </w:p>
        </w:tc>
      </w:tr>
      <w:tr w:rsidR="00E34D29" w:rsidRPr="005A3F9B" w:rsidTr="00E1601D">
        <w:trPr>
          <w:cantSplit/>
          <w:trHeight w:val="283"/>
          <w:jc w:val="center"/>
        </w:trPr>
        <w:tc>
          <w:tcPr>
            <w:tcW w:w="234" w:type="pct"/>
            <w:vMerge w:val="restart"/>
            <w:tcBorders>
              <w:top w:val="single" w:sz="12" w:space="0" w:color="auto"/>
              <w:left w:val="single" w:sz="12" w:space="0" w:color="auto"/>
            </w:tcBorders>
            <w:textDirection w:val="btLr"/>
            <w:vAlign w:val="center"/>
          </w:tcPr>
          <w:p w:rsidR="00E34D29" w:rsidRPr="005A3F9B" w:rsidRDefault="00E34D29" w:rsidP="00E1601D">
            <w:pPr>
              <w:keepNext/>
              <w:spacing w:after="0" w:line="240" w:lineRule="auto"/>
              <w:ind w:left="113" w:right="113"/>
              <w:jc w:val="center"/>
              <w:rPr>
                <w:sz w:val="20"/>
                <w:szCs w:val="20"/>
                <w:lang w:eastAsia="en-GB"/>
              </w:rPr>
            </w:pPr>
            <w:r w:rsidRPr="005A3F9B">
              <w:rPr>
                <w:sz w:val="20"/>
                <w:szCs w:val="20"/>
                <w:lang w:eastAsia="en-GB"/>
              </w:rPr>
              <w:t>Intermetatarsal</w:t>
            </w:r>
          </w:p>
        </w:tc>
        <w:tc>
          <w:tcPr>
            <w:tcW w:w="269" w:type="pct"/>
            <w:vMerge w:val="restart"/>
            <w:tcBorders>
              <w:top w:val="single" w:sz="12" w:space="0" w:color="auto"/>
            </w:tcBorders>
            <w:textDirection w:val="btLr"/>
            <w:vAlign w:val="center"/>
          </w:tcPr>
          <w:p w:rsidR="00E34D29" w:rsidRPr="005A3F9B" w:rsidRDefault="00E34D29" w:rsidP="00E1601D">
            <w:pPr>
              <w:keepNext/>
              <w:spacing w:after="0" w:line="240" w:lineRule="auto"/>
              <w:ind w:left="113" w:right="113"/>
              <w:jc w:val="center"/>
              <w:rPr>
                <w:sz w:val="20"/>
                <w:szCs w:val="20"/>
                <w:lang w:eastAsia="en-GB"/>
              </w:rPr>
            </w:pPr>
            <w:r w:rsidRPr="005A3F9B">
              <w:rPr>
                <w:sz w:val="20"/>
                <w:szCs w:val="20"/>
                <w:lang w:eastAsia="en-GB"/>
              </w:rPr>
              <w:t>Fluid</w:t>
            </w:r>
          </w:p>
        </w:tc>
        <w:tc>
          <w:tcPr>
            <w:tcW w:w="663" w:type="pct"/>
            <w:tcBorders>
              <w:top w:val="single" w:sz="12" w:space="0" w:color="auto"/>
            </w:tcBorders>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Count</w:t>
            </w:r>
          </w:p>
        </w:tc>
        <w:tc>
          <w:tcPr>
            <w:tcW w:w="550" w:type="pct"/>
            <w:tcBorders>
              <w:top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tcBorders>
              <w:top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top w:val="single" w:sz="12" w:space="0" w:color="auto"/>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0.</w:t>
            </w:r>
            <w:r w:rsidRPr="005A3F9B">
              <w:rPr>
                <w:sz w:val="20"/>
                <w:szCs w:val="20"/>
                <w:lang w:eastAsia="en-GB"/>
              </w:rPr>
              <w:t xml:space="preserve">55: </w:t>
            </w:r>
            <w:r>
              <w:rPr>
                <w:sz w:val="20"/>
                <w:szCs w:val="20"/>
                <w:lang w:eastAsia="en-GB"/>
              </w:rPr>
              <w:t>0.</w:t>
            </w:r>
            <w:r w:rsidRPr="005A3F9B">
              <w:rPr>
                <w:sz w:val="20"/>
                <w:szCs w:val="20"/>
                <w:lang w:eastAsia="en-GB"/>
              </w:rPr>
              <w:t>55</w:t>
            </w:r>
          </w:p>
        </w:tc>
        <w:tc>
          <w:tcPr>
            <w:tcW w:w="549" w:type="pct"/>
            <w:tcBorders>
              <w:top w:val="single" w:sz="12" w:space="0" w:color="auto"/>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tcBorders>
              <w:top w:val="single" w:sz="12" w:space="0" w:color="auto"/>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top w:val="single" w:sz="12" w:space="0" w:color="auto"/>
              <w:bottom w:val="single" w:sz="4" w:space="0" w:color="auto"/>
            </w:tcBorders>
          </w:tcPr>
          <w:p w:rsidR="00E34D29" w:rsidRDefault="00E34D29" w:rsidP="00E1601D">
            <w:pPr>
              <w:keepNext/>
              <w:spacing w:after="0" w:line="240" w:lineRule="auto"/>
              <w:jc w:val="center"/>
              <w:rPr>
                <w:sz w:val="20"/>
                <w:szCs w:val="20"/>
                <w:lang w:eastAsia="en-GB"/>
              </w:rPr>
            </w:pPr>
            <w:r>
              <w:rPr>
                <w:sz w:val="20"/>
                <w:szCs w:val="20"/>
                <w:lang w:eastAsia="en-GB"/>
              </w:rPr>
              <w:t xml:space="preserve">0.784 </w:t>
            </w:r>
          </w:p>
          <w:p w:rsidR="00E34D29" w:rsidRPr="005A3F9B" w:rsidRDefault="00E34D29" w:rsidP="00E1601D">
            <w:pPr>
              <w:keepNext/>
              <w:spacing w:after="0" w:line="240" w:lineRule="auto"/>
              <w:jc w:val="center"/>
              <w:rPr>
                <w:sz w:val="20"/>
                <w:szCs w:val="20"/>
                <w:lang w:eastAsia="en-GB"/>
              </w:rPr>
            </w:pPr>
            <w:r>
              <w:rPr>
                <w:sz w:val="20"/>
                <w:szCs w:val="20"/>
                <w:lang w:eastAsia="en-GB"/>
              </w:rPr>
              <w:t>(0.60-0.88)</w:t>
            </w:r>
          </w:p>
        </w:tc>
        <w:tc>
          <w:tcPr>
            <w:tcW w:w="541" w:type="pct"/>
            <w:tcBorders>
              <w:top w:val="single" w:sz="12" w:space="0" w:color="auto"/>
              <w:bottom w:val="single" w:sz="4" w:space="0" w:color="auto"/>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0.5</w:t>
            </w:r>
            <w:r w:rsidR="00E34D29" w:rsidRPr="005A3F9B">
              <w:rPr>
                <w:sz w:val="20"/>
                <w:szCs w:val="20"/>
                <w:lang w:eastAsia="en-GB"/>
              </w:rPr>
              <w:t xml:space="preserve">: </w:t>
            </w:r>
            <w:r>
              <w:rPr>
                <w:sz w:val="20"/>
                <w:szCs w:val="20"/>
                <w:lang w:eastAsia="en-GB"/>
              </w:rPr>
              <w:t>0.5</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keepNext/>
              <w:spacing w:after="0" w:line="240" w:lineRule="auto"/>
              <w:ind w:left="113" w:right="113"/>
              <w:jc w:val="center"/>
              <w:rPr>
                <w:rFonts w:cs="Arial"/>
                <w:sz w:val="20"/>
                <w:szCs w:val="20"/>
                <w:lang w:eastAsia="en-GB"/>
              </w:rPr>
            </w:pPr>
          </w:p>
        </w:tc>
        <w:tc>
          <w:tcPr>
            <w:tcW w:w="269" w:type="pct"/>
            <w:vMerge/>
            <w:textDirection w:val="btLr"/>
            <w:vAlign w:val="center"/>
          </w:tcPr>
          <w:p w:rsidR="00E34D29" w:rsidRPr="005A3F9B" w:rsidRDefault="00E34D29" w:rsidP="00E1601D">
            <w:pPr>
              <w:keepNext/>
              <w:spacing w:after="0" w:line="240" w:lineRule="auto"/>
              <w:ind w:left="113" w:right="113"/>
              <w:jc w:val="center"/>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Shape</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shd w:val="clear" w:color="auto" w:fill="auto"/>
          </w:tcPr>
          <w:p w:rsidR="00E34D29" w:rsidRPr="005A3F9B" w:rsidRDefault="00E34D29" w:rsidP="00E1601D">
            <w:pPr>
              <w:keepNext/>
              <w:spacing w:after="0" w:line="240" w:lineRule="auto"/>
              <w:jc w:val="center"/>
              <w:rPr>
                <w:sz w:val="20"/>
                <w:szCs w:val="20"/>
                <w:lang w:eastAsia="en-GB"/>
              </w:rPr>
            </w:pPr>
            <w:r>
              <w:rPr>
                <w:sz w:val="20"/>
                <w:szCs w:val="20"/>
                <w:lang w:eastAsia="en-GB"/>
              </w:rPr>
              <w:t>0.8: 0.8</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7" w:type="pct"/>
          </w:tcPr>
          <w:p w:rsidR="00E34D29" w:rsidRDefault="00E34D29" w:rsidP="00E1601D">
            <w:pPr>
              <w:keepNext/>
              <w:spacing w:after="0" w:line="240" w:lineRule="auto"/>
              <w:jc w:val="center"/>
              <w:rPr>
                <w:sz w:val="20"/>
                <w:szCs w:val="20"/>
                <w:lang w:eastAsia="en-GB"/>
              </w:rPr>
            </w:pPr>
            <w:r>
              <w:rPr>
                <w:sz w:val="20"/>
                <w:szCs w:val="20"/>
                <w:lang w:eastAsia="en-GB"/>
              </w:rPr>
              <w:t>0.816</w:t>
            </w:r>
          </w:p>
          <w:p w:rsidR="00E34D29" w:rsidRDefault="00E34D29" w:rsidP="00E1601D">
            <w:pPr>
              <w:keepNext/>
              <w:spacing w:after="0" w:line="240" w:lineRule="auto"/>
              <w:jc w:val="center"/>
              <w:rPr>
                <w:sz w:val="20"/>
                <w:szCs w:val="20"/>
                <w:lang w:eastAsia="en-GB"/>
              </w:rPr>
            </w:pPr>
            <w:r>
              <w:rPr>
                <w:sz w:val="20"/>
                <w:szCs w:val="20"/>
                <w:lang w:eastAsia="en-GB"/>
              </w:rPr>
              <w:t>(0.66-0.90)</w:t>
            </w:r>
          </w:p>
        </w:tc>
        <w:tc>
          <w:tcPr>
            <w:tcW w:w="541" w:type="pct"/>
            <w:tcBorders>
              <w:right w:val="single" w:sz="12" w:space="0" w:color="auto"/>
            </w:tcBorders>
            <w:vAlign w:val="center"/>
          </w:tcPr>
          <w:p w:rsidR="00E34D29" w:rsidRPr="005A3F9B" w:rsidRDefault="000A45E8" w:rsidP="000A45E8">
            <w:pPr>
              <w:keepNext/>
              <w:spacing w:after="0" w:line="240" w:lineRule="auto"/>
              <w:jc w:val="center"/>
              <w:rPr>
                <w:sz w:val="20"/>
                <w:szCs w:val="20"/>
                <w:lang w:eastAsia="en-GB"/>
              </w:rPr>
            </w:pPr>
            <w:r>
              <w:rPr>
                <w:sz w:val="20"/>
                <w:szCs w:val="20"/>
                <w:lang w:eastAsia="en-GB"/>
              </w:rPr>
              <w:t>0.8</w:t>
            </w:r>
            <w:r w:rsidR="00E34D29">
              <w:rPr>
                <w:sz w:val="20"/>
                <w:szCs w:val="20"/>
                <w:lang w:eastAsia="en-GB"/>
              </w:rPr>
              <w:t xml:space="preserve">: </w:t>
            </w:r>
            <w:r>
              <w:rPr>
                <w:sz w:val="20"/>
                <w:szCs w:val="20"/>
                <w:lang w:eastAsia="en-GB"/>
              </w:rPr>
              <w:t>0.7</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269" w:type="pct"/>
            <w:vMerge/>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Enhancement</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20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tcPr>
          <w:p w:rsidR="00E34D29" w:rsidRPr="005A3F9B" w:rsidRDefault="00E34D29" w:rsidP="00E1601D">
            <w:pPr>
              <w:keepNext/>
              <w:spacing w:after="0" w:line="240" w:lineRule="auto"/>
              <w:jc w:val="center"/>
              <w:rPr>
                <w:sz w:val="20"/>
                <w:szCs w:val="20"/>
                <w:lang w:eastAsia="en-GB"/>
              </w:rPr>
            </w:pPr>
            <w:r>
              <w:rPr>
                <w:sz w:val="20"/>
                <w:szCs w:val="20"/>
                <w:lang w:eastAsia="en-GB"/>
              </w:rPr>
              <w:t>0.7: 0.7</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bottom w:val="single" w:sz="4" w:space="0" w:color="auto"/>
            </w:tcBorders>
          </w:tcPr>
          <w:p w:rsidR="00E34D29" w:rsidRDefault="00E34D29" w:rsidP="00E1601D">
            <w:pPr>
              <w:keepNext/>
              <w:spacing w:after="0" w:line="240" w:lineRule="auto"/>
              <w:jc w:val="center"/>
              <w:rPr>
                <w:sz w:val="20"/>
                <w:szCs w:val="20"/>
                <w:lang w:eastAsia="en-GB"/>
              </w:rPr>
            </w:pPr>
            <w:r>
              <w:rPr>
                <w:sz w:val="20"/>
                <w:szCs w:val="20"/>
                <w:lang w:eastAsia="en-GB"/>
              </w:rPr>
              <w:t>0.950</w:t>
            </w:r>
          </w:p>
          <w:p w:rsidR="00E34D29" w:rsidRDefault="00E34D29" w:rsidP="00E1601D">
            <w:pPr>
              <w:keepNext/>
              <w:spacing w:after="0" w:line="240" w:lineRule="auto"/>
              <w:jc w:val="center"/>
              <w:rPr>
                <w:sz w:val="20"/>
                <w:szCs w:val="20"/>
                <w:lang w:eastAsia="en-GB"/>
              </w:rPr>
            </w:pPr>
            <w:r>
              <w:rPr>
                <w:sz w:val="20"/>
                <w:szCs w:val="20"/>
                <w:lang w:eastAsia="en-GB"/>
              </w:rPr>
              <w:t>(0.90-0.98)</w:t>
            </w:r>
          </w:p>
        </w:tc>
        <w:tc>
          <w:tcPr>
            <w:tcW w:w="541" w:type="pct"/>
            <w:tcBorders>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w:t>
            </w:r>
            <w:r w:rsidR="00E34D29">
              <w:rPr>
                <w:sz w:val="20"/>
                <w:szCs w:val="20"/>
                <w:lang w:eastAsia="en-GB"/>
              </w:rPr>
              <w:t xml:space="preserve">9: </w:t>
            </w:r>
            <w:r>
              <w:rPr>
                <w:sz w:val="20"/>
                <w:szCs w:val="20"/>
                <w:lang w:eastAsia="en-GB"/>
              </w:rPr>
              <w:t>0.</w:t>
            </w:r>
            <w:r w:rsidR="00E34D29">
              <w:rPr>
                <w:sz w:val="20"/>
                <w:szCs w:val="20"/>
                <w:lang w:eastAsia="en-GB"/>
              </w:rPr>
              <w:t>9</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269" w:type="pct"/>
            <w:vMerge/>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MR T1</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shd w:val="clear" w:color="auto" w:fill="D9D9D9"/>
          </w:tcPr>
          <w:p w:rsidR="00E34D29" w:rsidRPr="005A3F9B" w:rsidRDefault="00E34D29" w:rsidP="00E1601D">
            <w:pPr>
              <w:keepNext/>
              <w:spacing w:after="0" w:line="240" w:lineRule="auto"/>
              <w:jc w:val="center"/>
              <w:rPr>
                <w:sz w:val="20"/>
                <w:szCs w:val="20"/>
                <w:lang w:eastAsia="en-GB"/>
              </w:rPr>
            </w:pP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0.792</w:t>
            </w:r>
          </w:p>
          <w:p w:rsidR="00E34D29" w:rsidRPr="005A3F9B" w:rsidRDefault="00E34D29" w:rsidP="00E1601D">
            <w:pPr>
              <w:keepNext/>
              <w:spacing w:after="0" w:line="240" w:lineRule="auto"/>
              <w:jc w:val="center"/>
              <w:rPr>
                <w:sz w:val="20"/>
                <w:szCs w:val="20"/>
                <w:lang w:eastAsia="en-GB"/>
              </w:rPr>
            </w:pPr>
            <w:r>
              <w:rPr>
                <w:sz w:val="20"/>
                <w:szCs w:val="20"/>
                <w:lang w:eastAsia="en-GB"/>
              </w:rPr>
              <w:t>(0.60-0.89)</w:t>
            </w:r>
          </w:p>
        </w:tc>
        <w:tc>
          <w:tcPr>
            <w:tcW w:w="541" w:type="pct"/>
            <w:tcBorders>
              <w:right w:val="single" w:sz="12" w:space="0" w:color="auto"/>
            </w:tcBorders>
            <w:shd w:val="clear" w:color="auto" w:fill="D9D9D9"/>
            <w:vAlign w:val="center"/>
          </w:tcPr>
          <w:p w:rsidR="00E34D29" w:rsidRPr="005A3F9B" w:rsidRDefault="00E34D29" w:rsidP="00E1601D">
            <w:pPr>
              <w:keepNext/>
              <w:spacing w:after="0" w:line="240" w:lineRule="auto"/>
              <w:jc w:val="center"/>
              <w:rPr>
                <w:sz w:val="20"/>
                <w:szCs w:val="20"/>
                <w:lang w:eastAsia="en-GB"/>
              </w:rPr>
            </w:pP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269" w:type="pct"/>
            <w:vMerge/>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MR T2</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shd w:val="clear" w:color="auto" w:fill="D9D9D9"/>
          </w:tcPr>
          <w:p w:rsidR="00E34D29" w:rsidRPr="005A3F9B" w:rsidRDefault="00E34D29" w:rsidP="00E1601D">
            <w:pPr>
              <w:keepNext/>
              <w:spacing w:after="0" w:line="240" w:lineRule="auto"/>
              <w:jc w:val="center"/>
              <w:rPr>
                <w:sz w:val="20"/>
                <w:szCs w:val="20"/>
                <w:lang w:eastAsia="en-GB"/>
              </w:rPr>
            </w:pP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7" w:type="pct"/>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0.783</w:t>
            </w:r>
          </w:p>
          <w:p w:rsidR="00E34D29" w:rsidRPr="005A3F9B" w:rsidRDefault="00E34D29" w:rsidP="00E1601D">
            <w:pPr>
              <w:keepNext/>
              <w:spacing w:after="0" w:line="240" w:lineRule="auto"/>
              <w:jc w:val="center"/>
              <w:rPr>
                <w:sz w:val="20"/>
                <w:szCs w:val="20"/>
                <w:lang w:eastAsia="en-GB"/>
              </w:rPr>
            </w:pPr>
            <w:r>
              <w:rPr>
                <w:sz w:val="20"/>
                <w:szCs w:val="20"/>
                <w:lang w:eastAsia="en-GB"/>
              </w:rPr>
              <w:t>(0.60-0.84(</w:t>
            </w:r>
          </w:p>
        </w:tc>
        <w:tc>
          <w:tcPr>
            <w:tcW w:w="541" w:type="pct"/>
            <w:tcBorders>
              <w:right w:val="single" w:sz="12" w:space="0" w:color="auto"/>
            </w:tcBorders>
            <w:shd w:val="clear" w:color="auto" w:fill="D9D9D9"/>
            <w:vAlign w:val="center"/>
          </w:tcPr>
          <w:p w:rsidR="00E34D29" w:rsidRPr="005A3F9B" w:rsidRDefault="00E34D29" w:rsidP="00E1601D">
            <w:pPr>
              <w:keepNext/>
              <w:spacing w:after="0" w:line="240" w:lineRule="auto"/>
              <w:jc w:val="center"/>
              <w:rPr>
                <w:sz w:val="20"/>
                <w:szCs w:val="20"/>
                <w:lang w:eastAsia="en-GB"/>
              </w:rPr>
            </w:pP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269" w:type="pct"/>
            <w:vMerge w:val="restart"/>
            <w:textDirection w:val="btLr"/>
            <w:vAlign w:val="center"/>
          </w:tcPr>
          <w:p w:rsidR="00E34D29" w:rsidRPr="005A3F9B" w:rsidRDefault="00E34D29" w:rsidP="00E1601D">
            <w:pPr>
              <w:keepNext/>
              <w:spacing w:after="0" w:line="240" w:lineRule="auto"/>
              <w:ind w:left="113" w:right="113"/>
              <w:jc w:val="center"/>
              <w:rPr>
                <w:sz w:val="20"/>
                <w:szCs w:val="20"/>
                <w:lang w:eastAsia="en-GB"/>
              </w:rPr>
            </w:pPr>
            <w:r w:rsidRPr="005A3F9B">
              <w:rPr>
                <w:sz w:val="20"/>
                <w:szCs w:val="20"/>
                <w:lang w:eastAsia="en-GB"/>
              </w:rPr>
              <w:t>Soft tissue</w:t>
            </w: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Count</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0.</w:t>
            </w:r>
            <w:r w:rsidRPr="005A3F9B">
              <w:rPr>
                <w:sz w:val="20"/>
                <w:szCs w:val="20"/>
                <w:lang w:eastAsia="en-GB"/>
              </w:rPr>
              <w:t xml:space="preserve">75: </w:t>
            </w:r>
            <w:r>
              <w:rPr>
                <w:sz w:val="20"/>
                <w:szCs w:val="20"/>
                <w:lang w:eastAsia="en-GB"/>
              </w:rPr>
              <w:t>0.</w:t>
            </w:r>
            <w:r w:rsidRPr="005A3F9B">
              <w:rPr>
                <w:sz w:val="20"/>
                <w:szCs w:val="20"/>
                <w:lang w:eastAsia="en-GB"/>
              </w:rPr>
              <w:t>8</w:t>
            </w:r>
          </w:p>
        </w:tc>
        <w:tc>
          <w:tcPr>
            <w:tcW w:w="549" w:type="pct"/>
            <w:tcBorders>
              <w:bottom w:val="single" w:sz="4" w:space="0" w:color="auto"/>
            </w:tcBorders>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bottom w:val="single" w:sz="4" w:space="0" w:color="auto"/>
            </w:tcBorders>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bottom w:val="single" w:sz="4" w:space="0" w:color="auto"/>
            </w:tcBorders>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0.683</w:t>
            </w:r>
          </w:p>
          <w:p w:rsidR="00E34D29" w:rsidRPr="005A3F9B" w:rsidRDefault="00E34D29" w:rsidP="00E1601D">
            <w:pPr>
              <w:keepNext/>
              <w:spacing w:after="0" w:line="240" w:lineRule="auto"/>
              <w:jc w:val="center"/>
              <w:rPr>
                <w:sz w:val="20"/>
                <w:szCs w:val="20"/>
                <w:lang w:eastAsia="en-GB"/>
              </w:rPr>
            </w:pPr>
            <w:r>
              <w:rPr>
                <w:sz w:val="20"/>
                <w:szCs w:val="20"/>
                <w:lang w:eastAsia="en-GB"/>
              </w:rPr>
              <w:t>(0.41-0.83)</w:t>
            </w:r>
          </w:p>
        </w:tc>
        <w:tc>
          <w:tcPr>
            <w:tcW w:w="541" w:type="pct"/>
            <w:tcBorders>
              <w:bottom w:val="single" w:sz="4" w:space="0" w:color="auto"/>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0.8</w:t>
            </w:r>
            <w:r w:rsidR="00E34D29" w:rsidRPr="005A3F9B">
              <w:rPr>
                <w:sz w:val="20"/>
                <w:szCs w:val="20"/>
                <w:lang w:eastAsia="en-GB"/>
              </w:rPr>
              <w:t xml:space="preserve">: </w:t>
            </w:r>
            <w:r>
              <w:rPr>
                <w:sz w:val="20"/>
                <w:szCs w:val="20"/>
                <w:lang w:eastAsia="en-GB"/>
              </w:rPr>
              <w:t>0.7</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269" w:type="pct"/>
            <w:vMerge/>
            <w:textDirection w:val="btLr"/>
            <w:vAlign w:val="center"/>
          </w:tcPr>
          <w:p w:rsidR="00E34D29" w:rsidRPr="005A3F9B" w:rsidRDefault="00E34D29" w:rsidP="00E1601D">
            <w:pPr>
              <w:keepNext/>
              <w:spacing w:after="0" w:line="240" w:lineRule="auto"/>
              <w:ind w:left="113" w:right="113"/>
              <w:jc w:val="center"/>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Shape</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40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shd w:val="clear" w:color="auto" w:fill="auto"/>
          </w:tcPr>
          <w:p w:rsidR="00E34D29" w:rsidRPr="005A3F9B" w:rsidRDefault="00E34D29" w:rsidP="00E1601D">
            <w:pPr>
              <w:keepNext/>
              <w:spacing w:after="0" w:line="240" w:lineRule="auto"/>
              <w:jc w:val="center"/>
              <w:rPr>
                <w:sz w:val="20"/>
                <w:szCs w:val="20"/>
                <w:lang w:eastAsia="en-GB"/>
              </w:rPr>
            </w:pPr>
            <w:r>
              <w:rPr>
                <w:sz w:val="20"/>
                <w:szCs w:val="20"/>
                <w:lang w:eastAsia="en-GB"/>
              </w:rPr>
              <w:t>0.6: 0.6</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0.416</w:t>
            </w:r>
          </w:p>
          <w:p w:rsidR="00E34D29" w:rsidRDefault="00E34D29" w:rsidP="00E1601D">
            <w:pPr>
              <w:keepNext/>
              <w:spacing w:after="0" w:line="240" w:lineRule="auto"/>
              <w:jc w:val="center"/>
              <w:rPr>
                <w:sz w:val="20"/>
                <w:szCs w:val="20"/>
                <w:lang w:eastAsia="en-GB"/>
              </w:rPr>
            </w:pPr>
            <w:r>
              <w:rPr>
                <w:sz w:val="20"/>
                <w:szCs w:val="20"/>
                <w:lang w:eastAsia="en-GB"/>
              </w:rPr>
              <w:t>(0.10-0.69)</w:t>
            </w:r>
          </w:p>
        </w:tc>
        <w:tc>
          <w:tcPr>
            <w:tcW w:w="541" w:type="pct"/>
            <w:tcBorders>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w:t>
            </w:r>
            <w:r w:rsidR="00E34D29">
              <w:rPr>
                <w:sz w:val="20"/>
                <w:szCs w:val="20"/>
                <w:lang w:eastAsia="en-GB"/>
              </w:rPr>
              <w:t>4: N/A</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269" w:type="pct"/>
            <w:vMerge/>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Enhancement</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50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tcPr>
          <w:p w:rsidR="00E34D29" w:rsidRPr="005A3F9B" w:rsidRDefault="00E34D29" w:rsidP="00E1601D">
            <w:pPr>
              <w:keepNext/>
              <w:spacing w:after="0" w:line="240" w:lineRule="auto"/>
              <w:jc w:val="center"/>
              <w:rPr>
                <w:sz w:val="20"/>
                <w:szCs w:val="20"/>
                <w:lang w:eastAsia="en-GB"/>
              </w:rPr>
            </w:pPr>
            <w:r>
              <w:rPr>
                <w:sz w:val="20"/>
                <w:szCs w:val="20"/>
                <w:lang w:eastAsia="en-GB"/>
              </w:rPr>
              <w:t>0.7: 0.7</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0.716</w:t>
            </w:r>
          </w:p>
          <w:p w:rsidR="00E34D29" w:rsidRDefault="00E34D29" w:rsidP="00E1601D">
            <w:pPr>
              <w:keepNext/>
              <w:spacing w:after="0" w:line="240" w:lineRule="auto"/>
              <w:jc w:val="center"/>
              <w:rPr>
                <w:sz w:val="20"/>
                <w:szCs w:val="20"/>
                <w:lang w:eastAsia="en-GB"/>
              </w:rPr>
            </w:pPr>
            <w:r>
              <w:rPr>
                <w:sz w:val="20"/>
                <w:szCs w:val="20"/>
                <w:lang w:eastAsia="en-GB"/>
              </w:rPr>
              <w:t>(0.47-0.85)</w:t>
            </w:r>
          </w:p>
        </w:tc>
        <w:tc>
          <w:tcPr>
            <w:tcW w:w="541" w:type="pct"/>
            <w:tcBorders>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w:t>
            </w:r>
            <w:r w:rsidR="00E34D29">
              <w:rPr>
                <w:sz w:val="20"/>
                <w:szCs w:val="20"/>
                <w:lang w:eastAsia="en-GB"/>
              </w:rPr>
              <w:t xml:space="preserve">9: </w:t>
            </w:r>
            <w:r>
              <w:rPr>
                <w:sz w:val="20"/>
                <w:szCs w:val="20"/>
                <w:lang w:eastAsia="en-GB"/>
              </w:rPr>
              <w:t>0.</w:t>
            </w:r>
            <w:r w:rsidR="00E34D29">
              <w:rPr>
                <w:sz w:val="20"/>
                <w:szCs w:val="20"/>
                <w:lang w:eastAsia="en-GB"/>
              </w:rPr>
              <w:t>9</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269" w:type="pct"/>
            <w:vMerge/>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MR T1</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60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shd w:val="clear" w:color="auto" w:fill="D9D9D9"/>
          </w:tcPr>
          <w:p w:rsidR="00E34D29" w:rsidRPr="005A3F9B" w:rsidRDefault="00E34D29" w:rsidP="00E1601D">
            <w:pPr>
              <w:keepNext/>
              <w:spacing w:after="0" w:line="240" w:lineRule="auto"/>
              <w:jc w:val="center"/>
              <w:rPr>
                <w:sz w:val="20"/>
                <w:szCs w:val="20"/>
                <w:lang w:eastAsia="en-GB"/>
              </w:rPr>
            </w:pP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0.698</w:t>
            </w:r>
          </w:p>
          <w:p w:rsidR="00E34D29" w:rsidRPr="005A3F9B" w:rsidRDefault="00E34D29" w:rsidP="00E1601D">
            <w:pPr>
              <w:keepNext/>
              <w:spacing w:after="0" w:line="240" w:lineRule="auto"/>
              <w:jc w:val="center"/>
              <w:rPr>
                <w:sz w:val="20"/>
                <w:szCs w:val="20"/>
                <w:lang w:eastAsia="en-GB"/>
              </w:rPr>
            </w:pPr>
            <w:r>
              <w:rPr>
                <w:sz w:val="20"/>
                <w:szCs w:val="20"/>
                <w:lang w:eastAsia="en-GB"/>
              </w:rPr>
              <w:t>(0.44-0.84)</w:t>
            </w:r>
          </w:p>
        </w:tc>
        <w:tc>
          <w:tcPr>
            <w:tcW w:w="541" w:type="pct"/>
            <w:tcBorders>
              <w:right w:val="single" w:sz="12" w:space="0" w:color="auto"/>
            </w:tcBorders>
            <w:shd w:val="clear" w:color="auto" w:fill="D9D9D9"/>
            <w:vAlign w:val="center"/>
          </w:tcPr>
          <w:p w:rsidR="00E34D29" w:rsidRPr="005A3F9B" w:rsidRDefault="00E34D29" w:rsidP="00E1601D">
            <w:pPr>
              <w:keepNext/>
              <w:spacing w:after="0" w:line="240" w:lineRule="auto"/>
              <w:jc w:val="center"/>
              <w:rPr>
                <w:sz w:val="20"/>
                <w:szCs w:val="20"/>
                <w:lang w:eastAsia="en-GB"/>
              </w:rPr>
            </w:pPr>
          </w:p>
        </w:tc>
      </w:tr>
      <w:tr w:rsidR="00E34D29" w:rsidRPr="005A3F9B" w:rsidTr="00E1601D">
        <w:trPr>
          <w:cantSplit/>
          <w:trHeight w:val="283"/>
          <w:jc w:val="center"/>
        </w:trPr>
        <w:tc>
          <w:tcPr>
            <w:tcW w:w="234" w:type="pct"/>
            <w:vMerge/>
            <w:tcBorders>
              <w:left w:val="single" w:sz="12" w:space="0" w:color="auto"/>
              <w:bottom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269" w:type="pct"/>
            <w:vMerge/>
            <w:tcBorders>
              <w:bottom w:val="single" w:sz="12" w:space="0" w:color="auto"/>
            </w:tcBorders>
            <w:textDirection w:val="btLr"/>
            <w:vAlign w:val="center"/>
          </w:tcPr>
          <w:p w:rsidR="00E34D29" w:rsidRPr="005A3F9B" w:rsidRDefault="00E34D29" w:rsidP="00E1601D">
            <w:pPr>
              <w:spacing w:after="0" w:line="240" w:lineRule="auto"/>
              <w:ind w:left="113" w:right="113"/>
              <w:jc w:val="center"/>
              <w:rPr>
                <w:rFonts w:cs="Arial"/>
                <w:sz w:val="20"/>
                <w:szCs w:val="20"/>
                <w:lang w:eastAsia="en-GB"/>
              </w:rPr>
            </w:pPr>
          </w:p>
        </w:tc>
        <w:tc>
          <w:tcPr>
            <w:tcW w:w="663" w:type="pct"/>
            <w:tcBorders>
              <w:bottom w:val="single" w:sz="12" w:space="0" w:color="auto"/>
            </w:tcBorders>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MR T2</w:t>
            </w:r>
          </w:p>
        </w:tc>
        <w:tc>
          <w:tcPr>
            <w:tcW w:w="550"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30</w:t>
            </w:r>
          </w:p>
        </w:tc>
        <w:tc>
          <w:tcPr>
            <w:tcW w:w="549"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80</w:t>
            </w:r>
          </w:p>
        </w:tc>
        <w:tc>
          <w:tcPr>
            <w:tcW w:w="549" w:type="pct"/>
            <w:tcBorders>
              <w:bottom w:val="single" w:sz="12" w:space="0" w:color="auto"/>
            </w:tcBorders>
            <w:shd w:val="clear" w:color="auto" w:fill="D9D9D9"/>
          </w:tcPr>
          <w:p w:rsidR="00E34D29" w:rsidRPr="005A3F9B" w:rsidRDefault="00E34D29" w:rsidP="00E1601D">
            <w:pPr>
              <w:keepNext/>
              <w:spacing w:after="0" w:line="240" w:lineRule="auto"/>
              <w:jc w:val="center"/>
              <w:rPr>
                <w:sz w:val="20"/>
                <w:szCs w:val="20"/>
                <w:lang w:eastAsia="en-GB"/>
              </w:rPr>
            </w:pPr>
          </w:p>
        </w:tc>
        <w:tc>
          <w:tcPr>
            <w:tcW w:w="549" w:type="pct"/>
            <w:tcBorders>
              <w:bottom w:val="single" w:sz="12" w:space="0" w:color="auto"/>
            </w:tcBorders>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80</w:t>
            </w:r>
          </w:p>
        </w:tc>
        <w:tc>
          <w:tcPr>
            <w:tcW w:w="549" w:type="pct"/>
            <w:tcBorders>
              <w:bottom w:val="single" w:sz="12" w:space="0" w:color="auto"/>
            </w:tcBorders>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bottom w:val="single" w:sz="12" w:space="0" w:color="auto"/>
            </w:tcBorders>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0.687</w:t>
            </w:r>
          </w:p>
          <w:p w:rsidR="00E34D29" w:rsidRPr="005A3F9B" w:rsidRDefault="00E34D29" w:rsidP="00E1601D">
            <w:pPr>
              <w:keepNext/>
              <w:spacing w:after="0" w:line="240" w:lineRule="auto"/>
              <w:jc w:val="center"/>
              <w:rPr>
                <w:sz w:val="20"/>
                <w:szCs w:val="20"/>
                <w:lang w:eastAsia="en-GB"/>
              </w:rPr>
            </w:pPr>
            <w:r>
              <w:rPr>
                <w:sz w:val="20"/>
                <w:szCs w:val="20"/>
                <w:lang w:eastAsia="en-GB"/>
              </w:rPr>
              <w:t>(0.42-0.83)</w:t>
            </w:r>
          </w:p>
        </w:tc>
        <w:tc>
          <w:tcPr>
            <w:tcW w:w="541" w:type="pct"/>
            <w:tcBorders>
              <w:bottom w:val="single" w:sz="12" w:space="0" w:color="auto"/>
              <w:right w:val="single" w:sz="12" w:space="0" w:color="auto"/>
            </w:tcBorders>
            <w:shd w:val="clear" w:color="auto" w:fill="D9D9D9"/>
            <w:vAlign w:val="center"/>
          </w:tcPr>
          <w:p w:rsidR="00E34D29" w:rsidRPr="005A3F9B" w:rsidRDefault="00E34D29" w:rsidP="00E1601D">
            <w:pPr>
              <w:keepNext/>
              <w:spacing w:after="0" w:line="240" w:lineRule="auto"/>
              <w:jc w:val="center"/>
              <w:rPr>
                <w:sz w:val="20"/>
                <w:szCs w:val="20"/>
                <w:lang w:eastAsia="en-GB"/>
              </w:rPr>
            </w:pPr>
          </w:p>
        </w:tc>
      </w:tr>
      <w:tr w:rsidR="00E34D29" w:rsidRPr="005A3F9B" w:rsidTr="00E1601D">
        <w:trPr>
          <w:cantSplit/>
          <w:trHeight w:val="283"/>
          <w:jc w:val="center"/>
        </w:trPr>
        <w:tc>
          <w:tcPr>
            <w:tcW w:w="234" w:type="pct"/>
            <w:vMerge w:val="restart"/>
            <w:tcBorders>
              <w:top w:val="single" w:sz="12" w:space="0" w:color="auto"/>
              <w:left w:val="single" w:sz="12" w:space="0" w:color="auto"/>
            </w:tcBorders>
            <w:textDirection w:val="btLr"/>
            <w:vAlign w:val="center"/>
          </w:tcPr>
          <w:p w:rsidR="00E34D29" w:rsidRPr="005A3F9B" w:rsidRDefault="00E34D29" w:rsidP="00E1601D">
            <w:pPr>
              <w:keepNext/>
              <w:spacing w:after="0" w:line="240" w:lineRule="auto"/>
              <w:ind w:left="113" w:right="113"/>
              <w:jc w:val="center"/>
              <w:rPr>
                <w:sz w:val="20"/>
                <w:szCs w:val="20"/>
                <w:lang w:eastAsia="en-GB"/>
              </w:rPr>
            </w:pPr>
            <w:r w:rsidRPr="005A3F9B">
              <w:rPr>
                <w:sz w:val="20"/>
                <w:szCs w:val="20"/>
                <w:lang w:eastAsia="en-GB"/>
              </w:rPr>
              <w:t>Plantar lesion</w:t>
            </w:r>
          </w:p>
        </w:tc>
        <w:tc>
          <w:tcPr>
            <w:tcW w:w="269" w:type="pct"/>
            <w:vMerge w:val="restart"/>
            <w:tcBorders>
              <w:top w:val="single" w:sz="12" w:space="0" w:color="auto"/>
            </w:tcBorders>
            <w:textDirection w:val="btLr"/>
            <w:vAlign w:val="center"/>
          </w:tcPr>
          <w:p w:rsidR="00E34D29" w:rsidRPr="005A3F9B" w:rsidRDefault="00E34D29" w:rsidP="00E1601D">
            <w:pPr>
              <w:keepNext/>
              <w:spacing w:after="0" w:line="240" w:lineRule="auto"/>
              <w:ind w:left="113" w:right="113"/>
              <w:jc w:val="center"/>
              <w:rPr>
                <w:sz w:val="20"/>
                <w:szCs w:val="20"/>
                <w:lang w:eastAsia="en-GB"/>
              </w:rPr>
            </w:pPr>
            <w:r w:rsidRPr="005A3F9B">
              <w:rPr>
                <w:sz w:val="20"/>
                <w:szCs w:val="20"/>
                <w:lang w:eastAsia="en-GB"/>
              </w:rPr>
              <w:t>Fluid</w:t>
            </w:r>
          </w:p>
        </w:tc>
        <w:tc>
          <w:tcPr>
            <w:tcW w:w="663" w:type="pct"/>
            <w:tcBorders>
              <w:top w:val="single" w:sz="12" w:space="0" w:color="auto"/>
            </w:tcBorders>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Count</w:t>
            </w:r>
          </w:p>
        </w:tc>
        <w:tc>
          <w:tcPr>
            <w:tcW w:w="550" w:type="pct"/>
            <w:tcBorders>
              <w:top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top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top w:val="single" w:sz="12" w:space="0" w:color="auto"/>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0.</w:t>
            </w:r>
            <w:r w:rsidRPr="005A3F9B">
              <w:rPr>
                <w:sz w:val="20"/>
                <w:szCs w:val="20"/>
                <w:lang w:eastAsia="en-GB"/>
              </w:rPr>
              <w:t xml:space="preserve">9: </w:t>
            </w:r>
            <w:r>
              <w:rPr>
                <w:sz w:val="20"/>
                <w:szCs w:val="20"/>
                <w:lang w:eastAsia="en-GB"/>
              </w:rPr>
              <w:t>0.</w:t>
            </w:r>
            <w:r w:rsidRPr="005A3F9B">
              <w:rPr>
                <w:sz w:val="20"/>
                <w:szCs w:val="20"/>
                <w:lang w:eastAsia="en-GB"/>
              </w:rPr>
              <w:t>9</w:t>
            </w:r>
          </w:p>
        </w:tc>
        <w:tc>
          <w:tcPr>
            <w:tcW w:w="549" w:type="pct"/>
            <w:tcBorders>
              <w:top w:val="single" w:sz="12" w:space="0" w:color="auto"/>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top w:val="single" w:sz="12" w:space="0" w:color="auto"/>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top w:val="single" w:sz="12" w:space="0" w:color="auto"/>
              <w:bottom w:val="single" w:sz="4" w:space="0" w:color="auto"/>
            </w:tcBorders>
          </w:tcPr>
          <w:p w:rsidR="00E34D29" w:rsidRDefault="00E34D29" w:rsidP="00E1601D">
            <w:pPr>
              <w:keepNext/>
              <w:spacing w:after="0" w:line="240" w:lineRule="auto"/>
              <w:jc w:val="center"/>
              <w:rPr>
                <w:sz w:val="20"/>
                <w:szCs w:val="20"/>
                <w:lang w:eastAsia="en-GB"/>
              </w:rPr>
            </w:pPr>
            <w:r>
              <w:rPr>
                <w:sz w:val="20"/>
                <w:szCs w:val="20"/>
                <w:lang w:eastAsia="en-GB"/>
              </w:rPr>
              <w:t>0.491</w:t>
            </w:r>
          </w:p>
          <w:p w:rsidR="00E34D29" w:rsidRPr="005A3F9B" w:rsidRDefault="00E34D29" w:rsidP="00E1601D">
            <w:pPr>
              <w:keepNext/>
              <w:spacing w:after="0" w:line="240" w:lineRule="auto"/>
              <w:jc w:val="center"/>
              <w:rPr>
                <w:sz w:val="20"/>
                <w:szCs w:val="20"/>
                <w:lang w:eastAsia="en-GB"/>
              </w:rPr>
            </w:pPr>
            <w:r>
              <w:rPr>
                <w:sz w:val="20"/>
                <w:szCs w:val="20"/>
                <w:lang w:eastAsia="en-GB"/>
              </w:rPr>
              <w:t>(0.08-0.72)</w:t>
            </w:r>
          </w:p>
        </w:tc>
        <w:tc>
          <w:tcPr>
            <w:tcW w:w="541" w:type="pct"/>
            <w:tcBorders>
              <w:top w:val="single" w:sz="12" w:space="0" w:color="auto"/>
              <w:bottom w:val="single" w:sz="4" w:space="0" w:color="auto"/>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0.9</w:t>
            </w:r>
            <w:r w:rsidR="00E34D29" w:rsidRPr="005A3F9B">
              <w:rPr>
                <w:sz w:val="20"/>
                <w:szCs w:val="20"/>
                <w:lang w:eastAsia="en-GB"/>
              </w:rPr>
              <w:t xml:space="preserve">: </w:t>
            </w:r>
            <w:r>
              <w:rPr>
                <w:sz w:val="20"/>
                <w:szCs w:val="20"/>
                <w:lang w:eastAsia="en-GB"/>
              </w:rPr>
              <w:t>0.7</w:t>
            </w:r>
          </w:p>
        </w:tc>
      </w:tr>
      <w:tr w:rsidR="00E34D29" w:rsidRPr="005A3F9B" w:rsidTr="00E1601D">
        <w:trPr>
          <w:cantSplit/>
          <w:trHeight w:val="283"/>
          <w:jc w:val="center"/>
        </w:trPr>
        <w:tc>
          <w:tcPr>
            <w:tcW w:w="234" w:type="pct"/>
            <w:vMerge/>
            <w:tcBorders>
              <w:left w:val="single" w:sz="12" w:space="0" w:color="auto"/>
            </w:tcBorders>
            <w:textDirection w:val="btLr"/>
          </w:tcPr>
          <w:p w:rsidR="00E34D29" w:rsidRPr="005A3F9B" w:rsidRDefault="00E34D29" w:rsidP="00E1601D">
            <w:pPr>
              <w:keepNext/>
              <w:spacing w:after="0" w:line="240" w:lineRule="auto"/>
              <w:ind w:left="113" w:right="113"/>
              <w:rPr>
                <w:rFonts w:cs="Arial"/>
                <w:sz w:val="20"/>
                <w:szCs w:val="20"/>
                <w:lang w:eastAsia="en-GB"/>
              </w:rPr>
            </w:pPr>
          </w:p>
        </w:tc>
        <w:tc>
          <w:tcPr>
            <w:tcW w:w="269" w:type="pct"/>
            <w:vMerge/>
            <w:textDirection w:val="btLr"/>
          </w:tcPr>
          <w:p w:rsidR="00E34D29" w:rsidRPr="005A3F9B" w:rsidRDefault="00E34D29" w:rsidP="00E1601D">
            <w:pPr>
              <w:keepNext/>
              <w:spacing w:after="0" w:line="240" w:lineRule="auto"/>
              <w:ind w:left="113" w:right="113"/>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Shape</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tcPr>
          <w:p w:rsidR="00E34D29" w:rsidRPr="005A3F9B" w:rsidRDefault="00E34D29" w:rsidP="00E1601D">
            <w:pPr>
              <w:keepNext/>
              <w:spacing w:after="0" w:line="240" w:lineRule="auto"/>
              <w:jc w:val="center"/>
              <w:rPr>
                <w:sz w:val="20"/>
                <w:szCs w:val="20"/>
                <w:lang w:eastAsia="en-GB"/>
              </w:rPr>
            </w:pPr>
            <w:r>
              <w:rPr>
                <w:sz w:val="20"/>
                <w:szCs w:val="20"/>
                <w:lang w:eastAsia="en-GB"/>
              </w:rPr>
              <w:t>N/A: N/A</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Pr>
          <w:p w:rsidR="00E34D29" w:rsidRDefault="00E34D29" w:rsidP="00E1601D">
            <w:pPr>
              <w:keepNext/>
              <w:spacing w:after="0" w:line="240" w:lineRule="auto"/>
              <w:jc w:val="center"/>
              <w:rPr>
                <w:sz w:val="20"/>
                <w:szCs w:val="20"/>
                <w:lang w:eastAsia="en-GB"/>
              </w:rPr>
            </w:pPr>
            <w:r>
              <w:rPr>
                <w:sz w:val="20"/>
                <w:szCs w:val="20"/>
                <w:lang w:eastAsia="en-GB"/>
              </w:rPr>
              <w:t>0.573</w:t>
            </w:r>
          </w:p>
          <w:p w:rsidR="00E34D29" w:rsidRDefault="00E34D29" w:rsidP="00E1601D">
            <w:pPr>
              <w:keepNext/>
              <w:spacing w:after="0" w:line="240" w:lineRule="auto"/>
              <w:jc w:val="center"/>
              <w:rPr>
                <w:sz w:val="20"/>
                <w:szCs w:val="20"/>
                <w:lang w:eastAsia="en-GB"/>
              </w:rPr>
            </w:pPr>
            <w:r>
              <w:rPr>
                <w:sz w:val="20"/>
                <w:szCs w:val="20"/>
                <w:lang w:eastAsia="en-GB"/>
              </w:rPr>
              <w:t>(0.19-0.77)</w:t>
            </w:r>
          </w:p>
        </w:tc>
        <w:tc>
          <w:tcPr>
            <w:tcW w:w="541" w:type="pct"/>
            <w:tcBorders>
              <w:right w:val="single" w:sz="12"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N/A: N/A</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rPr>
                <w:rFonts w:cs="Arial"/>
                <w:sz w:val="20"/>
                <w:szCs w:val="20"/>
                <w:lang w:eastAsia="en-GB"/>
              </w:rPr>
            </w:pPr>
          </w:p>
        </w:tc>
        <w:tc>
          <w:tcPr>
            <w:tcW w:w="269" w:type="pct"/>
            <w:vMerge/>
            <w:textDirection w:val="btLr"/>
            <w:vAlign w:val="center"/>
          </w:tcPr>
          <w:p w:rsidR="00E34D29" w:rsidRPr="005A3F9B" w:rsidRDefault="00E34D29" w:rsidP="00E1601D">
            <w:pPr>
              <w:spacing w:after="0" w:line="240" w:lineRule="auto"/>
              <w:ind w:left="113" w:right="113"/>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Enhancement</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tcPr>
          <w:p w:rsidR="00E34D29" w:rsidRPr="005A3F9B" w:rsidRDefault="00E34D29" w:rsidP="00E1601D">
            <w:pPr>
              <w:keepNext/>
              <w:spacing w:after="0" w:line="240" w:lineRule="auto"/>
              <w:jc w:val="center"/>
              <w:rPr>
                <w:sz w:val="20"/>
                <w:szCs w:val="20"/>
                <w:lang w:eastAsia="en-GB"/>
              </w:rPr>
            </w:pPr>
            <w:r>
              <w:rPr>
                <w:sz w:val="20"/>
                <w:szCs w:val="20"/>
                <w:lang w:eastAsia="en-GB"/>
              </w:rPr>
              <w:t>N/A: N/A</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bottom w:val="single" w:sz="4" w:space="0" w:color="auto"/>
            </w:tcBorders>
          </w:tcPr>
          <w:p w:rsidR="00E34D29" w:rsidRDefault="00E34D29" w:rsidP="00E1601D">
            <w:pPr>
              <w:keepNext/>
              <w:spacing w:after="0" w:line="240" w:lineRule="auto"/>
              <w:jc w:val="center"/>
              <w:rPr>
                <w:sz w:val="20"/>
                <w:szCs w:val="20"/>
                <w:lang w:eastAsia="en-GB"/>
              </w:rPr>
            </w:pPr>
            <w:r>
              <w:rPr>
                <w:sz w:val="20"/>
                <w:szCs w:val="20"/>
                <w:lang w:eastAsia="en-GB"/>
              </w:rPr>
              <w:t>0.573</w:t>
            </w:r>
          </w:p>
          <w:p w:rsidR="00E34D29" w:rsidRDefault="00E34D29" w:rsidP="00E1601D">
            <w:pPr>
              <w:keepNext/>
              <w:spacing w:after="0" w:line="240" w:lineRule="auto"/>
              <w:jc w:val="center"/>
              <w:rPr>
                <w:sz w:val="20"/>
                <w:szCs w:val="20"/>
                <w:lang w:eastAsia="en-GB"/>
              </w:rPr>
            </w:pPr>
            <w:r>
              <w:rPr>
                <w:sz w:val="20"/>
                <w:szCs w:val="20"/>
                <w:lang w:eastAsia="en-GB"/>
              </w:rPr>
              <w:t>(0.19-0.77)</w:t>
            </w:r>
          </w:p>
        </w:tc>
        <w:tc>
          <w:tcPr>
            <w:tcW w:w="541" w:type="pct"/>
            <w:tcBorders>
              <w:right w:val="single" w:sz="12"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 xml:space="preserve">N/A: </w:t>
            </w:r>
            <w:r w:rsidR="000A45E8">
              <w:rPr>
                <w:sz w:val="20"/>
                <w:szCs w:val="20"/>
                <w:lang w:eastAsia="en-GB"/>
              </w:rPr>
              <w:t>0.</w:t>
            </w:r>
            <w:r>
              <w:rPr>
                <w:sz w:val="20"/>
                <w:szCs w:val="20"/>
                <w:lang w:eastAsia="en-GB"/>
              </w:rPr>
              <w:t>9</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rPr>
                <w:rFonts w:cs="Arial"/>
                <w:sz w:val="20"/>
                <w:szCs w:val="20"/>
                <w:lang w:eastAsia="en-GB"/>
              </w:rPr>
            </w:pPr>
          </w:p>
        </w:tc>
        <w:tc>
          <w:tcPr>
            <w:tcW w:w="269" w:type="pct"/>
            <w:vMerge/>
            <w:textDirection w:val="btLr"/>
            <w:vAlign w:val="center"/>
          </w:tcPr>
          <w:p w:rsidR="00E34D29" w:rsidRPr="005A3F9B" w:rsidRDefault="00E34D29" w:rsidP="00E1601D">
            <w:pPr>
              <w:spacing w:after="0" w:line="240" w:lineRule="auto"/>
              <w:ind w:left="113" w:right="113"/>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MRI T1</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D9D9D9"/>
          </w:tcPr>
          <w:p w:rsidR="00E34D29" w:rsidRPr="005A3F9B" w:rsidRDefault="00E34D29" w:rsidP="00E1601D">
            <w:pPr>
              <w:keepNext/>
              <w:spacing w:after="0" w:line="240" w:lineRule="auto"/>
              <w:jc w:val="center"/>
              <w:rPr>
                <w:sz w:val="20"/>
                <w:szCs w:val="20"/>
                <w:lang w:eastAsia="en-GB"/>
              </w:rPr>
            </w:pP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0.575</w:t>
            </w:r>
          </w:p>
          <w:p w:rsidR="00E34D29" w:rsidRPr="005A3F9B" w:rsidRDefault="00E34D29" w:rsidP="00E1601D">
            <w:pPr>
              <w:keepNext/>
              <w:spacing w:after="0" w:line="240" w:lineRule="auto"/>
              <w:jc w:val="center"/>
              <w:rPr>
                <w:sz w:val="20"/>
                <w:szCs w:val="20"/>
                <w:lang w:eastAsia="en-GB"/>
              </w:rPr>
            </w:pPr>
            <w:r>
              <w:rPr>
                <w:sz w:val="20"/>
                <w:szCs w:val="20"/>
                <w:lang w:eastAsia="en-GB"/>
              </w:rPr>
              <w:t>(0.23-0.77)</w:t>
            </w:r>
          </w:p>
        </w:tc>
        <w:tc>
          <w:tcPr>
            <w:tcW w:w="541" w:type="pct"/>
            <w:tcBorders>
              <w:right w:val="single" w:sz="12" w:space="0" w:color="auto"/>
            </w:tcBorders>
            <w:shd w:val="clear" w:color="auto" w:fill="D9D9D9"/>
            <w:vAlign w:val="center"/>
          </w:tcPr>
          <w:p w:rsidR="00E34D29" w:rsidRPr="005A3F9B" w:rsidRDefault="00E34D29" w:rsidP="00E1601D">
            <w:pPr>
              <w:keepNext/>
              <w:spacing w:after="0" w:line="240" w:lineRule="auto"/>
              <w:jc w:val="center"/>
              <w:rPr>
                <w:sz w:val="20"/>
                <w:szCs w:val="20"/>
                <w:lang w:eastAsia="en-GB"/>
              </w:rPr>
            </w:pP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rPr>
                <w:rFonts w:cs="Arial"/>
                <w:sz w:val="20"/>
                <w:szCs w:val="20"/>
                <w:lang w:eastAsia="en-GB"/>
              </w:rPr>
            </w:pPr>
          </w:p>
        </w:tc>
        <w:tc>
          <w:tcPr>
            <w:tcW w:w="269" w:type="pct"/>
            <w:vMerge/>
            <w:textDirection w:val="btLr"/>
            <w:vAlign w:val="center"/>
          </w:tcPr>
          <w:p w:rsidR="00E34D29" w:rsidRPr="005A3F9B" w:rsidRDefault="00E34D29" w:rsidP="00E1601D">
            <w:pPr>
              <w:spacing w:after="0" w:line="240" w:lineRule="auto"/>
              <w:ind w:left="113" w:right="113"/>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MRI T2</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D9D9D9"/>
          </w:tcPr>
          <w:p w:rsidR="00E34D29" w:rsidRPr="005A3F9B" w:rsidRDefault="00E34D29" w:rsidP="00E1601D">
            <w:pPr>
              <w:keepNext/>
              <w:spacing w:after="0" w:line="240" w:lineRule="auto"/>
              <w:jc w:val="center"/>
              <w:rPr>
                <w:sz w:val="20"/>
                <w:szCs w:val="20"/>
                <w:lang w:eastAsia="en-GB"/>
              </w:rPr>
            </w:pP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0.491</w:t>
            </w:r>
          </w:p>
          <w:p w:rsidR="00E34D29" w:rsidRPr="005A3F9B" w:rsidRDefault="00E34D29" w:rsidP="00E1601D">
            <w:pPr>
              <w:keepNext/>
              <w:spacing w:after="0" w:line="240" w:lineRule="auto"/>
              <w:jc w:val="center"/>
              <w:rPr>
                <w:sz w:val="20"/>
                <w:szCs w:val="20"/>
                <w:lang w:eastAsia="en-GB"/>
              </w:rPr>
            </w:pPr>
            <w:r>
              <w:rPr>
                <w:sz w:val="20"/>
                <w:szCs w:val="20"/>
                <w:lang w:eastAsia="en-GB"/>
              </w:rPr>
              <w:t>(0.08-0.72)</w:t>
            </w:r>
          </w:p>
        </w:tc>
        <w:tc>
          <w:tcPr>
            <w:tcW w:w="541" w:type="pct"/>
            <w:tcBorders>
              <w:right w:val="single" w:sz="12" w:space="0" w:color="auto"/>
            </w:tcBorders>
            <w:shd w:val="clear" w:color="auto" w:fill="D9D9D9"/>
            <w:vAlign w:val="center"/>
          </w:tcPr>
          <w:p w:rsidR="00E34D29" w:rsidRPr="005A3F9B" w:rsidRDefault="00E34D29" w:rsidP="00E1601D">
            <w:pPr>
              <w:keepNext/>
              <w:spacing w:after="0" w:line="240" w:lineRule="auto"/>
              <w:jc w:val="center"/>
              <w:rPr>
                <w:sz w:val="20"/>
                <w:szCs w:val="20"/>
                <w:lang w:eastAsia="en-GB"/>
              </w:rPr>
            </w:pP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rPr>
                <w:rFonts w:cs="Arial"/>
                <w:sz w:val="20"/>
                <w:szCs w:val="20"/>
                <w:lang w:eastAsia="en-GB"/>
              </w:rPr>
            </w:pPr>
          </w:p>
        </w:tc>
        <w:tc>
          <w:tcPr>
            <w:tcW w:w="269" w:type="pct"/>
            <w:vMerge w:val="restart"/>
            <w:textDirection w:val="btLr"/>
            <w:vAlign w:val="center"/>
          </w:tcPr>
          <w:p w:rsidR="00E34D29" w:rsidRPr="005A3F9B" w:rsidRDefault="00E34D29" w:rsidP="00E1601D">
            <w:pPr>
              <w:keepNext/>
              <w:spacing w:after="0" w:line="240" w:lineRule="auto"/>
              <w:ind w:left="113" w:right="113"/>
              <w:jc w:val="center"/>
              <w:rPr>
                <w:sz w:val="20"/>
                <w:szCs w:val="20"/>
                <w:lang w:eastAsia="en-GB"/>
              </w:rPr>
            </w:pPr>
            <w:r w:rsidRPr="005A3F9B">
              <w:rPr>
                <w:sz w:val="20"/>
                <w:szCs w:val="20"/>
                <w:lang w:eastAsia="en-GB"/>
              </w:rPr>
              <w:t>Soft tissue</w:t>
            </w: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Count</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Pr>
                <w:sz w:val="20"/>
                <w:szCs w:val="20"/>
                <w:lang w:eastAsia="en-GB"/>
              </w:rPr>
              <w:t>0.</w:t>
            </w:r>
            <w:r w:rsidRPr="005A3F9B">
              <w:rPr>
                <w:sz w:val="20"/>
                <w:szCs w:val="20"/>
                <w:lang w:eastAsia="en-GB"/>
              </w:rPr>
              <w:t xml:space="preserve">8: </w:t>
            </w:r>
            <w:r>
              <w:rPr>
                <w:sz w:val="20"/>
                <w:szCs w:val="20"/>
                <w:lang w:eastAsia="en-GB"/>
              </w:rPr>
              <w:t>0.</w:t>
            </w:r>
            <w:r w:rsidRPr="005A3F9B">
              <w:rPr>
                <w:sz w:val="20"/>
                <w:szCs w:val="20"/>
                <w:lang w:eastAsia="en-GB"/>
              </w:rPr>
              <w:t>7</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70</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bottom w:val="single" w:sz="4" w:space="0" w:color="auto"/>
            </w:tcBorders>
          </w:tcPr>
          <w:p w:rsidR="00E34D29" w:rsidRDefault="00E34D29" w:rsidP="00E1601D">
            <w:pPr>
              <w:keepNext/>
              <w:spacing w:after="0" w:line="240" w:lineRule="auto"/>
              <w:jc w:val="center"/>
              <w:rPr>
                <w:sz w:val="20"/>
                <w:szCs w:val="20"/>
                <w:lang w:eastAsia="en-GB"/>
              </w:rPr>
            </w:pPr>
            <w:r>
              <w:rPr>
                <w:sz w:val="20"/>
                <w:szCs w:val="20"/>
                <w:lang w:eastAsia="en-GB"/>
              </w:rPr>
              <w:t>0.429</w:t>
            </w:r>
          </w:p>
          <w:p w:rsidR="00E34D29" w:rsidRPr="005A3F9B" w:rsidRDefault="00E34D29" w:rsidP="00E1601D">
            <w:pPr>
              <w:keepNext/>
              <w:spacing w:after="0" w:line="240" w:lineRule="auto"/>
              <w:jc w:val="center"/>
              <w:rPr>
                <w:sz w:val="20"/>
                <w:szCs w:val="20"/>
                <w:lang w:eastAsia="en-GB"/>
              </w:rPr>
            </w:pPr>
            <w:r>
              <w:rPr>
                <w:sz w:val="20"/>
                <w:szCs w:val="20"/>
                <w:lang w:eastAsia="en-GB"/>
              </w:rPr>
              <w:t>(0.13-0.71)</w:t>
            </w:r>
          </w:p>
        </w:tc>
        <w:tc>
          <w:tcPr>
            <w:tcW w:w="541" w:type="pct"/>
            <w:tcBorders>
              <w:bottom w:val="single" w:sz="4" w:space="0" w:color="auto"/>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w:t>
            </w:r>
            <w:r w:rsidR="00E34D29" w:rsidRPr="005A3F9B">
              <w:rPr>
                <w:sz w:val="20"/>
                <w:szCs w:val="20"/>
                <w:lang w:eastAsia="en-GB"/>
              </w:rPr>
              <w:t xml:space="preserve">6: </w:t>
            </w:r>
            <w:r>
              <w:rPr>
                <w:sz w:val="20"/>
                <w:szCs w:val="20"/>
                <w:lang w:eastAsia="en-GB"/>
              </w:rPr>
              <w:t>0.</w:t>
            </w:r>
            <w:r w:rsidR="00E34D29" w:rsidRPr="005A3F9B">
              <w:rPr>
                <w:sz w:val="20"/>
                <w:szCs w:val="20"/>
                <w:lang w:eastAsia="en-GB"/>
              </w:rPr>
              <w:t>6</w:t>
            </w:r>
          </w:p>
        </w:tc>
      </w:tr>
      <w:tr w:rsidR="00E34D29" w:rsidRPr="005A3F9B" w:rsidTr="00E1601D">
        <w:trPr>
          <w:cantSplit/>
          <w:trHeight w:val="283"/>
          <w:jc w:val="center"/>
        </w:trPr>
        <w:tc>
          <w:tcPr>
            <w:tcW w:w="234" w:type="pct"/>
            <w:vMerge/>
            <w:tcBorders>
              <w:left w:val="single" w:sz="12" w:space="0" w:color="auto"/>
            </w:tcBorders>
            <w:textDirection w:val="btLr"/>
            <w:vAlign w:val="center"/>
          </w:tcPr>
          <w:p w:rsidR="00E34D29" w:rsidRPr="005A3F9B" w:rsidRDefault="00E34D29" w:rsidP="00E1601D">
            <w:pPr>
              <w:spacing w:after="0" w:line="240" w:lineRule="auto"/>
              <w:ind w:left="113" w:right="113"/>
              <w:rPr>
                <w:rFonts w:cs="Arial"/>
                <w:sz w:val="20"/>
                <w:szCs w:val="20"/>
                <w:lang w:eastAsia="en-GB"/>
              </w:rPr>
            </w:pPr>
          </w:p>
        </w:tc>
        <w:tc>
          <w:tcPr>
            <w:tcW w:w="269" w:type="pct"/>
            <w:vMerge/>
            <w:textDirection w:val="btLr"/>
          </w:tcPr>
          <w:p w:rsidR="00E34D29" w:rsidRPr="005A3F9B" w:rsidRDefault="00E34D29" w:rsidP="00E1601D">
            <w:pPr>
              <w:keepNext/>
              <w:spacing w:after="0" w:line="240" w:lineRule="auto"/>
              <w:ind w:left="113" w:right="113"/>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Shape</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tcPr>
          <w:p w:rsidR="00E34D29" w:rsidRPr="005A3F9B" w:rsidRDefault="00E34D29" w:rsidP="00E1601D">
            <w:pPr>
              <w:keepNext/>
              <w:spacing w:after="0" w:line="240" w:lineRule="auto"/>
              <w:jc w:val="center"/>
              <w:rPr>
                <w:sz w:val="20"/>
                <w:szCs w:val="20"/>
                <w:lang w:eastAsia="en-GB"/>
              </w:rPr>
            </w:pPr>
            <w:r>
              <w:rPr>
                <w:sz w:val="20"/>
                <w:szCs w:val="20"/>
                <w:lang w:eastAsia="en-GB"/>
              </w:rPr>
              <w:t>0.6: 0.6</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40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70</w:t>
            </w:r>
          </w:p>
        </w:tc>
        <w:tc>
          <w:tcPr>
            <w:tcW w:w="547" w:type="pct"/>
          </w:tcPr>
          <w:p w:rsidR="00E34D29" w:rsidRDefault="00E34D29" w:rsidP="00E1601D">
            <w:pPr>
              <w:keepNext/>
              <w:spacing w:after="0" w:line="240" w:lineRule="auto"/>
              <w:jc w:val="center"/>
              <w:rPr>
                <w:sz w:val="20"/>
                <w:szCs w:val="20"/>
                <w:lang w:eastAsia="en-GB"/>
              </w:rPr>
            </w:pPr>
            <w:r>
              <w:rPr>
                <w:sz w:val="20"/>
                <w:szCs w:val="20"/>
                <w:lang w:eastAsia="en-GB"/>
              </w:rPr>
              <w:t>0.600</w:t>
            </w:r>
          </w:p>
          <w:p w:rsidR="00E34D29" w:rsidRDefault="00E34D29" w:rsidP="00E1601D">
            <w:pPr>
              <w:keepNext/>
              <w:spacing w:after="0" w:line="240" w:lineRule="auto"/>
              <w:jc w:val="center"/>
              <w:rPr>
                <w:sz w:val="20"/>
                <w:szCs w:val="20"/>
                <w:lang w:eastAsia="en-GB"/>
              </w:rPr>
            </w:pPr>
            <w:r>
              <w:rPr>
                <w:sz w:val="20"/>
                <w:szCs w:val="20"/>
                <w:lang w:eastAsia="en-GB"/>
              </w:rPr>
              <w:t>(0.002-0.82)</w:t>
            </w:r>
          </w:p>
        </w:tc>
        <w:tc>
          <w:tcPr>
            <w:tcW w:w="541" w:type="pct"/>
            <w:tcBorders>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w:t>
            </w:r>
            <w:r w:rsidR="00E34D29">
              <w:rPr>
                <w:sz w:val="20"/>
                <w:szCs w:val="20"/>
                <w:lang w:eastAsia="en-GB"/>
              </w:rPr>
              <w:t xml:space="preserve">5: </w:t>
            </w:r>
            <w:r>
              <w:rPr>
                <w:sz w:val="20"/>
                <w:szCs w:val="20"/>
                <w:lang w:eastAsia="en-GB"/>
              </w:rPr>
              <w:t>0.6</w:t>
            </w:r>
          </w:p>
        </w:tc>
      </w:tr>
      <w:tr w:rsidR="00E34D29" w:rsidRPr="005A3F9B" w:rsidTr="00E1601D">
        <w:trPr>
          <w:cantSplit/>
          <w:trHeight w:val="283"/>
          <w:jc w:val="center"/>
        </w:trPr>
        <w:tc>
          <w:tcPr>
            <w:tcW w:w="234" w:type="pct"/>
            <w:vMerge/>
            <w:tcBorders>
              <w:left w:val="single" w:sz="12" w:space="0" w:color="auto"/>
            </w:tcBorders>
            <w:vAlign w:val="center"/>
          </w:tcPr>
          <w:p w:rsidR="00E34D29" w:rsidRPr="005A3F9B" w:rsidRDefault="00E34D29" w:rsidP="00E1601D">
            <w:pPr>
              <w:spacing w:after="0" w:line="240" w:lineRule="auto"/>
              <w:rPr>
                <w:rFonts w:cs="Arial"/>
                <w:sz w:val="20"/>
                <w:szCs w:val="20"/>
                <w:lang w:eastAsia="en-GB"/>
              </w:rPr>
            </w:pPr>
          </w:p>
        </w:tc>
        <w:tc>
          <w:tcPr>
            <w:tcW w:w="269" w:type="pct"/>
            <w:vMerge/>
            <w:vAlign w:val="center"/>
          </w:tcPr>
          <w:p w:rsidR="00E34D29" w:rsidRPr="005A3F9B" w:rsidRDefault="00E34D29" w:rsidP="00E1601D">
            <w:pPr>
              <w:spacing w:after="0" w:line="240" w:lineRule="auto"/>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Enhancement</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auto"/>
          </w:tcPr>
          <w:p w:rsidR="00E34D29" w:rsidRPr="005A3F9B" w:rsidRDefault="00E34D29" w:rsidP="00E1601D">
            <w:pPr>
              <w:keepNext/>
              <w:spacing w:after="0" w:line="240" w:lineRule="auto"/>
              <w:jc w:val="center"/>
              <w:rPr>
                <w:sz w:val="20"/>
                <w:szCs w:val="20"/>
                <w:lang w:eastAsia="en-GB"/>
              </w:rPr>
            </w:pPr>
            <w:r>
              <w:rPr>
                <w:sz w:val="20"/>
                <w:szCs w:val="20"/>
                <w:lang w:eastAsia="en-GB"/>
              </w:rPr>
              <w:t>0.9: 0.8</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bottom w:val="single" w:sz="4"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bottom w:val="single" w:sz="4" w:space="0" w:color="auto"/>
            </w:tcBorders>
          </w:tcPr>
          <w:p w:rsidR="00E34D29" w:rsidRDefault="00E34D29" w:rsidP="00E1601D">
            <w:pPr>
              <w:keepNext/>
              <w:spacing w:after="0" w:line="240" w:lineRule="auto"/>
              <w:jc w:val="center"/>
              <w:rPr>
                <w:sz w:val="20"/>
                <w:szCs w:val="20"/>
                <w:lang w:eastAsia="en-GB"/>
              </w:rPr>
            </w:pPr>
            <w:r>
              <w:rPr>
                <w:sz w:val="20"/>
                <w:szCs w:val="20"/>
                <w:lang w:eastAsia="en-GB"/>
              </w:rPr>
              <w:t>0.686</w:t>
            </w:r>
          </w:p>
          <w:p w:rsidR="00E34D29" w:rsidRDefault="00E34D29" w:rsidP="00E1601D">
            <w:pPr>
              <w:keepNext/>
              <w:spacing w:after="0" w:line="240" w:lineRule="auto"/>
              <w:jc w:val="center"/>
              <w:rPr>
                <w:sz w:val="20"/>
                <w:szCs w:val="20"/>
                <w:lang w:eastAsia="en-GB"/>
              </w:rPr>
            </w:pPr>
            <w:r>
              <w:rPr>
                <w:sz w:val="20"/>
                <w:szCs w:val="20"/>
                <w:lang w:eastAsia="en-GB"/>
              </w:rPr>
              <w:t>(0.27-0.85)</w:t>
            </w:r>
          </w:p>
        </w:tc>
        <w:tc>
          <w:tcPr>
            <w:tcW w:w="541" w:type="pct"/>
            <w:tcBorders>
              <w:right w:val="single" w:sz="12" w:space="0" w:color="auto"/>
            </w:tcBorders>
            <w:vAlign w:val="center"/>
          </w:tcPr>
          <w:p w:rsidR="00E34D29" w:rsidRPr="005A3F9B" w:rsidRDefault="000A45E8" w:rsidP="00E1601D">
            <w:pPr>
              <w:keepNext/>
              <w:spacing w:after="0" w:line="240" w:lineRule="auto"/>
              <w:jc w:val="center"/>
              <w:rPr>
                <w:sz w:val="20"/>
                <w:szCs w:val="20"/>
                <w:lang w:eastAsia="en-GB"/>
              </w:rPr>
            </w:pPr>
            <w:r>
              <w:rPr>
                <w:sz w:val="20"/>
                <w:szCs w:val="20"/>
                <w:lang w:eastAsia="en-GB"/>
              </w:rPr>
              <w:t>0.</w:t>
            </w:r>
            <w:r w:rsidR="00E34D29">
              <w:rPr>
                <w:sz w:val="20"/>
                <w:szCs w:val="20"/>
                <w:lang w:eastAsia="en-GB"/>
              </w:rPr>
              <w:t xml:space="preserve">9: </w:t>
            </w:r>
            <w:r>
              <w:rPr>
                <w:sz w:val="20"/>
                <w:szCs w:val="20"/>
                <w:lang w:eastAsia="en-GB"/>
              </w:rPr>
              <w:t>0.</w:t>
            </w:r>
            <w:bookmarkStart w:id="1" w:name="_GoBack"/>
            <w:bookmarkEnd w:id="1"/>
            <w:r w:rsidR="00E34D29">
              <w:rPr>
                <w:sz w:val="20"/>
                <w:szCs w:val="20"/>
                <w:lang w:eastAsia="en-GB"/>
              </w:rPr>
              <w:t>9</w:t>
            </w:r>
          </w:p>
        </w:tc>
      </w:tr>
      <w:tr w:rsidR="00E34D29" w:rsidRPr="005A3F9B" w:rsidTr="00E1601D">
        <w:trPr>
          <w:cantSplit/>
          <w:trHeight w:val="283"/>
          <w:jc w:val="center"/>
        </w:trPr>
        <w:tc>
          <w:tcPr>
            <w:tcW w:w="234" w:type="pct"/>
            <w:vMerge/>
            <w:tcBorders>
              <w:left w:val="single" w:sz="12" w:space="0" w:color="auto"/>
            </w:tcBorders>
            <w:vAlign w:val="center"/>
          </w:tcPr>
          <w:p w:rsidR="00E34D29" w:rsidRPr="005A3F9B" w:rsidRDefault="00E34D29" w:rsidP="00E1601D">
            <w:pPr>
              <w:spacing w:after="0" w:line="240" w:lineRule="auto"/>
              <w:rPr>
                <w:rFonts w:cs="Arial"/>
                <w:sz w:val="20"/>
                <w:szCs w:val="20"/>
                <w:lang w:eastAsia="en-GB"/>
              </w:rPr>
            </w:pPr>
          </w:p>
        </w:tc>
        <w:tc>
          <w:tcPr>
            <w:tcW w:w="269" w:type="pct"/>
            <w:vMerge/>
            <w:vAlign w:val="center"/>
          </w:tcPr>
          <w:p w:rsidR="00E34D29" w:rsidRPr="005A3F9B" w:rsidRDefault="00E34D29" w:rsidP="00E1601D">
            <w:pPr>
              <w:spacing w:after="0" w:line="240" w:lineRule="auto"/>
              <w:rPr>
                <w:rFonts w:cs="Arial"/>
                <w:sz w:val="20"/>
                <w:szCs w:val="20"/>
                <w:lang w:eastAsia="en-GB"/>
              </w:rPr>
            </w:pPr>
          </w:p>
        </w:tc>
        <w:tc>
          <w:tcPr>
            <w:tcW w:w="663" w:type="pct"/>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MRI T1</w:t>
            </w:r>
          </w:p>
        </w:tc>
        <w:tc>
          <w:tcPr>
            <w:tcW w:w="550"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shd w:val="clear" w:color="auto" w:fill="D9D9D9"/>
          </w:tcPr>
          <w:p w:rsidR="00E34D29" w:rsidRPr="005A3F9B" w:rsidRDefault="00E34D29" w:rsidP="00E1601D">
            <w:pPr>
              <w:keepNext/>
              <w:spacing w:after="0" w:line="240" w:lineRule="auto"/>
              <w:jc w:val="center"/>
              <w:rPr>
                <w:sz w:val="20"/>
                <w:szCs w:val="20"/>
                <w:lang w:eastAsia="en-GB"/>
              </w:rPr>
            </w:pP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60</w:t>
            </w:r>
          </w:p>
        </w:tc>
        <w:tc>
          <w:tcPr>
            <w:tcW w:w="549" w:type="pct"/>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0.098</w:t>
            </w:r>
          </w:p>
          <w:p w:rsidR="00E34D29" w:rsidRPr="005A3F9B" w:rsidRDefault="00E34D29" w:rsidP="00E1601D">
            <w:pPr>
              <w:keepNext/>
              <w:spacing w:after="0" w:line="240" w:lineRule="auto"/>
              <w:jc w:val="center"/>
              <w:rPr>
                <w:sz w:val="20"/>
                <w:szCs w:val="20"/>
                <w:lang w:eastAsia="en-GB"/>
              </w:rPr>
            </w:pPr>
            <w:r>
              <w:rPr>
                <w:sz w:val="20"/>
                <w:szCs w:val="20"/>
                <w:lang w:eastAsia="en-GB"/>
              </w:rPr>
              <w:t>(0.18-0.38)</w:t>
            </w:r>
          </w:p>
        </w:tc>
        <w:tc>
          <w:tcPr>
            <w:tcW w:w="541" w:type="pct"/>
            <w:tcBorders>
              <w:right w:val="single" w:sz="12" w:space="0" w:color="auto"/>
            </w:tcBorders>
            <w:shd w:val="clear" w:color="auto" w:fill="D9D9D9"/>
            <w:vAlign w:val="center"/>
          </w:tcPr>
          <w:p w:rsidR="00E34D29" w:rsidRPr="005A3F9B" w:rsidRDefault="00E34D29" w:rsidP="00E1601D">
            <w:pPr>
              <w:keepNext/>
              <w:spacing w:after="0" w:line="240" w:lineRule="auto"/>
              <w:jc w:val="center"/>
              <w:rPr>
                <w:sz w:val="20"/>
                <w:szCs w:val="20"/>
                <w:lang w:eastAsia="en-GB"/>
              </w:rPr>
            </w:pPr>
          </w:p>
        </w:tc>
      </w:tr>
      <w:tr w:rsidR="00E34D29" w:rsidRPr="005A3F9B" w:rsidTr="00E1601D">
        <w:trPr>
          <w:cantSplit/>
          <w:trHeight w:val="283"/>
          <w:jc w:val="center"/>
        </w:trPr>
        <w:tc>
          <w:tcPr>
            <w:tcW w:w="234" w:type="pct"/>
            <w:vMerge/>
            <w:tcBorders>
              <w:left w:val="single" w:sz="12" w:space="0" w:color="auto"/>
              <w:bottom w:val="single" w:sz="12" w:space="0" w:color="auto"/>
            </w:tcBorders>
            <w:vAlign w:val="center"/>
          </w:tcPr>
          <w:p w:rsidR="00E34D29" w:rsidRPr="005A3F9B" w:rsidRDefault="00E34D29" w:rsidP="00E1601D">
            <w:pPr>
              <w:spacing w:after="0" w:line="240" w:lineRule="auto"/>
              <w:rPr>
                <w:rFonts w:cs="Arial"/>
                <w:sz w:val="20"/>
                <w:szCs w:val="20"/>
                <w:lang w:eastAsia="en-GB"/>
              </w:rPr>
            </w:pPr>
          </w:p>
        </w:tc>
        <w:tc>
          <w:tcPr>
            <w:tcW w:w="269" w:type="pct"/>
            <w:vMerge/>
            <w:tcBorders>
              <w:bottom w:val="single" w:sz="12" w:space="0" w:color="auto"/>
            </w:tcBorders>
            <w:vAlign w:val="center"/>
          </w:tcPr>
          <w:p w:rsidR="00E34D29" w:rsidRPr="005A3F9B" w:rsidRDefault="00E34D29" w:rsidP="00E1601D">
            <w:pPr>
              <w:spacing w:after="0" w:line="240" w:lineRule="auto"/>
              <w:rPr>
                <w:rFonts w:cs="Arial"/>
                <w:sz w:val="20"/>
                <w:szCs w:val="20"/>
                <w:lang w:eastAsia="en-GB"/>
              </w:rPr>
            </w:pPr>
          </w:p>
        </w:tc>
        <w:tc>
          <w:tcPr>
            <w:tcW w:w="663" w:type="pct"/>
            <w:tcBorders>
              <w:bottom w:val="single" w:sz="12" w:space="0" w:color="auto"/>
            </w:tcBorders>
            <w:vAlign w:val="center"/>
          </w:tcPr>
          <w:p w:rsidR="00E34D29" w:rsidRPr="005A3F9B" w:rsidRDefault="00E34D29" w:rsidP="00E1601D">
            <w:pPr>
              <w:keepNext/>
              <w:spacing w:after="0" w:line="240" w:lineRule="auto"/>
              <w:rPr>
                <w:sz w:val="20"/>
                <w:szCs w:val="20"/>
                <w:lang w:eastAsia="en-GB"/>
              </w:rPr>
            </w:pPr>
            <w:r w:rsidRPr="005A3F9B">
              <w:rPr>
                <w:sz w:val="20"/>
                <w:szCs w:val="20"/>
                <w:lang w:eastAsia="en-GB"/>
              </w:rPr>
              <w:t>MRI T2</w:t>
            </w:r>
          </w:p>
        </w:tc>
        <w:tc>
          <w:tcPr>
            <w:tcW w:w="550"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90</w:t>
            </w:r>
          </w:p>
        </w:tc>
        <w:tc>
          <w:tcPr>
            <w:tcW w:w="549" w:type="pct"/>
            <w:tcBorders>
              <w:bottom w:val="single" w:sz="12" w:space="0" w:color="auto"/>
            </w:tcBorders>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9" w:type="pct"/>
            <w:tcBorders>
              <w:bottom w:val="single" w:sz="12" w:space="0" w:color="auto"/>
            </w:tcBorders>
            <w:shd w:val="clear" w:color="auto" w:fill="D9D9D9"/>
          </w:tcPr>
          <w:p w:rsidR="00E34D29" w:rsidRPr="005A3F9B" w:rsidRDefault="00E34D29" w:rsidP="00E1601D">
            <w:pPr>
              <w:keepNext/>
              <w:spacing w:after="0" w:line="240" w:lineRule="auto"/>
              <w:jc w:val="center"/>
              <w:rPr>
                <w:sz w:val="20"/>
                <w:szCs w:val="20"/>
                <w:lang w:eastAsia="en-GB"/>
              </w:rPr>
            </w:pPr>
          </w:p>
        </w:tc>
        <w:tc>
          <w:tcPr>
            <w:tcW w:w="549" w:type="pct"/>
            <w:tcBorders>
              <w:bottom w:val="single" w:sz="12" w:space="0" w:color="auto"/>
            </w:tcBorders>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40</w:t>
            </w:r>
          </w:p>
        </w:tc>
        <w:tc>
          <w:tcPr>
            <w:tcW w:w="549" w:type="pct"/>
            <w:tcBorders>
              <w:bottom w:val="single" w:sz="12" w:space="0" w:color="auto"/>
            </w:tcBorders>
            <w:shd w:val="clear" w:color="auto" w:fill="auto"/>
            <w:vAlign w:val="center"/>
          </w:tcPr>
          <w:p w:rsidR="00E34D29" w:rsidRPr="005A3F9B" w:rsidRDefault="00E34D29" w:rsidP="00E1601D">
            <w:pPr>
              <w:keepNext/>
              <w:spacing w:after="0" w:line="240" w:lineRule="auto"/>
              <w:jc w:val="center"/>
              <w:rPr>
                <w:sz w:val="20"/>
                <w:szCs w:val="20"/>
                <w:lang w:eastAsia="en-GB"/>
              </w:rPr>
            </w:pPr>
            <w:r w:rsidRPr="005A3F9B">
              <w:rPr>
                <w:sz w:val="20"/>
                <w:szCs w:val="20"/>
                <w:lang w:eastAsia="en-GB"/>
              </w:rPr>
              <w:t>100</w:t>
            </w:r>
          </w:p>
        </w:tc>
        <w:tc>
          <w:tcPr>
            <w:tcW w:w="547" w:type="pct"/>
            <w:tcBorders>
              <w:bottom w:val="single" w:sz="12" w:space="0" w:color="auto"/>
            </w:tcBorders>
            <w:shd w:val="clear" w:color="auto" w:fill="auto"/>
          </w:tcPr>
          <w:p w:rsidR="00E34D29" w:rsidRDefault="00E34D29" w:rsidP="00E1601D">
            <w:pPr>
              <w:keepNext/>
              <w:spacing w:after="0" w:line="240" w:lineRule="auto"/>
              <w:jc w:val="center"/>
              <w:rPr>
                <w:sz w:val="20"/>
                <w:szCs w:val="20"/>
                <w:lang w:eastAsia="en-GB"/>
              </w:rPr>
            </w:pPr>
            <w:r>
              <w:rPr>
                <w:sz w:val="20"/>
                <w:szCs w:val="20"/>
                <w:lang w:eastAsia="en-GB"/>
              </w:rPr>
              <w:t>0.395</w:t>
            </w:r>
          </w:p>
          <w:p w:rsidR="00E34D29" w:rsidRPr="005A3F9B" w:rsidRDefault="00E34D29" w:rsidP="00E1601D">
            <w:pPr>
              <w:keepNext/>
              <w:spacing w:after="0" w:line="240" w:lineRule="auto"/>
              <w:jc w:val="center"/>
              <w:rPr>
                <w:sz w:val="20"/>
                <w:szCs w:val="20"/>
                <w:lang w:eastAsia="en-GB"/>
              </w:rPr>
            </w:pPr>
            <w:r>
              <w:rPr>
                <w:sz w:val="20"/>
                <w:szCs w:val="20"/>
                <w:lang w:eastAsia="en-GB"/>
              </w:rPr>
              <w:t>(0.17-0.69)</w:t>
            </w:r>
          </w:p>
        </w:tc>
        <w:tc>
          <w:tcPr>
            <w:tcW w:w="541" w:type="pct"/>
            <w:tcBorders>
              <w:bottom w:val="single" w:sz="12" w:space="0" w:color="auto"/>
              <w:right w:val="single" w:sz="12" w:space="0" w:color="auto"/>
            </w:tcBorders>
            <w:shd w:val="clear" w:color="auto" w:fill="D9D9D9"/>
            <w:vAlign w:val="center"/>
          </w:tcPr>
          <w:p w:rsidR="00E34D29" w:rsidRPr="005A3F9B" w:rsidRDefault="00E34D29" w:rsidP="00E1601D">
            <w:pPr>
              <w:keepNext/>
              <w:spacing w:after="0" w:line="240" w:lineRule="auto"/>
              <w:jc w:val="center"/>
              <w:rPr>
                <w:sz w:val="20"/>
                <w:szCs w:val="20"/>
                <w:lang w:eastAsia="en-GB"/>
              </w:rPr>
            </w:pPr>
          </w:p>
        </w:tc>
      </w:tr>
    </w:tbl>
    <w:p w:rsidR="00E34D29" w:rsidRDefault="00E34D29" w:rsidP="00E34D29">
      <w:pPr>
        <w:spacing w:after="0" w:line="240" w:lineRule="auto"/>
        <w:rPr>
          <w:b/>
          <w:bCs/>
          <w:lang w:eastAsia="en-GB"/>
        </w:rPr>
      </w:pPr>
    </w:p>
    <w:p w:rsidR="00E34D29" w:rsidRDefault="00E34D29" w:rsidP="00E315AC">
      <w:pPr>
        <w:spacing w:after="0" w:line="240" w:lineRule="auto"/>
        <w:rPr>
          <w:b/>
          <w:bCs/>
        </w:rPr>
        <w:sectPr w:rsidR="00E34D29" w:rsidSect="00E34D29">
          <w:pgSz w:w="16838" w:h="11906" w:orient="landscape"/>
          <w:pgMar w:top="1417" w:right="1440" w:bottom="1134" w:left="1440" w:header="708" w:footer="708" w:gutter="0"/>
          <w:cols w:space="708"/>
          <w:docGrid w:linePitch="360"/>
        </w:sectPr>
      </w:pPr>
    </w:p>
    <w:p w:rsidR="00E257BA" w:rsidRPr="00B068E0" w:rsidRDefault="00E257BA" w:rsidP="00E315AC">
      <w:pPr>
        <w:spacing w:after="0" w:line="240" w:lineRule="auto"/>
        <w:rPr>
          <w:rFonts w:cs="Arial"/>
          <w:b/>
          <w:bCs/>
        </w:rPr>
      </w:pPr>
      <w:r>
        <w:rPr>
          <w:b/>
          <w:bCs/>
        </w:rPr>
        <w:t>FIGURE LEGENDS</w:t>
      </w:r>
    </w:p>
    <w:p w:rsidR="003745F9" w:rsidRDefault="003745F9" w:rsidP="0053309A">
      <w:pPr>
        <w:rPr>
          <w:b/>
          <w:bCs/>
          <w:noProof/>
        </w:rPr>
      </w:pPr>
    </w:p>
    <w:p w:rsidR="00CE7727" w:rsidRDefault="00CE7727" w:rsidP="0053309A">
      <w:pPr>
        <w:rPr>
          <w:b/>
          <w:bCs/>
          <w:noProof/>
        </w:rPr>
      </w:pPr>
      <w:r>
        <w:rPr>
          <w:b/>
          <w:bCs/>
          <w:noProof/>
        </w:rPr>
        <w:t xml:space="preserve">Figure </w:t>
      </w:r>
      <w:r w:rsidR="00153C2D">
        <w:rPr>
          <w:b/>
          <w:bCs/>
          <w:noProof/>
        </w:rPr>
        <w:t>1</w:t>
      </w:r>
      <w:r>
        <w:rPr>
          <w:b/>
          <w:bCs/>
          <w:noProof/>
        </w:rPr>
        <w:t xml:space="preserve">: Bland &amp; Altman Plots of </w:t>
      </w:r>
      <w:r w:rsidR="009977C3">
        <w:rPr>
          <w:b/>
          <w:bCs/>
          <w:noProof/>
        </w:rPr>
        <w:t xml:space="preserve">inter-rater </w:t>
      </w:r>
      <w:r>
        <w:rPr>
          <w:b/>
          <w:bCs/>
          <w:noProof/>
        </w:rPr>
        <w:t>agreement</w:t>
      </w:r>
      <w:r w:rsidR="00153C2D">
        <w:rPr>
          <w:b/>
          <w:bCs/>
          <w:noProof/>
        </w:rPr>
        <w:t xml:space="preserve"> (both feet combined)</w:t>
      </w:r>
    </w:p>
    <w:p w:rsidR="003745F9" w:rsidRDefault="003745F9" w:rsidP="003745F9">
      <w:pPr>
        <w:rPr>
          <w:b/>
          <w:bCs/>
        </w:rPr>
      </w:pPr>
      <w:r>
        <w:rPr>
          <w:b/>
          <w:bCs/>
        </w:rPr>
        <w:t>APPENDICES</w:t>
      </w:r>
      <w:r w:rsidR="003E0E43">
        <w:rPr>
          <w:b/>
          <w:bCs/>
        </w:rPr>
        <w:t xml:space="preserve"> (Web only)</w:t>
      </w:r>
      <w:r>
        <w:rPr>
          <w:b/>
          <w:bCs/>
        </w:rPr>
        <w:t>:</w:t>
      </w:r>
    </w:p>
    <w:p w:rsidR="00153C2D" w:rsidRPr="004229F6" w:rsidRDefault="00153C2D" w:rsidP="00153C2D">
      <w:pPr>
        <w:spacing w:after="0" w:line="240" w:lineRule="auto"/>
        <w:rPr>
          <w:rFonts w:cs="Arial"/>
          <w:b/>
          <w:bCs/>
        </w:rPr>
      </w:pPr>
      <w:r>
        <w:rPr>
          <w:b/>
          <w:bCs/>
        </w:rPr>
        <w:t>Appendix 1</w:t>
      </w:r>
      <w:r w:rsidRPr="00E257BA">
        <w:rPr>
          <w:b/>
          <w:bCs/>
        </w:rPr>
        <w:t xml:space="preserve">: Lesion site definitions </w:t>
      </w:r>
    </w:p>
    <w:p w:rsidR="00153C2D" w:rsidRPr="00E257BA" w:rsidRDefault="00153C2D" w:rsidP="00153C2D">
      <w:pPr>
        <w:spacing w:after="0" w:line="240" w:lineRule="auto"/>
        <w:jc w:val="both"/>
      </w:pPr>
      <w:r w:rsidRPr="00E257BA">
        <w:t>Anatomical subdivision into 9 sub-regions using a slice defined by</w:t>
      </w:r>
      <w:r w:rsidRPr="00E257BA">
        <w:rPr>
          <w:b/>
          <w:bCs/>
        </w:rPr>
        <w:t xml:space="preserve"> </w:t>
      </w:r>
      <w:r w:rsidRPr="00E257BA">
        <w:t xml:space="preserve">bisection of the midline of the metatarsal head, relative to the short axis of the foot, for medial-lateral boundaries and the base of the lesser metatarsal heads for plantar boundaries. Subdivision of plantar sites is by vertical bisection of the midline of the intermetatarsal space, relative to the short axis of the foot, for medial-lateral boundaries and the base of the lesser metatarsal heads for dorsal boundaries. </w:t>
      </w:r>
    </w:p>
    <w:p w:rsidR="00153C2D" w:rsidRDefault="00153C2D" w:rsidP="00153C2D">
      <w:pPr>
        <w:spacing w:after="0" w:line="240" w:lineRule="auto"/>
        <w:jc w:val="both"/>
        <w:rPr>
          <w:rFonts w:cs="Arial"/>
        </w:rPr>
      </w:pPr>
      <w:r w:rsidRPr="00E257BA">
        <w:rPr>
          <w:rFonts w:cs="Arial"/>
          <w:iCs/>
        </w:rPr>
        <w:t>1= abductor hallucis tendon, 2 = extensor hallucis longus tendon, 3 = extensor hood, 4 = extensor hallucis brevis tendon, 5 = adductor hallucis tendon, 6 = dorsal interosseous tendon, 7 = extensor digitorum longus tendon, 8 = extensor digitorum brevis tendon, 9 = plantar interosseous tendon, 10 = deep transverse metatarsal ligament, 11 = section of plantar plate, 12 = abductor digiti minimi tendon, 13 = vertical fibres of plantarfascia, 14 = superficial transverse metatarsal ligament, 15 = flexor digitorum brevis tendon, 16 = flexor digitorum longus tendon, 17 = lumbrical tendon, 18 = neurovascular bundle, 19 = sesamoid ligament, 20 = flexor hallucis longus tendon. S = sesamoid bone, M1-5 = head of metatarsal bone 1-5.</w:t>
      </w:r>
    </w:p>
    <w:p w:rsidR="003745F9" w:rsidRPr="00994E54" w:rsidRDefault="003E0E43" w:rsidP="003745F9">
      <w:pPr>
        <w:rPr>
          <w:b/>
          <w:bCs/>
        </w:rPr>
      </w:pPr>
      <w:r>
        <w:rPr>
          <w:b/>
          <w:bCs/>
        </w:rPr>
        <w:t xml:space="preserve">Appendix </w:t>
      </w:r>
      <w:r w:rsidR="00153C2D">
        <w:rPr>
          <w:b/>
          <w:bCs/>
        </w:rPr>
        <w:t>2</w:t>
      </w:r>
      <w:r w:rsidR="003745F9" w:rsidRPr="00994E54">
        <w:rPr>
          <w:b/>
          <w:bCs/>
        </w:rPr>
        <w:t>: MRI sequence protocol</w:t>
      </w:r>
    </w:p>
    <w:p w:rsidR="003745F9" w:rsidRDefault="003E0E43" w:rsidP="003745F9">
      <w:pPr>
        <w:rPr>
          <w:b/>
          <w:bCs/>
        </w:rPr>
      </w:pPr>
      <w:r>
        <w:rPr>
          <w:b/>
          <w:bCs/>
        </w:rPr>
        <w:t xml:space="preserve">Appendix </w:t>
      </w:r>
      <w:r w:rsidR="00153C2D">
        <w:rPr>
          <w:b/>
          <w:bCs/>
        </w:rPr>
        <w:t>3</w:t>
      </w:r>
      <w:r w:rsidR="003745F9" w:rsidRPr="003745F9">
        <w:rPr>
          <w:b/>
          <w:bCs/>
        </w:rPr>
        <w:t xml:space="preserve">: </w:t>
      </w:r>
      <w:r w:rsidR="003745F9" w:rsidRPr="003745F9">
        <w:rPr>
          <w:b/>
          <w:bCs/>
          <w:i/>
          <w:iCs/>
        </w:rPr>
        <w:t>FFB-Score</w:t>
      </w:r>
      <w:r w:rsidR="003745F9" w:rsidRPr="003745F9">
        <w:rPr>
          <w:b/>
          <w:bCs/>
        </w:rPr>
        <w:t xml:space="preserve"> image atlas</w:t>
      </w:r>
      <w:r>
        <w:rPr>
          <w:b/>
          <w:bCs/>
        </w:rPr>
        <w:t>, typical score ranges</w:t>
      </w:r>
      <w:r w:rsidR="003745F9" w:rsidRPr="003745F9">
        <w:rPr>
          <w:b/>
          <w:bCs/>
        </w:rPr>
        <w:t xml:space="preserve"> and use</w:t>
      </w:r>
      <w:r>
        <w:rPr>
          <w:b/>
          <w:bCs/>
        </w:rPr>
        <w:t>r</w:t>
      </w:r>
      <w:r w:rsidR="003745F9" w:rsidRPr="003745F9">
        <w:rPr>
          <w:b/>
          <w:bCs/>
        </w:rPr>
        <w:t xml:space="preserve"> guide</w:t>
      </w:r>
    </w:p>
    <w:p w:rsidR="003E0E43" w:rsidRPr="003745F9" w:rsidRDefault="003E0E43" w:rsidP="003745F9">
      <w:pPr>
        <w:rPr>
          <w:b/>
          <w:bCs/>
        </w:rPr>
      </w:pPr>
    </w:p>
    <w:sectPr w:rsidR="003E0E43" w:rsidRPr="003745F9" w:rsidSect="00E34D29">
      <w:pgSz w:w="11906" w:h="16838"/>
      <w:pgMar w:top="1440" w:right="1134" w:bottom="14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DBB" w:rsidRDefault="001D2DBB" w:rsidP="002215F1">
      <w:pPr>
        <w:spacing w:after="0" w:line="240" w:lineRule="auto"/>
        <w:rPr>
          <w:rFonts w:cs="Arial"/>
        </w:rPr>
      </w:pPr>
      <w:r>
        <w:rPr>
          <w:rFonts w:cs="Arial"/>
        </w:rPr>
        <w:separator/>
      </w:r>
    </w:p>
  </w:endnote>
  <w:endnote w:type="continuationSeparator" w:id="0">
    <w:p w:rsidR="001D2DBB" w:rsidRDefault="001D2DBB" w:rsidP="002215F1">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BB" w:rsidRDefault="00FD04A6" w:rsidP="00205EB2">
    <w:pPr>
      <w:pStyle w:val="Footer"/>
      <w:framePr w:wrap="auto" w:vAnchor="text" w:hAnchor="margin" w:xAlign="right" w:y="1"/>
      <w:rPr>
        <w:rStyle w:val="PageNumber"/>
      </w:rPr>
    </w:pPr>
    <w:r>
      <w:rPr>
        <w:rStyle w:val="PageNumber"/>
      </w:rPr>
      <w:fldChar w:fldCharType="begin"/>
    </w:r>
    <w:r w:rsidR="001D2DBB">
      <w:rPr>
        <w:rStyle w:val="PageNumber"/>
      </w:rPr>
      <w:instrText xml:space="preserve">PAGE  </w:instrText>
    </w:r>
    <w:r>
      <w:rPr>
        <w:rStyle w:val="PageNumber"/>
      </w:rPr>
      <w:fldChar w:fldCharType="separate"/>
    </w:r>
    <w:r w:rsidR="001F686C">
      <w:rPr>
        <w:rStyle w:val="PageNumber"/>
        <w:noProof/>
      </w:rPr>
      <w:t>11</w:t>
    </w:r>
    <w:r>
      <w:rPr>
        <w:rStyle w:val="PageNumber"/>
      </w:rPr>
      <w:fldChar w:fldCharType="end"/>
    </w:r>
  </w:p>
  <w:p w:rsidR="001D2DBB" w:rsidRDefault="001D2DBB" w:rsidP="00205EB2">
    <w:pPr>
      <w:pStyle w:val="Footer"/>
      <w:ind w:right="360"/>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DBB" w:rsidRDefault="001D2DBB" w:rsidP="002215F1">
      <w:pPr>
        <w:spacing w:after="0" w:line="240" w:lineRule="auto"/>
        <w:rPr>
          <w:rFonts w:cs="Arial"/>
        </w:rPr>
      </w:pPr>
      <w:r>
        <w:rPr>
          <w:rFonts w:cs="Arial"/>
        </w:rPr>
        <w:separator/>
      </w:r>
    </w:p>
  </w:footnote>
  <w:footnote w:type="continuationSeparator" w:id="0">
    <w:p w:rsidR="001D2DBB" w:rsidRDefault="001D2DBB" w:rsidP="002215F1">
      <w:pPr>
        <w:spacing w:after="0" w:line="240" w:lineRule="auto"/>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BB" w:rsidRPr="00131E53" w:rsidRDefault="001D2DBB" w:rsidP="00131E53">
    <w:pPr>
      <w:pStyle w:val="ListParagraph"/>
      <w:ind w:left="0"/>
      <w:jc w:val="both"/>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756"/>
    <w:multiLevelType w:val="hybridMultilevel"/>
    <w:tmpl w:val="CA9A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3353E3"/>
    <w:multiLevelType w:val="hybridMultilevel"/>
    <w:tmpl w:val="81A28FC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104678F0"/>
    <w:multiLevelType w:val="hybridMultilevel"/>
    <w:tmpl w:val="E6F2733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13DA4022"/>
    <w:multiLevelType w:val="hybridMultilevel"/>
    <w:tmpl w:val="069A93C8"/>
    <w:lvl w:ilvl="0" w:tplc="0809000F">
      <w:start w:val="1"/>
      <w:numFmt w:val="decimal"/>
      <w:lvlText w:val="%1."/>
      <w:lvlJc w:val="left"/>
      <w:pPr>
        <w:ind w:left="360" w:hanging="360"/>
      </w:pPr>
      <w:rPr>
        <w:rFonts w:hint="default"/>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1C3677B5"/>
    <w:multiLevelType w:val="hybridMultilevel"/>
    <w:tmpl w:val="E2881DE6"/>
    <w:lvl w:ilvl="0" w:tplc="D75EE76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09109F4"/>
    <w:multiLevelType w:val="hybridMultilevel"/>
    <w:tmpl w:val="AFE684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96E09CB"/>
    <w:multiLevelType w:val="hybridMultilevel"/>
    <w:tmpl w:val="7820BF6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33964CD0"/>
    <w:multiLevelType w:val="hybridMultilevel"/>
    <w:tmpl w:val="23D63742"/>
    <w:lvl w:ilvl="0" w:tplc="6618368E">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37CB2D37"/>
    <w:multiLevelType w:val="hybridMultilevel"/>
    <w:tmpl w:val="6F3CD440"/>
    <w:lvl w:ilvl="0" w:tplc="78D604E6">
      <w:start w:val="2"/>
      <w:numFmt w:val="bullet"/>
      <w:lvlText w:val="-"/>
      <w:lvlJc w:val="left"/>
      <w:pPr>
        <w:ind w:left="420" w:hanging="360"/>
      </w:pPr>
      <w:rPr>
        <w:rFonts w:ascii="Arial" w:eastAsia="SimSun"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9">
    <w:nsid w:val="3C6F3BDC"/>
    <w:multiLevelType w:val="hybridMultilevel"/>
    <w:tmpl w:val="7242AD58"/>
    <w:lvl w:ilvl="0" w:tplc="950671E2">
      <w:start w:val="1"/>
      <w:numFmt w:val="upperRoman"/>
      <w:lvlText w:val="%1."/>
      <w:lvlJc w:val="left"/>
      <w:pPr>
        <w:ind w:left="284" w:hanging="284"/>
      </w:pPr>
      <w:rPr>
        <w:rFonts w:hint="default"/>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3D61631D"/>
    <w:multiLevelType w:val="hybridMultilevel"/>
    <w:tmpl w:val="4C56FA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A4453EE"/>
    <w:multiLevelType w:val="multilevel"/>
    <w:tmpl w:val="069A93C8"/>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E751ADE"/>
    <w:multiLevelType w:val="hybridMultilevel"/>
    <w:tmpl w:val="450AEF1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50FC12E2"/>
    <w:multiLevelType w:val="hybridMultilevel"/>
    <w:tmpl w:val="295039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nsid w:val="5E522B11"/>
    <w:multiLevelType w:val="hybridMultilevel"/>
    <w:tmpl w:val="DC24D2A6"/>
    <w:lvl w:ilvl="0" w:tplc="78D604E6">
      <w:start w:val="2"/>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nsid w:val="6EE941A2"/>
    <w:multiLevelType w:val="hybridMultilevel"/>
    <w:tmpl w:val="BE10F4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725B4A96"/>
    <w:multiLevelType w:val="multilevel"/>
    <w:tmpl w:val="23D637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78C56129"/>
    <w:multiLevelType w:val="hybridMultilevel"/>
    <w:tmpl w:val="7798A83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7D90405D"/>
    <w:multiLevelType w:val="hybridMultilevel"/>
    <w:tmpl w:val="F684DE3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17"/>
  </w:num>
  <w:num w:numId="4">
    <w:abstractNumId w:val="7"/>
  </w:num>
  <w:num w:numId="5">
    <w:abstractNumId w:val="16"/>
  </w:num>
  <w:num w:numId="6">
    <w:abstractNumId w:val="6"/>
  </w:num>
  <w:num w:numId="7">
    <w:abstractNumId w:val="18"/>
  </w:num>
  <w:num w:numId="8">
    <w:abstractNumId w:val="10"/>
  </w:num>
  <w:num w:numId="9">
    <w:abstractNumId w:val="1"/>
  </w:num>
  <w:num w:numId="10">
    <w:abstractNumId w:val="15"/>
  </w:num>
  <w:num w:numId="11">
    <w:abstractNumId w:val="3"/>
  </w:num>
  <w:num w:numId="12">
    <w:abstractNumId w:val="11"/>
  </w:num>
  <w:num w:numId="13">
    <w:abstractNumId w:val="9"/>
  </w:num>
  <w:num w:numId="14">
    <w:abstractNumId w:val="12"/>
  </w:num>
  <w:num w:numId="15">
    <w:abstractNumId w:val="13"/>
  </w:num>
  <w:num w:numId="16">
    <w:abstractNumId w:val="8"/>
  </w:num>
  <w:num w:numId="17">
    <w:abstractNumId w:val="14"/>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embedSystemFonts/>
  <w:trackRevision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ENLibraries&gt;&lt;Libraries&gt;&lt;item&gt;07.12.12.enl&lt;/item&gt;&lt;/Libraries&gt;&lt;/ENLibraries&gt;"/>
  </w:docVars>
  <w:rsids>
    <w:rsidRoot w:val="0001581D"/>
    <w:rsid w:val="0001070E"/>
    <w:rsid w:val="0001581D"/>
    <w:rsid w:val="00017FAE"/>
    <w:rsid w:val="00021C8B"/>
    <w:rsid w:val="0003247F"/>
    <w:rsid w:val="00032829"/>
    <w:rsid w:val="000356C5"/>
    <w:rsid w:val="0003755E"/>
    <w:rsid w:val="000433BC"/>
    <w:rsid w:val="00051DF2"/>
    <w:rsid w:val="000547D9"/>
    <w:rsid w:val="00054A37"/>
    <w:rsid w:val="00060774"/>
    <w:rsid w:val="000613DA"/>
    <w:rsid w:val="00066F4C"/>
    <w:rsid w:val="00086E92"/>
    <w:rsid w:val="000A301F"/>
    <w:rsid w:val="000A45E8"/>
    <w:rsid w:val="000C0459"/>
    <w:rsid w:val="000C5531"/>
    <w:rsid w:val="000D5090"/>
    <w:rsid w:val="000E0014"/>
    <w:rsid w:val="000E6CDA"/>
    <w:rsid w:val="00106152"/>
    <w:rsid w:val="00113B85"/>
    <w:rsid w:val="00117A71"/>
    <w:rsid w:val="00117EE8"/>
    <w:rsid w:val="00127B65"/>
    <w:rsid w:val="00131E53"/>
    <w:rsid w:val="001357DC"/>
    <w:rsid w:val="00136BC4"/>
    <w:rsid w:val="001374DB"/>
    <w:rsid w:val="00137A12"/>
    <w:rsid w:val="00140C1F"/>
    <w:rsid w:val="00153C2D"/>
    <w:rsid w:val="00154D8C"/>
    <w:rsid w:val="00156745"/>
    <w:rsid w:val="001629FC"/>
    <w:rsid w:val="001717CF"/>
    <w:rsid w:val="00172DF2"/>
    <w:rsid w:val="00187F25"/>
    <w:rsid w:val="00190997"/>
    <w:rsid w:val="001A1929"/>
    <w:rsid w:val="001A1BF9"/>
    <w:rsid w:val="001A4EDB"/>
    <w:rsid w:val="001B4536"/>
    <w:rsid w:val="001C258E"/>
    <w:rsid w:val="001C2A50"/>
    <w:rsid w:val="001C337E"/>
    <w:rsid w:val="001C5C7B"/>
    <w:rsid w:val="001D232D"/>
    <w:rsid w:val="001D2DBB"/>
    <w:rsid w:val="001D51BB"/>
    <w:rsid w:val="001D68B0"/>
    <w:rsid w:val="001E778A"/>
    <w:rsid w:val="001F074D"/>
    <w:rsid w:val="001F0E98"/>
    <w:rsid w:val="001F3A16"/>
    <w:rsid w:val="001F5081"/>
    <w:rsid w:val="001F686C"/>
    <w:rsid w:val="00201116"/>
    <w:rsid w:val="00202294"/>
    <w:rsid w:val="00202A39"/>
    <w:rsid w:val="00205EB2"/>
    <w:rsid w:val="00210C64"/>
    <w:rsid w:val="00217E75"/>
    <w:rsid w:val="002215F1"/>
    <w:rsid w:val="0023196E"/>
    <w:rsid w:val="00232F20"/>
    <w:rsid w:val="00236019"/>
    <w:rsid w:val="002408A4"/>
    <w:rsid w:val="00242B2D"/>
    <w:rsid w:val="0025748B"/>
    <w:rsid w:val="00260A18"/>
    <w:rsid w:val="00262611"/>
    <w:rsid w:val="00264B5E"/>
    <w:rsid w:val="002725D1"/>
    <w:rsid w:val="00273CEA"/>
    <w:rsid w:val="00277DF0"/>
    <w:rsid w:val="00283351"/>
    <w:rsid w:val="00283E63"/>
    <w:rsid w:val="00286059"/>
    <w:rsid w:val="002922EA"/>
    <w:rsid w:val="002A0941"/>
    <w:rsid w:val="002A0D09"/>
    <w:rsid w:val="002A1CCC"/>
    <w:rsid w:val="002A5C62"/>
    <w:rsid w:val="002A7724"/>
    <w:rsid w:val="002B3E81"/>
    <w:rsid w:val="002B7732"/>
    <w:rsid w:val="002C313E"/>
    <w:rsid w:val="002C65BC"/>
    <w:rsid w:val="002D3A61"/>
    <w:rsid w:val="002D5EF0"/>
    <w:rsid w:val="002E5132"/>
    <w:rsid w:val="002F56B6"/>
    <w:rsid w:val="002F6263"/>
    <w:rsid w:val="002F7FDE"/>
    <w:rsid w:val="003056D6"/>
    <w:rsid w:val="003156AF"/>
    <w:rsid w:val="00324600"/>
    <w:rsid w:val="00333013"/>
    <w:rsid w:val="003341C3"/>
    <w:rsid w:val="00334AD2"/>
    <w:rsid w:val="00335CA9"/>
    <w:rsid w:val="00343982"/>
    <w:rsid w:val="00354923"/>
    <w:rsid w:val="00356C20"/>
    <w:rsid w:val="003648AB"/>
    <w:rsid w:val="00370845"/>
    <w:rsid w:val="003720B3"/>
    <w:rsid w:val="00374026"/>
    <w:rsid w:val="003745F9"/>
    <w:rsid w:val="00375E4F"/>
    <w:rsid w:val="00392D61"/>
    <w:rsid w:val="00395AC2"/>
    <w:rsid w:val="003A2A82"/>
    <w:rsid w:val="003A46A4"/>
    <w:rsid w:val="003C6855"/>
    <w:rsid w:val="003E0E43"/>
    <w:rsid w:val="003E44A2"/>
    <w:rsid w:val="003F2B7D"/>
    <w:rsid w:val="003F49FF"/>
    <w:rsid w:val="00402A2F"/>
    <w:rsid w:val="004124C0"/>
    <w:rsid w:val="00412B0B"/>
    <w:rsid w:val="004152A0"/>
    <w:rsid w:val="00417D23"/>
    <w:rsid w:val="004229DA"/>
    <w:rsid w:val="004229F6"/>
    <w:rsid w:val="004256A8"/>
    <w:rsid w:val="004303A6"/>
    <w:rsid w:val="00434EF4"/>
    <w:rsid w:val="0044219B"/>
    <w:rsid w:val="00443669"/>
    <w:rsid w:val="00453423"/>
    <w:rsid w:val="00456A3C"/>
    <w:rsid w:val="00462614"/>
    <w:rsid w:val="004735C4"/>
    <w:rsid w:val="0047433D"/>
    <w:rsid w:val="00482259"/>
    <w:rsid w:val="00483613"/>
    <w:rsid w:val="00483754"/>
    <w:rsid w:val="00483AAA"/>
    <w:rsid w:val="00483B28"/>
    <w:rsid w:val="004853A9"/>
    <w:rsid w:val="0049543F"/>
    <w:rsid w:val="004A020C"/>
    <w:rsid w:val="004A3F54"/>
    <w:rsid w:val="004B2353"/>
    <w:rsid w:val="004C1AB7"/>
    <w:rsid w:val="004C695B"/>
    <w:rsid w:val="004E0FF7"/>
    <w:rsid w:val="004E11F8"/>
    <w:rsid w:val="005119E4"/>
    <w:rsid w:val="0051614C"/>
    <w:rsid w:val="00516909"/>
    <w:rsid w:val="005202F3"/>
    <w:rsid w:val="00525D5C"/>
    <w:rsid w:val="0053309A"/>
    <w:rsid w:val="0054087D"/>
    <w:rsid w:val="00557045"/>
    <w:rsid w:val="00560507"/>
    <w:rsid w:val="00562DBF"/>
    <w:rsid w:val="005721D8"/>
    <w:rsid w:val="00581799"/>
    <w:rsid w:val="00595FDE"/>
    <w:rsid w:val="005A3F9B"/>
    <w:rsid w:val="005B1D9A"/>
    <w:rsid w:val="005B56CC"/>
    <w:rsid w:val="005D04EF"/>
    <w:rsid w:val="005D110A"/>
    <w:rsid w:val="005D31F6"/>
    <w:rsid w:val="005E0B84"/>
    <w:rsid w:val="005E1F50"/>
    <w:rsid w:val="005F1D5A"/>
    <w:rsid w:val="006001A6"/>
    <w:rsid w:val="00600829"/>
    <w:rsid w:val="00613066"/>
    <w:rsid w:val="00616A93"/>
    <w:rsid w:val="00624BC3"/>
    <w:rsid w:val="00633016"/>
    <w:rsid w:val="00634822"/>
    <w:rsid w:val="0063660B"/>
    <w:rsid w:val="00636863"/>
    <w:rsid w:val="00636C89"/>
    <w:rsid w:val="00637863"/>
    <w:rsid w:val="00640DA6"/>
    <w:rsid w:val="00640F93"/>
    <w:rsid w:val="0065158E"/>
    <w:rsid w:val="00661C6B"/>
    <w:rsid w:val="0067416F"/>
    <w:rsid w:val="00675040"/>
    <w:rsid w:val="00675F77"/>
    <w:rsid w:val="00682AD6"/>
    <w:rsid w:val="006868AB"/>
    <w:rsid w:val="006907E5"/>
    <w:rsid w:val="00691762"/>
    <w:rsid w:val="006A3A68"/>
    <w:rsid w:val="006A5DD8"/>
    <w:rsid w:val="006B2347"/>
    <w:rsid w:val="006C6EE4"/>
    <w:rsid w:val="006D70AD"/>
    <w:rsid w:val="006D7B90"/>
    <w:rsid w:val="006E3CA3"/>
    <w:rsid w:val="00703B1B"/>
    <w:rsid w:val="0070542F"/>
    <w:rsid w:val="007158D8"/>
    <w:rsid w:val="007206F9"/>
    <w:rsid w:val="00724DA1"/>
    <w:rsid w:val="00724F1B"/>
    <w:rsid w:val="00725502"/>
    <w:rsid w:val="007307EA"/>
    <w:rsid w:val="0073107D"/>
    <w:rsid w:val="00750785"/>
    <w:rsid w:val="00752098"/>
    <w:rsid w:val="007646B5"/>
    <w:rsid w:val="007721DD"/>
    <w:rsid w:val="007747B9"/>
    <w:rsid w:val="00775D75"/>
    <w:rsid w:val="0078100E"/>
    <w:rsid w:val="00782238"/>
    <w:rsid w:val="007A120A"/>
    <w:rsid w:val="007A164B"/>
    <w:rsid w:val="007A1BF5"/>
    <w:rsid w:val="007B122F"/>
    <w:rsid w:val="007B28E4"/>
    <w:rsid w:val="007D2BFC"/>
    <w:rsid w:val="007E2FE5"/>
    <w:rsid w:val="007E3937"/>
    <w:rsid w:val="0080021D"/>
    <w:rsid w:val="00800B3A"/>
    <w:rsid w:val="0080362A"/>
    <w:rsid w:val="00805FFA"/>
    <w:rsid w:val="008269FD"/>
    <w:rsid w:val="00836DCC"/>
    <w:rsid w:val="008423A2"/>
    <w:rsid w:val="00845461"/>
    <w:rsid w:val="0085267F"/>
    <w:rsid w:val="0086492E"/>
    <w:rsid w:val="00870795"/>
    <w:rsid w:val="008723DC"/>
    <w:rsid w:val="00880ECE"/>
    <w:rsid w:val="00880FE6"/>
    <w:rsid w:val="00890A81"/>
    <w:rsid w:val="008B20BF"/>
    <w:rsid w:val="008B3CB1"/>
    <w:rsid w:val="008B42D0"/>
    <w:rsid w:val="008B4630"/>
    <w:rsid w:val="008C59FE"/>
    <w:rsid w:val="008D493D"/>
    <w:rsid w:val="008F0F07"/>
    <w:rsid w:val="008F656F"/>
    <w:rsid w:val="00900DC0"/>
    <w:rsid w:val="00902EC3"/>
    <w:rsid w:val="00903685"/>
    <w:rsid w:val="00903FD3"/>
    <w:rsid w:val="00912B57"/>
    <w:rsid w:val="009138D7"/>
    <w:rsid w:val="00917CC9"/>
    <w:rsid w:val="00925B8B"/>
    <w:rsid w:val="009270CF"/>
    <w:rsid w:val="00931940"/>
    <w:rsid w:val="0093766E"/>
    <w:rsid w:val="0094563D"/>
    <w:rsid w:val="00947F50"/>
    <w:rsid w:val="00950A73"/>
    <w:rsid w:val="00960EB2"/>
    <w:rsid w:val="009711E5"/>
    <w:rsid w:val="00974590"/>
    <w:rsid w:val="00975323"/>
    <w:rsid w:val="00993D49"/>
    <w:rsid w:val="00994E54"/>
    <w:rsid w:val="009967A2"/>
    <w:rsid w:val="009977C3"/>
    <w:rsid w:val="009A02AC"/>
    <w:rsid w:val="009D0B4B"/>
    <w:rsid w:val="009D0B76"/>
    <w:rsid w:val="009D1799"/>
    <w:rsid w:val="009D5EC1"/>
    <w:rsid w:val="009E06BA"/>
    <w:rsid w:val="009E13E6"/>
    <w:rsid w:val="009E4CEC"/>
    <w:rsid w:val="00A000A2"/>
    <w:rsid w:val="00A06DD3"/>
    <w:rsid w:val="00A267BA"/>
    <w:rsid w:val="00A30427"/>
    <w:rsid w:val="00A3270D"/>
    <w:rsid w:val="00A379A8"/>
    <w:rsid w:val="00A6248B"/>
    <w:rsid w:val="00A63837"/>
    <w:rsid w:val="00A64F37"/>
    <w:rsid w:val="00A73864"/>
    <w:rsid w:val="00A77151"/>
    <w:rsid w:val="00A84D3C"/>
    <w:rsid w:val="00AA7047"/>
    <w:rsid w:val="00AC3DF2"/>
    <w:rsid w:val="00AD148C"/>
    <w:rsid w:val="00AD3F08"/>
    <w:rsid w:val="00AE2410"/>
    <w:rsid w:val="00AF69FE"/>
    <w:rsid w:val="00B01EFF"/>
    <w:rsid w:val="00B05FF1"/>
    <w:rsid w:val="00B068E0"/>
    <w:rsid w:val="00B11010"/>
    <w:rsid w:val="00B16BED"/>
    <w:rsid w:val="00B178AD"/>
    <w:rsid w:val="00B21D5D"/>
    <w:rsid w:val="00B22B08"/>
    <w:rsid w:val="00B32918"/>
    <w:rsid w:val="00B3369A"/>
    <w:rsid w:val="00B35E1A"/>
    <w:rsid w:val="00B35EE5"/>
    <w:rsid w:val="00B4607C"/>
    <w:rsid w:val="00B60C19"/>
    <w:rsid w:val="00B64FA1"/>
    <w:rsid w:val="00B73B34"/>
    <w:rsid w:val="00B80528"/>
    <w:rsid w:val="00B90885"/>
    <w:rsid w:val="00B947F6"/>
    <w:rsid w:val="00BA49B8"/>
    <w:rsid w:val="00BA5752"/>
    <w:rsid w:val="00BB152A"/>
    <w:rsid w:val="00BB63E6"/>
    <w:rsid w:val="00BC6E88"/>
    <w:rsid w:val="00BD1140"/>
    <w:rsid w:val="00BD6876"/>
    <w:rsid w:val="00BE5890"/>
    <w:rsid w:val="00BE660B"/>
    <w:rsid w:val="00BF1F24"/>
    <w:rsid w:val="00BF4062"/>
    <w:rsid w:val="00BF606A"/>
    <w:rsid w:val="00C0368A"/>
    <w:rsid w:val="00C11A7D"/>
    <w:rsid w:val="00C12331"/>
    <w:rsid w:val="00C17B97"/>
    <w:rsid w:val="00C22C74"/>
    <w:rsid w:val="00C40EC0"/>
    <w:rsid w:val="00C4740C"/>
    <w:rsid w:val="00C5442D"/>
    <w:rsid w:val="00C549E5"/>
    <w:rsid w:val="00C55DE0"/>
    <w:rsid w:val="00C60A2F"/>
    <w:rsid w:val="00C6512A"/>
    <w:rsid w:val="00CA1525"/>
    <w:rsid w:val="00CA4F58"/>
    <w:rsid w:val="00CB1BF2"/>
    <w:rsid w:val="00CC46FC"/>
    <w:rsid w:val="00CE302E"/>
    <w:rsid w:val="00CE3CFE"/>
    <w:rsid w:val="00CE7727"/>
    <w:rsid w:val="00CE77C4"/>
    <w:rsid w:val="00CF3A72"/>
    <w:rsid w:val="00CF6C61"/>
    <w:rsid w:val="00CF7087"/>
    <w:rsid w:val="00D03336"/>
    <w:rsid w:val="00D23CE2"/>
    <w:rsid w:val="00D30098"/>
    <w:rsid w:val="00D42DF5"/>
    <w:rsid w:val="00D51D81"/>
    <w:rsid w:val="00D52116"/>
    <w:rsid w:val="00D57E7B"/>
    <w:rsid w:val="00D63A9C"/>
    <w:rsid w:val="00D70A1A"/>
    <w:rsid w:val="00D74E89"/>
    <w:rsid w:val="00D75152"/>
    <w:rsid w:val="00D759A5"/>
    <w:rsid w:val="00D77AFC"/>
    <w:rsid w:val="00D90C60"/>
    <w:rsid w:val="00D91E6F"/>
    <w:rsid w:val="00DA591D"/>
    <w:rsid w:val="00DD09C8"/>
    <w:rsid w:val="00DD5C6F"/>
    <w:rsid w:val="00DE01A2"/>
    <w:rsid w:val="00DE3E18"/>
    <w:rsid w:val="00DE5058"/>
    <w:rsid w:val="00DF0C41"/>
    <w:rsid w:val="00DF14D1"/>
    <w:rsid w:val="00DF14F6"/>
    <w:rsid w:val="00DF52E7"/>
    <w:rsid w:val="00DF5608"/>
    <w:rsid w:val="00E01D8C"/>
    <w:rsid w:val="00E213B7"/>
    <w:rsid w:val="00E21B9A"/>
    <w:rsid w:val="00E257BA"/>
    <w:rsid w:val="00E315AC"/>
    <w:rsid w:val="00E34D29"/>
    <w:rsid w:val="00E42D34"/>
    <w:rsid w:val="00E44A87"/>
    <w:rsid w:val="00E57628"/>
    <w:rsid w:val="00E61AAF"/>
    <w:rsid w:val="00E72270"/>
    <w:rsid w:val="00E775BA"/>
    <w:rsid w:val="00E922A2"/>
    <w:rsid w:val="00E933D8"/>
    <w:rsid w:val="00E94E8E"/>
    <w:rsid w:val="00E956D8"/>
    <w:rsid w:val="00EB140E"/>
    <w:rsid w:val="00EB1785"/>
    <w:rsid w:val="00EB3198"/>
    <w:rsid w:val="00EB641E"/>
    <w:rsid w:val="00EB6CD3"/>
    <w:rsid w:val="00EC2FC4"/>
    <w:rsid w:val="00ED0DF6"/>
    <w:rsid w:val="00ED1A07"/>
    <w:rsid w:val="00ED1A64"/>
    <w:rsid w:val="00ED2E09"/>
    <w:rsid w:val="00ED46CB"/>
    <w:rsid w:val="00ED7101"/>
    <w:rsid w:val="00EE3965"/>
    <w:rsid w:val="00EE776A"/>
    <w:rsid w:val="00EF301C"/>
    <w:rsid w:val="00F022DF"/>
    <w:rsid w:val="00F022F3"/>
    <w:rsid w:val="00F17EBF"/>
    <w:rsid w:val="00F265CA"/>
    <w:rsid w:val="00F32902"/>
    <w:rsid w:val="00F46663"/>
    <w:rsid w:val="00F5671B"/>
    <w:rsid w:val="00F61349"/>
    <w:rsid w:val="00F67647"/>
    <w:rsid w:val="00F704F0"/>
    <w:rsid w:val="00F72423"/>
    <w:rsid w:val="00F73AB5"/>
    <w:rsid w:val="00F76231"/>
    <w:rsid w:val="00F854EF"/>
    <w:rsid w:val="00F963A0"/>
    <w:rsid w:val="00FB3646"/>
    <w:rsid w:val="00FB5636"/>
    <w:rsid w:val="00FB626F"/>
    <w:rsid w:val="00FC1652"/>
    <w:rsid w:val="00FC269A"/>
    <w:rsid w:val="00FC2C57"/>
    <w:rsid w:val="00FD04A6"/>
    <w:rsid w:val="00FD2EB7"/>
    <w:rsid w:val="00FD424F"/>
    <w:rsid w:val="00FF5854"/>
    <w:rsid w:val="00FF6B2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20"/>
    <w:pPr>
      <w:spacing w:after="200" w:line="276" w:lineRule="auto"/>
    </w:pPr>
    <w:rPr>
      <w:rFonts w:cs="Calibri"/>
      <w:lang w:val="en-GB" w:eastAsia="zh-CN"/>
    </w:rPr>
  </w:style>
  <w:style w:type="paragraph" w:styleId="Heading3">
    <w:name w:val="heading 3"/>
    <w:basedOn w:val="Normal"/>
    <w:next w:val="Normal"/>
    <w:link w:val="Heading3Char"/>
    <w:uiPriority w:val="99"/>
    <w:qFormat/>
    <w:locked/>
    <w:rsid w:val="005A3F9B"/>
    <w:pPr>
      <w:keepNext/>
      <w:spacing w:before="240" w:after="60" w:line="240" w:lineRule="auto"/>
      <w:outlineLvl w:val="2"/>
    </w:pPr>
    <w:rPr>
      <w:rFonts w:ascii="Arial" w:hAnsi="Arial" w:cs="Arial"/>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A3F9B"/>
    <w:rPr>
      <w:rFonts w:ascii="Arial" w:hAnsi="Arial" w:cs="Arial"/>
      <w:sz w:val="26"/>
      <w:szCs w:val="26"/>
    </w:rPr>
  </w:style>
  <w:style w:type="character" w:styleId="Hyperlink">
    <w:name w:val="Hyperlink"/>
    <w:basedOn w:val="DefaultParagraphFont"/>
    <w:uiPriority w:val="99"/>
    <w:rsid w:val="00106152"/>
    <w:rPr>
      <w:color w:val="0000FF"/>
      <w:u w:val="single"/>
    </w:rPr>
  </w:style>
  <w:style w:type="paragraph" w:styleId="Header">
    <w:name w:val="header"/>
    <w:basedOn w:val="Normal"/>
    <w:link w:val="HeaderChar"/>
    <w:uiPriority w:val="99"/>
    <w:rsid w:val="002215F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215F1"/>
  </w:style>
  <w:style w:type="paragraph" w:styleId="Footer">
    <w:name w:val="footer"/>
    <w:basedOn w:val="Normal"/>
    <w:link w:val="FooterChar"/>
    <w:uiPriority w:val="99"/>
    <w:rsid w:val="002215F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215F1"/>
  </w:style>
  <w:style w:type="paragraph" w:styleId="BalloonText">
    <w:name w:val="Balloon Text"/>
    <w:basedOn w:val="Normal"/>
    <w:link w:val="BalloonTextChar"/>
    <w:uiPriority w:val="99"/>
    <w:semiHidden/>
    <w:rsid w:val="00FB3646"/>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locked/>
    <w:rsid w:val="00FB3646"/>
    <w:rPr>
      <w:rFonts w:ascii="Arial" w:hAnsi="Arial" w:cs="Arial"/>
      <w:sz w:val="16"/>
      <w:szCs w:val="16"/>
    </w:rPr>
  </w:style>
  <w:style w:type="table" w:styleId="TableGrid">
    <w:name w:val="Table Grid"/>
    <w:basedOn w:val="TableNormal"/>
    <w:uiPriority w:val="99"/>
    <w:rsid w:val="00FB364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84D3C"/>
    <w:pPr>
      <w:ind w:left="720"/>
    </w:pPr>
  </w:style>
  <w:style w:type="character" w:styleId="PageNumber">
    <w:name w:val="page number"/>
    <w:basedOn w:val="DefaultParagraphFont"/>
    <w:uiPriority w:val="99"/>
    <w:rsid w:val="0086492E"/>
  </w:style>
  <w:style w:type="paragraph" w:styleId="NormalWeb">
    <w:name w:val="Normal (Web)"/>
    <w:basedOn w:val="Normal"/>
    <w:uiPriority w:val="99"/>
    <w:semiHidden/>
    <w:rsid w:val="008F0F07"/>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6907E5"/>
    <w:rPr>
      <w:sz w:val="16"/>
      <w:szCs w:val="16"/>
    </w:rPr>
  </w:style>
  <w:style w:type="paragraph" w:styleId="CommentText">
    <w:name w:val="annotation text"/>
    <w:basedOn w:val="Normal"/>
    <w:link w:val="CommentTextChar"/>
    <w:uiPriority w:val="99"/>
    <w:semiHidden/>
    <w:rsid w:val="006907E5"/>
    <w:rPr>
      <w:sz w:val="20"/>
      <w:szCs w:val="20"/>
    </w:rPr>
  </w:style>
  <w:style w:type="character" w:customStyle="1" w:styleId="CommentTextChar">
    <w:name w:val="Comment Text Char"/>
    <w:basedOn w:val="DefaultParagraphFont"/>
    <w:link w:val="CommentText"/>
    <w:uiPriority w:val="99"/>
    <w:semiHidden/>
    <w:locked/>
    <w:rsid w:val="00B16BED"/>
    <w:rPr>
      <w:sz w:val="20"/>
      <w:szCs w:val="20"/>
      <w:lang w:val="en-GB" w:eastAsia="zh-CN"/>
    </w:rPr>
  </w:style>
  <w:style w:type="paragraph" w:styleId="CommentSubject">
    <w:name w:val="annotation subject"/>
    <w:basedOn w:val="CommentText"/>
    <w:next w:val="CommentText"/>
    <w:link w:val="CommentSubjectChar"/>
    <w:uiPriority w:val="99"/>
    <w:semiHidden/>
    <w:rsid w:val="006907E5"/>
    <w:rPr>
      <w:b/>
      <w:bCs/>
    </w:rPr>
  </w:style>
  <w:style w:type="character" w:customStyle="1" w:styleId="CommentSubjectChar">
    <w:name w:val="Comment Subject Char"/>
    <w:basedOn w:val="CommentTextChar"/>
    <w:link w:val="CommentSubject"/>
    <w:uiPriority w:val="99"/>
    <w:semiHidden/>
    <w:locked/>
    <w:rsid w:val="00B16BED"/>
    <w:rPr>
      <w:b/>
      <w:bCs/>
      <w:sz w:val="20"/>
      <w:szCs w:val="20"/>
      <w:lang w:val="en-GB" w:eastAsia="zh-CN"/>
    </w:rPr>
  </w:style>
  <w:style w:type="character" w:styleId="Strong">
    <w:name w:val="Strong"/>
    <w:basedOn w:val="DefaultParagraphFont"/>
    <w:uiPriority w:val="22"/>
    <w:qFormat/>
    <w:locked/>
    <w:rsid w:val="00375E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20"/>
    <w:pPr>
      <w:spacing w:after="200" w:line="276" w:lineRule="auto"/>
    </w:pPr>
    <w:rPr>
      <w:rFonts w:cs="Calibri"/>
      <w:lang w:val="en-GB" w:eastAsia="zh-CN"/>
    </w:rPr>
  </w:style>
  <w:style w:type="paragraph" w:styleId="Heading3">
    <w:name w:val="heading 3"/>
    <w:basedOn w:val="Normal"/>
    <w:next w:val="Normal"/>
    <w:link w:val="Heading3Char"/>
    <w:uiPriority w:val="99"/>
    <w:qFormat/>
    <w:locked/>
    <w:rsid w:val="005A3F9B"/>
    <w:pPr>
      <w:keepNext/>
      <w:spacing w:before="240" w:after="60" w:line="240" w:lineRule="auto"/>
      <w:outlineLvl w:val="2"/>
    </w:pPr>
    <w:rPr>
      <w:rFonts w:ascii="Arial" w:hAnsi="Arial" w:cs="Arial"/>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A3F9B"/>
    <w:rPr>
      <w:rFonts w:ascii="Arial" w:hAnsi="Arial" w:cs="Arial"/>
      <w:sz w:val="26"/>
      <w:szCs w:val="26"/>
    </w:rPr>
  </w:style>
  <w:style w:type="character" w:styleId="Hyperlink">
    <w:name w:val="Hyperlink"/>
    <w:basedOn w:val="DefaultParagraphFont"/>
    <w:uiPriority w:val="99"/>
    <w:rsid w:val="00106152"/>
    <w:rPr>
      <w:color w:val="0000FF"/>
      <w:u w:val="single"/>
    </w:rPr>
  </w:style>
  <w:style w:type="paragraph" w:styleId="Header">
    <w:name w:val="header"/>
    <w:basedOn w:val="Normal"/>
    <w:link w:val="HeaderChar"/>
    <w:uiPriority w:val="99"/>
    <w:rsid w:val="002215F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215F1"/>
  </w:style>
  <w:style w:type="paragraph" w:styleId="Footer">
    <w:name w:val="footer"/>
    <w:basedOn w:val="Normal"/>
    <w:link w:val="FooterChar"/>
    <w:uiPriority w:val="99"/>
    <w:rsid w:val="002215F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215F1"/>
  </w:style>
  <w:style w:type="paragraph" w:styleId="BalloonText">
    <w:name w:val="Balloon Text"/>
    <w:basedOn w:val="Normal"/>
    <w:link w:val="BalloonTextChar"/>
    <w:uiPriority w:val="99"/>
    <w:semiHidden/>
    <w:rsid w:val="00FB3646"/>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locked/>
    <w:rsid w:val="00FB3646"/>
    <w:rPr>
      <w:rFonts w:ascii="Arial" w:hAnsi="Arial" w:cs="Arial"/>
      <w:sz w:val="16"/>
      <w:szCs w:val="16"/>
    </w:rPr>
  </w:style>
  <w:style w:type="table" w:styleId="TableGrid">
    <w:name w:val="Table Grid"/>
    <w:basedOn w:val="TableNormal"/>
    <w:uiPriority w:val="99"/>
    <w:rsid w:val="00FB364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84D3C"/>
    <w:pPr>
      <w:ind w:left="720"/>
    </w:pPr>
  </w:style>
  <w:style w:type="character" w:styleId="PageNumber">
    <w:name w:val="page number"/>
    <w:basedOn w:val="DefaultParagraphFont"/>
    <w:uiPriority w:val="99"/>
    <w:rsid w:val="0086492E"/>
  </w:style>
  <w:style w:type="paragraph" w:styleId="NormalWeb">
    <w:name w:val="Normal (Web)"/>
    <w:basedOn w:val="Normal"/>
    <w:uiPriority w:val="99"/>
    <w:semiHidden/>
    <w:rsid w:val="008F0F07"/>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6907E5"/>
    <w:rPr>
      <w:sz w:val="16"/>
      <w:szCs w:val="16"/>
    </w:rPr>
  </w:style>
  <w:style w:type="paragraph" w:styleId="CommentText">
    <w:name w:val="annotation text"/>
    <w:basedOn w:val="Normal"/>
    <w:link w:val="CommentTextChar"/>
    <w:uiPriority w:val="99"/>
    <w:semiHidden/>
    <w:rsid w:val="006907E5"/>
    <w:rPr>
      <w:sz w:val="20"/>
      <w:szCs w:val="20"/>
    </w:rPr>
  </w:style>
  <w:style w:type="character" w:customStyle="1" w:styleId="CommentTextChar">
    <w:name w:val="Comment Text Char"/>
    <w:basedOn w:val="DefaultParagraphFont"/>
    <w:link w:val="CommentText"/>
    <w:uiPriority w:val="99"/>
    <w:semiHidden/>
    <w:locked/>
    <w:rsid w:val="00B16BED"/>
    <w:rPr>
      <w:sz w:val="20"/>
      <w:szCs w:val="20"/>
      <w:lang w:val="en-GB" w:eastAsia="zh-CN"/>
    </w:rPr>
  </w:style>
  <w:style w:type="paragraph" w:styleId="CommentSubject">
    <w:name w:val="annotation subject"/>
    <w:basedOn w:val="CommentText"/>
    <w:next w:val="CommentText"/>
    <w:link w:val="CommentSubjectChar"/>
    <w:uiPriority w:val="99"/>
    <w:semiHidden/>
    <w:rsid w:val="006907E5"/>
    <w:rPr>
      <w:b/>
      <w:bCs/>
    </w:rPr>
  </w:style>
  <w:style w:type="character" w:customStyle="1" w:styleId="CommentSubjectChar">
    <w:name w:val="Comment Subject Char"/>
    <w:basedOn w:val="CommentTextChar"/>
    <w:link w:val="CommentSubject"/>
    <w:uiPriority w:val="99"/>
    <w:semiHidden/>
    <w:locked/>
    <w:rsid w:val="00B16BED"/>
    <w:rPr>
      <w:b/>
      <w:bCs/>
      <w:sz w:val="20"/>
      <w:szCs w:val="20"/>
      <w:lang w:val="en-GB" w:eastAsia="zh-CN"/>
    </w:rPr>
  </w:style>
  <w:style w:type="character" w:styleId="Strong">
    <w:name w:val="Strong"/>
    <w:basedOn w:val="DefaultParagraphFont"/>
    <w:uiPriority w:val="22"/>
    <w:qFormat/>
    <w:locked/>
    <w:rsid w:val="00375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cherry@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AC2D3-F367-4E75-943B-4B3DBD2E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3916</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Title Assessment of the RA forefoot using MRI: First stage development of a proposed forefoot RA MRI scoring system</vt:lpstr>
    </vt:vector>
  </TitlesOfParts>
  <Company>University of Southampton</Company>
  <LinksUpToDate>false</LinksUpToDate>
  <CharactersWithSpaces>26191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Assessment of the RA forefoot using MRI: First stage development of a proposed forefoot RA MRI scoring system</dc:title>
  <dc:creator>Lindsey Hooper</dc:creator>
  <cp:lastModifiedBy>Lindsey Hooper</cp:lastModifiedBy>
  <cp:revision>2</cp:revision>
  <cp:lastPrinted>2012-04-13T09:22:00Z</cp:lastPrinted>
  <dcterms:created xsi:type="dcterms:W3CDTF">2014-02-14T12:50:00Z</dcterms:created>
  <dcterms:modified xsi:type="dcterms:W3CDTF">2014-02-14T12:50:00Z</dcterms:modified>
</cp:coreProperties>
</file>