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B3" w:rsidRPr="00BD1FCC" w:rsidRDefault="00384FB3" w:rsidP="003A5430">
      <w:pPr>
        <w:spacing w:after="0" w:line="480" w:lineRule="auto"/>
        <w:mirrorIndents/>
        <w:jc w:val="center"/>
        <w:rPr>
          <w:rFonts w:ascii="Arial" w:hAnsi="Arial" w:cs="Arial"/>
          <w:b/>
          <w:sz w:val="20"/>
          <w:szCs w:val="20"/>
        </w:rPr>
      </w:pPr>
      <w:bookmarkStart w:id="0" w:name="_GoBack"/>
      <w:bookmarkEnd w:id="0"/>
      <w:r w:rsidRPr="00DD7647">
        <w:rPr>
          <w:rFonts w:ascii="Arial" w:hAnsi="Arial" w:cs="Arial"/>
          <w:b/>
        </w:rPr>
        <w:t xml:space="preserve">Inflammation, telomere length and </w:t>
      </w:r>
      <w:r>
        <w:rPr>
          <w:rFonts w:ascii="Arial" w:hAnsi="Arial" w:cs="Arial"/>
          <w:b/>
        </w:rPr>
        <w:t>grip strength</w:t>
      </w:r>
      <w:r w:rsidRPr="00DD7647">
        <w:rPr>
          <w:rFonts w:ascii="Arial" w:hAnsi="Arial" w:cs="Arial"/>
          <w:b/>
        </w:rPr>
        <w:t>: a 10 year longitudinal study</w:t>
      </w:r>
    </w:p>
    <w:p w:rsidR="00384FB3" w:rsidRPr="00BD1FCC" w:rsidRDefault="00384FB3" w:rsidP="003A5430">
      <w:pPr>
        <w:spacing w:after="0" w:line="480" w:lineRule="auto"/>
        <w:mirrorIndents/>
        <w:jc w:val="center"/>
        <w:rPr>
          <w:rFonts w:ascii="Arial" w:hAnsi="Arial" w:cs="Arial"/>
          <w:sz w:val="20"/>
          <w:szCs w:val="20"/>
        </w:rPr>
      </w:pPr>
      <w:r w:rsidRPr="00BD1FCC">
        <w:rPr>
          <w:rFonts w:ascii="Arial" w:hAnsi="Arial" w:cs="Arial"/>
          <w:sz w:val="20"/>
          <w:szCs w:val="20"/>
        </w:rPr>
        <w:t>D Baylis MBBS</w:t>
      </w:r>
      <w:r w:rsidRPr="00BD1FCC">
        <w:rPr>
          <w:rFonts w:ascii="Arial" w:hAnsi="Arial" w:cs="Arial"/>
          <w:sz w:val="20"/>
          <w:szCs w:val="20"/>
          <w:vertAlign w:val="superscript"/>
        </w:rPr>
        <w:t xml:space="preserve">1,2 </w:t>
      </w:r>
      <w:r w:rsidRPr="00BD1FCC">
        <w:rPr>
          <w:rFonts w:ascii="Arial" w:hAnsi="Arial" w:cs="Arial"/>
          <w:sz w:val="20"/>
          <w:szCs w:val="20"/>
        </w:rPr>
        <w:t>, G Ntani MSc</w:t>
      </w:r>
      <w:r w:rsidRPr="00BD1FCC">
        <w:rPr>
          <w:rFonts w:ascii="Arial" w:hAnsi="Arial" w:cs="Arial"/>
          <w:sz w:val="20"/>
          <w:szCs w:val="20"/>
          <w:vertAlign w:val="superscript"/>
        </w:rPr>
        <w:t>1</w:t>
      </w:r>
      <w:r w:rsidRPr="00BD1FCC">
        <w:rPr>
          <w:rFonts w:ascii="Arial" w:hAnsi="Arial" w:cs="Arial"/>
          <w:sz w:val="20"/>
          <w:szCs w:val="20"/>
        </w:rPr>
        <w:t xml:space="preserve">, </w:t>
      </w:r>
      <w:r>
        <w:rPr>
          <w:rFonts w:ascii="Arial" w:hAnsi="Arial" w:cs="Arial"/>
          <w:sz w:val="20"/>
          <w:szCs w:val="20"/>
        </w:rPr>
        <w:t>MH Edwards MBChB</w:t>
      </w:r>
      <w:r>
        <w:rPr>
          <w:rFonts w:ascii="Arial" w:hAnsi="Arial" w:cs="Arial"/>
          <w:sz w:val="20"/>
          <w:szCs w:val="20"/>
          <w:vertAlign w:val="superscript"/>
        </w:rPr>
        <w:t>1</w:t>
      </w:r>
      <w:r>
        <w:rPr>
          <w:rFonts w:ascii="Arial" w:hAnsi="Arial" w:cs="Arial"/>
          <w:sz w:val="20"/>
          <w:szCs w:val="20"/>
        </w:rPr>
        <w:t xml:space="preserve">, </w:t>
      </w:r>
      <w:r w:rsidRPr="00BD1FCC">
        <w:rPr>
          <w:rFonts w:ascii="Arial" w:hAnsi="Arial" w:cs="Arial"/>
          <w:sz w:val="20"/>
          <w:szCs w:val="20"/>
        </w:rPr>
        <w:t>HE Syddall MSc</w:t>
      </w:r>
      <w:bookmarkStart w:id="1" w:name="OLE_LINK1"/>
      <w:bookmarkStart w:id="2" w:name="OLE_LINK2"/>
      <w:r w:rsidRPr="00BD1FCC">
        <w:rPr>
          <w:rFonts w:ascii="Arial" w:hAnsi="Arial" w:cs="Arial"/>
          <w:sz w:val="20"/>
          <w:szCs w:val="20"/>
          <w:vertAlign w:val="superscript"/>
        </w:rPr>
        <w:t>1</w:t>
      </w:r>
      <w:bookmarkEnd w:id="1"/>
      <w:bookmarkEnd w:id="2"/>
      <w:r w:rsidRPr="00BD1FCC">
        <w:rPr>
          <w:rFonts w:ascii="Arial" w:hAnsi="Arial" w:cs="Arial"/>
          <w:sz w:val="20"/>
          <w:szCs w:val="20"/>
        </w:rPr>
        <w:t>, DB Bartlett BSc</w:t>
      </w:r>
      <w:r w:rsidRPr="00BD1FCC">
        <w:rPr>
          <w:rFonts w:ascii="Arial" w:hAnsi="Arial" w:cs="Arial"/>
          <w:sz w:val="20"/>
          <w:szCs w:val="20"/>
          <w:vertAlign w:val="superscript"/>
        </w:rPr>
        <w:t>3</w:t>
      </w:r>
      <w:r w:rsidRPr="00BD1FCC">
        <w:rPr>
          <w:rFonts w:ascii="Arial" w:hAnsi="Arial" w:cs="Arial"/>
          <w:sz w:val="20"/>
          <w:szCs w:val="20"/>
        </w:rPr>
        <w:t>,</w:t>
      </w:r>
      <w:r>
        <w:rPr>
          <w:rFonts w:ascii="Arial" w:hAnsi="Arial" w:cs="Arial"/>
          <w:sz w:val="20"/>
          <w:szCs w:val="20"/>
        </w:rPr>
        <w:t xml:space="preserve"> EM Dennison PhD</w:t>
      </w:r>
      <w:r>
        <w:rPr>
          <w:rFonts w:ascii="Arial" w:hAnsi="Arial" w:cs="Arial"/>
          <w:sz w:val="20"/>
          <w:szCs w:val="20"/>
          <w:vertAlign w:val="superscript"/>
        </w:rPr>
        <w:t>1</w:t>
      </w:r>
      <w:r>
        <w:rPr>
          <w:rFonts w:ascii="Arial" w:hAnsi="Arial" w:cs="Arial"/>
          <w:sz w:val="20"/>
          <w:szCs w:val="20"/>
        </w:rPr>
        <w:t xml:space="preserve">, </w:t>
      </w:r>
      <w:r w:rsidRPr="00BD1FCC">
        <w:rPr>
          <w:rFonts w:ascii="Arial" w:hAnsi="Arial" w:cs="Arial"/>
          <w:sz w:val="20"/>
          <w:szCs w:val="20"/>
        </w:rPr>
        <w:t>C Martin-Ruiz PhD</w:t>
      </w:r>
      <w:r w:rsidRPr="00BD1FCC">
        <w:rPr>
          <w:rFonts w:ascii="Arial" w:hAnsi="Arial" w:cs="Arial"/>
          <w:sz w:val="20"/>
          <w:szCs w:val="20"/>
          <w:vertAlign w:val="superscript"/>
        </w:rPr>
        <w:t>4</w:t>
      </w:r>
      <w:r w:rsidRPr="00BD1FCC">
        <w:rPr>
          <w:rFonts w:ascii="Arial" w:hAnsi="Arial" w:cs="Arial"/>
          <w:sz w:val="20"/>
          <w:szCs w:val="20"/>
        </w:rPr>
        <w:t>, T von Zglinicki PhD</w:t>
      </w:r>
      <w:r w:rsidRPr="00BD1FCC">
        <w:rPr>
          <w:rFonts w:ascii="Arial" w:hAnsi="Arial" w:cs="Arial"/>
          <w:sz w:val="20"/>
          <w:szCs w:val="20"/>
          <w:vertAlign w:val="superscript"/>
        </w:rPr>
        <w:t>4</w:t>
      </w:r>
      <w:r w:rsidRPr="00BD1FCC">
        <w:rPr>
          <w:rFonts w:ascii="Arial" w:hAnsi="Arial" w:cs="Arial"/>
          <w:sz w:val="20"/>
          <w:szCs w:val="20"/>
        </w:rPr>
        <w:t>,  D Kuh PhD</w:t>
      </w:r>
      <w:r w:rsidRPr="00BD1FCC">
        <w:rPr>
          <w:rFonts w:ascii="Arial" w:hAnsi="Arial" w:cs="Arial"/>
          <w:sz w:val="20"/>
          <w:szCs w:val="20"/>
          <w:vertAlign w:val="superscript"/>
        </w:rPr>
        <w:t>5</w:t>
      </w:r>
      <w:r w:rsidRPr="00BD1FCC">
        <w:rPr>
          <w:rFonts w:ascii="Arial" w:hAnsi="Arial" w:cs="Arial"/>
          <w:sz w:val="20"/>
          <w:szCs w:val="20"/>
        </w:rPr>
        <w:t>, JM Lord PhD</w:t>
      </w:r>
      <w:r w:rsidRPr="00BD1FCC">
        <w:rPr>
          <w:rFonts w:ascii="Arial" w:hAnsi="Arial" w:cs="Arial"/>
          <w:sz w:val="20"/>
          <w:szCs w:val="20"/>
          <w:vertAlign w:val="superscript"/>
        </w:rPr>
        <w:t>3</w:t>
      </w:r>
      <w:r w:rsidRPr="00BD1FCC">
        <w:rPr>
          <w:rFonts w:ascii="Arial" w:hAnsi="Arial" w:cs="Arial"/>
          <w:sz w:val="20"/>
          <w:szCs w:val="20"/>
        </w:rPr>
        <w:t>, A Aihie</w:t>
      </w:r>
      <w:r>
        <w:rPr>
          <w:rFonts w:ascii="Arial" w:hAnsi="Arial" w:cs="Arial"/>
          <w:sz w:val="20"/>
          <w:szCs w:val="20"/>
        </w:rPr>
        <w:t xml:space="preserve"> </w:t>
      </w:r>
      <w:r w:rsidRPr="00BD1FCC">
        <w:rPr>
          <w:rFonts w:ascii="Arial" w:hAnsi="Arial" w:cs="Arial"/>
          <w:sz w:val="20"/>
          <w:szCs w:val="20"/>
        </w:rPr>
        <w:t>Sayer PhD</w:t>
      </w:r>
      <w:r w:rsidRPr="00BD1FCC">
        <w:rPr>
          <w:rFonts w:ascii="Arial" w:hAnsi="Arial" w:cs="Arial"/>
          <w:sz w:val="20"/>
          <w:szCs w:val="20"/>
          <w:vertAlign w:val="superscript"/>
        </w:rPr>
        <w:t>1,2</w:t>
      </w:r>
      <w:r w:rsidRPr="00BD1FCC">
        <w:rPr>
          <w:rFonts w:ascii="Arial" w:hAnsi="Arial" w:cs="Arial"/>
          <w:sz w:val="20"/>
          <w:szCs w:val="20"/>
        </w:rPr>
        <w:t>,</w:t>
      </w:r>
      <w:r>
        <w:rPr>
          <w:rFonts w:ascii="Arial" w:hAnsi="Arial" w:cs="Arial"/>
          <w:sz w:val="20"/>
          <w:szCs w:val="20"/>
        </w:rPr>
        <w:t xml:space="preserve"> C Cooper FMedSci</w:t>
      </w:r>
      <w:r>
        <w:rPr>
          <w:rFonts w:ascii="Arial" w:hAnsi="Arial" w:cs="Arial"/>
          <w:sz w:val="20"/>
          <w:szCs w:val="20"/>
          <w:vertAlign w:val="superscript"/>
        </w:rPr>
        <w:t>1</w:t>
      </w:r>
    </w:p>
    <w:p w:rsidR="00384FB3" w:rsidRPr="00BD1FCC" w:rsidRDefault="00384FB3" w:rsidP="003A5430">
      <w:pPr>
        <w:spacing w:after="0" w:line="480" w:lineRule="auto"/>
        <w:mirrorIndents/>
        <w:jc w:val="center"/>
        <w:rPr>
          <w:rFonts w:ascii="Arial" w:hAnsi="Arial" w:cs="Arial"/>
          <w:sz w:val="20"/>
          <w:szCs w:val="20"/>
        </w:rPr>
      </w:pPr>
    </w:p>
    <w:p w:rsidR="00384FB3" w:rsidRPr="00BD1FCC" w:rsidRDefault="00384FB3" w:rsidP="003A5430">
      <w:pPr>
        <w:spacing w:after="0" w:line="480" w:lineRule="auto"/>
        <w:mirrorIndents/>
        <w:jc w:val="center"/>
        <w:outlineLvl w:val="0"/>
        <w:rPr>
          <w:rFonts w:ascii="Arial" w:hAnsi="Arial" w:cs="Arial"/>
          <w:sz w:val="20"/>
          <w:szCs w:val="20"/>
        </w:rPr>
      </w:pPr>
      <w:r w:rsidRPr="00BD1FCC">
        <w:rPr>
          <w:rFonts w:ascii="Arial" w:hAnsi="Arial" w:cs="Arial"/>
          <w:sz w:val="20"/>
          <w:szCs w:val="20"/>
          <w:vertAlign w:val="superscript"/>
        </w:rPr>
        <w:t xml:space="preserve">1 </w:t>
      </w:r>
      <w:r w:rsidRPr="00BD1FCC">
        <w:rPr>
          <w:rFonts w:ascii="Arial" w:hAnsi="Arial" w:cs="Arial"/>
          <w:sz w:val="20"/>
          <w:szCs w:val="20"/>
        </w:rPr>
        <w:t>MRC Lifecourse Epidemiology Unit, University of Southampton</w:t>
      </w:r>
    </w:p>
    <w:p w:rsidR="00384FB3" w:rsidRPr="00BD1FCC" w:rsidRDefault="00384FB3" w:rsidP="003A5430">
      <w:pPr>
        <w:spacing w:after="0" w:line="480" w:lineRule="auto"/>
        <w:mirrorIndents/>
        <w:jc w:val="center"/>
        <w:rPr>
          <w:rFonts w:ascii="Arial" w:hAnsi="Arial" w:cs="Arial"/>
          <w:sz w:val="20"/>
          <w:szCs w:val="20"/>
        </w:rPr>
      </w:pPr>
      <w:r w:rsidRPr="00BD1FCC">
        <w:rPr>
          <w:rFonts w:ascii="Arial" w:hAnsi="Arial" w:cs="Arial"/>
          <w:sz w:val="20"/>
          <w:szCs w:val="20"/>
          <w:vertAlign w:val="superscript"/>
        </w:rPr>
        <w:t>2</w:t>
      </w:r>
      <w:r w:rsidRPr="00BD1FCC">
        <w:rPr>
          <w:rFonts w:ascii="Arial" w:hAnsi="Arial" w:cs="Arial"/>
          <w:sz w:val="20"/>
          <w:szCs w:val="20"/>
        </w:rPr>
        <w:t>Academic Geriatric Medicine, School of Medicine, University of Southampton</w:t>
      </w:r>
    </w:p>
    <w:p w:rsidR="00384FB3" w:rsidRPr="00BD1FCC" w:rsidRDefault="00384FB3" w:rsidP="003A5430">
      <w:pPr>
        <w:spacing w:after="0" w:line="480" w:lineRule="auto"/>
        <w:mirrorIndents/>
        <w:jc w:val="center"/>
        <w:rPr>
          <w:rFonts w:ascii="Arial" w:hAnsi="Arial" w:cs="Arial"/>
          <w:sz w:val="20"/>
          <w:szCs w:val="20"/>
        </w:rPr>
      </w:pPr>
      <w:r w:rsidRPr="00BD1FCC">
        <w:rPr>
          <w:rFonts w:ascii="Arial" w:hAnsi="Arial" w:cs="Arial"/>
          <w:sz w:val="20"/>
          <w:szCs w:val="20"/>
          <w:vertAlign w:val="superscript"/>
        </w:rPr>
        <w:t xml:space="preserve">3 </w:t>
      </w:r>
      <w:r w:rsidRPr="00BD1FCC">
        <w:rPr>
          <w:rFonts w:ascii="Arial" w:hAnsi="Arial" w:cs="Arial"/>
          <w:sz w:val="20"/>
          <w:szCs w:val="20"/>
        </w:rPr>
        <w:t xml:space="preserve">MRC-ARUK Centre for Musculoskeletal Ageing Research, University of Birmingham </w:t>
      </w:r>
    </w:p>
    <w:p w:rsidR="00384FB3" w:rsidRPr="00BD1FCC" w:rsidRDefault="00384FB3" w:rsidP="003A5430">
      <w:pPr>
        <w:spacing w:after="0" w:line="480" w:lineRule="auto"/>
        <w:mirrorIndents/>
        <w:jc w:val="center"/>
        <w:rPr>
          <w:rFonts w:ascii="Arial" w:hAnsi="Arial" w:cs="Arial"/>
          <w:sz w:val="20"/>
          <w:szCs w:val="20"/>
        </w:rPr>
      </w:pPr>
      <w:r w:rsidRPr="00BD1FCC">
        <w:rPr>
          <w:rFonts w:ascii="Arial" w:hAnsi="Arial" w:cs="Arial"/>
          <w:sz w:val="20"/>
          <w:szCs w:val="20"/>
          <w:vertAlign w:val="superscript"/>
        </w:rPr>
        <w:t>4</w:t>
      </w:r>
      <w:r w:rsidRPr="00BD1FCC">
        <w:rPr>
          <w:rFonts w:ascii="Arial" w:hAnsi="Arial" w:cs="Arial"/>
          <w:sz w:val="20"/>
          <w:szCs w:val="20"/>
        </w:rPr>
        <w:t xml:space="preserve"> Institute for Ageing and Health, University of Newcastle Upon Tyne</w:t>
      </w:r>
    </w:p>
    <w:p w:rsidR="00384FB3" w:rsidRPr="00BD1FCC" w:rsidRDefault="00384FB3" w:rsidP="003A5430">
      <w:pPr>
        <w:spacing w:after="0" w:line="480" w:lineRule="auto"/>
        <w:mirrorIndents/>
        <w:jc w:val="center"/>
        <w:rPr>
          <w:rFonts w:ascii="Arial" w:hAnsi="Arial" w:cs="Arial"/>
          <w:b/>
          <w:sz w:val="20"/>
          <w:szCs w:val="20"/>
        </w:rPr>
      </w:pPr>
      <w:r w:rsidRPr="00BD1FCC">
        <w:rPr>
          <w:rFonts w:ascii="Arial" w:hAnsi="Arial" w:cs="Arial"/>
          <w:sz w:val="20"/>
          <w:szCs w:val="20"/>
          <w:vertAlign w:val="superscript"/>
        </w:rPr>
        <w:t>5</w:t>
      </w:r>
      <w:r w:rsidRPr="00BD1FCC">
        <w:rPr>
          <w:rFonts w:ascii="Arial" w:hAnsi="Arial" w:cs="Arial"/>
          <w:sz w:val="20"/>
          <w:szCs w:val="20"/>
        </w:rPr>
        <w:t xml:space="preserve"> MRC Unit</w:t>
      </w:r>
      <w:r>
        <w:rPr>
          <w:rFonts w:ascii="Arial" w:hAnsi="Arial" w:cs="Arial"/>
          <w:sz w:val="20"/>
          <w:szCs w:val="20"/>
        </w:rPr>
        <w:t xml:space="preserve"> for Lifelong Health and Ageing at</w:t>
      </w:r>
      <w:r w:rsidRPr="00BD1FCC">
        <w:rPr>
          <w:rFonts w:ascii="Arial" w:hAnsi="Arial" w:cs="Arial"/>
          <w:sz w:val="20"/>
          <w:szCs w:val="20"/>
        </w:rPr>
        <w:t xml:space="preserve"> University College London</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 xml:space="preserve">Address for correspondence: </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Professor Cyrus Cooper</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MRC Lifecourse Epidemiology Unit</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University of Southampton</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Southampton General Hospital</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Tremona Road</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Southampton</w:t>
      </w:r>
    </w:p>
    <w:p w:rsidR="00384FB3" w:rsidRPr="00BD1FCC" w:rsidRDefault="00384FB3" w:rsidP="003A5430">
      <w:pPr>
        <w:autoSpaceDE w:val="0"/>
        <w:autoSpaceDN w:val="0"/>
        <w:adjustRightInd w:val="0"/>
        <w:spacing w:after="0" w:line="480" w:lineRule="auto"/>
        <w:mirrorIndents/>
        <w:jc w:val="center"/>
        <w:rPr>
          <w:rFonts w:ascii="Arial" w:hAnsi="Arial" w:cs="Arial"/>
          <w:sz w:val="20"/>
          <w:szCs w:val="20"/>
          <w:lang w:val="en-US"/>
        </w:rPr>
      </w:pPr>
      <w:r w:rsidRPr="00BD1FCC">
        <w:rPr>
          <w:rFonts w:ascii="Arial" w:hAnsi="Arial" w:cs="Arial"/>
          <w:sz w:val="20"/>
          <w:szCs w:val="20"/>
          <w:lang w:val="en-US"/>
        </w:rPr>
        <w:t>SO16 6YD</w:t>
      </w:r>
    </w:p>
    <w:p w:rsidR="00384FB3" w:rsidRPr="00BD1FCC" w:rsidRDefault="00384FB3" w:rsidP="003A5430">
      <w:pPr>
        <w:pBdr>
          <w:bottom w:val="single" w:sz="6" w:space="1" w:color="auto"/>
        </w:pBdr>
        <w:autoSpaceDE w:val="0"/>
        <w:autoSpaceDN w:val="0"/>
        <w:adjustRightInd w:val="0"/>
        <w:spacing w:after="0" w:line="480" w:lineRule="auto"/>
        <w:mirrorIndents/>
        <w:jc w:val="center"/>
        <w:rPr>
          <w:rFonts w:ascii="Arial" w:hAnsi="Arial" w:cs="Arial"/>
          <w:sz w:val="20"/>
          <w:szCs w:val="20"/>
        </w:rPr>
      </w:pPr>
      <w:r w:rsidRPr="00BD1FCC">
        <w:rPr>
          <w:rFonts w:ascii="Arial" w:hAnsi="Arial" w:cs="Arial"/>
          <w:sz w:val="20"/>
          <w:szCs w:val="20"/>
          <w:lang w:val="en-US"/>
        </w:rPr>
        <w:t>Email:  cc@mrc.soton.ac.uk</w:t>
      </w:r>
    </w:p>
    <w:p w:rsidR="00384FB3" w:rsidRPr="00BD1FCC" w:rsidRDefault="00384FB3" w:rsidP="003A5430">
      <w:pPr>
        <w:pBdr>
          <w:bottom w:val="single" w:sz="6" w:space="1" w:color="auto"/>
        </w:pBdr>
        <w:autoSpaceDE w:val="0"/>
        <w:autoSpaceDN w:val="0"/>
        <w:adjustRightInd w:val="0"/>
        <w:spacing w:after="0" w:line="480" w:lineRule="auto"/>
        <w:mirrorIndents/>
        <w:jc w:val="center"/>
        <w:rPr>
          <w:rFonts w:ascii="Arial" w:hAnsi="Arial" w:cs="Arial"/>
          <w:sz w:val="20"/>
          <w:szCs w:val="20"/>
        </w:rPr>
      </w:pPr>
      <w:r w:rsidRPr="00BD1FCC">
        <w:rPr>
          <w:rFonts w:ascii="Arial" w:hAnsi="Arial" w:cs="Arial"/>
          <w:sz w:val="20"/>
          <w:szCs w:val="20"/>
        </w:rPr>
        <w:t>Telephone:  +44 (0)23 8077 7624</w:t>
      </w:r>
    </w:p>
    <w:p w:rsidR="00384FB3" w:rsidRPr="00BD1FCC" w:rsidRDefault="00384FB3" w:rsidP="003A5430">
      <w:pPr>
        <w:pBdr>
          <w:bottom w:val="single" w:sz="6" w:space="1" w:color="auto"/>
        </w:pBdr>
        <w:autoSpaceDE w:val="0"/>
        <w:autoSpaceDN w:val="0"/>
        <w:adjustRightInd w:val="0"/>
        <w:spacing w:after="0" w:line="480" w:lineRule="auto"/>
        <w:mirrorIndents/>
        <w:jc w:val="center"/>
        <w:rPr>
          <w:rFonts w:ascii="Arial" w:hAnsi="Arial" w:cs="Arial"/>
          <w:sz w:val="20"/>
          <w:szCs w:val="20"/>
        </w:rPr>
      </w:pPr>
      <w:r w:rsidRPr="00BD1FCC">
        <w:rPr>
          <w:rFonts w:ascii="Arial" w:hAnsi="Arial" w:cs="Arial"/>
          <w:sz w:val="20"/>
          <w:szCs w:val="20"/>
        </w:rPr>
        <w:t>Fax:  +44 (0)23 8070 4021</w:t>
      </w:r>
    </w:p>
    <w:p w:rsidR="00384FB3" w:rsidRPr="00BD1FCC" w:rsidRDefault="00384FB3" w:rsidP="003A5430">
      <w:pPr>
        <w:pBdr>
          <w:bottom w:val="single" w:sz="6" w:space="1" w:color="auto"/>
        </w:pBdr>
        <w:autoSpaceDE w:val="0"/>
        <w:autoSpaceDN w:val="0"/>
        <w:adjustRightInd w:val="0"/>
        <w:spacing w:after="0" w:line="480" w:lineRule="auto"/>
        <w:mirrorIndents/>
        <w:jc w:val="center"/>
        <w:rPr>
          <w:rFonts w:ascii="Arial" w:hAnsi="Arial" w:cs="Arial"/>
          <w:sz w:val="20"/>
          <w:szCs w:val="20"/>
        </w:rPr>
      </w:pPr>
    </w:p>
    <w:p w:rsidR="00384FB3" w:rsidRDefault="00384FB3" w:rsidP="003A5430">
      <w:pPr>
        <w:rPr>
          <w:rFonts w:ascii="Arial" w:hAnsi="Arial" w:cs="Arial"/>
          <w:b/>
          <w:sz w:val="20"/>
          <w:szCs w:val="20"/>
        </w:rPr>
      </w:pPr>
    </w:p>
    <w:p w:rsidR="00384FB3" w:rsidRDefault="00384FB3" w:rsidP="003A5430">
      <w:pPr>
        <w:spacing w:after="0" w:line="480" w:lineRule="auto"/>
        <w:mirrorIndents/>
        <w:outlineLvl w:val="0"/>
        <w:rPr>
          <w:rFonts w:ascii="Arial" w:hAnsi="Arial" w:cs="Arial"/>
          <w:b/>
          <w:sz w:val="20"/>
          <w:szCs w:val="20"/>
        </w:rPr>
      </w:pPr>
      <w:r w:rsidRPr="007A09A4">
        <w:rPr>
          <w:rFonts w:ascii="Arial" w:hAnsi="Arial" w:cs="Arial"/>
          <w:b/>
          <w:sz w:val="20"/>
          <w:szCs w:val="20"/>
        </w:rPr>
        <w:t>Keywords</w:t>
      </w:r>
    </w:p>
    <w:p w:rsidR="00384FB3" w:rsidRPr="007A09A4" w:rsidRDefault="00384FB3" w:rsidP="003A5430">
      <w:pPr>
        <w:spacing w:after="0" w:line="480" w:lineRule="auto"/>
        <w:mirrorIndents/>
        <w:outlineLvl w:val="0"/>
        <w:rPr>
          <w:rFonts w:ascii="Arial" w:hAnsi="Arial" w:cs="Arial"/>
          <w:sz w:val="20"/>
          <w:szCs w:val="20"/>
        </w:rPr>
      </w:pPr>
      <w:r w:rsidRPr="007A09A4">
        <w:rPr>
          <w:rFonts w:ascii="Arial" w:hAnsi="Arial" w:cs="Arial"/>
          <w:sz w:val="20"/>
          <w:szCs w:val="20"/>
        </w:rPr>
        <w:t>Telomere, epidemiology, sarcopenia, inflammation, ageing, osteoporosis</w:t>
      </w:r>
      <w:r w:rsidR="00725C44">
        <w:rPr>
          <w:rFonts w:ascii="Arial" w:hAnsi="Arial" w:cs="Arial"/>
          <w:sz w:val="20"/>
          <w:szCs w:val="20"/>
        </w:rPr>
        <w:t>, grip strength</w:t>
      </w:r>
    </w:p>
    <w:p w:rsidR="00384FB3" w:rsidRPr="00BD1FCC" w:rsidRDefault="00384FB3" w:rsidP="003A5430">
      <w:pPr>
        <w:outlineLvl w:val="0"/>
        <w:rPr>
          <w:rFonts w:ascii="Arial" w:hAnsi="Arial" w:cs="Arial"/>
          <w:b/>
          <w:sz w:val="20"/>
          <w:szCs w:val="20"/>
        </w:rPr>
      </w:pPr>
      <w:r>
        <w:rPr>
          <w:rFonts w:ascii="Arial" w:hAnsi="Arial" w:cs="Arial"/>
          <w:b/>
          <w:sz w:val="20"/>
          <w:szCs w:val="20"/>
        </w:rPr>
        <w:br w:type="page"/>
      </w:r>
      <w:r w:rsidRPr="00BD1FCC">
        <w:rPr>
          <w:rFonts w:ascii="Arial" w:hAnsi="Arial" w:cs="Arial"/>
          <w:b/>
          <w:sz w:val="20"/>
          <w:szCs w:val="20"/>
        </w:rPr>
        <w:lastRenderedPageBreak/>
        <w:t>Abstract</w:t>
      </w:r>
    </w:p>
    <w:p w:rsidR="00384FB3" w:rsidRDefault="00384FB3" w:rsidP="003A5430">
      <w:pPr>
        <w:spacing w:after="0" w:line="480" w:lineRule="auto"/>
        <w:mirrorIndents/>
        <w:rPr>
          <w:rFonts w:ascii="Arial" w:hAnsi="Arial" w:cs="Arial"/>
          <w:b/>
          <w:sz w:val="20"/>
          <w:szCs w:val="20"/>
        </w:rPr>
      </w:pPr>
    </w:p>
    <w:p w:rsidR="00384FB3" w:rsidRPr="00BD1FCC"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Background</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Telomere attrition has been associated with age related disease</w:t>
      </w:r>
      <w:r>
        <w:rPr>
          <w:rFonts w:ascii="Arial" w:hAnsi="Arial" w:cs="Arial"/>
          <w:sz w:val="20"/>
          <w:szCs w:val="20"/>
        </w:rPr>
        <w:t>s</w:t>
      </w:r>
      <w:r w:rsidRPr="00BD1FCC">
        <w:rPr>
          <w:rFonts w:ascii="Arial" w:hAnsi="Arial" w:cs="Arial"/>
          <w:sz w:val="20"/>
          <w:szCs w:val="20"/>
        </w:rPr>
        <w:t xml:space="preserve"> although causality is unclear and controversial; low grade systemic inflammation (inflammaging) </w:t>
      </w:r>
      <w:r>
        <w:rPr>
          <w:rFonts w:ascii="Arial" w:hAnsi="Arial" w:cs="Arial"/>
          <w:sz w:val="20"/>
          <w:szCs w:val="20"/>
        </w:rPr>
        <w:t>has also been</w:t>
      </w:r>
      <w:r w:rsidRPr="00BD1FCC">
        <w:rPr>
          <w:rFonts w:ascii="Arial" w:hAnsi="Arial" w:cs="Arial"/>
          <w:sz w:val="20"/>
          <w:szCs w:val="20"/>
        </w:rPr>
        <w:t xml:space="preserve"> implicated</w:t>
      </w:r>
      <w:r>
        <w:rPr>
          <w:rFonts w:ascii="Arial" w:hAnsi="Arial" w:cs="Arial"/>
          <w:sz w:val="20"/>
          <w:szCs w:val="20"/>
        </w:rPr>
        <w:t xml:space="preserve"> in age-related pathogenesis</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Unpicking the relationship between ageing, telomere length (TL) and inflammaging is </w:t>
      </w:r>
      <w:r>
        <w:rPr>
          <w:rFonts w:ascii="Arial" w:hAnsi="Arial" w:cs="Arial"/>
          <w:sz w:val="20"/>
          <w:szCs w:val="20"/>
        </w:rPr>
        <w:t xml:space="preserve">hence </w:t>
      </w:r>
      <w:r w:rsidRPr="00BD1FCC">
        <w:rPr>
          <w:rFonts w:ascii="Arial" w:hAnsi="Arial" w:cs="Arial"/>
          <w:sz w:val="20"/>
          <w:szCs w:val="20"/>
        </w:rPr>
        <w:t xml:space="preserve">essential to the </w:t>
      </w:r>
      <w:r>
        <w:rPr>
          <w:rFonts w:ascii="Arial" w:hAnsi="Arial" w:cs="Arial"/>
          <w:sz w:val="20"/>
          <w:szCs w:val="20"/>
        </w:rPr>
        <w:t>understanding of ageing and management of age-</w:t>
      </w:r>
      <w:r w:rsidRPr="00BD1FCC">
        <w:rPr>
          <w:rFonts w:ascii="Arial" w:hAnsi="Arial" w:cs="Arial"/>
          <w:sz w:val="20"/>
          <w:szCs w:val="20"/>
        </w:rPr>
        <w:t>related diseases.</w:t>
      </w:r>
      <w:r>
        <w:rPr>
          <w:rFonts w:ascii="Arial" w:hAnsi="Arial" w:cs="Arial"/>
          <w:sz w:val="20"/>
          <w:szCs w:val="20"/>
        </w:rPr>
        <w:t xml:space="preserve"> </w:t>
      </w:r>
      <w:r w:rsidRPr="00BD1FCC">
        <w:rPr>
          <w:rFonts w:ascii="Arial" w:hAnsi="Arial" w:cs="Arial"/>
          <w:sz w:val="20"/>
          <w:szCs w:val="20"/>
        </w:rPr>
        <w:t xml:space="preserve"> This longitudinal study explores </w:t>
      </w:r>
      <w:r>
        <w:rPr>
          <w:rFonts w:ascii="Arial" w:hAnsi="Arial" w:cs="Arial"/>
          <w:sz w:val="20"/>
          <w:szCs w:val="20"/>
        </w:rPr>
        <w:t>whether</w:t>
      </w:r>
      <w:r w:rsidRPr="00BD1FCC">
        <w:rPr>
          <w:rFonts w:ascii="Arial" w:hAnsi="Arial" w:cs="Arial"/>
          <w:sz w:val="20"/>
          <w:szCs w:val="20"/>
        </w:rPr>
        <w:t xml:space="preserve"> telomere attrition </w:t>
      </w:r>
      <w:r>
        <w:rPr>
          <w:rFonts w:ascii="Arial" w:hAnsi="Arial" w:cs="Arial"/>
          <w:sz w:val="20"/>
          <w:szCs w:val="20"/>
        </w:rPr>
        <w:t xml:space="preserve">is </w:t>
      </w:r>
      <w:r w:rsidRPr="00BD1FCC">
        <w:rPr>
          <w:rFonts w:ascii="Arial" w:hAnsi="Arial" w:cs="Arial"/>
          <w:sz w:val="20"/>
          <w:szCs w:val="20"/>
        </w:rPr>
        <w:t xml:space="preserve">a cause or consequence of ageing and </w:t>
      </w:r>
      <w:r>
        <w:rPr>
          <w:rFonts w:ascii="Arial" w:hAnsi="Arial" w:cs="Arial"/>
          <w:sz w:val="20"/>
          <w:szCs w:val="20"/>
        </w:rPr>
        <w:t>whether</w:t>
      </w:r>
      <w:r w:rsidRPr="00BD1FCC">
        <w:rPr>
          <w:rFonts w:ascii="Arial" w:hAnsi="Arial" w:cs="Arial"/>
          <w:sz w:val="20"/>
          <w:szCs w:val="20"/>
        </w:rPr>
        <w:t xml:space="preserve"> inflammaging explain</w:t>
      </w:r>
      <w:r>
        <w:rPr>
          <w:rFonts w:ascii="Arial" w:hAnsi="Arial" w:cs="Arial"/>
          <w:sz w:val="20"/>
          <w:szCs w:val="20"/>
        </w:rPr>
        <w:t>s</w:t>
      </w:r>
      <w:r w:rsidRPr="00BD1FCC">
        <w:rPr>
          <w:rFonts w:ascii="Arial" w:hAnsi="Arial" w:cs="Arial"/>
          <w:sz w:val="20"/>
          <w:szCs w:val="20"/>
        </w:rPr>
        <w:t xml:space="preserve"> </w:t>
      </w:r>
      <w:r>
        <w:rPr>
          <w:rFonts w:ascii="Arial" w:hAnsi="Arial" w:cs="Arial"/>
          <w:sz w:val="20"/>
          <w:szCs w:val="20"/>
        </w:rPr>
        <w:t xml:space="preserve">some of </w:t>
      </w:r>
      <w:r w:rsidRPr="00BD1FCC">
        <w:rPr>
          <w:rFonts w:ascii="Arial" w:hAnsi="Arial" w:cs="Arial"/>
          <w:sz w:val="20"/>
          <w:szCs w:val="20"/>
        </w:rPr>
        <w:t xml:space="preserve">the associations between TL and </w:t>
      </w:r>
      <w:r>
        <w:rPr>
          <w:rFonts w:ascii="Arial" w:hAnsi="Arial" w:cs="Arial"/>
          <w:sz w:val="20"/>
          <w:szCs w:val="20"/>
        </w:rPr>
        <w:t>one marker of ageing, grip strength.</w:t>
      </w:r>
    </w:p>
    <w:p w:rsidR="00384FB3" w:rsidRDefault="00384FB3" w:rsidP="003A5430">
      <w:pPr>
        <w:pStyle w:val="Alexdouble"/>
        <w:mirrorIndents/>
        <w:jc w:val="left"/>
        <w:rPr>
          <w:rFonts w:ascii="Arial" w:hAnsi="Arial" w:cs="Arial"/>
          <w:b/>
          <w:sz w:val="20"/>
        </w:rPr>
      </w:pPr>
    </w:p>
    <w:p w:rsidR="00384FB3" w:rsidRPr="00BD1FCC" w:rsidRDefault="00384FB3" w:rsidP="003A5430">
      <w:pPr>
        <w:pStyle w:val="Alexdouble"/>
        <w:mirrorIndents/>
        <w:jc w:val="left"/>
        <w:outlineLvl w:val="0"/>
        <w:rPr>
          <w:rFonts w:ascii="Arial" w:hAnsi="Arial" w:cs="Arial"/>
          <w:b/>
          <w:sz w:val="20"/>
        </w:rPr>
      </w:pPr>
      <w:r w:rsidRPr="00BD1FCC">
        <w:rPr>
          <w:rFonts w:ascii="Arial" w:hAnsi="Arial" w:cs="Arial"/>
          <w:b/>
          <w:sz w:val="20"/>
        </w:rPr>
        <w:t>Methods</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We studied </w:t>
      </w:r>
      <w:r>
        <w:rPr>
          <w:rFonts w:ascii="Arial" w:hAnsi="Arial" w:cs="Arial"/>
          <w:sz w:val="20"/>
          <w:szCs w:val="20"/>
        </w:rPr>
        <w:t xml:space="preserve">253 </w:t>
      </w:r>
      <w:r w:rsidRPr="00BD1FCC">
        <w:rPr>
          <w:rFonts w:ascii="Arial" w:hAnsi="Arial" w:cs="Arial"/>
          <w:sz w:val="20"/>
          <w:szCs w:val="20"/>
        </w:rPr>
        <w:t>Hertfordshire Ageing Study participants at basel</w:t>
      </w:r>
      <w:r>
        <w:rPr>
          <w:rFonts w:ascii="Arial" w:hAnsi="Arial" w:cs="Arial"/>
          <w:sz w:val="20"/>
          <w:szCs w:val="20"/>
        </w:rPr>
        <w:t>ine and 10 year follow up (mean age at baseline 67.1years</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Participants completed a health questionnaire and had blood samples collected for immune-endocrine and telomere analysis at both time points.</w:t>
      </w:r>
      <w:r>
        <w:rPr>
          <w:rFonts w:ascii="Arial" w:hAnsi="Arial" w:cs="Arial"/>
          <w:sz w:val="20"/>
          <w:szCs w:val="20"/>
        </w:rPr>
        <w:t xml:space="preserve"> </w:t>
      </w:r>
      <w:r w:rsidRPr="00BD1FCC">
        <w:rPr>
          <w:rFonts w:ascii="Arial" w:hAnsi="Arial" w:cs="Arial"/>
          <w:sz w:val="20"/>
          <w:szCs w:val="20"/>
        </w:rPr>
        <w:t xml:space="preserve"> Physical ageing was characterised at follow-up using grip strength (GS). </w:t>
      </w:r>
    </w:p>
    <w:p w:rsidR="00384FB3" w:rsidRDefault="00384FB3" w:rsidP="003A5430">
      <w:pPr>
        <w:spacing w:after="0" w:line="480" w:lineRule="auto"/>
        <w:mirrorIndents/>
        <w:rPr>
          <w:rFonts w:ascii="Arial" w:hAnsi="Arial" w:cs="Arial"/>
          <w:b/>
          <w:sz w:val="20"/>
          <w:szCs w:val="20"/>
        </w:rPr>
      </w:pPr>
    </w:p>
    <w:p w:rsidR="00384FB3" w:rsidRPr="00BD1FCC"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Findings</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Faster telomere attrition was associated with lower GS at follow-up (β=0.98, p=0.035). </w:t>
      </w:r>
      <w:r>
        <w:rPr>
          <w:rFonts w:ascii="Arial" w:hAnsi="Arial" w:cs="Arial"/>
          <w:sz w:val="20"/>
          <w:szCs w:val="20"/>
        </w:rPr>
        <w:t xml:space="preserve"> </w:t>
      </w:r>
      <w:r w:rsidRPr="00BD1FCC">
        <w:rPr>
          <w:rFonts w:ascii="Arial" w:hAnsi="Arial" w:cs="Arial"/>
          <w:sz w:val="20"/>
          <w:szCs w:val="20"/>
        </w:rPr>
        <w:t>Th</w:t>
      </w:r>
      <w:r>
        <w:rPr>
          <w:rFonts w:ascii="Arial" w:hAnsi="Arial" w:cs="Arial"/>
          <w:sz w:val="20"/>
          <w:szCs w:val="20"/>
        </w:rPr>
        <w:t>is</w:t>
      </w:r>
      <w:r w:rsidRPr="00BD1FCC">
        <w:rPr>
          <w:rFonts w:ascii="Arial" w:hAnsi="Arial" w:cs="Arial"/>
          <w:sz w:val="20"/>
          <w:szCs w:val="20"/>
        </w:rPr>
        <w:t xml:space="preserve"> association w</w:t>
      </w:r>
      <w:r>
        <w:rPr>
          <w:rFonts w:ascii="Arial" w:hAnsi="Arial" w:cs="Arial"/>
          <w:sz w:val="20"/>
          <w:szCs w:val="20"/>
        </w:rPr>
        <w:t>as</w:t>
      </w:r>
      <w:r w:rsidRPr="00BD1FCC">
        <w:rPr>
          <w:rFonts w:ascii="Arial" w:hAnsi="Arial" w:cs="Arial"/>
          <w:sz w:val="20"/>
          <w:szCs w:val="20"/>
        </w:rPr>
        <w:t xml:space="preserve"> </w:t>
      </w:r>
      <w:r>
        <w:rPr>
          <w:rFonts w:ascii="Arial" w:hAnsi="Arial" w:cs="Arial"/>
          <w:sz w:val="20"/>
          <w:szCs w:val="20"/>
        </w:rPr>
        <w:t xml:space="preserve">completely </w:t>
      </w:r>
      <w:r w:rsidRPr="00BD1FCC">
        <w:rPr>
          <w:rFonts w:ascii="Arial" w:hAnsi="Arial" w:cs="Arial"/>
          <w:sz w:val="20"/>
          <w:szCs w:val="20"/>
        </w:rPr>
        <w:t>attenuated when adjusted for inflammaging burden (p=0.86) over the same period.</w:t>
      </w:r>
      <w:r>
        <w:rPr>
          <w:rFonts w:ascii="Arial" w:hAnsi="Arial" w:cs="Arial"/>
          <w:sz w:val="20"/>
          <w:szCs w:val="20"/>
        </w:rPr>
        <w:t xml:space="preserve"> </w:t>
      </w:r>
      <w:r w:rsidRPr="00BD1FCC">
        <w:rPr>
          <w:rFonts w:ascii="Arial" w:hAnsi="Arial" w:cs="Arial"/>
          <w:sz w:val="20"/>
          <w:szCs w:val="20"/>
        </w:rPr>
        <w:t xml:space="preserve"> Similarly, greater inflammaging burden was associated with lower GS at follow-up (e.g. interleukin1β (IL-1β): β=-2.18, p=0.001), however, these associations were </w:t>
      </w:r>
      <w:r>
        <w:rPr>
          <w:rFonts w:ascii="Arial" w:hAnsi="Arial" w:cs="Arial"/>
          <w:sz w:val="20"/>
          <w:szCs w:val="20"/>
        </w:rPr>
        <w:t>maintained</w:t>
      </w:r>
      <w:r w:rsidRPr="00BD1FCC">
        <w:rPr>
          <w:rFonts w:ascii="Arial" w:hAnsi="Arial" w:cs="Arial"/>
          <w:sz w:val="20"/>
          <w:szCs w:val="20"/>
        </w:rPr>
        <w:t xml:space="preserve"> when adjusted for telomere attrition (IL-1β, p=0.006).</w:t>
      </w:r>
    </w:p>
    <w:p w:rsidR="00384FB3" w:rsidRDefault="00384FB3" w:rsidP="003A5430">
      <w:pPr>
        <w:spacing w:after="0" w:line="480" w:lineRule="auto"/>
        <w:mirrorIndents/>
        <w:rPr>
          <w:rFonts w:ascii="Arial" w:hAnsi="Arial" w:cs="Arial"/>
          <w:b/>
          <w:sz w:val="20"/>
          <w:szCs w:val="20"/>
        </w:rPr>
      </w:pPr>
    </w:p>
    <w:p w:rsidR="00384FB3" w:rsidRPr="00BD1FCC"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Interpretation</w:t>
      </w:r>
    </w:p>
    <w:p w:rsidR="00384FB3" w:rsidRDefault="00384FB3" w:rsidP="003A5430">
      <w:pPr>
        <w:spacing w:after="0" w:line="480" w:lineRule="auto"/>
        <w:mirrorIndents/>
        <w:rPr>
          <w:rFonts w:ascii="Arial" w:hAnsi="Arial" w:cs="Arial"/>
          <w:b/>
          <w:sz w:val="20"/>
          <w:szCs w:val="20"/>
        </w:rPr>
      </w:pPr>
      <w:r w:rsidRPr="00BD1FCC">
        <w:rPr>
          <w:rFonts w:ascii="Arial" w:hAnsi="Arial" w:cs="Arial"/>
          <w:sz w:val="20"/>
          <w:szCs w:val="20"/>
        </w:rPr>
        <w:t>We present</w:t>
      </w:r>
      <w:r>
        <w:rPr>
          <w:rFonts w:ascii="Arial" w:hAnsi="Arial" w:cs="Arial"/>
          <w:sz w:val="20"/>
          <w:szCs w:val="20"/>
        </w:rPr>
        <w:t xml:space="preserve"> </w:t>
      </w:r>
      <w:r w:rsidRPr="00BD1FCC">
        <w:rPr>
          <w:rFonts w:ascii="Arial" w:hAnsi="Arial" w:cs="Arial"/>
          <w:sz w:val="20"/>
          <w:szCs w:val="20"/>
        </w:rPr>
        <w:t xml:space="preserve">evidence that inflammaging </w:t>
      </w:r>
      <w:r>
        <w:rPr>
          <w:rFonts w:ascii="Arial" w:hAnsi="Arial" w:cs="Arial"/>
          <w:sz w:val="20"/>
          <w:szCs w:val="20"/>
        </w:rPr>
        <w:t>may be driving</w:t>
      </w:r>
      <w:r w:rsidRPr="00BD1FCC">
        <w:rPr>
          <w:rFonts w:ascii="Arial" w:hAnsi="Arial" w:cs="Arial"/>
          <w:sz w:val="20"/>
          <w:szCs w:val="20"/>
        </w:rPr>
        <w:t xml:space="preserve"> telomere attrition and in-part explains the associations which have previously been reported between </w:t>
      </w:r>
      <w:r>
        <w:rPr>
          <w:rFonts w:ascii="Arial" w:hAnsi="Arial" w:cs="Arial"/>
          <w:sz w:val="20"/>
          <w:szCs w:val="20"/>
        </w:rPr>
        <w:t>TL</w:t>
      </w:r>
      <w:r w:rsidRPr="00BD1FCC">
        <w:rPr>
          <w:rFonts w:ascii="Arial" w:hAnsi="Arial" w:cs="Arial"/>
          <w:sz w:val="20"/>
          <w:szCs w:val="20"/>
        </w:rPr>
        <w:t xml:space="preserve"> and </w:t>
      </w:r>
      <w:r>
        <w:rPr>
          <w:rFonts w:ascii="Arial" w:hAnsi="Arial" w:cs="Arial"/>
          <w:sz w:val="20"/>
          <w:szCs w:val="20"/>
        </w:rPr>
        <w:t>grip strength</w:t>
      </w:r>
      <w:r w:rsidRPr="00BD1FCC">
        <w:rPr>
          <w:rFonts w:ascii="Arial" w:hAnsi="Arial" w:cs="Arial"/>
          <w:sz w:val="20"/>
          <w:szCs w:val="20"/>
        </w:rPr>
        <w:t>.</w:t>
      </w:r>
      <w:r>
        <w:rPr>
          <w:rFonts w:ascii="Arial" w:hAnsi="Arial" w:cs="Arial"/>
          <w:sz w:val="20"/>
          <w:szCs w:val="20"/>
        </w:rPr>
        <w:t xml:space="preserve"> Thus biomarkers of physical ageing, such as inflammaging, may require greater exploration.  Further work is now indicated</w:t>
      </w:r>
      <w:r w:rsidRPr="00BD1FCC">
        <w:rPr>
          <w:rFonts w:ascii="Arial" w:hAnsi="Arial" w:cs="Arial"/>
          <w:sz w:val="20"/>
          <w:szCs w:val="20"/>
        </w:rPr>
        <w:t xml:space="preserve">.  </w:t>
      </w:r>
      <w:r>
        <w:rPr>
          <w:rFonts w:ascii="Arial" w:hAnsi="Arial" w:cs="Arial"/>
          <w:b/>
          <w:sz w:val="20"/>
          <w:szCs w:val="20"/>
        </w:rPr>
        <w:br w:type="page"/>
      </w:r>
      <w:r w:rsidRPr="00BD1FCC">
        <w:rPr>
          <w:rFonts w:ascii="Arial" w:hAnsi="Arial" w:cs="Arial"/>
          <w:b/>
          <w:sz w:val="20"/>
          <w:szCs w:val="20"/>
        </w:rPr>
        <w:lastRenderedPageBreak/>
        <w:t>Introduction</w:t>
      </w:r>
    </w:p>
    <w:p w:rsidR="00384FB3" w:rsidRDefault="00384FB3" w:rsidP="003A5430">
      <w:pPr>
        <w:spacing w:after="0" w:line="480" w:lineRule="auto"/>
        <w:mirrorIndents/>
        <w:rPr>
          <w:rFonts w:ascii="Arial" w:hAnsi="Arial" w:cs="Arial"/>
          <w:sz w:val="20"/>
          <w:szCs w:val="20"/>
        </w:rPr>
      </w:pPr>
      <w:r>
        <w:rPr>
          <w:rFonts w:ascii="Arial" w:hAnsi="Arial" w:cs="Arial"/>
          <w:sz w:val="20"/>
          <w:szCs w:val="20"/>
        </w:rPr>
        <w:t xml:space="preserve">The deterioration of physical function that occurs with age can include sarcopenia and result in frailty and loss of independence </w:t>
      </w:r>
      <w:r>
        <w:rPr>
          <w:rFonts w:ascii="Arial" w:hAnsi="Arial" w:cs="Arial"/>
          <w:noProof/>
          <w:sz w:val="20"/>
          <w:szCs w:val="20"/>
        </w:rPr>
        <w:t>[1;2]</w:t>
      </w:r>
      <w:r>
        <w:rPr>
          <w:rFonts w:ascii="Arial" w:hAnsi="Arial" w:cs="Arial"/>
          <w:sz w:val="20"/>
          <w:szCs w:val="20"/>
        </w:rPr>
        <w:t>. A major healthcare challenge of the 21</w:t>
      </w:r>
      <w:r w:rsidRPr="00B90623">
        <w:rPr>
          <w:rFonts w:ascii="Arial" w:hAnsi="Arial" w:cs="Arial"/>
          <w:sz w:val="20"/>
          <w:szCs w:val="20"/>
          <w:vertAlign w:val="superscript"/>
        </w:rPr>
        <w:t>st</w:t>
      </w:r>
      <w:r>
        <w:rPr>
          <w:rFonts w:ascii="Arial" w:hAnsi="Arial" w:cs="Arial"/>
          <w:sz w:val="20"/>
          <w:szCs w:val="20"/>
        </w:rPr>
        <w:t xml:space="preserve"> century is to identify people at risk of such a decline in physical function and to intervene early. Biomarkers of ageing may facilitate this process and the assessment of telomere length is perhaps the most well known and yet most controversial of such markers. </w:t>
      </w:r>
    </w:p>
    <w:p w:rsidR="00384FB3"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Telomeres are protein</w:t>
      </w:r>
      <w:r>
        <w:rPr>
          <w:rFonts w:ascii="Arial" w:hAnsi="Arial" w:cs="Arial"/>
          <w:sz w:val="20"/>
          <w:szCs w:val="20"/>
        </w:rPr>
        <w:t>-nucleotide complexes comprising</w:t>
      </w:r>
      <w:r w:rsidRPr="00BD1FCC">
        <w:rPr>
          <w:rFonts w:ascii="Arial" w:hAnsi="Arial" w:cs="Arial"/>
          <w:sz w:val="20"/>
          <w:szCs w:val="20"/>
        </w:rPr>
        <w:t xml:space="preserve"> several thousand repetitive DNA sequences located at the end of chromosomes to protect them from deterioration or fusion</w:t>
      </w:r>
      <w:r>
        <w:rPr>
          <w:rFonts w:ascii="Arial" w:hAnsi="Arial" w:cs="Arial"/>
          <w:sz w:val="20"/>
          <w:szCs w:val="20"/>
        </w:rPr>
        <w:t>.  T</w:t>
      </w:r>
      <w:r w:rsidRPr="00BD1FCC">
        <w:rPr>
          <w:rFonts w:ascii="Arial" w:hAnsi="Arial" w:cs="Arial"/>
          <w:sz w:val="20"/>
          <w:szCs w:val="20"/>
        </w:rPr>
        <w:t>hey are maintained and lengthened by the enzyme telomerase</w:t>
      </w:r>
      <w:r>
        <w:rPr>
          <w:rFonts w:ascii="Arial" w:hAnsi="Arial" w:cs="Arial"/>
          <w:sz w:val="20"/>
          <w:szCs w:val="20"/>
        </w:rPr>
        <w:t xml:space="preserve"> </w:t>
      </w:r>
      <w:r>
        <w:rPr>
          <w:rFonts w:ascii="Arial" w:hAnsi="Arial" w:cs="Arial"/>
          <w:noProof/>
          <w:sz w:val="20"/>
          <w:szCs w:val="20"/>
        </w:rPr>
        <w:t>[3]</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Telomere repetitive sequences shorten with each cell division, eventually reaching a critical </w:t>
      </w:r>
      <w:r>
        <w:rPr>
          <w:rFonts w:ascii="Arial" w:hAnsi="Arial" w:cs="Arial"/>
          <w:sz w:val="20"/>
          <w:szCs w:val="20"/>
        </w:rPr>
        <w:t xml:space="preserve">threshold </w:t>
      </w:r>
      <w:r w:rsidRPr="00BD1FCC">
        <w:rPr>
          <w:rFonts w:ascii="Arial" w:hAnsi="Arial" w:cs="Arial"/>
          <w:sz w:val="20"/>
          <w:szCs w:val="20"/>
        </w:rPr>
        <w:t>leading to cellular senescence and death</w:t>
      </w:r>
      <w:r>
        <w:rPr>
          <w:rFonts w:ascii="Arial" w:hAnsi="Arial" w:cs="Arial"/>
          <w:sz w:val="20"/>
          <w:szCs w:val="20"/>
        </w:rPr>
        <w:t xml:space="preserve"> </w:t>
      </w:r>
      <w:r>
        <w:rPr>
          <w:rFonts w:ascii="Arial" w:hAnsi="Arial" w:cs="Arial"/>
          <w:noProof/>
          <w:sz w:val="20"/>
          <w:szCs w:val="20"/>
        </w:rPr>
        <w:t>[4]</w:t>
      </w:r>
      <w:r w:rsidRPr="00BD1FCC">
        <w:rPr>
          <w:rFonts w:ascii="Arial" w:hAnsi="Arial" w:cs="Arial"/>
          <w:sz w:val="20"/>
          <w:szCs w:val="20"/>
        </w:rPr>
        <w:t xml:space="preserve">. </w:t>
      </w:r>
      <w:r>
        <w:rPr>
          <w:rFonts w:ascii="Arial" w:hAnsi="Arial" w:cs="Arial"/>
          <w:sz w:val="20"/>
          <w:szCs w:val="20"/>
        </w:rPr>
        <w:t xml:space="preserve"> Telomere length (TL) may</w:t>
      </w:r>
      <w:r w:rsidRPr="00BD1FCC">
        <w:rPr>
          <w:rFonts w:ascii="Arial" w:hAnsi="Arial" w:cs="Arial"/>
          <w:sz w:val="20"/>
          <w:szCs w:val="20"/>
        </w:rPr>
        <w:t xml:space="preserve"> therefore be thought of as a biological clock representing cellular age and multiple cohort studies have shown that short telomeres are associated with age-related disease, disease specific mortality and all cause mortality </w:t>
      </w:r>
      <w:r>
        <w:rPr>
          <w:rFonts w:ascii="Arial" w:hAnsi="Arial" w:cs="Arial"/>
          <w:noProof/>
          <w:sz w:val="20"/>
          <w:szCs w:val="20"/>
        </w:rPr>
        <w:t>[5;6]</w:t>
      </w:r>
      <w:r>
        <w:rPr>
          <w:rFonts w:ascii="Arial" w:hAnsi="Arial" w:cs="Arial"/>
          <w:sz w:val="20"/>
          <w:szCs w:val="20"/>
        </w:rPr>
        <w:t>, although results are not always consistent.</w:t>
      </w:r>
      <w:r w:rsidRPr="00BD1FCC">
        <w:rPr>
          <w:rFonts w:ascii="Arial" w:hAnsi="Arial" w:cs="Arial"/>
          <w:sz w:val="20"/>
          <w:szCs w:val="20"/>
        </w:rPr>
        <w:t xml:space="preserve"> </w:t>
      </w:r>
      <w:r>
        <w:rPr>
          <w:rFonts w:ascii="Arial" w:hAnsi="Arial" w:cs="Arial"/>
          <w:sz w:val="20"/>
          <w:szCs w:val="20"/>
        </w:rPr>
        <w:t xml:space="preserve"> </w:t>
      </w:r>
      <w:r w:rsidRPr="00B44CB4">
        <w:rPr>
          <w:rFonts w:ascii="Arial" w:hAnsi="Arial" w:cs="Arial"/>
          <w:sz w:val="20"/>
          <w:szCs w:val="20"/>
        </w:rPr>
        <w:t>However</w:t>
      </w:r>
      <w:r w:rsidRPr="00BD1FCC">
        <w:rPr>
          <w:rFonts w:ascii="Arial" w:hAnsi="Arial" w:cs="Arial"/>
          <w:sz w:val="20"/>
          <w:szCs w:val="20"/>
        </w:rPr>
        <w:t xml:space="preserve">, </w:t>
      </w:r>
      <w:r>
        <w:rPr>
          <w:rFonts w:ascii="Arial" w:hAnsi="Arial" w:cs="Arial"/>
          <w:sz w:val="20"/>
          <w:szCs w:val="20"/>
        </w:rPr>
        <w:t xml:space="preserve">its predictive value in the assessment future age-related health risks is not known </w:t>
      </w:r>
      <w:r>
        <w:rPr>
          <w:rFonts w:ascii="Arial" w:hAnsi="Arial" w:cs="Arial"/>
          <w:noProof/>
          <w:sz w:val="20"/>
          <w:szCs w:val="20"/>
        </w:rPr>
        <w:t>[7]</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Uncertainty remains in the literature </w:t>
      </w:r>
      <w:r>
        <w:rPr>
          <w:rFonts w:ascii="Arial" w:hAnsi="Arial" w:cs="Arial"/>
          <w:sz w:val="20"/>
          <w:szCs w:val="20"/>
        </w:rPr>
        <w:t xml:space="preserve">as to </w:t>
      </w:r>
      <w:r w:rsidRPr="00BD1FCC">
        <w:rPr>
          <w:rFonts w:ascii="Arial" w:hAnsi="Arial" w:cs="Arial"/>
          <w:sz w:val="20"/>
          <w:szCs w:val="20"/>
        </w:rPr>
        <w:t>whether TL is a cause or consequence of the ageing process and</w:t>
      </w:r>
      <w:r>
        <w:rPr>
          <w:rFonts w:ascii="Arial" w:hAnsi="Arial" w:cs="Arial"/>
          <w:sz w:val="20"/>
          <w:szCs w:val="20"/>
        </w:rPr>
        <w:t>,</w:t>
      </w:r>
      <w:r w:rsidRPr="00BD1FCC">
        <w:rPr>
          <w:rFonts w:ascii="Arial" w:hAnsi="Arial" w:cs="Arial"/>
          <w:sz w:val="20"/>
          <w:szCs w:val="20"/>
        </w:rPr>
        <w:t xml:space="preserve"> increasingly</w:t>
      </w:r>
      <w:r>
        <w:rPr>
          <w:rFonts w:ascii="Arial" w:hAnsi="Arial" w:cs="Arial"/>
          <w:sz w:val="20"/>
          <w:szCs w:val="20"/>
        </w:rPr>
        <w:t xml:space="preserve">, </w:t>
      </w:r>
      <w:r w:rsidRPr="00BD1FCC">
        <w:rPr>
          <w:rFonts w:ascii="Arial" w:hAnsi="Arial" w:cs="Arial"/>
          <w:sz w:val="20"/>
          <w:szCs w:val="20"/>
        </w:rPr>
        <w:t xml:space="preserve">studies are reporting </w:t>
      </w:r>
      <w:r>
        <w:rPr>
          <w:rFonts w:ascii="Arial" w:hAnsi="Arial" w:cs="Arial"/>
          <w:sz w:val="20"/>
          <w:szCs w:val="20"/>
        </w:rPr>
        <w:t xml:space="preserve">a lack of </w:t>
      </w:r>
      <w:r w:rsidRPr="00BD1FCC">
        <w:rPr>
          <w:rFonts w:ascii="Arial" w:hAnsi="Arial" w:cs="Arial"/>
          <w:sz w:val="20"/>
          <w:szCs w:val="20"/>
        </w:rPr>
        <w:t xml:space="preserve">association with cognitive, physical </w:t>
      </w:r>
      <w:r>
        <w:rPr>
          <w:rFonts w:ascii="Arial" w:hAnsi="Arial" w:cs="Arial"/>
          <w:sz w:val="20"/>
          <w:szCs w:val="20"/>
        </w:rPr>
        <w:t>and</w:t>
      </w:r>
      <w:r w:rsidRPr="00BD1FCC">
        <w:rPr>
          <w:rFonts w:ascii="Arial" w:hAnsi="Arial" w:cs="Arial"/>
          <w:sz w:val="20"/>
          <w:szCs w:val="20"/>
        </w:rPr>
        <w:t xml:space="preserve"> social traits</w:t>
      </w:r>
      <w:r>
        <w:rPr>
          <w:rFonts w:ascii="Arial" w:hAnsi="Arial" w:cs="Arial"/>
          <w:sz w:val="20"/>
          <w:szCs w:val="20"/>
        </w:rPr>
        <w:t>; including grip strength, physical functioning and sarcopenia</w:t>
      </w:r>
      <w:r w:rsidRPr="00BD1FCC">
        <w:rPr>
          <w:rFonts w:ascii="Arial" w:hAnsi="Arial" w:cs="Arial"/>
          <w:sz w:val="20"/>
          <w:szCs w:val="20"/>
        </w:rPr>
        <w:t xml:space="preserve"> </w:t>
      </w:r>
      <w:r>
        <w:rPr>
          <w:rFonts w:ascii="Arial" w:hAnsi="Arial" w:cs="Arial"/>
          <w:noProof/>
          <w:sz w:val="20"/>
          <w:szCs w:val="20"/>
        </w:rPr>
        <w:t>[8-13]</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Despite </w:t>
      </w:r>
      <w:r>
        <w:rPr>
          <w:rFonts w:ascii="Arial" w:hAnsi="Arial" w:cs="Arial"/>
          <w:sz w:val="20"/>
          <w:szCs w:val="20"/>
        </w:rPr>
        <w:t xml:space="preserve">these poor associations, </w:t>
      </w:r>
      <w:r w:rsidRPr="00BD1FCC">
        <w:rPr>
          <w:rFonts w:ascii="Arial" w:hAnsi="Arial" w:cs="Arial"/>
          <w:sz w:val="20"/>
          <w:szCs w:val="20"/>
        </w:rPr>
        <w:t xml:space="preserve">significant inter-individual variation and </w:t>
      </w:r>
      <w:r>
        <w:rPr>
          <w:rFonts w:ascii="Arial" w:hAnsi="Arial" w:cs="Arial"/>
          <w:sz w:val="20"/>
          <w:szCs w:val="20"/>
        </w:rPr>
        <w:t xml:space="preserve">wide confidence intervals, </w:t>
      </w:r>
      <w:r w:rsidRPr="00BD1FCC">
        <w:rPr>
          <w:rFonts w:ascii="Arial" w:hAnsi="Arial" w:cs="Arial"/>
          <w:sz w:val="20"/>
          <w:szCs w:val="20"/>
        </w:rPr>
        <w:t xml:space="preserve">several companies now offer commercial testing </w:t>
      </w:r>
      <w:r>
        <w:rPr>
          <w:rFonts w:ascii="Arial" w:hAnsi="Arial" w:cs="Arial"/>
          <w:sz w:val="20"/>
          <w:szCs w:val="20"/>
        </w:rPr>
        <w:t xml:space="preserve">of TL </w:t>
      </w:r>
      <w:r w:rsidRPr="00BD1FCC">
        <w:rPr>
          <w:rFonts w:ascii="Arial" w:hAnsi="Arial" w:cs="Arial"/>
          <w:sz w:val="20"/>
          <w:szCs w:val="20"/>
        </w:rPr>
        <w:t>for the public</w:t>
      </w:r>
      <w:r>
        <w:rPr>
          <w:rFonts w:ascii="Arial" w:hAnsi="Arial" w:cs="Arial"/>
          <w:sz w:val="20"/>
          <w:szCs w:val="20"/>
        </w:rPr>
        <w:t xml:space="preserve"> </w:t>
      </w:r>
      <w:r>
        <w:rPr>
          <w:rFonts w:ascii="Arial" w:hAnsi="Arial" w:cs="Arial"/>
          <w:noProof/>
          <w:sz w:val="20"/>
          <w:szCs w:val="20"/>
        </w:rPr>
        <w:t>[14]</w:t>
      </w:r>
      <w:r w:rsidRPr="00BD1FCC">
        <w:rPr>
          <w:rFonts w:ascii="Arial" w:hAnsi="Arial" w:cs="Arial"/>
          <w:sz w:val="20"/>
          <w:szCs w:val="20"/>
        </w:rPr>
        <w:t xml:space="preserve">. </w:t>
      </w:r>
    </w:p>
    <w:p w:rsidR="00384FB3" w:rsidRPr="00BD1FCC"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rPr>
          <w:rFonts w:ascii="Arial" w:hAnsi="Arial" w:cs="Arial"/>
          <w:sz w:val="20"/>
          <w:szCs w:val="20"/>
          <w:lang w:eastAsia="en-GB"/>
        </w:rPr>
      </w:pPr>
      <w:r w:rsidRPr="00BD1FCC">
        <w:rPr>
          <w:rFonts w:ascii="Arial" w:hAnsi="Arial" w:cs="Arial"/>
          <w:sz w:val="20"/>
          <w:szCs w:val="20"/>
        </w:rPr>
        <w:t>Physiological ageing is associated with a chronic sub-clinical state, termed inflammaging, characterised by elevated levels of pro-inflammatory cytokines such as interleukin 1</w:t>
      </w:r>
      <w:r>
        <w:rPr>
          <w:rFonts w:ascii="Arial" w:hAnsi="Arial" w:cs="Arial"/>
          <w:sz w:val="20"/>
          <w:szCs w:val="20"/>
        </w:rPr>
        <w:t>β</w:t>
      </w:r>
      <w:r w:rsidRPr="00BD1FCC">
        <w:rPr>
          <w:rFonts w:ascii="Arial" w:hAnsi="Arial" w:cs="Arial"/>
          <w:sz w:val="20"/>
          <w:szCs w:val="20"/>
        </w:rPr>
        <w:t xml:space="preserve"> (IL-1</w:t>
      </w:r>
      <w:r>
        <w:rPr>
          <w:rFonts w:ascii="Arial" w:hAnsi="Arial" w:cs="Arial"/>
          <w:sz w:val="20"/>
          <w:szCs w:val="20"/>
        </w:rPr>
        <w:t>β</w:t>
      </w:r>
      <w:r w:rsidRPr="00BD1FCC">
        <w:rPr>
          <w:rFonts w:ascii="Arial" w:hAnsi="Arial" w:cs="Arial"/>
          <w:sz w:val="20"/>
          <w:szCs w:val="20"/>
        </w:rPr>
        <w:t xml:space="preserve">) and associated with changes to the endocrine axis </w:t>
      </w:r>
      <w:r>
        <w:rPr>
          <w:rFonts w:ascii="Arial" w:hAnsi="Arial" w:cs="Arial"/>
          <w:noProof/>
          <w:sz w:val="20"/>
          <w:szCs w:val="20"/>
        </w:rPr>
        <w:t>[15]</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 </w:t>
      </w:r>
      <w:r w:rsidRPr="00BD1FCC">
        <w:rPr>
          <w:rFonts w:ascii="Arial" w:hAnsi="Arial" w:cs="Arial"/>
          <w:sz w:val="20"/>
          <w:szCs w:val="20"/>
          <w:lang w:eastAsia="en-GB"/>
        </w:rPr>
        <w:t xml:space="preserve">Inflammaging (particularly elevations in levels of </w:t>
      </w:r>
      <w:r w:rsidRPr="00BD1FCC">
        <w:rPr>
          <w:rFonts w:ascii="Arial" w:hAnsi="Arial" w:cs="Arial"/>
          <w:sz w:val="20"/>
          <w:szCs w:val="20"/>
        </w:rPr>
        <w:t>tumour necrosis factor</w:t>
      </w:r>
      <w:r>
        <w:rPr>
          <w:rFonts w:ascii="Arial" w:hAnsi="Arial" w:cs="Arial"/>
          <w:sz w:val="20"/>
          <w:szCs w:val="20"/>
        </w:rPr>
        <w:t xml:space="preserve"> α</w:t>
      </w:r>
      <w:r w:rsidRPr="00BD1FCC">
        <w:rPr>
          <w:rFonts w:ascii="Arial" w:hAnsi="Arial" w:cs="Arial"/>
          <w:sz w:val="20"/>
          <w:szCs w:val="20"/>
          <w:lang w:eastAsia="en-GB"/>
        </w:rPr>
        <w:t xml:space="preserve"> [TNF</w:t>
      </w:r>
      <w:r>
        <w:rPr>
          <w:rFonts w:ascii="Arial" w:hAnsi="Arial" w:cs="Arial"/>
          <w:sz w:val="20"/>
          <w:szCs w:val="20"/>
          <w:lang w:eastAsia="en-GB"/>
        </w:rPr>
        <w:t>α</w:t>
      </w:r>
      <w:r w:rsidRPr="00BD1FCC">
        <w:rPr>
          <w:rFonts w:ascii="Arial" w:hAnsi="Arial" w:cs="Arial"/>
          <w:sz w:val="20"/>
          <w:szCs w:val="20"/>
          <w:lang w:eastAsia="en-GB"/>
        </w:rPr>
        <w:t>], IL-6, IL-1β and C-reactive protein [CRP]) is associated with morbidity and mortality in older people.</w:t>
      </w:r>
      <w:r>
        <w:rPr>
          <w:rFonts w:ascii="Arial" w:hAnsi="Arial" w:cs="Arial"/>
          <w:sz w:val="20"/>
          <w:szCs w:val="20"/>
          <w:lang w:eastAsia="en-GB"/>
        </w:rPr>
        <w:t xml:space="preserve"> </w:t>
      </w:r>
      <w:r w:rsidRPr="00BD1FCC">
        <w:rPr>
          <w:rFonts w:ascii="Arial" w:hAnsi="Arial" w:cs="Arial"/>
          <w:sz w:val="20"/>
          <w:szCs w:val="20"/>
          <w:lang w:eastAsia="en-GB"/>
        </w:rPr>
        <w:t xml:space="preserve"> </w:t>
      </w:r>
      <w:r>
        <w:rPr>
          <w:rFonts w:ascii="Arial" w:hAnsi="Arial" w:cs="Arial"/>
          <w:sz w:val="20"/>
          <w:szCs w:val="20"/>
          <w:lang w:eastAsia="en-GB"/>
        </w:rPr>
        <w:t>Specifically</w:t>
      </w:r>
      <w:r w:rsidRPr="00BD1FCC">
        <w:rPr>
          <w:rFonts w:ascii="Arial" w:hAnsi="Arial" w:cs="Arial"/>
          <w:sz w:val="20"/>
          <w:szCs w:val="20"/>
          <w:lang w:eastAsia="en-GB"/>
        </w:rPr>
        <w:t xml:space="preserve">, pro-inflammatory cytokines have been linked with cardiovascular diseases including atherosclerosis and stroke </w:t>
      </w:r>
      <w:r>
        <w:rPr>
          <w:rFonts w:ascii="Arial" w:hAnsi="Arial" w:cs="Arial"/>
          <w:noProof/>
          <w:sz w:val="20"/>
          <w:szCs w:val="20"/>
          <w:lang w:eastAsia="en-GB"/>
        </w:rPr>
        <w:t>[16]</w:t>
      </w:r>
      <w:r w:rsidRPr="00BD1FCC">
        <w:rPr>
          <w:rFonts w:ascii="Arial" w:hAnsi="Arial" w:cs="Arial"/>
          <w:sz w:val="20"/>
          <w:szCs w:val="20"/>
          <w:lang w:eastAsia="en-GB"/>
        </w:rPr>
        <w:t xml:space="preserve">  and similar associations have been found with other age-related disease such as Alzheimer’s dementia </w:t>
      </w:r>
      <w:r>
        <w:rPr>
          <w:rFonts w:ascii="Arial" w:hAnsi="Arial" w:cs="Arial"/>
          <w:noProof/>
          <w:sz w:val="20"/>
          <w:szCs w:val="20"/>
          <w:lang w:eastAsia="en-GB"/>
        </w:rPr>
        <w:t>[17]</w:t>
      </w:r>
      <w:r w:rsidRPr="00BD1FCC">
        <w:rPr>
          <w:rFonts w:ascii="Arial" w:hAnsi="Arial" w:cs="Arial"/>
          <w:sz w:val="20"/>
          <w:szCs w:val="20"/>
          <w:lang w:eastAsia="en-GB"/>
        </w:rPr>
        <w:t xml:space="preserve">, type 2 diabetes mellitus </w:t>
      </w:r>
      <w:r>
        <w:rPr>
          <w:rFonts w:ascii="Arial" w:hAnsi="Arial" w:cs="Arial"/>
          <w:noProof/>
          <w:sz w:val="20"/>
          <w:szCs w:val="20"/>
          <w:lang w:eastAsia="en-GB"/>
        </w:rPr>
        <w:t>[18]</w:t>
      </w:r>
      <w:r w:rsidRPr="00BD1FCC">
        <w:rPr>
          <w:rFonts w:ascii="Arial" w:hAnsi="Arial" w:cs="Arial"/>
          <w:sz w:val="20"/>
          <w:szCs w:val="20"/>
          <w:lang w:eastAsia="en-GB"/>
        </w:rPr>
        <w:t xml:space="preserve"> and frailty </w:t>
      </w:r>
      <w:r>
        <w:rPr>
          <w:rFonts w:ascii="Arial" w:hAnsi="Arial" w:cs="Arial"/>
          <w:noProof/>
          <w:sz w:val="20"/>
          <w:szCs w:val="20"/>
          <w:lang w:eastAsia="en-GB"/>
        </w:rPr>
        <w:t>[19]</w:t>
      </w:r>
      <w:r w:rsidRPr="00BD1FCC">
        <w:rPr>
          <w:rFonts w:ascii="Arial" w:hAnsi="Arial" w:cs="Arial"/>
          <w:sz w:val="20"/>
          <w:szCs w:val="20"/>
          <w:lang w:eastAsia="en-GB"/>
        </w:rPr>
        <w:t xml:space="preserve">. </w:t>
      </w:r>
      <w:r>
        <w:rPr>
          <w:rFonts w:ascii="Arial" w:hAnsi="Arial" w:cs="Arial"/>
          <w:sz w:val="20"/>
          <w:szCs w:val="20"/>
          <w:lang w:eastAsia="en-GB"/>
        </w:rPr>
        <w:t xml:space="preserve"> </w:t>
      </w:r>
      <w:r w:rsidRPr="00BD1FCC">
        <w:rPr>
          <w:rFonts w:ascii="Arial" w:hAnsi="Arial" w:cs="Arial"/>
          <w:sz w:val="20"/>
          <w:szCs w:val="20"/>
          <w:lang w:eastAsia="en-GB"/>
        </w:rPr>
        <w:t>Furthermore, levels of pro-inflammatory cytokines are noticeably lower in centenarians, a population who</w:t>
      </w:r>
      <w:r>
        <w:rPr>
          <w:rFonts w:ascii="Arial" w:hAnsi="Arial" w:cs="Arial"/>
          <w:sz w:val="20"/>
          <w:szCs w:val="20"/>
          <w:lang w:eastAsia="en-GB"/>
        </w:rPr>
        <w:t xml:space="preserve"> can have be</w:t>
      </w:r>
      <w:r w:rsidRPr="00BD1FCC">
        <w:rPr>
          <w:rFonts w:ascii="Arial" w:hAnsi="Arial" w:cs="Arial"/>
          <w:sz w:val="20"/>
          <w:szCs w:val="20"/>
          <w:lang w:eastAsia="en-GB"/>
        </w:rPr>
        <w:t xml:space="preserve"> deemed to have aged successfully </w:t>
      </w:r>
      <w:r>
        <w:rPr>
          <w:rFonts w:ascii="Arial" w:hAnsi="Arial" w:cs="Arial"/>
          <w:noProof/>
          <w:sz w:val="20"/>
          <w:szCs w:val="20"/>
          <w:lang w:eastAsia="en-GB"/>
        </w:rPr>
        <w:t>[20]</w:t>
      </w:r>
      <w:r w:rsidRPr="00BD1FCC">
        <w:rPr>
          <w:rFonts w:ascii="Arial" w:hAnsi="Arial" w:cs="Arial"/>
          <w:sz w:val="20"/>
          <w:szCs w:val="20"/>
          <w:lang w:eastAsia="en-GB"/>
        </w:rPr>
        <w:t xml:space="preserve">. </w:t>
      </w:r>
      <w:r>
        <w:rPr>
          <w:rFonts w:ascii="Arial" w:hAnsi="Arial" w:cs="Arial"/>
          <w:sz w:val="20"/>
          <w:szCs w:val="20"/>
          <w:lang w:eastAsia="en-GB"/>
        </w:rPr>
        <w:t xml:space="preserve"> </w:t>
      </w:r>
    </w:p>
    <w:p w:rsidR="00384FB3" w:rsidRDefault="00384FB3" w:rsidP="003A5430">
      <w:pPr>
        <w:spacing w:after="0" w:line="480" w:lineRule="auto"/>
        <w:mirrorIndents/>
        <w:rPr>
          <w:rFonts w:ascii="Arial" w:hAnsi="Arial" w:cs="Arial"/>
          <w:sz w:val="20"/>
          <w:szCs w:val="20"/>
          <w:lang w:eastAsia="en-GB"/>
        </w:rPr>
      </w:pPr>
    </w:p>
    <w:p w:rsidR="00384FB3" w:rsidRPr="00BD1FCC" w:rsidRDefault="00384FB3" w:rsidP="003A5430">
      <w:pPr>
        <w:spacing w:after="0" w:line="480" w:lineRule="auto"/>
        <w:mirrorIndents/>
        <w:rPr>
          <w:rFonts w:ascii="Arial" w:hAnsi="Arial" w:cs="Arial"/>
          <w:sz w:val="20"/>
          <w:szCs w:val="20"/>
          <w:lang w:eastAsia="en-GB"/>
        </w:rPr>
      </w:pPr>
      <w:r>
        <w:rPr>
          <w:rFonts w:ascii="Arial" w:hAnsi="Arial" w:cs="Arial"/>
          <w:sz w:val="20"/>
          <w:szCs w:val="20"/>
          <w:lang w:eastAsia="en-GB"/>
        </w:rPr>
        <w:t>C</w:t>
      </w:r>
      <w:r w:rsidRPr="00BD1FCC">
        <w:rPr>
          <w:rFonts w:ascii="Arial" w:hAnsi="Arial" w:cs="Arial"/>
          <w:color w:val="000000"/>
          <w:sz w:val="20"/>
          <w:szCs w:val="20"/>
        </w:rPr>
        <w:t>ortisol and dehydroepiandosterone sulphate (DHEAS) are both outputs of the hypothalamic-pituitary-adrenal (HPA) axis; cortisol has mainly immunosuppressive actions, whilst DHEAS is immune enhancing</w:t>
      </w:r>
      <w:r>
        <w:rPr>
          <w:rFonts w:ascii="Arial" w:hAnsi="Arial" w:cs="Arial"/>
          <w:color w:val="000000"/>
          <w:sz w:val="20"/>
          <w:szCs w:val="20"/>
        </w:rPr>
        <w:t xml:space="preserve"> </w:t>
      </w:r>
      <w:r>
        <w:rPr>
          <w:rFonts w:ascii="Arial" w:hAnsi="Arial" w:cs="Arial"/>
          <w:noProof/>
          <w:color w:val="000000"/>
          <w:sz w:val="20"/>
          <w:szCs w:val="20"/>
        </w:rPr>
        <w:t>[21]</w:t>
      </w:r>
      <w:r w:rsidRPr="00BD1FCC">
        <w:rPr>
          <w:rFonts w:ascii="Arial" w:hAnsi="Arial" w:cs="Arial"/>
          <w:color w:val="000000"/>
          <w:sz w:val="20"/>
          <w:szCs w:val="20"/>
        </w:rPr>
        <w:t xml:space="preserve">. </w:t>
      </w:r>
      <w:r>
        <w:rPr>
          <w:rFonts w:ascii="Arial" w:hAnsi="Arial" w:cs="Arial"/>
          <w:color w:val="000000"/>
          <w:sz w:val="20"/>
          <w:szCs w:val="20"/>
        </w:rPr>
        <w:t xml:space="preserve"> </w:t>
      </w:r>
      <w:r w:rsidRPr="00BD1FCC">
        <w:rPr>
          <w:rFonts w:ascii="Arial" w:hAnsi="Arial" w:cs="Arial"/>
          <w:color w:val="000000"/>
          <w:sz w:val="20"/>
          <w:szCs w:val="20"/>
        </w:rPr>
        <w:t>Both change with age, are believed to contribute to the process of immunosenescence</w:t>
      </w:r>
      <w:r>
        <w:rPr>
          <w:rFonts w:ascii="Arial" w:hAnsi="Arial" w:cs="Arial"/>
          <w:color w:val="000000"/>
          <w:sz w:val="20"/>
          <w:szCs w:val="20"/>
        </w:rPr>
        <w:t>,</w:t>
      </w:r>
      <w:r w:rsidRPr="00BD1FCC">
        <w:rPr>
          <w:rFonts w:ascii="Arial" w:hAnsi="Arial" w:cs="Arial"/>
          <w:color w:val="000000"/>
          <w:sz w:val="20"/>
          <w:szCs w:val="20"/>
        </w:rPr>
        <w:t xml:space="preserve"> and have been associated with age related diseases including sarcopenia and frailty </w:t>
      </w:r>
      <w:r>
        <w:rPr>
          <w:rFonts w:ascii="Arial" w:hAnsi="Arial" w:cs="Arial"/>
          <w:noProof/>
          <w:color w:val="000000"/>
          <w:sz w:val="20"/>
          <w:szCs w:val="20"/>
        </w:rPr>
        <w:t>[19]</w:t>
      </w:r>
      <w:r w:rsidRPr="00BD1FCC">
        <w:rPr>
          <w:rFonts w:ascii="Arial" w:hAnsi="Arial" w:cs="Arial"/>
          <w:color w:val="000000"/>
          <w:sz w:val="20"/>
          <w:szCs w:val="20"/>
        </w:rPr>
        <w:t xml:space="preserve">. </w:t>
      </w:r>
    </w:p>
    <w:p w:rsidR="00384FB3" w:rsidRPr="00BD1FCC"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rPr>
          <w:rFonts w:ascii="Arial" w:hAnsi="Arial" w:cs="Arial"/>
          <w:sz w:val="20"/>
          <w:szCs w:val="20"/>
        </w:rPr>
      </w:pPr>
      <w:r w:rsidRPr="00BD1FCC">
        <w:rPr>
          <w:rFonts w:ascii="Arial" w:hAnsi="Arial" w:cs="Arial"/>
          <w:sz w:val="20"/>
          <w:szCs w:val="20"/>
        </w:rPr>
        <w:t>There is growing evidence that inflammation is associated with TL although the direction of this relationship is unclear and could be bi-directional.</w:t>
      </w:r>
      <w:r>
        <w:rPr>
          <w:rFonts w:ascii="Arial" w:hAnsi="Arial" w:cs="Arial"/>
          <w:sz w:val="20"/>
          <w:szCs w:val="20"/>
        </w:rPr>
        <w:t xml:space="preserve"> </w:t>
      </w:r>
      <w:r w:rsidRPr="00BD1FCC">
        <w:rPr>
          <w:rFonts w:ascii="Arial" w:hAnsi="Arial" w:cs="Arial"/>
          <w:sz w:val="20"/>
          <w:szCs w:val="20"/>
        </w:rPr>
        <w:t xml:space="preserve"> For example, raised IL-6 and TNF</w:t>
      </w:r>
      <w:r>
        <w:rPr>
          <w:rFonts w:ascii="Arial" w:hAnsi="Arial" w:cs="Arial"/>
          <w:sz w:val="20"/>
          <w:szCs w:val="20"/>
        </w:rPr>
        <w:t>α</w:t>
      </w:r>
      <w:r w:rsidRPr="00BD1FCC">
        <w:rPr>
          <w:rFonts w:ascii="Arial" w:hAnsi="Arial" w:cs="Arial"/>
          <w:sz w:val="20"/>
          <w:szCs w:val="20"/>
        </w:rPr>
        <w:t xml:space="preserve"> w</w:t>
      </w:r>
      <w:r>
        <w:rPr>
          <w:rFonts w:ascii="Arial" w:hAnsi="Arial" w:cs="Arial"/>
          <w:sz w:val="20"/>
          <w:szCs w:val="20"/>
        </w:rPr>
        <w:t>ere</w:t>
      </w:r>
      <w:r w:rsidRPr="00BD1FCC">
        <w:rPr>
          <w:rFonts w:ascii="Arial" w:hAnsi="Arial" w:cs="Arial"/>
          <w:sz w:val="20"/>
          <w:szCs w:val="20"/>
        </w:rPr>
        <w:t xml:space="preserve"> associated with shorter TL in 1,962 individuals of the Health, Ageing and Body Composition Study </w:t>
      </w:r>
      <w:r>
        <w:rPr>
          <w:rFonts w:ascii="Arial" w:hAnsi="Arial" w:cs="Arial"/>
          <w:noProof/>
          <w:sz w:val="20"/>
          <w:szCs w:val="20"/>
        </w:rPr>
        <w:t>[22]</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 Shorter TL has also been found in cohorts of patients with chronic inflammatory diseases of liver, kidney and lung </w:t>
      </w:r>
      <w:r>
        <w:rPr>
          <w:rFonts w:ascii="Arial" w:hAnsi="Arial" w:cs="Arial"/>
          <w:noProof/>
          <w:sz w:val="20"/>
          <w:szCs w:val="20"/>
        </w:rPr>
        <w:t>[23]</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 Negative relationships with TL have also been demonstrated with CRP </w:t>
      </w:r>
      <w:r>
        <w:rPr>
          <w:rFonts w:ascii="Arial" w:hAnsi="Arial" w:cs="Arial"/>
          <w:noProof/>
          <w:sz w:val="20"/>
          <w:szCs w:val="20"/>
        </w:rPr>
        <w:t>[24]</w:t>
      </w:r>
      <w:r w:rsidRPr="00BD1FCC">
        <w:rPr>
          <w:rFonts w:ascii="Arial" w:hAnsi="Arial" w:cs="Arial"/>
          <w:sz w:val="20"/>
          <w:szCs w:val="20"/>
        </w:rPr>
        <w:t xml:space="preserve"> and IL-6 </w:t>
      </w:r>
      <w:r>
        <w:rPr>
          <w:rFonts w:ascii="Arial" w:hAnsi="Arial" w:cs="Arial"/>
          <w:noProof/>
          <w:sz w:val="20"/>
          <w:szCs w:val="20"/>
        </w:rPr>
        <w:t>[25]</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 It is </w:t>
      </w:r>
      <w:r>
        <w:rPr>
          <w:rFonts w:ascii="Arial" w:hAnsi="Arial" w:cs="Arial"/>
          <w:sz w:val="20"/>
          <w:szCs w:val="20"/>
        </w:rPr>
        <w:t xml:space="preserve">thus </w:t>
      </w:r>
      <w:r w:rsidRPr="00BD1FCC">
        <w:rPr>
          <w:rFonts w:ascii="Arial" w:hAnsi="Arial" w:cs="Arial"/>
          <w:sz w:val="20"/>
          <w:szCs w:val="20"/>
        </w:rPr>
        <w:t>apparent that the inter-relationships between TL, inflammation and the ageing process are currently unclear a</w:t>
      </w:r>
      <w:r>
        <w:rPr>
          <w:rFonts w:ascii="Arial" w:hAnsi="Arial" w:cs="Arial"/>
          <w:sz w:val="20"/>
          <w:szCs w:val="20"/>
        </w:rPr>
        <w:t>nd warrant further exploration.</w:t>
      </w:r>
    </w:p>
    <w:p w:rsidR="00384FB3"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Therefore the objective of this study was to explore these relationships further using grip strength </w:t>
      </w:r>
      <w:r>
        <w:rPr>
          <w:rFonts w:ascii="Arial" w:hAnsi="Arial" w:cs="Arial"/>
          <w:sz w:val="20"/>
          <w:szCs w:val="20"/>
        </w:rPr>
        <w:t xml:space="preserve">which is associated with age-related morbidity, sarcopenia, frailty, disability and mortality </w:t>
      </w:r>
      <w:r>
        <w:rPr>
          <w:rFonts w:ascii="Arial" w:hAnsi="Arial" w:cs="Arial"/>
          <w:noProof/>
          <w:sz w:val="20"/>
          <w:szCs w:val="20"/>
        </w:rPr>
        <w:t>[26-29]</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Specifically, we aimed to explore the relationship between TL and the ageing process, </w:t>
      </w:r>
      <w:r>
        <w:rPr>
          <w:rFonts w:ascii="Arial" w:hAnsi="Arial" w:cs="Arial"/>
          <w:sz w:val="20"/>
          <w:szCs w:val="20"/>
        </w:rPr>
        <w:t>asking</w:t>
      </w:r>
      <w:r w:rsidRPr="00BD1FCC">
        <w:rPr>
          <w:rFonts w:ascii="Arial" w:hAnsi="Arial" w:cs="Arial"/>
          <w:sz w:val="20"/>
          <w:szCs w:val="20"/>
        </w:rPr>
        <w:t xml:space="preserve"> the question: is TL a cause or consequence of the ageing process and does inflammaging, at least in part, explain the observed associations between TL and ageing?</w:t>
      </w:r>
    </w:p>
    <w:p w:rsidR="00384FB3" w:rsidRPr="00BD1FCC"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Methods</w:t>
      </w:r>
    </w:p>
    <w:p w:rsidR="00384FB3" w:rsidRPr="00BD1FCC" w:rsidRDefault="00384FB3" w:rsidP="003A5430">
      <w:pPr>
        <w:pStyle w:val="Alexdouble"/>
        <w:mirrorIndents/>
        <w:jc w:val="left"/>
        <w:rPr>
          <w:rFonts w:ascii="Arial" w:hAnsi="Arial" w:cs="Arial"/>
          <w:iCs/>
          <w:sz w:val="20"/>
        </w:rPr>
      </w:pPr>
      <w:r w:rsidRPr="00BD1FCC">
        <w:rPr>
          <w:rFonts w:ascii="Arial" w:hAnsi="Arial" w:cs="Arial"/>
          <w:sz w:val="20"/>
        </w:rPr>
        <w:t xml:space="preserve">The Hertfordshire Ageing Study (HAS) has been described previously </w:t>
      </w:r>
      <w:r>
        <w:rPr>
          <w:rFonts w:ascii="Arial" w:hAnsi="Arial" w:cs="Arial"/>
          <w:noProof/>
          <w:sz w:val="20"/>
        </w:rPr>
        <w:t>[30]</w:t>
      </w:r>
      <w:r w:rsidRPr="00BD1FCC">
        <w:rPr>
          <w:rFonts w:ascii="Arial" w:hAnsi="Arial" w:cs="Arial"/>
          <w:sz w:val="20"/>
        </w:rPr>
        <w:t>.</w:t>
      </w:r>
      <w:r w:rsidRPr="00BD1FCC">
        <w:rPr>
          <w:rFonts w:ascii="Arial" w:hAnsi="Arial" w:cs="Arial"/>
          <w:b/>
          <w:sz w:val="20"/>
        </w:rPr>
        <w:t xml:space="preserve"> </w:t>
      </w:r>
      <w:r>
        <w:rPr>
          <w:rFonts w:ascii="Arial" w:hAnsi="Arial" w:cs="Arial"/>
          <w:b/>
          <w:sz w:val="20"/>
        </w:rPr>
        <w:t xml:space="preserve"> </w:t>
      </w:r>
      <w:r w:rsidRPr="00BD1FCC">
        <w:rPr>
          <w:rFonts w:ascii="Arial" w:hAnsi="Arial" w:cs="Arial"/>
          <w:sz w:val="20"/>
        </w:rPr>
        <w:t>In brief, 717 men and women who were born in Hertfordshire, UK between 1920 and 1930 attended a home interview and clinic in 1994/5 where a wide range of markers of ageing were characterised.</w:t>
      </w:r>
      <w:r>
        <w:rPr>
          <w:rFonts w:ascii="Arial" w:hAnsi="Arial" w:cs="Arial"/>
          <w:sz w:val="20"/>
        </w:rPr>
        <w:t xml:space="preserve"> </w:t>
      </w:r>
      <w:r w:rsidRPr="00BD1FCC">
        <w:rPr>
          <w:rFonts w:ascii="Arial" w:hAnsi="Arial" w:cs="Arial"/>
          <w:iCs/>
          <w:sz w:val="20"/>
        </w:rPr>
        <w:t xml:space="preserve"> In 2003/5, a ten year follow-up was conducted; 359 men and women participated in a home interview</w:t>
      </w:r>
      <w:r w:rsidRPr="00FE39E2">
        <w:rPr>
          <w:rFonts w:ascii="Arial" w:hAnsi="Arial" w:cs="Arial"/>
          <w:iCs/>
          <w:sz w:val="20"/>
        </w:rPr>
        <w:t xml:space="preserve">.  </w:t>
      </w:r>
      <w:r>
        <w:rPr>
          <w:rFonts w:ascii="Arial" w:hAnsi="Arial" w:cs="Arial"/>
          <w:sz w:val="20"/>
        </w:rPr>
        <w:t>Reasons for attrition to this point were as follows.  O</w:t>
      </w:r>
      <w:r w:rsidRPr="00FE39E2">
        <w:rPr>
          <w:rFonts w:ascii="Arial" w:hAnsi="Arial" w:cs="Arial"/>
          <w:sz w:val="20"/>
        </w:rPr>
        <w:t>n</w:t>
      </w:r>
      <w:r>
        <w:rPr>
          <w:rFonts w:ascii="Arial" w:hAnsi="Arial" w:cs="Arial"/>
          <w:sz w:val="20"/>
        </w:rPr>
        <w:t>e hundred and twenty-two</w:t>
      </w:r>
      <w:r w:rsidRPr="00FE39E2">
        <w:rPr>
          <w:rFonts w:ascii="Arial" w:hAnsi="Arial" w:cs="Arial"/>
          <w:sz w:val="20"/>
        </w:rPr>
        <w:t xml:space="preserve"> had died</w:t>
      </w:r>
      <w:r>
        <w:rPr>
          <w:rFonts w:ascii="Arial" w:hAnsi="Arial" w:cs="Arial"/>
          <w:sz w:val="20"/>
        </w:rPr>
        <w:t>, 55</w:t>
      </w:r>
      <w:r w:rsidRPr="00FE39E2">
        <w:rPr>
          <w:rFonts w:ascii="Arial" w:hAnsi="Arial" w:cs="Arial"/>
          <w:sz w:val="20"/>
        </w:rPr>
        <w:t xml:space="preserve"> were lost to follow-up owing to failure to trace them across the intervening period</w:t>
      </w:r>
      <w:r>
        <w:rPr>
          <w:rFonts w:ascii="Arial" w:hAnsi="Arial" w:cs="Arial"/>
          <w:sz w:val="20"/>
        </w:rPr>
        <w:t>, and 181 were</w:t>
      </w:r>
      <w:r w:rsidRPr="00FE39E2">
        <w:rPr>
          <w:rFonts w:ascii="Arial" w:hAnsi="Arial" w:cs="Arial"/>
          <w:sz w:val="20"/>
        </w:rPr>
        <w:t xml:space="preserve"> traced but declined the invitation to take part</w:t>
      </w:r>
      <w:r>
        <w:rPr>
          <w:rFonts w:ascii="Arial" w:hAnsi="Arial" w:cs="Arial"/>
          <w:sz w:val="20"/>
        </w:rPr>
        <w:t xml:space="preserve"> [30]</w:t>
      </w:r>
      <w:r w:rsidRPr="00FE39E2">
        <w:rPr>
          <w:rFonts w:ascii="Arial" w:hAnsi="Arial" w:cs="Arial"/>
          <w:sz w:val="20"/>
        </w:rPr>
        <w:t xml:space="preserve">. </w:t>
      </w:r>
      <w:r w:rsidRPr="00FE39E2">
        <w:rPr>
          <w:rFonts w:ascii="Arial" w:hAnsi="Arial" w:cs="Arial"/>
          <w:iCs/>
          <w:sz w:val="20"/>
        </w:rPr>
        <w:t xml:space="preserve"> 254 attended a clinic for further assessment.  All-cause mo</w:t>
      </w:r>
      <w:r w:rsidRPr="00BD1FCC">
        <w:rPr>
          <w:rFonts w:ascii="Arial" w:hAnsi="Arial" w:cs="Arial"/>
          <w:iCs/>
          <w:sz w:val="20"/>
        </w:rPr>
        <w:t xml:space="preserve">rtality was ascertained between 1994/5 and 2003/5. </w:t>
      </w:r>
    </w:p>
    <w:p w:rsidR="00384FB3" w:rsidRPr="00BD1FCC" w:rsidRDefault="00384FB3" w:rsidP="003A5430">
      <w:pPr>
        <w:pStyle w:val="Alexdouble"/>
        <w:mirrorIndents/>
        <w:jc w:val="left"/>
        <w:rPr>
          <w:rFonts w:ascii="Arial" w:hAnsi="Arial" w:cs="Arial"/>
          <w:iCs/>
          <w:sz w:val="20"/>
        </w:rPr>
      </w:pPr>
    </w:p>
    <w:p w:rsidR="00384FB3" w:rsidRPr="00BD1FCC" w:rsidRDefault="00384FB3" w:rsidP="003A5430">
      <w:pPr>
        <w:spacing w:after="0" w:line="480" w:lineRule="auto"/>
        <w:mirrorIndents/>
        <w:rPr>
          <w:rFonts w:ascii="Arial" w:hAnsi="Arial" w:cs="Arial"/>
          <w:iCs/>
          <w:sz w:val="20"/>
          <w:szCs w:val="20"/>
        </w:rPr>
      </w:pPr>
      <w:r w:rsidRPr="00BD1FCC">
        <w:rPr>
          <w:rFonts w:ascii="Arial" w:hAnsi="Arial" w:cs="Arial"/>
          <w:sz w:val="20"/>
          <w:szCs w:val="20"/>
        </w:rPr>
        <w:t xml:space="preserve">At the 1994/5 baseline HAS home interview a trained research nurse, among other things, ascertained smoking habit, alcohol intake and current or most recent full-time occupation and husband’s occupation for ever-married women. </w:t>
      </w:r>
      <w:r>
        <w:rPr>
          <w:rFonts w:ascii="Arial" w:hAnsi="Arial" w:cs="Arial"/>
          <w:sz w:val="20"/>
          <w:szCs w:val="20"/>
        </w:rPr>
        <w:t xml:space="preserve"> H</w:t>
      </w:r>
      <w:r w:rsidRPr="00BD1FCC">
        <w:rPr>
          <w:rFonts w:ascii="Arial" w:hAnsi="Arial" w:cs="Arial"/>
          <w:sz w:val="20"/>
          <w:szCs w:val="20"/>
        </w:rPr>
        <w:t xml:space="preserve">eight and weight were measured and a venous blood sample collected and serum stored at -80°C for future analysis. </w:t>
      </w:r>
      <w:r>
        <w:rPr>
          <w:rFonts w:ascii="Arial" w:hAnsi="Arial" w:cs="Arial"/>
          <w:sz w:val="20"/>
          <w:szCs w:val="20"/>
        </w:rPr>
        <w:t xml:space="preserve"> </w:t>
      </w:r>
      <w:r w:rsidRPr="00BD1FCC">
        <w:rPr>
          <w:rFonts w:ascii="Arial" w:hAnsi="Arial" w:cs="Arial"/>
          <w:sz w:val="20"/>
          <w:szCs w:val="20"/>
        </w:rPr>
        <w:t xml:space="preserve">This process was repeated at </w:t>
      </w:r>
      <w:r>
        <w:rPr>
          <w:rFonts w:ascii="Arial" w:hAnsi="Arial" w:cs="Arial"/>
          <w:sz w:val="20"/>
          <w:szCs w:val="20"/>
        </w:rPr>
        <w:t xml:space="preserve">the </w:t>
      </w:r>
      <w:r w:rsidRPr="00BD1FCC">
        <w:rPr>
          <w:rFonts w:ascii="Arial" w:hAnsi="Arial" w:cs="Arial"/>
          <w:sz w:val="20"/>
          <w:szCs w:val="20"/>
        </w:rPr>
        <w:t xml:space="preserve">2003/5 follow-up. </w:t>
      </w:r>
      <w:r>
        <w:rPr>
          <w:rFonts w:ascii="Arial" w:hAnsi="Arial" w:cs="Arial"/>
          <w:sz w:val="20"/>
          <w:szCs w:val="20"/>
        </w:rPr>
        <w:t xml:space="preserve"> </w:t>
      </w:r>
      <w:r w:rsidRPr="00BD1FCC">
        <w:rPr>
          <w:rFonts w:ascii="Arial" w:hAnsi="Arial" w:cs="Arial"/>
          <w:iCs/>
          <w:sz w:val="20"/>
          <w:szCs w:val="20"/>
        </w:rPr>
        <w:t xml:space="preserve">Grip strength was assessed at 1994/5 baseline and 2003/5 follow-up clinics with a </w:t>
      </w:r>
      <w:r w:rsidRPr="00BD1FCC">
        <w:rPr>
          <w:rFonts w:ascii="Arial" w:hAnsi="Arial" w:cs="Arial"/>
          <w:sz w:val="20"/>
          <w:szCs w:val="20"/>
          <w:lang w:eastAsia="en-GB"/>
        </w:rPr>
        <w:t>Jamar® handheld hydraulic dynamomete</w:t>
      </w:r>
      <w:r w:rsidRPr="003F7337">
        <w:rPr>
          <w:rFonts w:ascii="Arial" w:hAnsi="Arial" w:cs="Arial"/>
          <w:sz w:val="20"/>
          <w:szCs w:val="20"/>
          <w:lang w:eastAsia="en-GB"/>
        </w:rPr>
        <w:t>r, (Promedics, UK)</w:t>
      </w:r>
      <w:r w:rsidRPr="003F7337">
        <w:rPr>
          <w:rFonts w:ascii="Arial" w:hAnsi="Arial" w:cs="Arial"/>
          <w:iCs/>
          <w:sz w:val="20"/>
          <w:szCs w:val="20"/>
        </w:rPr>
        <w:t xml:space="preserve"> using </w:t>
      </w:r>
      <w:r w:rsidRPr="00BD1FCC">
        <w:rPr>
          <w:rFonts w:ascii="Arial" w:hAnsi="Arial" w:cs="Arial"/>
          <w:iCs/>
          <w:sz w:val="20"/>
          <w:szCs w:val="20"/>
        </w:rPr>
        <w:t xml:space="preserve">the Southampton protocol </w:t>
      </w:r>
      <w:r>
        <w:rPr>
          <w:rFonts w:ascii="Arial" w:hAnsi="Arial" w:cs="Arial"/>
          <w:iCs/>
          <w:noProof/>
          <w:sz w:val="20"/>
          <w:szCs w:val="20"/>
        </w:rPr>
        <w:t>[31]</w:t>
      </w:r>
      <w:r w:rsidRPr="00BD1FCC">
        <w:rPr>
          <w:rFonts w:ascii="Arial" w:hAnsi="Arial" w:cs="Arial"/>
          <w:iCs/>
          <w:sz w:val="20"/>
          <w:szCs w:val="20"/>
        </w:rPr>
        <w:t xml:space="preserve">. </w:t>
      </w:r>
    </w:p>
    <w:p w:rsidR="00384FB3" w:rsidRPr="00BD1FCC" w:rsidRDefault="00384FB3" w:rsidP="003A5430">
      <w:pPr>
        <w:pStyle w:val="Alexdouble"/>
        <w:mirrorIndents/>
        <w:jc w:val="left"/>
        <w:rPr>
          <w:rFonts w:ascii="Arial" w:hAnsi="Arial" w:cs="Arial"/>
          <w:iCs/>
          <w:sz w:val="20"/>
        </w:rPr>
      </w:pPr>
    </w:p>
    <w:p w:rsidR="00384FB3" w:rsidRPr="00BD1FCC" w:rsidRDefault="00384FB3" w:rsidP="003A5430">
      <w:pPr>
        <w:spacing w:after="0" w:line="480" w:lineRule="auto"/>
        <w:mirrorIndents/>
        <w:outlineLvl w:val="0"/>
        <w:rPr>
          <w:rFonts w:ascii="Arial" w:hAnsi="Arial" w:cs="Arial"/>
          <w:sz w:val="20"/>
          <w:szCs w:val="20"/>
        </w:rPr>
      </w:pPr>
      <w:r w:rsidRPr="00BD1FCC">
        <w:rPr>
          <w:rFonts w:ascii="Arial" w:hAnsi="Arial" w:cs="Arial"/>
          <w:i/>
          <w:sz w:val="20"/>
          <w:szCs w:val="20"/>
        </w:rPr>
        <w:t>Serological and Telomere Analysis</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IL-1</w:t>
      </w:r>
      <w:r w:rsidRPr="00BD1FCC">
        <w:rPr>
          <w:rFonts w:ascii="Arial" w:hAnsi="Arial" w:cs="Arial"/>
          <w:color w:val="000000"/>
          <w:sz w:val="20"/>
          <w:szCs w:val="20"/>
        </w:rPr>
        <w:t xml:space="preserve">β and IL-6 are the principle pro-inflammatory cytokines and were selected as markers of inflammaging. </w:t>
      </w:r>
      <w:r>
        <w:rPr>
          <w:rFonts w:ascii="Arial" w:hAnsi="Arial" w:cs="Arial"/>
          <w:color w:val="000000"/>
          <w:sz w:val="20"/>
          <w:szCs w:val="20"/>
        </w:rPr>
        <w:t xml:space="preserve"> </w:t>
      </w:r>
      <w:r w:rsidRPr="00BD1FCC">
        <w:rPr>
          <w:rFonts w:ascii="Arial" w:hAnsi="Arial" w:cs="Arial"/>
          <w:sz w:val="20"/>
          <w:szCs w:val="20"/>
        </w:rPr>
        <w:t>They were simultaneously measured using commercially available multiplex luminometry</w:t>
      </w:r>
      <w:r>
        <w:rPr>
          <w:rFonts w:ascii="Arial" w:hAnsi="Arial" w:cs="Arial"/>
          <w:sz w:val="20"/>
          <w:szCs w:val="20"/>
        </w:rPr>
        <w:t xml:space="preserve"> (BioRad Ltd, Hemel Hempstead, UK)</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Detection of serum cortisol, DHEAS and cytomegalovirus (CMV) IgG antibodies were completed using commercially available enzyme-linked immunosorbent assay kits (IBL International, Germany).</w:t>
      </w:r>
    </w:p>
    <w:p w:rsidR="00384FB3" w:rsidRPr="00BD1FCC" w:rsidRDefault="00384FB3" w:rsidP="003A5430">
      <w:pPr>
        <w:pStyle w:val="Alexdouble"/>
        <w:mirrorIndents/>
        <w:jc w:val="left"/>
        <w:rPr>
          <w:rFonts w:ascii="Arial" w:hAnsi="Arial" w:cs="Arial"/>
          <w:iCs/>
          <w:sz w:val="20"/>
        </w:rPr>
      </w:pPr>
    </w:p>
    <w:p w:rsidR="00384FB3" w:rsidRPr="00BD1FCC" w:rsidRDefault="00384FB3" w:rsidP="003A5430">
      <w:pPr>
        <w:spacing w:after="0" w:line="480" w:lineRule="auto"/>
        <w:mirrorIndents/>
        <w:rPr>
          <w:rFonts w:ascii="Arial" w:hAnsi="Arial" w:cs="Arial"/>
          <w:iCs/>
          <w:sz w:val="20"/>
          <w:szCs w:val="20"/>
        </w:rPr>
      </w:pPr>
      <w:r w:rsidRPr="00BD1FCC">
        <w:rPr>
          <w:rFonts w:ascii="Arial" w:hAnsi="Arial" w:cs="Arial"/>
          <w:iCs/>
          <w:sz w:val="20"/>
          <w:szCs w:val="20"/>
        </w:rPr>
        <w:t>DNA was extracted from full fresh blood (white blood cells, i.e. granulocytes and peripheral blood mononuclear cells (PBMC)</w:t>
      </w:r>
      <w:r>
        <w:rPr>
          <w:rFonts w:ascii="Arial" w:hAnsi="Arial" w:cs="Arial"/>
          <w:iCs/>
          <w:sz w:val="20"/>
          <w:szCs w:val="20"/>
        </w:rPr>
        <w:t>)</w:t>
      </w:r>
      <w:r w:rsidRPr="00BD1FCC">
        <w:rPr>
          <w:rFonts w:ascii="Arial" w:hAnsi="Arial" w:cs="Arial"/>
          <w:iCs/>
          <w:sz w:val="20"/>
          <w:szCs w:val="20"/>
        </w:rPr>
        <w:t xml:space="preserve"> with the QIAmp DNA Maxi kit (Qiagen Ltd, Crawley, UK)</w:t>
      </w:r>
      <w:r>
        <w:rPr>
          <w:rFonts w:ascii="Arial" w:hAnsi="Arial" w:cs="Arial"/>
          <w:iCs/>
          <w:sz w:val="20"/>
          <w:szCs w:val="20"/>
        </w:rPr>
        <w:t xml:space="preserve"> and all analyses were performed at the same time</w:t>
      </w:r>
      <w:r w:rsidRPr="00BD1FCC">
        <w:rPr>
          <w:rFonts w:ascii="Arial" w:hAnsi="Arial" w:cs="Arial"/>
          <w:iCs/>
          <w:sz w:val="20"/>
          <w:szCs w:val="20"/>
        </w:rPr>
        <w:t>.</w:t>
      </w:r>
      <w:r>
        <w:rPr>
          <w:rFonts w:ascii="Arial" w:hAnsi="Arial" w:cs="Arial"/>
          <w:iCs/>
          <w:sz w:val="20"/>
          <w:szCs w:val="20"/>
        </w:rPr>
        <w:t xml:space="preserve">  </w:t>
      </w:r>
      <w:r w:rsidRPr="00BD1FCC">
        <w:rPr>
          <w:rFonts w:ascii="Arial" w:hAnsi="Arial" w:cs="Arial"/>
          <w:iCs/>
          <w:sz w:val="20"/>
          <w:szCs w:val="20"/>
        </w:rPr>
        <w:t>DNA concentration and quality were monitored by agarose gel electrophoresis.  Samples were discarded if DNA degradation (smear &lt;20 kb) was visible.  TL was measured as the ratio of the starting quantity for telomeres versus the starting quantity for the single copy gene of glyceraldehyde-3-phosphate dehydrogenase (as control) by quant</w:t>
      </w:r>
      <w:r>
        <w:rPr>
          <w:rFonts w:ascii="Arial" w:hAnsi="Arial" w:cs="Arial"/>
          <w:iCs/>
          <w:sz w:val="20"/>
          <w:szCs w:val="20"/>
        </w:rPr>
        <w:t>it</w:t>
      </w:r>
      <w:r w:rsidRPr="00BD1FCC">
        <w:rPr>
          <w:rFonts w:ascii="Arial" w:hAnsi="Arial" w:cs="Arial"/>
          <w:iCs/>
          <w:sz w:val="20"/>
          <w:szCs w:val="20"/>
        </w:rPr>
        <w:t>ative real-time polymerase chain reaction (PCR).  Measurements were performe</w:t>
      </w:r>
      <w:r>
        <w:rPr>
          <w:rFonts w:ascii="Arial" w:hAnsi="Arial" w:cs="Arial"/>
          <w:iCs/>
          <w:sz w:val="20"/>
          <w:szCs w:val="20"/>
        </w:rPr>
        <w:t>d in quadruplicate</w:t>
      </w:r>
      <w:r w:rsidRPr="00BD1FCC">
        <w:rPr>
          <w:rFonts w:ascii="Arial" w:hAnsi="Arial" w:cs="Arial"/>
          <w:iCs/>
          <w:sz w:val="20"/>
          <w:szCs w:val="20"/>
        </w:rPr>
        <w:t>.  Three DNA samples with known telomere lengths (3.0, 5.5 and 9.5 kb pairs) were run as internal standards together with each batch of 16 study samples to convert the ratios of starting quality into telomere lengths in base pairs.  The intra-assay coefficient of variation for this PCR method in our lab is 2.65% and inter-assay coefficient of variation is 5.12%.</w:t>
      </w:r>
    </w:p>
    <w:p w:rsidR="00384FB3" w:rsidRPr="00BD1FCC" w:rsidRDefault="00384FB3" w:rsidP="003A5430">
      <w:pPr>
        <w:spacing w:after="0" w:line="480" w:lineRule="auto"/>
        <w:mirrorIndents/>
        <w:rPr>
          <w:rFonts w:ascii="Arial" w:hAnsi="Arial" w:cs="Arial"/>
          <w:iCs/>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lastRenderedPageBreak/>
        <w:t xml:space="preserve">Intra- and inter-observer studies were carried out during the fieldwork. </w:t>
      </w:r>
      <w:r>
        <w:rPr>
          <w:rFonts w:ascii="Arial" w:hAnsi="Arial" w:cs="Arial"/>
          <w:sz w:val="20"/>
          <w:szCs w:val="20"/>
        </w:rPr>
        <w:t xml:space="preserve"> </w:t>
      </w:r>
      <w:r w:rsidRPr="00BD1FCC">
        <w:rPr>
          <w:rFonts w:ascii="Arial" w:hAnsi="Arial" w:cs="Arial"/>
          <w:sz w:val="20"/>
          <w:szCs w:val="20"/>
        </w:rPr>
        <w:t>The HAS had ethical approval from the Hertfordshire and Bedfordshire Local Research Ethics Committee and all participants gave written informed consent.</w:t>
      </w:r>
    </w:p>
    <w:p w:rsidR="00384FB3" w:rsidRPr="00BD1FCC"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outlineLvl w:val="0"/>
        <w:rPr>
          <w:rFonts w:ascii="Arial" w:hAnsi="Arial" w:cs="Arial"/>
          <w:i/>
          <w:sz w:val="20"/>
          <w:szCs w:val="20"/>
        </w:rPr>
      </w:pPr>
      <w:r w:rsidRPr="00BD1FCC">
        <w:rPr>
          <w:rFonts w:ascii="Arial" w:hAnsi="Arial" w:cs="Arial"/>
          <w:i/>
          <w:sz w:val="20"/>
          <w:szCs w:val="20"/>
        </w:rPr>
        <w:t xml:space="preserve">Statistical methods </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Percentage changes in biomarkers and TL from baseline to follow-up were calculated by dividing the difference in values (difference = follow-up – baseline values) by the baseline values, multiplying by 100 and then converting to z-scores using a Fisher-Yates transformation. </w:t>
      </w:r>
      <w:r>
        <w:rPr>
          <w:rFonts w:ascii="Arial" w:hAnsi="Arial" w:cs="Arial"/>
          <w:sz w:val="20"/>
          <w:szCs w:val="20"/>
        </w:rPr>
        <w:t xml:space="preserve"> </w:t>
      </w:r>
      <w:r w:rsidRPr="00BD1FCC">
        <w:rPr>
          <w:rFonts w:ascii="Arial" w:hAnsi="Arial" w:cs="Arial"/>
          <w:sz w:val="20"/>
          <w:szCs w:val="20"/>
        </w:rPr>
        <w:t>Weight and height were positively correlated at 2003/5 follow-up (r</w:t>
      </w:r>
      <w:r w:rsidRPr="00BD1FCC">
        <w:rPr>
          <w:rFonts w:ascii="Arial" w:hAnsi="Arial" w:cs="Arial"/>
          <w:sz w:val="20"/>
          <w:szCs w:val="20"/>
          <w:vertAlign w:val="subscript"/>
        </w:rPr>
        <w:t>follow-up</w:t>
      </w:r>
      <w:r w:rsidRPr="00BD1FCC">
        <w:rPr>
          <w:rFonts w:ascii="Arial" w:hAnsi="Arial" w:cs="Arial"/>
          <w:sz w:val="20"/>
          <w:szCs w:val="20"/>
        </w:rPr>
        <w:t xml:space="preserve">=0.58, p&lt;0.001); to avoid multicolinearity problems, standardised residuals of weight </w:t>
      </w:r>
      <w:r w:rsidRPr="00F93275">
        <w:rPr>
          <w:rFonts w:ascii="Arial" w:hAnsi="Arial" w:cs="Arial"/>
          <w:sz w:val="20"/>
          <w:szCs w:val="20"/>
        </w:rPr>
        <w:t>adjusted for height were used.  Linear regression models were used to explore the associations of biomarkers and TL (expressed as z-scores of % change pe</w:t>
      </w:r>
      <w:r>
        <w:rPr>
          <w:rFonts w:ascii="Arial" w:hAnsi="Arial" w:cs="Arial"/>
          <w:sz w:val="20"/>
          <w:szCs w:val="20"/>
        </w:rPr>
        <w:t>r year of follow-up) with grip strength at 2003/5 follow-up</w:t>
      </w:r>
      <w:r w:rsidRPr="00F93275">
        <w:rPr>
          <w:rFonts w:ascii="Arial" w:hAnsi="Arial" w:cs="Arial"/>
          <w:sz w:val="20"/>
          <w:szCs w:val="20"/>
        </w:rPr>
        <w:t>.  Analyses were</w:t>
      </w:r>
      <w:r w:rsidRPr="00BD1FCC">
        <w:rPr>
          <w:rFonts w:ascii="Arial" w:hAnsi="Arial" w:cs="Arial"/>
          <w:sz w:val="20"/>
          <w:szCs w:val="20"/>
        </w:rPr>
        <w:t xml:space="preserve"> conducted with adjustment for sex and age, with and without further adjustment for the potential confounding influences of height, weight for height, smoking status, alcohol consumption and social class at 2003/5 follow-up and also CMV seropositivity. </w:t>
      </w:r>
      <w:r>
        <w:rPr>
          <w:rFonts w:ascii="Arial" w:hAnsi="Arial" w:cs="Arial"/>
          <w:sz w:val="20"/>
          <w:szCs w:val="20"/>
        </w:rPr>
        <w:t xml:space="preserve"> </w:t>
      </w:r>
      <w:r w:rsidRPr="00BD1FCC">
        <w:rPr>
          <w:rFonts w:ascii="Arial" w:hAnsi="Arial" w:cs="Arial"/>
          <w:sz w:val="20"/>
          <w:szCs w:val="20"/>
        </w:rPr>
        <w:t>Analyses were conducted for both genders combined and repeated separately for men and women given that significant (p&lt;0.05) interactions were identified between gender and percent change in DHEAS and TL as predictors of grip strength at follow-up. A 5% significance level was used to identify statistically significant associations.</w:t>
      </w:r>
      <w:r>
        <w:rPr>
          <w:rFonts w:ascii="Arial" w:hAnsi="Arial" w:cs="Arial"/>
          <w:sz w:val="20"/>
          <w:szCs w:val="20"/>
        </w:rPr>
        <w:t xml:space="preserve"> </w:t>
      </w:r>
      <w:r w:rsidRPr="00BD1FCC">
        <w:rPr>
          <w:rFonts w:ascii="Arial" w:hAnsi="Arial" w:cs="Arial"/>
          <w:sz w:val="20"/>
          <w:szCs w:val="20"/>
        </w:rPr>
        <w:t xml:space="preserve"> Data were analysed using Stata version 11.0 (Stata Statistical Software, StataCorp 2009).</w:t>
      </w:r>
    </w:p>
    <w:p w:rsidR="00384FB3" w:rsidRPr="00BD1FCC" w:rsidRDefault="00384FB3" w:rsidP="003A5430">
      <w:pPr>
        <w:spacing w:after="0" w:line="480" w:lineRule="auto"/>
        <w:mirrorIndents/>
        <w:rPr>
          <w:rFonts w:ascii="Arial" w:hAnsi="Arial" w:cs="Arial"/>
          <w:b/>
          <w:sz w:val="20"/>
          <w:szCs w:val="20"/>
        </w:rPr>
      </w:pPr>
    </w:p>
    <w:p w:rsidR="00384FB3" w:rsidRPr="00BD1FCC"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Results</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In the 1994/5 baseline clinic, 411 men and 306 women participated. </w:t>
      </w:r>
      <w:r>
        <w:rPr>
          <w:rFonts w:ascii="Arial" w:hAnsi="Arial" w:cs="Arial"/>
          <w:sz w:val="20"/>
          <w:szCs w:val="20"/>
        </w:rPr>
        <w:t xml:space="preserve"> </w:t>
      </w:r>
      <w:r w:rsidRPr="00BD1FCC">
        <w:rPr>
          <w:rFonts w:ascii="Arial" w:hAnsi="Arial" w:cs="Arial"/>
          <w:sz w:val="20"/>
          <w:szCs w:val="20"/>
        </w:rPr>
        <w:t xml:space="preserve">Of these, complete data on TL were available for 388 (94.4%) men and 269 (87.9%) women. </w:t>
      </w:r>
      <w:r>
        <w:rPr>
          <w:rFonts w:ascii="Arial" w:hAnsi="Arial" w:cs="Arial"/>
          <w:sz w:val="20"/>
          <w:szCs w:val="20"/>
        </w:rPr>
        <w:t xml:space="preserve"> </w:t>
      </w:r>
      <w:r w:rsidRPr="00BD1FCC">
        <w:rPr>
          <w:rFonts w:ascii="Arial" w:hAnsi="Arial" w:cs="Arial"/>
          <w:sz w:val="20"/>
          <w:szCs w:val="20"/>
        </w:rPr>
        <w:t xml:space="preserve">At 2003/5 follow-up clinic, 208 men and 151 women were successfully followed-up of whom TL data were available for 165 men (79.3%) and 112 (74.2%) women. </w:t>
      </w:r>
      <w:r>
        <w:rPr>
          <w:rFonts w:ascii="Arial" w:hAnsi="Arial" w:cs="Arial"/>
          <w:sz w:val="20"/>
          <w:szCs w:val="20"/>
        </w:rPr>
        <w:t xml:space="preserve"> </w:t>
      </w:r>
      <w:r w:rsidRPr="00BD1FCC">
        <w:rPr>
          <w:rFonts w:ascii="Arial" w:hAnsi="Arial" w:cs="Arial"/>
          <w:sz w:val="20"/>
          <w:szCs w:val="20"/>
        </w:rPr>
        <w:t>Analysis was conducted on 158 men and 95 women who had available TL data at both 1994/5 baseline and 2003/5 follow-up.</w:t>
      </w:r>
    </w:p>
    <w:p w:rsidR="00384FB3" w:rsidRPr="00BD1FCC" w:rsidRDefault="00384FB3" w:rsidP="003A5430">
      <w:pPr>
        <w:spacing w:after="0" w:line="480" w:lineRule="auto"/>
        <w:mirrorIndents/>
        <w:rPr>
          <w:rFonts w:ascii="Arial" w:hAnsi="Arial" w:cs="Arial"/>
          <w:iCs/>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Table 1 shows baseline and follow-up summary characteristics of the 253 subjects in the study. </w:t>
      </w:r>
      <w:r>
        <w:rPr>
          <w:rFonts w:ascii="Arial" w:hAnsi="Arial" w:cs="Arial"/>
          <w:sz w:val="20"/>
          <w:szCs w:val="20"/>
        </w:rPr>
        <w:t xml:space="preserve"> </w:t>
      </w:r>
      <w:r w:rsidRPr="00BD1FCC">
        <w:rPr>
          <w:rFonts w:ascii="Arial" w:hAnsi="Arial" w:cs="Arial"/>
          <w:sz w:val="20"/>
          <w:szCs w:val="20"/>
        </w:rPr>
        <w:t xml:space="preserve">The average age at the 1994/5 baseline clinic was 67.1 years for men and 67.2 years for women. </w:t>
      </w:r>
      <w:r>
        <w:rPr>
          <w:rFonts w:ascii="Arial" w:hAnsi="Arial" w:cs="Arial"/>
          <w:sz w:val="20"/>
          <w:szCs w:val="20"/>
        </w:rPr>
        <w:t xml:space="preserve"> </w:t>
      </w:r>
      <w:r w:rsidRPr="00BD1FCC">
        <w:rPr>
          <w:rFonts w:ascii="Arial" w:hAnsi="Arial" w:cs="Arial"/>
          <w:sz w:val="20"/>
          <w:szCs w:val="20"/>
        </w:rPr>
        <w:t xml:space="preserve">The corresponding average age at follow-up was 76.5 for men and 76.2 years for women. </w:t>
      </w:r>
      <w:r>
        <w:rPr>
          <w:rFonts w:ascii="Arial" w:hAnsi="Arial" w:cs="Arial"/>
          <w:sz w:val="20"/>
          <w:szCs w:val="20"/>
        </w:rPr>
        <w:t xml:space="preserve"> </w:t>
      </w:r>
      <w:r w:rsidRPr="00BD1FCC">
        <w:rPr>
          <w:rFonts w:ascii="Arial" w:hAnsi="Arial" w:cs="Arial"/>
          <w:sz w:val="20"/>
          <w:szCs w:val="20"/>
        </w:rPr>
        <w:t xml:space="preserve">The median </w:t>
      </w:r>
      <w:r w:rsidRPr="00BD1FCC">
        <w:rPr>
          <w:rFonts w:ascii="Arial" w:hAnsi="Arial" w:cs="Arial"/>
          <w:sz w:val="20"/>
          <w:szCs w:val="20"/>
        </w:rPr>
        <w:lastRenderedPageBreak/>
        <w:t xml:space="preserve">follow-up time was 9.3 years. </w:t>
      </w:r>
      <w:r>
        <w:rPr>
          <w:rFonts w:ascii="Arial" w:hAnsi="Arial" w:cs="Arial"/>
          <w:sz w:val="20"/>
          <w:szCs w:val="20"/>
        </w:rPr>
        <w:t xml:space="preserve"> </w:t>
      </w:r>
      <w:r w:rsidRPr="00BD1FCC">
        <w:rPr>
          <w:rFonts w:ascii="Arial" w:hAnsi="Arial" w:cs="Arial"/>
          <w:sz w:val="20"/>
          <w:szCs w:val="20"/>
        </w:rPr>
        <w:t xml:space="preserve">Grip strength was little altered from baseline to follow-up but was significantly higher among men than women at both time points (p&lt;0.001). </w:t>
      </w:r>
      <w:r>
        <w:rPr>
          <w:rFonts w:ascii="Arial" w:hAnsi="Arial" w:cs="Arial"/>
          <w:sz w:val="20"/>
          <w:szCs w:val="20"/>
        </w:rPr>
        <w:t xml:space="preserve"> There was no gender difference in median telomere length a</w:t>
      </w:r>
      <w:r w:rsidRPr="00BD1FCC">
        <w:rPr>
          <w:rFonts w:ascii="Arial" w:hAnsi="Arial" w:cs="Arial"/>
          <w:sz w:val="20"/>
          <w:szCs w:val="20"/>
        </w:rPr>
        <w:t>t t</w:t>
      </w:r>
      <w:r>
        <w:rPr>
          <w:rFonts w:ascii="Arial" w:hAnsi="Arial" w:cs="Arial"/>
          <w:sz w:val="20"/>
          <w:szCs w:val="20"/>
        </w:rPr>
        <w:t>he 1994/5 baseline clinic (</w:t>
      </w:r>
      <w:r w:rsidRPr="00BD1FCC">
        <w:rPr>
          <w:rFonts w:ascii="Arial" w:hAnsi="Arial" w:cs="Arial"/>
          <w:sz w:val="20"/>
          <w:szCs w:val="20"/>
        </w:rPr>
        <w:t>TL was 5042 basepairs (bp) in men and 4901 bp in women</w:t>
      </w:r>
      <w:r>
        <w:rPr>
          <w:rFonts w:ascii="Arial" w:hAnsi="Arial" w:cs="Arial"/>
          <w:sz w:val="20"/>
          <w:szCs w:val="20"/>
        </w:rPr>
        <w:t>), nor</w:t>
      </w:r>
      <w:r w:rsidRPr="00BD1FCC">
        <w:rPr>
          <w:rFonts w:ascii="Arial" w:hAnsi="Arial" w:cs="Arial"/>
          <w:sz w:val="20"/>
          <w:szCs w:val="20"/>
        </w:rPr>
        <w:t xml:space="preserve"> </w:t>
      </w:r>
      <w:r>
        <w:rPr>
          <w:rFonts w:ascii="Arial" w:hAnsi="Arial" w:cs="Arial"/>
          <w:sz w:val="20"/>
          <w:szCs w:val="20"/>
        </w:rPr>
        <w:t>a</w:t>
      </w:r>
      <w:r w:rsidRPr="00BD1FCC">
        <w:rPr>
          <w:rFonts w:ascii="Arial" w:hAnsi="Arial" w:cs="Arial"/>
          <w:sz w:val="20"/>
          <w:szCs w:val="20"/>
        </w:rPr>
        <w:t>t the</w:t>
      </w:r>
      <w:r>
        <w:rPr>
          <w:rFonts w:ascii="Arial" w:hAnsi="Arial" w:cs="Arial"/>
          <w:sz w:val="20"/>
          <w:szCs w:val="20"/>
        </w:rPr>
        <w:t xml:space="preserve"> 2003/5 follow-up clinic (</w:t>
      </w:r>
      <w:r w:rsidRPr="00BD1FCC">
        <w:rPr>
          <w:rFonts w:ascii="Arial" w:hAnsi="Arial" w:cs="Arial"/>
          <w:sz w:val="20"/>
          <w:szCs w:val="20"/>
        </w:rPr>
        <w:t>TL was 3630 bp in men and 3680 bp in women</w:t>
      </w:r>
      <w:r>
        <w:rPr>
          <w:rFonts w:ascii="Arial" w:hAnsi="Arial" w:cs="Arial"/>
          <w:sz w:val="20"/>
          <w:szCs w:val="20"/>
        </w:rPr>
        <w:t>)</w:t>
      </w:r>
      <w:r w:rsidRPr="00BD1FCC">
        <w:rPr>
          <w:rFonts w:ascii="Arial" w:hAnsi="Arial" w:cs="Arial"/>
          <w:sz w:val="20"/>
          <w:szCs w:val="20"/>
        </w:rPr>
        <w:t xml:space="preserve">. </w:t>
      </w:r>
      <w:r>
        <w:rPr>
          <w:rFonts w:ascii="Arial" w:hAnsi="Arial" w:cs="Arial"/>
          <w:sz w:val="20"/>
          <w:szCs w:val="20"/>
        </w:rPr>
        <w:t xml:space="preserve"> Figure 1 demonstrates the significant</w:t>
      </w:r>
      <w:r w:rsidRPr="00BD1FCC">
        <w:rPr>
          <w:rFonts w:ascii="Arial" w:hAnsi="Arial" w:cs="Arial"/>
          <w:sz w:val="20"/>
          <w:szCs w:val="20"/>
        </w:rPr>
        <w:t xml:space="preserve"> overall reduction in TL across the two time points</w:t>
      </w:r>
      <w:r>
        <w:rPr>
          <w:rFonts w:ascii="Arial" w:hAnsi="Arial" w:cs="Arial"/>
          <w:sz w:val="20"/>
          <w:szCs w:val="20"/>
        </w:rPr>
        <w:t xml:space="preserve"> (p&lt;0.001)</w:t>
      </w:r>
      <w:r w:rsidRPr="00BD1FCC">
        <w:rPr>
          <w:rFonts w:ascii="Arial" w:hAnsi="Arial" w:cs="Arial"/>
          <w:sz w:val="20"/>
          <w:szCs w:val="20"/>
        </w:rPr>
        <w:t xml:space="preserve">. </w:t>
      </w:r>
      <w:r>
        <w:rPr>
          <w:rFonts w:ascii="Arial" w:hAnsi="Arial" w:cs="Arial"/>
          <w:sz w:val="20"/>
          <w:szCs w:val="20"/>
        </w:rPr>
        <w:t xml:space="preserve"> </w:t>
      </w:r>
    </w:p>
    <w:p w:rsidR="00384FB3" w:rsidRPr="00BD1FCC"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Table 2 presents the associations </w:t>
      </w:r>
      <w:r>
        <w:rPr>
          <w:rFonts w:ascii="Arial" w:hAnsi="Arial" w:cs="Arial"/>
          <w:sz w:val="20"/>
          <w:szCs w:val="20"/>
        </w:rPr>
        <w:t xml:space="preserve">between </w:t>
      </w:r>
      <w:r w:rsidRPr="00BD1FCC">
        <w:rPr>
          <w:rFonts w:ascii="Arial" w:hAnsi="Arial" w:cs="Arial"/>
          <w:sz w:val="20"/>
          <w:szCs w:val="20"/>
        </w:rPr>
        <w:t xml:space="preserve">percentage change per year of follow-up (z-scores) in TL (rate of telomere attrition) </w:t>
      </w:r>
      <w:r>
        <w:rPr>
          <w:rFonts w:ascii="Arial" w:hAnsi="Arial" w:cs="Arial"/>
          <w:sz w:val="20"/>
          <w:szCs w:val="20"/>
        </w:rPr>
        <w:t xml:space="preserve">or </w:t>
      </w:r>
      <w:r w:rsidRPr="00BD1FCC">
        <w:rPr>
          <w:rFonts w:ascii="Arial" w:hAnsi="Arial" w:cs="Arial"/>
          <w:sz w:val="20"/>
          <w:szCs w:val="20"/>
        </w:rPr>
        <w:t>inflammatory marker (inflammatory burden)</w:t>
      </w:r>
      <w:r>
        <w:rPr>
          <w:rFonts w:ascii="Arial" w:hAnsi="Arial" w:cs="Arial"/>
          <w:sz w:val="20"/>
          <w:szCs w:val="20"/>
        </w:rPr>
        <w:t>, and</w:t>
      </w:r>
      <w:r w:rsidRPr="00BD1FCC">
        <w:rPr>
          <w:rFonts w:ascii="Arial" w:hAnsi="Arial" w:cs="Arial"/>
          <w:sz w:val="20"/>
          <w:szCs w:val="20"/>
        </w:rPr>
        <w:t xml:space="preserve"> grip strength at 2003/5 follow-up.</w:t>
      </w:r>
      <w:r>
        <w:rPr>
          <w:rFonts w:ascii="Arial" w:hAnsi="Arial" w:cs="Arial"/>
          <w:sz w:val="20"/>
          <w:szCs w:val="20"/>
        </w:rPr>
        <w:t xml:space="preserve"> Analysis for IL-1</w:t>
      </w:r>
      <w:r>
        <w:rPr>
          <w:rFonts w:cs="Arial"/>
          <w:sz w:val="20"/>
          <w:szCs w:val="20"/>
        </w:rPr>
        <w:t>β</w:t>
      </w:r>
      <w:r>
        <w:rPr>
          <w:rFonts w:ascii="Arial" w:hAnsi="Arial" w:cs="Arial"/>
          <w:sz w:val="20"/>
          <w:szCs w:val="20"/>
        </w:rPr>
        <w:t xml:space="preserve"> and IL-6 was limited by low volumes of serum in some participants.</w:t>
      </w:r>
      <w:r w:rsidRPr="00BD1FCC">
        <w:rPr>
          <w:rFonts w:ascii="Arial" w:hAnsi="Arial" w:cs="Arial"/>
          <w:sz w:val="20"/>
          <w:szCs w:val="20"/>
        </w:rPr>
        <w:t xml:space="preserve"> Among men and women combined, percentage rises per year in follow-up of IL-1β (p=0.005), cortisol (p=0.02) and cortisol:dheas ratio (p=0.042) were all significantly associated with reduced GS at 10 year follow up.</w:t>
      </w:r>
      <w:r>
        <w:rPr>
          <w:rFonts w:ascii="Arial" w:hAnsi="Arial" w:cs="Arial"/>
          <w:sz w:val="20"/>
          <w:szCs w:val="20"/>
        </w:rPr>
        <w:t xml:space="preserve">  </w:t>
      </w:r>
      <w:r w:rsidRPr="00BD1FCC">
        <w:rPr>
          <w:rFonts w:ascii="Arial" w:hAnsi="Arial" w:cs="Arial"/>
          <w:sz w:val="20"/>
          <w:szCs w:val="20"/>
        </w:rPr>
        <w:t xml:space="preserve">Associations were somewhat stronger in men than women with significant interaction between gender and percent change in DHEAS and TL as predictors of grip strength at follow-up (Table 2). </w:t>
      </w:r>
      <w:r>
        <w:rPr>
          <w:rFonts w:ascii="Arial" w:hAnsi="Arial" w:cs="Arial"/>
          <w:sz w:val="20"/>
          <w:szCs w:val="20"/>
        </w:rPr>
        <w:t xml:space="preserve"> </w:t>
      </w:r>
      <w:r w:rsidRPr="00BD1FCC">
        <w:rPr>
          <w:rFonts w:ascii="Arial" w:hAnsi="Arial" w:cs="Arial"/>
          <w:sz w:val="20"/>
          <w:szCs w:val="20"/>
        </w:rPr>
        <w:t xml:space="preserve">Associations were robust for IL-1β (p=0.001) and cortisol (p=0.009) after adjustment for sex, age, height, weight for height, smoking status, alcohol consumption and social class at follow-up. </w:t>
      </w:r>
      <w:r>
        <w:rPr>
          <w:rFonts w:ascii="Arial" w:hAnsi="Arial" w:cs="Arial"/>
          <w:sz w:val="20"/>
          <w:szCs w:val="20"/>
        </w:rPr>
        <w:t xml:space="preserve"> </w:t>
      </w:r>
      <w:r w:rsidRPr="00BD1FCC">
        <w:rPr>
          <w:rFonts w:ascii="Arial" w:hAnsi="Arial" w:cs="Arial"/>
          <w:sz w:val="20"/>
          <w:szCs w:val="20"/>
        </w:rPr>
        <w:t xml:space="preserve">Percentage change in TL over the follow-up period was also significantly associated with GS at 2003/5 follow-up in both unadjusted (p=0.037) and adjusted analyses (p=0.035). </w:t>
      </w:r>
      <w:r>
        <w:rPr>
          <w:rFonts w:ascii="Arial" w:hAnsi="Arial" w:cs="Arial"/>
          <w:sz w:val="20"/>
          <w:szCs w:val="20"/>
        </w:rPr>
        <w:t xml:space="preserve"> Positive</w:t>
      </w:r>
      <w:r w:rsidRPr="00BD1FCC">
        <w:rPr>
          <w:rFonts w:ascii="Arial" w:hAnsi="Arial" w:cs="Arial"/>
          <w:sz w:val="20"/>
          <w:szCs w:val="20"/>
        </w:rPr>
        <w:t xml:space="preserve"> associations were found between TL or inflammatory markers at 1994/5 baseline and GS at 2003/5 follow-up</w:t>
      </w:r>
      <w:r>
        <w:rPr>
          <w:rFonts w:ascii="Arial" w:hAnsi="Arial" w:cs="Arial"/>
          <w:sz w:val="20"/>
          <w:szCs w:val="20"/>
        </w:rPr>
        <w:t xml:space="preserve"> although, with the exception of IL-6, these were not statistically significant</w:t>
      </w:r>
      <w:r w:rsidRPr="00BD1FCC">
        <w:rPr>
          <w:rFonts w:ascii="Arial" w:hAnsi="Arial" w:cs="Arial"/>
          <w:sz w:val="20"/>
          <w:szCs w:val="20"/>
        </w:rPr>
        <w:t>.</w:t>
      </w:r>
      <w:r>
        <w:rPr>
          <w:rFonts w:ascii="Arial" w:hAnsi="Arial" w:cs="Arial"/>
          <w:sz w:val="20"/>
          <w:szCs w:val="20"/>
        </w:rPr>
        <w:t xml:space="preserve"> </w:t>
      </w:r>
      <w:r w:rsidRPr="00BD1FCC">
        <w:rPr>
          <w:rFonts w:ascii="Arial" w:hAnsi="Arial" w:cs="Arial"/>
          <w:sz w:val="20"/>
          <w:szCs w:val="20"/>
        </w:rPr>
        <w:t xml:space="preserve"> All associations remained the same after adjusting for CMV seropositivity</w:t>
      </w:r>
      <w:r>
        <w:rPr>
          <w:rFonts w:ascii="Arial" w:hAnsi="Arial" w:cs="Arial"/>
          <w:sz w:val="20"/>
          <w:szCs w:val="20"/>
        </w:rPr>
        <w:t xml:space="preserve"> (results not shown)</w:t>
      </w:r>
      <w:r w:rsidRPr="00BD1FCC">
        <w:rPr>
          <w:rFonts w:ascii="Arial" w:hAnsi="Arial" w:cs="Arial"/>
          <w:sz w:val="20"/>
          <w:szCs w:val="20"/>
        </w:rPr>
        <w:t>.</w:t>
      </w:r>
    </w:p>
    <w:p w:rsidR="00384FB3" w:rsidRPr="00BD1FCC"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Table 3 presents the associations between percentage change per year in TL (rate of telomere attrition) versus GS at 2003/5 follow-up </w:t>
      </w:r>
      <w:r w:rsidRPr="00555737">
        <w:rPr>
          <w:rFonts w:ascii="Arial" w:hAnsi="Arial" w:cs="Arial"/>
          <w:sz w:val="20"/>
          <w:szCs w:val="20"/>
        </w:rPr>
        <w:t>when adjusted for percentage change per follow-up year in IL-1β and cortisol.  After adjustment the association between percentage change per year in TL and GS at 2003/5 follow-up is lost in both sex- and age-adjusted and fully adjusted models.  The associations, however, between the percentage changes in the two</w:t>
      </w:r>
      <w:r w:rsidRPr="00BD1FCC">
        <w:rPr>
          <w:rFonts w:ascii="Arial" w:hAnsi="Arial" w:cs="Arial"/>
          <w:sz w:val="20"/>
          <w:szCs w:val="20"/>
        </w:rPr>
        <w:t xml:space="preserve"> inflammatory markers, IL-1β and cortisol, and grip strength at 2003/5 follow-up remained significant (both p-values&lt;0.01).</w:t>
      </w:r>
      <w:r>
        <w:rPr>
          <w:rFonts w:ascii="Arial" w:hAnsi="Arial" w:cs="Arial"/>
          <w:sz w:val="20"/>
          <w:szCs w:val="20"/>
        </w:rPr>
        <w:t xml:space="preserve"> </w:t>
      </w:r>
      <w:r w:rsidRPr="00BD1FCC">
        <w:rPr>
          <w:rFonts w:ascii="Arial" w:hAnsi="Arial" w:cs="Arial"/>
          <w:sz w:val="20"/>
          <w:szCs w:val="20"/>
        </w:rPr>
        <w:t xml:space="preserve"> These results were seen </w:t>
      </w:r>
      <w:r w:rsidRPr="00B72604">
        <w:rPr>
          <w:rFonts w:ascii="Arial" w:hAnsi="Arial" w:cs="Arial"/>
          <w:sz w:val="20"/>
          <w:szCs w:val="20"/>
        </w:rPr>
        <w:t>when adjusted for IL-1β and cortisol</w:t>
      </w:r>
      <w:r>
        <w:rPr>
          <w:rFonts w:ascii="Arial" w:hAnsi="Arial" w:cs="Arial"/>
          <w:sz w:val="20"/>
          <w:szCs w:val="20"/>
        </w:rPr>
        <w:t xml:space="preserve"> alone and combined. When results were assessed for men and women separately, very similar trends were found.  However, relationships only reached statistical </w:t>
      </w:r>
      <w:r>
        <w:rPr>
          <w:rFonts w:ascii="Arial" w:hAnsi="Arial" w:cs="Arial"/>
          <w:sz w:val="20"/>
          <w:szCs w:val="20"/>
        </w:rPr>
        <w:lastRenderedPageBreak/>
        <w:t>significance in men after adjustment for anthropometry and lifestyle factors with or without CMV positivity.  Figure 2</w:t>
      </w:r>
      <w:r w:rsidRPr="00B72604">
        <w:rPr>
          <w:rFonts w:ascii="Arial" w:hAnsi="Arial" w:cs="Arial"/>
          <w:sz w:val="20"/>
          <w:szCs w:val="20"/>
        </w:rPr>
        <w:t xml:space="preserve"> presents the associations between TL attrition and inflammaging burden over follow-up with grip strength at follow-up. </w:t>
      </w:r>
    </w:p>
    <w:p w:rsidR="00384FB3" w:rsidRDefault="00384FB3" w:rsidP="003A5430">
      <w:pPr>
        <w:spacing w:after="0" w:line="480" w:lineRule="auto"/>
        <w:mirrorIndents/>
        <w:rPr>
          <w:rFonts w:ascii="Arial" w:hAnsi="Arial" w:cs="Arial"/>
          <w:sz w:val="20"/>
          <w:szCs w:val="20"/>
        </w:rPr>
      </w:pPr>
    </w:p>
    <w:p w:rsidR="00384FB3" w:rsidRPr="00B72604" w:rsidRDefault="00384FB3" w:rsidP="003A5430">
      <w:pPr>
        <w:spacing w:after="0" w:line="480" w:lineRule="auto"/>
        <w:mirrorIndents/>
        <w:rPr>
          <w:rFonts w:ascii="Arial" w:hAnsi="Arial" w:cs="Arial"/>
          <w:sz w:val="20"/>
          <w:szCs w:val="20"/>
        </w:rPr>
      </w:pPr>
      <w:r>
        <w:rPr>
          <w:rFonts w:ascii="Arial" w:hAnsi="Arial" w:cs="Arial"/>
          <w:sz w:val="20"/>
          <w:szCs w:val="20"/>
        </w:rPr>
        <w:t>A</w:t>
      </w:r>
      <w:r w:rsidRPr="00B72604">
        <w:rPr>
          <w:rFonts w:ascii="Arial" w:hAnsi="Arial" w:cs="Arial"/>
          <w:sz w:val="20"/>
          <w:szCs w:val="20"/>
        </w:rPr>
        <w:t>dditional analyses</w:t>
      </w:r>
      <w:r>
        <w:rPr>
          <w:rFonts w:ascii="Arial" w:hAnsi="Arial" w:cs="Arial"/>
          <w:sz w:val="20"/>
          <w:szCs w:val="20"/>
        </w:rPr>
        <w:t xml:space="preserve"> were run</w:t>
      </w:r>
      <w:r w:rsidRPr="00B72604">
        <w:rPr>
          <w:rFonts w:ascii="Arial" w:hAnsi="Arial" w:cs="Arial"/>
          <w:sz w:val="20"/>
          <w:szCs w:val="20"/>
        </w:rPr>
        <w:t xml:space="preserve"> looking at the associations between telomere attrition and other </w:t>
      </w:r>
      <w:r>
        <w:rPr>
          <w:rFonts w:ascii="Arial" w:hAnsi="Arial" w:cs="Arial"/>
          <w:sz w:val="20"/>
          <w:szCs w:val="20"/>
        </w:rPr>
        <w:t xml:space="preserve">potential </w:t>
      </w:r>
      <w:r w:rsidRPr="00B72604">
        <w:rPr>
          <w:rFonts w:ascii="Arial" w:hAnsi="Arial" w:cs="Arial"/>
          <w:sz w:val="20"/>
          <w:szCs w:val="20"/>
        </w:rPr>
        <w:t>biomarkers of ageing at follow-up (timed 6m walk, timed chair rises, self reported physical performance) and no significant associations</w:t>
      </w:r>
      <w:r>
        <w:rPr>
          <w:rFonts w:ascii="Arial" w:hAnsi="Arial" w:cs="Arial"/>
          <w:sz w:val="20"/>
          <w:szCs w:val="20"/>
        </w:rPr>
        <w:t xml:space="preserve"> were found.</w:t>
      </w:r>
    </w:p>
    <w:p w:rsidR="00384FB3" w:rsidRPr="00BD1FCC"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outlineLvl w:val="0"/>
        <w:rPr>
          <w:rFonts w:ascii="Arial" w:hAnsi="Arial" w:cs="Arial"/>
          <w:b/>
          <w:sz w:val="20"/>
          <w:szCs w:val="20"/>
        </w:rPr>
      </w:pPr>
      <w:r w:rsidRPr="00BD1FCC">
        <w:rPr>
          <w:rFonts w:ascii="Arial" w:hAnsi="Arial" w:cs="Arial"/>
          <w:b/>
          <w:sz w:val="20"/>
          <w:szCs w:val="20"/>
        </w:rPr>
        <w:t>Discussion</w:t>
      </w:r>
    </w:p>
    <w:p w:rsidR="00384FB3" w:rsidRPr="00B74DCD"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We have shown that faster telomere attrition over the 10 year follow-up period was associated with lower grip strength at follow-up (β=0.98, p=0.035). </w:t>
      </w:r>
      <w:r>
        <w:rPr>
          <w:rFonts w:ascii="Arial" w:hAnsi="Arial" w:cs="Arial"/>
          <w:sz w:val="20"/>
          <w:szCs w:val="20"/>
        </w:rPr>
        <w:t xml:space="preserve"> </w:t>
      </w:r>
      <w:r w:rsidRPr="00BD1FCC">
        <w:rPr>
          <w:rFonts w:ascii="Arial" w:hAnsi="Arial" w:cs="Arial"/>
          <w:sz w:val="20"/>
          <w:szCs w:val="20"/>
        </w:rPr>
        <w:t>These associations were</w:t>
      </w:r>
      <w:r>
        <w:rPr>
          <w:rFonts w:ascii="Arial" w:hAnsi="Arial" w:cs="Arial"/>
          <w:sz w:val="20"/>
          <w:szCs w:val="20"/>
        </w:rPr>
        <w:t xml:space="preserve"> robust in men, and were</w:t>
      </w:r>
      <w:r w:rsidRPr="00BD1FCC">
        <w:rPr>
          <w:rFonts w:ascii="Arial" w:hAnsi="Arial" w:cs="Arial"/>
          <w:sz w:val="20"/>
          <w:szCs w:val="20"/>
        </w:rPr>
        <w:t xml:space="preserve"> </w:t>
      </w:r>
      <w:r w:rsidRPr="00B74DCD">
        <w:rPr>
          <w:rFonts w:ascii="Arial" w:hAnsi="Arial" w:cs="Arial"/>
          <w:sz w:val="20"/>
          <w:szCs w:val="20"/>
        </w:rPr>
        <w:t xml:space="preserve">completely attenuated when adjusted for inflammaging burden over the period (p=0.86).  Similarly, </w:t>
      </w:r>
      <w:r>
        <w:rPr>
          <w:rFonts w:ascii="Arial" w:hAnsi="Arial" w:cs="Arial"/>
          <w:sz w:val="20"/>
          <w:szCs w:val="20"/>
        </w:rPr>
        <w:t xml:space="preserve">greater inflammaging burden over the 10 year period was associated with lower grip strength at follow-up, however conversely, these associations were not lost when also adjusted for telomere attrition (IL-1β, p=0.006). </w:t>
      </w:r>
    </w:p>
    <w:p w:rsidR="00384FB3" w:rsidRPr="00B74DCD" w:rsidRDefault="00384FB3" w:rsidP="003A5430">
      <w:pPr>
        <w:spacing w:after="0" w:line="480" w:lineRule="auto"/>
        <w:mirrorIndents/>
        <w:rPr>
          <w:rFonts w:ascii="Arial" w:hAnsi="Arial" w:cs="Arial"/>
          <w:sz w:val="20"/>
          <w:szCs w:val="20"/>
        </w:rPr>
      </w:pPr>
    </w:p>
    <w:p w:rsidR="00384FB3" w:rsidRPr="00B74DCD" w:rsidRDefault="00384FB3" w:rsidP="003A5430">
      <w:pPr>
        <w:spacing w:after="0" w:line="480" w:lineRule="auto"/>
        <w:mirrorIndents/>
        <w:rPr>
          <w:rFonts w:ascii="Arial" w:hAnsi="Arial" w:cs="Arial"/>
          <w:sz w:val="20"/>
          <w:szCs w:val="20"/>
        </w:rPr>
      </w:pPr>
      <w:r w:rsidRPr="00B74DCD">
        <w:rPr>
          <w:rFonts w:ascii="Arial" w:hAnsi="Arial" w:cs="Arial"/>
          <w:sz w:val="20"/>
          <w:szCs w:val="20"/>
        </w:rPr>
        <w:t>We observed interesting differences between telomere length and change in grip strength, between men and women.  These findings mirror the results of a recent systematic review suggesting that telomere length tends to be greater among women than men, but that these differences do not vary substantially by age or cell type</w:t>
      </w:r>
      <w:r>
        <w:rPr>
          <w:rFonts w:ascii="Arial" w:hAnsi="Arial" w:cs="Arial"/>
          <w:sz w:val="20"/>
          <w:szCs w:val="20"/>
        </w:rPr>
        <w:t xml:space="preserve"> [</w:t>
      </w:r>
      <w:r w:rsidR="003A5430">
        <w:rPr>
          <w:rFonts w:ascii="Arial" w:hAnsi="Arial" w:cs="Arial"/>
          <w:sz w:val="20"/>
          <w:szCs w:val="20"/>
        </w:rPr>
        <w:t>32</w:t>
      </w:r>
      <w:r>
        <w:rPr>
          <w:rFonts w:ascii="Arial" w:hAnsi="Arial" w:cs="Arial"/>
          <w:sz w:val="20"/>
          <w:szCs w:val="20"/>
        </w:rPr>
        <w:t>]</w:t>
      </w:r>
      <w:r w:rsidRPr="00B74DCD">
        <w:rPr>
          <w:rFonts w:ascii="Arial" w:hAnsi="Arial" w:cs="Arial"/>
          <w:sz w:val="20"/>
          <w:szCs w:val="20"/>
        </w:rPr>
        <w:t>.  The differences observed, might contribute to the stronger associations we found between telomere attrition and grip strength, among men.  Whichever the case, it was clear that level of inflammation completely accounted for this association.</w:t>
      </w:r>
    </w:p>
    <w:p w:rsidR="00384FB3" w:rsidRPr="00B74DCD"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B74DCD">
        <w:rPr>
          <w:rFonts w:ascii="Arial" w:hAnsi="Arial" w:cs="Arial"/>
          <w:sz w:val="20"/>
          <w:szCs w:val="20"/>
        </w:rPr>
        <w:t>Our observation that</w:t>
      </w:r>
      <w:r w:rsidRPr="00BD1FCC">
        <w:rPr>
          <w:rFonts w:ascii="Arial" w:hAnsi="Arial" w:cs="Arial"/>
          <w:sz w:val="20"/>
          <w:szCs w:val="20"/>
        </w:rPr>
        <w:t xml:space="preserve"> </w:t>
      </w:r>
      <w:r>
        <w:rPr>
          <w:rFonts w:ascii="Arial" w:hAnsi="Arial" w:cs="Arial"/>
          <w:sz w:val="20"/>
          <w:szCs w:val="20"/>
        </w:rPr>
        <w:t xml:space="preserve">the association between </w:t>
      </w:r>
      <w:r w:rsidRPr="00BD1FCC">
        <w:rPr>
          <w:rFonts w:ascii="Arial" w:hAnsi="Arial" w:cs="Arial"/>
          <w:sz w:val="20"/>
          <w:szCs w:val="20"/>
        </w:rPr>
        <w:t>telom</w:t>
      </w:r>
      <w:r>
        <w:rPr>
          <w:rFonts w:ascii="Arial" w:hAnsi="Arial" w:cs="Arial"/>
          <w:sz w:val="20"/>
          <w:szCs w:val="20"/>
        </w:rPr>
        <w:t>ere attrition and</w:t>
      </w:r>
      <w:r w:rsidRPr="00BD1FCC">
        <w:rPr>
          <w:rFonts w:ascii="Arial" w:hAnsi="Arial" w:cs="Arial"/>
          <w:sz w:val="20"/>
          <w:szCs w:val="20"/>
        </w:rPr>
        <w:t xml:space="preserve"> lower grip strength at 10 year follow-up</w:t>
      </w:r>
      <w:r>
        <w:rPr>
          <w:rFonts w:ascii="Arial" w:hAnsi="Arial" w:cs="Arial"/>
          <w:sz w:val="20"/>
          <w:szCs w:val="20"/>
        </w:rPr>
        <w:t xml:space="preserve"> is accounted for by inflammation is novel and</w:t>
      </w:r>
      <w:r w:rsidRPr="00BD1FCC">
        <w:rPr>
          <w:rFonts w:ascii="Arial" w:hAnsi="Arial" w:cs="Arial"/>
          <w:sz w:val="20"/>
          <w:szCs w:val="20"/>
        </w:rPr>
        <w:t xml:space="preserve"> complements cross-sectional analyses that reveal associations between TL and age related diseases including atherosclerosis, hypertension and dementia </w:t>
      </w:r>
      <w:r w:rsidR="003A5430">
        <w:rPr>
          <w:rFonts w:ascii="Arial" w:hAnsi="Arial" w:cs="Arial"/>
          <w:noProof/>
          <w:sz w:val="20"/>
          <w:szCs w:val="20"/>
        </w:rPr>
        <w:t>[33-35</w:t>
      </w:r>
      <w:r>
        <w:rPr>
          <w:rFonts w:ascii="Arial" w:hAnsi="Arial" w:cs="Arial"/>
          <w:noProof/>
          <w:sz w:val="20"/>
          <w:szCs w:val="20"/>
        </w:rPr>
        <w:t>]</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Longitudinal associations of TL with coronary heart disease, cognitive decline and all cause mortality have also been found </w:t>
      </w:r>
      <w:r w:rsidR="003A5430">
        <w:rPr>
          <w:rFonts w:ascii="Arial" w:hAnsi="Arial" w:cs="Arial"/>
          <w:noProof/>
          <w:sz w:val="20"/>
          <w:szCs w:val="20"/>
        </w:rPr>
        <w:t>[36-39</w:t>
      </w:r>
      <w:r>
        <w:rPr>
          <w:rFonts w:ascii="Arial" w:hAnsi="Arial" w:cs="Arial"/>
          <w:noProof/>
          <w:sz w:val="20"/>
          <w:szCs w:val="20"/>
        </w:rPr>
        <w:t>]</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Potential mechanisms include telomere attrition causing functional changes within cell populations – for example senescent lymphocytes producing higher amounts of inflammatory cytokines; and also telomere attrition causing a limited cellular repair </w:t>
      </w:r>
      <w:r w:rsidRPr="00BD1FCC">
        <w:rPr>
          <w:rFonts w:ascii="Arial" w:hAnsi="Arial" w:cs="Arial"/>
          <w:sz w:val="20"/>
          <w:szCs w:val="20"/>
        </w:rPr>
        <w:lastRenderedPageBreak/>
        <w:t xml:space="preserve">capacity in stem or progenitor cells – for example worsened endothelial repair accelerating the progression of atherosclerotic plaques </w:t>
      </w:r>
      <w:r w:rsidR="003A5430">
        <w:rPr>
          <w:rFonts w:ascii="Arial" w:hAnsi="Arial" w:cs="Arial"/>
          <w:noProof/>
          <w:sz w:val="20"/>
          <w:szCs w:val="20"/>
        </w:rPr>
        <w:t>[</w:t>
      </w:r>
      <w:r>
        <w:rPr>
          <w:rFonts w:ascii="Arial" w:hAnsi="Arial" w:cs="Arial"/>
          <w:noProof/>
          <w:sz w:val="20"/>
          <w:szCs w:val="20"/>
        </w:rPr>
        <w:t>40</w:t>
      </w:r>
      <w:r w:rsidR="003A5430">
        <w:rPr>
          <w:rFonts w:ascii="Arial" w:hAnsi="Arial" w:cs="Arial"/>
          <w:noProof/>
          <w:sz w:val="20"/>
          <w:szCs w:val="20"/>
        </w:rPr>
        <w:t>-41</w:t>
      </w:r>
      <w:r>
        <w:rPr>
          <w:rFonts w:ascii="Arial" w:hAnsi="Arial" w:cs="Arial"/>
          <w:noProof/>
          <w:sz w:val="20"/>
          <w:szCs w:val="20"/>
        </w:rPr>
        <w:t>]</w:t>
      </w:r>
      <w:r w:rsidRPr="00BD1FCC">
        <w:rPr>
          <w:rFonts w:ascii="Arial" w:hAnsi="Arial" w:cs="Arial"/>
          <w:sz w:val="20"/>
          <w:szCs w:val="20"/>
        </w:rPr>
        <w:t xml:space="preserve">. </w:t>
      </w:r>
    </w:p>
    <w:p w:rsidR="00384FB3" w:rsidRPr="00BD1FCC"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However, an alternative explanation is that telomere attrition is a consequence rather than a cause of the ageing process with inflammation being implicated in the aetiology of both. In this study the associations between rate of telomere attrition and lower grip strength at follow-up disappeared after adjustment for markers of inflammatory stat</w:t>
      </w:r>
      <w:r>
        <w:rPr>
          <w:rFonts w:ascii="Arial" w:hAnsi="Arial" w:cs="Arial"/>
          <w:sz w:val="20"/>
          <w:szCs w:val="20"/>
        </w:rPr>
        <w:t>us (IL-1β and cortisol, figure 2</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These findings support the supposition that changes to the immune-endocrine axis are responsible, at least in-part, for the associations seen between TL and age related disease and mortality. </w:t>
      </w:r>
    </w:p>
    <w:p w:rsidR="00384FB3" w:rsidRPr="00BD1FCC"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 </w:t>
      </w:r>
    </w:p>
    <w:p w:rsidR="00384FB3" w:rsidRPr="00D768BF" w:rsidRDefault="00384FB3" w:rsidP="003A5430">
      <w:pPr>
        <w:spacing w:after="0" w:line="480" w:lineRule="auto"/>
        <w:mirrorIndents/>
        <w:rPr>
          <w:rFonts w:ascii="Arial" w:hAnsi="Arial" w:cs="Arial"/>
          <w:sz w:val="20"/>
          <w:szCs w:val="20"/>
        </w:rPr>
      </w:pPr>
      <w:r>
        <w:rPr>
          <w:rFonts w:ascii="Arial" w:hAnsi="Arial" w:cs="Arial"/>
          <w:sz w:val="20"/>
          <w:szCs w:val="20"/>
        </w:rPr>
        <w:t>As with previous studies cross-sectional relationships between TL and GS at baseline were not seen and there was no</w:t>
      </w:r>
      <w:r w:rsidRPr="00BD1FCC">
        <w:rPr>
          <w:rFonts w:ascii="Arial" w:hAnsi="Arial" w:cs="Arial"/>
          <w:sz w:val="20"/>
          <w:szCs w:val="20"/>
        </w:rPr>
        <w:t xml:space="preserve"> association between TL</w:t>
      </w:r>
      <w:r>
        <w:rPr>
          <w:rFonts w:ascii="Arial" w:hAnsi="Arial" w:cs="Arial"/>
          <w:sz w:val="20"/>
          <w:szCs w:val="20"/>
        </w:rPr>
        <w:t xml:space="preserve"> or inflammation</w:t>
      </w:r>
      <w:r w:rsidRPr="00BD1FCC">
        <w:rPr>
          <w:rFonts w:ascii="Arial" w:hAnsi="Arial" w:cs="Arial"/>
          <w:sz w:val="20"/>
          <w:szCs w:val="20"/>
        </w:rPr>
        <w:t xml:space="preserve"> at baseline and G</w:t>
      </w:r>
      <w:r>
        <w:rPr>
          <w:rFonts w:ascii="Arial" w:hAnsi="Arial" w:cs="Arial"/>
          <w:sz w:val="20"/>
          <w:szCs w:val="20"/>
        </w:rPr>
        <w:t>S at 10 year follow-up (</w:t>
      </w:r>
      <w:r w:rsidRPr="00BD1FCC">
        <w:rPr>
          <w:rFonts w:ascii="Arial" w:hAnsi="Arial" w:cs="Arial"/>
          <w:sz w:val="20"/>
          <w:szCs w:val="20"/>
        </w:rPr>
        <w:t>data not shown)</w:t>
      </w:r>
      <w:r>
        <w:rPr>
          <w:rFonts w:ascii="Arial" w:hAnsi="Arial" w:cs="Arial"/>
          <w:sz w:val="20"/>
          <w:szCs w:val="20"/>
        </w:rPr>
        <w:t>.</w:t>
      </w:r>
      <w:r w:rsidRPr="00BD1FCC">
        <w:rPr>
          <w:rFonts w:ascii="Arial" w:hAnsi="Arial" w:cs="Arial"/>
          <w:sz w:val="20"/>
          <w:szCs w:val="20"/>
        </w:rPr>
        <w:t xml:space="preserve">This is likely to be a consequence of the long follow-up time and a reflection of the multiple internal and environmental influences over that period which </w:t>
      </w:r>
      <w:r>
        <w:rPr>
          <w:rFonts w:ascii="Arial" w:hAnsi="Arial" w:cs="Arial"/>
          <w:sz w:val="20"/>
          <w:szCs w:val="20"/>
        </w:rPr>
        <w:t>are</w:t>
      </w:r>
      <w:r w:rsidRPr="00BD1FCC">
        <w:rPr>
          <w:rFonts w:ascii="Arial" w:hAnsi="Arial" w:cs="Arial"/>
          <w:sz w:val="20"/>
          <w:szCs w:val="20"/>
        </w:rPr>
        <w:t xml:space="preserve"> largely immeasurable</w:t>
      </w:r>
      <w:r>
        <w:rPr>
          <w:rFonts w:ascii="Arial" w:hAnsi="Arial" w:cs="Arial"/>
          <w:sz w:val="20"/>
          <w:szCs w:val="20"/>
        </w:rPr>
        <w:t xml:space="preserve">. These may be more accurately reflected by </w:t>
      </w:r>
      <w:r w:rsidRPr="00BD1FCC">
        <w:rPr>
          <w:rFonts w:ascii="Arial" w:hAnsi="Arial" w:cs="Arial"/>
          <w:sz w:val="20"/>
          <w:szCs w:val="20"/>
        </w:rPr>
        <w:t xml:space="preserve">change in TL and inflammation over the </w:t>
      </w:r>
      <w:r>
        <w:rPr>
          <w:rFonts w:ascii="Arial" w:hAnsi="Arial" w:cs="Arial"/>
          <w:sz w:val="20"/>
          <w:szCs w:val="20"/>
        </w:rPr>
        <w:t xml:space="preserve">10 year </w:t>
      </w:r>
      <w:r w:rsidRPr="00BD1FCC">
        <w:rPr>
          <w:rFonts w:ascii="Arial" w:hAnsi="Arial" w:cs="Arial"/>
          <w:sz w:val="20"/>
          <w:szCs w:val="20"/>
        </w:rPr>
        <w:t>period</w:t>
      </w:r>
      <w:r>
        <w:rPr>
          <w:rFonts w:ascii="Arial" w:hAnsi="Arial" w:cs="Arial"/>
          <w:sz w:val="20"/>
          <w:szCs w:val="20"/>
        </w:rPr>
        <w:t>;</w:t>
      </w:r>
      <w:r w:rsidRPr="00BD1FCC">
        <w:rPr>
          <w:rFonts w:ascii="Arial" w:hAnsi="Arial" w:cs="Arial"/>
          <w:sz w:val="20"/>
          <w:szCs w:val="20"/>
        </w:rPr>
        <w:t xml:space="preserve"> it is therefore unsurprising that this is where we found </w:t>
      </w:r>
      <w:r>
        <w:rPr>
          <w:rFonts w:ascii="Arial" w:hAnsi="Arial" w:cs="Arial"/>
          <w:sz w:val="20"/>
          <w:szCs w:val="20"/>
        </w:rPr>
        <w:t xml:space="preserve">the </w:t>
      </w:r>
      <w:r w:rsidRPr="00BD1FCC">
        <w:rPr>
          <w:rFonts w:ascii="Arial" w:hAnsi="Arial" w:cs="Arial"/>
          <w:sz w:val="20"/>
          <w:szCs w:val="20"/>
        </w:rPr>
        <w:t xml:space="preserve">significant associations. </w:t>
      </w:r>
      <w:r>
        <w:rPr>
          <w:rFonts w:ascii="Arial" w:hAnsi="Arial" w:cs="Arial"/>
          <w:sz w:val="20"/>
          <w:szCs w:val="20"/>
        </w:rPr>
        <w:t xml:space="preserve">  This observation</w:t>
      </w:r>
      <w:r w:rsidRPr="00BD1FCC">
        <w:rPr>
          <w:rFonts w:ascii="Arial" w:hAnsi="Arial" w:cs="Arial"/>
          <w:sz w:val="20"/>
          <w:szCs w:val="20"/>
        </w:rPr>
        <w:t xml:space="preserve"> suggest</w:t>
      </w:r>
      <w:r>
        <w:rPr>
          <w:rFonts w:ascii="Arial" w:hAnsi="Arial" w:cs="Arial"/>
          <w:sz w:val="20"/>
          <w:szCs w:val="20"/>
        </w:rPr>
        <w:t>s</w:t>
      </w:r>
      <w:r w:rsidRPr="00BD1FCC">
        <w:rPr>
          <w:rFonts w:ascii="Arial" w:hAnsi="Arial" w:cs="Arial"/>
          <w:sz w:val="20"/>
          <w:szCs w:val="20"/>
        </w:rPr>
        <w:t xml:space="preserve"> that it is the </w:t>
      </w:r>
      <w:r>
        <w:rPr>
          <w:rFonts w:ascii="Arial" w:hAnsi="Arial" w:cs="Arial"/>
          <w:sz w:val="20"/>
          <w:szCs w:val="20"/>
        </w:rPr>
        <w:t xml:space="preserve">environmental </w:t>
      </w:r>
      <w:r w:rsidRPr="00BD1FCC">
        <w:rPr>
          <w:rFonts w:ascii="Arial" w:hAnsi="Arial" w:cs="Arial"/>
          <w:sz w:val="20"/>
          <w:szCs w:val="20"/>
        </w:rPr>
        <w:t>burden</w:t>
      </w:r>
      <w:r>
        <w:rPr>
          <w:rFonts w:ascii="Arial" w:hAnsi="Arial" w:cs="Arial"/>
          <w:sz w:val="20"/>
          <w:szCs w:val="20"/>
        </w:rPr>
        <w:t xml:space="preserve"> and </w:t>
      </w:r>
      <w:r w:rsidRPr="00BD1FCC">
        <w:rPr>
          <w:rFonts w:ascii="Arial" w:hAnsi="Arial" w:cs="Arial"/>
          <w:sz w:val="20"/>
          <w:szCs w:val="20"/>
        </w:rPr>
        <w:t>immune-endocrine</w:t>
      </w:r>
      <w:r>
        <w:rPr>
          <w:rFonts w:ascii="Arial" w:hAnsi="Arial" w:cs="Arial"/>
          <w:sz w:val="20"/>
          <w:szCs w:val="20"/>
        </w:rPr>
        <w:t xml:space="preserve"> milieu</w:t>
      </w:r>
      <w:r w:rsidRPr="00BD1FCC">
        <w:rPr>
          <w:rFonts w:ascii="Arial" w:hAnsi="Arial" w:cs="Arial"/>
          <w:sz w:val="20"/>
          <w:szCs w:val="20"/>
        </w:rPr>
        <w:t xml:space="preserve"> over the follow-up period that is influencing both rate of telomere attrition and GS</w:t>
      </w:r>
      <w:r>
        <w:rPr>
          <w:rFonts w:ascii="Arial" w:hAnsi="Arial" w:cs="Arial"/>
          <w:sz w:val="20"/>
          <w:szCs w:val="20"/>
        </w:rPr>
        <w:t>.</w:t>
      </w:r>
      <w:r w:rsidRPr="00BD1FCC">
        <w:rPr>
          <w:rFonts w:ascii="Arial" w:hAnsi="Arial" w:cs="Arial"/>
          <w:sz w:val="20"/>
          <w:szCs w:val="20"/>
        </w:rPr>
        <w:t xml:space="preserve"> For example, an individual at baseline with a short TL but a favourable inflammatory </w:t>
      </w:r>
      <w:r w:rsidRPr="00D768BF">
        <w:rPr>
          <w:rFonts w:ascii="Arial" w:hAnsi="Arial" w:cs="Arial"/>
          <w:sz w:val="20"/>
          <w:szCs w:val="20"/>
        </w:rPr>
        <w:t xml:space="preserve">environment over a ten year period is likely to have a slower rate of both telomere attrition and sarcopenic change over that period </w:t>
      </w:r>
      <w:r>
        <w:rPr>
          <w:rFonts w:ascii="Arial" w:hAnsi="Arial" w:cs="Arial"/>
          <w:sz w:val="20"/>
          <w:szCs w:val="20"/>
        </w:rPr>
        <w:t xml:space="preserve">as compared with </w:t>
      </w:r>
      <w:r w:rsidRPr="00D768BF">
        <w:rPr>
          <w:rFonts w:ascii="Arial" w:hAnsi="Arial" w:cs="Arial"/>
          <w:sz w:val="20"/>
          <w:szCs w:val="20"/>
        </w:rPr>
        <w:t xml:space="preserve">an individual with similar TL but less favourable inflammatory environment. </w:t>
      </w:r>
      <w:r>
        <w:rPr>
          <w:rFonts w:ascii="Arial" w:hAnsi="Arial" w:cs="Arial"/>
          <w:sz w:val="20"/>
          <w:szCs w:val="20"/>
        </w:rPr>
        <w:t>This also explains the finding that s</w:t>
      </w:r>
      <w:r w:rsidRPr="00D768BF">
        <w:rPr>
          <w:rFonts w:ascii="Arial" w:hAnsi="Arial" w:cs="Arial"/>
          <w:sz w:val="20"/>
          <w:szCs w:val="20"/>
        </w:rPr>
        <w:t>ignificant associations were seen between TL and inflammatory markers at follow-up but not baseline</w:t>
      </w:r>
      <w:r>
        <w:rPr>
          <w:rFonts w:ascii="Arial" w:hAnsi="Arial" w:cs="Arial"/>
          <w:sz w:val="20"/>
          <w:szCs w:val="20"/>
        </w:rPr>
        <w:t xml:space="preserve"> – a reflection of the </w:t>
      </w:r>
      <w:r w:rsidRPr="00D768BF">
        <w:rPr>
          <w:rFonts w:ascii="Arial" w:hAnsi="Arial" w:cs="Arial"/>
          <w:sz w:val="20"/>
          <w:szCs w:val="20"/>
        </w:rPr>
        <w:t>burden of inflammation in the later lifecourse influenc</w:t>
      </w:r>
      <w:r>
        <w:rPr>
          <w:rFonts w:ascii="Arial" w:hAnsi="Arial" w:cs="Arial"/>
          <w:sz w:val="20"/>
          <w:szCs w:val="20"/>
        </w:rPr>
        <w:t>ing</w:t>
      </w:r>
      <w:r w:rsidRPr="00D768BF">
        <w:rPr>
          <w:rFonts w:ascii="Arial" w:hAnsi="Arial" w:cs="Arial"/>
          <w:sz w:val="20"/>
          <w:szCs w:val="20"/>
        </w:rPr>
        <w:t xml:space="preserve"> age related disease and TL rather than earlier in the lifecourse </w:t>
      </w:r>
      <w:r>
        <w:rPr>
          <w:rFonts w:ascii="Arial" w:hAnsi="Arial" w:cs="Arial"/>
          <w:sz w:val="20"/>
          <w:szCs w:val="20"/>
        </w:rPr>
        <w:t xml:space="preserve">at </w:t>
      </w:r>
      <w:r w:rsidRPr="00D768BF">
        <w:rPr>
          <w:rFonts w:ascii="Arial" w:hAnsi="Arial" w:cs="Arial"/>
          <w:sz w:val="20"/>
          <w:szCs w:val="20"/>
        </w:rPr>
        <w:t>baseline.</w:t>
      </w:r>
    </w:p>
    <w:p w:rsidR="00384FB3" w:rsidRPr="00D768BF"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lang w:eastAsia="en-GB"/>
        </w:rPr>
      </w:pPr>
      <w:r w:rsidRPr="00D768BF">
        <w:rPr>
          <w:rFonts w:ascii="Arial" w:hAnsi="Arial" w:cs="Arial"/>
          <w:sz w:val="20"/>
          <w:szCs w:val="20"/>
        </w:rPr>
        <w:t>This adds to a growing body of epidemiological and mechanistic evidence</w:t>
      </w:r>
      <w:r w:rsidRPr="00BD1FCC">
        <w:rPr>
          <w:rFonts w:ascii="Arial" w:hAnsi="Arial" w:cs="Arial"/>
          <w:sz w:val="20"/>
          <w:szCs w:val="20"/>
        </w:rPr>
        <w:t xml:space="preserve"> for the role of inflammation within the ageing process. </w:t>
      </w:r>
      <w:r>
        <w:rPr>
          <w:rFonts w:ascii="Arial" w:hAnsi="Arial" w:cs="Arial"/>
          <w:sz w:val="20"/>
          <w:szCs w:val="20"/>
        </w:rPr>
        <w:t xml:space="preserve"> </w:t>
      </w:r>
      <w:r w:rsidRPr="00BD1FCC">
        <w:rPr>
          <w:rFonts w:ascii="Arial" w:hAnsi="Arial" w:cs="Arial"/>
          <w:sz w:val="20"/>
          <w:szCs w:val="20"/>
        </w:rPr>
        <w:t>P</w:t>
      </w:r>
      <w:r w:rsidRPr="00BD1FCC">
        <w:rPr>
          <w:rFonts w:ascii="Arial" w:hAnsi="Arial" w:cs="Arial"/>
          <w:sz w:val="20"/>
          <w:szCs w:val="20"/>
          <w:lang w:eastAsia="en-GB"/>
        </w:rPr>
        <w:t xml:space="preserve">ro-inflammatory cytokines have specific receptors on skeletal muscle myocytes that activate intracellular signalling cascades causing myocyte atrophy and apoptosis </w:t>
      </w:r>
      <w:r w:rsidR="003A5430">
        <w:rPr>
          <w:rFonts w:ascii="Arial" w:hAnsi="Arial" w:cs="Arial"/>
          <w:noProof/>
          <w:sz w:val="20"/>
          <w:szCs w:val="20"/>
          <w:lang w:eastAsia="en-GB"/>
        </w:rPr>
        <w:t>[42</w:t>
      </w:r>
      <w:r>
        <w:rPr>
          <w:rFonts w:ascii="Arial" w:hAnsi="Arial" w:cs="Arial"/>
          <w:noProof/>
          <w:sz w:val="20"/>
          <w:szCs w:val="20"/>
          <w:lang w:eastAsia="en-GB"/>
        </w:rPr>
        <w:t>]</w:t>
      </w:r>
      <w:r w:rsidRPr="00BD1FCC">
        <w:rPr>
          <w:rFonts w:ascii="Arial" w:hAnsi="Arial" w:cs="Arial"/>
          <w:sz w:val="20"/>
          <w:szCs w:val="20"/>
          <w:lang w:eastAsia="en-GB"/>
        </w:rPr>
        <w:t xml:space="preserve">. </w:t>
      </w:r>
      <w:r w:rsidRPr="00BD1FCC">
        <w:rPr>
          <w:rFonts w:ascii="Arial" w:hAnsi="Arial" w:cs="Arial"/>
          <w:sz w:val="20"/>
          <w:szCs w:val="20"/>
        </w:rPr>
        <w:t>Cross-sectional and longitudinal associations between inflammation and sarcopenia have previously been demonstrated and it is thought that i</w:t>
      </w:r>
      <w:r w:rsidRPr="00BD1FCC">
        <w:rPr>
          <w:rFonts w:ascii="Arial" w:hAnsi="Arial" w:cs="Arial"/>
          <w:sz w:val="20"/>
          <w:szCs w:val="20"/>
          <w:lang w:eastAsia="en-GB"/>
        </w:rPr>
        <w:t>nter-individual variations in inflammatory milieu at least in-</w:t>
      </w:r>
      <w:r w:rsidRPr="00BD1FCC">
        <w:rPr>
          <w:rFonts w:ascii="Arial" w:hAnsi="Arial" w:cs="Arial"/>
          <w:sz w:val="20"/>
          <w:szCs w:val="20"/>
          <w:lang w:eastAsia="en-GB"/>
        </w:rPr>
        <w:lastRenderedPageBreak/>
        <w:t xml:space="preserve">part explains the different rates at which individuals become sarcopenic </w:t>
      </w:r>
      <w:r w:rsidR="003A5430">
        <w:rPr>
          <w:rFonts w:ascii="Arial" w:hAnsi="Arial" w:cs="Arial"/>
          <w:noProof/>
          <w:sz w:val="20"/>
          <w:szCs w:val="20"/>
          <w:lang w:eastAsia="en-GB"/>
        </w:rPr>
        <w:t>[</w:t>
      </w:r>
      <w:r>
        <w:rPr>
          <w:rFonts w:ascii="Arial" w:hAnsi="Arial" w:cs="Arial"/>
          <w:noProof/>
          <w:sz w:val="20"/>
          <w:szCs w:val="20"/>
          <w:lang w:eastAsia="en-GB"/>
        </w:rPr>
        <w:t>43</w:t>
      </w:r>
      <w:r w:rsidR="003A5430">
        <w:rPr>
          <w:rFonts w:ascii="Arial" w:hAnsi="Arial" w:cs="Arial"/>
          <w:noProof/>
          <w:sz w:val="20"/>
          <w:szCs w:val="20"/>
          <w:lang w:eastAsia="en-GB"/>
        </w:rPr>
        <w:t>-44</w:t>
      </w:r>
      <w:r>
        <w:rPr>
          <w:rFonts w:ascii="Arial" w:hAnsi="Arial" w:cs="Arial"/>
          <w:noProof/>
          <w:sz w:val="20"/>
          <w:szCs w:val="20"/>
          <w:lang w:eastAsia="en-GB"/>
        </w:rPr>
        <w:t>]</w:t>
      </w:r>
      <w:r w:rsidRPr="00BD1FCC">
        <w:rPr>
          <w:rFonts w:ascii="Arial" w:hAnsi="Arial" w:cs="Arial"/>
          <w:sz w:val="20"/>
          <w:szCs w:val="20"/>
          <w:lang w:eastAsia="en-GB"/>
        </w:rPr>
        <w:t xml:space="preserve">. </w:t>
      </w:r>
      <w:r>
        <w:rPr>
          <w:rFonts w:ascii="Arial" w:hAnsi="Arial" w:cs="Arial"/>
          <w:sz w:val="20"/>
          <w:szCs w:val="20"/>
          <w:lang w:eastAsia="en-GB"/>
        </w:rPr>
        <w:t xml:space="preserve"> </w:t>
      </w:r>
      <w:r w:rsidRPr="00BD1FCC">
        <w:rPr>
          <w:rFonts w:ascii="Arial" w:hAnsi="Arial" w:cs="Arial"/>
          <w:sz w:val="20"/>
          <w:szCs w:val="20"/>
          <w:lang w:eastAsia="en-GB"/>
        </w:rPr>
        <w:t xml:space="preserve">Similar mechanisms can be found in relation to other age-related disease processes such as those seen in the cardiovascular, pulmonary, skeletal and central nervous systems </w:t>
      </w:r>
      <w:r w:rsidR="003A5430">
        <w:rPr>
          <w:rFonts w:ascii="Arial" w:hAnsi="Arial" w:cs="Arial"/>
          <w:noProof/>
          <w:sz w:val="20"/>
          <w:szCs w:val="20"/>
          <w:lang w:eastAsia="en-GB"/>
        </w:rPr>
        <w:t>[45</w:t>
      </w:r>
      <w:r>
        <w:rPr>
          <w:rFonts w:ascii="Arial" w:hAnsi="Arial" w:cs="Arial"/>
          <w:noProof/>
          <w:sz w:val="20"/>
          <w:szCs w:val="20"/>
          <w:lang w:eastAsia="en-GB"/>
        </w:rPr>
        <w:t>]</w:t>
      </w:r>
      <w:r w:rsidRPr="00BD1FCC">
        <w:rPr>
          <w:rFonts w:ascii="Arial" w:hAnsi="Arial" w:cs="Arial"/>
          <w:sz w:val="20"/>
          <w:szCs w:val="20"/>
          <w:lang w:eastAsia="en-GB"/>
        </w:rPr>
        <w:t xml:space="preserve">. </w:t>
      </w:r>
    </w:p>
    <w:p w:rsidR="00384FB3" w:rsidRPr="00BD1FCC" w:rsidRDefault="00384FB3" w:rsidP="003A5430">
      <w:pPr>
        <w:spacing w:after="0" w:line="480" w:lineRule="auto"/>
        <w:mirrorIndents/>
        <w:rPr>
          <w:rFonts w:ascii="Arial" w:hAnsi="Arial" w:cs="Arial"/>
          <w:sz w:val="20"/>
          <w:szCs w:val="20"/>
          <w:lang w:eastAsia="en-GB"/>
        </w:rPr>
      </w:pPr>
    </w:p>
    <w:p w:rsidR="00384FB3" w:rsidRPr="00976AA6" w:rsidRDefault="00384FB3" w:rsidP="003A5430">
      <w:pPr>
        <w:spacing w:after="0" w:line="480" w:lineRule="auto"/>
        <w:mirrorIndents/>
        <w:rPr>
          <w:rFonts w:ascii="Arial" w:hAnsi="Arial" w:cs="Arial"/>
          <w:sz w:val="20"/>
          <w:szCs w:val="20"/>
        </w:rPr>
      </w:pPr>
      <w:r w:rsidRPr="00BD1FCC">
        <w:rPr>
          <w:rFonts w:ascii="Arial" w:hAnsi="Arial" w:cs="Arial"/>
          <w:sz w:val="20"/>
          <w:szCs w:val="20"/>
          <w:lang w:eastAsia="en-GB"/>
        </w:rPr>
        <w:t>In addition to its effect on skeletal muscle, inflammation may simultaneously accelerate telomere attrition via</w:t>
      </w:r>
      <w:r>
        <w:rPr>
          <w:rFonts w:ascii="Arial" w:hAnsi="Arial" w:cs="Arial"/>
          <w:sz w:val="20"/>
          <w:szCs w:val="20"/>
          <w:lang w:eastAsia="en-GB"/>
        </w:rPr>
        <w:t>:</w:t>
      </w:r>
      <w:r w:rsidRPr="00BD1FCC">
        <w:rPr>
          <w:rFonts w:ascii="Arial" w:hAnsi="Arial" w:cs="Arial"/>
          <w:sz w:val="20"/>
          <w:szCs w:val="20"/>
          <w:lang w:eastAsia="en-GB"/>
        </w:rPr>
        <w:t xml:space="preserve"> direct </w:t>
      </w:r>
      <w:r w:rsidRPr="00BD1FCC">
        <w:rPr>
          <w:rFonts w:ascii="Arial" w:hAnsi="Arial" w:cs="Arial"/>
          <w:sz w:val="20"/>
          <w:szCs w:val="20"/>
        </w:rPr>
        <w:t xml:space="preserve">inhibition of telomerase </w:t>
      </w:r>
      <w:r w:rsidR="003A5430">
        <w:rPr>
          <w:rFonts w:ascii="Arial" w:hAnsi="Arial" w:cs="Arial"/>
          <w:noProof/>
          <w:sz w:val="20"/>
          <w:szCs w:val="20"/>
        </w:rPr>
        <w:t>[</w:t>
      </w:r>
      <w:r>
        <w:rPr>
          <w:rFonts w:ascii="Arial" w:hAnsi="Arial" w:cs="Arial"/>
          <w:noProof/>
          <w:sz w:val="20"/>
          <w:szCs w:val="20"/>
        </w:rPr>
        <w:t>46</w:t>
      </w:r>
      <w:r w:rsidR="003A5430">
        <w:rPr>
          <w:rFonts w:ascii="Arial" w:hAnsi="Arial" w:cs="Arial"/>
          <w:noProof/>
          <w:sz w:val="20"/>
          <w:szCs w:val="20"/>
        </w:rPr>
        <w:t>-47</w:t>
      </w:r>
      <w:r>
        <w:rPr>
          <w:rFonts w:ascii="Arial" w:hAnsi="Arial" w:cs="Arial"/>
          <w:noProof/>
          <w:sz w:val="20"/>
          <w:szCs w:val="20"/>
        </w:rPr>
        <w:t>]</w:t>
      </w:r>
      <w:r w:rsidRPr="00BD1FCC">
        <w:rPr>
          <w:rFonts w:ascii="Arial" w:hAnsi="Arial" w:cs="Arial"/>
          <w:sz w:val="20"/>
          <w:szCs w:val="20"/>
        </w:rPr>
        <w:t xml:space="preserve">; </w:t>
      </w:r>
      <w:r>
        <w:rPr>
          <w:rFonts w:ascii="Arial" w:hAnsi="Arial" w:cs="Arial"/>
          <w:sz w:val="20"/>
          <w:szCs w:val="20"/>
        </w:rPr>
        <w:t xml:space="preserve">an increase in </w:t>
      </w:r>
      <w:r w:rsidRPr="00BD1FCC">
        <w:rPr>
          <w:rFonts w:ascii="Arial" w:hAnsi="Arial" w:cs="Arial"/>
          <w:sz w:val="20"/>
          <w:szCs w:val="20"/>
        </w:rPr>
        <w:t>oxidative stress</w:t>
      </w:r>
      <w:r>
        <w:rPr>
          <w:rFonts w:ascii="Arial" w:hAnsi="Arial" w:cs="Arial"/>
          <w:sz w:val="20"/>
          <w:szCs w:val="20"/>
        </w:rPr>
        <w:t xml:space="preserve"> leading to decreased</w:t>
      </w:r>
      <w:r w:rsidRPr="00BD1FCC">
        <w:rPr>
          <w:rFonts w:ascii="Arial" w:hAnsi="Arial" w:cs="Arial"/>
          <w:sz w:val="20"/>
          <w:szCs w:val="20"/>
        </w:rPr>
        <w:t xml:space="preserve"> telomerase activity; direct oxidative damage to telomere DNA</w:t>
      </w:r>
      <w:r>
        <w:rPr>
          <w:rFonts w:ascii="Arial" w:hAnsi="Arial" w:cs="Arial"/>
          <w:sz w:val="20"/>
          <w:szCs w:val="20"/>
        </w:rPr>
        <w:t>; and</w:t>
      </w:r>
      <w:r w:rsidRPr="00BD1FCC">
        <w:rPr>
          <w:rFonts w:ascii="Arial" w:hAnsi="Arial" w:cs="Arial"/>
          <w:sz w:val="20"/>
          <w:szCs w:val="20"/>
        </w:rPr>
        <w:t xml:space="preserve"> promotion of cell turnover and replicative senescence </w:t>
      </w:r>
      <w:r w:rsidR="003A5430">
        <w:rPr>
          <w:rFonts w:ascii="Arial" w:hAnsi="Arial" w:cs="Arial"/>
          <w:noProof/>
          <w:sz w:val="20"/>
          <w:szCs w:val="20"/>
        </w:rPr>
        <w:t>[22;23;48</w:t>
      </w:r>
      <w:r>
        <w:rPr>
          <w:rFonts w:ascii="Arial" w:hAnsi="Arial" w:cs="Arial"/>
          <w:noProof/>
          <w:sz w:val="20"/>
          <w:szCs w:val="20"/>
        </w:rPr>
        <w:t>]</w:t>
      </w:r>
      <w:r w:rsidRPr="00BD1FCC">
        <w:rPr>
          <w:rFonts w:ascii="Arial" w:hAnsi="Arial" w:cs="Arial"/>
          <w:sz w:val="20"/>
          <w:szCs w:val="20"/>
        </w:rPr>
        <w:t xml:space="preserve">. </w:t>
      </w:r>
      <w:r>
        <w:rPr>
          <w:rFonts w:ascii="Arial" w:hAnsi="Arial" w:cs="Arial"/>
          <w:sz w:val="20"/>
          <w:szCs w:val="20"/>
        </w:rPr>
        <w:t xml:space="preserve"> </w:t>
      </w:r>
      <w:r w:rsidRPr="00BD1FCC">
        <w:rPr>
          <w:rFonts w:ascii="Arial" w:hAnsi="Arial" w:cs="Arial"/>
          <w:sz w:val="20"/>
          <w:szCs w:val="20"/>
        </w:rPr>
        <w:t xml:space="preserve">Cortisol has been directly associated with reduced telomerase activity in human T-lymphocytes via the reduced transcription of hTERT, the telomerase </w:t>
      </w:r>
      <w:r>
        <w:rPr>
          <w:rFonts w:ascii="Arial" w:hAnsi="Arial" w:cs="Arial"/>
          <w:sz w:val="20"/>
          <w:szCs w:val="20"/>
        </w:rPr>
        <w:t xml:space="preserve">catalytic component.  </w:t>
      </w:r>
      <w:r w:rsidRPr="00BD1FCC">
        <w:rPr>
          <w:rFonts w:ascii="Arial" w:hAnsi="Arial" w:cs="Arial"/>
          <w:sz w:val="20"/>
          <w:szCs w:val="20"/>
        </w:rPr>
        <w:t xml:space="preserve">This relationship may be bi-directional with faster telomere attrition associated with cellular senescence </w:t>
      </w:r>
      <w:r w:rsidRPr="00976AA6">
        <w:rPr>
          <w:rFonts w:ascii="Arial" w:hAnsi="Arial" w:cs="Arial"/>
          <w:sz w:val="20"/>
          <w:szCs w:val="20"/>
        </w:rPr>
        <w:t>and a greater tendency to secrete pro-inflammatory cytokines.</w:t>
      </w:r>
    </w:p>
    <w:p w:rsidR="00384FB3" w:rsidRPr="00976AA6"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rPr>
          <w:rFonts w:ascii="Arial" w:hAnsi="Arial" w:cs="Arial"/>
          <w:sz w:val="20"/>
          <w:szCs w:val="20"/>
        </w:rPr>
      </w:pPr>
      <w:r>
        <w:rPr>
          <w:rFonts w:ascii="Arial" w:hAnsi="Arial" w:cs="Arial"/>
          <w:sz w:val="20"/>
          <w:szCs w:val="20"/>
        </w:rPr>
        <w:t>We have shown that a</w:t>
      </w:r>
      <w:r w:rsidRPr="00976AA6">
        <w:rPr>
          <w:rFonts w:ascii="Arial" w:hAnsi="Arial" w:cs="Arial"/>
          <w:sz w:val="20"/>
          <w:szCs w:val="20"/>
        </w:rPr>
        <w:t xml:space="preserve"> substantial drop in telomere length was observed from baseline</w:t>
      </w:r>
      <w:r>
        <w:rPr>
          <w:rFonts w:ascii="Arial" w:hAnsi="Arial" w:cs="Arial"/>
          <w:sz w:val="20"/>
          <w:szCs w:val="20"/>
        </w:rPr>
        <w:t xml:space="preserve"> to follow up (an average of 144</w:t>
      </w:r>
      <w:r w:rsidRPr="00976AA6">
        <w:rPr>
          <w:rFonts w:ascii="Arial" w:hAnsi="Arial" w:cs="Arial"/>
          <w:sz w:val="20"/>
          <w:szCs w:val="20"/>
        </w:rPr>
        <w:t xml:space="preserve"> base pairs annually).  </w:t>
      </w:r>
      <w:r>
        <w:rPr>
          <w:rFonts w:ascii="Arial" w:hAnsi="Arial" w:cs="Arial"/>
          <w:sz w:val="20"/>
          <w:szCs w:val="20"/>
        </w:rPr>
        <w:t xml:space="preserve">This is similar to rates in cross sectional studies although a more rapid decline has been observed in some longitudinal studies </w:t>
      </w:r>
      <w:r w:rsidR="003A5430">
        <w:rPr>
          <w:rFonts w:ascii="Arial" w:hAnsi="Arial" w:cs="Arial"/>
          <w:noProof/>
          <w:sz w:val="20"/>
          <w:szCs w:val="20"/>
        </w:rPr>
        <w:t>[6;7;9-12;14;34-38</w:t>
      </w:r>
      <w:r>
        <w:rPr>
          <w:rFonts w:ascii="Arial" w:hAnsi="Arial" w:cs="Arial"/>
          <w:noProof/>
          <w:sz w:val="20"/>
          <w:szCs w:val="20"/>
        </w:rPr>
        <w:t>;4</w:t>
      </w:r>
      <w:r w:rsidR="003A5430">
        <w:rPr>
          <w:rFonts w:ascii="Arial" w:hAnsi="Arial" w:cs="Arial"/>
          <w:noProof/>
          <w:sz w:val="20"/>
          <w:szCs w:val="20"/>
        </w:rPr>
        <w:t>9</w:t>
      </w:r>
      <w:r>
        <w:rPr>
          <w:rFonts w:ascii="Arial" w:hAnsi="Arial" w:cs="Arial"/>
          <w:noProof/>
          <w:sz w:val="20"/>
          <w:szCs w:val="20"/>
        </w:rPr>
        <w:t>]</w:t>
      </w:r>
      <w:r>
        <w:rPr>
          <w:rFonts w:ascii="Arial" w:hAnsi="Arial" w:cs="Arial"/>
          <w:sz w:val="20"/>
          <w:szCs w:val="20"/>
        </w:rPr>
        <w:t>.   T</w:t>
      </w:r>
      <w:r w:rsidRPr="00976AA6">
        <w:rPr>
          <w:rFonts w:ascii="Arial" w:hAnsi="Arial" w:cs="Arial"/>
          <w:sz w:val="20"/>
          <w:szCs w:val="20"/>
        </w:rPr>
        <w:t>he range of telomere length</w:t>
      </w:r>
      <w:r>
        <w:rPr>
          <w:rFonts w:ascii="Arial" w:hAnsi="Arial" w:cs="Arial"/>
          <w:sz w:val="20"/>
          <w:szCs w:val="20"/>
        </w:rPr>
        <w:t>s</w:t>
      </w:r>
      <w:r w:rsidRPr="00976AA6">
        <w:rPr>
          <w:rFonts w:ascii="Arial" w:hAnsi="Arial" w:cs="Arial"/>
          <w:sz w:val="20"/>
          <w:szCs w:val="20"/>
        </w:rPr>
        <w:t xml:space="preserve"> observed in our study was substantial (between</w:t>
      </w:r>
      <w:r>
        <w:rPr>
          <w:rFonts w:ascii="Arial" w:hAnsi="Arial" w:cs="Arial"/>
          <w:sz w:val="20"/>
          <w:szCs w:val="20"/>
        </w:rPr>
        <w:t xml:space="preserve"> 1,300 and 12,3</w:t>
      </w:r>
      <w:r w:rsidRPr="00976AA6">
        <w:rPr>
          <w:rFonts w:ascii="Arial" w:hAnsi="Arial" w:cs="Arial"/>
          <w:sz w:val="20"/>
          <w:szCs w:val="20"/>
        </w:rPr>
        <w:t>00 base pairs).  Although consider</w:t>
      </w:r>
      <w:r>
        <w:rPr>
          <w:rFonts w:ascii="Arial" w:hAnsi="Arial" w:cs="Arial"/>
          <w:sz w:val="20"/>
          <w:szCs w:val="20"/>
        </w:rPr>
        <w:t>able attenuation of the variance</w:t>
      </w:r>
      <w:r w:rsidRPr="00976AA6">
        <w:rPr>
          <w:rFonts w:ascii="Arial" w:hAnsi="Arial" w:cs="Arial"/>
          <w:sz w:val="20"/>
          <w:szCs w:val="20"/>
        </w:rPr>
        <w:t xml:space="preserve"> in telomere length is observed in the very elderly</w:t>
      </w:r>
      <w:r>
        <w:rPr>
          <w:rFonts w:ascii="Arial" w:hAnsi="Arial" w:cs="Arial"/>
          <w:sz w:val="20"/>
          <w:szCs w:val="20"/>
        </w:rPr>
        <w:t xml:space="preserve"> </w:t>
      </w:r>
      <w:r>
        <w:rPr>
          <w:rFonts w:ascii="Arial" w:hAnsi="Arial" w:cs="Arial"/>
          <w:noProof/>
          <w:sz w:val="20"/>
          <w:szCs w:val="20"/>
        </w:rPr>
        <w:t>[11]</w:t>
      </w:r>
      <w:r w:rsidRPr="00976AA6">
        <w:rPr>
          <w:rFonts w:ascii="Arial" w:hAnsi="Arial" w:cs="Arial"/>
          <w:sz w:val="20"/>
          <w:szCs w:val="20"/>
        </w:rPr>
        <w:t xml:space="preserve"> the range observed in our study was comparable with that in other population based samples </w:t>
      </w:r>
      <w:r>
        <w:rPr>
          <w:rFonts w:ascii="Arial" w:hAnsi="Arial" w:cs="Arial"/>
          <w:noProof/>
          <w:sz w:val="20"/>
          <w:szCs w:val="20"/>
        </w:rPr>
        <w:t>[6;7;9;10;12;14]</w:t>
      </w:r>
      <w:r w:rsidRPr="00976AA6">
        <w:rPr>
          <w:rFonts w:ascii="Arial" w:hAnsi="Arial" w:cs="Arial"/>
          <w:sz w:val="20"/>
          <w:szCs w:val="20"/>
        </w:rPr>
        <w:t>.</w:t>
      </w:r>
      <w:r>
        <w:rPr>
          <w:rFonts w:ascii="Arial" w:hAnsi="Arial" w:cs="Arial"/>
          <w:sz w:val="20"/>
          <w:szCs w:val="20"/>
        </w:rPr>
        <w:t xml:space="preserve"> </w:t>
      </w:r>
    </w:p>
    <w:p w:rsidR="00384FB3" w:rsidRPr="00976AA6" w:rsidRDefault="00384FB3" w:rsidP="003A5430">
      <w:pPr>
        <w:spacing w:after="0" w:line="480" w:lineRule="auto"/>
        <w:mirrorIndents/>
        <w:rPr>
          <w:rFonts w:ascii="Arial" w:hAnsi="Arial" w:cs="Arial"/>
          <w:sz w:val="20"/>
          <w:szCs w:val="20"/>
        </w:rPr>
      </w:pPr>
    </w:p>
    <w:p w:rsidR="00384FB3" w:rsidRPr="00BD1FCC" w:rsidRDefault="00384FB3" w:rsidP="003A5430">
      <w:pPr>
        <w:spacing w:after="0" w:line="480" w:lineRule="auto"/>
        <w:mirrorIndents/>
        <w:rPr>
          <w:rFonts w:ascii="Arial" w:hAnsi="Arial" w:cs="Arial"/>
          <w:sz w:val="20"/>
          <w:szCs w:val="20"/>
        </w:rPr>
      </w:pPr>
      <w:r w:rsidRPr="00976AA6">
        <w:rPr>
          <w:rFonts w:ascii="Arial" w:hAnsi="Arial" w:cs="Arial"/>
          <w:sz w:val="20"/>
          <w:szCs w:val="20"/>
        </w:rPr>
        <w:t>Our study has some limitations. Firstly</w:t>
      </w:r>
      <w:r w:rsidRPr="00BD1FCC">
        <w:rPr>
          <w:rFonts w:ascii="Arial" w:hAnsi="Arial" w:cs="Arial"/>
          <w:sz w:val="20"/>
          <w:szCs w:val="20"/>
        </w:rPr>
        <w:t>, we cannot completely exclude</w:t>
      </w:r>
      <w:r>
        <w:rPr>
          <w:rFonts w:ascii="Arial" w:hAnsi="Arial" w:cs="Arial"/>
          <w:sz w:val="20"/>
          <w:szCs w:val="20"/>
        </w:rPr>
        <w:t xml:space="preserve"> the effects of co-existing sub</w:t>
      </w:r>
      <w:r>
        <w:rPr>
          <w:rFonts w:ascii="Arial" w:hAnsi="Arial" w:cs="Arial"/>
          <w:sz w:val="20"/>
          <w:szCs w:val="20"/>
        </w:rPr>
        <w:noBreakHyphen/>
      </w:r>
      <w:r w:rsidRPr="00BD1FCC">
        <w:rPr>
          <w:rFonts w:ascii="Arial" w:hAnsi="Arial" w:cs="Arial"/>
          <w:sz w:val="20"/>
          <w:szCs w:val="20"/>
        </w:rPr>
        <w:t>clinical infections</w:t>
      </w:r>
      <w:r w:rsidRPr="006B43EE">
        <w:rPr>
          <w:rFonts w:ascii="Arial" w:hAnsi="Arial" w:cs="Arial"/>
          <w:sz w:val="20"/>
          <w:szCs w:val="20"/>
        </w:rPr>
        <w:t xml:space="preserve"> </w:t>
      </w:r>
      <w:r w:rsidRPr="00BD1FCC">
        <w:rPr>
          <w:rFonts w:ascii="Arial" w:hAnsi="Arial" w:cs="Arial"/>
          <w:sz w:val="20"/>
          <w:szCs w:val="20"/>
        </w:rPr>
        <w:t xml:space="preserve">at the time of immune-endocrine analysis. </w:t>
      </w:r>
      <w:r>
        <w:rPr>
          <w:rFonts w:ascii="Arial" w:hAnsi="Arial" w:cs="Arial"/>
          <w:sz w:val="20"/>
          <w:szCs w:val="20"/>
        </w:rPr>
        <w:t xml:space="preserve"> </w:t>
      </w:r>
      <w:r w:rsidRPr="00BD1FCC">
        <w:rPr>
          <w:rFonts w:ascii="Arial" w:hAnsi="Arial" w:cs="Arial"/>
          <w:sz w:val="20"/>
          <w:szCs w:val="20"/>
        </w:rPr>
        <w:t xml:space="preserve">However, participants were presumed fit and able to attend clinic appointments for data collection and results were screened prior to analysis for patterns suggestive of acute infection or haematological malignancy and four results </w:t>
      </w:r>
      <w:r>
        <w:rPr>
          <w:rFonts w:ascii="Arial" w:hAnsi="Arial" w:cs="Arial"/>
          <w:sz w:val="20"/>
          <w:szCs w:val="20"/>
        </w:rPr>
        <w:t xml:space="preserve">were </w:t>
      </w:r>
      <w:r w:rsidRPr="00BD1FCC">
        <w:rPr>
          <w:rFonts w:ascii="Arial" w:hAnsi="Arial" w:cs="Arial"/>
          <w:sz w:val="20"/>
          <w:szCs w:val="20"/>
        </w:rPr>
        <w:t xml:space="preserve">removed from the data set. </w:t>
      </w:r>
      <w:r>
        <w:rPr>
          <w:rFonts w:ascii="Arial" w:hAnsi="Arial" w:cs="Arial"/>
          <w:sz w:val="20"/>
          <w:szCs w:val="20"/>
        </w:rPr>
        <w:t xml:space="preserve"> </w:t>
      </w:r>
      <w:r w:rsidRPr="00BD1FCC">
        <w:rPr>
          <w:rFonts w:ascii="Arial" w:hAnsi="Arial" w:cs="Arial"/>
          <w:sz w:val="20"/>
          <w:szCs w:val="20"/>
        </w:rPr>
        <w:t>Secondly, study participants were lost to follow-up between the 1994/5 baseline and 2003/5 follow-up clinics due to a variety of reasons (includ</w:t>
      </w:r>
      <w:r>
        <w:rPr>
          <w:rFonts w:ascii="Arial" w:hAnsi="Arial" w:cs="Arial"/>
          <w:sz w:val="20"/>
          <w:szCs w:val="20"/>
        </w:rPr>
        <w:t>ing mortality</w:t>
      </w:r>
      <w:r w:rsidRPr="00BD1FCC">
        <w:rPr>
          <w:rFonts w:ascii="Arial" w:hAnsi="Arial" w:cs="Arial"/>
          <w:sz w:val="20"/>
          <w:szCs w:val="20"/>
        </w:rPr>
        <w:t xml:space="preserve">, refusal to participate) and we have previously shown that a healthy participant effect is, unsurprisingly, evident in HAS </w:t>
      </w:r>
      <w:r w:rsidRPr="00E12411">
        <w:rPr>
          <w:rFonts w:ascii="Arial" w:hAnsi="Arial" w:cs="Arial"/>
          <w:noProof/>
          <w:sz w:val="20"/>
          <w:szCs w:val="20"/>
        </w:rPr>
        <w:t>[19]</w:t>
      </w:r>
      <w:r w:rsidRPr="00E12411">
        <w:rPr>
          <w:rFonts w:ascii="Arial" w:hAnsi="Arial" w:cs="Arial"/>
          <w:sz w:val="20"/>
          <w:szCs w:val="20"/>
        </w:rPr>
        <w:t xml:space="preserve">.  However, we have explored internal associations between variables in this analysis. The magnitude of associations that we have identified would only be substantially affected by the presence of a healthy survivor bias if the association between two variables was substantially different </w:t>
      </w:r>
      <w:r w:rsidRPr="00E12411">
        <w:rPr>
          <w:rFonts w:ascii="Arial" w:hAnsi="Arial" w:cs="Arial"/>
          <w:sz w:val="20"/>
          <w:szCs w:val="20"/>
        </w:rPr>
        <w:lastRenderedPageBreak/>
        <w:t xml:space="preserve">among study participants according to follow-up status; this seems unlikely.  </w:t>
      </w:r>
      <w:r w:rsidRPr="00BD1FCC">
        <w:rPr>
          <w:rFonts w:ascii="Arial" w:hAnsi="Arial" w:cs="Arial"/>
          <w:sz w:val="20"/>
          <w:szCs w:val="20"/>
        </w:rPr>
        <w:t>No further selection effects were evident according to availability of telomere data</w:t>
      </w:r>
      <w:r>
        <w:rPr>
          <w:rFonts w:ascii="Arial" w:hAnsi="Arial" w:cs="Arial"/>
          <w:sz w:val="20"/>
          <w:szCs w:val="20"/>
        </w:rPr>
        <w:t>; specifically there was no difference in GS between participants who were, and were not followed up with reference to TL (data not shown)</w:t>
      </w:r>
      <w:r w:rsidRPr="00BD1FCC">
        <w:rPr>
          <w:rFonts w:ascii="Arial" w:hAnsi="Arial" w:cs="Arial"/>
          <w:sz w:val="20"/>
          <w:szCs w:val="20"/>
        </w:rPr>
        <w:t xml:space="preserve">. </w:t>
      </w:r>
      <w:r>
        <w:rPr>
          <w:rFonts w:ascii="Arial" w:hAnsi="Arial" w:cs="Arial"/>
          <w:sz w:val="20"/>
          <w:szCs w:val="20"/>
        </w:rPr>
        <w:t xml:space="preserve"> T</w:t>
      </w:r>
      <w:r w:rsidRPr="00BD1FCC">
        <w:rPr>
          <w:rFonts w:ascii="Arial" w:hAnsi="Arial" w:cs="Arial"/>
          <w:sz w:val="20"/>
          <w:szCs w:val="20"/>
        </w:rPr>
        <w:t xml:space="preserve">here are numerous candidate biomarkers </w:t>
      </w:r>
      <w:r>
        <w:rPr>
          <w:rFonts w:ascii="Arial" w:hAnsi="Arial" w:cs="Arial"/>
          <w:sz w:val="20"/>
          <w:szCs w:val="20"/>
        </w:rPr>
        <w:t>of both</w:t>
      </w:r>
      <w:r w:rsidRPr="00BD1FCC">
        <w:rPr>
          <w:rFonts w:ascii="Arial" w:hAnsi="Arial" w:cs="Arial"/>
          <w:sz w:val="20"/>
          <w:szCs w:val="20"/>
        </w:rPr>
        <w:t xml:space="preserve"> the </w:t>
      </w:r>
      <w:r>
        <w:rPr>
          <w:rFonts w:ascii="Arial" w:hAnsi="Arial" w:cs="Arial"/>
          <w:sz w:val="20"/>
          <w:szCs w:val="20"/>
        </w:rPr>
        <w:t xml:space="preserve">ageing process and the </w:t>
      </w:r>
      <w:r w:rsidRPr="00BD1FCC">
        <w:rPr>
          <w:rFonts w:ascii="Arial" w:hAnsi="Arial" w:cs="Arial"/>
          <w:sz w:val="20"/>
          <w:szCs w:val="20"/>
        </w:rPr>
        <w:t>immune-endocrine axis</w:t>
      </w:r>
      <w:r>
        <w:rPr>
          <w:rFonts w:ascii="Arial" w:hAnsi="Arial" w:cs="Arial"/>
          <w:sz w:val="20"/>
          <w:szCs w:val="20"/>
        </w:rPr>
        <w:t xml:space="preserve"> </w:t>
      </w:r>
      <w:r w:rsidRPr="00BD1FCC">
        <w:rPr>
          <w:rFonts w:ascii="Arial" w:hAnsi="Arial" w:cs="Arial"/>
          <w:sz w:val="20"/>
          <w:szCs w:val="20"/>
        </w:rPr>
        <w:t>which were not included in this study and there is scope to widen th</w:t>
      </w:r>
      <w:r>
        <w:rPr>
          <w:rFonts w:ascii="Arial" w:hAnsi="Arial" w:cs="Arial"/>
          <w:sz w:val="20"/>
          <w:szCs w:val="20"/>
        </w:rPr>
        <w:t>is</w:t>
      </w:r>
      <w:r w:rsidRPr="00BD1FCC">
        <w:rPr>
          <w:rFonts w:ascii="Arial" w:hAnsi="Arial" w:cs="Arial"/>
          <w:sz w:val="20"/>
          <w:szCs w:val="20"/>
        </w:rPr>
        <w:t xml:space="preserve"> biomarker battery</w:t>
      </w:r>
      <w:r>
        <w:rPr>
          <w:rFonts w:ascii="Arial" w:hAnsi="Arial" w:cs="Arial"/>
          <w:sz w:val="20"/>
          <w:szCs w:val="20"/>
        </w:rPr>
        <w:t xml:space="preserve"> further</w:t>
      </w:r>
      <w:r w:rsidRPr="00BD1FCC">
        <w:rPr>
          <w:rFonts w:ascii="Arial" w:hAnsi="Arial" w:cs="Arial"/>
          <w:sz w:val="20"/>
          <w:szCs w:val="20"/>
        </w:rPr>
        <w:t xml:space="preserve">. </w:t>
      </w:r>
      <w:r>
        <w:rPr>
          <w:rFonts w:ascii="Arial" w:hAnsi="Arial" w:cs="Arial"/>
          <w:sz w:val="20"/>
          <w:szCs w:val="20"/>
        </w:rPr>
        <w:t xml:space="preserve">However, to avoid complexity and facilitate clinical translation we specifically chose to limit these biomarkers to a small number. Grip strength was used as it is a simple test and easily translatable to the clinical environment. It is a well validated method of assessing muscle strength in older populations </w:t>
      </w:r>
      <w:r w:rsidR="003A5430">
        <w:rPr>
          <w:rFonts w:ascii="Arial" w:hAnsi="Arial" w:cs="Arial"/>
          <w:noProof/>
          <w:sz w:val="20"/>
          <w:szCs w:val="20"/>
        </w:rPr>
        <w:t>[50</w:t>
      </w:r>
      <w:r>
        <w:rPr>
          <w:rFonts w:ascii="Arial" w:hAnsi="Arial" w:cs="Arial"/>
          <w:noProof/>
          <w:sz w:val="20"/>
          <w:szCs w:val="20"/>
        </w:rPr>
        <w:t>]</w:t>
      </w:r>
      <w:r>
        <w:rPr>
          <w:rFonts w:ascii="Arial" w:hAnsi="Arial" w:cs="Arial"/>
          <w:sz w:val="20"/>
          <w:szCs w:val="20"/>
        </w:rPr>
        <w:t xml:space="preserve"> and forms part of diagnostic criteria for sarcopenia and physical frailty </w:t>
      </w:r>
      <w:r w:rsidR="003A5430">
        <w:rPr>
          <w:rFonts w:ascii="Arial" w:hAnsi="Arial" w:cs="Arial"/>
          <w:noProof/>
          <w:sz w:val="20"/>
          <w:szCs w:val="20"/>
        </w:rPr>
        <w:t>[1;51</w:t>
      </w:r>
      <w:r>
        <w:rPr>
          <w:rFonts w:ascii="Arial" w:hAnsi="Arial" w:cs="Arial"/>
          <w:noProof/>
          <w:sz w:val="20"/>
          <w:szCs w:val="20"/>
        </w:rPr>
        <w:t>]</w:t>
      </w:r>
      <w:r>
        <w:rPr>
          <w:rFonts w:ascii="Arial" w:hAnsi="Arial" w:cs="Arial"/>
          <w:sz w:val="20"/>
          <w:szCs w:val="20"/>
        </w:rPr>
        <w:t xml:space="preserve">; it is also directly associated with age related outcomes including physical functioning </w:t>
      </w:r>
      <w:r>
        <w:rPr>
          <w:rFonts w:ascii="Arial" w:hAnsi="Arial" w:cs="Arial"/>
          <w:noProof/>
          <w:sz w:val="20"/>
          <w:szCs w:val="20"/>
        </w:rPr>
        <w:t>[2]</w:t>
      </w:r>
      <w:r>
        <w:rPr>
          <w:rFonts w:ascii="Arial" w:hAnsi="Arial" w:cs="Arial"/>
          <w:sz w:val="20"/>
          <w:szCs w:val="20"/>
        </w:rPr>
        <w:t>. Furthermore, the use of other markers of ageing such as change in physical performance status is unlikely to yield significant associations in this healthy and active community dwelling population. This was evidenced within this study through the lack of significant associations with timed 6m walk, chair rises and self reported physical performance which may reflect</w:t>
      </w:r>
      <w:r w:rsidRPr="00B72604">
        <w:rPr>
          <w:rFonts w:ascii="Arial" w:hAnsi="Arial" w:cs="Arial"/>
          <w:sz w:val="20"/>
          <w:szCs w:val="20"/>
        </w:rPr>
        <w:t xml:space="preserve"> these being less robust than grip strength in a healthy dwelling community population without significant disability.</w:t>
      </w:r>
      <w:r>
        <w:rPr>
          <w:rFonts w:ascii="Arial" w:hAnsi="Arial" w:cs="Arial"/>
          <w:sz w:val="20"/>
          <w:szCs w:val="20"/>
        </w:rPr>
        <w:t xml:space="preserve"> These findings contrast with a multi-cohort analysis undertaken by the Halcyon consortium, which reported telomere attrition as a significant determinant of disability as assessed by chair rises </w:t>
      </w:r>
      <w:r>
        <w:rPr>
          <w:rFonts w:ascii="Arial" w:hAnsi="Arial" w:cs="Arial"/>
          <w:noProof/>
          <w:sz w:val="20"/>
          <w:szCs w:val="20"/>
        </w:rPr>
        <w:t>[13]</w:t>
      </w:r>
      <w:r>
        <w:rPr>
          <w:rFonts w:ascii="Arial" w:hAnsi="Arial" w:cs="Arial"/>
          <w:sz w:val="20"/>
          <w:szCs w:val="20"/>
        </w:rPr>
        <w:t xml:space="preserve">.  Finally, our sample size is </w:t>
      </w:r>
      <w:r w:rsidRPr="00976AA6">
        <w:rPr>
          <w:rFonts w:ascii="Arial" w:hAnsi="Arial" w:cs="Arial"/>
          <w:sz w:val="20"/>
          <w:szCs w:val="20"/>
        </w:rPr>
        <w:t>253</w:t>
      </w:r>
      <w:r>
        <w:rPr>
          <w:rFonts w:ascii="Arial" w:hAnsi="Arial" w:cs="Arial"/>
          <w:sz w:val="20"/>
          <w:szCs w:val="20"/>
        </w:rPr>
        <w:t xml:space="preserve"> and therefore confidence intervals are wider and true associations may have been missed; furthermore, as fewer women took part than men this might be another explanation for why significant relationships were only found in the latter in some cases although trends were similar.  Whilst the limited study size may increase the validity of the significant findings reported the study needs replicating in other populations with larger numbers and, when appropriate, using other biomarkers of physical ageing. </w:t>
      </w:r>
    </w:p>
    <w:p w:rsidR="00384FB3" w:rsidRPr="00BD1FCC" w:rsidRDefault="00384FB3" w:rsidP="003A5430">
      <w:pPr>
        <w:spacing w:after="0" w:line="480" w:lineRule="auto"/>
        <w:mirrorIndents/>
        <w:rPr>
          <w:rFonts w:ascii="Arial" w:hAnsi="Arial" w:cs="Arial"/>
          <w:sz w:val="20"/>
          <w:szCs w:val="20"/>
        </w:rPr>
      </w:pPr>
    </w:p>
    <w:p w:rsidR="00384FB3"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In conclusion, </w:t>
      </w:r>
      <w:r>
        <w:rPr>
          <w:rFonts w:ascii="Arial" w:hAnsi="Arial" w:cs="Arial"/>
          <w:sz w:val="20"/>
          <w:szCs w:val="20"/>
        </w:rPr>
        <w:t xml:space="preserve">our data adds to the body of evidence that </w:t>
      </w:r>
      <w:r w:rsidRPr="00BD1FCC">
        <w:rPr>
          <w:rFonts w:ascii="Arial" w:hAnsi="Arial" w:cs="Arial"/>
          <w:sz w:val="20"/>
          <w:szCs w:val="20"/>
        </w:rPr>
        <w:t>suggest</w:t>
      </w:r>
      <w:r>
        <w:rPr>
          <w:rFonts w:ascii="Arial" w:hAnsi="Arial" w:cs="Arial"/>
          <w:sz w:val="20"/>
          <w:szCs w:val="20"/>
        </w:rPr>
        <w:t>s</w:t>
      </w:r>
      <w:r w:rsidRPr="00BD1FCC">
        <w:rPr>
          <w:rFonts w:ascii="Arial" w:hAnsi="Arial" w:cs="Arial"/>
          <w:sz w:val="20"/>
          <w:szCs w:val="20"/>
        </w:rPr>
        <w:t xml:space="preserve"> a raised pro-inflammatory milieu, inflammaging, </w:t>
      </w:r>
      <w:r>
        <w:rPr>
          <w:rFonts w:ascii="Arial" w:hAnsi="Arial" w:cs="Arial"/>
          <w:sz w:val="20"/>
          <w:szCs w:val="20"/>
        </w:rPr>
        <w:t>may influence</w:t>
      </w:r>
      <w:r w:rsidRPr="00BD1FCC">
        <w:rPr>
          <w:rFonts w:ascii="Arial" w:hAnsi="Arial" w:cs="Arial"/>
          <w:sz w:val="20"/>
          <w:szCs w:val="20"/>
        </w:rPr>
        <w:t xml:space="preserve"> telomere attrition and at least in-part explain the associations which have previously been reported between TL and age-related outcomes. </w:t>
      </w:r>
      <w:r>
        <w:rPr>
          <w:rFonts w:ascii="Arial" w:hAnsi="Arial" w:cs="Arial"/>
          <w:sz w:val="20"/>
          <w:szCs w:val="20"/>
        </w:rPr>
        <w:t xml:space="preserve"> </w:t>
      </w:r>
      <w:r w:rsidRPr="00BD1FCC">
        <w:rPr>
          <w:rFonts w:ascii="Arial" w:hAnsi="Arial" w:cs="Arial"/>
          <w:sz w:val="20"/>
          <w:szCs w:val="20"/>
        </w:rPr>
        <w:t>Unlike TL, simple biomarkers of inflammaging are more readily available, cheaper and have clearly defined reference ranges.</w:t>
      </w:r>
      <w:r>
        <w:rPr>
          <w:rFonts w:ascii="Arial" w:hAnsi="Arial" w:cs="Arial"/>
          <w:sz w:val="20"/>
          <w:szCs w:val="20"/>
        </w:rPr>
        <w:t xml:space="preserve"> T</w:t>
      </w:r>
      <w:r w:rsidRPr="00BD1FCC">
        <w:rPr>
          <w:rFonts w:ascii="Arial" w:hAnsi="Arial" w:cs="Arial"/>
          <w:sz w:val="20"/>
          <w:szCs w:val="20"/>
        </w:rPr>
        <w:t>his evidence</w:t>
      </w:r>
      <w:r>
        <w:rPr>
          <w:rFonts w:ascii="Arial" w:hAnsi="Arial" w:cs="Arial"/>
          <w:sz w:val="20"/>
          <w:szCs w:val="20"/>
        </w:rPr>
        <w:t xml:space="preserve"> suggests</w:t>
      </w:r>
      <w:r w:rsidRPr="00BD1FCC">
        <w:rPr>
          <w:rFonts w:ascii="Arial" w:hAnsi="Arial" w:cs="Arial"/>
          <w:sz w:val="20"/>
          <w:szCs w:val="20"/>
        </w:rPr>
        <w:t xml:space="preserve"> that the use of </w:t>
      </w:r>
      <w:r>
        <w:rPr>
          <w:rFonts w:ascii="Arial" w:hAnsi="Arial" w:cs="Arial"/>
          <w:sz w:val="20"/>
          <w:szCs w:val="20"/>
        </w:rPr>
        <w:t>simple</w:t>
      </w:r>
      <w:r w:rsidRPr="00BD1FCC">
        <w:rPr>
          <w:rFonts w:ascii="Arial" w:hAnsi="Arial" w:cs="Arial"/>
          <w:sz w:val="20"/>
          <w:szCs w:val="20"/>
        </w:rPr>
        <w:t xml:space="preserve"> biomarkers of ageing including hand grip strength and </w:t>
      </w:r>
      <w:r w:rsidRPr="00BD1FCC">
        <w:rPr>
          <w:rFonts w:ascii="Arial" w:hAnsi="Arial" w:cs="Arial"/>
          <w:sz w:val="20"/>
          <w:szCs w:val="20"/>
        </w:rPr>
        <w:lastRenderedPageBreak/>
        <w:t xml:space="preserve">markers of the immune-endocrine axis warrant greater exploration and could bring major health and socio-economic benefits at individual and population levels.  </w:t>
      </w:r>
    </w:p>
    <w:p w:rsidR="00725C44" w:rsidRDefault="00725C44">
      <w:pPr>
        <w:rPr>
          <w:rFonts w:ascii="Arial" w:hAnsi="Arial" w:cs="Arial"/>
          <w:sz w:val="20"/>
          <w:szCs w:val="20"/>
        </w:rPr>
      </w:pPr>
      <w:r>
        <w:rPr>
          <w:rFonts w:ascii="Arial" w:hAnsi="Arial" w:cs="Arial"/>
          <w:sz w:val="20"/>
          <w:szCs w:val="20"/>
        </w:rPr>
        <w:br w:type="page"/>
      </w:r>
    </w:p>
    <w:p w:rsidR="00D54963" w:rsidRDefault="00D54963" w:rsidP="003A5430">
      <w:pPr>
        <w:spacing w:after="0" w:line="480" w:lineRule="auto"/>
        <w:mirrorIndents/>
        <w:rPr>
          <w:rFonts w:ascii="Arial" w:hAnsi="Arial" w:cs="Arial"/>
          <w:sz w:val="20"/>
          <w:szCs w:val="20"/>
        </w:rPr>
      </w:pPr>
    </w:p>
    <w:p w:rsidR="00384FB3" w:rsidRDefault="00384FB3" w:rsidP="003A5430">
      <w:pPr>
        <w:spacing w:after="0" w:line="480" w:lineRule="auto"/>
        <w:mirrorIndents/>
        <w:outlineLvl w:val="0"/>
        <w:rPr>
          <w:rFonts w:ascii="Arial" w:hAnsi="Arial" w:cs="Arial"/>
          <w:sz w:val="20"/>
          <w:szCs w:val="20"/>
        </w:rPr>
      </w:pPr>
      <w:r>
        <w:rPr>
          <w:rFonts w:ascii="Arial" w:hAnsi="Arial" w:cs="Arial"/>
          <w:b/>
          <w:sz w:val="20"/>
          <w:szCs w:val="20"/>
        </w:rPr>
        <w:t>A</w:t>
      </w:r>
      <w:r w:rsidRPr="007A7AFD">
        <w:rPr>
          <w:rFonts w:ascii="Arial" w:hAnsi="Arial" w:cs="Arial"/>
          <w:b/>
          <w:sz w:val="20"/>
          <w:szCs w:val="20"/>
        </w:rPr>
        <w:t>cknowledgements</w:t>
      </w:r>
    </w:p>
    <w:p w:rsidR="00384FB3" w:rsidRDefault="00384FB3" w:rsidP="003A5430">
      <w:pPr>
        <w:spacing w:after="0" w:line="480" w:lineRule="auto"/>
        <w:mirrorIndents/>
        <w:rPr>
          <w:rFonts w:ascii="Arial" w:hAnsi="Arial" w:cs="Arial"/>
          <w:sz w:val="20"/>
          <w:szCs w:val="20"/>
        </w:rPr>
      </w:pPr>
      <w:r w:rsidRPr="00BD1FCC">
        <w:rPr>
          <w:rFonts w:ascii="Arial" w:hAnsi="Arial" w:cs="Arial"/>
          <w:sz w:val="20"/>
          <w:szCs w:val="20"/>
        </w:rPr>
        <w:t xml:space="preserve">This work was funded by the Medical Research Council, the Biotechnology and Biological Sciences Research Council and the University of Southampton, United Kingdom. </w:t>
      </w:r>
      <w:r>
        <w:rPr>
          <w:rFonts w:ascii="Arial" w:hAnsi="Arial" w:cs="Arial"/>
          <w:sz w:val="20"/>
          <w:szCs w:val="20"/>
        </w:rPr>
        <w:t xml:space="preserve"> </w:t>
      </w:r>
      <w:r w:rsidRPr="007A7AFD">
        <w:rPr>
          <w:rFonts w:ascii="Arial" w:hAnsi="Arial" w:cs="Arial"/>
          <w:sz w:val="20"/>
          <w:szCs w:val="20"/>
        </w:rPr>
        <w:t>The Hertfordshire Cohort Study was supported the Medical Research Council of Great Britain; Arthritis Research UK; and the International Osteoporosis Foundation.  The work herein was also supported by the NIHR Nutrition BRU, University of Southampton and the NIHR Musculoskeletal BRU, University of Oxford. We thank all of the men and women who took part in the Hertfordshire Cohort Study; the HCS Research Staff; Vanessa Cox who managed the data; and Gill Strange who prepared the manuscript</w:t>
      </w:r>
      <w:r>
        <w:rPr>
          <w:rFonts w:ascii="Arial" w:hAnsi="Arial" w:cs="Arial"/>
          <w:sz w:val="20"/>
          <w:szCs w:val="20"/>
        </w:rPr>
        <w:t>.</w:t>
      </w:r>
    </w:p>
    <w:p w:rsidR="00384FB3" w:rsidRDefault="00384FB3" w:rsidP="003A5430">
      <w:pPr>
        <w:tabs>
          <w:tab w:val="left" w:pos="0"/>
        </w:tabs>
        <w:spacing w:after="0" w:line="480" w:lineRule="auto"/>
        <w:rPr>
          <w:rFonts w:ascii="Arial" w:hAnsi="Arial" w:cs="Arial"/>
          <w:sz w:val="20"/>
          <w:szCs w:val="20"/>
        </w:rPr>
      </w:pPr>
    </w:p>
    <w:p w:rsidR="00384FB3" w:rsidRPr="00331FFE" w:rsidRDefault="00384FB3" w:rsidP="003A5430">
      <w:pPr>
        <w:spacing w:after="0" w:line="480" w:lineRule="auto"/>
        <w:mirrorIndents/>
        <w:outlineLvl w:val="0"/>
        <w:rPr>
          <w:rFonts w:ascii="Arial" w:hAnsi="Arial" w:cs="Arial"/>
          <w:b/>
          <w:sz w:val="20"/>
          <w:szCs w:val="20"/>
        </w:rPr>
      </w:pPr>
      <w:r>
        <w:rPr>
          <w:rFonts w:ascii="Arial" w:hAnsi="Arial" w:cs="Arial"/>
          <w:b/>
          <w:sz w:val="20"/>
          <w:szCs w:val="20"/>
        </w:rPr>
        <w:t>Conflict of Interest</w:t>
      </w:r>
    </w:p>
    <w:p w:rsidR="00384FB3" w:rsidRPr="00F406A8" w:rsidRDefault="00384FB3" w:rsidP="003A5430">
      <w:pPr>
        <w:spacing w:after="0" w:line="480" w:lineRule="auto"/>
        <w:jc w:val="both"/>
        <w:rPr>
          <w:rFonts w:ascii="Times New Roman" w:eastAsia="Calibri" w:hAnsi="Times New Roman"/>
          <w:sz w:val="24"/>
          <w:szCs w:val="24"/>
        </w:rPr>
      </w:pPr>
      <w:r>
        <w:rPr>
          <w:rFonts w:ascii="Arial" w:hAnsi="Arial" w:cs="Arial"/>
          <w:sz w:val="20"/>
          <w:szCs w:val="20"/>
        </w:rPr>
        <w:t>BD, GN</w:t>
      </w:r>
      <w:r w:rsidRPr="00331FFE">
        <w:rPr>
          <w:rFonts w:ascii="Arial" w:hAnsi="Arial" w:cs="Arial"/>
          <w:sz w:val="20"/>
          <w:szCs w:val="20"/>
        </w:rPr>
        <w:t>, MHE, HES, EMD,</w:t>
      </w:r>
      <w:r>
        <w:rPr>
          <w:rFonts w:ascii="Arial" w:hAnsi="Arial" w:cs="Arial"/>
          <w:sz w:val="20"/>
          <w:szCs w:val="20"/>
        </w:rPr>
        <w:t xml:space="preserve"> DBB</w:t>
      </w:r>
      <w:r w:rsidRPr="00331FFE">
        <w:rPr>
          <w:rFonts w:ascii="Arial" w:hAnsi="Arial" w:cs="Arial"/>
          <w:sz w:val="20"/>
          <w:szCs w:val="20"/>
        </w:rPr>
        <w:t xml:space="preserve"> and AAS declare no conflict of interest.  </w:t>
      </w:r>
      <w:r w:rsidRPr="00331FFE">
        <w:rPr>
          <w:rFonts w:ascii="Arial" w:eastAsia="Calibri" w:hAnsi="Arial" w:cs="Arial"/>
          <w:sz w:val="20"/>
          <w:szCs w:val="20"/>
        </w:rPr>
        <w:t>CC has received</w:t>
      </w:r>
      <w:r w:rsidRPr="00331FFE">
        <w:rPr>
          <w:rFonts w:ascii="Arial" w:hAnsi="Arial" w:cs="Arial"/>
          <w:sz w:val="20"/>
          <w:szCs w:val="20"/>
        </w:rPr>
        <w:t xml:space="preserve"> honoraria and consulting fees from Amgen, Eli Lilly, Medtronic, Merck, Novartis and Servier.</w:t>
      </w:r>
      <w:r>
        <w:rPr>
          <w:rFonts w:ascii="Arial" w:hAnsi="Arial" w:cs="Arial"/>
          <w:sz w:val="20"/>
          <w:szCs w:val="20"/>
        </w:rPr>
        <w:t xml:space="preserve">  JML has received honoraria from Pfizer and Samsung. </w:t>
      </w:r>
    </w:p>
    <w:p w:rsidR="00384FB3" w:rsidRDefault="00384FB3" w:rsidP="003A5430">
      <w:pPr>
        <w:spacing w:after="0" w:line="480" w:lineRule="auto"/>
        <w:mirrorIndents/>
        <w:rPr>
          <w:rFonts w:ascii="Arial" w:hAnsi="Arial" w:cs="Arial"/>
          <w:sz w:val="20"/>
          <w:szCs w:val="20"/>
        </w:rPr>
      </w:pPr>
    </w:p>
    <w:p w:rsidR="00384FB3" w:rsidRPr="004A3A6A" w:rsidRDefault="00384FB3" w:rsidP="003A5430">
      <w:pPr>
        <w:spacing w:after="0" w:line="480" w:lineRule="auto"/>
        <w:mirrorIndents/>
        <w:rPr>
          <w:rFonts w:ascii="Arial" w:hAnsi="Arial" w:cs="Arial"/>
          <w:b/>
          <w:sz w:val="20"/>
          <w:szCs w:val="20"/>
        </w:rPr>
      </w:pPr>
      <w:r>
        <w:rPr>
          <w:rFonts w:ascii="Arial" w:hAnsi="Arial" w:cs="Arial"/>
          <w:b/>
          <w:sz w:val="20"/>
          <w:szCs w:val="20"/>
        </w:rPr>
        <w:t>Declaration</w:t>
      </w:r>
    </w:p>
    <w:p w:rsidR="00384FB3" w:rsidRPr="004A3A6A" w:rsidRDefault="00384FB3" w:rsidP="003A5430">
      <w:pPr>
        <w:spacing w:after="0" w:line="480" w:lineRule="auto"/>
        <w:mirrorIndents/>
        <w:rPr>
          <w:rFonts w:ascii="Arial" w:hAnsi="Arial" w:cs="Arial"/>
          <w:sz w:val="20"/>
          <w:szCs w:val="20"/>
        </w:rPr>
      </w:pPr>
      <w:r w:rsidRPr="004A3A6A">
        <w:rPr>
          <w:rFonts w:ascii="Arial" w:hAnsi="Arial" w:cs="Arial"/>
          <w:sz w:val="20"/>
          <w:szCs w:val="20"/>
        </w:rPr>
        <w:t>All procedures followed were in accordance with the ethical standards of the responsible committee on human experimentation (institutional and national) and with the Helsinki Declaration of 1975, as revised in 2000. Informed consent was obtained from all patients for being included in the study.</w:t>
      </w:r>
    </w:p>
    <w:p w:rsidR="00725C44" w:rsidRDefault="00725C44">
      <w:pPr>
        <w:rPr>
          <w:rFonts w:cs="Arial"/>
          <w:b/>
          <w:noProof/>
        </w:rPr>
      </w:pPr>
      <w:r>
        <w:rPr>
          <w:rFonts w:cs="Arial"/>
          <w:b/>
          <w:noProof/>
        </w:rPr>
        <w:br w:type="page"/>
      </w:r>
    </w:p>
    <w:p w:rsidR="00384FB3" w:rsidRPr="00EB4C2B" w:rsidRDefault="00384FB3" w:rsidP="003A5430">
      <w:pPr>
        <w:jc w:val="center"/>
        <w:rPr>
          <w:rFonts w:cs="Arial"/>
          <w:b/>
          <w:noProof/>
        </w:rPr>
      </w:pPr>
      <w:r w:rsidRPr="00EB4C2B">
        <w:rPr>
          <w:rFonts w:cs="Arial"/>
          <w:b/>
          <w:noProof/>
        </w:rPr>
        <w:lastRenderedPageBreak/>
        <w:t>Reference List</w:t>
      </w:r>
    </w:p>
    <w:p w:rsidR="00384FB3" w:rsidRPr="00EB4C2B" w:rsidRDefault="00384FB3" w:rsidP="003A5430">
      <w:pPr>
        <w:jc w:val="center"/>
        <w:rPr>
          <w:rFonts w:cs="Arial"/>
          <w:b/>
          <w:noProof/>
        </w:rPr>
      </w:pP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 </w:t>
      </w:r>
      <w:r>
        <w:rPr>
          <w:rFonts w:cs="Arial"/>
          <w:b/>
          <w:noProof/>
        </w:rPr>
        <w:tab/>
        <w:t>Fried LP, Tangen CM, Walston J, Newman AB, Hirsch C, Gottdiener J, Seeman T, Tracy R, Kop WJ, Burke G, McBurnie MA (2001) Frailty in older adults: evidence for a phenotype. J.Gerontol.A Biol.Sci.Med Sci. 56:M146-M156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 </w:t>
      </w:r>
      <w:r>
        <w:rPr>
          <w:rFonts w:cs="Arial"/>
          <w:b/>
          <w:noProof/>
        </w:rPr>
        <w:tab/>
        <w:t>Rantanen T, Guralnik JM, Foley D, Masaki K, Leveille S, Curb JD, White L (1999) Midlife hand grip strength as a predictor of old age disability. JAMA 281:558-560</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3. </w:t>
      </w:r>
      <w:r>
        <w:rPr>
          <w:rFonts w:cs="Arial"/>
          <w:b/>
          <w:noProof/>
        </w:rPr>
        <w:tab/>
        <w:t>Zhao Z, Pan X, Liu L, Liu N (2013) Telomere Length Maintenance, Shortening, and Lengthening. J.Cell Physiol</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4. </w:t>
      </w:r>
      <w:r>
        <w:rPr>
          <w:rFonts w:cs="Arial"/>
          <w:b/>
          <w:noProof/>
        </w:rPr>
        <w:tab/>
        <w:t>Allsopp RC, Harley CB (1995) Evidence for a critical telomere length in senescent human fibroblasts. Exp.Cell Res. 219:130-136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5. </w:t>
      </w:r>
      <w:r>
        <w:rPr>
          <w:rFonts w:cs="Arial"/>
          <w:b/>
          <w:noProof/>
        </w:rPr>
        <w:tab/>
        <w:t>Calado RT, Young NS (2009) Telomere diseases. N.Engl.J Med 361:2353-2365</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6. </w:t>
      </w:r>
      <w:r>
        <w:rPr>
          <w:rFonts w:cs="Arial"/>
          <w:b/>
          <w:noProof/>
        </w:rPr>
        <w:tab/>
        <w:t>Fitzpatrick AL, Kronmal RA, Gardner JP, Psaty BM, Jenny NS, Tracy RP, Walston J, Kimura M, Aviv A (2007) Leukocyte telomere length and cardiovascular disease in the cardiovascular health study. Am.J Epidemiol. 165:14-21</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7. </w:t>
      </w:r>
      <w:r>
        <w:rPr>
          <w:rFonts w:cs="Arial"/>
          <w:b/>
          <w:noProof/>
        </w:rPr>
        <w:tab/>
        <w:t>von Zglinicki T (2012) Will your telomeres tell your future? BMJ 344:e1727</w:t>
      </w:r>
    </w:p>
    <w:p w:rsidR="00384FB3" w:rsidRDefault="00384FB3" w:rsidP="00384FB3">
      <w:pPr>
        <w:tabs>
          <w:tab w:val="right" w:pos="360"/>
          <w:tab w:val="left" w:pos="540"/>
        </w:tabs>
        <w:spacing w:after="240" w:line="240" w:lineRule="auto"/>
        <w:ind w:left="540" w:hanging="540"/>
        <w:rPr>
          <w:rFonts w:cs="Arial"/>
          <w:b/>
          <w:noProof/>
        </w:rPr>
      </w:pPr>
      <w:r>
        <w:rPr>
          <w:rFonts w:cs="Arial"/>
          <w:b/>
          <w:noProof/>
        </w:rPr>
        <w:tab/>
        <w:t xml:space="preserve">8. </w:t>
      </w:r>
      <w:r>
        <w:rPr>
          <w:rFonts w:cs="Arial"/>
          <w:b/>
          <w:noProof/>
        </w:rPr>
        <w:tab/>
        <w:t>Mather KA, Jorm AF, Milburn PJ, Tan X, Easteal S, Christensen H (2010) No associations between telomere length and age-sensitive indicators of physical function in mid and later life. J.Gerontol.A Biol.Sci.Med.Sci. 65:792-799</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9. </w:t>
      </w:r>
      <w:r>
        <w:rPr>
          <w:rFonts w:cs="Arial"/>
          <w:b/>
          <w:noProof/>
        </w:rPr>
        <w:tab/>
        <w:t>Harris SE, Deary IJ, MacIntyre A, Lamb KJ, Radhakrishnan K, Starr JM, Whalley LJ, Shiels PG (2006) The association between telomere length, physical health, cognitive ageing, and mortality in non-demented older people. Neurosci.Lett. 406:260-264</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10. </w:t>
      </w:r>
      <w:r>
        <w:rPr>
          <w:rFonts w:cs="Arial"/>
          <w:b/>
          <w:noProof/>
        </w:rPr>
        <w:tab/>
        <w:t>Mollica L, Fleury I, Belisle C, Provost S, Roy DC, Busque L (2009) No association between telomere length and blood cell counts in elderly individuals. J Gerontol.A Biol.Sci.Med Sci. 64:965-967</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11. </w:t>
      </w:r>
      <w:r>
        <w:rPr>
          <w:rFonts w:cs="Arial"/>
          <w:b/>
          <w:noProof/>
        </w:rPr>
        <w:tab/>
        <w:t>Den Elzen WP, Martin-Ruiz C, von Zglinicki T., Westendorp RG, Kirkwood TB, Gussekloo J (2011) Telomere length and anaemia in old age: results from the Newcastle 85-plus Study and the Leiden 85-plus Study. Age Ageing 40:494-500</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12. </w:t>
      </w:r>
      <w:r>
        <w:rPr>
          <w:rFonts w:cs="Arial"/>
          <w:b/>
          <w:noProof/>
        </w:rPr>
        <w:tab/>
        <w:t>Harris SE, Martin-Ruiz C, von Zglinicki T., Starr JM, Deary IJ (2012) Telomere length and aging biomarkers in 70-year-olds: the Lothian Birth Cohort 1936. Neurobiol.Aging 33:1486-1488</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13. </w:t>
      </w:r>
      <w:r>
        <w:rPr>
          <w:rFonts w:cs="Arial"/>
          <w:b/>
          <w:noProof/>
        </w:rPr>
        <w:tab/>
        <w:t>Gardner MP, Martin-Ruiz C, Cooper R, Hardy R, Sayer AA, Cooper C, Deary IJ, Gallacher J, Harris SE, Shiels PG, Starr JM, Kuh D, von ZT, Ben-Shlomo Y (2013) Telomere length and physical performance at older ages: an individual participant meta-analysis. PLoS.One. 8:e69526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14. </w:t>
      </w:r>
      <w:r>
        <w:rPr>
          <w:rFonts w:cs="Arial"/>
          <w:b/>
          <w:noProof/>
        </w:rPr>
        <w:tab/>
        <w:t>Leslie M (2011) Cell biology. Are telomere tests ready for prime time? Science 332:414-415</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15. </w:t>
      </w:r>
      <w:r>
        <w:rPr>
          <w:rFonts w:cs="Arial"/>
          <w:b/>
          <w:noProof/>
        </w:rPr>
        <w:tab/>
        <w:t>Franceschi C, Bonafe M, Valensin S, Olivieri F, De LM, Ottaviani E, De BG (2000) Inflamm-aging. An evolutionary perspective on immunosenescence. Ann.N.Y.Acad.Sci. 908:244-254</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lastRenderedPageBreak/>
        <w:tab/>
        <w:t xml:space="preserve">16. </w:t>
      </w:r>
      <w:r>
        <w:rPr>
          <w:rFonts w:cs="Arial"/>
          <w:b/>
          <w:noProof/>
        </w:rPr>
        <w:tab/>
        <w:t>Haraoui B, Liu PP, Papp KA (2012) Managing cardiovascular risk in patients with chronic inflammatory diseases. Clin.Rheumatol. 31:585-594</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17. </w:t>
      </w:r>
      <w:r>
        <w:rPr>
          <w:rFonts w:cs="Arial"/>
          <w:b/>
          <w:noProof/>
        </w:rPr>
        <w:tab/>
        <w:t>Franceschi C, Valensin S, Lescai F, Olivieri F, Licastro F, Grimaldi LM, Monti D, De BG, Bonafe M (2001) Neuroinflammation and the genetics of Alzheimer's disease: the search for a pro-inflammatory phenotype. Aging (Milano.) 13:163-170</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18. </w:t>
      </w:r>
      <w:r>
        <w:rPr>
          <w:rFonts w:cs="Arial"/>
          <w:b/>
          <w:noProof/>
        </w:rPr>
        <w:tab/>
        <w:t>Recasens M, Lopez-Bermejo A, Ricart W, Vendrell J, Casamitjana R, Fernandez-Real JM (2005) An inflammation score is better associated with basal than stimulated surrogate indexes of insulin resistance. J Clin.Endocrinol.Metab 90:112-116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19. </w:t>
      </w:r>
      <w:r>
        <w:rPr>
          <w:rFonts w:cs="Arial"/>
          <w:b/>
          <w:noProof/>
        </w:rPr>
        <w:tab/>
        <w:t>Baylis D, Bartlett DB, Syddall HE, Ntani G, Gale CR, Cooper C, Lord JM, Sayer AA (2012) Immune-endocrine biomarkers as predictors of frailty and mortality: a 10-year longitudinal study in community-dwelling older people. Age (Dordr.)</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20. </w:t>
      </w:r>
      <w:r>
        <w:rPr>
          <w:rFonts w:cs="Arial"/>
          <w:b/>
          <w:noProof/>
        </w:rPr>
        <w:tab/>
        <w:t>Bruunsgaard H, Andersen-Ranberg K, Hjelmborg JB, Pedersen BK, Jeune B (2003) Elevated levels of tumor necrosis factor alpha and mortality in centenarians. Am.J Med 115:278-283</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21. </w:t>
      </w:r>
      <w:r>
        <w:rPr>
          <w:rFonts w:cs="Arial"/>
          <w:b/>
          <w:noProof/>
        </w:rPr>
        <w:tab/>
        <w:t>Hazeldine J, Arlt W, Lord JM (2010) Dehydroepiandrosterone as a regulator of immune cell function. J.Steroid Biochem.Mol.Biol. 120:127-136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22. </w:t>
      </w:r>
      <w:r>
        <w:rPr>
          <w:rFonts w:cs="Arial"/>
          <w:b/>
          <w:noProof/>
        </w:rPr>
        <w:tab/>
        <w:t>O'Donovan A, Pantell MS, Puterman E, Dhabhar FS, Blackburn EH, Yaffe K, Cawthon RM, Opresko PL, Hsueh WC, Satterfield S, Newman AB, Ayonayon HN, Rubin SM, Harris TB, Epel ES (2011) Cumulative inflammatory load is associated with short leukocyte telomere length in the Health, Aging and Body Composition Study. PLoS.One. 6:e19687</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23. </w:t>
      </w:r>
      <w:r>
        <w:rPr>
          <w:rFonts w:cs="Arial"/>
          <w:b/>
          <w:noProof/>
        </w:rPr>
        <w:tab/>
        <w:t>Houben JM, Moonen HJ, van Schooten FJ, Hageman GJ (2008) Telomere length assessment: biomarker of chronic oxidative stress? Free Radic.Biol.Med 44:235-246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24. </w:t>
      </w:r>
      <w:r>
        <w:rPr>
          <w:rFonts w:cs="Arial"/>
          <w:b/>
          <w:noProof/>
        </w:rPr>
        <w:tab/>
        <w:t>Aviv A, Valdes A, Gardner JP, Swaminathan R, Kimura M, Spector TD (2006) Menopause modifies the association of leukocyte telomere length with insulin resistance and inflammation. J Clin.Endocrinol.Metab 91:635-640</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25. </w:t>
      </w:r>
      <w:r>
        <w:rPr>
          <w:rFonts w:cs="Arial"/>
          <w:b/>
          <w:noProof/>
        </w:rPr>
        <w:tab/>
        <w:t>Shiels PG, McGlynn LM, MacIntyre A, Johnson PC, Batty GD, Burns H, Cavanagh J, Deans KA, Ford I, McConnachie A, McGinty A, McLean JS, Millar K, Sattar N, Tannahill C, Velupillai YN, Packard CJ (2011) Accelerated telomere attrition is associated with relative household income, diet and inflammation in the pSoBid cohort. PLoS.One. 6:e22521</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26. </w:t>
      </w:r>
      <w:r>
        <w:rPr>
          <w:rFonts w:cs="Arial"/>
          <w:b/>
          <w:noProof/>
        </w:rPr>
        <w:tab/>
        <w:t>Syddall H, Cooper C, Martin F, Briggs R, Aihie SA (2003) Is grip strength a useful single marker of frailty? Age Ageing 32:650-656</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27. </w:t>
      </w:r>
      <w:r>
        <w:rPr>
          <w:rFonts w:cs="Arial"/>
          <w:b/>
          <w:noProof/>
        </w:rPr>
        <w:tab/>
        <w:t>Gale CR, Martyn CN, Cooper C, Sayer AA (2007) Grip strength, body composition, and mortality. Int.J.Epidemiol. 36:228-235</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28. </w:t>
      </w:r>
      <w:r>
        <w:rPr>
          <w:rFonts w:cs="Arial"/>
          <w:b/>
          <w:noProof/>
        </w:rPr>
        <w:tab/>
        <w:t>Sayer AA, Syddall HE, Martin HJ, Dennison EM, Roberts HC, Cooper C (2006) Is grip strength associated with health-related quality of life? Findings from the Hertfordshire Cohort Study. Age Ageing 35:409-415</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29. </w:t>
      </w:r>
      <w:r>
        <w:rPr>
          <w:rFonts w:cs="Arial"/>
          <w:b/>
          <w:noProof/>
        </w:rPr>
        <w:tab/>
        <w:t>Cooper R, Kuh D, Hardy R (2010) Objectively measured physical capability levels and mortality: systematic review and meta-analysis. BMJ 341:c4467</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tab/>
        <w:t xml:space="preserve">30. </w:t>
      </w:r>
      <w:r>
        <w:rPr>
          <w:rFonts w:cs="Arial"/>
          <w:b/>
          <w:noProof/>
        </w:rPr>
        <w:tab/>
        <w:t>Syddall HE, Simmonds SJ, Martin HJ, Watson C, Dennison EM, Cooper C, Sayer AA (2010) Cohort profile: The Hertfordshire Ageing Study (HAS). Int.J Epidemiol. 39:36-43</w:t>
      </w:r>
    </w:p>
    <w:p w:rsidR="00384FB3" w:rsidRDefault="00384FB3" w:rsidP="003A5430">
      <w:pPr>
        <w:tabs>
          <w:tab w:val="right" w:pos="360"/>
          <w:tab w:val="left" w:pos="540"/>
        </w:tabs>
        <w:spacing w:after="240" w:line="240" w:lineRule="auto"/>
        <w:ind w:left="540" w:hanging="540"/>
        <w:rPr>
          <w:rFonts w:cs="Arial"/>
          <w:b/>
          <w:noProof/>
        </w:rPr>
      </w:pPr>
      <w:r>
        <w:rPr>
          <w:rFonts w:cs="Arial"/>
          <w:b/>
          <w:noProof/>
        </w:rPr>
        <w:lastRenderedPageBreak/>
        <w:tab/>
        <w:t xml:space="preserve">31. </w:t>
      </w:r>
      <w:r>
        <w:rPr>
          <w:rFonts w:cs="Arial"/>
          <w:b/>
          <w:noProof/>
        </w:rPr>
        <w:tab/>
        <w:t>Roberts HC, Denison HJ, Martin HJ, Patel HP, Syddall H, Cooper C, Sayer AA (2011) A review of the measurement of grip strength in clinical and epidemiological studies: towards a standardised approach. Age Ageing 40:423-429</w:t>
      </w:r>
    </w:p>
    <w:p w:rsidR="003A5430" w:rsidRDefault="00384FB3" w:rsidP="009955CB">
      <w:pPr>
        <w:tabs>
          <w:tab w:val="right" w:pos="360"/>
          <w:tab w:val="left" w:pos="540"/>
        </w:tabs>
        <w:spacing w:after="240" w:line="240" w:lineRule="auto"/>
        <w:ind w:left="540" w:hanging="540"/>
        <w:rPr>
          <w:rFonts w:cs="Arial"/>
          <w:b/>
          <w:noProof/>
        </w:rPr>
      </w:pPr>
      <w:r>
        <w:rPr>
          <w:rFonts w:cs="Arial"/>
          <w:b/>
          <w:noProof/>
        </w:rPr>
        <w:tab/>
        <w:t xml:space="preserve">32. </w:t>
      </w:r>
      <w:r>
        <w:rPr>
          <w:rFonts w:cs="Arial"/>
          <w:b/>
          <w:noProof/>
        </w:rPr>
        <w:tab/>
      </w:r>
      <w:r w:rsidR="003A5430">
        <w:rPr>
          <w:rFonts w:cs="Arial"/>
          <w:b/>
          <w:noProof/>
        </w:rPr>
        <w:t xml:space="preserve">Gardner M, Bann D, Wiley L, Cooper R, Hardy R, Nitsch D, Martin-Ruiz C </w:t>
      </w:r>
      <w:r w:rsidR="003A5430">
        <w:rPr>
          <w:rFonts w:cs="Arial"/>
          <w:b/>
          <w:i/>
          <w:noProof/>
        </w:rPr>
        <w:t>et al</w:t>
      </w:r>
      <w:r w:rsidR="003A5430">
        <w:rPr>
          <w:rFonts w:cs="Arial"/>
          <w:b/>
          <w:noProof/>
        </w:rPr>
        <w:t xml:space="preserve"> (201</w:t>
      </w:r>
      <w:r w:rsidR="009955CB">
        <w:rPr>
          <w:rFonts w:cs="Arial"/>
          <w:b/>
          <w:noProof/>
        </w:rPr>
        <w:t>4) Gender and telomere length: systematic review and meta-analysis.  Exp Gerontol 51:15-27</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33. </w:t>
      </w:r>
      <w:r>
        <w:rPr>
          <w:rFonts w:cs="Arial"/>
          <w:b/>
          <w:noProof/>
        </w:rPr>
        <w:tab/>
      </w:r>
      <w:r w:rsidR="003A5430">
        <w:rPr>
          <w:rFonts w:cs="Arial"/>
          <w:b/>
          <w:noProof/>
        </w:rPr>
        <w:t>Benetos A, Gardner JP, Zureik M, Labat C, Xiaobin L, Adamopoulos C, Temmar M, Bean KE, Thomas F, Aviv A (2004) Short telomeres are associated with increased carotid atherosclerosis in hypertensive subjects. Hypertension 43:182-185</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34. </w:t>
      </w:r>
      <w:r>
        <w:rPr>
          <w:rFonts w:cs="Arial"/>
          <w:b/>
          <w:noProof/>
        </w:rPr>
        <w:tab/>
      </w:r>
      <w:r w:rsidR="003A5430">
        <w:rPr>
          <w:rFonts w:cs="Arial"/>
          <w:b/>
          <w:noProof/>
        </w:rPr>
        <w:t>Panossian LA, Porter VR, Valenzuela HF, Zhu X, Reback E, Masterman D, Cummings JL, Effros RB (2003) Telomere shortening in T cells correlates with Alzheimer's disease status. Neurobiol.Aging 24:77-84</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35. </w:t>
      </w:r>
      <w:r>
        <w:rPr>
          <w:rFonts w:cs="Arial"/>
          <w:b/>
          <w:noProof/>
        </w:rPr>
        <w:tab/>
      </w:r>
      <w:r w:rsidR="003A5430">
        <w:rPr>
          <w:rFonts w:cs="Arial"/>
          <w:b/>
          <w:noProof/>
        </w:rPr>
        <w:t>Samani NJ, Boultby R, Butler R, Thompson JR, Goodall AH (2001) Telomere shortening in atherosclerosis. Lancet 358:472-473</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36. </w:t>
      </w:r>
      <w:r>
        <w:rPr>
          <w:rFonts w:cs="Arial"/>
          <w:b/>
          <w:noProof/>
        </w:rPr>
        <w:tab/>
      </w:r>
      <w:r w:rsidR="003A5430">
        <w:rPr>
          <w:rFonts w:cs="Arial"/>
          <w:b/>
          <w:noProof/>
        </w:rPr>
        <w:t>Bakaysa SL, Mucci LA, Slagboom PE, Boomsma DI, McClearn GE, Johansson B, Pedersen NL (2007) Telomere length predicts survival independent of genetic influences. Aging Cell 6:769-774</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37. </w:t>
      </w:r>
      <w:r>
        <w:rPr>
          <w:rFonts w:cs="Arial"/>
          <w:b/>
          <w:noProof/>
        </w:rPr>
        <w:tab/>
      </w:r>
      <w:r w:rsidR="003A5430">
        <w:rPr>
          <w:rFonts w:cs="Arial"/>
          <w:b/>
          <w:noProof/>
        </w:rPr>
        <w:t>Brouilette SW, Moore JS, McMahon AD, Thompson JR, Ford I, Shepherd J, Packard CJ, Samani NJ (2007) Telomere length, risk of coronary heart disease, and statin treatment in the West of Scotland Primary Prevention Study: a nested case-control study. Lancet 369:107-114</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38. </w:t>
      </w:r>
      <w:r>
        <w:rPr>
          <w:rFonts w:cs="Arial"/>
          <w:b/>
          <w:noProof/>
        </w:rPr>
        <w:tab/>
      </w:r>
      <w:r w:rsidR="003A5430">
        <w:rPr>
          <w:rFonts w:cs="Arial"/>
          <w:b/>
          <w:noProof/>
        </w:rPr>
        <w:t>Cawthon RM, Smith KR, O'Brien E, Sivatchenko A, Kerber RA (2003) Association between telomere length in blood and mortality in people aged 60 years or older. Lancet 361:393-395</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39. </w:t>
      </w:r>
      <w:r>
        <w:rPr>
          <w:rFonts w:cs="Arial"/>
          <w:b/>
          <w:noProof/>
        </w:rPr>
        <w:tab/>
      </w:r>
      <w:r w:rsidR="003A5430">
        <w:rPr>
          <w:rFonts w:cs="Arial"/>
          <w:b/>
          <w:noProof/>
        </w:rPr>
        <w:t>Martin-Ruiz C, Dickinson HO, Keys B, Rowan E, Kenny RA, von ZT (2006) Telomere length predicts poststroke mortality, dementia, and cognitive decline. Ann.Neurol. 60:174-180</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40. </w:t>
      </w:r>
      <w:r>
        <w:rPr>
          <w:rFonts w:cs="Arial"/>
          <w:b/>
          <w:noProof/>
        </w:rPr>
        <w:tab/>
      </w:r>
      <w:r w:rsidR="003A5430">
        <w:rPr>
          <w:rFonts w:cs="Arial"/>
          <w:b/>
          <w:noProof/>
        </w:rPr>
        <w:t>Rodier F, Coppe JP, Patil CK, Hoeijmakers WA, Munoz DP, Raza SR, Freund A, Campeau E, Davalos AR, Campisi J (2009) Persistent DNA damage signalling triggers senescence-associated inflammatory cytokine secretion. Nat.Cell Biol. 11:973-979</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41. </w:t>
      </w:r>
      <w:r>
        <w:rPr>
          <w:rFonts w:cs="Arial"/>
          <w:b/>
          <w:noProof/>
        </w:rPr>
        <w:tab/>
      </w:r>
      <w:r w:rsidR="003A5430">
        <w:rPr>
          <w:rFonts w:cs="Arial"/>
          <w:b/>
          <w:noProof/>
        </w:rPr>
        <w:t>Spyridopoulos I, Dimmeler S (2007) Can telomere length predict cardiovascular risk? Lancet 369:81-82</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42. </w:t>
      </w:r>
      <w:r>
        <w:rPr>
          <w:rFonts w:cs="Arial"/>
          <w:b/>
          <w:noProof/>
        </w:rPr>
        <w:tab/>
      </w:r>
      <w:r w:rsidR="003A5430">
        <w:rPr>
          <w:rFonts w:cs="Arial"/>
          <w:b/>
          <w:noProof/>
        </w:rPr>
        <w:t>Saini A, Faulkner S, Al-Shanti N, Stewart C (2009) Powerful signals for weak muscles. Ageing Res.Rev. 8:251-267</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43. </w:t>
      </w:r>
      <w:r>
        <w:rPr>
          <w:rFonts w:cs="Arial"/>
          <w:b/>
          <w:noProof/>
        </w:rPr>
        <w:tab/>
      </w:r>
      <w:r w:rsidR="003A5430">
        <w:rPr>
          <w:rFonts w:cs="Arial"/>
          <w:b/>
          <w:noProof/>
        </w:rPr>
        <w:t>Beyer I, Mets T, Bautmans I (2012) Chronic low-grade inflammation and age-related sarcopenia. Curr.Opin.Clin.Nutr.Metab Care 15:12-22</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44. </w:t>
      </w:r>
      <w:r>
        <w:rPr>
          <w:rFonts w:cs="Arial"/>
          <w:b/>
          <w:noProof/>
        </w:rPr>
        <w:tab/>
      </w:r>
      <w:r w:rsidR="003A5430">
        <w:rPr>
          <w:rFonts w:cs="Arial"/>
          <w:b/>
          <w:noProof/>
        </w:rPr>
        <w:t>Schaap LA, Pluijm SM, Deeg DJ, Harris TB, Kritchevsky SB, Newman AB, Colbert LH, Pahor M, Rubin SM, Tylavsky FA, Visser M (2009) Higher inflammatory marker levels in older persons: associations with 5-year change in muscle mass and muscle strength. J.Gerontol.A Biol.Sci.Med Sci. 64:1183-1189</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45. </w:t>
      </w:r>
      <w:r>
        <w:rPr>
          <w:rFonts w:cs="Arial"/>
          <w:b/>
          <w:noProof/>
        </w:rPr>
        <w:tab/>
      </w:r>
      <w:r w:rsidR="003A5430">
        <w:rPr>
          <w:rFonts w:cs="Arial"/>
          <w:b/>
          <w:noProof/>
        </w:rPr>
        <w:t>De Martinis M., Franceschi C, Monti D, Ginaldi L (2006) Inflammation markers predicting frailty and mortality in the elderly. Exp.Mol.Pathol. 80:219-227</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lastRenderedPageBreak/>
        <w:tab/>
        <w:t xml:space="preserve">46. </w:t>
      </w:r>
      <w:r>
        <w:rPr>
          <w:rFonts w:cs="Arial"/>
          <w:b/>
          <w:noProof/>
        </w:rPr>
        <w:tab/>
      </w:r>
      <w:r w:rsidR="003A5430">
        <w:rPr>
          <w:rFonts w:cs="Arial"/>
          <w:b/>
          <w:noProof/>
        </w:rPr>
        <w:t>Beyne-Rauzy O, Recher C, Dastugue N, Demur C, Pottier G, Laurent G, Sabatier L, Mansat-De M, V (2004) Tumor necrosis factor alpha induces senescence and chromosomal instability in human leukemic cells. Oncogene 23:7507-7516</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47. </w:t>
      </w:r>
      <w:r>
        <w:rPr>
          <w:rFonts w:cs="Arial"/>
          <w:b/>
          <w:noProof/>
        </w:rPr>
        <w:tab/>
      </w:r>
      <w:r w:rsidR="003A5430">
        <w:rPr>
          <w:rFonts w:cs="Arial"/>
          <w:b/>
          <w:noProof/>
        </w:rPr>
        <w:t>Rahman I, Gilmour PS, Jimenez LA, MacNee W (2002) Oxidative stress and TNF-alpha induce histone acetylation and NF-kappaB/AP-1 activation in alveolar epithelial cells: potential mechanism in gene transcription in lung inflammation. Mol.Cell Biochem. 234-235:239-248</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48. </w:t>
      </w:r>
      <w:r>
        <w:rPr>
          <w:rFonts w:cs="Arial"/>
          <w:b/>
          <w:noProof/>
        </w:rPr>
        <w:tab/>
      </w:r>
      <w:r w:rsidR="003A5430">
        <w:rPr>
          <w:rFonts w:cs="Arial"/>
          <w:b/>
          <w:noProof/>
        </w:rPr>
        <w:t>von Zglinicki T (2002) Oxidative stress shortens telomeres. Trends Biochem.Sci. 27:339-344</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49. </w:t>
      </w:r>
      <w:r>
        <w:rPr>
          <w:rFonts w:cs="Arial"/>
          <w:b/>
          <w:noProof/>
        </w:rPr>
        <w:tab/>
      </w:r>
      <w:r w:rsidR="003A5430">
        <w:rPr>
          <w:rFonts w:cs="Arial"/>
          <w:b/>
          <w:noProof/>
        </w:rPr>
        <w:t>Chen W, Kimura M, Kim S, Cao X, Srinivasan SR, Berenson GS, Kark JD, Aviv A (2011) Longitudinal versus cross-sectional evaluations of leukocyte telomere length dynamics: age-dependent telomere shortening is the rule. J.Gerontol.A Biol.Sci.Med.Sci. 66:312-319</w:t>
      </w:r>
    </w:p>
    <w:p w:rsidR="003A5430" w:rsidRDefault="00384FB3" w:rsidP="003A5430">
      <w:pPr>
        <w:tabs>
          <w:tab w:val="right" w:pos="360"/>
          <w:tab w:val="left" w:pos="540"/>
        </w:tabs>
        <w:spacing w:after="240" w:line="240" w:lineRule="auto"/>
        <w:ind w:left="540" w:hanging="540"/>
        <w:rPr>
          <w:rFonts w:cs="Arial"/>
          <w:b/>
          <w:noProof/>
        </w:rPr>
      </w:pPr>
      <w:r>
        <w:rPr>
          <w:rFonts w:cs="Arial"/>
          <w:b/>
          <w:noProof/>
        </w:rPr>
        <w:tab/>
        <w:t xml:space="preserve">50. </w:t>
      </w:r>
      <w:r>
        <w:rPr>
          <w:rFonts w:cs="Arial"/>
          <w:b/>
          <w:noProof/>
        </w:rPr>
        <w:tab/>
      </w:r>
      <w:r w:rsidR="003A5430">
        <w:rPr>
          <w:rFonts w:cs="Arial"/>
          <w:b/>
          <w:noProof/>
        </w:rPr>
        <w:t>Roberts HC, Denison HJ, Martin HJ, Patel HP, Syddall H, Cooper C, Sayer AA (2011) A review of the measurement of grip strength in clinical and epidemiological studies: towards a standardised approach. Age Ageing 40:423-429</w:t>
      </w:r>
    </w:p>
    <w:p w:rsidR="003A5430" w:rsidRDefault="003A5430" w:rsidP="00CF0754">
      <w:pPr>
        <w:tabs>
          <w:tab w:val="right" w:pos="360"/>
          <w:tab w:val="left" w:pos="540"/>
        </w:tabs>
        <w:spacing w:after="0" w:line="240" w:lineRule="auto"/>
        <w:ind w:left="540" w:hanging="540"/>
        <w:rPr>
          <w:rFonts w:cs="Arial"/>
          <w:b/>
          <w:noProof/>
        </w:rPr>
      </w:pPr>
      <w:r>
        <w:rPr>
          <w:rFonts w:cs="Arial"/>
          <w:b/>
          <w:noProof/>
        </w:rPr>
        <w:tab/>
        <w:t xml:space="preserve">51. </w:t>
      </w:r>
      <w:r>
        <w:rPr>
          <w:rFonts w:cs="Arial"/>
          <w:b/>
          <w:noProof/>
        </w:rPr>
        <w:tab/>
        <w:t>Cruz-Jentoft AJ, Baeyens JP, Bauer JM, Boirie Y, Cederholm T, Landi F, Martin FC, Michel JP, Rolland Y, Schneider SM, Topinkova E, Vandewoude M, Zamboni M (2010) Sarcopenia: European consensus on definition and diagnosis: Report of the European Working Group on Sarcopenia in Older People. Age Ageing 39:412-423</w:t>
      </w:r>
    </w:p>
    <w:p w:rsidR="00D4233A" w:rsidRDefault="00D4233A" w:rsidP="00CF0754">
      <w:pPr>
        <w:tabs>
          <w:tab w:val="right" w:pos="360"/>
          <w:tab w:val="left" w:pos="540"/>
        </w:tabs>
        <w:spacing w:after="0" w:line="240" w:lineRule="auto"/>
        <w:ind w:left="540" w:hanging="540"/>
        <w:sectPr w:rsidR="00D4233A" w:rsidSect="00CF0754">
          <w:footerReference w:type="default" r:id="rId8"/>
          <w:pgSz w:w="11906" w:h="16838"/>
          <w:pgMar w:top="1440" w:right="1440" w:bottom="1440" w:left="1440" w:header="709" w:footer="709" w:gutter="0"/>
          <w:cols w:space="708"/>
          <w:docGrid w:linePitch="360"/>
        </w:sectPr>
      </w:pPr>
    </w:p>
    <w:p w:rsidR="00D4233A" w:rsidRDefault="00D4233A" w:rsidP="00F70C4A">
      <w:pPr>
        <w:spacing w:line="480" w:lineRule="auto"/>
        <w:ind w:firstLine="540"/>
        <w:outlineLvl w:val="0"/>
        <w:rPr>
          <w:rFonts w:ascii="Arial" w:hAnsi="Arial" w:cs="Arial"/>
        </w:rPr>
      </w:pPr>
      <w:r>
        <w:rPr>
          <w:rFonts w:ascii="Arial" w:hAnsi="Arial" w:cs="Arial"/>
          <w:b/>
        </w:rPr>
        <w:lastRenderedPageBreak/>
        <w:t>Fig 1</w:t>
      </w:r>
      <w:r w:rsidRPr="00CD5F68">
        <w:rPr>
          <w:rFonts w:ascii="Arial" w:hAnsi="Arial" w:cs="Arial"/>
        </w:rPr>
        <w:t xml:space="preserve"> </w:t>
      </w:r>
      <w:r w:rsidRPr="00F44C39">
        <w:rPr>
          <w:rFonts w:ascii="Arial" w:hAnsi="Arial" w:cs="Arial"/>
        </w:rPr>
        <w:t>Distribution of telomere length at two time points</w:t>
      </w:r>
    </w:p>
    <w:p w:rsidR="00C35257" w:rsidRDefault="00D4233A" w:rsidP="00F70C4A">
      <w:pPr>
        <w:tabs>
          <w:tab w:val="right" w:pos="360"/>
          <w:tab w:val="left" w:pos="540"/>
        </w:tabs>
        <w:spacing w:after="0" w:line="240" w:lineRule="auto"/>
        <w:ind w:left="540" w:hanging="540"/>
        <w:jc w:val="center"/>
      </w:pPr>
      <w:r>
        <w:rPr>
          <w:noProof/>
          <w:lang w:eastAsia="en-GB"/>
        </w:rPr>
        <w:drawing>
          <wp:inline distT="0" distB="0" distL="0" distR="0" wp14:anchorId="5F9B74B2" wp14:editId="3A061208">
            <wp:extent cx="8267700" cy="5267325"/>
            <wp:effectExtent l="0" t="0" r="0" b="0"/>
            <wp:docPr id="4" name="Picture 3" descr="telomere1_v01.wmf"/>
            <wp:cNvGraphicFramePr/>
            <a:graphic xmlns:a="http://schemas.openxmlformats.org/drawingml/2006/main">
              <a:graphicData uri="http://schemas.openxmlformats.org/drawingml/2006/picture">
                <pic:pic xmlns:pic="http://schemas.openxmlformats.org/drawingml/2006/picture">
                  <pic:nvPicPr>
                    <pic:cNvPr id="4" name="Picture 3" descr="telomere1_v01.wmf"/>
                    <pic:cNvPicPr/>
                  </pic:nvPicPr>
                  <pic:blipFill>
                    <a:blip r:embed="rId9"/>
                    <a:srcRect/>
                    <a:stretch>
                      <a:fillRect/>
                    </a:stretch>
                  </pic:blipFill>
                  <pic:spPr bwMode="auto">
                    <a:xfrm>
                      <a:off x="0" y="0"/>
                      <a:ext cx="8267992" cy="5267511"/>
                    </a:xfrm>
                    <a:prstGeom prst="rect">
                      <a:avLst/>
                    </a:prstGeom>
                    <a:noFill/>
                    <a:ln w="9525">
                      <a:noFill/>
                      <a:miter lim="800000"/>
                      <a:headEnd/>
                      <a:tailEnd/>
                    </a:ln>
                  </pic:spPr>
                </pic:pic>
              </a:graphicData>
            </a:graphic>
          </wp:inline>
        </w:drawing>
      </w:r>
    </w:p>
    <w:p w:rsidR="00F70C4A" w:rsidRPr="00F70C4A" w:rsidRDefault="00C35257" w:rsidP="00F70C4A">
      <w:pPr>
        <w:rPr>
          <w:b/>
        </w:rPr>
      </w:pPr>
      <w:r>
        <w:br w:type="page"/>
      </w:r>
      <w:r w:rsidR="00F70C4A" w:rsidRPr="00F70C4A">
        <w:rPr>
          <w:b/>
        </w:rPr>
        <w:lastRenderedPageBreak/>
        <w:t xml:space="preserve">Fig 2  </w:t>
      </w:r>
      <w:r w:rsidR="00F70C4A" w:rsidRPr="00F70C4A">
        <w:t>Change in telomere length (left column) and IL-1β (right column) vs grip strength at 2003/5 follow-up before and after mutual adjustment</w:t>
      </w:r>
    </w:p>
    <w:p w:rsidR="00F70C4A" w:rsidRPr="00F70C4A" w:rsidRDefault="00F70C4A" w:rsidP="00F70C4A">
      <w:pPr>
        <w:jc w:val="center"/>
        <w:rPr>
          <w:b/>
        </w:rPr>
      </w:pPr>
      <w:r w:rsidRPr="00F70C4A">
        <w:rPr>
          <w:b/>
          <w:noProof/>
          <w:lang w:eastAsia="en-GB"/>
        </w:rPr>
        <w:drawing>
          <wp:inline distT="0" distB="0" distL="0" distR="0" wp14:anchorId="5BA088D6" wp14:editId="38AE6890">
            <wp:extent cx="5731510" cy="41681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rsidR="00F70C4A" w:rsidRPr="00F70C4A" w:rsidRDefault="00F70C4A" w:rsidP="00F70C4A">
      <w:r w:rsidRPr="00F70C4A">
        <w:t>Each subgroup represents tertiles of percentage change in telomere length or IL-1B over follow-up (z-scores). Grip strength values are means and 95% Confidence Intervals. All values are adjusted for age, sex, height, weight for height, smoking status, alcohol consumption and social class</w:t>
      </w:r>
    </w:p>
    <w:p w:rsidR="00C35257" w:rsidRDefault="00C35257"/>
    <w:p w:rsidR="005136A1" w:rsidRDefault="005136A1">
      <w:r>
        <w:br w:type="page"/>
      </w:r>
    </w:p>
    <w:p w:rsidR="005136A1" w:rsidRDefault="005136A1" w:rsidP="005136A1">
      <w:pPr>
        <w:spacing w:after="0" w:line="480" w:lineRule="auto"/>
        <w:outlineLvl w:val="0"/>
        <w:rPr>
          <w:rFonts w:ascii="Arial" w:hAnsi="Arial" w:cs="Arial"/>
          <w:b/>
        </w:rPr>
      </w:pPr>
      <w:r>
        <w:rPr>
          <w:rFonts w:ascii="Arial" w:hAnsi="Arial" w:cs="Arial"/>
          <w:b/>
        </w:rPr>
        <w:lastRenderedPageBreak/>
        <w:t xml:space="preserve">Table 1 </w:t>
      </w:r>
      <w:r>
        <w:rPr>
          <w:rFonts w:ascii="Arial" w:hAnsi="Arial" w:cs="Arial"/>
        </w:rPr>
        <w:t xml:space="preserve">Baseline (1994/5) and follow-up (2003/5) characteristics </w:t>
      </w:r>
    </w:p>
    <w:tbl>
      <w:tblPr>
        <w:tblStyle w:val="TableGrid"/>
        <w:tblW w:w="149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9"/>
        <w:gridCol w:w="2396"/>
        <w:gridCol w:w="439"/>
        <w:gridCol w:w="2410"/>
        <w:gridCol w:w="567"/>
        <w:gridCol w:w="2409"/>
        <w:gridCol w:w="567"/>
        <w:gridCol w:w="2410"/>
      </w:tblGrid>
      <w:tr w:rsidR="005136A1" w:rsidTr="005136A1">
        <w:tc>
          <w:tcPr>
            <w:tcW w:w="3085" w:type="dxa"/>
            <w:tcBorders>
              <w:top w:val="single" w:sz="4" w:space="0" w:color="auto"/>
              <w:left w:val="nil"/>
              <w:bottom w:val="nil"/>
              <w:right w:val="nil"/>
            </w:tcBorders>
          </w:tcPr>
          <w:p w:rsidR="005136A1" w:rsidRDefault="005136A1">
            <w:pPr>
              <w:rPr>
                <w:rFonts w:ascii="Arial" w:hAnsi="Arial" w:cs="Arial"/>
              </w:rPr>
            </w:pPr>
          </w:p>
        </w:tc>
        <w:tc>
          <w:tcPr>
            <w:tcW w:w="5954" w:type="dxa"/>
            <w:gridSpan w:val="4"/>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Baseline: 1994/5</w:t>
            </w:r>
          </w:p>
        </w:tc>
        <w:tc>
          <w:tcPr>
            <w:tcW w:w="5953" w:type="dxa"/>
            <w:gridSpan w:val="4"/>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Follow up: 2003/5</w:t>
            </w:r>
          </w:p>
        </w:tc>
      </w:tr>
      <w:tr w:rsidR="005136A1" w:rsidTr="005136A1">
        <w:tc>
          <w:tcPr>
            <w:tcW w:w="3085" w:type="dxa"/>
            <w:tcBorders>
              <w:top w:val="nil"/>
              <w:left w:val="nil"/>
              <w:bottom w:val="single" w:sz="4" w:space="0" w:color="auto"/>
              <w:right w:val="nil"/>
            </w:tcBorders>
          </w:tcPr>
          <w:p w:rsidR="005136A1" w:rsidRDefault="005136A1">
            <w:pPr>
              <w:rPr>
                <w:rFonts w:ascii="Arial" w:hAnsi="Arial" w:cs="Arial"/>
              </w:rPr>
            </w:pPr>
          </w:p>
        </w:tc>
        <w:tc>
          <w:tcPr>
            <w:tcW w:w="3105" w:type="dxa"/>
            <w:gridSpan w:val="2"/>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Men</w:t>
            </w:r>
          </w:p>
        </w:tc>
        <w:tc>
          <w:tcPr>
            <w:tcW w:w="2849" w:type="dxa"/>
            <w:gridSpan w:val="2"/>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Women</w:t>
            </w:r>
          </w:p>
        </w:tc>
        <w:tc>
          <w:tcPr>
            <w:tcW w:w="2976" w:type="dxa"/>
            <w:gridSpan w:val="2"/>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Men</w:t>
            </w:r>
          </w:p>
        </w:tc>
        <w:tc>
          <w:tcPr>
            <w:tcW w:w="2977" w:type="dxa"/>
            <w:gridSpan w:val="2"/>
            <w:tcBorders>
              <w:top w:val="single" w:sz="4" w:space="0" w:color="auto"/>
              <w:left w:val="nil"/>
              <w:bottom w:val="single" w:sz="4" w:space="0" w:color="auto"/>
              <w:right w:val="nil"/>
            </w:tcBorders>
            <w:vAlign w:val="center"/>
            <w:hideMark/>
          </w:tcPr>
          <w:p w:rsidR="005136A1" w:rsidRDefault="005136A1">
            <w:pPr>
              <w:jc w:val="center"/>
              <w:rPr>
                <w:rFonts w:ascii="Arial" w:hAnsi="Arial" w:cs="Arial"/>
                <w:b/>
              </w:rPr>
            </w:pPr>
            <w:r>
              <w:rPr>
                <w:rFonts w:ascii="Arial" w:hAnsi="Arial" w:cs="Arial"/>
                <w:b/>
              </w:rPr>
              <w:t>Women</w:t>
            </w:r>
          </w:p>
        </w:tc>
      </w:tr>
      <w:tr w:rsidR="005136A1" w:rsidTr="005136A1">
        <w:tc>
          <w:tcPr>
            <w:tcW w:w="3085" w:type="dxa"/>
            <w:tcBorders>
              <w:top w:val="single" w:sz="4" w:space="0" w:color="auto"/>
              <w:left w:val="nil"/>
              <w:bottom w:val="nil"/>
              <w:right w:val="nil"/>
            </w:tcBorders>
            <w:hideMark/>
          </w:tcPr>
          <w:p w:rsidR="005136A1" w:rsidRDefault="005136A1">
            <w:pPr>
              <w:rPr>
                <w:rFonts w:ascii="Arial" w:hAnsi="Arial" w:cs="Arial"/>
              </w:rPr>
            </w:pPr>
            <w:r>
              <w:rPr>
                <w:rFonts w:ascii="Arial" w:hAnsi="Arial" w:cs="Arial"/>
              </w:rPr>
              <w:t>Age (years) (mean (SD))</w:t>
            </w:r>
          </w:p>
        </w:tc>
        <w:tc>
          <w:tcPr>
            <w:tcW w:w="709"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67.1 (2.3)</w:t>
            </w:r>
          </w:p>
        </w:tc>
        <w:tc>
          <w:tcPr>
            <w:tcW w:w="439"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67.2 (2.0)</w:t>
            </w:r>
          </w:p>
        </w:tc>
        <w:tc>
          <w:tcPr>
            <w:tcW w:w="567"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409"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76.5 (2.3)</w:t>
            </w:r>
          </w:p>
        </w:tc>
        <w:tc>
          <w:tcPr>
            <w:tcW w:w="567"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single" w:sz="4" w:space="0" w:color="auto"/>
              <w:left w:val="nil"/>
              <w:bottom w:val="nil"/>
              <w:right w:val="nil"/>
            </w:tcBorders>
            <w:vAlign w:val="center"/>
            <w:hideMark/>
          </w:tcPr>
          <w:p w:rsidR="005136A1" w:rsidRDefault="005136A1">
            <w:pPr>
              <w:jc w:val="center"/>
              <w:rPr>
                <w:rFonts w:ascii="Arial" w:hAnsi="Arial" w:cs="Arial"/>
              </w:rPr>
            </w:pPr>
            <w:r>
              <w:rPr>
                <w:rFonts w:ascii="Arial" w:hAnsi="Arial" w:cs="Arial"/>
              </w:rPr>
              <w:t>76.2 (2.0)</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Height (cm) (mean (SD))</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172.7 (6.2)</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159.3 (5.3)</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171.6 (6.4)</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93</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158.2 (5.5)</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Weight (kg) (mean (SD))</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80.7 (12.4)</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69.2 (10.7)</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157</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81.8 (13.7)</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69.4 (12.6</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Current smoker (n(%))</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20</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12.7</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17</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10.8</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7</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7.4</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Moderate/high alcohol (n(%))</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40</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25.3</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46</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29.1</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16</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16.9</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Non-manual social class (n(%))</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86</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55.1</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58</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61.7</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86</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54.4</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50</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52.6</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BMI (mean (SD))</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27 (3.6)</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27.3 (4.2)</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157</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27.7 (4.1)</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93</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27.5 (4.5)</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Grip (kg) (mean (SD))</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39.6 (6.1)</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22.1 (5.5)</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157</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38.6 (8.0)</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94</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23.0 (6.9)</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IL-1</w:t>
            </w:r>
            <w:r>
              <w:rPr>
                <w:rFonts w:ascii="Arial" w:hAnsi="Arial" w:cs="Arial"/>
                <w:color w:val="000000"/>
              </w:rPr>
              <w:t>β</w:t>
            </w:r>
            <w:r>
              <w:rPr>
                <w:rFonts w:ascii="Arial" w:hAnsi="Arial" w:cs="Arial"/>
              </w:rPr>
              <w:t xml:space="preserve"> (pg/ml) (median (IQR))</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114</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12.0 (5.6-18.1)</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62</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14.7 (11.4-24.0)</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111</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10.9 (6.0-15.0)</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66</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9.9 (6.7-15.3)</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IL-6 (pg/ml) (median (IQR))</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103</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0.9 (0.2-2.0)</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45</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1.0 (0.4-2.4)</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150</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2.8 (1.5-4.3)</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90</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2.2 (1.5-4.2)</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Cortisol (nmol/l) (median (IQR))</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153</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310.0 (240.8-385.3)</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94</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270.9 (198.2-351.4)</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151</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336.0 (288.4-401.6)</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91</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332.7 (261.8-400.0)</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DHEAS (nmol/l) (median (IQR))</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153</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2138.6 (1680.0-2819.3)</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94</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1519.2 (788.7-2230.2)</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150</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1670.1 (963.1-2373.1)</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88</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1461.7 (563.5-2243.4)</w:t>
            </w:r>
          </w:p>
        </w:tc>
      </w:tr>
      <w:tr w:rsidR="005136A1" w:rsidTr="005136A1">
        <w:tc>
          <w:tcPr>
            <w:tcW w:w="3085" w:type="dxa"/>
            <w:tcBorders>
              <w:top w:val="nil"/>
              <w:left w:val="nil"/>
              <w:bottom w:val="nil"/>
              <w:right w:val="nil"/>
            </w:tcBorders>
            <w:hideMark/>
          </w:tcPr>
          <w:p w:rsidR="005136A1" w:rsidRDefault="005136A1">
            <w:pPr>
              <w:rPr>
                <w:rFonts w:ascii="Arial" w:hAnsi="Arial" w:cs="Arial"/>
              </w:rPr>
            </w:pPr>
            <w:r>
              <w:rPr>
                <w:rFonts w:ascii="Arial" w:hAnsi="Arial" w:cs="Arial"/>
              </w:rPr>
              <w:t>Cortisol:DHEAS (median (IQR))</w:t>
            </w:r>
          </w:p>
        </w:tc>
        <w:tc>
          <w:tcPr>
            <w:tcW w:w="7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153</w:t>
            </w:r>
          </w:p>
        </w:tc>
        <w:tc>
          <w:tcPr>
            <w:tcW w:w="2396"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0.1 (0.1-0.2)</w:t>
            </w:r>
          </w:p>
        </w:tc>
        <w:tc>
          <w:tcPr>
            <w:tcW w:w="43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94</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0.2 (0.1-0.3)</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149</w:t>
            </w:r>
          </w:p>
        </w:tc>
        <w:tc>
          <w:tcPr>
            <w:tcW w:w="2409"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0.2 (0.1-0.4)</w:t>
            </w:r>
          </w:p>
        </w:tc>
        <w:tc>
          <w:tcPr>
            <w:tcW w:w="567"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87</w:t>
            </w:r>
          </w:p>
        </w:tc>
        <w:tc>
          <w:tcPr>
            <w:tcW w:w="2410" w:type="dxa"/>
            <w:tcBorders>
              <w:top w:val="nil"/>
              <w:left w:val="nil"/>
              <w:bottom w:val="nil"/>
              <w:right w:val="nil"/>
            </w:tcBorders>
            <w:vAlign w:val="center"/>
            <w:hideMark/>
          </w:tcPr>
          <w:p w:rsidR="005136A1" w:rsidRDefault="005136A1">
            <w:pPr>
              <w:jc w:val="center"/>
              <w:rPr>
                <w:rFonts w:ascii="Arial" w:hAnsi="Arial" w:cs="Arial"/>
              </w:rPr>
            </w:pPr>
            <w:r>
              <w:rPr>
                <w:rFonts w:ascii="Arial" w:hAnsi="Arial" w:cs="Arial"/>
              </w:rPr>
              <w:t>0.2 (0.1-0.6)</w:t>
            </w:r>
          </w:p>
        </w:tc>
      </w:tr>
      <w:tr w:rsidR="005136A1" w:rsidTr="005136A1">
        <w:tc>
          <w:tcPr>
            <w:tcW w:w="3085" w:type="dxa"/>
            <w:tcBorders>
              <w:top w:val="nil"/>
              <w:left w:val="nil"/>
              <w:bottom w:val="single" w:sz="4" w:space="0" w:color="auto"/>
              <w:right w:val="nil"/>
            </w:tcBorders>
            <w:hideMark/>
          </w:tcPr>
          <w:p w:rsidR="005136A1" w:rsidRDefault="005136A1">
            <w:pPr>
              <w:rPr>
                <w:rFonts w:ascii="Arial" w:hAnsi="Arial" w:cs="Arial"/>
              </w:rPr>
            </w:pPr>
            <w:r>
              <w:rPr>
                <w:rFonts w:ascii="Arial" w:hAnsi="Arial" w:cs="Arial"/>
              </w:rPr>
              <w:t>Telomere length (median (IQR))</w:t>
            </w:r>
          </w:p>
        </w:tc>
        <w:tc>
          <w:tcPr>
            <w:tcW w:w="709"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158</w:t>
            </w:r>
          </w:p>
        </w:tc>
        <w:tc>
          <w:tcPr>
            <w:tcW w:w="2396"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5041.7 (4167.4-6210.8)</w:t>
            </w:r>
          </w:p>
        </w:tc>
        <w:tc>
          <w:tcPr>
            <w:tcW w:w="439"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4901.4 (3910.5-5984.7)</w:t>
            </w:r>
          </w:p>
        </w:tc>
        <w:tc>
          <w:tcPr>
            <w:tcW w:w="567"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158</w:t>
            </w:r>
          </w:p>
        </w:tc>
        <w:tc>
          <w:tcPr>
            <w:tcW w:w="2409"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3629.7 (3080.6-4556.8)</w:t>
            </w:r>
          </w:p>
        </w:tc>
        <w:tc>
          <w:tcPr>
            <w:tcW w:w="567"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95</w:t>
            </w:r>
          </w:p>
        </w:tc>
        <w:tc>
          <w:tcPr>
            <w:tcW w:w="2410" w:type="dxa"/>
            <w:tcBorders>
              <w:top w:val="nil"/>
              <w:left w:val="nil"/>
              <w:bottom w:val="single" w:sz="4" w:space="0" w:color="auto"/>
              <w:right w:val="nil"/>
            </w:tcBorders>
            <w:vAlign w:val="center"/>
            <w:hideMark/>
          </w:tcPr>
          <w:p w:rsidR="005136A1" w:rsidRDefault="005136A1">
            <w:pPr>
              <w:jc w:val="center"/>
              <w:rPr>
                <w:rFonts w:ascii="Arial" w:hAnsi="Arial" w:cs="Arial"/>
              </w:rPr>
            </w:pPr>
            <w:r>
              <w:rPr>
                <w:rFonts w:ascii="Arial" w:hAnsi="Arial" w:cs="Arial"/>
              </w:rPr>
              <w:t>3680.1 (3009.6-4777.3)</w:t>
            </w:r>
          </w:p>
        </w:tc>
      </w:tr>
    </w:tbl>
    <w:p w:rsidR="005136A1" w:rsidRDefault="005136A1" w:rsidP="005136A1">
      <w:pPr>
        <w:spacing w:after="0" w:line="240" w:lineRule="auto"/>
        <w:rPr>
          <w:rFonts w:ascii="Arial" w:hAnsi="Arial" w:cs="Arial"/>
          <w:sz w:val="18"/>
          <w:szCs w:val="18"/>
        </w:rPr>
      </w:pPr>
    </w:p>
    <w:p w:rsidR="005136A1" w:rsidRDefault="005136A1" w:rsidP="005136A1">
      <w:pPr>
        <w:spacing w:after="0" w:line="240" w:lineRule="auto"/>
        <w:rPr>
          <w:rFonts w:ascii="Arial" w:hAnsi="Arial" w:cs="Arial"/>
          <w:sz w:val="18"/>
          <w:szCs w:val="18"/>
        </w:rPr>
      </w:pPr>
    </w:p>
    <w:p w:rsidR="005136A1" w:rsidRDefault="005136A1" w:rsidP="005136A1">
      <w:pPr>
        <w:spacing w:after="0" w:line="240" w:lineRule="auto"/>
        <w:rPr>
          <w:rFonts w:ascii="Arial" w:hAnsi="Arial" w:cs="Arial"/>
          <w:sz w:val="18"/>
          <w:szCs w:val="18"/>
        </w:rPr>
      </w:pPr>
      <w:r>
        <w:rPr>
          <w:rFonts w:ascii="Arial" w:hAnsi="Arial" w:cs="Arial"/>
          <w:sz w:val="18"/>
          <w:szCs w:val="18"/>
        </w:rPr>
        <w:t>IQR = Interquartile range</w:t>
      </w:r>
    </w:p>
    <w:p w:rsidR="005136A1" w:rsidRDefault="005136A1" w:rsidP="005136A1">
      <w:pPr>
        <w:spacing w:after="0" w:line="240" w:lineRule="auto"/>
        <w:rPr>
          <w:rFonts w:ascii="Arial" w:hAnsi="Arial" w:cs="Arial"/>
          <w:sz w:val="18"/>
          <w:szCs w:val="18"/>
        </w:rPr>
      </w:pPr>
      <w:r>
        <w:rPr>
          <w:rFonts w:ascii="Arial" w:hAnsi="Arial" w:cs="Arial"/>
          <w:sz w:val="18"/>
          <w:szCs w:val="18"/>
        </w:rPr>
        <w:t>Height was missing for 2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Weight was missing for 1 man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BMI was missing for 1 man and 2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Grip strength was missing for 1 man and 1 woman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IL-1</w:t>
      </w:r>
      <w:r>
        <w:rPr>
          <w:rFonts w:ascii="Arial" w:hAnsi="Arial" w:cs="Arial"/>
          <w:color w:val="000000"/>
          <w:sz w:val="18"/>
          <w:szCs w:val="18"/>
        </w:rPr>
        <w:t>β</w:t>
      </w:r>
      <w:r>
        <w:rPr>
          <w:rFonts w:ascii="Arial" w:hAnsi="Arial" w:cs="Arial"/>
          <w:sz w:val="18"/>
          <w:szCs w:val="18"/>
        </w:rPr>
        <w:t xml:space="preserve"> data were missing for 44 men and 33 women at baseline and for 47 men and 29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IL-6 data were missing for 55 men and 53 women at baseline and for 8 men and 5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Cortisol data were missing for 5 men and 1 woman at baseline and for 7 men and 4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DHEAS data were missing for 5 men and 1 woman at baseline and for 8 men and 7 women at follow up.</w:t>
      </w:r>
    </w:p>
    <w:p w:rsidR="005136A1" w:rsidRDefault="005136A1" w:rsidP="005136A1">
      <w:pPr>
        <w:spacing w:after="0" w:line="240" w:lineRule="auto"/>
        <w:rPr>
          <w:rFonts w:ascii="Arial" w:hAnsi="Arial" w:cs="Arial"/>
          <w:sz w:val="18"/>
          <w:szCs w:val="18"/>
        </w:rPr>
      </w:pPr>
      <w:r>
        <w:rPr>
          <w:rFonts w:ascii="Arial" w:hAnsi="Arial" w:cs="Arial"/>
          <w:sz w:val="18"/>
          <w:szCs w:val="18"/>
        </w:rPr>
        <w:t>Cortiol:DHEAS ratio data were missing for 5 men and 1 women at baseline and for 9 men and 8 women at follow up.</w:t>
      </w:r>
    </w:p>
    <w:p w:rsidR="005136A1" w:rsidRDefault="005136A1" w:rsidP="005136A1">
      <w:pPr>
        <w:spacing w:after="0" w:line="240" w:lineRule="auto"/>
        <w:rPr>
          <w:rFonts w:ascii="Arial" w:hAnsi="Arial" w:cs="Arial"/>
          <w:sz w:val="18"/>
          <w:szCs w:val="18"/>
        </w:rPr>
      </w:pPr>
    </w:p>
    <w:p w:rsidR="005136A1" w:rsidRDefault="005136A1" w:rsidP="005136A1">
      <w:pPr>
        <w:spacing w:after="0" w:line="240" w:lineRule="auto"/>
        <w:rPr>
          <w:rFonts w:ascii="Arial" w:hAnsi="Arial" w:cs="Arial"/>
          <w:sz w:val="18"/>
          <w:szCs w:val="18"/>
        </w:rPr>
      </w:pPr>
    </w:p>
    <w:p w:rsidR="005136A1" w:rsidRDefault="005136A1" w:rsidP="005136A1"/>
    <w:p w:rsidR="005136A1" w:rsidRDefault="005136A1">
      <w:r>
        <w:br w:type="page"/>
      </w:r>
    </w:p>
    <w:p w:rsidR="005136A1" w:rsidRPr="00DD1653" w:rsidRDefault="005136A1" w:rsidP="005136A1">
      <w:pPr>
        <w:rPr>
          <w:rFonts w:ascii="Arial" w:hAnsi="Arial" w:cs="Arial"/>
          <w:b/>
        </w:rPr>
      </w:pPr>
      <w:r w:rsidRPr="00CD5F68">
        <w:rPr>
          <w:rFonts w:ascii="Arial" w:hAnsi="Arial" w:cs="Arial"/>
          <w:b/>
        </w:rPr>
        <w:lastRenderedPageBreak/>
        <w:t xml:space="preserve">Table </w:t>
      </w:r>
      <w:r>
        <w:rPr>
          <w:rFonts w:ascii="Arial" w:hAnsi="Arial" w:cs="Arial"/>
          <w:b/>
        </w:rPr>
        <w:t>2</w:t>
      </w:r>
      <w:r w:rsidRPr="00CD5F68">
        <w:rPr>
          <w:rFonts w:ascii="Arial" w:hAnsi="Arial" w:cs="Arial"/>
          <w:b/>
        </w:rPr>
        <w:t xml:space="preserve"> </w:t>
      </w:r>
      <w:r w:rsidRPr="00F44C39">
        <w:rPr>
          <w:rFonts w:ascii="Arial" w:hAnsi="Arial" w:cs="Arial"/>
        </w:rPr>
        <w:t>Inflammatory markers and telomere length as predictors of grip strength at 2003/5 follow-up. (All predictor variables are z-scores for percentage changes (follow-up minus baseline) per year of follow-up)</w:t>
      </w:r>
      <w:r w:rsidRPr="009D7243">
        <w:rPr>
          <w:rFonts w:ascii="Arial" w:hAnsi="Arial" w:cs="Arial"/>
          <w:b/>
        </w:rPr>
        <w:t xml:space="preserve"> </w:t>
      </w:r>
    </w:p>
    <w:tbl>
      <w:tblPr>
        <w:tblW w:w="13344" w:type="dxa"/>
        <w:tblInd w:w="89" w:type="dxa"/>
        <w:tblBorders>
          <w:top w:val="single" w:sz="4" w:space="0" w:color="auto"/>
          <w:bottom w:val="single" w:sz="4" w:space="0" w:color="auto"/>
        </w:tblBorders>
        <w:tblLook w:val="04A0" w:firstRow="1" w:lastRow="0" w:firstColumn="1" w:lastColumn="0" w:noHBand="0" w:noVBand="1"/>
      </w:tblPr>
      <w:tblGrid>
        <w:gridCol w:w="1862"/>
        <w:gridCol w:w="567"/>
        <w:gridCol w:w="1985"/>
        <w:gridCol w:w="850"/>
        <w:gridCol w:w="709"/>
        <w:gridCol w:w="2410"/>
        <w:gridCol w:w="850"/>
        <w:gridCol w:w="709"/>
        <w:gridCol w:w="2410"/>
        <w:gridCol w:w="992"/>
      </w:tblGrid>
      <w:tr w:rsidR="005136A1" w:rsidRPr="000C6715" w:rsidTr="00AE5A0B">
        <w:trPr>
          <w:trHeight w:val="300"/>
        </w:trPr>
        <w:tc>
          <w:tcPr>
            <w:tcW w:w="1862" w:type="dxa"/>
            <w:tcBorders>
              <w:top w:val="single" w:sz="4" w:space="0" w:color="auto"/>
            </w:tcBorders>
            <w:noWrap/>
            <w:vAlign w:val="bottom"/>
            <w:hideMark/>
          </w:tcPr>
          <w:p w:rsidR="005136A1" w:rsidRPr="004409D0" w:rsidRDefault="005136A1" w:rsidP="00AE5A0B">
            <w:pPr>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Predictors</w:t>
            </w:r>
          </w:p>
        </w:tc>
        <w:tc>
          <w:tcPr>
            <w:tcW w:w="3402" w:type="dxa"/>
            <w:gridSpan w:val="3"/>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a</w:t>
            </w:r>
            <w:r w:rsidRPr="004409D0">
              <w:rPr>
                <w:rFonts w:ascii="Arial" w:hAnsi="Arial" w:cs="Arial"/>
                <w:b/>
                <w:bCs/>
                <w:color w:val="000000"/>
                <w:sz w:val="20"/>
                <w:szCs w:val="20"/>
                <w:lang w:eastAsia="en-GB"/>
              </w:rPr>
              <w:t xml:space="preserve"> (ALL)</w:t>
            </w:r>
          </w:p>
        </w:tc>
        <w:tc>
          <w:tcPr>
            <w:tcW w:w="3969" w:type="dxa"/>
            <w:gridSpan w:val="3"/>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a</w:t>
            </w:r>
            <w:r w:rsidRPr="004409D0">
              <w:rPr>
                <w:rFonts w:ascii="Arial" w:hAnsi="Arial" w:cs="Arial"/>
                <w:b/>
                <w:bCs/>
                <w:color w:val="000000"/>
                <w:sz w:val="20"/>
                <w:szCs w:val="20"/>
                <w:lang w:eastAsia="en-GB"/>
              </w:rPr>
              <w:t xml:space="preserve"> (MEN)</w:t>
            </w:r>
          </w:p>
        </w:tc>
        <w:tc>
          <w:tcPr>
            <w:tcW w:w="4111" w:type="dxa"/>
            <w:gridSpan w:val="3"/>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a</w:t>
            </w:r>
            <w:r w:rsidRPr="004409D0">
              <w:rPr>
                <w:rFonts w:ascii="Arial" w:hAnsi="Arial" w:cs="Arial"/>
                <w:b/>
                <w:bCs/>
                <w:color w:val="000000"/>
                <w:sz w:val="20"/>
                <w:szCs w:val="20"/>
                <w:lang w:eastAsia="en-GB"/>
              </w:rPr>
              <w:t xml:space="preserve"> (WOMEN)</w:t>
            </w:r>
          </w:p>
        </w:tc>
      </w:tr>
      <w:tr w:rsidR="005136A1" w:rsidRPr="000C6715" w:rsidTr="00AE5A0B">
        <w:trPr>
          <w:trHeight w:val="300"/>
        </w:trPr>
        <w:tc>
          <w:tcPr>
            <w:tcW w:w="1862" w:type="dxa"/>
            <w:noWrap/>
            <w:vAlign w:val="bottom"/>
            <w:hideMark/>
          </w:tcPr>
          <w:p w:rsidR="005136A1" w:rsidRPr="004409D0" w:rsidRDefault="005136A1" w:rsidP="00AE5A0B">
            <w:pPr>
              <w:spacing w:after="0" w:line="240" w:lineRule="auto"/>
              <w:rPr>
                <w:rFonts w:ascii="Arial" w:hAnsi="Arial" w:cs="Arial"/>
                <w:b/>
                <w:bCs/>
                <w:color w:val="000000"/>
                <w:sz w:val="20"/>
                <w:szCs w:val="20"/>
                <w:lang w:eastAsia="en-GB"/>
              </w:rPr>
            </w:pPr>
          </w:p>
        </w:tc>
        <w:tc>
          <w:tcPr>
            <w:tcW w:w="567"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1985"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c>
          <w:tcPr>
            <w:tcW w:w="709"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241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c>
          <w:tcPr>
            <w:tcW w:w="709"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241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992"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 xml:space="preserve">IL-1β </w:t>
            </w:r>
          </w:p>
        </w:tc>
        <w:tc>
          <w:tcPr>
            <w:tcW w:w="567" w:type="dxa"/>
            <w:noWrap/>
            <w:vAlign w:val="bottom"/>
            <w:hideMark/>
          </w:tcPr>
          <w:p w:rsidR="005136A1" w:rsidRPr="000C6715" w:rsidRDefault="005136A1" w:rsidP="00AE5A0B">
            <w:pPr>
              <w:spacing w:after="0"/>
              <w:jc w:val="right"/>
              <w:rPr>
                <w:color w:val="000000"/>
              </w:rPr>
            </w:pPr>
            <w:r w:rsidRPr="000C6715">
              <w:rPr>
                <w:color w:val="000000"/>
              </w:rPr>
              <w:t>130</w:t>
            </w:r>
          </w:p>
        </w:tc>
        <w:tc>
          <w:tcPr>
            <w:tcW w:w="1985" w:type="dxa"/>
            <w:noWrap/>
            <w:vAlign w:val="bottom"/>
            <w:hideMark/>
          </w:tcPr>
          <w:p w:rsidR="005136A1" w:rsidRPr="000C6715" w:rsidRDefault="005136A1" w:rsidP="00AE5A0B">
            <w:pPr>
              <w:spacing w:after="0"/>
              <w:rPr>
                <w:color w:val="000000"/>
              </w:rPr>
            </w:pPr>
            <w:r w:rsidRPr="000C6715">
              <w:rPr>
                <w:color w:val="000000"/>
              </w:rPr>
              <w:t>-1.90 (-3.22,-0.58)</w:t>
            </w:r>
          </w:p>
        </w:tc>
        <w:tc>
          <w:tcPr>
            <w:tcW w:w="850" w:type="dxa"/>
            <w:noWrap/>
            <w:vAlign w:val="bottom"/>
            <w:hideMark/>
          </w:tcPr>
          <w:p w:rsidR="005136A1" w:rsidRPr="000C6715" w:rsidRDefault="005136A1" w:rsidP="00AE5A0B">
            <w:pPr>
              <w:spacing w:after="0"/>
              <w:jc w:val="right"/>
              <w:rPr>
                <w:color w:val="000000"/>
              </w:rPr>
            </w:pPr>
            <w:r w:rsidRPr="000C6715">
              <w:rPr>
                <w:color w:val="000000"/>
              </w:rPr>
              <w:t>0.005</w:t>
            </w:r>
          </w:p>
        </w:tc>
        <w:tc>
          <w:tcPr>
            <w:tcW w:w="709" w:type="dxa"/>
            <w:noWrap/>
            <w:vAlign w:val="bottom"/>
            <w:hideMark/>
          </w:tcPr>
          <w:p w:rsidR="005136A1" w:rsidRPr="000C6715" w:rsidRDefault="005136A1" w:rsidP="00AE5A0B">
            <w:pPr>
              <w:spacing w:after="0"/>
              <w:jc w:val="right"/>
              <w:rPr>
                <w:color w:val="000000"/>
              </w:rPr>
            </w:pPr>
            <w:r w:rsidRPr="000C6715">
              <w:rPr>
                <w:color w:val="000000"/>
              </w:rPr>
              <w:t>85</w:t>
            </w:r>
          </w:p>
        </w:tc>
        <w:tc>
          <w:tcPr>
            <w:tcW w:w="2410" w:type="dxa"/>
            <w:noWrap/>
            <w:vAlign w:val="bottom"/>
            <w:hideMark/>
          </w:tcPr>
          <w:p w:rsidR="005136A1" w:rsidRPr="000C6715" w:rsidRDefault="005136A1" w:rsidP="00AE5A0B">
            <w:pPr>
              <w:spacing w:after="0"/>
              <w:rPr>
                <w:color w:val="000000"/>
              </w:rPr>
            </w:pPr>
            <w:r w:rsidRPr="000C6715">
              <w:rPr>
                <w:color w:val="000000"/>
              </w:rPr>
              <w:t>-1.68 (-3.39,0.02)</w:t>
            </w:r>
          </w:p>
        </w:tc>
        <w:tc>
          <w:tcPr>
            <w:tcW w:w="850" w:type="dxa"/>
            <w:noWrap/>
            <w:vAlign w:val="bottom"/>
            <w:hideMark/>
          </w:tcPr>
          <w:p w:rsidR="005136A1" w:rsidRPr="000C6715" w:rsidRDefault="005136A1" w:rsidP="00AE5A0B">
            <w:pPr>
              <w:spacing w:after="0"/>
              <w:jc w:val="right"/>
              <w:rPr>
                <w:color w:val="000000"/>
              </w:rPr>
            </w:pPr>
            <w:r w:rsidRPr="000C6715">
              <w:rPr>
                <w:color w:val="000000"/>
              </w:rPr>
              <w:t>0.053</w:t>
            </w:r>
          </w:p>
        </w:tc>
        <w:tc>
          <w:tcPr>
            <w:tcW w:w="709" w:type="dxa"/>
            <w:noWrap/>
            <w:vAlign w:val="bottom"/>
            <w:hideMark/>
          </w:tcPr>
          <w:p w:rsidR="005136A1" w:rsidRPr="000C6715" w:rsidRDefault="005136A1" w:rsidP="00AE5A0B">
            <w:pPr>
              <w:spacing w:after="0"/>
              <w:jc w:val="right"/>
              <w:rPr>
                <w:color w:val="000000"/>
              </w:rPr>
            </w:pPr>
            <w:r w:rsidRPr="000C6715">
              <w:rPr>
                <w:color w:val="000000"/>
              </w:rPr>
              <w:t>45</w:t>
            </w:r>
          </w:p>
        </w:tc>
        <w:tc>
          <w:tcPr>
            <w:tcW w:w="2410" w:type="dxa"/>
            <w:noWrap/>
            <w:vAlign w:val="bottom"/>
            <w:hideMark/>
          </w:tcPr>
          <w:p w:rsidR="005136A1" w:rsidRPr="000C6715" w:rsidRDefault="005136A1" w:rsidP="00AE5A0B">
            <w:pPr>
              <w:spacing w:after="0"/>
              <w:rPr>
                <w:color w:val="000000"/>
              </w:rPr>
            </w:pPr>
            <w:r w:rsidRPr="000C6715">
              <w:rPr>
                <w:color w:val="000000"/>
              </w:rPr>
              <w:t>-2.21 (-4.39,-0.04)</w:t>
            </w:r>
          </w:p>
        </w:tc>
        <w:tc>
          <w:tcPr>
            <w:tcW w:w="992" w:type="dxa"/>
            <w:noWrap/>
            <w:vAlign w:val="bottom"/>
            <w:hideMark/>
          </w:tcPr>
          <w:p w:rsidR="005136A1" w:rsidRPr="000C6715" w:rsidRDefault="005136A1" w:rsidP="00AE5A0B">
            <w:pPr>
              <w:spacing w:after="0"/>
              <w:jc w:val="right"/>
              <w:rPr>
                <w:color w:val="000000"/>
              </w:rPr>
            </w:pPr>
            <w:r w:rsidRPr="000C6715">
              <w:rPr>
                <w:color w:val="000000"/>
              </w:rPr>
              <w:t>0.046</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IL-6</w:t>
            </w:r>
          </w:p>
        </w:tc>
        <w:tc>
          <w:tcPr>
            <w:tcW w:w="567" w:type="dxa"/>
            <w:noWrap/>
            <w:vAlign w:val="bottom"/>
            <w:hideMark/>
          </w:tcPr>
          <w:p w:rsidR="005136A1" w:rsidRPr="000C6715" w:rsidRDefault="005136A1" w:rsidP="00AE5A0B">
            <w:pPr>
              <w:spacing w:after="0"/>
              <w:jc w:val="right"/>
              <w:rPr>
                <w:color w:val="000000"/>
              </w:rPr>
            </w:pPr>
            <w:r w:rsidRPr="000C6715">
              <w:rPr>
                <w:color w:val="000000"/>
              </w:rPr>
              <w:t>143</w:t>
            </w:r>
          </w:p>
        </w:tc>
        <w:tc>
          <w:tcPr>
            <w:tcW w:w="1985" w:type="dxa"/>
            <w:noWrap/>
            <w:vAlign w:val="bottom"/>
            <w:hideMark/>
          </w:tcPr>
          <w:p w:rsidR="005136A1" w:rsidRPr="000C6715" w:rsidRDefault="005136A1" w:rsidP="00AE5A0B">
            <w:pPr>
              <w:spacing w:after="0"/>
              <w:rPr>
                <w:color w:val="000000"/>
              </w:rPr>
            </w:pPr>
            <w:r w:rsidRPr="000C6715">
              <w:rPr>
                <w:color w:val="000000"/>
              </w:rPr>
              <w:t>1.33 (0.09,2.57)</w:t>
            </w:r>
          </w:p>
        </w:tc>
        <w:tc>
          <w:tcPr>
            <w:tcW w:w="850" w:type="dxa"/>
            <w:noWrap/>
            <w:vAlign w:val="bottom"/>
            <w:hideMark/>
          </w:tcPr>
          <w:p w:rsidR="005136A1" w:rsidRPr="000C6715" w:rsidRDefault="005136A1" w:rsidP="00AE5A0B">
            <w:pPr>
              <w:spacing w:after="0"/>
              <w:jc w:val="right"/>
              <w:rPr>
                <w:color w:val="000000"/>
              </w:rPr>
            </w:pPr>
            <w:r w:rsidRPr="000C6715">
              <w:rPr>
                <w:color w:val="000000"/>
              </w:rPr>
              <w:t>0.035</w:t>
            </w:r>
          </w:p>
        </w:tc>
        <w:tc>
          <w:tcPr>
            <w:tcW w:w="709" w:type="dxa"/>
            <w:noWrap/>
            <w:vAlign w:val="bottom"/>
            <w:hideMark/>
          </w:tcPr>
          <w:p w:rsidR="005136A1" w:rsidRPr="000C6715" w:rsidRDefault="005136A1" w:rsidP="00AE5A0B">
            <w:pPr>
              <w:spacing w:after="0"/>
              <w:jc w:val="right"/>
              <w:rPr>
                <w:color w:val="000000"/>
              </w:rPr>
            </w:pPr>
            <w:r w:rsidRPr="000C6715">
              <w:rPr>
                <w:color w:val="000000"/>
              </w:rPr>
              <w:t>98</w:t>
            </w:r>
          </w:p>
        </w:tc>
        <w:tc>
          <w:tcPr>
            <w:tcW w:w="2410" w:type="dxa"/>
            <w:noWrap/>
            <w:vAlign w:val="bottom"/>
            <w:hideMark/>
          </w:tcPr>
          <w:p w:rsidR="005136A1" w:rsidRPr="000C6715" w:rsidRDefault="005136A1" w:rsidP="00AE5A0B">
            <w:pPr>
              <w:spacing w:after="0"/>
              <w:rPr>
                <w:color w:val="000000"/>
              </w:rPr>
            </w:pPr>
            <w:r w:rsidRPr="000C6715">
              <w:rPr>
                <w:color w:val="000000"/>
              </w:rPr>
              <w:t>1.31 (-0.29,2.92)</w:t>
            </w:r>
          </w:p>
        </w:tc>
        <w:tc>
          <w:tcPr>
            <w:tcW w:w="850" w:type="dxa"/>
            <w:noWrap/>
            <w:vAlign w:val="bottom"/>
            <w:hideMark/>
          </w:tcPr>
          <w:p w:rsidR="005136A1" w:rsidRPr="000C6715" w:rsidRDefault="005136A1" w:rsidP="00AE5A0B">
            <w:pPr>
              <w:spacing w:after="0"/>
              <w:jc w:val="right"/>
              <w:rPr>
                <w:color w:val="000000"/>
              </w:rPr>
            </w:pPr>
            <w:r w:rsidRPr="000C6715">
              <w:rPr>
                <w:color w:val="000000"/>
              </w:rPr>
              <w:t>0.108</w:t>
            </w:r>
          </w:p>
        </w:tc>
        <w:tc>
          <w:tcPr>
            <w:tcW w:w="709" w:type="dxa"/>
            <w:noWrap/>
            <w:vAlign w:val="bottom"/>
            <w:hideMark/>
          </w:tcPr>
          <w:p w:rsidR="005136A1" w:rsidRPr="000C6715" w:rsidRDefault="005136A1" w:rsidP="00AE5A0B">
            <w:pPr>
              <w:spacing w:after="0"/>
              <w:jc w:val="right"/>
              <w:rPr>
                <w:color w:val="000000"/>
              </w:rPr>
            </w:pPr>
            <w:r w:rsidRPr="000C6715">
              <w:rPr>
                <w:color w:val="000000"/>
              </w:rPr>
              <w:t>45</w:t>
            </w:r>
          </w:p>
        </w:tc>
        <w:tc>
          <w:tcPr>
            <w:tcW w:w="2410" w:type="dxa"/>
            <w:noWrap/>
            <w:vAlign w:val="bottom"/>
            <w:hideMark/>
          </w:tcPr>
          <w:p w:rsidR="005136A1" w:rsidRPr="000C6715" w:rsidRDefault="005136A1" w:rsidP="00AE5A0B">
            <w:pPr>
              <w:spacing w:after="0"/>
              <w:rPr>
                <w:color w:val="000000"/>
              </w:rPr>
            </w:pPr>
            <w:r w:rsidRPr="000C6715">
              <w:rPr>
                <w:color w:val="000000"/>
              </w:rPr>
              <w:t>0.88 (-1.09,2.84)</w:t>
            </w:r>
          </w:p>
        </w:tc>
        <w:tc>
          <w:tcPr>
            <w:tcW w:w="992" w:type="dxa"/>
            <w:noWrap/>
            <w:vAlign w:val="bottom"/>
            <w:hideMark/>
          </w:tcPr>
          <w:p w:rsidR="005136A1" w:rsidRPr="000C6715" w:rsidRDefault="005136A1" w:rsidP="00AE5A0B">
            <w:pPr>
              <w:spacing w:after="0"/>
              <w:jc w:val="right"/>
              <w:rPr>
                <w:color w:val="000000"/>
              </w:rPr>
            </w:pPr>
            <w:r w:rsidRPr="000C6715">
              <w:rPr>
                <w:color w:val="000000"/>
              </w:rPr>
              <w:t>0.373</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Cortisol</w:t>
            </w:r>
          </w:p>
        </w:tc>
        <w:tc>
          <w:tcPr>
            <w:tcW w:w="567" w:type="dxa"/>
            <w:noWrap/>
            <w:vAlign w:val="bottom"/>
            <w:hideMark/>
          </w:tcPr>
          <w:p w:rsidR="005136A1" w:rsidRPr="000C6715" w:rsidRDefault="005136A1" w:rsidP="00AE5A0B">
            <w:pPr>
              <w:spacing w:after="0"/>
              <w:jc w:val="right"/>
              <w:rPr>
                <w:color w:val="000000"/>
              </w:rPr>
            </w:pPr>
            <w:r w:rsidRPr="000C6715">
              <w:rPr>
                <w:color w:val="000000"/>
              </w:rPr>
              <w:t>237</w:t>
            </w:r>
          </w:p>
        </w:tc>
        <w:tc>
          <w:tcPr>
            <w:tcW w:w="1985" w:type="dxa"/>
            <w:noWrap/>
            <w:vAlign w:val="bottom"/>
            <w:hideMark/>
          </w:tcPr>
          <w:p w:rsidR="005136A1" w:rsidRPr="000C6715" w:rsidRDefault="005136A1" w:rsidP="00AE5A0B">
            <w:pPr>
              <w:spacing w:after="0"/>
              <w:rPr>
                <w:color w:val="000000"/>
              </w:rPr>
            </w:pPr>
            <w:r w:rsidRPr="000C6715">
              <w:rPr>
                <w:color w:val="000000"/>
              </w:rPr>
              <w:t>-1.12 (-2.06,-0.18)</w:t>
            </w:r>
          </w:p>
        </w:tc>
        <w:tc>
          <w:tcPr>
            <w:tcW w:w="850" w:type="dxa"/>
            <w:noWrap/>
            <w:vAlign w:val="bottom"/>
            <w:hideMark/>
          </w:tcPr>
          <w:p w:rsidR="005136A1" w:rsidRPr="000C6715" w:rsidRDefault="005136A1" w:rsidP="00AE5A0B">
            <w:pPr>
              <w:spacing w:after="0"/>
              <w:jc w:val="right"/>
              <w:rPr>
                <w:color w:val="000000"/>
              </w:rPr>
            </w:pPr>
            <w:r w:rsidRPr="000C6715">
              <w:rPr>
                <w:color w:val="000000"/>
              </w:rPr>
              <w:t>0.02</w:t>
            </w:r>
            <w:r>
              <w:rPr>
                <w:color w:val="000000"/>
              </w:rPr>
              <w:t>0</w:t>
            </w:r>
          </w:p>
        </w:tc>
        <w:tc>
          <w:tcPr>
            <w:tcW w:w="709" w:type="dxa"/>
            <w:noWrap/>
            <w:vAlign w:val="bottom"/>
            <w:hideMark/>
          </w:tcPr>
          <w:p w:rsidR="005136A1" w:rsidRPr="000C6715" w:rsidRDefault="005136A1" w:rsidP="00AE5A0B">
            <w:pPr>
              <w:spacing w:after="0"/>
              <w:jc w:val="right"/>
              <w:rPr>
                <w:color w:val="000000"/>
              </w:rPr>
            </w:pPr>
            <w:r w:rsidRPr="000C6715">
              <w:rPr>
                <w:color w:val="000000"/>
              </w:rPr>
              <w:t>147</w:t>
            </w:r>
          </w:p>
        </w:tc>
        <w:tc>
          <w:tcPr>
            <w:tcW w:w="2410" w:type="dxa"/>
            <w:noWrap/>
            <w:vAlign w:val="bottom"/>
            <w:hideMark/>
          </w:tcPr>
          <w:p w:rsidR="005136A1" w:rsidRPr="000C6715" w:rsidRDefault="005136A1" w:rsidP="00AE5A0B">
            <w:pPr>
              <w:spacing w:after="0"/>
              <w:rPr>
                <w:color w:val="000000"/>
              </w:rPr>
            </w:pPr>
            <w:r w:rsidRPr="000C6715">
              <w:rPr>
                <w:color w:val="000000"/>
              </w:rPr>
              <w:t>-1.34 (-2.65,-0.03)</w:t>
            </w:r>
          </w:p>
        </w:tc>
        <w:tc>
          <w:tcPr>
            <w:tcW w:w="850" w:type="dxa"/>
            <w:noWrap/>
            <w:vAlign w:val="bottom"/>
            <w:hideMark/>
          </w:tcPr>
          <w:p w:rsidR="005136A1" w:rsidRPr="000C6715" w:rsidRDefault="005136A1" w:rsidP="00AE5A0B">
            <w:pPr>
              <w:spacing w:after="0"/>
              <w:jc w:val="right"/>
              <w:rPr>
                <w:color w:val="000000"/>
              </w:rPr>
            </w:pPr>
            <w:r w:rsidRPr="000C6715">
              <w:rPr>
                <w:color w:val="000000"/>
              </w:rPr>
              <w:t>0.045</w:t>
            </w:r>
          </w:p>
        </w:tc>
        <w:tc>
          <w:tcPr>
            <w:tcW w:w="709" w:type="dxa"/>
            <w:noWrap/>
            <w:vAlign w:val="bottom"/>
            <w:hideMark/>
          </w:tcPr>
          <w:p w:rsidR="005136A1" w:rsidRPr="000C6715" w:rsidRDefault="005136A1" w:rsidP="00AE5A0B">
            <w:pPr>
              <w:spacing w:after="0"/>
              <w:jc w:val="right"/>
              <w:rPr>
                <w:color w:val="000000"/>
              </w:rPr>
            </w:pPr>
            <w:r w:rsidRPr="000C6715">
              <w:rPr>
                <w:color w:val="000000"/>
              </w:rPr>
              <w:t>90</w:t>
            </w:r>
          </w:p>
        </w:tc>
        <w:tc>
          <w:tcPr>
            <w:tcW w:w="2410" w:type="dxa"/>
            <w:noWrap/>
            <w:vAlign w:val="bottom"/>
            <w:hideMark/>
          </w:tcPr>
          <w:p w:rsidR="005136A1" w:rsidRPr="000C6715" w:rsidRDefault="005136A1" w:rsidP="00AE5A0B">
            <w:pPr>
              <w:spacing w:after="0"/>
              <w:rPr>
                <w:color w:val="000000"/>
              </w:rPr>
            </w:pPr>
            <w:r w:rsidRPr="000C6715">
              <w:rPr>
                <w:color w:val="000000"/>
              </w:rPr>
              <w:t>-0.80 (-2.12,0.52)</w:t>
            </w:r>
          </w:p>
        </w:tc>
        <w:tc>
          <w:tcPr>
            <w:tcW w:w="992" w:type="dxa"/>
            <w:noWrap/>
            <w:vAlign w:val="bottom"/>
            <w:hideMark/>
          </w:tcPr>
          <w:p w:rsidR="005136A1" w:rsidRPr="000C6715" w:rsidRDefault="005136A1" w:rsidP="00AE5A0B">
            <w:pPr>
              <w:spacing w:after="0"/>
              <w:jc w:val="right"/>
              <w:rPr>
                <w:color w:val="000000"/>
              </w:rPr>
            </w:pPr>
            <w:r w:rsidRPr="000C6715">
              <w:rPr>
                <w:color w:val="000000"/>
              </w:rPr>
              <w:t>0.234</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DHEAS</w:t>
            </w:r>
          </w:p>
        </w:tc>
        <w:tc>
          <w:tcPr>
            <w:tcW w:w="567" w:type="dxa"/>
            <w:noWrap/>
            <w:vAlign w:val="bottom"/>
            <w:hideMark/>
          </w:tcPr>
          <w:p w:rsidR="005136A1" w:rsidRPr="000C6715" w:rsidRDefault="005136A1" w:rsidP="00AE5A0B">
            <w:pPr>
              <w:spacing w:after="0"/>
              <w:jc w:val="right"/>
              <w:rPr>
                <w:color w:val="000000"/>
              </w:rPr>
            </w:pPr>
            <w:r w:rsidRPr="000C6715">
              <w:rPr>
                <w:color w:val="000000"/>
              </w:rPr>
              <w:t>233</w:t>
            </w:r>
          </w:p>
        </w:tc>
        <w:tc>
          <w:tcPr>
            <w:tcW w:w="1985" w:type="dxa"/>
            <w:noWrap/>
            <w:vAlign w:val="bottom"/>
            <w:hideMark/>
          </w:tcPr>
          <w:p w:rsidR="005136A1" w:rsidRPr="0084222F" w:rsidRDefault="005136A1" w:rsidP="00AE5A0B">
            <w:pPr>
              <w:spacing w:after="0"/>
              <w:rPr>
                <w:color w:val="000000"/>
                <w:vertAlign w:val="superscript"/>
              </w:rPr>
            </w:pPr>
            <w:r w:rsidRPr="000C6715">
              <w:rPr>
                <w:color w:val="000000"/>
              </w:rPr>
              <w:t>0.83 (-0.15,1.80)</w:t>
            </w:r>
            <w:r>
              <w:rPr>
                <w:color w:val="000000"/>
                <w:vertAlign w:val="superscript"/>
              </w:rPr>
              <w:t>c</w:t>
            </w:r>
          </w:p>
        </w:tc>
        <w:tc>
          <w:tcPr>
            <w:tcW w:w="850" w:type="dxa"/>
            <w:noWrap/>
            <w:vAlign w:val="bottom"/>
            <w:hideMark/>
          </w:tcPr>
          <w:p w:rsidR="005136A1" w:rsidRPr="000C6715" w:rsidRDefault="005136A1" w:rsidP="00AE5A0B">
            <w:pPr>
              <w:spacing w:after="0"/>
              <w:jc w:val="right"/>
              <w:rPr>
                <w:color w:val="000000"/>
              </w:rPr>
            </w:pPr>
            <w:r w:rsidRPr="000C6715">
              <w:rPr>
                <w:color w:val="000000"/>
              </w:rPr>
              <w:t>0.095</w:t>
            </w:r>
          </w:p>
        </w:tc>
        <w:tc>
          <w:tcPr>
            <w:tcW w:w="709" w:type="dxa"/>
            <w:noWrap/>
            <w:vAlign w:val="bottom"/>
            <w:hideMark/>
          </w:tcPr>
          <w:p w:rsidR="005136A1" w:rsidRPr="000C6715" w:rsidRDefault="005136A1" w:rsidP="00AE5A0B">
            <w:pPr>
              <w:spacing w:after="0"/>
              <w:jc w:val="right"/>
              <w:rPr>
                <w:color w:val="000000"/>
              </w:rPr>
            </w:pPr>
            <w:r w:rsidRPr="000C6715">
              <w:rPr>
                <w:color w:val="000000"/>
              </w:rPr>
              <w:t>146</w:t>
            </w:r>
          </w:p>
        </w:tc>
        <w:tc>
          <w:tcPr>
            <w:tcW w:w="2410" w:type="dxa"/>
            <w:noWrap/>
            <w:vAlign w:val="bottom"/>
            <w:hideMark/>
          </w:tcPr>
          <w:p w:rsidR="005136A1" w:rsidRPr="000C6715" w:rsidRDefault="005136A1" w:rsidP="00AE5A0B">
            <w:pPr>
              <w:spacing w:after="0"/>
              <w:rPr>
                <w:color w:val="000000"/>
              </w:rPr>
            </w:pPr>
            <w:r w:rsidRPr="000C6715">
              <w:rPr>
                <w:color w:val="000000"/>
              </w:rPr>
              <w:t>1.75 (0.40,3.11)</w:t>
            </w:r>
          </w:p>
        </w:tc>
        <w:tc>
          <w:tcPr>
            <w:tcW w:w="850" w:type="dxa"/>
            <w:noWrap/>
            <w:vAlign w:val="bottom"/>
            <w:hideMark/>
          </w:tcPr>
          <w:p w:rsidR="005136A1" w:rsidRPr="000C6715" w:rsidRDefault="005136A1" w:rsidP="00AE5A0B">
            <w:pPr>
              <w:spacing w:after="0"/>
              <w:jc w:val="right"/>
              <w:rPr>
                <w:color w:val="000000"/>
              </w:rPr>
            </w:pPr>
            <w:r w:rsidRPr="000C6715">
              <w:rPr>
                <w:color w:val="000000"/>
              </w:rPr>
              <w:t>0.012</w:t>
            </w:r>
          </w:p>
        </w:tc>
        <w:tc>
          <w:tcPr>
            <w:tcW w:w="709" w:type="dxa"/>
            <w:noWrap/>
            <w:vAlign w:val="bottom"/>
            <w:hideMark/>
          </w:tcPr>
          <w:p w:rsidR="005136A1" w:rsidRPr="000C6715" w:rsidRDefault="005136A1" w:rsidP="00AE5A0B">
            <w:pPr>
              <w:spacing w:after="0"/>
              <w:jc w:val="right"/>
              <w:rPr>
                <w:color w:val="000000"/>
              </w:rPr>
            </w:pPr>
            <w:r w:rsidRPr="000C6715">
              <w:rPr>
                <w:color w:val="000000"/>
              </w:rPr>
              <w:t>87</w:t>
            </w:r>
          </w:p>
        </w:tc>
        <w:tc>
          <w:tcPr>
            <w:tcW w:w="2410" w:type="dxa"/>
            <w:noWrap/>
            <w:vAlign w:val="bottom"/>
            <w:hideMark/>
          </w:tcPr>
          <w:p w:rsidR="005136A1" w:rsidRPr="000C6715" w:rsidRDefault="005136A1" w:rsidP="00AE5A0B">
            <w:pPr>
              <w:spacing w:after="0"/>
              <w:rPr>
                <w:color w:val="000000"/>
              </w:rPr>
            </w:pPr>
            <w:r w:rsidRPr="000C6715">
              <w:rPr>
                <w:color w:val="000000"/>
              </w:rPr>
              <w:t>-0.37 (-1.69,0.95)</w:t>
            </w:r>
          </w:p>
        </w:tc>
        <w:tc>
          <w:tcPr>
            <w:tcW w:w="992" w:type="dxa"/>
            <w:noWrap/>
            <w:vAlign w:val="bottom"/>
            <w:hideMark/>
          </w:tcPr>
          <w:p w:rsidR="005136A1" w:rsidRPr="000C6715" w:rsidRDefault="005136A1" w:rsidP="00AE5A0B">
            <w:pPr>
              <w:spacing w:after="0"/>
              <w:jc w:val="right"/>
              <w:rPr>
                <w:color w:val="000000"/>
              </w:rPr>
            </w:pPr>
            <w:r w:rsidRPr="000C6715">
              <w:rPr>
                <w:color w:val="000000"/>
              </w:rPr>
              <w:t>0.578</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 xml:space="preserve">Cortisol:DHEAS </w:t>
            </w:r>
          </w:p>
        </w:tc>
        <w:tc>
          <w:tcPr>
            <w:tcW w:w="567" w:type="dxa"/>
            <w:noWrap/>
            <w:vAlign w:val="bottom"/>
            <w:hideMark/>
          </w:tcPr>
          <w:p w:rsidR="005136A1" w:rsidRPr="000C6715" w:rsidRDefault="005136A1" w:rsidP="00AE5A0B">
            <w:pPr>
              <w:spacing w:after="0"/>
              <w:jc w:val="right"/>
              <w:rPr>
                <w:color w:val="000000"/>
              </w:rPr>
            </w:pPr>
            <w:r w:rsidRPr="000C6715">
              <w:rPr>
                <w:color w:val="000000"/>
              </w:rPr>
              <w:t>231</w:t>
            </w:r>
          </w:p>
        </w:tc>
        <w:tc>
          <w:tcPr>
            <w:tcW w:w="1985" w:type="dxa"/>
            <w:noWrap/>
            <w:vAlign w:val="bottom"/>
            <w:hideMark/>
          </w:tcPr>
          <w:p w:rsidR="005136A1" w:rsidRPr="000C6715" w:rsidRDefault="005136A1" w:rsidP="00AE5A0B">
            <w:pPr>
              <w:spacing w:after="0"/>
              <w:rPr>
                <w:color w:val="000000"/>
              </w:rPr>
            </w:pPr>
            <w:r w:rsidRPr="000C6715">
              <w:rPr>
                <w:color w:val="000000"/>
              </w:rPr>
              <w:t>-0.99 (-1.94,-0.04)</w:t>
            </w:r>
          </w:p>
        </w:tc>
        <w:tc>
          <w:tcPr>
            <w:tcW w:w="850" w:type="dxa"/>
            <w:noWrap/>
            <w:vAlign w:val="bottom"/>
            <w:hideMark/>
          </w:tcPr>
          <w:p w:rsidR="005136A1" w:rsidRPr="000C6715" w:rsidRDefault="005136A1" w:rsidP="00AE5A0B">
            <w:pPr>
              <w:spacing w:after="0"/>
              <w:jc w:val="right"/>
              <w:rPr>
                <w:color w:val="000000"/>
              </w:rPr>
            </w:pPr>
            <w:r w:rsidRPr="000C6715">
              <w:rPr>
                <w:color w:val="000000"/>
              </w:rPr>
              <w:t>0.042</w:t>
            </w:r>
          </w:p>
        </w:tc>
        <w:tc>
          <w:tcPr>
            <w:tcW w:w="709" w:type="dxa"/>
            <w:noWrap/>
            <w:vAlign w:val="bottom"/>
            <w:hideMark/>
          </w:tcPr>
          <w:p w:rsidR="005136A1" w:rsidRPr="000C6715" w:rsidRDefault="005136A1" w:rsidP="00AE5A0B">
            <w:pPr>
              <w:spacing w:after="0"/>
              <w:jc w:val="right"/>
              <w:rPr>
                <w:color w:val="000000"/>
              </w:rPr>
            </w:pPr>
            <w:r w:rsidRPr="000C6715">
              <w:rPr>
                <w:color w:val="000000"/>
              </w:rPr>
              <w:t>145</w:t>
            </w:r>
          </w:p>
        </w:tc>
        <w:tc>
          <w:tcPr>
            <w:tcW w:w="2410" w:type="dxa"/>
            <w:noWrap/>
            <w:vAlign w:val="bottom"/>
            <w:hideMark/>
          </w:tcPr>
          <w:p w:rsidR="005136A1" w:rsidRPr="000C6715" w:rsidRDefault="005136A1" w:rsidP="00AE5A0B">
            <w:pPr>
              <w:spacing w:after="0"/>
              <w:rPr>
                <w:color w:val="000000"/>
              </w:rPr>
            </w:pPr>
            <w:r w:rsidRPr="000C6715">
              <w:rPr>
                <w:color w:val="000000"/>
              </w:rPr>
              <w:t>-1.41 (-2.71,-0.12)</w:t>
            </w:r>
          </w:p>
        </w:tc>
        <w:tc>
          <w:tcPr>
            <w:tcW w:w="850" w:type="dxa"/>
            <w:noWrap/>
            <w:vAlign w:val="bottom"/>
            <w:hideMark/>
          </w:tcPr>
          <w:p w:rsidR="005136A1" w:rsidRPr="000C6715" w:rsidRDefault="005136A1" w:rsidP="00AE5A0B">
            <w:pPr>
              <w:spacing w:after="0"/>
              <w:jc w:val="right"/>
              <w:rPr>
                <w:color w:val="000000"/>
              </w:rPr>
            </w:pPr>
            <w:r w:rsidRPr="000C6715">
              <w:rPr>
                <w:color w:val="000000"/>
              </w:rPr>
              <w:t>0.033</w:t>
            </w:r>
          </w:p>
        </w:tc>
        <w:tc>
          <w:tcPr>
            <w:tcW w:w="709" w:type="dxa"/>
            <w:noWrap/>
            <w:vAlign w:val="bottom"/>
            <w:hideMark/>
          </w:tcPr>
          <w:p w:rsidR="005136A1" w:rsidRPr="000C6715" w:rsidRDefault="005136A1" w:rsidP="00AE5A0B">
            <w:pPr>
              <w:spacing w:after="0"/>
              <w:jc w:val="right"/>
              <w:rPr>
                <w:color w:val="000000"/>
              </w:rPr>
            </w:pPr>
            <w:r w:rsidRPr="000C6715">
              <w:rPr>
                <w:color w:val="000000"/>
              </w:rPr>
              <w:t>86</w:t>
            </w:r>
          </w:p>
        </w:tc>
        <w:tc>
          <w:tcPr>
            <w:tcW w:w="2410" w:type="dxa"/>
            <w:noWrap/>
            <w:vAlign w:val="bottom"/>
            <w:hideMark/>
          </w:tcPr>
          <w:p w:rsidR="005136A1" w:rsidRPr="000C6715" w:rsidRDefault="005136A1" w:rsidP="00AE5A0B">
            <w:pPr>
              <w:spacing w:after="0"/>
              <w:rPr>
                <w:color w:val="000000"/>
              </w:rPr>
            </w:pPr>
            <w:r w:rsidRPr="000C6715">
              <w:rPr>
                <w:color w:val="000000"/>
              </w:rPr>
              <w:t>-0.34 (-1.71,1.03)</w:t>
            </w:r>
          </w:p>
        </w:tc>
        <w:tc>
          <w:tcPr>
            <w:tcW w:w="992" w:type="dxa"/>
            <w:noWrap/>
            <w:vAlign w:val="bottom"/>
            <w:hideMark/>
          </w:tcPr>
          <w:p w:rsidR="005136A1" w:rsidRPr="000C6715" w:rsidRDefault="005136A1" w:rsidP="00AE5A0B">
            <w:pPr>
              <w:spacing w:after="0"/>
              <w:jc w:val="right"/>
              <w:rPr>
                <w:color w:val="000000"/>
              </w:rPr>
            </w:pPr>
            <w:r w:rsidRPr="000C6715">
              <w:rPr>
                <w:color w:val="000000"/>
              </w:rPr>
              <w:t>0.626</w:t>
            </w:r>
          </w:p>
        </w:tc>
      </w:tr>
      <w:tr w:rsidR="005136A1" w:rsidRPr="000C6715" w:rsidTr="00AE5A0B">
        <w:trPr>
          <w:trHeight w:val="57"/>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Telomere length</w:t>
            </w:r>
          </w:p>
        </w:tc>
        <w:tc>
          <w:tcPr>
            <w:tcW w:w="567"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251</w:t>
            </w:r>
          </w:p>
        </w:tc>
        <w:tc>
          <w:tcPr>
            <w:tcW w:w="1985" w:type="dxa"/>
            <w:tcBorders>
              <w:bottom w:val="nil"/>
            </w:tcBorders>
            <w:noWrap/>
            <w:vAlign w:val="bottom"/>
            <w:hideMark/>
          </w:tcPr>
          <w:p w:rsidR="005136A1" w:rsidRPr="0084222F" w:rsidRDefault="005136A1" w:rsidP="00AE5A0B">
            <w:pPr>
              <w:spacing w:after="0"/>
              <w:rPr>
                <w:color w:val="000000"/>
                <w:vertAlign w:val="superscript"/>
              </w:rPr>
            </w:pPr>
            <w:r w:rsidRPr="000C6715">
              <w:rPr>
                <w:color w:val="000000"/>
              </w:rPr>
              <w:t>0.99 (0.06,1.92)</w:t>
            </w:r>
            <w:r>
              <w:rPr>
                <w:color w:val="000000"/>
                <w:vertAlign w:val="superscript"/>
              </w:rPr>
              <w:t>d</w:t>
            </w:r>
          </w:p>
        </w:tc>
        <w:tc>
          <w:tcPr>
            <w:tcW w:w="850"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0.037</w:t>
            </w:r>
          </w:p>
        </w:tc>
        <w:tc>
          <w:tcPr>
            <w:tcW w:w="709"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157</w:t>
            </w:r>
          </w:p>
        </w:tc>
        <w:tc>
          <w:tcPr>
            <w:tcW w:w="2410" w:type="dxa"/>
            <w:tcBorders>
              <w:bottom w:val="nil"/>
            </w:tcBorders>
            <w:noWrap/>
            <w:vAlign w:val="bottom"/>
            <w:hideMark/>
          </w:tcPr>
          <w:p w:rsidR="005136A1" w:rsidRPr="000C6715" w:rsidRDefault="005136A1" w:rsidP="00AE5A0B">
            <w:pPr>
              <w:spacing w:after="0"/>
              <w:rPr>
                <w:color w:val="000000"/>
              </w:rPr>
            </w:pPr>
            <w:r w:rsidRPr="000C6715">
              <w:rPr>
                <w:color w:val="000000"/>
              </w:rPr>
              <w:t>1.97 (0.63,3.31)</w:t>
            </w:r>
          </w:p>
        </w:tc>
        <w:tc>
          <w:tcPr>
            <w:tcW w:w="850"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0.004</w:t>
            </w:r>
          </w:p>
        </w:tc>
        <w:tc>
          <w:tcPr>
            <w:tcW w:w="709"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94</w:t>
            </w:r>
          </w:p>
        </w:tc>
        <w:tc>
          <w:tcPr>
            <w:tcW w:w="2410" w:type="dxa"/>
            <w:tcBorders>
              <w:bottom w:val="nil"/>
            </w:tcBorders>
            <w:noWrap/>
            <w:vAlign w:val="bottom"/>
            <w:hideMark/>
          </w:tcPr>
          <w:p w:rsidR="005136A1" w:rsidRPr="000C6715" w:rsidRDefault="005136A1" w:rsidP="00AE5A0B">
            <w:pPr>
              <w:spacing w:after="0"/>
              <w:rPr>
                <w:color w:val="000000"/>
              </w:rPr>
            </w:pPr>
            <w:r w:rsidRPr="000C6715">
              <w:rPr>
                <w:color w:val="000000"/>
              </w:rPr>
              <w:t>-0.20 (-1.42,1.02)</w:t>
            </w:r>
          </w:p>
        </w:tc>
        <w:tc>
          <w:tcPr>
            <w:tcW w:w="992" w:type="dxa"/>
            <w:tcBorders>
              <w:bottom w:val="nil"/>
            </w:tcBorders>
            <w:noWrap/>
            <w:vAlign w:val="bottom"/>
            <w:hideMark/>
          </w:tcPr>
          <w:p w:rsidR="005136A1" w:rsidRPr="000C6715" w:rsidRDefault="005136A1" w:rsidP="00AE5A0B">
            <w:pPr>
              <w:spacing w:after="0"/>
              <w:jc w:val="right"/>
              <w:rPr>
                <w:color w:val="000000"/>
              </w:rPr>
            </w:pPr>
            <w:r w:rsidRPr="000C6715">
              <w:rPr>
                <w:color w:val="000000"/>
              </w:rPr>
              <w:t>0.746</w:t>
            </w:r>
          </w:p>
        </w:tc>
      </w:tr>
      <w:tr w:rsidR="005136A1" w:rsidRPr="000C6715" w:rsidTr="00AE5A0B">
        <w:trPr>
          <w:trHeight w:val="265"/>
        </w:trPr>
        <w:tc>
          <w:tcPr>
            <w:tcW w:w="1862" w:type="dxa"/>
            <w:noWrap/>
            <w:vAlign w:val="bottom"/>
            <w:hideMark/>
          </w:tcPr>
          <w:p w:rsidR="005136A1" w:rsidRPr="004409D0" w:rsidRDefault="005136A1" w:rsidP="00AE5A0B">
            <w:pPr>
              <w:spacing w:after="0" w:line="240" w:lineRule="auto"/>
              <w:rPr>
                <w:rFonts w:ascii="Arial" w:hAnsi="Arial" w:cs="Arial"/>
                <w:color w:val="000000"/>
                <w:sz w:val="20"/>
                <w:szCs w:val="20"/>
                <w:lang w:eastAsia="en-GB"/>
              </w:rPr>
            </w:pPr>
          </w:p>
        </w:tc>
        <w:tc>
          <w:tcPr>
            <w:tcW w:w="3402" w:type="dxa"/>
            <w:gridSpan w:val="3"/>
            <w:tcBorders>
              <w:top w:val="nil"/>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b</w:t>
            </w:r>
            <w:r w:rsidRPr="004409D0">
              <w:rPr>
                <w:rFonts w:ascii="Arial" w:hAnsi="Arial" w:cs="Arial"/>
                <w:b/>
                <w:bCs/>
                <w:color w:val="000000"/>
                <w:sz w:val="20"/>
                <w:szCs w:val="20"/>
                <w:lang w:eastAsia="en-GB"/>
              </w:rPr>
              <w:t xml:space="preserve"> (ALL)</w:t>
            </w:r>
          </w:p>
        </w:tc>
        <w:tc>
          <w:tcPr>
            <w:tcW w:w="3969" w:type="dxa"/>
            <w:gridSpan w:val="3"/>
            <w:tcBorders>
              <w:top w:val="nil"/>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b</w:t>
            </w:r>
            <w:r w:rsidRPr="004409D0">
              <w:rPr>
                <w:rFonts w:ascii="Arial" w:hAnsi="Arial" w:cs="Arial"/>
                <w:b/>
                <w:bCs/>
                <w:color w:val="000000"/>
                <w:sz w:val="20"/>
                <w:szCs w:val="20"/>
                <w:lang w:eastAsia="en-GB"/>
              </w:rPr>
              <w:t xml:space="preserve"> (MEN)</w:t>
            </w:r>
          </w:p>
        </w:tc>
        <w:tc>
          <w:tcPr>
            <w:tcW w:w="4111" w:type="dxa"/>
            <w:gridSpan w:val="3"/>
            <w:tcBorders>
              <w:top w:val="nil"/>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b</w:t>
            </w:r>
            <w:r w:rsidRPr="004409D0">
              <w:rPr>
                <w:rFonts w:ascii="Arial" w:hAnsi="Arial" w:cs="Arial"/>
                <w:b/>
                <w:bCs/>
                <w:color w:val="000000"/>
                <w:sz w:val="20"/>
                <w:szCs w:val="20"/>
                <w:lang w:eastAsia="en-GB"/>
              </w:rPr>
              <w:t xml:space="preserve"> (WOMEN)</w:t>
            </w:r>
          </w:p>
        </w:tc>
      </w:tr>
      <w:tr w:rsidR="005136A1" w:rsidRPr="000C6715" w:rsidTr="00AE5A0B">
        <w:trPr>
          <w:trHeight w:val="300"/>
        </w:trPr>
        <w:tc>
          <w:tcPr>
            <w:tcW w:w="1862" w:type="dxa"/>
            <w:noWrap/>
            <w:vAlign w:val="bottom"/>
            <w:hideMark/>
          </w:tcPr>
          <w:p w:rsidR="005136A1" w:rsidRPr="004409D0" w:rsidRDefault="005136A1" w:rsidP="00AE5A0B">
            <w:pPr>
              <w:spacing w:after="0" w:line="240" w:lineRule="auto"/>
              <w:rPr>
                <w:rFonts w:ascii="Arial" w:hAnsi="Arial" w:cs="Arial"/>
                <w:color w:val="000000"/>
                <w:sz w:val="20"/>
                <w:szCs w:val="20"/>
                <w:lang w:eastAsia="en-GB"/>
              </w:rPr>
            </w:pPr>
          </w:p>
        </w:tc>
        <w:tc>
          <w:tcPr>
            <w:tcW w:w="567"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1985"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c>
          <w:tcPr>
            <w:tcW w:w="709"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241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c>
          <w:tcPr>
            <w:tcW w:w="709"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N</w:t>
            </w:r>
          </w:p>
        </w:tc>
        <w:tc>
          <w:tcPr>
            <w:tcW w:w="2410"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Reg coef (95% CI)</w:t>
            </w:r>
          </w:p>
        </w:tc>
        <w:tc>
          <w:tcPr>
            <w:tcW w:w="992" w:type="dxa"/>
            <w:tcBorders>
              <w:top w:val="single" w:sz="4" w:space="0" w:color="auto"/>
              <w:bottom w:val="single" w:sz="4" w:space="0" w:color="auto"/>
            </w:tcBorders>
            <w:noWrap/>
            <w:vAlign w:val="center"/>
            <w:hideMark/>
          </w:tcPr>
          <w:p w:rsidR="005136A1" w:rsidRPr="004409D0" w:rsidRDefault="005136A1" w:rsidP="00AE5A0B">
            <w:pPr>
              <w:spacing w:after="0" w:line="240" w:lineRule="auto"/>
              <w:jc w:val="center"/>
              <w:rPr>
                <w:rFonts w:ascii="Arial" w:hAnsi="Arial" w:cs="Arial"/>
                <w:b/>
                <w:bCs/>
                <w:color w:val="000000"/>
                <w:sz w:val="20"/>
                <w:szCs w:val="20"/>
                <w:lang w:eastAsia="en-GB"/>
              </w:rPr>
            </w:pPr>
            <w:r w:rsidRPr="004409D0">
              <w:rPr>
                <w:rFonts w:ascii="Arial" w:hAnsi="Arial" w:cs="Arial"/>
                <w:b/>
                <w:bCs/>
                <w:color w:val="000000"/>
                <w:sz w:val="20"/>
                <w:szCs w:val="20"/>
                <w:lang w:eastAsia="en-GB"/>
              </w:rPr>
              <w:t>p</w:t>
            </w:r>
          </w:p>
        </w:tc>
      </w:tr>
      <w:tr w:rsidR="005136A1" w:rsidRPr="000C6715" w:rsidTr="00AE5A0B">
        <w:trPr>
          <w:trHeight w:val="300"/>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 xml:space="preserve">IL-1β </w:t>
            </w:r>
          </w:p>
        </w:tc>
        <w:tc>
          <w:tcPr>
            <w:tcW w:w="567" w:type="dxa"/>
            <w:noWrap/>
            <w:vAlign w:val="bottom"/>
            <w:hideMark/>
          </w:tcPr>
          <w:p w:rsidR="005136A1" w:rsidRPr="000C6715" w:rsidRDefault="005136A1" w:rsidP="00AE5A0B">
            <w:pPr>
              <w:spacing w:after="0"/>
              <w:jc w:val="right"/>
              <w:rPr>
                <w:color w:val="000000"/>
              </w:rPr>
            </w:pPr>
            <w:r w:rsidRPr="000C6715">
              <w:rPr>
                <w:color w:val="000000"/>
              </w:rPr>
              <w:t>129</w:t>
            </w:r>
          </w:p>
        </w:tc>
        <w:tc>
          <w:tcPr>
            <w:tcW w:w="1985" w:type="dxa"/>
            <w:noWrap/>
            <w:vAlign w:val="bottom"/>
            <w:hideMark/>
          </w:tcPr>
          <w:p w:rsidR="005136A1" w:rsidRPr="000C6715" w:rsidRDefault="005136A1" w:rsidP="00AE5A0B">
            <w:pPr>
              <w:spacing w:after="0"/>
              <w:rPr>
                <w:color w:val="000000"/>
              </w:rPr>
            </w:pPr>
            <w:r w:rsidRPr="000C6715">
              <w:rPr>
                <w:color w:val="000000"/>
              </w:rPr>
              <w:t>-2.18 (-3.47,-0.88)</w:t>
            </w:r>
          </w:p>
        </w:tc>
        <w:tc>
          <w:tcPr>
            <w:tcW w:w="850" w:type="dxa"/>
            <w:noWrap/>
            <w:vAlign w:val="bottom"/>
            <w:hideMark/>
          </w:tcPr>
          <w:p w:rsidR="005136A1" w:rsidRPr="000C6715" w:rsidRDefault="005136A1" w:rsidP="00AE5A0B">
            <w:pPr>
              <w:spacing w:after="0"/>
              <w:jc w:val="right"/>
              <w:rPr>
                <w:color w:val="000000"/>
              </w:rPr>
            </w:pPr>
            <w:r w:rsidRPr="000C6715">
              <w:rPr>
                <w:color w:val="000000"/>
              </w:rPr>
              <w:t>0.001</w:t>
            </w:r>
          </w:p>
        </w:tc>
        <w:tc>
          <w:tcPr>
            <w:tcW w:w="709" w:type="dxa"/>
            <w:noWrap/>
            <w:vAlign w:val="bottom"/>
            <w:hideMark/>
          </w:tcPr>
          <w:p w:rsidR="005136A1" w:rsidRPr="000C6715" w:rsidRDefault="005136A1" w:rsidP="00AE5A0B">
            <w:pPr>
              <w:spacing w:after="0"/>
              <w:jc w:val="right"/>
              <w:rPr>
                <w:color w:val="000000"/>
              </w:rPr>
            </w:pPr>
            <w:r w:rsidRPr="000C6715">
              <w:rPr>
                <w:color w:val="000000"/>
              </w:rPr>
              <w:t>85</w:t>
            </w:r>
          </w:p>
        </w:tc>
        <w:tc>
          <w:tcPr>
            <w:tcW w:w="2410" w:type="dxa"/>
            <w:noWrap/>
            <w:vAlign w:val="bottom"/>
            <w:hideMark/>
          </w:tcPr>
          <w:p w:rsidR="005136A1" w:rsidRPr="000C6715" w:rsidRDefault="005136A1" w:rsidP="00AE5A0B">
            <w:pPr>
              <w:spacing w:after="0"/>
              <w:rPr>
                <w:color w:val="000000"/>
              </w:rPr>
            </w:pPr>
            <w:r w:rsidRPr="000C6715">
              <w:rPr>
                <w:color w:val="000000"/>
              </w:rPr>
              <w:t>-2.12 (-3.86,-0.38)</w:t>
            </w:r>
          </w:p>
        </w:tc>
        <w:tc>
          <w:tcPr>
            <w:tcW w:w="850" w:type="dxa"/>
            <w:noWrap/>
            <w:vAlign w:val="bottom"/>
            <w:hideMark/>
          </w:tcPr>
          <w:p w:rsidR="005136A1" w:rsidRPr="000C6715" w:rsidRDefault="005136A1" w:rsidP="00AE5A0B">
            <w:pPr>
              <w:spacing w:after="0"/>
              <w:jc w:val="right"/>
              <w:rPr>
                <w:color w:val="000000"/>
              </w:rPr>
            </w:pPr>
            <w:r w:rsidRPr="000C6715">
              <w:rPr>
                <w:color w:val="000000"/>
              </w:rPr>
              <w:t>0.018</w:t>
            </w:r>
          </w:p>
        </w:tc>
        <w:tc>
          <w:tcPr>
            <w:tcW w:w="709" w:type="dxa"/>
            <w:noWrap/>
            <w:vAlign w:val="bottom"/>
            <w:hideMark/>
          </w:tcPr>
          <w:p w:rsidR="005136A1" w:rsidRPr="000C6715" w:rsidRDefault="005136A1" w:rsidP="00AE5A0B">
            <w:pPr>
              <w:spacing w:after="0"/>
              <w:jc w:val="right"/>
              <w:rPr>
                <w:color w:val="000000"/>
              </w:rPr>
            </w:pPr>
            <w:r w:rsidRPr="000C6715">
              <w:rPr>
                <w:color w:val="000000"/>
              </w:rPr>
              <w:t>44</w:t>
            </w:r>
          </w:p>
        </w:tc>
        <w:tc>
          <w:tcPr>
            <w:tcW w:w="2410" w:type="dxa"/>
            <w:noWrap/>
            <w:vAlign w:val="bottom"/>
            <w:hideMark/>
          </w:tcPr>
          <w:p w:rsidR="005136A1" w:rsidRPr="000C6715" w:rsidRDefault="005136A1" w:rsidP="00AE5A0B">
            <w:pPr>
              <w:spacing w:after="0"/>
              <w:rPr>
                <w:color w:val="000000"/>
              </w:rPr>
            </w:pPr>
            <w:r w:rsidRPr="000C6715">
              <w:rPr>
                <w:color w:val="000000"/>
              </w:rPr>
              <w:t>-2.30 (-4.38,-0.22)</w:t>
            </w:r>
          </w:p>
        </w:tc>
        <w:tc>
          <w:tcPr>
            <w:tcW w:w="992" w:type="dxa"/>
            <w:noWrap/>
            <w:vAlign w:val="bottom"/>
            <w:hideMark/>
          </w:tcPr>
          <w:p w:rsidR="005136A1" w:rsidRPr="000C6715" w:rsidRDefault="005136A1" w:rsidP="00AE5A0B">
            <w:pPr>
              <w:spacing w:after="0"/>
              <w:jc w:val="right"/>
              <w:rPr>
                <w:color w:val="000000"/>
              </w:rPr>
            </w:pPr>
            <w:r w:rsidRPr="000C6715">
              <w:rPr>
                <w:color w:val="000000"/>
              </w:rPr>
              <w:t>0.031</w:t>
            </w:r>
          </w:p>
        </w:tc>
      </w:tr>
      <w:tr w:rsidR="005136A1" w:rsidRPr="000C6715" w:rsidTr="00AE5A0B">
        <w:trPr>
          <w:trHeight w:val="300"/>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IL-6</w:t>
            </w:r>
          </w:p>
        </w:tc>
        <w:tc>
          <w:tcPr>
            <w:tcW w:w="567" w:type="dxa"/>
            <w:noWrap/>
            <w:vAlign w:val="bottom"/>
            <w:hideMark/>
          </w:tcPr>
          <w:p w:rsidR="005136A1" w:rsidRPr="000C6715" w:rsidRDefault="005136A1" w:rsidP="00AE5A0B">
            <w:pPr>
              <w:spacing w:after="0"/>
              <w:jc w:val="right"/>
              <w:rPr>
                <w:color w:val="000000"/>
              </w:rPr>
            </w:pPr>
            <w:r w:rsidRPr="000C6715">
              <w:rPr>
                <w:color w:val="000000"/>
              </w:rPr>
              <w:t>142</w:t>
            </w:r>
          </w:p>
        </w:tc>
        <w:tc>
          <w:tcPr>
            <w:tcW w:w="1985" w:type="dxa"/>
            <w:noWrap/>
            <w:vAlign w:val="bottom"/>
            <w:hideMark/>
          </w:tcPr>
          <w:p w:rsidR="005136A1" w:rsidRPr="000C6715" w:rsidRDefault="005136A1" w:rsidP="00AE5A0B">
            <w:pPr>
              <w:spacing w:after="0"/>
              <w:rPr>
                <w:color w:val="000000"/>
              </w:rPr>
            </w:pPr>
            <w:r w:rsidRPr="000C6715">
              <w:rPr>
                <w:color w:val="000000"/>
              </w:rPr>
              <w:t>1.04 (-0.18,2.26)</w:t>
            </w:r>
          </w:p>
        </w:tc>
        <w:tc>
          <w:tcPr>
            <w:tcW w:w="850" w:type="dxa"/>
            <w:noWrap/>
            <w:vAlign w:val="bottom"/>
            <w:hideMark/>
          </w:tcPr>
          <w:p w:rsidR="005136A1" w:rsidRPr="000C6715" w:rsidRDefault="005136A1" w:rsidP="00AE5A0B">
            <w:pPr>
              <w:spacing w:after="0"/>
              <w:jc w:val="right"/>
              <w:rPr>
                <w:color w:val="000000"/>
              </w:rPr>
            </w:pPr>
            <w:r w:rsidRPr="000C6715">
              <w:rPr>
                <w:color w:val="000000"/>
              </w:rPr>
              <w:t>0.093</w:t>
            </w:r>
          </w:p>
        </w:tc>
        <w:tc>
          <w:tcPr>
            <w:tcW w:w="709" w:type="dxa"/>
            <w:noWrap/>
            <w:vAlign w:val="bottom"/>
            <w:hideMark/>
          </w:tcPr>
          <w:p w:rsidR="005136A1" w:rsidRPr="000C6715" w:rsidRDefault="005136A1" w:rsidP="00AE5A0B">
            <w:pPr>
              <w:spacing w:after="0"/>
              <w:jc w:val="right"/>
              <w:rPr>
                <w:color w:val="000000"/>
              </w:rPr>
            </w:pPr>
            <w:r w:rsidRPr="000C6715">
              <w:rPr>
                <w:color w:val="000000"/>
              </w:rPr>
              <w:t>97</w:t>
            </w:r>
          </w:p>
        </w:tc>
        <w:tc>
          <w:tcPr>
            <w:tcW w:w="2410" w:type="dxa"/>
            <w:noWrap/>
            <w:vAlign w:val="bottom"/>
            <w:hideMark/>
          </w:tcPr>
          <w:p w:rsidR="005136A1" w:rsidRPr="000C6715" w:rsidRDefault="005136A1" w:rsidP="00AE5A0B">
            <w:pPr>
              <w:spacing w:after="0"/>
              <w:rPr>
                <w:color w:val="000000"/>
              </w:rPr>
            </w:pPr>
            <w:r w:rsidRPr="000C6715">
              <w:rPr>
                <w:color w:val="000000"/>
              </w:rPr>
              <w:t>0.94 (-0.74,2.62)</w:t>
            </w:r>
          </w:p>
        </w:tc>
        <w:tc>
          <w:tcPr>
            <w:tcW w:w="850" w:type="dxa"/>
            <w:noWrap/>
            <w:vAlign w:val="bottom"/>
            <w:hideMark/>
          </w:tcPr>
          <w:p w:rsidR="005136A1" w:rsidRPr="000C6715" w:rsidRDefault="005136A1" w:rsidP="00AE5A0B">
            <w:pPr>
              <w:spacing w:after="0"/>
              <w:jc w:val="right"/>
              <w:rPr>
                <w:color w:val="000000"/>
              </w:rPr>
            </w:pPr>
            <w:r w:rsidRPr="000C6715">
              <w:rPr>
                <w:color w:val="000000"/>
              </w:rPr>
              <w:t>0.268</w:t>
            </w:r>
          </w:p>
        </w:tc>
        <w:tc>
          <w:tcPr>
            <w:tcW w:w="709" w:type="dxa"/>
            <w:noWrap/>
            <w:vAlign w:val="bottom"/>
            <w:hideMark/>
          </w:tcPr>
          <w:p w:rsidR="005136A1" w:rsidRPr="000C6715" w:rsidRDefault="005136A1" w:rsidP="00AE5A0B">
            <w:pPr>
              <w:spacing w:after="0"/>
              <w:jc w:val="right"/>
              <w:rPr>
                <w:color w:val="000000"/>
              </w:rPr>
            </w:pPr>
            <w:r w:rsidRPr="000C6715">
              <w:rPr>
                <w:color w:val="000000"/>
              </w:rPr>
              <w:t>45</w:t>
            </w:r>
          </w:p>
        </w:tc>
        <w:tc>
          <w:tcPr>
            <w:tcW w:w="2410" w:type="dxa"/>
            <w:noWrap/>
            <w:vAlign w:val="bottom"/>
            <w:hideMark/>
          </w:tcPr>
          <w:p w:rsidR="005136A1" w:rsidRPr="000C6715" w:rsidRDefault="005136A1" w:rsidP="00AE5A0B">
            <w:pPr>
              <w:spacing w:after="0"/>
              <w:rPr>
                <w:color w:val="000000"/>
              </w:rPr>
            </w:pPr>
            <w:r w:rsidRPr="000C6715">
              <w:rPr>
                <w:color w:val="000000"/>
              </w:rPr>
              <w:t>1.11 (-0.90,3.11)</w:t>
            </w:r>
          </w:p>
        </w:tc>
        <w:tc>
          <w:tcPr>
            <w:tcW w:w="992" w:type="dxa"/>
            <w:noWrap/>
            <w:vAlign w:val="bottom"/>
            <w:hideMark/>
          </w:tcPr>
          <w:p w:rsidR="005136A1" w:rsidRPr="000C6715" w:rsidRDefault="005136A1" w:rsidP="00AE5A0B">
            <w:pPr>
              <w:spacing w:after="0"/>
              <w:jc w:val="right"/>
              <w:rPr>
                <w:color w:val="000000"/>
              </w:rPr>
            </w:pPr>
            <w:r w:rsidRPr="000C6715">
              <w:rPr>
                <w:color w:val="000000"/>
              </w:rPr>
              <w:t>0.27</w:t>
            </w:r>
            <w:r>
              <w:rPr>
                <w:color w:val="000000"/>
              </w:rPr>
              <w:t>0</w:t>
            </w:r>
          </w:p>
        </w:tc>
      </w:tr>
      <w:tr w:rsidR="005136A1" w:rsidRPr="000C6715" w:rsidTr="00AE5A0B">
        <w:trPr>
          <w:trHeight w:val="300"/>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Cortisol</w:t>
            </w:r>
          </w:p>
        </w:tc>
        <w:tc>
          <w:tcPr>
            <w:tcW w:w="567" w:type="dxa"/>
            <w:noWrap/>
            <w:vAlign w:val="bottom"/>
            <w:hideMark/>
          </w:tcPr>
          <w:p w:rsidR="005136A1" w:rsidRPr="000C6715" w:rsidRDefault="005136A1" w:rsidP="00AE5A0B">
            <w:pPr>
              <w:spacing w:after="0"/>
              <w:jc w:val="right"/>
              <w:rPr>
                <w:color w:val="000000"/>
              </w:rPr>
            </w:pPr>
            <w:r w:rsidRPr="000C6715">
              <w:rPr>
                <w:color w:val="000000"/>
              </w:rPr>
              <w:t>234</w:t>
            </w:r>
          </w:p>
        </w:tc>
        <w:tc>
          <w:tcPr>
            <w:tcW w:w="1985" w:type="dxa"/>
            <w:noWrap/>
            <w:vAlign w:val="bottom"/>
            <w:hideMark/>
          </w:tcPr>
          <w:p w:rsidR="005136A1" w:rsidRPr="000C6715" w:rsidRDefault="005136A1" w:rsidP="00AE5A0B">
            <w:pPr>
              <w:spacing w:after="0"/>
              <w:rPr>
                <w:color w:val="000000"/>
              </w:rPr>
            </w:pPr>
            <w:r w:rsidRPr="000C6715">
              <w:rPr>
                <w:color w:val="000000"/>
              </w:rPr>
              <w:t>-1.23 (-2.14,-0.31)</w:t>
            </w:r>
          </w:p>
        </w:tc>
        <w:tc>
          <w:tcPr>
            <w:tcW w:w="850" w:type="dxa"/>
            <w:noWrap/>
            <w:vAlign w:val="bottom"/>
            <w:hideMark/>
          </w:tcPr>
          <w:p w:rsidR="005136A1" w:rsidRPr="000C6715" w:rsidRDefault="005136A1" w:rsidP="00AE5A0B">
            <w:pPr>
              <w:spacing w:after="0"/>
              <w:jc w:val="right"/>
              <w:rPr>
                <w:color w:val="000000"/>
              </w:rPr>
            </w:pPr>
            <w:r w:rsidRPr="000C6715">
              <w:rPr>
                <w:color w:val="000000"/>
              </w:rPr>
              <w:t>0.009</w:t>
            </w:r>
          </w:p>
        </w:tc>
        <w:tc>
          <w:tcPr>
            <w:tcW w:w="709" w:type="dxa"/>
            <w:noWrap/>
            <w:vAlign w:val="bottom"/>
            <w:hideMark/>
          </w:tcPr>
          <w:p w:rsidR="005136A1" w:rsidRPr="000C6715" w:rsidRDefault="005136A1" w:rsidP="00AE5A0B">
            <w:pPr>
              <w:spacing w:after="0"/>
              <w:jc w:val="right"/>
              <w:rPr>
                <w:color w:val="000000"/>
              </w:rPr>
            </w:pPr>
            <w:r w:rsidRPr="000C6715">
              <w:rPr>
                <w:color w:val="000000"/>
              </w:rPr>
              <w:t>146</w:t>
            </w:r>
          </w:p>
        </w:tc>
        <w:tc>
          <w:tcPr>
            <w:tcW w:w="2410" w:type="dxa"/>
            <w:noWrap/>
            <w:vAlign w:val="bottom"/>
            <w:hideMark/>
          </w:tcPr>
          <w:p w:rsidR="005136A1" w:rsidRPr="000C6715" w:rsidRDefault="005136A1" w:rsidP="00AE5A0B">
            <w:pPr>
              <w:spacing w:after="0"/>
              <w:rPr>
                <w:color w:val="000000"/>
              </w:rPr>
            </w:pPr>
            <w:r w:rsidRPr="000C6715">
              <w:rPr>
                <w:color w:val="000000"/>
              </w:rPr>
              <w:t>-1.42 (-2.70,-0.13)</w:t>
            </w:r>
          </w:p>
        </w:tc>
        <w:tc>
          <w:tcPr>
            <w:tcW w:w="850" w:type="dxa"/>
            <w:noWrap/>
            <w:vAlign w:val="bottom"/>
            <w:hideMark/>
          </w:tcPr>
          <w:p w:rsidR="005136A1" w:rsidRPr="000C6715" w:rsidRDefault="005136A1" w:rsidP="00AE5A0B">
            <w:pPr>
              <w:spacing w:after="0"/>
              <w:jc w:val="right"/>
              <w:rPr>
                <w:color w:val="000000"/>
              </w:rPr>
            </w:pPr>
            <w:r w:rsidRPr="000C6715">
              <w:rPr>
                <w:color w:val="000000"/>
              </w:rPr>
              <w:t>0.031</w:t>
            </w:r>
          </w:p>
        </w:tc>
        <w:tc>
          <w:tcPr>
            <w:tcW w:w="709" w:type="dxa"/>
            <w:noWrap/>
            <w:vAlign w:val="bottom"/>
            <w:hideMark/>
          </w:tcPr>
          <w:p w:rsidR="005136A1" w:rsidRPr="000C6715" w:rsidRDefault="005136A1" w:rsidP="00AE5A0B">
            <w:pPr>
              <w:spacing w:after="0"/>
              <w:jc w:val="right"/>
              <w:rPr>
                <w:color w:val="000000"/>
              </w:rPr>
            </w:pPr>
            <w:r w:rsidRPr="000C6715">
              <w:rPr>
                <w:color w:val="000000"/>
              </w:rPr>
              <w:t>88</w:t>
            </w:r>
          </w:p>
        </w:tc>
        <w:tc>
          <w:tcPr>
            <w:tcW w:w="2410" w:type="dxa"/>
            <w:noWrap/>
            <w:vAlign w:val="bottom"/>
            <w:hideMark/>
          </w:tcPr>
          <w:p w:rsidR="005136A1" w:rsidRPr="000C6715" w:rsidRDefault="005136A1" w:rsidP="00AE5A0B">
            <w:pPr>
              <w:spacing w:after="0"/>
              <w:rPr>
                <w:color w:val="000000"/>
              </w:rPr>
            </w:pPr>
            <w:r w:rsidRPr="000C6715">
              <w:rPr>
                <w:color w:val="000000"/>
              </w:rPr>
              <w:t>-0.79 (-2.06,0.47)</w:t>
            </w:r>
          </w:p>
        </w:tc>
        <w:tc>
          <w:tcPr>
            <w:tcW w:w="992" w:type="dxa"/>
            <w:noWrap/>
            <w:vAlign w:val="bottom"/>
            <w:hideMark/>
          </w:tcPr>
          <w:p w:rsidR="005136A1" w:rsidRPr="000C6715" w:rsidRDefault="005136A1" w:rsidP="00AE5A0B">
            <w:pPr>
              <w:spacing w:after="0"/>
              <w:jc w:val="right"/>
              <w:rPr>
                <w:color w:val="000000"/>
              </w:rPr>
            </w:pPr>
            <w:r w:rsidRPr="000C6715">
              <w:rPr>
                <w:color w:val="000000"/>
              </w:rPr>
              <w:t>0.216</w:t>
            </w:r>
          </w:p>
        </w:tc>
      </w:tr>
      <w:tr w:rsidR="005136A1" w:rsidRPr="000C6715" w:rsidTr="00AE5A0B">
        <w:trPr>
          <w:trHeight w:val="300"/>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DHEAS</w:t>
            </w:r>
          </w:p>
        </w:tc>
        <w:tc>
          <w:tcPr>
            <w:tcW w:w="567" w:type="dxa"/>
            <w:noWrap/>
            <w:vAlign w:val="bottom"/>
            <w:hideMark/>
          </w:tcPr>
          <w:p w:rsidR="005136A1" w:rsidRPr="000C6715" w:rsidRDefault="005136A1" w:rsidP="00AE5A0B">
            <w:pPr>
              <w:spacing w:after="0"/>
              <w:jc w:val="right"/>
              <w:rPr>
                <w:color w:val="000000"/>
              </w:rPr>
            </w:pPr>
            <w:r w:rsidRPr="000C6715">
              <w:rPr>
                <w:color w:val="000000"/>
              </w:rPr>
              <w:t>230</w:t>
            </w:r>
          </w:p>
        </w:tc>
        <w:tc>
          <w:tcPr>
            <w:tcW w:w="1985" w:type="dxa"/>
            <w:noWrap/>
            <w:vAlign w:val="bottom"/>
            <w:hideMark/>
          </w:tcPr>
          <w:p w:rsidR="005136A1" w:rsidRPr="000C6715" w:rsidRDefault="005136A1" w:rsidP="00AE5A0B">
            <w:pPr>
              <w:spacing w:after="0"/>
              <w:rPr>
                <w:color w:val="000000"/>
              </w:rPr>
            </w:pPr>
            <w:r w:rsidRPr="000C6715">
              <w:rPr>
                <w:color w:val="000000"/>
              </w:rPr>
              <w:t>0.57 (-0.40,1.53)</w:t>
            </w:r>
          </w:p>
        </w:tc>
        <w:tc>
          <w:tcPr>
            <w:tcW w:w="850" w:type="dxa"/>
            <w:noWrap/>
            <w:vAlign w:val="bottom"/>
            <w:hideMark/>
          </w:tcPr>
          <w:p w:rsidR="005136A1" w:rsidRPr="000C6715" w:rsidRDefault="005136A1" w:rsidP="00AE5A0B">
            <w:pPr>
              <w:spacing w:after="0"/>
              <w:jc w:val="right"/>
              <w:rPr>
                <w:color w:val="000000"/>
              </w:rPr>
            </w:pPr>
            <w:r w:rsidRPr="000C6715">
              <w:rPr>
                <w:color w:val="000000"/>
              </w:rPr>
              <w:t>0.246</w:t>
            </w:r>
          </w:p>
        </w:tc>
        <w:tc>
          <w:tcPr>
            <w:tcW w:w="709" w:type="dxa"/>
            <w:noWrap/>
            <w:vAlign w:val="bottom"/>
            <w:hideMark/>
          </w:tcPr>
          <w:p w:rsidR="005136A1" w:rsidRPr="000C6715" w:rsidRDefault="005136A1" w:rsidP="00AE5A0B">
            <w:pPr>
              <w:spacing w:after="0"/>
              <w:jc w:val="right"/>
              <w:rPr>
                <w:color w:val="000000"/>
              </w:rPr>
            </w:pPr>
            <w:r w:rsidRPr="000C6715">
              <w:rPr>
                <w:color w:val="000000"/>
              </w:rPr>
              <w:t>145</w:t>
            </w:r>
          </w:p>
        </w:tc>
        <w:tc>
          <w:tcPr>
            <w:tcW w:w="2410" w:type="dxa"/>
            <w:noWrap/>
            <w:vAlign w:val="bottom"/>
            <w:hideMark/>
          </w:tcPr>
          <w:p w:rsidR="005136A1" w:rsidRPr="000C6715" w:rsidRDefault="005136A1" w:rsidP="00AE5A0B">
            <w:pPr>
              <w:spacing w:after="0"/>
              <w:rPr>
                <w:color w:val="000000"/>
              </w:rPr>
            </w:pPr>
            <w:r w:rsidRPr="000C6715">
              <w:rPr>
                <w:color w:val="000000"/>
              </w:rPr>
              <w:t>1.49 (0.12,2.85)</w:t>
            </w:r>
          </w:p>
        </w:tc>
        <w:tc>
          <w:tcPr>
            <w:tcW w:w="850" w:type="dxa"/>
            <w:noWrap/>
            <w:vAlign w:val="bottom"/>
            <w:hideMark/>
          </w:tcPr>
          <w:p w:rsidR="005136A1" w:rsidRPr="000C6715" w:rsidRDefault="005136A1" w:rsidP="00AE5A0B">
            <w:pPr>
              <w:spacing w:after="0"/>
              <w:jc w:val="right"/>
              <w:rPr>
                <w:color w:val="000000"/>
              </w:rPr>
            </w:pPr>
            <w:r w:rsidRPr="000C6715">
              <w:rPr>
                <w:color w:val="000000"/>
              </w:rPr>
              <w:t>0.033</w:t>
            </w:r>
          </w:p>
        </w:tc>
        <w:tc>
          <w:tcPr>
            <w:tcW w:w="709" w:type="dxa"/>
            <w:noWrap/>
            <w:vAlign w:val="bottom"/>
            <w:hideMark/>
          </w:tcPr>
          <w:p w:rsidR="005136A1" w:rsidRPr="000C6715" w:rsidRDefault="005136A1" w:rsidP="00AE5A0B">
            <w:pPr>
              <w:spacing w:after="0"/>
              <w:jc w:val="right"/>
              <w:rPr>
                <w:color w:val="000000"/>
              </w:rPr>
            </w:pPr>
            <w:r w:rsidRPr="000C6715">
              <w:rPr>
                <w:color w:val="000000"/>
              </w:rPr>
              <w:t>85</w:t>
            </w:r>
          </w:p>
        </w:tc>
        <w:tc>
          <w:tcPr>
            <w:tcW w:w="2410" w:type="dxa"/>
            <w:noWrap/>
            <w:vAlign w:val="bottom"/>
            <w:hideMark/>
          </w:tcPr>
          <w:p w:rsidR="005136A1" w:rsidRPr="000C6715" w:rsidRDefault="005136A1" w:rsidP="00AE5A0B">
            <w:pPr>
              <w:spacing w:after="0"/>
              <w:rPr>
                <w:color w:val="000000"/>
              </w:rPr>
            </w:pPr>
            <w:r w:rsidRPr="000C6715">
              <w:rPr>
                <w:color w:val="000000"/>
              </w:rPr>
              <w:t>-0.44 (-1.70,0.82)</w:t>
            </w:r>
          </w:p>
        </w:tc>
        <w:tc>
          <w:tcPr>
            <w:tcW w:w="992" w:type="dxa"/>
            <w:noWrap/>
            <w:vAlign w:val="bottom"/>
            <w:hideMark/>
          </w:tcPr>
          <w:p w:rsidR="005136A1" w:rsidRPr="000C6715" w:rsidRDefault="005136A1" w:rsidP="00AE5A0B">
            <w:pPr>
              <w:spacing w:after="0"/>
              <w:jc w:val="right"/>
              <w:rPr>
                <w:color w:val="000000"/>
              </w:rPr>
            </w:pPr>
            <w:r w:rsidRPr="000C6715">
              <w:rPr>
                <w:color w:val="000000"/>
              </w:rPr>
              <w:t>0.491</w:t>
            </w:r>
          </w:p>
        </w:tc>
      </w:tr>
      <w:tr w:rsidR="005136A1" w:rsidRPr="000C6715" w:rsidTr="00AE5A0B">
        <w:trPr>
          <w:trHeight w:val="300"/>
        </w:trPr>
        <w:tc>
          <w:tcPr>
            <w:tcW w:w="1862" w:type="dxa"/>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 xml:space="preserve">Cortisol:DHEAS </w:t>
            </w:r>
          </w:p>
        </w:tc>
        <w:tc>
          <w:tcPr>
            <w:tcW w:w="567" w:type="dxa"/>
            <w:noWrap/>
            <w:vAlign w:val="bottom"/>
            <w:hideMark/>
          </w:tcPr>
          <w:p w:rsidR="005136A1" w:rsidRPr="000C6715" w:rsidRDefault="005136A1" w:rsidP="00AE5A0B">
            <w:pPr>
              <w:spacing w:after="0"/>
              <w:jc w:val="right"/>
              <w:rPr>
                <w:color w:val="000000"/>
              </w:rPr>
            </w:pPr>
            <w:r w:rsidRPr="000C6715">
              <w:rPr>
                <w:color w:val="000000"/>
              </w:rPr>
              <w:t>228</w:t>
            </w:r>
          </w:p>
        </w:tc>
        <w:tc>
          <w:tcPr>
            <w:tcW w:w="1985" w:type="dxa"/>
            <w:noWrap/>
            <w:vAlign w:val="bottom"/>
            <w:hideMark/>
          </w:tcPr>
          <w:p w:rsidR="005136A1" w:rsidRPr="000C6715" w:rsidRDefault="005136A1" w:rsidP="00AE5A0B">
            <w:pPr>
              <w:spacing w:after="0"/>
              <w:rPr>
                <w:color w:val="000000"/>
              </w:rPr>
            </w:pPr>
            <w:r w:rsidRPr="000C6715">
              <w:rPr>
                <w:color w:val="000000"/>
              </w:rPr>
              <w:t>-0.81 (-1.74,0.13)</w:t>
            </w:r>
          </w:p>
        </w:tc>
        <w:tc>
          <w:tcPr>
            <w:tcW w:w="850" w:type="dxa"/>
            <w:noWrap/>
            <w:vAlign w:val="bottom"/>
            <w:hideMark/>
          </w:tcPr>
          <w:p w:rsidR="005136A1" w:rsidRPr="000C6715" w:rsidRDefault="005136A1" w:rsidP="00AE5A0B">
            <w:pPr>
              <w:spacing w:after="0"/>
              <w:jc w:val="right"/>
              <w:rPr>
                <w:color w:val="000000"/>
              </w:rPr>
            </w:pPr>
            <w:r w:rsidRPr="000C6715">
              <w:rPr>
                <w:color w:val="000000"/>
              </w:rPr>
              <w:t>0.09</w:t>
            </w:r>
            <w:r>
              <w:rPr>
                <w:color w:val="000000"/>
              </w:rPr>
              <w:t>0</w:t>
            </w:r>
          </w:p>
        </w:tc>
        <w:tc>
          <w:tcPr>
            <w:tcW w:w="709" w:type="dxa"/>
            <w:noWrap/>
            <w:vAlign w:val="bottom"/>
            <w:hideMark/>
          </w:tcPr>
          <w:p w:rsidR="005136A1" w:rsidRPr="000C6715" w:rsidRDefault="005136A1" w:rsidP="00AE5A0B">
            <w:pPr>
              <w:spacing w:after="0"/>
              <w:jc w:val="right"/>
              <w:rPr>
                <w:color w:val="000000"/>
              </w:rPr>
            </w:pPr>
            <w:r w:rsidRPr="000C6715">
              <w:rPr>
                <w:color w:val="000000"/>
              </w:rPr>
              <w:t>144</w:t>
            </w:r>
          </w:p>
        </w:tc>
        <w:tc>
          <w:tcPr>
            <w:tcW w:w="2410" w:type="dxa"/>
            <w:noWrap/>
            <w:vAlign w:val="bottom"/>
            <w:hideMark/>
          </w:tcPr>
          <w:p w:rsidR="005136A1" w:rsidRPr="000C6715" w:rsidRDefault="005136A1" w:rsidP="00AE5A0B">
            <w:pPr>
              <w:spacing w:after="0"/>
              <w:rPr>
                <w:color w:val="000000"/>
              </w:rPr>
            </w:pPr>
            <w:r w:rsidRPr="000C6715">
              <w:rPr>
                <w:color w:val="000000"/>
              </w:rPr>
              <w:t>-1.31 (-2.59,-0.03)</w:t>
            </w:r>
          </w:p>
        </w:tc>
        <w:tc>
          <w:tcPr>
            <w:tcW w:w="850" w:type="dxa"/>
            <w:noWrap/>
            <w:vAlign w:val="bottom"/>
            <w:hideMark/>
          </w:tcPr>
          <w:p w:rsidR="005136A1" w:rsidRPr="000C6715" w:rsidRDefault="005136A1" w:rsidP="00AE5A0B">
            <w:pPr>
              <w:spacing w:after="0"/>
              <w:jc w:val="right"/>
              <w:rPr>
                <w:color w:val="000000"/>
              </w:rPr>
            </w:pPr>
            <w:r w:rsidRPr="000C6715">
              <w:rPr>
                <w:color w:val="000000"/>
              </w:rPr>
              <w:t>0.045</w:t>
            </w:r>
          </w:p>
        </w:tc>
        <w:tc>
          <w:tcPr>
            <w:tcW w:w="709" w:type="dxa"/>
            <w:noWrap/>
            <w:vAlign w:val="bottom"/>
            <w:hideMark/>
          </w:tcPr>
          <w:p w:rsidR="005136A1" w:rsidRPr="000C6715" w:rsidRDefault="005136A1" w:rsidP="00AE5A0B">
            <w:pPr>
              <w:spacing w:after="0"/>
              <w:jc w:val="right"/>
              <w:rPr>
                <w:color w:val="000000"/>
              </w:rPr>
            </w:pPr>
            <w:r w:rsidRPr="000C6715">
              <w:rPr>
                <w:color w:val="000000"/>
              </w:rPr>
              <w:t>84</w:t>
            </w:r>
          </w:p>
        </w:tc>
        <w:tc>
          <w:tcPr>
            <w:tcW w:w="2410" w:type="dxa"/>
            <w:noWrap/>
            <w:vAlign w:val="bottom"/>
            <w:hideMark/>
          </w:tcPr>
          <w:p w:rsidR="005136A1" w:rsidRPr="000C6715" w:rsidRDefault="005136A1" w:rsidP="00AE5A0B">
            <w:pPr>
              <w:spacing w:after="0"/>
              <w:rPr>
                <w:color w:val="000000"/>
              </w:rPr>
            </w:pPr>
            <w:r w:rsidRPr="000C6715">
              <w:rPr>
                <w:color w:val="000000"/>
              </w:rPr>
              <w:t>-0.12 (-1.43,1.19)</w:t>
            </w:r>
          </w:p>
        </w:tc>
        <w:tc>
          <w:tcPr>
            <w:tcW w:w="992" w:type="dxa"/>
            <w:noWrap/>
            <w:vAlign w:val="bottom"/>
            <w:hideMark/>
          </w:tcPr>
          <w:p w:rsidR="005136A1" w:rsidRPr="000C6715" w:rsidRDefault="005136A1" w:rsidP="00AE5A0B">
            <w:pPr>
              <w:spacing w:after="0"/>
              <w:jc w:val="right"/>
              <w:rPr>
                <w:color w:val="000000"/>
              </w:rPr>
            </w:pPr>
            <w:r w:rsidRPr="000C6715">
              <w:rPr>
                <w:color w:val="000000"/>
              </w:rPr>
              <w:t>0.855</w:t>
            </w:r>
          </w:p>
        </w:tc>
      </w:tr>
      <w:tr w:rsidR="005136A1" w:rsidRPr="000C6715" w:rsidTr="00AE5A0B">
        <w:trPr>
          <w:trHeight w:val="300"/>
        </w:trPr>
        <w:tc>
          <w:tcPr>
            <w:tcW w:w="1862" w:type="dxa"/>
            <w:tcBorders>
              <w:bottom w:val="single" w:sz="4" w:space="0" w:color="auto"/>
            </w:tcBorders>
            <w:noWrap/>
            <w:vAlign w:val="bottom"/>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Telomere length</w:t>
            </w:r>
          </w:p>
        </w:tc>
        <w:tc>
          <w:tcPr>
            <w:tcW w:w="567"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248</w:t>
            </w:r>
          </w:p>
        </w:tc>
        <w:tc>
          <w:tcPr>
            <w:tcW w:w="1985" w:type="dxa"/>
            <w:tcBorders>
              <w:bottom w:val="single" w:sz="4" w:space="0" w:color="auto"/>
            </w:tcBorders>
            <w:noWrap/>
            <w:vAlign w:val="bottom"/>
            <w:hideMark/>
          </w:tcPr>
          <w:p w:rsidR="005136A1" w:rsidRPr="000C6715" w:rsidRDefault="005136A1" w:rsidP="00AE5A0B">
            <w:pPr>
              <w:spacing w:after="0"/>
              <w:rPr>
                <w:color w:val="000000"/>
              </w:rPr>
            </w:pPr>
            <w:r w:rsidRPr="000C6715">
              <w:rPr>
                <w:color w:val="000000"/>
              </w:rPr>
              <w:t>0.98 (0.07,1.89)</w:t>
            </w:r>
          </w:p>
        </w:tc>
        <w:tc>
          <w:tcPr>
            <w:tcW w:w="850"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0.035</w:t>
            </w:r>
          </w:p>
        </w:tc>
        <w:tc>
          <w:tcPr>
            <w:tcW w:w="709"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156</w:t>
            </w:r>
          </w:p>
        </w:tc>
        <w:tc>
          <w:tcPr>
            <w:tcW w:w="2410" w:type="dxa"/>
            <w:tcBorders>
              <w:bottom w:val="single" w:sz="4" w:space="0" w:color="auto"/>
            </w:tcBorders>
            <w:noWrap/>
            <w:vAlign w:val="bottom"/>
            <w:hideMark/>
          </w:tcPr>
          <w:p w:rsidR="005136A1" w:rsidRPr="000C6715" w:rsidRDefault="005136A1" w:rsidP="00AE5A0B">
            <w:pPr>
              <w:spacing w:after="0"/>
              <w:rPr>
                <w:color w:val="000000"/>
              </w:rPr>
            </w:pPr>
            <w:r w:rsidRPr="000C6715">
              <w:rPr>
                <w:color w:val="000000"/>
              </w:rPr>
              <w:t>1.71 (0.36,3.06)</w:t>
            </w:r>
          </w:p>
        </w:tc>
        <w:tc>
          <w:tcPr>
            <w:tcW w:w="850"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0.014</w:t>
            </w:r>
          </w:p>
        </w:tc>
        <w:tc>
          <w:tcPr>
            <w:tcW w:w="709"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92</w:t>
            </w:r>
          </w:p>
        </w:tc>
        <w:tc>
          <w:tcPr>
            <w:tcW w:w="2410" w:type="dxa"/>
            <w:tcBorders>
              <w:bottom w:val="single" w:sz="4" w:space="0" w:color="auto"/>
            </w:tcBorders>
            <w:noWrap/>
            <w:vAlign w:val="bottom"/>
            <w:hideMark/>
          </w:tcPr>
          <w:p w:rsidR="005136A1" w:rsidRPr="000C6715" w:rsidRDefault="005136A1" w:rsidP="00AE5A0B">
            <w:pPr>
              <w:spacing w:after="0"/>
              <w:rPr>
                <w:color w:val="000000"/>
              </w:rPr>
            </w:pPr>
            <w:r w:rsidRPr="000C6715">
              <w:rPr>
                <w:color w:val="000000"/>
              </w:rPr>
              <w:t>-0.09 (-1.28,1.10)</w:t>
            </w:r>
          </w:p>
        </w:tc>
        <w:tc>
          <w:tcPr>
            <w:tcW w:w="992" w:type="dxa"/>
            <w:tcBorders>
              <w:bottom w:val="single" w:sz="4" w:space="0" w:color="auto"/>
            </w:tcBorders>
            <w:noWrap/>
            <w:vAlign w:val="bottom"/>
            <w:hideMark/>
          </w:tcPr>
          <w:p w:rsidR="005136A1" w:rsidRPr="000C6715" w:rsidRDefault="005136A1" w:rsidP="00AE5A0B">
            <w:pPr>
              <w:spacing w:after="0"/>
              <w:jc w:val="right"/>
              <w:rPr>
                <w:color w:val="000000"/>
              </w:rPr>
            </w:pPr>
            <w:r w:rsidRPr="000C6715">
              <w:rPr>
                <w:color w:val="000000"/>
              </w:rPr>
              <w:t>0.881</w:t>
            </w:r>
          </w:p>
        </w:tc>
      </w:tr>
    </w:tbl>
    <w:p w:rsidR="005136A1" w:rsidRDefault="005136A1" w:rsidP="005136A1">
      <w:r>
        <w:rPr>
          <w:rFonts w:ascii="Arial" w:hAnsi="Arial" w:cs="Arial"/>
          <w:vertAlign w:val="superscript"/>
        </w:rPr>
        <w:t>a</w:t>
      </w:r>
      <w:r>
        <w:rPr>
          <w:rFonts w:ascii="Arial" w:hAnsi="Arial" w:cs="Arial"/>
        </w:rPr>
        <w:t xml:space="preserve">Adjusted for age and sex in the combined model; </w:t>
      </w:r>
      <w:r>
        <w:rPr>
          <w:rFonts w:ascii="Arial" w:hAnsi="Arial" w:cs="Arial"/>
          <w:vertAlign w:val="superscript"/>
        </w:rPr>
        <w:t>b</w:t>
      </w:r>
      <w:r>
        <w:rPr>
          <w:rFonts w:ascii="Arial" w:hAnsi="Arial" w:cs="Arial"/>
        </w:rPr>
        <w:t>Adjusted for age</w:t>
      </w:r>
      <w:r w:rsidRPr="00CD5F68">
        <w:rPr>
          <w:rFonts w:ascii="Arial" w:hAnsi="Arial" w:cs="Arial"/>
        </w:rPr>
        <w:t>, height, weight for height, smoking status, alcohol consumption</w:t>
      </w:r>
      <w:r>
        <w:rPr>
          <w:rFonts w:ascii="Arial" w:hAnsi="Arial" w:cs="Arial"/>
        </w:rPr>
        <w:t>,</w:t>
      </w:r>
      <w:r w:rsidRPr="00CD5F68">
        <w:rPr>
          <w:rFonts w:ascii="Arial" w:hAnsi="Arial" w:cs="Arial"/>
        </w:rPr>
        <w:t xml:space="preserve"> social class</w:t>
      </w:r>
      <w:r>
        <w:rPr>
          <w:rFonts w:ascii="Arial" w:hAnsi="Arial" w:cs="Arial"/>
        </w:rPr>
        <w:t xml:space="preserve"> and sex in the combined model; </w:t>
      </w:r>
      <w:r>
        <w:rPr>
          <w:rFonts w:ascii="Arial" w:hAnsi="Arial" w:cs="Arial"/>
          <w:vertAlign w:val="superscript"/>
        </w:rPr>
        <w:t>c</w:t>
      </w:r>
      <w:r>
        <w:rPr>
          <w:rFonts w:ascii="Arial" w:hAnsi="Arial" w:cs="Arial"/>
        </w:rPr>
        <w:t xml:space="preserve">p value for interaction with sex=0.025; </w:t>
      </w:r>
      <w:r>
        <w:rPr>
          <w:rFonts w:ascii="Arial" w:hAnsi="Arial" w:cs="Arial"/>
          <w:vertAlign w:val="superscript"/>
        </w:rPr>
        <w:t>d</w:t>
      </w:r>
      <w:r>
        <w:rPr>
          <w:rFonts w:ascii="Arial" w:hAnsi="Arial" w:cs="Arial"/>
        </w:rPr>
        <w:t>p value for interaction with sex=0.023.</w:t>
      </w:r>
    </w:p>
    <w:p w:rsidR="005136A1" w:rsidRDefault="005136A1">
      <w:r>
        <w:br w:type="page"/>
      </w:r>
    </w:p>
    <w:p w:rsidR="005136A1" w:rsidRPr="00C97E96" w:rsidRDefault="005136A1" w:rsidP="005136A1">
      <w:pPr>
        <w:rPr>
          <w:rFonts w:ascii="Arial" w:hAnsi="Arial" w:cs="Arial"/>
          <w:b/>
        </w:rPr>
      </w:pPr>
      <w:r>
        <w:rPr>
          <w:rFonts w:ascii="Arial" w:hAnsi="Arial" w:cs="Arial"/>
          <w:b/>
        </w:rPr>
        <w:lastRenderedPageBreak/>
        <w:t xml:space="preserve">Table 3 </w:t>
      </w:r>
      <w:r w:rsidRPr="00F44C39">
        <w:rPr>
          <w:rFonts w:ascii="Arial" w:hAnsi="Arial" w:cs="Arial"/>
        </w:rPr>
        <w:t>Mutually adjusted model of telomere length, IL-1β and cortisol (% change/year of follow up) as a predictors of grip strength at 2003/5 follow-up</w:t>
      </w:r>
    </w:p>
    <w:tbl>
      <w:tblPr>
        <w:tblW w:w="12493" w:type="dxa"/>
        <w:tblInd w:w="89" w:type="dxa"/>
        <w:tblBorders>
          <w:top w:val="single" w:sz="4" w:space="0" w:color="auto"/>
          <w:bottom w:val="single" w:sz="4" w:space="0" w:color="auto"/>
        </w:tblBorders>
        <w:tblLook w:val="04A0" w:firstRow="1" w:lastRow="0" w:firstColumn="1" w:lastColumn="0" w:noHBand="0" w:noVBand="1"/>
      </w:tblPr>
      <w:tblGrid>
        <w:gridCol w:w="1863"/>
        <w:gridCol w:w="2552"/>
        <w:gridCol w:w="850"/>
        <w:gridCol w:w="2268"/>
        <w:gridCol w:w="992"/>
        <w:gridCol w:w="2780"/>
        <w:gridCol w:w="1188"/>
      </w:tblGrid>
      <w:tr w:rsidR="005136A1" w:rsidRPr="000C6715" w:rsidTr="00AE5A0B">
        <w:trPr>
          <w:trHeight w:val="300"/>
        </w:trPr>
        <w:tc>
          <w:tcPr>
            <w:tcW w:w="1863" w:type="dxa"/>
            <w:tcBorders>
              <w:top w:val="single" w:sz="4" w:space="0" w:color="auto"/>
            </w:tcBorders>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3402" w:type="dxa"/>
            <w:gridSpan w:val="2"/>
            <w:tcBorders>
              <w:top w:val="single" w:sz="4" w:space="0" w:color="auto"/>
              <w:bottom w:val="single" w:sz="4" w:space="0" w:color="auto"/>
            </w:tcBorders>
            <w:noWrap/>
            <w:vAlign w:val="center"/>
            <w:hideMark/>
          </w:tcPr>
          <w:p w:rsidR="005136A1" w:rsidRPr="00C97E96" w:rsidRDefault="005136A1" w:rsidP="00AE5A0B">
            <w:pPr>
              <w:spacing w:after="0" w:line="24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 xml:space="preserve">a </w:t>
            </w:r>
            <w:r>
              <w:rPr>
                <w:rFonts w:ascii="Arial" w:hAnsi="Arial" w:cs="Arial"/>
                <w:b/>
                <w:bCs/>
                <w:color w:val="000000"/>
                <w:sz w:val="20"/>
                <w:szCs w:val="20"/>
                <w:lang w:eastAsia="en-GB"/>
              </w:rPr>
              <w:t>(All, N=130 )</w:t>
            </w:r>
          </w:p>
        </w:tc>
        <w:tc>
          <w:tcPr>
            <w:tcW w:w="3260" w:type="dxa"/>
            <w:gridSpan w:val="2"/>
            <w:tcBorders>
              <w:top w:val="single" w:sz="4" w:space="0" w:color="auto"/>
              <w:bottom w:val="single" w:sz="4" w:space="0" w:color="auto"/>
            </w:tcBorders>
            <w:noWrap/>
            <w:vAlign w:val="center"/>
            <w:hideMark/>
          </w:tcPr>
          <w:p w:rsidR="005136A1" w:rsidRPr="00C97E96" w:rsidRDefault="005136A1" w:rsidP="00AE5A0B">
            <w:pPr>
              <w:spacing w:after="0" w:line="24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a</w:t>
            </w:r>
            <w:r>
              <w:rPr>
                <w:rFonts w:ascii="Arial" w:hAnsi="Arial" w:cs="Arial"/>
                <w:b/>
                <w:bCs/>
                <w:color w:val="000000"/>
                <w:sz w:val="20"/>
                <w:szCs w:val="20"/>
                <w:lang w:eastAsia="en-GB"/>
              </w:rPr>
              <w:t xml:space="preserve"> (Men, N=85)</w:t>
            </w:r>
          </w:p>
        </w:tc>
        <w:tc>
          <w:tcPr>
            <w:tcW w:w="3968" w:type="dxa"/>
            <w:gridSpan w:val="2"/>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a</w:t>
            </w:r>
            <w:r>
              <w:rPr>
                <w:rFonts w:ascii="Arial" w:hAnsi="Arial" w:cs="Arial"/>
                <w:b/>
                <w:bCs/>
                <w:color w:val="000000"/>
                <w:sz w:val="20"/>
                <w:szCs w:val="20"/>
                <w:lang w:eastAsia="en-GB"/>
              </w:rPr>
              <w:t xml:space="preserve"> (Women, N=45)</w:t>
            </w:r>
          </w:p>
        </w:tc>
      </w:tr>
      <w:tr w:rsidR="005136A1" w:rsidRPr="000C6715" w:rsidTr="00AE5A0B">
        <w:trPr>
          <w:trHeight w:val="300"/>
        </w:trPr>
        <w:tc>
          <w:tcPr>
            <w:tcW w:w="1863" w:type="dxa"/>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255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268"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99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780"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1188"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r>
      <w:tr w:rsidR="005136A1" w:rsidRPr="000C6715" w:rsidTr="00AE5A0B">
        <w:trPr>
          <w:trHeight w:val="57"/>
        </w:trPr>
        <w:tc>
          <w:tcPr>
            <w:tcW w:w="1863" w:type="dxa"/>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Telomere length</w:t>
            </w:r>
          </w:p>
        </w:tc>
        <w:tc>
          <w:tcPr>
            <w:tcW w:w="2552"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0.10 (-1.21 to 1.42)</w:t>
            </w:r>
          </w:p>
        </w:tc>
        <w:tc>
          <w:tcPr>
            <w:tcW w:w="850"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0.877</w:t>
            </w:r>
          </w:p>
        </w:tc>
        <w:tc>
          <w:tcPr>
            <w:tcW w:w="2268"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0.91 (-1.08 to 2.91)</w:t>
            </w:r>
          </w:p>
        </w:tc>
        <w:tc>
          <w:tcPr>
            <w:tcW w:w="992"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0.366</w:t>
            </w:r>
          </w:p>
        </w:tc>
        <w:tc>
          <w:tcPr>
            <w:tcW w:w="2780"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-0.82 (-2.63 to 1.00)</w:t>
            </w:r>
          </w:p>
        </w:tc>
        <w:tc>
          <w:tcPr>
            <w:tcW w:w="1188"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0.369</w:t>
            </w:r>
          </w:p>
        </w:tc>
      </w:tr>
      <w:tr w:rsidR="005136A1" w:rsidRPr="000C6715" w:rsidTr="00AE5A0B">
        <w:trPr>
          <w:trHeight w:val="57"/>
        </w:trPr>
        <w:tc>
          <w:tcPr>
            <w:tcW w:w="1863" w:type="dxa"/>
            <w:tcBorders>
              <w:bottom w:val="nil"/>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IL-1β</w:t>
            </w:r>
          </w:p>
        </w:tc>
        <w:tc>
          <w:tcPr>
            <w:tcW w:w="2552"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-1.56 (-2.86 to -0.26)</w:t>
            </w:r>
          </w:p>
        </w:tc>
        <w:tc>
          <w:tcPr>
            <w:tcW w:w="850"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0.019</w:t>
            </w:r>
          </w:p>
        </w:tc>
        <w:tc>
          <w:tcPr>
            <w:tcW w:w="2268"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-1.48 (-3.15 to 0.19)</w:t>
            </w:r>
          </w:p>
        </w:tc>
        <w:tc>
          <w:tcPr>
            <w:tcW w:w="992"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0.082</w:t>
            </w:r>
          </w:p>
        </w:tc>
        <w:tc>
          <w:tcPr>
            <w:tcW w:w="2780"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-1.92 (-4.15 to 0.30)</w:t>
            </w:r>
          </w:p>
        </w:tc>
        <w:tc>
          <w:tcPr>
            <w:tcW w:w="1188"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0.088</w:t>
            </w:r>
          </w:p>
        </w:tc>
      </w:tr>
      <w:tr w:rsidR="005136A1" w:rsidRPr="000C6715" w:rsidTr="00AE5A0B">
        <w:trPr>
          <w:trHeight w:val="57"/>
        </w:trPr>
        <w:tc>
          <w:tcPr>
            <w:tcW w:w="1863" w:type="dxa"/>
            <w:tcBorders>
              <w:top w:val="nil"/>
              <w:bottom w:val="single" w:sz="4" w:space="0" w:color="auto"/>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Cortisol</w:t>
            </w:r>
          </w:p>
        </w:tc>
        <w:tc>
          <w:tcPr>
            <w:tcW w:w="2552"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-1.91 (-3.17 to -0.64)</w:t>
            </w:r>
          </w:p>
        </w:tc>
        <w:tc>
          <w:tcPr>
            <w:tcW w:w="850"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0.003</w:t>
            </w:r>
          </w:p>
        </w:tc>
        <w:tc>
          <w:tcPr>
            <w:tcW w:w="2268"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-1.87 (-3.56 to -0.18)</w:t>
            </w:r>
          </w:p>
        </w:tc>
        <w:tc>
          <w:tcPr>
            <w:tcW w:w="992"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0.031</w:t>
            </w:r>
          </w:p>
        </w:tc>
        <w:tc>
          <w:tcPr>
            <w:tcW w:w="2780"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-1.65 (-3.66 to -0.35)</w:t>
            </w:r>
          </w:p>
        </w:tc>
        <w:tc>
          <w:tcPr>
            <w:tcW w:w="1188"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0.103</w:t>
            </w:r>
          </w:p>
        </w:tc>
      </w:tr>
      <w:tr w:rsidR="005136A1" w:rsidRPr="000C6715" w:rsidTr="00AE5A0B">
        <w:trPr>
          <w:trHeight w:val="300"/>
        </w:trPr>
        <w:tc>
          <w:tcPr>
            <w:tcW w:w="1863" w:type="dxa"/>
            <w:tcBorders>
              <w:top w:val="single" w:sz="4" w:space="0" w:color="auto"/>
            </w:tcBorders>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3402" w:type="dxa"/>
            <w:gridSpan w:val="2"/>
            <w:tcBorders>
              <w:top w:val="single" w:sz="4" w:space="0" w:color="auto"/>
              <w:bottom w:val="single" w:sz="4" w:space="0" w:color="auto"/>
            </w:tcBorders>
            <w:noWrap/>
            <w:vAlign w:val="center"/>
            <w:hideMark/>
          </w:tcPr>
          <w:p w:rsidR="005136A1" w:rsidRPr="00307733" w:rsidRDefault="005136A1" w:rsidP="00AE5A0B">
            <w:pPr>
              <w:spacing w:after="0" w:line="240" w:lineRule="auto"/>
              <w:jc w:val="center"/>
              <w:rPr>
                <w:rFonts w:ascii="Arial" w:hAnsi="Arial" w:cs="Arial"/>
                <w:b/>
                <w:bCs/>
                <w:color w:val="000000"/>
                <w:sz w:val="20"/>
                <w:szCs w:val="20"/>
                <w:vertAlign w:val="superscript"/>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 xml:space="preserve">b </w:t>
            </w:r>
            <w:r>
              <w:rPr>
                <w:rFonts w:ascii="Arial" w:hAnsi="Arial" w:cs="Arial"/>
                <w:b/>
                <w:bCs/>
                <w:color w:val="000000"/>
                <w:sz w:val="20"/>
                <w:szCs w:val="20"/>
                <w:lang w:eastAsia="en-GB"/>
              </w:rPr>
              <w:t>(All, N=129)</w:t>
            </w:r>
          </w:p>
        </w:tc>
        <w:tc>
          <w:tcPr>
            <w:tcW w:w="3260" w:type="dxa"/>
            <w:gridSpan w:val="2"/>
            <w:tcBorders>
              <w:top w:val="single" w:sz="4" w:space="0" w:color="auto"/>
              <w:bottom w:val="single" w:sz="4" w:space="0" w:color="auto"/>
            </w:tcBorders>
            <w:noWrap/>
            <w:vAlign w:val="center"/>
            <w:hideMark/>
          </w:tcPr>
          <w:p w:rsidR="005136A1" w:rsidRPr="00C97E96"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 xml:space="preserve">b </w:t>
            </w:r>
            <w:r>
              <w:rPr>
                <w:rFonts w:ascii="Arial" w:hAnsi="Arial" w:cs="Arial"/>
                <w:b/>
                <w:bCs/>
                <w:color w:val="000000"/>
                <w:sz w:val="20"/>
                <w:szCs w:val="20"/>
                <w:lang w:eastAsia="en-GB"/>
              </w:rPr>
              <w:t>(Men, N=85)</w:t>
            </w:r>
          </w:p>
        </w:tc>
        <w:tc>
          <w:tcPr>
            <w:tcW w:w="3968" w:type="dxa"/>
            <w:gridSpan w:val="2"/>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b</w:t>
            </w:r>
            <w:r>
              <w:rPr>
                <w:rFonts w:ascii="Arial" w:hAnsi="Arial" w:cs="Arial"/>
                <w:b/>
                <w:bCs/>
                <w:color w:val="000000"/>
                <w:sz w:val="20"/>
                <w:szCs w:val="20"/>
                <w:lang w:eastAsia="en-GB"/>
              </w:rPr>
              <w:t xml:space="preserve"> (Women, N=44)</w:t>
            </w:r>
          </w:p>
        </w:tc>
      </w:tr>
      <w:tr w:rsidR="005136A1" w:rsidRPr="000C6715" w:rsidTr="00AE5A0B">
        <w:trPr>
          <w:trHeight w:val="300"/>
        </w:trPr>
        <w:tc>
          <w:tcPr>
            <w:tcW w:w="1863" w:type="dxa"/>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255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268"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99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780"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1188"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r>
      <w:tr w:rsidR="005136A1" w:rsidRPr="000C6715" w:rsidTr="00AE5A0B">
        <w:trPr>
          <w:trHeight w:val="57"/>
        </w:trPr>
        <w:tc>
          <w:tcPr>
            <w:tcW w:w="1863" w:type="dxa"/>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Telomere length</w:t>
            </w:r>
          </w:p>
        </w:tc>
        <w:tc>
          <w:tcPr>
            <w:tcW w:w="2552"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0.12 (-1.17 to 1.41)</w:t>
            </w:r>
          </w:p>
        </w:tc>
        <w:tc>
          <w:tcPr>
            <w:tcW w:w="850"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0.856</w:t>
            </w:r>
          </w:p>
        </w:tc>
        <w:tc>
          <w:tcPr>
            <w:tcW w:w="2268"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0.58 (-1.45 to 2.62)</w:t>
            </w:r>
          </w:p>
        </w:tc>
        <w:tc>
          <w:tcPr>
            <w:tcW w:w="992"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0.569</w:t>
            </w:r>
          </w:p>
        </w:tc>
        <w:tc>
          <w:tcPr>
            <w:tcW w:w="2780"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-0.29 (-2.05 to 1.48)</w:t>
            </w:r>
          </w:p>
        </w:tc>
        <w:tc>
          <w:tcPr>
            <w:tcW w:w="1188"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0.744</w:t>
            </w:r>
          </w:p>
        </w:tc>
      </w:tr>
      <w:tr w:rsidR="005136A1" w:rsidRPr="000C6715" w:rsidTr="00AE5A0B">
        <w:trPr>
          <w:trHeight w:val="57"/>
        </w:trPr>
        <w:tc>
          <w:tcPr>
            <w:tcW w:w="1863" w:type="dxa"/>
            <w:tcBorders>
              <w:bottom w:val="nil"/>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IL-1β</w:t>
            </w:r>
          </w:p>
        </w:tc>
        <w:tc>
          <w:tcPr>
            <w:tcW w:w="2552"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-1.79 (-3.08 to -0.51)</w:t>
            </w:r>
          </w:p>
        </w:tc>
        <w:tc>
          <w:tcPr>
            <w:tcW w:w="850"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0.006</w:t>
            </w:r>
          </w:p>
        </w:tc>
        <w:tc>
          <w:tcPr>
            <w:tcW w:w="2268"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-1.83 (-3.56 to -0.11)</w:t>
            </w:r>
          </w:p>
        </w:tc>
        <w:tc>
          <w:tcPr>
            <w:tcW w:w="992"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0.038</w:t>
            </w:r>
          </w:p>
        </w:tc>
        <w:tc>
          <w:tcPr>
            <w:tcW w:w="2780"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-1.91 (-4.06 to 0.25)</w:t>
            </w:r>
          </w:p>
        </w:tc>
        <w:tc>
          <w:tcPr>
            <w:tcW w:w="1188"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0.081</w:t>
            </w:r>
          </w:p>
        </w:tc>
      </w:tr>
      <w:tr w:rsidR="005136A1" w:rsidRPr="000C6715" w:rsidTr="00AE5A0B">
        <w:trPr>
          <w:trHeight w:val="57"/>
        </w:trPr>
        <w:tc>
          <w:tcPr>
            <w:tcW w:w="1863" w:type="dxa"/>
            <w:tcBorders>
              <w:top w:val="nil"/>
              <w:bottom w:val="single" w:sz="4" w:space="0" w:color="auto"/>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Cortisol</w:t>
            </w:r>
          </w:p>
        </w:tc>
        <w:tc>
          <w:tcPr>
            <w:tcW w:w="2552"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-1.80 (-3.05 to -0.56)</w:t>
            </w:r>
          </w:p>
        </w:tc>
        <w:tc>
          <w:tcPr>
            <w:tcW w:w="850"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0.005</w:t>
            </w:r>
          </w:p>
        </w:tc>
        <w:tc>
          <w:tcPr>
            <w:tcW w:w="2268"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-1.83 (-3.54 to -0.12)</w:t>
            </w:r>
          </w:p>
        </w:tc>
        <w:tc>
          <w:tcPr>
            <w:tcW w:w="992"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0.036</w:t>
            </w:r>
          </w:p>
        </w:tc>
        <w:tc>
          <w:tcPr>
            <w:tcW w:w="2780"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-1.55 (-3.49 to 0.38)</w:t>
            </w:r>
          </w:p>
        </w:tc>
        <w:tc>
          <w:tcPr>
            <w:tcW w:w="1188"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0.111</w:t>
            </w:r>
          </w:p>
        </w:tc>
      </w:tr>
      <w:tr w:rsidR="005136A1" w:rsidRPr="000C6715" w:rsidTr="00AE5A0B">
        <w:trPr>
          <w:trHeight w:val="300"/>
        </w:trPr>
        <w:tc>
          <w:tcPr>
            <w:tcW w:w="1863" w:type="dxa"/>
            <w:tcBorders>
              <w:top w:val="single" w:sz="4" w:space="0" w:color="auto"/>
            </w:tcBorders>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3402" w:type="dxa"/>
            <w:gridSpan w:val="2"/>
            <w:tcBorders>
              <w:top w:val="single" w:sz="4" w:space="0" w:color="auto"/>
              <w:bottom w:val="single" w:sz="4" w:space="0" w:color="auto"/>
            </w:tcBorders>
            <w:noWrap/>
            <w:vAlign w:val="center"/>
            <w:hideMark/>
          </w:tcPr>
          <w:p w:rsidR="005136A1" w:rsidRPr="00307733" w:rsidRDefault="005136A1" w:rsidP="00AE5A0B">
            <w:pPr>
              <w:spacing w:after="0" w:line="240" w:lineRule="auto"/>
              <w:jc w:val="center"/>
              <w:rPr>
                <w:rFonts w:ascii="Arial" w:hAnsi="Arial" w:cs="Arial"/>
                <w:b/>
                <w:bCs/>
                <w:color w:val="000000"/>
                <w:sz w:val="20"/>
                <w:szCs w:val="20"/>
                <w:vertAlign w:val="superscript"/>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 xml:space="preserve">c </w:t>
            </w:r>
            <w:r>
              <w:rPr>
                <w:rFonts w:ascii="Arial" w:hAnsi="Arial" w:cs="Arial"/>
                <w:b/>
                <w:bCs/>
                <w:color w:val="000000"/>
                <w:sz w:val="20"/>
                <w:szCs w:val="20"/>
                <w:lang w:eastAsia="en-GB"/>
              </w:rPr>
              <w:t>(All, N=128)</w:t>
            </w:r>
          </w:p>
        </w:tc>
        <w:tc>
          <w:tcPr>
            <w:tcW w:w="3260" w:type="dxa"/>
            <w:gridSpan w:val="2"/>
            <w:tcBorders>
              <w:top w:val="single" w:sz="4" w:space="0" w:color="auto"/>
              <w:bottom w:val="single" w:sz="4" w:space="0" w:color="auto"/>
            </w:tcBorders>
            <w:noWrap/>
            <w:vAlign w:val="center"/>
            <w:hideMark/>
          </w:tcPr>
          <w:p w:rsidR="005136A1" w:rsidRPr="00C97E96"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 xml:space="preserve">c </w:t>
            </w:r>
            <w:r>
              <w:rPr>
                <w:rFonts w:ascii="Arial" w:hAnsi="Arial" w:cs="Arial"/>
                <w:b/>
                <w:bCs/>
                <w:color w:val="000000"/>
                <w:sz w:val="20"/>
                <w:szCs w:val="20"/>
                <w:lang w:eastAsia="en-GB"/>
              </w:rPr>
              <w:t>(Men, N=85)</w:t>
            </w:r>
          </w:p>
        </w:tc>
        <w:tc>
          <w:tcPr>
            <w:tcW w:w="3968" w:type="dxa"/>
            <w:gridSpan w:val="2"/>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ADJUSTED</w:t>
            </w:r>
            <w:r>
              <w:rPr>
                <w:rFonts w:ascii="Arial" w:hAnsi="Arial" w:cs="Arial"/>
                <w:b/>
                <w:bCs/>
                <w:color w:val="000000"/>
                <w:sz w:val="20"/>
                <w:szCs w:val="20"/>
                <w:vertAlign w:val="superscript"/>
                <w:lang w:eastAsia="en-GB"/>
              </w:rPr>
              <w:t>c</w:t>
            </w:r>
            <w:r>
              <w:rPr>
                <w:rFonts w:ascii="Arial" w:hAnsi="Arial" w:cs="Arial"/>
                <w:b/>
                <w:bCs/>
                <w:color w:val="000000"/>
                <w:sz w:val="20"/>
                <w:szCs w:val="20"/>
                <w:lang w:eastAsia="en-GB"/>
              </w:rPr>
              <w:t xml:space="preserve"> (Women, N=43)</w:t>
            </w:r>
          </w:p>
        </w:tc>
      </w:tr>
      <w:tr w:rsidR="005136A1" w:rsidRPr="000C6715" w:rsidTr="00AE5A0B">
        <w:trPr>
          <w:trHeight w:val="300"/>
        </w:trPr>
        <w:tc>
          <w:tcPr>
            <w:tcW w:w="1863" w:type="dxa"/>
            <w:noWrap/>
            <w:vAlign w:val="center"/>
            <w:hideMark/>
          </w:tcPr>
          <w:p w:rsidR="005136A1" w:rsidRPr="00CD5F68" w:rsidRDefault="005136A1" w:rsidP="00AE5A0B">
            <w:pPr>
              <w:spacing w:after="0" w:line="240" w:lineRule="auto"/>
              <w:rPr>
                <w:rFonts w:ascii="Arial" w:hAnsi="Arial" w:cs="Arial"/>
                <w:b/>
                <w:bCs/>
                <w:color w:val="000000"/>
                <w:sz w:val="20"/>
                <w:szCs w:val="20"/>
                <w:lang w:eastAsia="en-GB"/>
              </w:rPr>
            </w:pPr>
          </w:p>
        </w:tc>
        <w:tc>
          <w:tcPr>
            <w:tcW w:w="255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850"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268"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992" w:type="dxa"/>
            <w:tcBorders>
              <w:top w:val="single" w:sz="4" w:space="0" w:color="auto"/>
              <w:bottom w:val="single" w:sz="4" w:space="0" w:color="auto"/>
            </w:tcBorders>
            <w:noWrap/>
            <w:vAlign w:val="center"/>
            <w:hideMark/>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c>
          <w:tcPr>
            <w:tcW w:w="2780"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Reg coef (95% CI)</w:t>
            </w:r>
          </w:p>
        </w:tc>
        <w:tc>
          <w:tcPr>
            <w:tcW w:w="1188" w:type="dxa"/>
            <w:tcBorders>
              <w:top w:val="single" w:sz="4" w:space="0" w:color="auto"/>
              <w:bottom w:val="single" w:sz="4" w:space="0" w:color="auto"/>
            </w:tcBorders>
            <w:vAlign w:val="center"/>
          </w:tcPr>
          <w:p w:rsidR="005136A1" w:rsidRPr="00CD5F68" w:rsidRDefault="005136A1" w:rsidP="00AE5A0B">
            <w:pPr>
              <w:spacing w:after="0" w:line="240" w:lineRule="auto"/>
              <w:jc w:val="center"/>
              <w:rPr>
                <w:rFonts w:ascii="Arial" w:hAnsi="Arial" w:cs="Arial"/>
                <w:b/>
                <w:bCs/>
                <w:color w:val="000000"/>
                <w:sz w:val="20"/>
                <w:szCs w:val="20"/>
                <w:lang w:eastAsia="en-GB"/>
              </w:rPr>
            </w:pPr>
            <w:r w:rsidRPr="00CD5F68">
              <w:rPr>
                <w:rFonts w:ascii="Arial" w:hAnsi="Arial" w:cs="Arial"/>
                <w:b/>
                <w:bCs/>
                <w:color w:val="000000"/>
                <w:sz w:val="20"/>
                <w:szCs w:val="20"/>
                <w:lang w:eastAsia="en-GB"/>
              </w:rPr>
              <w:t>p</w:t>
            </w:r>
          </w:p>
        </w:tc>
      </w:tr>
      <w:tr w:rsidR="005136A1" w:rsidRPr="000C6715" w:rsidTr="00AE5A0B">
        <w:trPr>
          <w:trHeight w:val="57"/>
        </w:trPr>
        <w:tc>
          <w:tcPr>
            <w:tcW w:w="1863" w:type="dxa"/>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Telomere length</w:t>
            </w:r>
          </w:p>
        </w:tc>
        <w:tc>
          <w:tcPr>
            <w:tcW w:w="2552"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0.14 (-1.16 to 1.44)</w:t>
            </w:r>
          </w:p>
        </w:tc>
        <w:tc>
          <w:tcPr>
            <w:tcW w:w="850" w:type="dxa"/>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0.836</w:t>
            </w:r>
          </w:p>
        </w:tc>
        <w:tc>
          <w:tcPr>
            <w:tcW w:w="2268"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0.59 (-1.49 to 2.67)</w:t>
            </w:r>
          </w:p>
        </w:tc>
        <w:tc>
          <w:tcPr>
            <w:tcW w:w="992" w:type="dxa"/>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0.572</w:t>
            </w:r>
          </w:p>
        </w:tc>
        <w:tc>
          <w:tcPr>
            <w:tcW w:w="2780"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-0.29 (-1.94 to 1.36)</w:t>
            </w:r>
          </w:p>
        </w:tc>
        <w:tc>
          <w:tcPr>
            <w:tcW w:w="1188" w:type="dxa"/>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0.720</w:t>
            </w:r>
          </w:p>
        </w:tc>
      </w:tr>
      <w:tr w:rsidR="005136A1" w:rsidRPr="000C6715" w:rsidTr="00AE5A0B">
        <w:trPr>
          <w:trHeight w:val="57"/>
        </w:trPr>
        <w:tc>
          <w:tcPr>
            <w:tcW w:w="1863" w:type="dxa"/>
            <w:tcBorders>
              <w:bottom w:val="nil"/>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IL-1β</w:t>
            </w:r>
          </w:p>
        </w:tc>
        <w:tc>
          <w:tcPr>
            <w:tcW w:w="2552"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-1.89 (-3.18 to -0.60)</w:t>
            </w:r>
          </w:p>
        </w:tc>
        <w:tc>
          <w:tcPr>
            <w:tcW w:w="850" w:type="dxa"/>
            <w:tcBorders>
              <w:bottom w:val="nil"/>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0.005</w:t>
            </w:r>
          </w:p>
        </w:tc>
        <w:tc>
          <w:tcPr>
            <w:tcW w:w="2268"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-1.83 (-3.58 to -0.09)</w:t>
            </w:r>
          </w:p>
        </w:tc>
        <w:tc>
          <w:tcPr>
            <w:tcW w:w="992" w:type="dxa"/>
            <w:tcBorders>
              <w:bottom w:val="nil"/>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0.039</w:t>
            </w:r>
          </w:p>
        </w:tc>
        <w:tc>
          <w:tcPr>
            <w:tcW w:w="2780"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-2.20 (-4.41 to 0.02)</w:t>
            </w:r>
          </w:p>
        </w:tc>
        <w:tc>
          <w:tcPr>
            <w:tcW w:w="1188" w:type="dxa"/>
            <w:tcBorders>
              <w:bottom w:val="nil"/>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0.052</w:t>
            </w:r>
          </w:p>
        </w:tc>
      </w:tr>
      <w:tr w:rsidR="005136A1" w:rsidRPr="000C6715" w:rsidTr="00AE5A0B">
        <w:trPr>
          <w:trHeight w:val="57"/>
        </w:trPr>
        <w:tc>
          <w:tcPr>
            <w:tcW w:w="1863" w:type="dxa"/>
            <w:tcBorders>
              <w:top w:val="nil"/>
              <w:bottom w:val="single" w:sz="4" w:space="0" w:color="auto"/>
            </w:tcBorders>
            <w:noWrap/>
            <w:vAlign w:val="center"/>
            <w:hideMark/>
          </w:tcPr>
          <w:p w:rsidR="005136A1" w:rsidRPr="000C6715" w:rsidRDefault="005136A1" w:rsidP="00AE5A0B">
            <w:pPr>
              <w:spacing w:after="0"/>
              <w:rPr>
                <w:rFonts w:ascii="Arial" w:hAnsi="Arial" w:cs="Arial"/>
                <w:color w:val="000000"/>
                <w:sz w:val="20"/>
                <w:szCs w:val="20"/>
              </w:rPr>
            </w:pPr>
            <w:r w:rsidRPr="000C6715">
              <w:rPr>
                <w:rFonts w:ascii="Arial" w:hAnsi="Arial" w:cs="Arial"/>
                <w:color w:val="000000"/>
                <w:sz w:val="20"/>
                <w:szCs w:val="20"/>
              </w:rPr>
              <w:t>Cortisol</w:t>
            </w:r>
          </w:p>
        </w:tc>
        <w:tc>
          <w:tcPr>
            <w:tcW w:w="2552"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-1.72 (-2.95 to -0.48)</w:t>
            </w:r>
          </w:p>
        </w:tc>
        <w:tc>
          <w:tcPr>
            <w:tcW w:w="850" w:type="dxa"/>
            <w:tcBorders>
              <w:top w:val="nil"/>
              <w:bottom w:val="single" w:sz="4" w:space="0" w:color="auto"/>
            </w:tcBorders>
            <w:noWrap/>
            <w:vAlign w:val="center"/>
            <w:hideMark/>
          </w:tcPr>
          <w:p w:rsidR="005136A1" w:rsidRPr="000C6715" w:rsidRDefault="005136A1" w:rsidP="00AE5A0B">
            <w:pPr>
              <w:spacing w:after="0"/>
              <w:jc w:val="center"/>
              <w:rPr>
                <w:rFonts w:ascii="Arial" w:hAnsi="Arial" w:cs="Arial"/>
                <w:color w:val="000000"/>
                <w:sz w:val="20"/>
                <w:szCs w:val="20"/>
              </w:rPr>
            </w:pPr>
            <w:r w:rsidRPr="000C6715">
              <w:rPr>
                <w:rFonts w:ascii="Arial" w:hAnsi="Arial" w:cs="Arial"/>
                <w:color w:val="000000"/>
                <w:sz w:val="20"/>
                <w:szCs w:val="20"/>
              </w:rPr>
              <w:t>0.007</w:t>
            </w:r>
          </w:p>
        </w:tc>
        <w:tc>
          <w:tcPr>
            <w:tcW w:w="2268"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-1.82 (-3.56 to -0.09)</w:t>
            </w:r>
          </w:p>
        </w:tc>
        <w:tc>
          <w:tcPr>
            <w:tcW w:w="992" w:type="dxa"/>
            <w:tcBorders>
              <w:top w:val="nil"/>
              <w:bottom w:val="single" w:sz="4" w:space="0" w:color="auto"/>
            </w:tcBorders>
            <w:noWrap/>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0.040</w:t>
            </w:r>
          </w:p>
        </w:tc>
        <w:tc>
          <w:tcPr>
            <w:tcW w:w="2780"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-1.11 (-2.92 to 0.70)</w:t>
            </w:r>
          </w:p>
        </w:tc>
        <w:tc>
          <w:tcPr>
            <w:tcW w:w="1188" w:type="dxa"/>
            <w:tcBorders>
              <w:top w:val="nil"/>
              <w:bottom w:val="single" w:sz="4" w:space="0" w:color="auto"/>
            </w:tcBorders>
            <w:vAlign w:val="center"/>
          </w:tcPr>
          <w:p w:rsidR="005136A1" w:rsidRPr="000C6715" w:rsidRDefault="005136A1" w:rsidP="00AE5A0B">
            <w:pPr>
              <w:spacing w:after="0"/>
              <w:jc w:val="center"/>
              <w:rPr>
                <w:rFonts w:ascii="Arial" w:hAnsi="Arial" w:cs="Arial"/>
                <w:color w:val="000000"/>
                <w:sz w:val="20"/>
                <w:szCs w:val="20"/>
              </w:rPr>
            </w:pPr>
            <w:r>
              <w:rPr>
                <w:rFonts w:ascii="Arial" w:hAnsi="Arial" w:cs="Arial"/>
                <w:color w:val="000000"/>
                <w:sz w:val="20"/>
                <w:szCs w:val="20"/>
              </w:rPr>
              <w:t>0.219</w:t>
            </w:r>
          </w:p>
        </w:tc>
      </w:tr>
    </w:tbl>
    <w:p w:rsidR="005136A1" w:rsidRDefault="005136A1" w:rsidP="005136A1">
      <w:pPr>
        <w:rPr>
          <w:rFonts w:ascii="Arial" w:hAnsi="Arial" w:cs="Arial"/>
        </w:rPr>
      </w:pPr>
      <w:r>
        <w:rPr>
          <w:rFonts w:ascii="Arial" w:hAnsi="Arial" w:cs="Arial"/>
          <w:vertAlign w:val="superscript"/>
        </w:rPr>
        <w:t>a</w:t>
      </w:r>
      <w:r>
        <w:rPr>
          <w:rFonts w:ascii="Arial" w:hAnsi="Arial" w:cs="Arial"/>
        </w:rPr>
        <w:t xml:space="preserve">Adjusted for sex (in the combined sample) and age </w:t>
      </w:r>
      <w:r>
        <w:rPr>
          <w:rFonts w:ascii="Arial" w:hAnsi="Arial" w:cs="Arial"/>
          <w:vertAlign w:val="superscript"/>
        </w:rPr>
        <w:t>b</w:t>
      </w:r>
      <w:r>
        <w:rPr>
          <w:rFonts w:ascii="Arial" w:hAnsi="Arial" w:cs="Arial"/>
        </w:rPr>
        <w:t>Adjusted for sex (in the combined sample), age</w:t>
      </w:r>
      <w:r w:rsidRPr="00CD5F68">
        <w:rPr>
          <w:rFonts w:ascii="Arial" w:hAnsi="Arial" w:cs="Arial"/>
        </w:rPr>
        <w:t>, height, weight for height, smoking status, alcohol consumption and social class</w:t>
      </w:r>
      <w:r>
        <w:rPr>
          <w:rFonts w:ascii="Arial" w:hAnsi="Arial" w:cs="Arial"/>
        </w:rPr>
        <w:t xml:space="preserve"> </w:t>
      </w:r>
      <w:r>
        <w:rPr>
          <w:rFonts w:ascii="Arial" w:hAnsi="Arial" w:cs="Arial"/>
          <w:vertAlign w:val="superscript"/>
        </w:rPr>
        <w:t>c</w:t>
      </w:r>
      <w:r>
        <w:rPr>
          <w:rFonts w:ascii="Arial" w:hAnsi="Arial" w:cs="Arial"/>
        </w:rPr>
        <w:t>Adjusted for sex (in the combined sample), age</w:t>
      </w:r>
      <w:r w:rsidRPr="00CD5F68">
        <w:rPr>
          <w:rFonts w:ascii="Arial" w:hAnsi="Arial" w:cs="Arial"/>
        </w:rPr>
        <w:t>, height, weight for height, smok</w:t>
      </w:r>
      <w:r>
        <w:rPr>
          <w:rFonts w:ascii="Arial" w:hAnsi="Arial" w:cs="Arial"/>
        </w:rPr>
        <w:t xml:space="preserve">ing status, alcohol consumption, </w:t>
      </w:r>
      <w:r w:rsidRPr="00CD5F68">
        <w:rPr>
          <w:rFonts w:ascii="Arial" w:hAnsi="Arial" w:cs="Arial"/>
        </w:rPr>
        <w:t>social class</w:t>
      </w:r>
      <w:r>
        <w:rPr>
          <w:rFonts w:ascii="Arial" w:hAnsi="Arial" w:cs="Arial"/>
        </w:rPr>
        <w:t xml:space="preserve"> and CMV positivity.</w:t>
      </w:r>
    </w:p>
    <w:p w:rsidR="00D4233A" w:rsidRDefault="00D4233A" w:rsidP="00CF0754">
      <w:pPr>
        <w:tabs>
          <w:tab w:val="right" w:pos="360"/>
          <w:tab w:val="left" w:pos="540"/>
        </w:tabs>
        <w:spacing w:after="0" w:line="240" w:lineRule="auto"/>
        <w:ind w:left="540" w:hanging="540"/>
      </w:pPr>
    </w:p>
    <w:sectPr w:rsidR="00D4233A" w:rsidSect="00D4233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F8" w:rsidRDefault="000342F8" w:rsidP="00A861CE">
      <w:pPr>
        <w:spacing w:after="0" w:line="240" w:lineRule="auto"/>
      </w:pPr>
      <w:r>
        <w:separator/>
      </w:r>
    </w:p>
  </w:endnote>
  <w:endnote w:type="continuationSeparator" w:id="0">
    <w:p w:rsidR="000342F8" w:rsidRDefault="000342F8" w:rsidP="00A8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30" w:rsidRPr="007A7AFD" w:rsidRDefault="00083BA1">
    <w:pPr>
      <w:pStyle w:val="Footer"/>
      <w:jc w:val="center"/>
      <w:rPr>
        <w:rFonts w:ascii="Arial" w:hAnsi="Arial" w:cs="Arial"/>
        <w:sz w:val="20"/>
        <w:szCs w:val="20"/>
      </w:rPr>
    </w:pPr>
    <w:r w:rsidRPr="007A7AFD">
      <w:rPr>
        <w:rFonts w:ascii="Arial" w:hAnsi="Arial" w:cs="Arial"/>
        <w:sz w:val="20"/>
        <w:szCs w:val="20"/>
      </w:rPr>
      <w:fldChar w:fldCharType="begin"/>
    </w:r>
    <w:r w:rsidR="003A5430" w:rsidRPr="007A7AFD">
      <w:rPr>
        <w:rFonts w:ascii="Arial" w:hAnsi="Arial" w:cs="Arial"/>
        <w:sz w:val="20"/>
        <w:szCs w:val="20"/>
      </w:rPr>
      <w:instrText xml:space="preserve"> PAGE   \* MERGEFORMAT </w:instrText>
    </w:r>
    <w:r w:rsidRPr="007A7AFD">
      <w:rPr>
        <w:rFonts w:ascii="Arial" w:hAnsi="Arial" w:cs="Arial"/>
        <w:sz w:val="20"/>
        <w:szCs w:val="20"/>
      </w:rPr>
      <w:fldChar w:fldCharType="separate"/>
    </w:r>
    <w:r w:rsidR="006072A0">
      <w:rPr>
        <w:rFonts w:ascii="Arial" w:hAnsi="Arial" w:cs="Arial"/>
        <w:noProof/>
        <w:sz w:val="20"/>
        <w:szCs w:val="20"/>
      </w:rPr>
      <w:t>1</w:t>
    </w:r>
    <w:r w:rsidRPr="007A7AFD">
      <w:rPr>
        <w:rFonts w:ascii="Arial" w:hAnsi="Arial" w:cs="Arial"/>
        <w:sz w:val="20"/>
        <w:szCs w:val="20"/>
      </w:rPr>
      <w:fldChar w:fldCharType="end"/>
    </w:r>
  </w:p>
  <w:p w:rsidR="003A5430" w:rsidRDefault="003A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F8" w:rsidRDefault="000342F8" w:rsidP="00A861CE">
      <w:pPr>
        <w:spacing w:after="0" w:line="240" w:lineRule="auto"/>
      </w:pPr>
      <w:r>
        <w:separator/>
      </w:r>
    </w:p>
  </w:footnote>
  <w:footnote w:type="continuationSeparator" w:id="0">
    <w:p w:rsidR="000342F8" w:rsidRDefault="000342F8" w:rsidP="00A86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F0023"/>
    <w:multiLevelType w:val="multilevel"/>
    <w:tmpl w:val="6868BFA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384FB3"/>
    <w:rsid w:val="00027A9C"/>
    <w:rsid w:val="000342F8"/>
    <w:rsid w:val="0005587D"/>
    <w:rsid w:val="000668F8"/>
    <w:rsid w:val="00083BA1"/>
    <w:rsid w:val="00084213"/>
    <w:rsid w:val="00136EED"/>
    <w:rsid w:val="00176A4B"/>
    <w:rsid w:val="0021302D"/>
    <w:rsid w:val="002B0444"/>
    <w:rsid w:val="002F3942"/>
    <w:rsid w:val="00334539"/>
    <w:rsid w:val="00384FB3"/>
    <w:rsid w:val="003A5430"/>
    <w:rsid w:val="003C7FB5"/>
    <w:rsid w:val="00410ACB"/>
    <w:rsid w:val="004203F2"/>
    <w:rsid w:val="00441921"/>
    <w:rsid w:val="004612C7"/>
    <w:rsid w:val="005136A1"/>
    <w:rsid w:val="00560228"/>
    <w:rsid w:val="0057602D"/>
    <w:rsid w:val="006072A0"/>
    <w:rsid w:val="006502E4"/>
    <w:rsid w:val="0069097E"/>
    <w:rsid w:val="007017A3"/>
    <w:rsid w:val="00725C44"/>
    <w:rsid w:val="00746C61"/>
    <w:rsid w:val="0079770B"/>
    <w:rsid w:val="007C270A"/>
    <w:rsid w:val="007D3937"/>
    <w:rsid w:val="00830326"/>
    <w:rsid w:val="00834402"/>
    <w:rsid w:val="008B6B5E"/>
    <w:rsid w:val="0090594F"/>
    <w:rsid w:val="00987072"/>
    <w:rsid w:val="009955CB"/>
    <w:rsid w:val="009B2311"/>
    <w:rsid w:val="00A861CE"/>
    <w:rsid w:val="00A86AE0"/>
    <w:rsid w:val="00B62801"/>
    <w:rsid w:val="00B823DA"/>
    <w:rsid w:val="00BA44D6"/>
    <w:rsid w:val="00C35257"/>
    <w:rsid w:val="00CC7049"/>
    <w:rsid w:val="00CF0754"/>
    <w:rsid w:val="00CF5D09"/>
    <w:rsid w:val="00D4233A"/>
    <w:rsid w:val="00D54963"/>
    <w:rsid w:val="00DB20CE"/>
    <w:rsid w:val="00F102FF"/>
    <w:rsid w:val="00F70C4A"/>
    <w:rsid w:val="00FC2680"/>
    <w:rsid w:val="00FD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B3"/>
    <w:rPr>
      <w:rFonts w:ascii="Calibri" w:eastAsia="Times New Roman" w:hAnsi="Calibri" w:cs="Times New Roman"/>
      <w:lang w:val="en-GB"/>
    </w:rPr>
  </w:style>
  <w:style w:type="paragraph" w:styleId="Heading1">
    <w:name w:val="heading 1"/>
    <w:basedOn w:val="Normal"/>
    <w:next w:val="Normal"/>
    <w:link w:val="Heading1Char"/>
    <w:qFormat/>
    <w:rsid w:val="00176A4B"/>
    <w:pPr>
      <w:keepNext/>
      <w:numPr>
        <w:numId w:val="9"/>
      </w:numPr>
      <w:spacing w:after="240"/>
      <w:outlineLvl w:val="0"/>
    </w:pPr>
    <w:rPr>
      <w:rFonts w:cs="Arial"/>
      <w:b/>
      <w:bCs/>
      <w:kern w:val="32"/>
      <w:sz w:val="36"/>
      <w:szCs w:val="32"/>
    </w:rPr>
  </w:style>
  <w:style w:type="paragraph" w:styleId="Heading2">
    <w:name w:val="heading 2"/>
    <w:basedOn w:val="Normal"/>
    <w:next w:val="Normal"/>
    <w:link w:val="Heading2Char"/>
    <w:qFormat/>
    <w:rsid w:val="00176A4B"/>
    <w:pPr>
      <w:keepNext/>
      <w:numPr>
        <w:ilvl w:val="1"/>
        <w:numId w:val="9"/>
      </w:numPr>
      <w:spacing w:before="360"/>
      <w:outlineLvl w:val="1"/>
    </w:pPr>
    <w:rPr>
      <w:rFonts w:cs="Arial"/>
      <w:b/>
      <w:bCs/>
      <w:sz w:val="28"/>
      <w:lang w:eastAsia="en-GB"/>
    </w:rPr>
  </w:style>
  <w:style w:type="paragraph" w:styleId="Heading3">
    <w:name w:val="heading 3"/>
    <w:basedOn w:val="Normal"/>
    <w:next w:val="Normal"/>
    <w:link w:val="Heading3Char"/>
    <w:qFormat/>
    <w:rsid w:val="00176A4B"/>
    <w:pPr>
      <w:keepNext/>
      <w:numPr>
        <w:ilvl w:val="2"/>
        <w:numId w:val="9"/>
      </w:numPr>
      <w:spacing w:before="360"/>
      <w:outlineLvl w:val="2"/>
    </w:pPr>
    <w:rPr>
      <w:rFonts w:cs="Arial"/>
      <w:b/>
      <w:bCs/>
      <w:szCs w:val="26"/>
    </w:rPr>
  </w:style>
  <w:style w:type="paragraph" w:styleId="Heading4">
    <w:name w:val="heading 4"/>
    <w:basedOn w:val="Normal"/>
    <w:next w:val="Normal"/>
    <w:link w:val="Heading4Char"/>
    <w:qFormat/>
    <w:rsid w:val="00176A4B"/>
    <w:pPr>
      <w:keepNext/>
      <w:numPr>
        <w:ilvl w:val="3"/>
        <w:numId w:val="9"/>
      </w:numPr>
      <w:spacing w:before="200"/>
      <w:outlineLvl w:val="3"/>
    </w:pPr>
    <w:rPr>
      <w:rFonts w:eastAsiaTheme="majorEastAsia" w:cstheme="majorBidi"/>
      <w:b/>
      <w:bCs/>
      <w:iCs/>
    </w:rPr>
  </w:style>
  <w:style w:type="paragraph" w:styleId="Heading5">
    <w:name w:val="heading 5"/>
    <w:basedOn w:val="Normal"/>
    <w:next w:val="Normal"/>
    <w:link w:val="Heading5Char"/>
    <w:qFormat/>
    <w:rsid w:val="00176A4B"/>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176A4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6A4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A4B"/>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76A4B"/>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B3"/>
    <w:pPr>
      <w:ind w:left="720"/>
      <w:contextualSpacing/>
    </w:pPr>
  </w:style>
  <w:style w:type="character" w:customStyle="1" w:styleId="Heading1Char">
    <w:name w:val="Heading 1 Char"/>
    <w:basedOn w:val="DefaultParagraphFont"/>
    <w:link w:val="Heading1"/>
    <w:rsid w:val="00176A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176A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176A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176A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176A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176A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176A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176A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176A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176A4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176A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176A4B"/>
    <w:pPr>
      <w:ind w:left="425" w:right="425"/>
    </w:pPr>
    <w:rPr>
      <w:iCs/>
    </w:rPr>
  </w:style>
  <w:style w:type="paragraph" w:customStyle="1" w:styleId="ContentsSubheading">
    <w:name w:val="Contents Subheading"/>
    <w:basedOn w:val="Contents"/>
    <w:next w:val="Normal"/>
    <w:qFormat/>
    <w:rsid w:val="00176A4B"/>
    <w:pPr>
      <w:outlineLvl w:val="1"/>
    </w:pPr>
    <w:rPr>
      <w:sz w:val="28"/>
    </w:rPr>
  </w:style>
  <w:style w:type="paragraph" w:customStyle="1" w:styleId="Declaration">
    <w:name w:val="Declaration"/>
    <w:basedOn w:val="Normal"/>
    <w:qFormat/>
    <w:rsid w:val="00176A4B"/>
  </w:style>
  <w:style w:type="character" w:styleId="Hyperlink">
    <w:name w:val="Hyperlink"/>
    <w:basedOn w:val="DefaultParagraphFont"/>
    <w:uiPriority w:val="99"/>
    <w:semiHidden/>
    <w:rsid w:val="00384FB3"/>
    <w:rPr>
      <w:rFonts w:cs="Times New Roman"/>
      <w:color w:val="0000FF"/>
      <w:u w:val="single"/>
    </w:rPr>
  </w:style>
  <w:style w:type="paragraph" w:customStyle="1" w:styleId="Alexdouble">
    <w:name w:val="Alex double"/>
    <w:basedOn w:val="Normal"/>
    <w:uiPriority w:val="99"/>
    <w:rsid w:val="00384FB3"/>
    <w:pPr>
      <w:spacing w:after="0" w:line="480" w:lineRule="auto"/>
      <w:jc w:val="both"/>
    </w:pPr>
    <w:rPr>
      <w:rFonts w:ascii="Times New Roman" w:hAnsi="Times New Roman"/>
      <w:sz w:val="24"/>
      <w:szCs w:val="20"/>
    </w:rPr>
  </w:style>
  <w:style w:type="paragraph" w:styleId="BalloonText">
    <w:name w:val="Balloon Text"/>
    <w:basedOn w:val="Normal"/>
    <w:link w:val="BalloonTextChar"/>
    <w:uiPriority w:val="99"/>
    <w:semiHidden/>
    <w:unhideWhenUsed/>
    <w:rsid w:val="0038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B3"/>
    <w:rPr>
      <w:rFonts w:ascii="Tahoma" w:eastAsia="Times New Roman" w:hAnsi="Tahoma" w:cs="Tahoma"/>
      <w:sz w:val="16"/>
      <w:szCs w:val="16"/>
      <w:lang w:val="en-GB"/>
    </w:rPr>
  </w:style>
  <w:style w:type="table" w:styleId="TableGrid">
    <w:name w:val="Table Grid"/>
    <w:basedOn w:val="TableNormal"/>
    <w:uiPriority w:val="59"/>
    <w:rsid w:val="00384FB3"/>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4FB3"/>
    <w:rPr>
      <w:rFonts w:cs="Times New Roman"/>
      <w:sz w:val="16"/>
      <w:szCs w:val="16"/>
    </w:rPr>
  </w:style>
  <w:style w:type="paragraph" w:styleId="CommentText">
    <w:name w:val="annotation text"/>
    <w:basedOn w:val="Normal"/>
    <w:link w:val="CommentTextChar"/>
    <w:uiPriority w:val="99"/>
    <w:semiHidden/>
    <w:unhideWhenUsed/>
    <w:rsid w:val="00384FB3"/>
    <w:pPr>
      <w:spacing w:line="240" w:lineRule="auto"/>
    </w:pPr>
    <w:rPr>
      <w:sz w:val="20"/>
      <w:szCs w:val="20"/>
    </w:rPr>
  </w:style>
  <w:style w:type="character" w:customStyle="1" w:styleId="CommentTextChar">
    <w:name w:val="Comment Text Char"/>
    <w:basedOn w:val="DefaultParagraphFont"/>
    <w:link w:val="CommentText"/>
    <w:uiPriority w:val="99"/>
    <w:semiHidden/>
    <w:rsid w:val="00384FB3"/>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4FB3"/>
    <w:rPr>
      <w:b/>
      <w:bCs/>
    </w:rPr>
  </w:style>
  <w:style w:type="character" w:customStyle="1" w:styleId="CommentSubjectChar">
    <w:name w:val="Comment Subject Char"/>
    <w:basedOn w:val="CommentTextChar"/>
    <w:link w:val="CommentSubject"/>
    <w:uiPriority w:val="99"/>
    <w:semiHidden/>
    <w:rsid w:val="00384FB3"/>
    <w:rPr>
      <w:rFonts w:ascii="Calibri" w:eastAsia="Times New Roman" w:hAnsi="Calibri" w:cs="Times New Roman"/>
      <w:b/>
      <w:bCs/>
      <w:sz w:val="20"/>
      <w:szCs w:val="20"/>
      <w:lang w:val="en-GB"/>
    </w:rPr>
  </w:style>
  <w:style w:type="character" w:customStyle="1" w:styleId="apple-converted-space">
    <w:name w:val="apple-converted-space"/>
    <w:basedOn w:val="DefaultParagraphFont"/>
    <w:rsid w:val="00384FB3"/>
    <w:rPr>
      <w:rFonts w:cs="Times New Roman"/>
    </w:rPr>
  </w:style>
  <w:style w:type="character" w:styleId="FollowedHyperlink">
    <w:name w:val="FollowedHyperlink"/>
    <w:basedOn w:val="DefaultParagraphFont"/>
    <w:uiPriority w:val="99"/>
    <w:semiHidden/>
    <w:unhideWhenUsed/>
    <w:rsid w:val="00384FB3"/>
    <w:rPr>
      <w:rFonts w:cs="Times New Roman"/>
      <w:color w:val="800080"/>
      <w:u w:val="single"/>
    </w:rPr>
  </w:style>
  <w:style w:type="paragraph" w:styleId="Revision">
    <w:name w:val="Revision"/>
    <w:hidden/>
    <w:uiPriority w:val="99"/>
    <w:semiHidden/>
    <w:rsid w:val="00384FB3"/>
    <w:pPr>
      <w:spacing w:after="0" w:line="240" w:lineRule="auto"/>
    </w:pPr>
    <w:rPr>
      <w:rFonts w:ascii="Calibri" w:eastAsia="Times New Roman" w:hAnsi="Calibri" w:cs="Times New Roman"/>
      <w:lang w:val="en-GB"/>
    </w:rPr>
  </w:style>
  <w:style w:type="paragraph" w:styleId="Header">
    <w:name w:val="header"/>
    <w:basedOn w:val="Normal"/>
    <w:link w:val="HeaderChar"/>
    <w:uiPriority w:val="99"/>
    <w:semiHidden/>
    <w:unhideWhenUsed/>
    <w:rsid w:val="00384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FB3"/>
    <w:rPr>
      <w:rFonts w:ascii="Calibri" w:eastAsia="Times New Roman" w:hAnsi="Calibri" w:cs="Times New Roman"/>
      <w:lang w:val="en-GB"/>
    </w:rPr>
  </w:style>
  <w:style w:type="paragraph" w:styleId="Footer">
    <w:name w:val="footer"/>
    <w:basedOn w:val="Normal"/>
    <w:link w:val="FooterChar"/>
    <w:uiPriority w:val="99"/>
    <w:unhideWhenUsed/>
    <w:rsid w:val="0038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B3"/>
    <w:rPr>
      <w:rFonts w:ascii="Calibri" w:eastAsia="Times New Roman" w:hAnsi="Calibri" w:cs="Times New Roman"/>
      <w:lang w:val="en-GB"/>
    </w:rPr>
  </w:style>
  <w:style w:type="paragraph" w:styleId="DocumentMap">
    <w:name w:val="Document Map"/>
    <w:basedOn w:val="Normal"/>
    <w:link w:val="DocumentMapChar"/>
    <w:uiPriority w:val="99"/>
    <w:semiHidden/>
    <w:unhideWhenUsed/>
    <w:rsid w:val="00384F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4FB3"/>
    <w:rPr>
      <w:rFonts w:ascii="Tahoma" w:eastAsia="Times New Roman" w:hAnsi="Tahoma" w:cs="Tahoma"/>
      <w:sz w:val="16"/>
      <w:szCs w:val="16"/>
      <w:lang w:val="en-GB"/>
    </w:rPr>
  </w:style>
  <w:style w:type="character" w:styleId="LineNumber">
    <w:name w:val="line number"/>
    <w:basedOn w:val="DefaultParagraphFont"/>
    <w:uiPriority w:val="99"/>
    <w:semiHidden/>
    <w:unhideWhenUsed/>
    <w:rsid w:val="00384FB3"/>
  </w:style>
  <w:style w:type="character" w:styleId="Emphasis">
    <w:name w:val="Emphasis"/>
    <w:basedOn w:val="DefaultParagraphFont"/>
    <w:uiPriority w:val="20"/>
    <w:qFormat/>
    <w:rsid w:val="00384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B3"/>
    <w:rPr>
      <w:rFonts w:ascii="Calibri" w:eastAsia="Times New Roman" w:hAnsi="Calibri" w:cs="Times New Roman"/>
      <w:lang w:val="en-GB"/>
    </w:rPr>
  </w:style>
  <w:style w:type="paragraph" w:styleId="Heading1">
    <w:name w:val="heading 1"/>
    <w:basedOn w:val="Normal"/>
    <w:next w:val="Normal"/>
    <w:link w:val="Heading1Char"/>
    <w:qFormat/>
    <w:rsid w:val="00176A4B"/>
    <w:pPr>
      <w:keepNext/>
      <w:numPr>
        <w:numId w:val="9"/>
      </w:numPr>
      <w:spacing w:after="240"/>
      <w:outlineLvl w:val="0"/>
    </w:pPr>
    <w:rPr>
      <w:rFonts w:cs="Arial"/>
      <w:b/>
      <w:bCs/>
      <w:kern w:val="32"/>
      <w:sz w:val="36"/>
      <w:szCs w:val="32"/>
    </w:rPr>
  </w:style>
  <w:style w:type="paragraph" w:styleId="Heading2">
    <w:name w:val="heading 2"/>
    <w:basedOn w:val="Normal"/>
    <w:next w:val="Normal"/>
    <w:link w:val="Heading2Char"/>
    <w:qFormat/>
    <w:rsid w:val="00176A4B"/>
    <w:pPr>
      <w:keepNext/>
      <w:numPr>
        <w:ilvl w:val="1"/>
        <w:numId w:val="9"/>
      </w:numPr>
      <w:spacing w:before="360"/>
      <w:outlineLvl w:val="1"/>
    </w:pPr>
    <w:rPr>
      <w:rFonts w:cs="Arial"/>
      <w:b/>
      <w:bCs/>
      <w:sz w:val="28"/>
      <w:lang w:eastAsia="en-GB"/>
    </w:rPr>
  </w:style>
  <w:style w:type="paragraph" w:styleId="Heading3">
    <w:name w:val="heading 3"/>
    <w:basedOn w:val="Normal"/>
    <w:next w:val="Normal"/>
    <w:link w:val="Heading3Char"/>
    <w:qFormat/>
    <w:rsid w:val="00176A4B"/>
    <w:pPr>
      <w:keepNext/>
      <w:numPr>
        <w:ilvl w:val="2"/>
        <w:numId w:val="9"/>
      </w:numPr>
      <w:spacing w:before="360"/>
      <w:outlineLvl w:val="2"/>
    </w:pPr>
    <w:rPr>
      <w:rFonts w:cs="Arial"/>
      <w:b/>
      <w:bCs/>
      <w:szCs w:val="26"/>
    </w:rPr>
  </w:style>
  <w:style w:type="paragraph" w:styleId="Heading4">
    <w:name w:val="heading 4"/>
    <w:basedOn w:val="Normal"/>
    <w:next w:val="Normal"/>
    <w:link w:val="Heading4Char"/>
    <w:qFormat/>
    <w:rsid w:val="00176A4B"/>
    <w:pPr>
      <w:keepNext/>
      <w:numPr>
        <w:ilvl w:val="3"/>
        <w:numId w:val="9"/>
      </w:numPr>
      <w:spacing w:before="200"/>
      <w:outlineLvl w:val="3"/>
    </w:pPr>
    <w:rPr>
      <w:rFonts w:eastAsiaTheme="majorEastAsia" w:cstheme="majorBidi"/>
      <w:b/>
      <w:bCs/>
      <w:iCs/>
    </w:rPr>
  </w:style>
  <w:style w:type="paragraph" w:styleId="Heading5">
    <w:name w:val="heading 5"/>
    <w:basedOn w:val="Normal"/>
    <w:next w:val="Normal"/>
    <w:link w:val="Heading5Char"/>
    <w:qFormat/>
    <w:rsid w:val="00176A4B"/>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176A4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6A4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A4B"/>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76A4B"/>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B3"/>
    <w:pPr>
      <w:ind w:left="720"/>
      <w:contextualSpacing/>
    </w:pPr>
  </w:style>
  <w:style w:type="character" w:customStyle="1" w:styleId="Heading1Char">
    <w:name w:val="Heading 1 Char"/>
    <w:basedOn w:val="DefaultParagraphFont"/>
    <w:link w:val="Heading1"/>
    <w:rsid w:val="00176A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176A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176A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176A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176A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176A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176A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176A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176A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176A4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176A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176A4B"/>
    <w:pPr>
      <w:ind w:left="425" w:right="425"/>
    </w:pPr>
    <w:rPr>
      <w:iCs/>
    </w:rPr>
  </w:style>
  <w:style w:type="paragraph" w:customStyle="1" w:styleId="ContentsSubheading">
    <w:name w:val="Contents Subheading"/>
    <w:basedOn w:val="Contents"/>
    <w:next w:val="Normal"/>
    <w:qFormat/>
    <w:rsid w:val="00176A4B"/>
    <w:pPr>
      <w:outlineLvl w:val="1"/>
    </w:pPr>
    <w:rPr>
      <w:sz w:val="28"/>
    </w:rPr>
  </w:style>
  <w:style w:type="paragraph" w:customStyle="1" w:styleId="Declaration">
    <w:name w:val="Declaration"/>
    <w:basedOn w:val="Normal"/>
    <w:qFormat/>
    <w:rsid w:val="00176A4B"/>
  </w:style>
  <w:style w:type="character" w:styleId="Hyperlink">
    <w:name w:val="Hyperlink"/>
    <w:basedOn w:val="DefaultParagraphFont"/>
    <w:uiPriority w:val="99"/>
    <w:semiHidden/>
    <w:rsid w:val="00384FB3"/>
    <w:rPr>
      <w:rFonts w:cs="Times New Roman"/>
      <w:color w:val="0000FF"/>
      <w:u w:val="single"/>
    </w:rPr>
  </w:style>
  <w:style w:type="paragraph" w:customStyle="1" w:styleId="Alexdouble">
    <w:name w:val="Alex double"/>
    <w:basedOn w:val="Normal"/>
    <w:uiPriority w:val="99"/>
    <w:rsid w:val="00384FB3"/>
    <w:pPr>
      <w:spacing w:after="0" w:line="480" w:lineRule="auto"/>
      <w:jc w:val="both"/>
    </w:pPr>
    <w:rPr>
      <w:rFonts w:ascii="Times New Roman" w:hAnsi="Times New Roman"/>
      <w:sz w:val="24"/>
      <w:szCs w:val="20"/>
    </w:rPr>
  </w:style>
  <w:style w:type="paragraph" w:styleId="BalloonText">
    <w:name w:val="Balloon Text"/>
    <w:basedOn w:val="Normal"/>
    <w:link w:val="BalloonTextChar"/>
    <w:uiPriority w:val="99"/>
    <w:semiHidden/>
    <w:unhideWhenUsed/>
    <w:rsid w:val="0038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B3"/>
    <w:rPr>
      <w:rFonts w:ascii="Tahoma" w:eastAsia="Times New Roman" w:hAnsi="Tahoma" w:cs="Tahoma"/>
      <w:sz w:val="16"/>
      <w:szCs w:val="16"/>
      <w:lang w:val="en-GB"/>
    </w:rPr>
  </w:style>
  <w:style w:type="table" w:styleId="TableGrid">
    <w:name w:val="Table Grid"/>
    <w:basedOn w:val="TableNormal"/>
    <w:uiPriority w:val="59"/>
    <w:rsid w:val="00384FB3"/>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4FB3"/>
    <w:rPr>
      <w:rFonts w:cs="Times New Roman"/>
      <w:sz w:val="16"/>
      <w:szCs w:val="16"/>
    </w:rPr>
  </w:style>
  <w:style w:type="paragraph" w:styleId="CommentText">
    <w:name w:val="annotation text"/>
    <w:basedOn w:val="Normal"/>
    <w:link w:val="CommentTextChar"/>
    <w:uiPriority w:val="99"/>
    <w:semiHidden/>
    <w:unhideWhenUsed/>
    <w:rsid w:val="00384FB3"/>
    <w:pPr>
      <w:spacing w:line="240" w:lineRule="auto"/>
    </w:pPr>
    <w:rPr>
      <w:sz w:val="20"/>
      <w:szCs w:val="20"/>
    </w:rPr>
  </w:style>
  <w:style w:type="character" w:customStyle="1" w:styleId="CommentTextChar">
    <w:name w:val="Comment Text Char"/>
    <w:basedOn w:val="DefaultParagraphFont"/>
    <w:link w:val="CommentText"/>
    <w:uiPriority w:val="99"/>
    <w:semiHidden/>
    <w:rsid w:val="00384FB3"/>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4FB3"/>
    <w:rPr>
      <w:b/>
      <w:bCs/>
    </w:rPr>
  </w:style>
  <w:style w:type="character" w:customStyle="1" w:styleId="CommentSubjectChar">
    <w:name w:val="Comment Subject Char"/>
    <w:basedOn w:val="CommentTextChar"/>
    <w:link w:val="CommentSubject"/>
    <w:uiPriority w:val="99"/>
    <w:semiHidden/>
    <w:rsid w:val="00384FB3"/>
    <w:rPr>
      <w:rFonts w:ascii="Calibri" w:eastAsia="Times New Roman" w:hAnsi="Calibri" w:cs="Times New Roman"/>
      <w:b/>
      <w:bCs/>
      <w:sz w:val="20"/>
      <w:szCs w:val="20"/>
      <w:lang w:val="en-GB"/>
    </w:rPr>
  </w:style>
  <w:style w:type="character" w:customStyle="1" w:styleId="apple-converted-space">
    <w:name w:val="apple-converted-space"/>
    <w:basedOn w:val="DefaultParagraphFont"/>
    <w:rsid w:val="00384FB3"/>
    <w:rPr>
      <w:rFonts w:cs="Times New Roman"/>
    </w:rPr>
  </w:style>
  <w:style w:type="character" w:styleId="FollowedHyperlink">
    <w:name w:val="FollowedHyperlink"/>
    <w:basedOn w:val="DefaultParagraphFont"/>
    <w:uiPriority w:val="99"/>
    <w:semiHidden/>
    <w:unhideWhenUsed/>
    <w:rsid w:val="00384FB3"/>
    <w:rPr>
      <w:rFonts w:cs="Times New Roman"/>
      <w:color w:val="800080"/>
      <w:u w:val="single"/>
    </w:rPr>
  </w:style>
  <w:style w:type="paragraph" w:styleId="Revision">
    <w:name w:val="Revision"/>
    <w:hidden/>
    <w:uiPriority w:val="99"/>
    <w:semiHidden/>
    <w:rsid w:val="00384FB3"/>
    <w:pPr>
      <w:spacing w:after="0" w:line="240" w:lineRule="auto"/>
    </w:pPr>
    <w:rPr>
      <w:rFonts w:ascii="Calibri" w:eastAsia="Times New Roman" w:hAnsi="Calibri" w:cs="Times New Roman"/>
      <w:lang w:val="en-GB"/>
    </w:rPr>
  </w:style>
  <w:style w:type="paragraph" w:styleId="Header">
    <w:name w:val="header"/>
    <w:basedOn w:val="Normal"/>
    <w:link w:val="HeaderChar"/>
    <w:uiPriority w:val="99"/>
    <w:semiHidden/>
    <w:unhideWhenUsed/>
    <w:rsid w:val="00384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FB3"/>
    <w:rPr>
      <w:rFonts w:ascii="Calibri" w:eastAsia="Times New Roman" w:hAnsi="Calibri" w:cs="Times New Roman"/>
      <w:lang w:val="en-GB"/>
    </w:rPr>
  </w:style>
  <w:style w:type="paragraph" w:styleId="Footer">
    <w:name w:val="footer"/>
    <w:basedOn w:val="Normal"/>
    <w:link w:val="FooterChar"/>
    <w:uiPriority w:val="99"/>
    <w:unhideWhenUsed/>
    <w:rsid w:val="0038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B3"/>
    <w:rPr>
      <w:rFonts w:ascii="Calibri" w:eastAsia="Times New Roman" w:hAnsi="Calibri" w:cs="Times New Roman"/>
      <w:lang w:val="en-GB"/>
    </w:rPr>
  </w:style>
  <w:style w:type="paragraph" w:styleId="DocumentMap">
    <w:name w:val="Document Map"/>
    <w:basedOn w:val="Normal"/>
    <w:link w:val="DocumentMapChar"/>
    <w:uiPriority w:val="99"/>
    <w:semiHidden/>
    <w:unhideWhenUsed/>
    <w:rsid w:val="00384F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4FB3"/>
    <w:rPr>
      <w:rFonts w:ascii="Tahoma" w:eastAsia="Times New Roman" w:hAnsi="Tahoma" w:cs="Tahoma"/>
      <w:sz w:val="16"/>
      <w:szCs w:val="16"/>
      <w:lang w:val="en-GB"/>
    </w:rPr>
  </w:style>
  <w:style w:type="character" w:styleId="LineNumber">
    <w:name w:val="line number"/>
    <w:basedOn w:val="DefaultParagraphFont"/>
    <w:uiPriority w:val="99"/>
    <w:semiHidden/>
    <w:unhideWhenUsed/>
    <w:rsid w:val="00384FB3"/>
  </w:style>
  <w:style w:type="character" w:styleId="Emphasis">
    <w:name w:val="Emphasis"/>
    <w:basedOn w:val="DefaultParagraphFont"/>
    <w:uiPriority w:val="20"/>
    <w:qFormat/>
    <w:rsid w:val="00384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5689">
      <w:bodyDiv w:val="1"/>
      <w:marLeft w:val="0"/>
      <w:marRight w:val="0"/>
      <w:marTop w:val="0"/>
      <w:marBottom w:val="0"/>
      <w:divBdr>
        <w:top w:val="none" w:sz="0" w:space="0" w:color="auto"/>
        <w:left w:val="none" w:sz="0" w:space="0" w:color="auto"/>
        <w:bottom w:val="none" w:sz="0" w:space="0" w:color="auto"/>
        <w:right w:val="none" w:sz="0" w:space="0" w:color="auto"/>
      </w:divBdr>
      <w:divsChild>
        <w:div w:id="924264221">
          <w:marLeft w:val="0"/>
          <w:marRight w:val="0"/>
          <w:marTop w:val="0"/>
          <w:marBottom w:val="0"/>
          <w:divBdr>
            <w:top w:val="none" w:sz="0" w:space="0" w:color="auto"/>
            <w:left w:val="none" w:sz="0" w:space="0" w:color="auto"/>
            <w:bottom w:val="none" w:sz="0" w:space="0" w:color="auto"/>
            <w:right w:val="none" w:sz="0" w:space="0" w:color="auto"/>
          </w:divBdr>
        </w:div>
      </w:divsChild>
    </w:div>
    <w:div w:id="20521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42386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Karen Drake</cp:lastModifiedBy>
  <cp:revision>2</cp:revision>
  <dcterms:created xsi:type="dcterms:W3CDTF">2014-06-23T14:10:00Z</dcterms:created>
  <dcterms:modified xsi:type="dcterms:W3CDTF">2014-06-23T14:10:00Z</dcterms:modified>
</cp:coreProperties>
</file>