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85" w:rsidRPr="00D97194" w:rsidRDefault="00732085" w:rsidP="003B19C5">
      <w:pPr>
        <w:spacing w:after="200" w:line="480" w:lineRule="auto"/>
        <w:jc w:val="center"/>
        <w:rPr>
          <w:b/>
          <w:sz w:val="24"/>
          <w:szCs w:val="24"/>
        </w:rPr>
      </w:pPr>
      <w:bookmarkStart w:id="0" w:name="_GoBack"/>
      <w:bookmarkEnd w:id="0"/>
      <w:r w:rsidRPr="00D97194">
        <w:rPr>
          <w:b/>
          <w:sz w:val="24"/>
          <w:szCs w:val="24"/>
        </w:rPr>
        <w:t xml:space="preserve">EXPOSURE TO HEAVY </w:t>
      </w:r>
      <w:r w:rsidR="001C55B3">
        <w:rPr>
          <w:b/>
          <w:sz w:val="24"/>
          <w:szCs w:val="24"/>
        </w:rPr>
        <w:t xml:space="preserve">PHYSICAL </w:t>
      </w:r>
      <w:r w:rsidRPr="00D97194">
        <w:rPr>
          <w:b/>
          <w:sz w:val="24"/>
          <w:szCs w:val="24"/>
        </w:rPr>
        <w:t>OCCUPATIONAL ACTIVITIES DURING WORKING-LIFE AND BONE MINERAL DENSITY AT THE HIP AT RETIREMENT AGE</w:t>
      </w:r>
    </w:p>
    <w:p w:rsidR="00732085" w:rsidRPr="00D97194" w:rsidRDefault="00732085" w:rsidP="00732085">
      <w:pPr>
        <w:spacing w:after="200" w:line="480" w:lineRule="auto"/>
        <w:rPr>
          <w:b/>
          <w:sz w:val="24"/>
          <w:szCs w:val="24"/>
        </w:rPr>
      </w:pPr>
    </w:p>
    <w:p w:rsidR="00732085" w:rsidRPr="00D97194" w:rsidRDefault="00732085" w:rsidP="00732085">
      <w:pPr>
        <w:spacing w:after="200" w:line="480" w:lineRule="auto"/>
        <w:rPr>
          <w:b/>
          <w:sz w:val="24"/>
          <w:szCs w:val="24"/>
        </w:rPr>
      </w:pPr>
      <w:r w:rsidRPr="00D97194">
        <w:rPr>
          <w:b/>
          <w:sz w:val="24"/>
          <w:szCs w:val="24"/>
        </w:rPr>
        <w:t>Walker-Bone K</w:t>
      </w:r>
      <w:r w:rsidR="00F429F7">
        <w:rPr>
          <w:b/>
          <w:sz w:val="24"/>
          <w:szCs w:val="24"/>
          <w:vertAlign w:val="superscript"/>
        </w:rPr>
        <w:t>1</w:t>
      </w:r>
      <w:r w:rsidR="00F429F7">
        <w:rPr>
          <w:b/>
          <w:sz w:val="24"/>
          <w:szCs w:val="24"/>
        </w:rPr>
        <w:t xml:space="preserve"> – Reader in Occupational Rheumatology</w:t>
      </w:r>
    </w:p>
    <w:p w:rsidR="00732085" w:rsidRPr="00D97194" w:rsidRDefault="00732085" w:rsidP="00732085">
      <w:pPr>
        <w:spacing w:after="200" w:line="480" w:lineRule="auto"/>
        <w:rPr>
          <w:b/>
          <w:sz w:val="24"/>
          <w:szCs w:val="24"/>
        </w:rPr>
      </w:pPr>
      <w:r w:rsidRPr="00D97194">
        <w:rPr>
          <w:b/>
          <w:sz w:val="24"/>
          <w:szCs w:val="24"/>
        </w:rPr>
        <w:t>D’Angelo S</w:t>
      </w:r>
      <w:r w:rsidR="00F429F7">
        <w:rPr>
          <w:b/>
          <w:sz w:val="24"/>
          <w:szCs w:val="24"/>
          <w:vertAlign w:val="superscript"/>
        </w:rPr>
        <w:t>1</w:t>
      </w:r>
      <w:r w:rsidR="00F429F7">
        <w:rPr>
          <w:b/>
          <w:sz w:val="24"/>
          <w:szCs w:val="24"/>
        </w:rPr>
        <w:t xml:space="preserve"> - Statistician</w:t>
      </w:r>
    </w:p>
    <w:p w:rsidR="00732085" w:rsidRPr="00D97194" w:rsidRDefault="00732085" w:rsidP="00732085">
      <w:pPr>
        <w:spacing w:after="200" w:line="480" w:lineRule="auto"/>
        <w:rPr>
          <w:b/>
          <w:sz w:val="24"/>
          <w:szCs w:val="24"/>
        </w:rPr>
      </w:pPr>
      <w:r w:rsidRPr="00D97194">
        <w:rPr>
          <w:b/>
          <w:sz w:val="24"/>
          <w:szCs w:val="24"/>
        </w:rPr>
        <w:t>Syddall H</w:t>
      </w:r>
      <w:r w:rsidR="005C534E" w:rsidRPr="00D97194">
        <w:rPr>
          <w:b/>
          <w:sz w:val="24"/>
          <w:szCs w:val="24"/>
        </w:rPr>
        <w:t>E</w:t>
      </w:r>
      <w:r w:rsidR="00F429F7">
        <w:rPr>
          <w:b/>
          <w:sz w:val="24"/>
          <w:szCs w:val="24"/>
          <w:vertAlign w:val="superscript"/>
        </w:rPr>
        <w:t>1</w:t>
      </w:r>
      <w:r w:rsidR="00F429F7">
        <w:rPr>
          <w:b/>
          <w:sz w:val="24"/>
          <w:szCs w:val="24"/>
        </w:rPr>
        <w:t xml:space="preserve"> – Senior Statistician</w:t>
      </w:r>
    </w:p>
    <w:p w:rsidR="00732085" w:rsidRPr="00D97194" w:rsidRDefault="00732085" w:rsidP="00732085">
      <w:pPr>
        <w:spacing w:after="200" w:line="480" w:lineRule="auto"/>
        <w:rPr>
          <w:b/>
          <w:sz w:val="24"/>
          <w:szCs w:val="24"/>
        </w:rPr>
      </w:pPr>
      <w:r w:rsidRPr="00D97194">
        <w:rPr>
          <w:b/>
          <w:sz w:val="24"/>
          <w:szCs w:val="24"/>
        </w:rPr>
        <w:t>Palmer K</w:t>
      </w:r>
      <w:r w:rsidR="005C534E" w:rsidRPr="00D97194">
        <w:rPr>
          <w:b/>
          <w:sz w:val="24"/>
          <w:szCs w:val="24"/>
        </w:rPr>
        <w:t>T</w:t>
      </w:r>
      <w:r w:rsidR="00F429F7">
        <w:rPr>
          <w:b/>
          <w:sz w:val="24"/>
          <w:szCs w:val="24"/>
          <w:vertAlign w:val="superscript"/>
        </w:rPr>
        <w:t>1</w:t>
      </w:r>
      <w:r w:rsidR="00F429F7">
        <w:rPr>
          <w:b/>
          <w:sz w:val="24"/>
          <w:szCs w:val="24"/>
        </w:rPr>
        <w:t xml:space="preserve"> – Professor of Occupational Medicine</w:t>
      </w:r>
    </w:p>
    <w:p w:rsidR="00732085" w:rsidRPr="00D97194" w:rsidRDefault="00732085" w:rsidP="00732085">
      <w:pPr>
        <w:spacing w:after="200" w:line="480" w:lineRule="auto"/>
        <w:rPr>
          <w:b/>
          <w:sz w:val="24"/>
          <w:szCs w:val="24"/>
        </w:rPr>
      </w:pPr>
      <w:r w:rsidRPr="00D97194">
        <w:rPr>
          <w:b/>
          <w:sz w:val="24"/>
          <w:szCs w:val="24"/>
        </w:rPr>
        <w:t>Cooper C</w:t>
      </w:r>
      <w:r w:rsidR="00F429F7">
        <w:rPr>
          <w:b/>
          <w:sz w:val="24"/>
          <w:szCs w:val="24"/>
          <w:vertAlign w:val="superscript"/>
        </w:rPr>
        <w:t>1</w:t>
      </w:r>
      <w:r w:rsidR="00F429F7">
        <w:rPr>
          <w:b/>
          <w:sz w:val="24"/>
          <w:szCs w:val="24"/>
        </w:rPr>
        <w:t xml:space="preserve"> – Professor of Rheumatology</w:t>
      </w:r>
    </w:p>
    <w:p w:rsidR="00732085" w:rsidRPr="00D97194" w:rsidRDefault="00732085" w:rsidP="00732085">
      <w:pPr>
        <w:spacing w:after="200" w:line="480" w:lineRule="auto"/>
        <w:rPr>
          <w:b/>
          <w:sz w:val="24"/>
          <w:szCs w:val="24"/>
        </w:rPr>
      </w:pPr>
      <w:r w:rsidRPr="00D97194">
        <w:rPr>
          <w:b/>
          <w:sz w:val="24"/>
          <w:szCs w:val="24"/>
        </w:rPr>
        <w:t>Coggon D</w:t>
      </w:r>
      <w:r w:rsidR="005C534E" w:rsidRPr="00D97194">
        <w:rPr>
          <w:b/>
          <w:sz w:val="24"/>
          <w:szCs w:val="24"/>
        </w:rPr>
        <w:t>NM</w:t>
      </w:r>
      <w:r w:rsidR="00F429F7">
        <w:rPr>
          <w:b/>
          <w:sz w:val="24"/>
          <w:szCs w:val="24"/>
          <w:vertAlign w:val="superscript"/>
        </w:rPr>
        <w:t>1</w:t>
      </w:r>
      <w:r w:rsidR="00F429F7">
        <w:rPr>
          <w:b/>
          <w:sz w:val="24"/>
          <w:szCs w:val="24"/>
        </w:rPr>
        <w:t xml:space="preserve"> – Professor of Occupational Medicine</w:t>
      </w:r>
    </w:p>
    <w:p w:rsidR="00732085" w:rsidRPr="00D97194" w:rsidRDefault="00732085" w:rsidP="00732085">
      <w:pPr>
        <w:spacing w:after="200" w:line="480" w:lineRule="auto"/>
        <w:rPr>
          <w:b/>
          <w:sz w:val="24"/>
          <w:szCs w:val="24"/>
        </w:rPr>
      </w:pPr>
      <w:r w:rsidRPr="00D97194">
        <w:rPr>
          <w:b/>
          <w:sz w:val="24"/>
          <w:szCs w:val="24"/>
        </w:rPr>
        <w:t>Dennison E</w:t>
      </w:r>
      <w:r w:rsidR="005C534E" w:rsidRPr="00D97194">
        <w:rPr>
          <w:b/>
          <w:sz w:val="24"/>
          <w:szCs w:val="24"/>
        </w:rPr>
        <w:t>M</w:t>
      </w:r>
      <w:r w:rsidR="00F429F7">
        <w:rPr>
          <w:b/>
          <w:sz w:val="24"/>
          <w:szCs w:val="24"/>
          <w:vertAlign w:val="superscript"/>
        </w:rPr>
        <w:t>1</w:t>
      </w:r>
      <w:r w:rsidR="00F429F7">
        <w:rPr>
          <w:b/>
          <w:sz w:val="24"/>
          <w:szCs w:val="24"/>
        </w:rPr>
        <w:t xml:space="preserve"> – Professor of </w:t>
      </w:r>
      <w:r w:rsidR="00082062">
        <w:rPr>
          <w:b/>
          <w:sz w:val="24"/>
          <w:szCs w:val="24"/>
        </w:rPr>
        <w:t>Musculoskeletal Epidemiology</w:t>
      </w:r>
    </w:p>
    <w:p w:rsidR="00732085" w:rsidRPr="00F429F7" w:rsidRDefault="00F429F7" w:rsidP="00732085">
      <w:pPr>
        <w:spacing w:after="200" w:line="480" w:lineRule="auto"/>
        <w:rPr>
          <w:sz w:val="24"/>
          <w:szCs w:val="24"/>
        </w:rPr>
      </w:pPr>
      <w:r w:rsidRPr="00F429F7">
        <w:rPr>
          <w:sz w:val="24"/>
          <w:szCs w:val="24"/>
          <w:vertAlign w:val="superscript"/>
        </w:rPr>
        <w:t>1</w:t>
      </w:r>
      <w:r w:rsidRPr="00F429F7">
        <w:rPr>
          <w:sz w:val="24"/>
          <w:szCs w:val="24"/>
        </w:rPr>
        <w:t>MRC Lifecourse Epidemiology Unit (University of Southampton), Southampton, UK</w:t>
      </w:r>
    </w:p>
    <w:p w:rsidR="00F429F7" w:rsidRDefault="00F429F7" w:rsidP="00F350DC">
      <w:pPr>
        <w:spacing w:after="200" w:line="480" w:lineRule="auto"/>
        <w:rPr>
          <w:b/>
          <w:sz w:val="24"/>
          <w:szCs w:val="24"/>
        </w:rPr>
      </w:pPr>
    </w:p>
    <w:p w:rsidR="00732085" w:rsidRPr="00D97194" w:rsidRDefault="00F350DC" w:rsidP="00F350DC">
      <w:pPr>
        <w:spacing w:after="200" w:line="480" w:lineRule="auto"/>
        <w:rPr>
          <w:b/>
          <w:sz w:val="24"/>
          <w:szCs w:val="24"/>
        </w:rPr>
      </w:pPr>
      <w:r w:rsidRPr="00D97194">
        <w:rPr>
          <w:b/>
          <w:sz w:val="24"/>
          <w:szCs w:val="24"/>
        </w:rPr>
        <w:t>Word count =</w:t>
      </w:r>
      <w:r w:rsidR="003D0A55">
        <w:rPr>
          <w:b/>
          <w:sz w:val="24"/>
          <w:szCs w:val="24"/>
        </w:rPr>
        <w:t xml:space="preserve"> 150</w:t>
      </w:r>
      <w:r w:rsidR="00BF0B29">
        <w:rPr>
          <w:b/>
          <w:sz w:val="24"/>
          <w:szCs w:val="24"/>
        </w:rPr>
        <w:t>8</w:t>
      </w:r>
    </w:p>
    <w:p w:rsidR="00732085" w:rsidRPr="00D97194" w:rsidRDefault="00732085" w:rsidP="003B19C5">
      <w:pPr>
        <w:spacing w:after="200" w:line="480" w:lineRule="auto"/>
        <w:jc w:val="center"/>
        <w:rPr>
          <w:sz w:val="24"/>
          <w:szCs w:val="24"/>
        </w:rPr>
      </w:pPr>
    </w:p>
    <w:p w:rsidR="00732085" w:rsidRPr="00D97194" w:rsidRDefault="00732085" w:rsidP="00F350DC">
      <w:pPr>
        <w:spacing w:after="200"/>
        <w:rPr>
          <w:b/>
          <w:i/>
          <w:sz w:val="24"/>
          <w:szCs w:val="24"/>
        </w:rPr>
      </w:pPr>
      <w:r w:rsidRPr="00D97194">
        <w:rPr>
          <w:b/>
          <w:i/>
          <w:sz w:val="24"/>
          <w:szCs w:val="24"/>
        </w:rPr>
        <w:t>Name and address for correspondence:</w:t>
      </w:r>
    </w:p>
    <w:p w:rsidR="00732085" w:rsidRPr="00D97194" w:rsidRDefault="00732085" w:rsidP="00F350DC">
      <w:pPr>
        <w:spacing w:after="200"/>
        <w:rPr>
          <w:sz w:val="24"/>
          <w:szCs w:val="24"/>
        </w:rPr>
      </w:pPr>
      <w:r w:rsidRPr="00D97194">
        <w:rPr>
          <w:sz w:val="24"/>
          <w:szCs w:val="24"/>
        </w:rPr>
        <w:t>Prof Elai</w:t>
      </w:r>
      <w:r w:rsidR="005C534E" w:rsidRPr="00D97194">
        <w:rPr>
          <w:sz w:val="24"/>
          <w:szCs w:val="24"/>
        </w:rPr>
        <w:t>ne Dennison</w:t>
      </w:r>
    </w:p>
    <w:p w:rsidR="00732085" w:rsidRPr="00D97194" w:rsidRDefault="00732085" w:rsidP="00F350DC">
      <w:pPr>
        <w:spacing w:after="200"/>
        <w:rPr>
          <w:sz w:val="24"/>
          <w:szCs w:val="24"/>
        </w:rPr>
      </w:pPr>
      <w:r w:rsidRPr="00D97194">
        <w:rPr>
          <w:sz w:val="24"/>
          <w:szCs w:val="24"/>
        </w:rPr>
        <w:t>MRC Lifecourse Epidemiology Unit</w:t>
      </w:r>
      <w:r w:rsidR="00F350DC" w:rsidRPr="00D97194">
        <w:rPr>
          <w:sz w:val="24"/>
          <w:szCs w:val="24"/>
        </w:rPr>
        <w:t xml:space="preserve">, Southampton General Hospital, </w:t>
      </w:r>
      <w:r w:rsidRPr="00D97194">
        <w:rPr>
          <w:sz w:val="24"/>
          <w:szCs w:val="24"/>
        </w:rPr>
        <w:t>Tremona Road, Southampton, SO16 6YD, UK.</w:t>
      </w:r>
    </w:p>
    <w:p w:rsidR="00732085" w:rsidRPr="00D97194" w:rsidRDefault="00732085" w:rsidP="00F350DC">
      <w:pPr>
        <w:spacing w:after="200"/>
        <w:rPr>
          <w:sz w:val="24"/>
          <w:szCs w:val="24"/>
        </w:rPr>
      </w:pPr>
      <w:r w:rsidRPr="00D97194">
        <w:rPr>
          <w:sz w:val="24"/>
          <w:szCs w:val="24"/>
        </w:rPr>
        <w:t>Tel: 023 80 777624</w:t>
      </w:r>
    </w:p>
    <w:p w:rsidR="00445A07" w:rsidRPr="00D97194" w:rsidRDefault="00732085" w:rsidP="00F350DC">
      <w:pPr>
        <w:spacing w:after="200"/>
        <w:rPr>
          <w:b/>
          <w:sz w:val="24"/>
          <w:szCs w:val="24"/>
        </w:rPr>
      </w:pPr>
      <w:r w:rsidRPr="00D97194">
        <w:rPr>
          <w:sz w:val="24"/>
          <w:szCs w:val="24"/>
        </w:rPr>
        <w:t>E-mail: emd@mrc.soton.ac.uk</w:t>
      </w:r>
      <w:r w:rsidR="00445A07" w:rsidRPr="00D97194">
        <w:rPr>
          <w:sz w:val="24"/>
          <w:szCs w:val="24"/>
        </w:rPr>
        <w:br w:type="page"/>
      </w:r>
      <w:r w:rsidR="00445A07" w:rsidRPr="00D97194">
        <w:rPr>
          <w:b/>
          <w:sz w:val="24"/>
          <w:szCs w:val="24"/>
        </w:rPr>
        <w:lastRenderedPageBreak/>
        <w:t>Abstract</w:t>
      </w:r>
    </w:p>
    <w:p w:rsidR="0097524C" w:rsidRPr="00D97194" w:rsidRDefault="0097524C" w:rsidP="0097524C">
      <w:pPr>
        <w:spacing w:after="200" w:line="480" w:lineRule="auto"/>
        <w:jc w:val="both"/>
        <w:rPr>
          <w:sz w:val="24"/>
          <w:szCs w:val="24"/>
        </w:rPr>
      </w:pPr>
      <w:r w:rsidRPr="00D97194">
        <w:rPr>
          <w:b/>
          <w:sz w:val="24"/>
          <w:szCs w:val="24"/>
        </w:rPr>
        <w:t xml:space="preserve">Background: </w:t>
      </w:r>
      <w:r w:rsidRPr="00D97194">
        <w:rPr>
          <w:sz w:val="24"/>
          <w:szCs w:val="24"/>
        </w:rPr>
        <w:t xml:space="preserve">People in sedentary occupations are at increased risk of hip fracture. </w:t>
      </w:r>
      <w:r w:rsidR="00F86AB5" w:rsidRPr="00D97194">
        <w:rPr>
          <w:sz w:val="24"/>
          <w:szCs w:val="24"/>
        </w:rPr>
        <w:t xml:space="preserve">Hip fracture is significantly associated with low bone mineral density (BMD) measured at the hip. </w:t>
      </w:r>
      <w:r w:rsidRPr="00D97194">
        <w:rPr>
          <w:sz w:val="24"/>
          <w:szCs w:val="24"/>
        </w:rPr>
        <w:t xml:space="preserve">Physical activity is important in the development and maintenance of </w:t>
      </w:r>
      <w:r w:rsidR="00F86AB5" w:rsidRPr="00D97194">
        <w:rPr>
          <w:sz w:val="24"/>
          <w:szCs w:val="24"/>
        </w:rPr>
        <w:t>BMD</w:t>
      </w:r>
      <w:r w:rsidRPr="00D97194">
        <w:rPr>
          <w:sz w:val="24"/>
          <w:szCs w:val="24"/>
        </w:rPr>
        <w:t xml:space="preserve"> but the </w:t>
      </w:r>
      <w:r w:rsidR="00195430">
        <w:rPr>
          <w:sz w:val="24"/>
          <w:szCs w:val="24"/>
        </w:rPr>
        <w:t>effects</w:t>
      </w:r>
      <w:r w:rsidRPr="00D97194">
        <w:rPr>
          <w:sz w:val="24"/>
          <w:szCs w:val="24"/>
        </w:rPr>
        <w:t xml:space="preserve"> of occupational physical activity on </w:t>
      </w:r>
      <w:r w:rsidR="005C534E" w:rsidRPr="00D97194">
        <w:rPr>
          <w:sz w:val="24"/>
          <w:szCs w:val="24"/>
        </w:rPr>
        <w:t>bone health</w:t>
      </w:r>
      <w:r w:rsidRPr="00D97194">
        <w:rPr>
          <w:sz w:val="24"/>
          <w:szCs w:val="24"/>
        </w:rPr>
        <w:t xml:space="preserve"> </w:t>
      </w:r>
      <w:r w:rsidR="00195430">
        <w:rPr>
          <w:sz w:val="24"/>
          <w:szCs w:val="24"/>
        </w:rPr>
        <w:t>are</w:t>
      </w:r>
      <w:r w:rsidRPr="00D97194">
        <w:rPr>
          <w:sz w:val="24"/>
          <w:szCs w:val="24"/>
        </w:rPr>
        <w:t xml:space="preserve"> </w:t>
      </w:r>
      <w:r w:rsidR="00195430">
        <w:rPr>
          <w:sz w:val="24"/>
          <w:szCs w:val="24"/>
        </w:rPr>
        <w:t>un</w:t>
      </w:r>
      <w:r w:rsidRPr="00D97194">
        <w:rPr>
          <w:sz w:val="24"/>
          <w:szCs w:val="24"/>
        </w:rPr>
        <w:t>clear.</w:t>
      </w:r>
      <w:r w:rsidR="00F732FD" w:rsidRPr="00F732FD">
        <w:rPr>
          <w:sz w:val="24"/>
          <w:szCs w:val="24"/>
        </w:rPr>
        <w:t xml:space="preserve"> </w:t>
      </w:r>
      <w:r w:rsidR="00F732FD">
        <w:rPr>
          <w:sz w:val="24"/>
          <w:szCs w:val="24"/>
        </w:rPr>
        <w:t>W</w:t>
      </w:r>
      <w:r w:rsidR="00F732FD" w:rsidRPr="00D97194">
        <w:rPr>
          <w:sz w:val="24"/>
          <w:szCs w:val="24"/>
        </w:rPr>
        <w:t xml:space="preserve">e </w:t>
      </w:r>
      <w:r w:rsidR="00F732FD">
        <w:rPr>
          <w:sz w:val="24"/>
          <w:szCs w:val="24"/>
        </w:rPr>
        <w:t xml:space="preserve">investigated the </w:t>
      </w:r>
      <w:r w:rsidR="00195430">
        <w:rPr>
          <w:sz w:val="24"/>
          <w:szCs w:val="24"/>
        </w:rPr>
        <w:t xml:space="preserve">influence </w:t>
      </w:r>
      <w:r w:rsidR="00F732FD">
        <w:rPr>
          <w:sz w:val="24"/>
          <w:szCs w:val="24"/>
        </w:rPr>
        <w:t>of lifetime physical activity on bone mineral density at the hip</w:t>
      </w:r>
      <w:r w:rsidR="00FF2322">
        <w:rPr>
          <w:sz w:val="24"/>
          <w:szCs w:val="24"/>
        </w:rPr>
        <w:t>.</w:t>
      </w:r>
    </w:p>
    <w:p w:rsidR="0097524C" w:rsidRPr="00D97194" w:rsidRDefault="0097524C" w:rsidP="0097524C">
      <w:pPr>
        <w:spacing w:after="200" w:line="480" w:lineRule="auto"/>
        <w:jc w:val="both"/>
        <w:rPr>
          <w:sz w:val="24"/>
          <w:szCs w:val="24"/>
        </w:rPr>
      </w:pPr>
      <w:r w:rsidRPr="00D97194">
        <w:rPr>
          <w:b/>
          <w:sz w:val="24"/>
          <w:szCs w:val="24"/>
        </w:rPr>
        <w:t xml:space="preserve">Methods: </w:t>
      </w:r>
      <w:r w:rsidRPr="00D97194">
        <w:rPr>
          <w:sz w:val="24"/>
          <w:szCs w:val="24"/>
        </w:rPr>
        <w:t>This was a</w:t>
      </w:r>
      <w:r w:rsidRPr="00D97194">
        <w:rPr>
          <w:b/>
          <w:sz w:val="24"/>
          <w:szCs w:val="24"/>
        </w:rPr>
        <w:t xml:space="preserve"> </w:t>
      </w:r>
      <w:r w:rsidRPr="00D97194">
        <w:rPr>
          <w:sz w:val="24"/>
          <w:szCs w:val="24"/>
        </w:rPr>
        <w:t xml:space="preserve">cross-sectional epidemiological study of the associations between total hip BMD measured by dual-energy X-ray absorptiometry at retirement age and lifetime exposure to </w:t>
      </w:r>
      <w:r w:rsidR="00195430">
        <w:rPr>
          <w:sz w:val="24"/>
          <w:szCs w:val="24"/>
        </w:rPr>
        <w:t>occupational</w:t>
      </w:r>
      <w:r w:rsidRPr="00D97194">
        <w:rPr>
          <w:sz w:val="24"/>
          <w:szCs w:val="24"/>
        </w:rPr>
        <w:t xml:space="preserve"> physical workload (standing/walking</w:t>
      </w:r>
      <w:r w:rsidR="00F86AB5" w:rsidRPr="00D97194">
        <w:rPr>
          <w:sz w:val="24"/>
          <w:szCs w:val="24"/>
        </w:rPr>
        <w:t xml:space="preserve"> ≥4 hours/day</w:t>
      </w:r>
      <w:r w:rsidRPr="00D97194">
        <w:rPr>
          <w:sz w:val="24"/>
          <w:szCs w:val="24"/>
        </w:rPr>
        <w:t>; lifting</w:t>
      </w:r>
      <w:r w:rsidR="00F86AB5" w:rsidRPr="00D97194">
        <w:rPr>
          <w:sz w:val="24"/>
          <w:szCs w:val="24"/>
        </w:rPr>
        <w:t xml:space="preserve"> ≥25 kg</w:t>
      </w:r>
      <w:r w:rsidRPr="00D97194">
        <w:rPr>
          <w:sz w:val="24"/>
          <w:szCs w:val="24"/>
        </w:rPr>
        <w:t xml:space="preserve">; </w:t>
      </w:r>
      <w:r w:rsidR="00195430">
        <w:rPr>
          <w:sz w:val="24"/>
          <w:szCs w:val="24"/>
        </w:rPr>
        <w:t xml:space="preserve">energetic </w:t>
      </w:r>
      <w:r w:rsidRPr="00D97194">
        <w:rPr>
          <w:sz w:val="24"/>
          <w:szCs w:val="24"/>
        </w:rPr>
        <w:t xml:space="preserve">work </w:t>
      </w:r>
      <w:r w:rsidR="00195430">
        <w:rPr>
          <w:sz w:val="24"/>
          <w:szCs w:val="24"/>
        </w:rPr>
        <w:t>sufficient</w:t>
      </w:r>
      <w:r w:rsidRPr="00D97194">
        <w:rPr>
          <w:sz w:val="24"/>
          <w:szCs w:val="24"/>
        </w:rPr>
        <w:t xml:space="preserve"> to induce sweating and manual work).</w:t>
      </w:r>
    </w:p>
    <w:p w:rsidR="0097524C" w:rsidRPr="00D97194" w:rsidRDefault="0097524C" w:rsidP="0097524C">
      <w:pPr>
        <w:spacing w:after="200" w:line="480" w:lineRule="auto"/>
        <w:jc w:val="both"/>
        <w:rPr>
          <w:sz w:val="24"/>
          <w:szCs w:val="24"/>
        </w:rPr>
      </w:pPr>
      <w:r w:rsidRPr="00D97194">
        <w:rPr>
          <w:b/>
          <w:sz w:val="24"/>
          <w:szCs w:val="24"/>
        </w:rPr>
        <w:t xml:space="preserve">Results: </w:t>
      </w:r>
      <w:r w:rsidR="0026082C" w:rsidRPr="00F732FD">
        <w:rPr>
          <w:sz w:val="24"/>
          <w:szCs w:val="24"/>
        </w:rPr>
        <w:t>Complete data on occupational exposures were available for</w:t>
      </w:r>
      <w:r w:rsidR="0026082C">
        <w:rPr>
          <w:b/>
          <w:sz w:val="24"/>
          <w:szCs w:val="24"/>
        </w:rPr>
        <w:t xml:space="preserve"> </w:t>
      </w:r>
      <w:r w:rsidRPr="00D97194">
        <w:rPr>
          <w:sz w:val="24"/>
          <w:szCs w:val="24"/>
        </w:rPr>
        <w:t xml:space="preserve">860 adults (488 men and 372 women) </w:t>
      </w:r>
      <w:r w:rsidR="0026082C">
        <w:rPr>
          <w:sz w:val="24"/>
          <w:szCs w:val="24"/>
        </w:rPr>
        <w:t xml:space="preserve">who had worked ≥ 20 years. Their </w:t>
      </w:r>
      <w:r w:rsidRPr="00D97194">
        <w:rPr>
          <w:sz w:val="24"/>
          <w:szCs w:val="24"/>
        </w:rPr>
        <w:t xml:space="preserve">mean age </w:t>
      </w:r>
      <w:r w:rsidR="0026082C">
        <w:rPr>
          <w:sz w:val="24"/>
          <w:szCs w:val="24"/>
        </w:rPr>
        <w:t xml:space="preserve">was </w:t>
      </w:r>
      <w:r w:rsidRPr="00D97194">
        <w:rPr>
          <w:sz w:val="24"/>
          <w:szCs w:val="24"/>
        </w:rPr>
        <w:t>65 years</w:t>
      </w:r>
      <w:r w:rsidR="0026082C">
        <w:rPr>
          <w:sz w:val="24"/>
          <w:szCs w:val="24"/>
        </w:rPr>
        <w:t xml:space="preserve"> and m</w:t>
      </w:r>
      <w:r w:rsidRPr="00D97194">
        <w:rPr>
          <w:sz w:val="24"/>
          <w:szCs w:val="24"/>
        </w:rPr>
        <w:t>any reported heavy physical workplace activities over prolonged durations.</w:t>
      </w:r>
      <w:r w:rsidR="00F86AB5" w:rsidRPr="00D97194">
        <w:rPr>
          <w:sz w:val="24"/>
          <w:szCs w:val="24"/>
        </w:rPr>
        <w:t xml:space="preserve"> There were no statistically significant associations between total hip BMD and </w:t>
      </w:r>
      <w:r w:rsidR="001D3733">
        <w:rPr>
          <w:sz w:val="24"/>
          <w:szCs w:val="24"/>
        </w:rPr>
        <w:t xml:space="preserve">any of these measures of </w:t>
      </w:r>
      <w:r w:rsidR="00F86AB5" w:rsidRPr="00D97194">
        <w:rPr>
          <w:sz w:val="24"/>
          <w:szCs w:val="24"/>
        </w:rPr>
        <w:t>lifetime occupational physical activity in men or women.</w:t>
      </w:r>
    </w:p>
    <w:p w:rsidR="00F86AB5" w:rsidRPr="00D97194" w:rsidRDefault="00F86AB5" w:rsidP="0097524C">
      <w:pPr>
        <w:spacing w:after="200" w:line="480" w:lineRule="auto"/>
        <w:jc w:val="both"/>
        <w:rPr>
          <w:sz w:val="24"/>
          <w:szCs w:val="24"/>
        </w:rPr>
      </w:pPr>
      <w:r w:rsidRPr="00D97194">
        <w:rPr>
          <w:b/>
          <w:sz w:val="24"/>
          <w:szCs w:val="24"/>
        </w:rPr>
        <w:t xml:space="preserve">Conclusion: </w:t>
      </w:r>
      <w:r w:rsidR="004610A0" w:rsidRPr="004610A0">
        <w:rPr>
          <w:sz w:val="24"/>
          <w:szCs w:val="24"/>
        </w:rPr>
        <w:t>Lifetime cumulative o</w:t>
      </w:r>
      <w:r w:rsidRPr="004610A0">
        <w:rPr>
          <w:sz w:val="24"/>
          <w:szCs w:val="24"/>
        </w:rPr>
        <w:t>ccupational</w:t>
      </w:r>
      <w:r w:rsidRPr="00D97194">
        <w:rPr>
          <w:sz w:val="24"/>
          <w:szCs w:val="24"/>
        </w:rPr>
        <w:t xml:space="preserve"> activity </w:t>
      </w:r>
      <w:r w:rsidR="004610A0">
        <w:rPr>
          <w:sz w:val="24"/>
          <w:szCs w:val="24"/>
        </w:rPr>
        <w:t xml:space="preserve">was not associated with </w:t>
      </w:r>
      <w:r w:rsidRPr="00D97194">
        <w:rPr>
          <w:sz w:val="24"/>
          <w:szCs w:val="24"/>
        </w:rPr>
        <w:t>hip bone mineral density at retirement age</w:t>
      </w:r>
      <w:r w:rsidR="004610A0">
        <w:rPr>
          <w:sz w:val="24"/>
          <w:szCs w:val="24"/>
        </w:rPr>
        <w:t xml:space="preserve">. </w:t>
      </w:r>
      <w:r w:rsidR="00F732FD">
        <w:rPr>
          <w:sz w:val="24"/>
          <w:szCs w:val="24"/>
        </w:rPr>
        <w:t xml:space="preserve">Our findings suggest that, if sedentary work conveys an increased risk of hip fracture, it is unlikely that the mechanism is through </w:t>
      </w:r>
      <w:r w:rsidR="00871385">
        <w:rPr>
          <w:sz w:val="24"/>
          <w:szCs w:val="24"/>
        </w:rPr>
        <w:t>reductions in</w:t>
      </w:r>
      <w:r w:rsidR="00F732FD">
        <w:rPr>
          <w:sz w:val="24"/>
          <w:szCs w:val="24"/>
        </w:rPr>
        <w:t xml:space="preserve"> bone mineral density at the hip and may relate to other physical effects</w:t>
      </w:r>
      <w:r w:rsidR="00C83CC6">
        <w:rPr>
          <w:sz w:val="24"/>
          <w:szCs w:val="24"/>
        </w:rPr>
        <w:t>, such as falls risk</w:t>
      </w:r>
      <w:r w:rsidR="00F732FD">
        <w:rPr>
          <w:sz w:val="24"/>
          <w:szCs w:val="24"/>
        </w:rPr>
        <w:t xml:space="preserve">. </w:t>
      </w:r>
      <w:r w:rsidR="00AE409A" w:rsidRPr="00D97194">
        <w:rPr>
          <w:sz w:val="24"/>
          <w:szCs w:val="24"/>
        </w:rPr>
        <w:t>Fu</w:t>
      </w:r>
      <w:r w:rsidR="00A90423">
        <w:rPr>
          <w:sz w:val="24"/>
          <w:szCs w:val="24"/>
        </w:rPr>
        <w:t>r</w:t>
      </w:r>
      <w:r w:rsidR="00F732FD">
        <w:rPr>
          <w:sz w:val="24"/>
          <w:szCs w:val="24"/>
        </w:rPr>
        <w:t>ther</w:t>
      </w:r>
      <w:r w:rsidR="00AE409A" w:rsidRPr="00D97194">
        <w:rPr>
          <w:sz w:val="24"/>
          <w:szCs w:val="24"/>
        </w:rPr>
        <w:t xml:space="preserve"> studies will be needed</w:t>
      </w:r>
      <w:r w:rsidR="00C83CC6">
        <w:rPr>
          <w:sz w:val="24"/>
          <w:szCs w:val="24"/>
        </w:rPr>
        <w:t xml:space="preserve"> to test this hypothesis</w:t>
      </w:r>
      <w:r w:rsidR="00F732FD">
        <w:rPr>
          <w:sz w:val="24"/>
          <w:szCs w:val="24"/>
        </w:rPr>
        <w:t>.</w:t>
      </w:r>
    </w:p>
    <w:p w:rsidR="00AE409A" w:rsidRPr="00D97194" w:rsidRDefault="00AE409A" w:rsidP="0097524C">
      <w:pPr>
        <w:spacing w:after="200" w:line="480" w:lineRule="auto"/>
        <w:jc w:val="both"/>
        <w:rPr>
          <w:b/>
          <w:sz w:val="24"/>
          <w:szCs w:val="24"/>
        </w:rPr>
      </w:pPr>
      <w:r w:rsidRPr="00D97194">
        <w:rPr>
          <w:b/>
          <w:sz w:val="24"/>
          <w:szCs w:val="24"/>
        </w:rPr>
        <w:lastRenderedPageBreak/>
        <w:t>Key words: Hip fractures, osteoporosis; bone mineral density; occupational physical activity</w:t>
      </w:r>
    </w:p>
    <w:p w:rsidR="00137560" w:rsidRDefault="00137560" w:rsidP="00445A07">
      <w:pPr>
        <w:pStyle w:val="Heading2"/>
        <w:spacing w:line="480" w:lineRule="auto"/>
        <w:rPr>
          <w:rFonts w:ascii="Arial" w:hAnsi="Arial" w:cs="Arial"/>
          <w:szCs w:val="24"/>
        </w:rPr>
      </w:pPr>
    </w:p>
    <w:p w:rsidR="007B644A" w:rsidRPr="00D97194" w:rsidRDefault="007B644A" w:rsidP="00445A07">
      <w:pPr>
        <w:pStyle w:val="Heading2"/>
        <w:spacing w:line="480" w:lineRule="auto"/>
        <w:rPr>
          <w:rFonts w:ascii="Arial" w:hAnsi="Arial" w:cs="Arial"/>
          <w:szCs w:val="24"/>
        </w:rPr>
      </w:pPr>
      <w:r w:rsidRPr="00D97194">
        <w:rPr>
          <w:rFonts w:ascii="Arial" w:hAnsi="Arial" w:cs="Arial"/>
          <w:szCs w:val="24"/>
        </w:rPr>
        <w:t>Introduction</w:t>
      </w:r>
    </w:p>
    <w:p w:rsidR="00B42579" w:rsidRPr="00D97194" w:rsidRDefault="007B644A" w:rsidP="00445A07">
      <w:pPr>
        <w:spacing w:line="480" w:lineRule="auto"/>
        <w:jc w:val="both"/>
        <w:rPr>
          <w:sz w:val="24"/>
          <w:szCs w:val="24"/>
        </w:rPr>
      </w:pPr>
      <w:r w:rsidRPr="00D97194">
        <w:rPr>
          <w:sz w:val="24"/>
          <w:szCs w:val="24"/>
        </w:rPr>
        <w:t xml:space="preserve">Osteoporosis is a major public health problem because </w:t>
      </w:r>
      <w:r w:rsidR="005B2805" w:rsidRPr="00D97194">
        <w:rPr>
          <w:sz w:val="24"/>
          <w:szCs w:val="24"/>
        </w:rPr>
        <w:t>it</w:t>
      </w:r>
      <w:r w:rsidR="00A506BD">
        <w:rPr>
          <w:sz w:val="24"/>
          <w:szCs w:val="24"/>
        </w:rPr>
        <w:t xml:space="preserve"> strongly predisposes to </w:t>
      </w:r>
      <w:r w:rsidRPr="00D97194">
        <w:rPr>
          <w:sz w:val="24"/>
          <w:szCs w:val="24"/>
        </w:rPr>
        <w:t xml:space="preserve">fragility fractures, </w:t>
      </w:r>
      <w:r w:rsidR="005B2805" w:rsidRPr="00D97194">
        <w:rPr>
          <w:sz w:val="24"/>
          <w:szCs w:val="24"/>
        </w:rPr>
        <w:t xml:space="preserve">the most devastating of which </w:t>
      </w:r>
      <w:r w:rsidR="00A506BD">
        <w:rPr>
          <w:sz w:val="24"/>
          <w:szCs w:val="24"/>
        </w:rPr>
        <w:t>occur at the</w:t>
      </w:r>
      <w:r w:rsidR="005B2805" w:rsidRPr="00D97194">
        <w:rPr>
          <w:sz w:val="24"/>
          <w:szCs w:val="24"/>
        </w:rPr>
        <w:t xml:space="preserve"> hip</w:t>
      </w:r>
      <w:r w:rsidRPr="00D97194">
        <w:rPr>
          <w:sz w:val="24"/>
          <w:szCs w:val="24"/>
        </w:rPr>
        <w:t xml:space="preserve">. </w:t>
      </w:r>
      <w:r w:rsidR="00A506BD">
        <w:rPr>
          <w:sz w:val="24"/>
          <w:szCs w:val="24"/>
        </w:rPr>
        <w:t xml:space="preserve">Risk of hip fracture approximately doubles </w:t>
      </w:r>
      <w:r w:rsidRPr="00D97194">
        <w:rPr>
          <w:sz w:val="24"/>
          <w:szCs w:val="24"/>
        </w:rPr>
        <w:t>for e</w:t>
      </w:r>
      <w:r w:rsidR="00A506BD">
        <w:rPr>
          <w:sz w:val="24"/>
          <w:szCs w:val="24"/>
        </w:rPr>
        <w:t>ach</w:t>
      </w:r>
      <w:r w:rsidRPr="00D97194">
        <w:rPr>
          <w:sz w:val="24"/>
          <w:szCs w:val="24"/>
        </w:rPr>
        <w:t xml:space="preserve"> standa</w:t>
      </w:r>
      <w:r w:rsidR="002C50B1" w:rsidRPr="00D97194">
        <w:rPr>
          <w:sz w:val="24"/>
          <w:szCs w:val="24"/>
        </w:rPr>
        <w:t xml:space="preserve">rd deviation decrease in </w:t>
      </w:r>
      <w:r w:rsidR="00A506BD">
        <w:rPr>
          <w:sz w:val="24"/>
          <w:szCs w:val="24"/>
        </w:rPr>
        <w:t>bone mineral density (</w:t>
      </w:r>
      <w:r w:rsidR="002C50B1" w:rsidRPr="00D97194">
        <w:rPr>
          <w:sz w:val="24"/>
          <w:szCs w:val="24"/>
        </w:rPr>
        <w:t>BMD</w:t>
      </w:r>
      <w:r w:rsidR="00A506BD">
        <w:rPr>
          <w:sz w:val="24"/>
          <w:szCs w:val="24"/>
        </w:rPr>
        <w:t>)</w:t>
      </w:r>
      <w:r w:rsidR="00137560">
        <w:rPr>
          <w:sz w:val="24"/>
          <w:szCs w:val="24"/>
        </w:rPr>
        <w:t xml:space="preserve"> [</w:t>
      </w:r>
      <w:r w:rsidR="0017756A">
        <w:rPr>
          <w:sz w:val="24"/>
          <w:szCs w:val="24"/>
        </w:rPr>
        <w:t>1</w:t>
      </w:r>
      <w:r w:rsidR="00137560">
        <w:rPr>
          <w:sz w:val="24"/>
          <w:szCs w:val="24"/>
        </w:rPr>
        <w:t>]</w:t>
      </w:r>
      <w:r w:rsidRPr="00D97194">
        <w:rPr>
          <w:sz w:val="24"/>
          <w:szCs w:val="24"/>
        </w:rPr>
        <w:t xml:space="preserve">. </w:t>
      </w:r>
      <w:r w:rsidR="00992DB1" w:rsidRPr="00D97194">
        <w:rPr>
          <w:sz w:val="24"/>
          <w:szCs w:val="24"/>
        </w:rPr>
        <w:t xml:space="preserve">Physical activity </w:t>
      </w:r>
      <w:r w:rsidR="00D72172" w:rsidRPr="00D97194">
        <w:rPr>
          <w:sz w:val="24"/>
          <w:szCs w:val="24"/>
        </w:rPr>
        <w:t>plays</w:t>
      </w:r>
      <w:r w:rsidR="00992DB1" w:rsidRPr="00D97194">
        <w:rPr>
          <w:sz w:val="24"/>
          <w:szCs w:val="24"/>
        </w:rPr>
        <w:t xml:space="preserve"> an important role in the development and maintenance of BMD</w:t>
      </w:r>
      <w:r w:rsidR="006B5133" w:rsidRPr="00D97194">
        <w:rPr>
          <w:sz w:val="24"/>
          <w:szCs w:val="24"/>
        </w:rPr>
        <w:t xml:space="preserve">, particularly </w:t>
      </w:r>
      <w:r w:rsidR="00EA63E2">
        <w:rPr>
          <w:sz w:val="24"/>
          <w:szCs w:val="24"/>
        </w:rPr>
        <w:t xml:space="preserve">those </w:t>
      </w:r>
      <w:r w:rsidR="00A506BD">
        <w:rPr>
          <w:sz w:val="24"/>
          <w:szCs w:val="24"/>
        </w:rPr>
        <w:t>activities which</w:t>
      </w:r>
      <w:r w:rsidR="006B5133" w:rsidRPr="00D97194">
        <w:rPr>
          <w:sz w:val="24"/>
          <w:szCs w:val="24"/>
        </w:rPr>
        <w:t xml:space="preserve"> involve weight</w:t>
      </w:r>
      <w:r w:rsidR="00A506BD">
        <w:rPr>
          <w:sz w:val="24"/>
          <w:szCs w:val="24"/>
        </w:rPr>
        <w:t>-</w:t>
      </w:r>
      <w:r w:rsidR="006B5133" w:rsidRPr="00D97194">
        <w:rPr>
          <w:sz w:val="24"/>
          <w:szCs w:val="24"/>
        </w:rPr>
        <w:t>bearing and muscle loading</w:t>
      </w:r>
      <w:r w:rsidR="00137560">
        <w:rPr>
          <w:sz w:val="24"/>
          <w:szCs w:val="24"/>
        </w:rPr>
        <w:t xml:space="preserve"> [</w:t>
      </w:r>
      <w:r w:rsidR="0017756A">
        <w:rPr>
          <w:sz w:val="24"/>
          <w:szCs w:val="24"/>
        </w:rPr>
        <w:t>2</w:t>
      </w:r>
      <w:r w:rsidR="00137560">
        <w:rPr>
          <w:sz w:val="24"/>
          <w:szCs w:val="24"/>
        </w:rPr>
        <w:t>]</w:t>
      </w:r>
      <w:r w:rsidR="00992DB1" w:rsidRPr="00D97194">
        <w:rPr>
          <w:sz w:val="24"/>
          <w:szCs w:val="24"/>
        </w:rPr>
        <w:t xml:space="preserve">. Bone growth </w:t>
      </w:r>
      <w:r w:rsidR="00B42579" w:rsidRPr="00D97194">
        <w:rPr>
          <w:sz w:val="24"/>
          <w:szCs w:val="24"/>
        </w:rPr>
        <w:t xml:space="preserve">and peak bone mass </w:t>
      </w:r>
      <w:r w:rsidR="00A506BD">
        <w:rPr>
          <w:sz w:val="24"/>
          <w:szCs w:val="24"/>
        </w:rPr>
        <w:t>are</w:t>
      </w:r>
      <w:r w:rsidR="00992DB1" w:rsidRPr="00D97194">
        <w:rPr>
          <w:sz w:val="24"/>
          <w:szCs w:val="24"/>
        </w:rPr>
        <w:t xml:space="preserve"> enhanced by physical exercise and </w:t>
      </w:r>
      <w:r w:rsidR="00B42579" w:rsidRPr="00D97194">
        <w:rPr>
          <w:sz w:val="24"/>
          <w:szCs w:val="24"/>
        </w:rPr>
        <w:t xml:space="preserve">regular leisure-time exercise </w:t>
      </w:r>
      <w:r w:rsidR="003B19C5" w:rsidRPr="00D97194">
        <w:rPr>
          <w:sz w:val="24"/>
          <w:szCs w:val="24"/>
        </w:rPr>
        <w:t>has been shown to</w:t>
      </w:r>
      <w:r w:rsidR="00B42579" w:rsidRPr="00D97194">
        <w:rPr>
          <w:sz w:val="24"/>
          <w:szCs w:val="24"/>
        </w:rPr>
        <w:t xml:space="preserve"> retard bone loss in postmenopausal women [</w:t>
      </w:r>
      <w:r w:rsidR="0017756A">
        <w:rPr>
          <w:sz w:val="24"/>
          <w:szCs w:val="24"/>
        </w:rPr>
        <w:t>3</w:t>
      </w:r>
      <w:r w:rsidR="00B42579" w:rsidRPr="00D97194">
        <w:rPr>
          <w:sz w:val="24"/>
          <w:szCs w:val="24"/>
        </w:rPr>
        <w:t>]. For many people, a significant proportion of their lifetime exposure to intensive physical activity will occur in the workplace.</w:t>
      </w:r>
      <w:r w:rsidR="00D72172" w:rsidRPr="00D97194">
        <w:rPr>
          <w:sz w:val="24"/>
          <w:szCs w:val="24"/>
        </w:rPr>
        <w:t xml:space="preserve"> However, it is not currently clear what impact on bone health can be achieved with </w:t>
      </w:r>
      <w:r w:rsidR="00FF5035">
        <w:rPr>
          <w:sz w:val="24"/>
          <w:szCs w:val="24"/>
        </w:rPr>
        <w:t xml:space="preserve">intensive </w:t>
      </w:r>
      <w:r w:rsidR="00D72172" w:rsidRPr="00D97194">
        <w:rPr>
          <w:sz w:val="24"/>
          <w:szCs w:val="24"/>
        </w:rPr>
        <w:t xml:space="preserve">occupational </w:t>
      </w:r>
      <w:r w:rsidR="00137560">
        <w:rPr>
          <w:sz w:val="24"/>
          <w:szCs w:val="24"/>
        </w:rPr>
        <w:t xml:space="preserve">physical </w:t>
      </w:r>
      <w:r w:rsidR="00D72172" w:rsidRPr="00D97194">
        <w:rPr>
          <w:sz w:val="24"/>
          <w:szCs w:val="24"/>
        </w:rPr>
        <w:t>activity.</w:t>
      </w:r>
    </w:p>
    <w:p w:rsidR="00B42579" w:rsidRPr="00D97194" w:rsidRDefault="00B42579" w:rsidP="00445A07">
      <w:pPr>
        <w:spacing w:line="480" w:lineRule="auto"/>
        <w:jc w:val="both"/>
        <w:rPr>
          <w:sz w:val="24"/>
          <w:szCs w:val="24"/>
        </w:rPr>
      </w:pPr>
    </w:p>
    <w:p w:rsidR="007B644A" w:rsidRPr="00D97194" w:rsidRDefault="00604781" w:rsidP="00445A07">
      <w:pPr>
        <w:spacing w:line="480" w:lineRule="auto"/>
        <w:jc w:val="both"/>
        <w:rPr>
          <w:sz w:val="24"/>
          <w:szCs w:val="24"/>
        </w:rPr>
      </w:pPr>
      <w:r w:rsidRPr="00D97194">
        <w:rPr>
          <w:sz w:val="24"/>
          <w:szCs w:val="24"/>
        </w:rPr>
        <w:t>There is evidence from case-control studies that</w:t>
      </w:r>
      <w:r w:rsidR="006B5133" w:rsidRPr="00D97194">
        <w:rPr>
          <w:sz w:val="24"/>
          <w:szCs w:val="24"/>
        </w:rPr>
        <w:t xml:space="preserve"> </w:t>
      </w:r>
      <w:r w:rsidR="009A75DF" w:rsidRPr="00D97194">
        <w:rPr>
          <w:sz w:val="24"/>
          <w:szCs w:val="24"/>
        </w:rPr>
        <w:t xml:space="preserve">hip fracture patients </w:t>
      </w:r>
      <w:r w:rsidR="00EF2A84" w:rsidRPr="00D97194">
        <w:rPr>
          <w:sz w:val="24"/>
          <w:szCs w:val="24"/>
        </w:rPr>
        <w:t>a</w:t>
      </w:r>
      <w:r w:rsidR="009A75DF" w:rsidRPr="00D97194">
        <w:rPr>
          <w:sz w:val="24"/>
          <w:szCs w:val="24"/>
        </w:rPr>
        <w:t xml:space="preserve">re more likely to have </w:t>
      </w:r>
      <w:r w:rsidR="00A506BD">
        <w:rPr>
          <w:sz w:val="24"/>
          <w:szCs w:val="24"/>
        </w:rPr>
        <w:t xml:space="preserve">worked in </w:t>
      </w:r>
      <w:r w:rsidR="009A75DF" w:rsidRPr="00D97194">
        <w:rPr>
          <w:sz w:val="24"/>
          <w:szCs w:val="24"/>
        </w:rPr>
        <w:t xml:space="preserve">sedentary </w:t>
      </w:r>
      <w:r w:rsidR="00581D02" w:rsidRPr="00D97194">
        <w:rPr>
          <w:sz w:val="24"/>
          <w:szCs w:val="24"/>
        </w:rPr>
        <w:t xml:space="preserve">occupations than </w:t>
      </w:r>
      <w:r w:rsidR="00A506BD">
        <w:rPr>
          <w:sz w:val="24"/>
          <w:szCs w:val="24"/>
        </w:rPr>
        <w:t>referents</w:t>
      </w:r>
      <w:r w:rsidR="00581D02" w:rsidRPr="00D97194">
        <w:rPr>
          <w:sz w:val="24"/>
          <w:szCs w:val="24"/>
        </w:rPr>
        <w:t xml:space="preserve"> </w:t>
      </w:r>
      <w:r w:rsidR="009A75DF" w:rsidRPr="00D97194">
        <w:rPr>
          <w:sz w:val="24"/>
          <w:szCs w:val="24"/>
        </w:rPr>
        <w:t>[</w:t>
      </w:r>
      <w:r w:rsidR="0017756A">
        <w:rPr>
          <w:sz w:val="24"/>
          <w:szCs w:val="24"/>
        </w:rPr>
        <w:t>4-6</w:t>
      </w:r>
      <w:r w:rsidR="009A75DF" w:rsidRPr="00D97194">
        <w:rPr>
          <w:sz w:val="24"/>
          <w:szCs w:val="24"/>
        </w:rPr>
        <w:t xml:space="preserve">]. </w:t>
      </w:r>
      <w:r w:rsidR="00B645BB">
        <w:rPr>
          <w:sz w:val="24"/>
          <w:szCs w:val="24"/>
        </w:rPr>
        <w:t>One possible explanation for this would be if</w:t>
      </w:r>
      <w:r w:rsidR="00137560">
        <w:rPr>
          <w:sz w:val="24"/>
          <w:szCs w:val="24"/>
        </w:rPr>
        <w:t xml:space="preserve"> </w:t>
      </w:r>
      <w:r w:rsidR="00B645BB">
        <w:rPr>
          <w:sz w:val="24"/>
          <w:szCs w:val="24"/>
        </w:rPr>
        <w:t>sedentary work attenuated</w:t>
      </w:r>
      <w:r w:rsidR="00FF5035">
        <w:rPr>
          <w:sz w:val="24"/>
          <w:szCs w:val="24"/>
        </w:rPr>
        <w:t xml:space="preserve"> hip BMD </w:t>
      </w:r>
      <w:r w:rsidR="00B645BB">
        <w:rPr>
          <w:sz w:val="24"/>
          <w:szCs w:val="24"/>
        </w:rPr>
        <w:t>as compared with the effects of</w:t>
      </w:r>
      <w:r w:rsidR="00FF5035">
        <w:rPr>
          <w:sz w:val="24"/>
          <w:szCs w:val="24"/>
        </w:rPr>
        <w:t xml:space="preserve"> </w:t>
      </w:r>
      <w:r w:rsidR="00137560">
        <w:rPr>
          <w:sz w:val="24"/>
          <w:szCs w:val="24"/>
        </w:rPr>
        <w:t>heavy physical activity</w:t>
      </w:r>
      <w:r w:rsidR="00FF5035">
        <w:rPr>
          <w:sz w:val="24"/>
          <w:szCs w:val="24"/>
        </w:rPr>
        <w:t xml:space="preserve">. </w:t>
      </w:r>
      <w:r w:rsidR="00B645BB">
        <w:rPr>
          <w:sz w:val="24"/>
          <w:szCs w:val="24"/>
        </w:rPr>
        <w:t xml:space="preserve">However, despite the importance of BMD in fracture occurrence, </w:t>
      </w:r>
      <w:r w:rsidR="00FF5035">
        <w:rPr>
          <w:sz w:val="24"/>
          <w:szCs w:val="24"/>
        </w:rPr>
        <w:t xml:space="preserve">it </w:t>
      </w:r>
      <w:r w:rsidR="00B645BB">
        <w:rPr>
          <w:sz w:val="24"/>
          <w:szCs w:val="24"/>
        </w:rPr>
        <w:t>is also possible</w:t>
      </w:r>
      <w:r w:rsidR="00FF5035">
        <w:rPr>
          <w:sz w:val="24"/>
          <w:szCs w:val="24"/>
        </w:rPr>
        <w:t xml:space="preserve"> that intensive occupational physical activity might lead to </w:t>
      </w:r>
      <w:r w:rsidR="006E15A8">
        <w:rPr>
          <w:sz w:val="24"/>
          <w:szCs w:val="24"/>
        </w:rPr>
        <w:t>other</w:t>
      </w:r>
      <w:r w:rsidR="00FF5035">
        <w:rPr>
          <w:sz w:val="24"/>
          <w:szCs w:val="24"/>
        </w:rPr>
        <w:t xml:space="preserve"> benefi</w:t>
      </w:r>
      <w:r w:rsidR="006E15A8">
        <w:rPr>
          <w:sz w:val="24"/>
          <w:szCs w:val="24"/>
        </w:rPr>
        <w:t>ts important in fracture prevention</w:t>
      </w:r>
      <w:r w:rsidR="00FF5035">
        <w:rPr>
          <w:sz w:val="24"/>
          <w:szCs w:val="24"/>
        </w:rPr>
        <w:t xml:space="preserve"> such as </w:t>
      </w:r>
      <w:r w:rsidR="00137560">
        <w:rPr>
          <w:sz w:val="24"/>
          <w:szCs w:val="24"/>
        </w:rPr>
        <w:t>enhanc</w:t>
      </w:r>
      <w:r w:rsidR="00FF5035">
        <w:rPr>
          <w:sz w:val="24"/>
          <w:szCs w:val="24"/>
        </w:rPr>
        <w:t>ed</w:t>
      </w:r>
      <w:r w:rsidR="00137560">
        <w:rPr>
          <w:sz w:val="24"/>
          <w:szCs w:val="24"/>
        </w:rPr>
        <w:t xml:space="preserve"> muscle strength and coordination and/or reduc</w:t>
      </w:r>
      <w:r w:rsidR="00FF5035">
        <w:rPr>
          <w:sz w:val="24"/>
          <w:szCs w:val="24"/>
        </w:rPr>
        <w:t>ed</w:t>
      </w:r>
      <w:r w:rsidR="00137560">
        <w:rPr>
          <w:sz w:val="24"/>
          <w:szCs w:val="24"/>
        </w:rPr>
        <w:t xml:space="preserve"> risk of falls. </w:t>
      </w:r>
      <w:r w:rsidR="00B645BB">
        <w:rPr>
          <w:sz w:val="24"/>
          <w:szCs w:val="24"/>
        </w:rPr>
        <w:t>The existing literature in which relationships between BMD and occupational activity ha</w:t>
      </w:r>
      <w:r w:rsidR="00871385">
        <w:rPr>
          <w:sz w:val="24"/>
          <w:szCs w:val="24"/>
        </w:rPr>
        <w:t>ve</w:t>
      </w:r>
      <w:r w:rsidR="00B645BB">
        <w:rPr>
          <w:sz w:val="24"/>
          <w:szCs w:val="24"/>
        </w:rPr>
        <w:t xml:space="preserve"> been evaluated shows</w:t>
      </w:r>
      <w:r w:rsidR="00137560" w:rsidRPr="00D97194">
        <w:rPr>
          <w:sz w:val="24"/>
          <w:szCs w:val="24"/>
        </w:rPr>
        <w:t xml:space="preserve"> conflicting results [</w:t>
      </w:r>
      <w:r w:rsidR="0017756A">
        <w:rPr>
          <w:sz w:val="24"/>
          <w:szCs w:val="24"/>
        </w:rPr>
        <w:t>7-13</w:t>
      </w:r>
      <w:r w:rsidR="00137560" w:rsidRPr="00D97194">
        <w:rPr>
          <w:sz w:val="24"/>
          <w:szCs w:val="24"/>
        </w:rPr>
        <w:t>].</w:t>
      </w:r>
      <w:r w:rsidR="00FF5035">
        <w:rPr>
          <w:sz w:val="24"/>
          <w:szCs w:val="24"/>
        </w:rPr>
        <w:t xml:space="preserve"> </w:t>
      </w:r>
      <w:r w:rsidR="00EF2A84" w:rsidRPr="00D97194">
        <w:rPr>
          <w:sz w:val="24"/>
          <w:szCs w:val="24"/>
        </w:rPr>
        <w:t xml:space="preserve">Therefore, we investigated the association of hip </w:t>
      </w:r>
      <w:r w:rsidR="00EF2A84" w:rsidRPr="00D97194">
        <w:rPr>
          <w:sz w:val="24"/>
          <w:szCs w:val="24"/>
        </w:rPr>
        <w:lastRenderedPageBreak/>
        <w:t xml:space="preserve">BMD with lifetime occupational physical activity </w:t>
      </w:r>
      <w:r w:rsidR="007B644A" w:rsidRPr="00D97194">
        <w:rPr>
          <w:sz w:val="24"/>
          <w:szCs w:val="24"/>
        </w:rPr>
        <w:t xml:space="preserve">using </w:t>
      </w:r>
      <w:r w:rsidR="00384AFB" w:rsidRPr="00D97194">
        <w:rPr>
          <w:sz w:val="24"/>
          <w:szCs w:val="24"/>
        </w:rPr>
        <w:t xml:space="preserve">data from </w:t>
      </w:r>
      <w:r w:rsidR="007B644A" w:rsidRPr="00D97194">
        <w:rPr>
          <w:sz w:val="24"/>
          <w:szCs w:val="24"/>
        </w:rPr>
        <w:t>the Hertfordshire Cohort Study</w:t>
      </w:r>
      <w:r w:rsidR="00BB46F8" w:rsidRPr="00D97194">
        <w:rPr>
          <w:sz w:val="24"/>
          <w:szCs w:val="24"/>
        </w:rPr>
        <w:t xml:space="preserve"> [1</w:t>
      </w:r>
      <w:r w:rsidR="0017756A">
        <w:rPr>
          <w:sz w:val="24"/>
          <w:szCs w:val="24"/>
        </w:rPr>
        <w:t>4</w:t>
      </w:r>
      <w:r w:rsidR="00384AFB" w:rsidRPr="00D97194">
        <w:rPr>
          <w:sz w:val="24"/>
          <w:szCs w:val="24"/>
        </w:rPr>
        <w:t>]</w:t>
      </w:r>
      <w:r w:rsidR="007B644A" w:rsidRPr="00D97194">
        <w:rPr>
          <w:sz w:val="24"/>
          <w:szCs w:val="24"/>
        </w:rPr>
        <w:t>.</w:t>
      </w:r>
    </w:p>
    <w:p w:rsidR="007B644A" w:rsidRPr="00D97194" w:rsidRDefault="007B644A" w:rsidP="00445A07">
      <w:pPr>
        <w:pStyle w:val="Heading2"/>
        <w:spacing w:line="480" w:lineRule="auto"/>
        <w:rPr>
          <w:rFonts w:ascii="Arial" w:hAnsi="Arial" w:cs="Arial"/>
          <w:szCs w:val="24"/>
        </w:rPr>
      </w:pPr>
    </w:p>
    <w:p w:rsidR="00B91DA4" w:rsidRPr="00D97194" w:rsidRDefault="00B91DA4" w:rsidP="00445A07">
      <w:pPr>
        <w:pStyle w:val="Heading2"/>
        <w:spacing w:line="480" w:lineRule="auto"/>
        <w:rPr>
          <w:rFonts w:ascii="Arial" w:hAnsi="Arial" w:cs="Arial"/>
          <w:szCs w:val="24"/>
        </w:rPr>
      </w:pPr>
      <w:r w:rsidRPr="00D97194">
        <w:rPr>
          <w:rFonts w:ascii="Arial" w:hAnsi="Arial" w:cs="Arial"/>
          <w:szCs w:val="24"/>
        </w:rPr>
        <w:t>Methods</w:t>
      </w:r>
    </w:p>
    <w:p w:rsidR="00DF0743" w:rsidRPr="00D97194" w:rsidRDefault="00B91DA4" w:rsidP="00445A07">
      <w:pPr>
        <w:spacing w:line="480" w:lineRule="auto"/>
        <w:jc w:val="both"/>
        <w:rPr>
          <w:sz w:val="24"/>
          <w:szCs w:val="24"/>
        </w:rPr>
      </w:pPr>
      <w:r w:rsidRPr="00D97194">
        <w:rPr>
          <w:sz w:val="24"/>
          <w:szCs w:val="24"/>
        </w:rPr>
        <w:t>Most aspects of the study design have been described elsewhere [1</w:t>
      </w:r>
      <w:r w:rsidR="0017756A">
        <w:rPr>
          <w:sz w:val="24"/>
          <w:szCs w:val="24"/>
        </w:rPr>
        <w:t>4</w:t>
      </w:r>
      <w:r w:rsidRPr="00D97194">
        <w:rPr>
          <w:sz w:val="24"/>
          <w:szCs w:val="24"/>
        </w:rPr>
        <w:t xml:space="preserve">]. In </w:t>
      </w:r>
      <w:r w:rsidR="00D47BD9" w:rsidRPr="00D97194">
        <w:rPr>
          <w:sz w:val="24"/>
          <w:szCs w:val="24"/>
        </w:rPr>
        <w:t xml:space="preserve">brief, we studied 498 men and </w:t>
      </w:r>
      <w:r w:rsidR="00CC79C9" w:rsidRPr="00D97194">
        <w:rPr>
          <w:sz w:val="24"/>
          <w:szCs w:val="24"/>
        </w:rPr>
        <w:t>468</w:t>
      </w:r>
      <w:r w:rsidRPr="00D97194">
        <w:rPr>
          <w:sz w:val="24"/>
          <w:szCs w:val="24"/>
        </w:rPr>
        <w:t xml:space="preserve"> women </w:t>
      </w:r>
      <w:r w:rsidR="00F32984" w:rsidRPr="00D97194">
        <w:rPr>
          <w:sz w:val="24"/>
          <w:szCs w:val="24"/>
        </w:rPr>
        <w:t xml:space="preserve">who </w:t>
      </w:r>
      <w:r w:rsidRPr="00D97194">
        <w:rPr>
          <w:sz w:val="24"/>
          <w:szCs w:val="24"/>
        </w:rPr>
        <w:t>were born in Hertfordshire</w:t>
      </w:r>
      <w:r w:rsidR="008A0E44">
        <w:rPr>
          <w:sz w:val="24"/>
          <w:szCs w:val="24"/>
        </w:rPr>
        <w:t>, UK</w:t>
      </w:r>
      <w:r w:rsidRPr="00D97194">
        <w:rPr>
          <w:sz w:val="24"/>
          <w:szCs w:val="24"/>
        </w:rPr>
        <w:t xml:space="preserve"> </w:t>
      </w:r>
      <w:r w:rsidR="00A506BD">
        <w:rPr>
          <w:sz w:val="24"/>
          <w:szCs w:val="24"/>
        </w:rPr>
        <w:t xml:space="preserve">during </w:t>
      </w:r>
      <w:r w:rsidRPr="00D97194">
        <w:rPr>
          <w:sz w:val="24"/>
          <w:szCs w:val="24"/>
        </w:rPr>
        <w:t xml:space="preserve">1931-39, and who still lived there </w:t>
      </w:r>
      <w:r w:rsidR="008537F3" w:rsidRPr="00D97194">
        <w:rPr>
          <w:sz w:val="24"/>
          <w:szCs w:val="24"/>
        </w:rPr>
        <w:t>when surveyed</w:t>
      </w:r>
      <w:r w:rsidRPr="00D97194">
        <w:rPr>
          <w:sz w:val="24"/>
          <w:szCs w:val="24"/>
        </w:rPr>
        <w:t xml:space="preserve"> (</w:t>
      </w:r>
      <w:r w:rsidR="00EF2A84" w:rsidRPr="00D97194">
        <w:rPr>
          <w:sz w:val="24"/>
          <w:szCs w:val="24"/>
        </w:rPr>
        <w:t>1998-2003</w:t>
      </w:r>
      <w:r w:rsidRPr="00D97194">
        <w:rPr>
          <w:sz w:val="24"/>
          <w:szCs w:val="24"/>
        </w:rPr>
        <w:t xml:space="preserve">). </w:t>
      </w:r>
      <w:r w:rsidR="00FD733A">
        <w:rPr>
          <w:sz w:val="24"/>
          <w:szCs w:val="24"/>
        </w:rPr>
        <w:t>At recruitment, p</w:t>
      </w:r>
      <w:r w:rsidR="008537F3" w:rsidRPr="00D97194">
        <w:rPr>
          <w:sz w:val="24"/>
          <w:szCs w:val="24"/>
        </w:rPr>
        <w:t>articipants</w:t>
      </w:r>
      <w:r w:rsidRPr="00D97194">
        <w:rPr>
          <w:sz w:val="24"/>
          <w:szCs w:val="24"/>
        </w:rPr>
        <w:t xml:space="preserve"> completed a health questionnaire </w:t>
      </w:r>
      <w:r w:rsidR="008537F3" w:rsidRPr="00D97194">
        <w:rPr>
          <w:sz w:val="24"/>
          <w:szCs w:val="24"/>
        </w:rPr>
        <w:t>which included:</w:t>
      </w:r>
      <w:r w:rsidRPr="00D97194">
        <w:rPr>
          <w:sz w:val="24"/>
          <w:szCs w:val="24"/>
        </w:rPr>
        <w:t xml:space="preserve"> </w:t>
      </w:r>
      <w:r w:rsidR="00923A7A" w:rsidRPr="00D97194">
        <w:rPr>
          <w:sz w:val="24"/>
          <w:szCs w:val="24"/>
        </w:rPr>
        <w:t xml:space="preserve">smoking, alcohol, dietary </w:t>
      </w:r>
      <w:r w:rsidR="003B19C5" w:rsidRPr="00D97194">
        <w:rPr>
          <w:sz w:val="24"/>
          <w:szCs w:val="24"/>
        </w:rPr>
        <w:t xml:space="preserve">calcium </w:t>
      </w:r>
      <w:r w:rsidR="00923A7A" w:rsidRPr="00D97194">
        <w:rPr>
          <w:sz w:val="24"/>
          <w:szCs w:val="24"/>
        </w:rPr>
        <w:t xml:space="preserve">intake, </w:t>
      </w:r>
      <w:r w:rsidR="003B19C5" w:rsidRPr="00D97194">
        <w:rPr>
          <w:sz w:val="24"/>
          <w:szCs w:val="24"/>
        </w:rPr>
        <w:t>leisure</w:t>
      </w:r>
      <w:r w:rsidR="00C61514" w:rsidRPr="00D97194">
        <w:rPr>
          <w:sz w:val="24"/>
          <w:szCs w:val="24"/>
        </w:rPr>
        <w:t>-</w:t>
      </w:r>
      <w:r w:rsidR="003B19C5" w:rsidRPr="00D97194">
        <w:rPr>
          <w:sz w:val="24"/>
          <w:szCs w:val="24"/>
        </w:rPr>
        <w:t>time</w:t>
      </w:r>
      <w:r w:rsidR="00923A7A" w:rsidRPr="00D97194">
        <w:rPr>
          <w:sz w:val="24"/>
          <w:szCs w:val="24"/>
        </w:rPr>
        <w:t xml:space="preserve"> physical activity, family history of fractures, time since menopause, use of </w:t>
      </w:r>
      <w:r w:rsidR="00A506BD">
        <w:rPr>
          <w:sz w:val="24"/>
          <w:szCs w:val="24"/>
        </w:rPr>
        <w:t>hormone replacement therapy (</w:t>
      </w:r>
      <w:r w:rsidR="00923A7A" w:rsidRPr="00D97194">
        <w:rPr>
          <w:sz w:val="24"/>
          <w:szCs w:val="24"/>
        </w:rPr>
        <w:t>HRT</w:t>
      </w:r>
      <w:r w:rsidR="00A506BD">
        <w:rPr>
          <w:sz w:val="24"/>
          <w:szCs w:val="24"/>
        </w:rPr>
        <w:t>)</w:t>
      </w:r>
      <w:r w:rsidR="00615BF1">
        <w:rPr>
          <w:sz w:val="24"/>
          <w:szCs w:val="24"/>
        </w:rPr>
        <w:t xml:space="preserve"> and relevant co-morbidities</w:t>
      </w:r>
      <w:r w:rsidR="00923A7A" w:rsidRPr="00D97194">
        <w:rPr>
          <w:sz w:val="24"/>
          <w:szCs w:val="24"/>
        </w:rPr>
        <w:t xml:space="preserve">.  </w:t>
      </w:r>
      <w:r w:rsidR="00A90423">
        <w:rPr>
          <w:sz w:val="24"/>
          <w:szCs w:val="24"/>
        </w:rPr>
        <w:t xml:space="preserve">People with a diagnosis of, or taking treatment for, osteoporosis were not eligible for this study. </w:t>
      </w:r>
      <w:r w:rsidR="00615BF1">
        <w:rPr>
          <w:sz w:val="24"/>
          <w:szCs w:val="24"/>
        </w:rPr>
        <w:t>Everybody was asked for their lifetime history of jobs held for longer than one year and f</w:t>
      </w:r>
      <w:r w:rsidR="00A506BD" w:rsidRPr="00A506BD">
        <w:rPr>
          <w:sz w:val="24"/>
          <w:szCs w:val="24"/>
        </w:rPr>
        <w:t xml:space="preserve">or each job, they were asked whether </w:t>
      </w:r>
      <w:r w:rsidR="00871385">
        <w:rPr>
          <w:sz w:val="24"/>
          <w:szCs w:val="24"/>
        </w:rPr>
        <w:t>an average working day</w:t>
      </w:r>
      <w:r w:rsidR="00A506BD" w:rsidRPr="00A506BD">
        <w:rPr>
          <w:sz w:val="24"/>
          <w:szCs w:val="24"/>
        </w:rPr>
        <w:t xml:space="preserve"> entailed standing or walking for at least four hours per day, lifting weights of ≥25 kg, or energetic physical activity sufficient to cause sweating.</w:t>
      </w:r>
      <w:r w:rsidR="00A506BD">
        <w:t xml:space="preserve">  </w:t>
      </w:r>
      <w:r w:rsidR="00D17618" w:rsidRPr="00D97194">
        <w:rPr>
          <w:sz w:val="24"/>
          <w:szCs w:val="24"/>
        </w:rPr>
        <w:t>Bone</w:t>
      </w:r>
      <w:r w:rsidRPr="00D97194">
        <w:rPr>
          <w:sz w:val="24"/>
          <w:szCs w:val="24"/>
        </w:rPr>
        <w:t xml:space="preserve"> densitometry (DXA) was </w:t>
      </w:r>
      <w:r w:rsidR="00D72172" w:rsidRPr="00D97194">
        <w:rPr>
          <w:sz w:val="24"/>
          <w:szCs w:val="24"/>
        </w:rPr>
        <w:t>acquired</w:t>
      </w:r>
      <w:r w:rsidRPr="00D97194">
        <w:rPr>
          <w:sz w:val="24"/>
          <w:szCs w:val="24"/>
        </w:rPr>
        <w:t xml:space="preserve"> at the </w:t>
      </w:r>
      <w:r w:rsidR="00DA5108" w:rsidRPr="00D97194">
        <w:rPr>
          <w:sz w:val="24"/>
          <w:szCs w:val="24"/>
        </w:rPr>
        <w:t>total hip and femoral neck</w:t>
      </w:r>
      <w:r w:rsidRPr="00D97194">
        <w:rPr>
          <w:sz w:val="24"/>
          <w:szCs w:val="24"/>
        </w:rPr>
        <w:t xml:space="preserve"> using a Hologic QDR 4500 instrument. </w:t>
      </w:r>
    </w:p>
    <w:p w:rsidR="00DF0743" w:rsidRPr="00D97194" w:rsidRDefault="00DF0743" w:rsidP="00445A07">
      <w:pPr>
        <w:spacing w:line="480" w:lineRule="auto"/>
        <w:jc w:val="both"/>
        <w:rPr>
          <w:sz w:val="24"/>
          <w:szCs w:val="24"/>
        </w:rPr>
      </w:pPr>
    </w:p>
    <w:p w:rsidR="00DF0743" w:rsidRPr="00D97194" w:rsidRDefault="00DF0743" w:rsidP="00445A07">
      <w:pPr>
        <w:spacing w:line="480" w:lineRule="auto"/>
        <w:jc w:val="both"/>
        <w:rPr>
          <w:sz w:val="24"/>
          <w:szCs w:val="24"/>
        </w:rPr>
      </w:pPr>
      <w:r w:rsidRPr="00D97194">
        <w:rPr>
          <w:sz w:val="24"/>
          <w:szCs w:val="24"/>
        </w:rPr>
        <w:t xml:space="preserve">Statistical analysis was performed </w:t>
      </w:r>
      <w:r w:rsidR="00A506BD">
        <w:rPr>
          <w:sz w:val="24"/>
          <w:szCs w:val="24"/>
        </w:rPr>
        <w:t>with</w:t>
      </w:r>
      <w:r w:rsidRPr="00D97194">
        <w:rPr>
          <w:sz w:val="24"/>
          <w:szCs w:val="24"/>
        </w:rPr>
        <w:t xml:space="preserve"> Stata</w:t>
      </w:r>
      <w:r w:rsidR="00D72172" w:rsidRPr="00D97194">
        <w:rPr>
          <w:sz w:val="24"/>
          <w:szCs w:val="24"/>
        </w:rPr>
        <w:t>©</w:t>
      </w:r>
      <w:r w:rsidRPr="00D97194">
        <w:rPr>
          <w:sz w:val="24"/>
          <w:szCs w:val="24"/>
        </w:rPr>
        <w:t xml:space="preserve"> version 12</w:t>
      </w:r>
      <w:r w:rsidR="00A506BD">
        <w:rPr>
          <w:sz w:val="24"/>
          <w:szCs w:val="24"/>
        </w:rPr>
        <w:t xml:space="preserve"> software</w:t>
      </w:r>
      <w:r w:rsidRPr="00D97194">
        <w:rPr>
          <w:sz w:val="24"/>
          <w:szCs w:val="24"/>
        </w:rPr>
        <w:t xml:space="preserve">.  We focused on four occupational risk factors – years of standing/walking for ≥4 hours per day, years of lifting weights ≥25 kg, years of energetic physical work, and years of manual work (determined from job titles).  Each </w:t>
      </w:r>
      <w:r w:rsidR="00986224" w:rsidRPr="00D97194">
        <w:rPr>
          <w:sz w:val="24"/>
          <w:szCs w:val="24"/>
        </w:rPr>
        <w:t>variable</w:t>
      </w:r>
      <w:r w:rsidRPr="00D97194">
        <w:rPr>
          <w:sz w:val="24"/>
          <w:szCs w:val="24"/>
        </w:rPr>
        <w:t xml:space="preserve"> was derived by summing </w:t>
      </w:r>
      <w:r w:rsidR="00F32984" w:rsidRPr="00D97194">
        <w:rPr>
          <w:sz w:val="24"/>
          <w:szCs w:val="24"/>
        </w:rPr>
        <w:t>the</w:t>
      </w:r>
      <w:r w:rsidRPr="00D97194">
        <w:rPr>
          <w:sz w:val="24"/>
          <w:szCs w:val="24"/>
        </w:rPr>
        <w:t xml:space="preserve"> time</w:t>
      </w:r>
      <w:r w:rsidR="00F32984" w:rsidRPr="00D97194">
        <w:rPr>
          <w:sz w:val="24"/>
          <w:szCs w:val="24"/>
        </w:rPr>
        <w:t>s</w:t>
      </w:r>
      <w:r w:rsidRPr="00D97194">
        <w:rPr>
          <w:sz w:val="24"/>
          <w:szCs w:val="24"/>
        </w:rPr>
        <w:t xml:space="preserve"> spent in relevant jobs (with a correction factor of 0.5 for part-time employment), and classified to approximate thirds of its distribution in the study sample.  Associations of total </w:t>
      </w:r>
      <w:r w:rsidR="006C1029" w:rsidRPr="00D97194">
        <w:rPr>
          <w:sz w:val="24"/>
          <w:szCs w:val="24"/>
        </w:rPr>
        <w:t>hip</w:t>
      </w:r>
      <w:r w:rsidR="00986224" w:rsidRPr="00D97194">
        <w:rPr>
          <w:sz w:val="24"/>
          <w:szCs w:val="24"/>
        </w:rPr>
        <w:t xml:space="preserve"> </w:t>
      </w:r>
      <w:r w:rsidRPr="00D97194">
        <w:rPr>
          <w:sz w:val="24"/>
          <w:szCs w:val="24"/>
        </w:rPr>
        <w:t xml:space="preserve">BMD with </w:t>
      </w:r>
      <w:r w:rsidR="00A506BD">
        <w:rPr>
          <w:sz w:val="24"/>
          <w:szCs w:val="24"/>
        </w:rPr>
        <w:t>these and other</w:t>
      </w:r>
      <w:r w:rsidRPr="00D97194">
        <w:rPr>
          <w:sz w:val="24"/>
          <w:szCs w:val="24"/>
        </w:rPr>
        <w:t xml:space="preserve"> risk factors were assessed by linear </w:t>
      </w:r>
      <w:r w:rsidRPr="00D97194">
        <w:rPr>
          <w:sz w:val="24"/>
          <w:szCs w:val="24"/>
        </w:rPr>
        <w:lastRenderedPageBreak/>
        <w:t>regression</w:t>
      </w:r>
      <w:r w:rsidR="00F32984" w:rsidRPr="00D97194">
        <w:rPr>
          <w:sz w:val="24"/>
          <w:szCs w:val="24"/>
        </w:rPr>
        <w:t>, and characterised by estimates of mean difference in BMD with associated 95% confidence intervals (CIs).</w:t>
      </w:r>
      <w:r w:rsidRPr="00D97194">
        <w:rPr>
          <w:sz w:val="24"/>
          <w:szCs w:val="24"/>
        </w:rPr>
        <w:t xml:space="preserve"> </w:t>
      </w:r>
    </w:p>
    <w:p w:rsidR="00DF0743" w:rsidRPr="00D97194" w:rsidRDefault="00DF0743" w:rsidP="00445A07">
      <w:pPr>
        <w:spacing w:line="480" w:lineRule="auto"/>
        <w:jc w:val="both"/>
        <w:rPr>
          <w:sz w:val="24"/>
          <w:szCs w:val="24"/>
        </w:rPr>
      </w:pPr>
    </w:p>
    <w:p w:rsidR="00B91DA4" w:rsidRPr="00D97194" w:rsidRDefault="00F32984" w:rsidP="00445A07">
      <w:pPr>
        <w:spacing w:line="480" w:lineRule="auto"/>
        <w:jc w:val="both"/>
        <w:rPr>
          <w:sz w:val="24"/>
          <w:szCs w:val="24"/>
        </w:rPr>
      </w:pPr>
      <w:r w:rsidRPr="00D97194">
        <w:rPr>
          <w:sz w:val="24"/>
          <w:szCs w:val="24"/>
        </w:rPr>
        <w:t>E</w:t>
      </w:r>
      <w:r w:rsidR="00B91DA4" w:rsidRPr="00D97194">
        <w:rPr>
          <w:sz w:val="24"/>
          <w:szCs w:val="24"/>
        </w:rPr>
        <w:t xml:space="preserve">thical approval </w:t>
      </w:r>
      <w:r w:rsidRPr="00D97194">
        <w:rPr>
          <w:sz w:val="24"/>
          <w:szCs w:val="24"/>
        </w:rPr>
        <w:t xml:space="preserve">was provided by </w:t>
      </w:r>
      <w:r w:rsidR="00EF2A84" w:rsidRPr="00D97194">
        <w:rPr>
          <w:sz w:val="24"/>
          <w:szCs w:val="24"/>
        </w:rPr>
        <w:t xml:space="preserve">the East and North Hertfordshire </w:t>
      </w:r>
      <w:r w:rsidR="00550FED">
        <w:rPr>
          <w:sz w:val="24"/>
          <w:szCs w:val="24"/>
        </w:rPr>
        <w:t xml:space="preserve">NHS </w:t>
      </w:r>
      <w:r w:rsidR="00A506BD">
        <w:rPr>
          <w:sz w:val="24"/>
          <w:szCs w:val="24"/>
        </w:rPr>
        <w:t xml:space="preserve">Research </w:t>
      </w:r>
      <w:r w:rsidR="00EF2A84" w:rsidRPr="00D97194">
        <w:rPr>
          <w:sz w:val="24"/>
          <w:szCs w:val="24"/>
        </w:rPr>
        <w:t>Ethic</w:t>
      </w:r>
      <w:r w:rsidR="00A506BD">
        <w:rPr>
          <w:sz w:val="24"/>
          <w:szCs w:val="24"/>
        </w:rPr>
        <w:t>s</w:t>
      </w:r>
      <w:r w:rsidR="00EF2A84" w:rsidRPr="00D97194">
        <w:rPr>
          <w:sz w:val="24"/>
          <w:szCs w:val="24"/>
        </w:rPr>
        <w:t xml:space="preserve"> Committees</w:t>
      </w:r>
      <w:r w:rsidRPr="00D97194">
        <w:rPr>
          <w:sz w:val="24"/>
          <w:szCs w:val="24"/>
        </w:rPr>
        <w:t xml:space="preserve">, </w:t>
      </w:r>
      <w:r w:rsidR="00B91DA4" w:rsidRPr="00D97194">
        <w:rPr>
          <w:sz w:val="24"/>
          <w:szCs w:val="24"/>
        </w:rPr>
        <w:t xml:space="preserve">and </w:t>
      </w:r>
      <w:r w:rsidRPr="00D97194">
        <w:rPr>
          <w:sz w:val="24"/>
          <w:szCs w:val="24"/>
        </w:rPr>
        <w:t xml:space="preserve">all </w:t>
      </w:r>
      <w:r w:rsidR="00B91DA4" w:rsidRPr="00D97194">
        <w:rPr>
          <w:sz w:val="24"/>
          <w:szCs w:val="24"/>
        </w:rPr>
        <w:t>patient</w:t>
      </w:r>
      <w:r w:rsidRPr="00D97194">
        <w:rPr>
          <w:sz w:val="24"/>
          <w:szCs w:val="24"/>
        </w:rPr>
        <w:t>s gave written informed consent.</w:t>
      </w:r>
    </w:p>
    <w:p w:rsidR="00D17618" w:rsidRPr="00D97194" w:rsidRDefault="00D17618" w:rsidP="00445A07">
      <w:pPr>
        <w:pStyle w:val="Heading2"/>
        <w:spacing w:line="480" w:lineRule="auto"/>
        <w:rPr>
          <w:rFonts w:ascii="Arial" w:hAnsi="Arial" w:cs="Arial"/>
          <w:szCs w:val="24"/>
        </w:rPr>
      </w:pPr>
    </w:p>
    <w:p w:rsidR="007B3646" w:rsidRPr="00D97194" w:rsidRDefault="00A15AD3" w:rsidP="00445A07">
      <w:pPr>
        <w:pStyle w:val="Heading2"/>
        <w:spacing w:line="480" w:lineRule="auto"/>
        <w:rPr>
          <w:rFonts w:ascii="Arial" w:hAnsi="Arial" w:cs="Arial"/>
          <w:szCs w:val="24"/>
        </w:rPr>
      </w:pPr>
      <w:r w:rsidRPr="00D97194">
        <w:rPr>
          <w:rFonts w:ascii="Arial" w:hAnsi="Arial" w:cs="Arial"/>
          <w:szCs w:val="24"/>
        </w:rPr>
        <w:t>Results</w:t>
      </w:r>
    </w:p>
    <w:p w:rsidR="003D0BDA" w:rsidRPr="00D97194" w:rsidRDefault="003D0BDA" w:rsidP="00445A07">
      <w:pPr>
        <w:spacing w:line="480" w:lineRule="auto"/>
        <w:jc w:val="both"/>
        <w:rPr>
          <w:sz w:val="24"/>
          <w:szCs w:val="24"/>
        </w:rPr>
      </w:pPr>
      <w:r w:rsidRPr="00D97194">
        <w:rPr>
          <w:sz w:val="24"/>
          <w:szCs w:val="24"/>
        </w:rPr>
        <w:t>In total, 966 people were recruited (498 men and 468 women)</w:t>
      </w:r>
      <w:r w:rsidR="00D72172" w:rsidRPr="00D97194">
        <w:rPr>
          <w:sz w:val="24"/>
          <w:szCs w:val="24"/>
        </w:rPr>
        <w:t xml:space="preserve"> amongst whom</w:t>
      </w:r>
      <w:r w:rsidRPr="00D97194">
        <w:rPr>
          <w:sz w:val="24"/>
          <w:szCs w:val="24"/>
        </w:rPr>
        <w:t xml:space="preserve"> the majority 877 (91%) had undertaken </w:t>
      </w:r>
      <w:r w:rsidR="00D72172" w:rsidRPr="00D97194">
        <w:rPr>
          <w:sz w:val="24"/>
          <w:szCs w:val="24"/>
        </w:rPr>
        <w:t>≥</w:t>
      </w:r>
      <w:r w:rsidRPr="00D97194">
        <w:rPr>
          <w:sz w:val="24"/>
          <w:szCs w:val="24"/>
        </w:rPr>
        <w:t>20 years of paid work</w:t>
      </w:r>
      <w:r w:rsidR="00F732FD">
        <w:rPr>
          <w:sz w:val="24"/>
          <w:szCs w:val="24"/>
        </w:rPr>
        <w:t xml:space="preserve">. </w:t>
      </w:r>
      <w:r w:rsidR="00A16AFD">
        <w:rPr>
          <w:sz w:val="24"/>
          <w:szCs w:val="24"/>
        </w:rPr>
        <w:t>The</w:t>
      </w:r>
      <w:r w:rsidR="00F732FD">
        <w:rPr>
          <w:sz w:val="24"/>
          <w:szCs w:val="24"/>
        </w:rPr>
        <w:t xml:space="preserve"> </w:t>
      </w:r>
      <w:r w:rsidRPr="00D97194">
        <w:rPr>
          <w:sz w:val="24"/>
          <w:szCs w:val="24"/>
        </w:rPr>
        <w:t xml:space="preserve">89 (all women) who had done </w:t>
      </w:r>
      <w:r w:rsidR="00195430">
        <w:rPr>
          <w:sz w:val="24"/>
          <w:szCs w:val="24"/>
        </w:rPr>
        <w:t>≤</w:t>
      </w:r>
      <w:r w:rsidR="00F732FD">
        <w:rPr>
          <w:sz w:val="24"/>
          <w:szCs w:val="24"/>
        </w:rPr>
        <w:t xml:space="preserve">20 years paid work </w:t>
      </w:r>
      <w:r w:rsidRPr="00D97194">
        <w:rPr>
          <w:sz w:val="24"/>
          <w:szCs w:val="24"/>
        </w:rPr>
        <w:t>were excluded</w:t>
      </w:r>
      <w:r w:rsidR="00FD733A">
        <w:rPr>
          <w:sz w:val="24"/>
          <w:szCs w:val="24"/>
        </w:rPr>
        <w:t xml:space="preserve"> from further analyses</w:t>
      </w:r>
      <w:r w:rsidRPr="00D97194">
        <w:rPr>
          <w:sz w:val="24"/>
          <w:szCs w:val="24"/>
        </w:rPr>
        <w:t>. An additional 17</w:t>
      </w:r>
      <w:r w:rsidR="00FD733A">
        <w:rPr>
          <w:sz w:val="24"/>
          <w:szCs w:val="24"/>
        </w:rPr>
        <w:t xml:space="preserve"> subjects</w:t>
      </w:r>
      <w:r w:rsidRPr="00D97194">
        <w:rPr>
          <w:sz w:val="24"/>
          <w:szCs w:val="24"/>
        </w:rPr>
        <w:t xml:space="preserve"> </w:t>
      </w:r>
      <w:r w:rsidR="00F732FD">
        <w:rPr>
          <w:sz w:val="24"/>
          <w:szCs w:val="24"/>
        </w:rPr>
        <w:t xml:space="preserve">(10 men and 7 women) </w:t>
      </w:r>
      <w:r w:rsidRPr="00D97194">
        <w:rPr>
          <w:sz w:val="24"/>
          <w:szCs w:val="24"/>
        </w:rPr>
        <w:t>for whom there were missing data about non-occupational confounding factors (age, BMI, smoking status, alcohol consumption, dietary calcium intake, current physical activity, family history of fractures, and in women, time since menopause and use of HRT) were also excluded</w:t>
      </w:r>
      <w:r w:rsidR="004854CA" w:rsidRPr="00D97194">
        <w:rPr>
          <w:sz w:val="24"/>
          <w:szCs w:val="24"/>
        </w:rPr>
        <w:t xml:space="preserve">, </w:t>
      </w:r>
      <w:r w:rsidR="00A15AD3" w:rsidRPr="00D97194">
        <w:rPr>
          <w:sz w:val="24"/>
          <w:szCs w:val="24"/>
        </w:rPr>
        <w:t xml:space="preserve">leaving </w:t>
      </w:r>
      <w:r w:rsidR="00F732FD">
        <w:rPr>
          <w:sz w:val="24"/>
          <w:szCs w:val="24"/>
        </w:rPr>
        <w:t>a total sample of 860 (</w:t>
      </w:r>
      <w:r w:rsidR="00A15AD3" w:rsidRPr="00D97194">
        <w:rPr>
          <w:sz w:val="24"/>
          <w:szCs w:val="24"/>
        </w:rPr>
        <w:t>4</w:t>
      </w:r>
      <w:r w:rsidR="004854CA" w:rsidRPr="00D97194">
        <w:rPr>
          <w:sz w:val="24"/>
          <w:szCs w:val="24"/>
        </w:rPr>
        <w:t>8</w:t>
      </w:r>
      <w:r w:rsidR="00A15AD3" w:rsidRPr="00D97194">
        <w:rPr>
          <w:sz w:val="24"/>
          <w:szCs w:val="24"/>
        </w:rPr>
        <w:t xml:space="preserve">8 men </w:t>
      </w:r>
      <w:r w:rsidR="0072102B" w:rsidRPr="00D97194">
        <w:rPr>
          <w:sz w:val="24"/>
          <w:szCs w:val="24"/>
        </w:rPr>
        <w:t xml:space="preserve">and </w:t>
      </w:r>
      <w:r w:rsidR="00CC79C9" w:rsidRPr="00D97194">
        <w:rPr>
          <w:sz w:val="24"/>
          <w:szCs w:val="24"/>
        </w:rPr>
        <w:t>372</w:t>
      </w:r>
      <w:r w:rsidR="00A15AD3" w:rsidRPr="00D97194">
        <w:rPr>
          <w:sz w:val="24"/>
          <w:szCs w:val="24"/>
        </w:rPr>
        <w:t xml:space="preserve"> </w:t>
      </w:r>
      <w:r w:rsidR="004854CA" w:rsidRPr="00D97194">
        <w:rPr>
          <w:sz w:val="24"/>
          <w:szCs w:val="24"/>
        </w:rPr>
        <w:t>wo</w:t>
      </w:r>
      <w:r w:rsidR="00A15AD3" w:rsidRPr="00D97194">
        <w:rPr>
          <w:sz w:val="24"/>
          <w:szCs w:val="24"/>
        </w:rPr>
        <w:t>men</w:t>
      </w:r>
      <w:r w:rsidR="00F732FD">
        <w:rPr>
          <w:sz w:val="24"/>
          <w:szCs w:val="24"/>
        </w:rPr>
        <w:t>)</w:t>
      </w:r>
      <w:r w:rsidR="00A15AD3" w:rsidRPr="00D97194">
        <w:rPr>
          <w:sz w:val="24"/>
          <w:szCs w:val="24"/>
        </w:rPr>
        <w:t xml:space="preserve"> in the</w:t>
      </w:r>
      <w:r w:rsidR="00717CDC" w:rsidRPr="00D97194">
        <w:rPr>
          <w:sz w:val="24"/>
          <w:szCs w:val="24"/>
        </w:rPr>
        <w:t>se</w:t>
      </w:r>
      <w:r w:rsidR="00A15AD3" w:rsidRPr="00D97194">
        <w:rPr>
          <w:sz w:val="24"/>
          <w:szCs w:val="24"/>
        </w:rPr>
        <w:t xml:space="preserve"> analys</w:t>
      </w:r>
      <w:r w:rsidR="008537F3" w:rsidRPr="00D97194">
        <w:rPr>
          <w:sz w:val="24"/>
          <w:szCs w:val="24"/>
        </w:rPr>
        <w:t>e</w:t>
      </w:r>
      <w:r w:rsidR="00A15AD3" w:rsidRPr="00D97194">
        <w:rPr>
          <w:sz w:val="24"/>
          <w:szCs w:val="24"/>
        </w:rPr>
        <w:t xml:space="preserve">s. </w:t>
      </w:r>
    </w:p>
    <w:p w:rsidR="003D0BDA" w:rsidRPr="00D97194" w:rsidRDefault="003D0BDA" w:rsidP="00445A07">
      <w:pPr>
        <w:spacing w:line="480" w:lineRule="auto"/>
        <w:jc w:val="both"/>
        <w:rPr>
          <w:sz w:val="24"/>
          <w:szCs w:val="24"/>
        </w:rPr>
      </w:pPr>
    </w:p>
    <w:p w:rsidR="00F350DC" w:rsidRPr="00D97194" w:rsidRDefault="008537F3" w:rsidP="00F350DC">
      <w:pPr>
        <w:spacing w:line="480" w:lineRule="auto"/>
        <w:jc w:val="both"/>
        <w:rPr>
          <w:sz w:val="24"/>
          <w:szCs w:val="24"/>
        </w:rPr>
      </w:pPr>
      <w:r w:rsidRPr="00D97194">
        <w:rPr>
          <w:sz w:val="24"/>
          <w:szCs w:val="24"/>
        </w:rPr>
        <w:t>Ages</w:t>
      </w:r>
      <w:r w:rsidR="00A15AD3" w:rsidRPr="00D97194">
        <w:rPr>
          <w:sz w:val="24"/>
          <w:szCs w:val="24"/>
        </w:rPr>
        <w:t xml:space="preserve"> ranged from </w:t>
      </w:r>
      <w:r w:rsidR="00A03CB0" w:rsidRPr="00D97194">
        <w:rPr>
          <w:sz w:val="24"/>
          <w:szCs w:val="24"/>
        </w:rPr>
        <w:t>59.7</w:t>
      </w:r>
      <w:r w:rsidR="00A15AD3" w:rsidRPr="00D97194">
        <w:rPr>
          <w:sz w:val="24"/>
          <w:szCs w:val="24"/>
        </w:rPr>
        <w:t xml:space="preserve"> to </w:t>
      </w:r>
      <w:r w:rsidR="00CC79C9" w:rsidRPr="00D97194">
        <w:rPr>
          <w:sz w:val="24"/>
          <w:szCs w:val="24"/>
        </w:rPr>
        <w:t>71.7</w:t>
      </w:r>
      <w:r w:rsidR="00A15AD3" w:rsidRPr="00D97194">
        <w:rPr>
          <w:sz w:val="24"/>
          <w:szCs w:val="24"/>
        </w:rPr>
        <w:t xml:space="preserve"> years</w:t>
      </w:r>
      <w:r w:rsidR="00CC79C9" w:rsidRPr="00D97194">
        <w:rPr>
          <w:sz w:val="24"/>
          <w:szCs w:val="24"/>
        </w:rPr>
        <w:t xml:space="preserve"> </w:t>
      </w:r>
      <w:r w:rsidR="00717CDC" w:rsidRPr="00D97194">
        <w:rPr>
          <w:sz w:val="24"/>
          <w:szCs w:val="24"/>
        </w:rPr>
        <w:t>(</w:t>
      </w:r>
      <w:r w:rsidR="00CC79C9" w:rsidRPr="00D97194">
        <w:rPr>
          <w:sz w:val="24"/>
          <w:szCs w:val="24"/>
        </w:rPr>
        <w:t>mean 64.8 in men and 66.4</w:t>
      </w:r>
      <w:r w:rsidR="00A15AD3" w:rsidRPr="00D97194">
        <w:rPr>
          <w:sz w:val="24"/>
          <w:szCs w:val="24"/>
        </w:rPr>
        <w:t xml:space="preserve"> in women</w:t>
      </w:r>
      <w:r w:rsidR="00717CDC" w:rsidRPr="00D97194">
        <w:rPr>
          <w:sz w:val="24"/>
          <w:szCs w:val="24"/>
        </w:rPr>
        <w:t>)</w:t>
      </w:r>
      <w:r w:rsidR="00A15AD3" w:rsidRPr="00D97194">
        <w:rPr>
          <w:sz w:val="24"/>
          <w:szCs w:val="24"/>
        </w:rPr>
        <w:t xml:space="preserve">. </w:t>
      </w:r>
      <w:r w:rsidR="00F350DC" w:rsidRPr="00D97194">
        <w:rPr>
          <w:sz w:val="24"/>
          <w:szCs w:val="24"/>
        </w:rPr>
        <w:t xml:space="preserve">Participants reported a wide range of prolonged exposure to occupational physical activities: median (interquartile range [IQR]) numbers of years exposed to walking/standing ≥4 hours/day, work involving lifting weights ≥25 kg, </w:t>
      </w:r>
      <w:r w:rsidR="00195430">
        <w:rPr>
          <w:sz w:val="24"/>
          <w:szCs w:val="24"/>
        </w:rPr>
        <w:t>energetic activities</w:t>
      </w:r>
      <w:r w:rsidR="00F350DC" w:rsidRPr="00D97194">
        <w:rPr>
          <w:sz w:val="24"/>
          <w:szCs w:val="24"/>
        </w:rPr>
        <w:t xml:space="preserve"> sufficient to cause sweating, and manual work among men were: 44(26,48),  37(6,46), 20.5(3,43) and 41(12,48) years respectively. Corresponding median (IQR) years of exposure among women were 15(2.5</w:t>
      </w:r>
      <w:r w:rsidR="00FF2322" w:rsidRPr="00D97194">
        <w:rPr>
          <w:sz w:val="24"/>
          <w:szCs w:val="24"/>
        </w:rPr>
        <w:t>, 25.5</w:t>
      </w:r>
      <w:r w:rsidR="00F350DC" w:rsidRPr="00D97194">
        <w:rPr>
          <w:sz w:val="24"/>
          <w:szCs w:val="24"/>
        </w:rPr>
        <w:t>), 0(0,6), 0(0,0) and 7(0,22.5).</w:t>
      </w:r>
    </w:p>
    <w:p w:rsidR="00C576EC" w:rsidRPr="00D97194" w:rsidRDefault="00C576EC" w:rsidP="00445A07">
      <w:pPr>
        <w:spacing w:line="480" w:lineRule="auto"/>
        <w:jc w:val="both"/>
        <w:rPr>
          <w:sz w:val="24"/>
          <w:szCs w:val="24"/>
        </w:rPr>
      </w:pPr>
    </w:p>
    <w:p w:rsidR="003B19C5" w:rsidRPr="008A0E44" w:rsidRDefault="008A0E44" w:rsidP="00445A07">
      <w:pPr>
        <w:spacing w:line="480" w:lineRule="auto"/>
        <w:jc w:val="both"/>
        <w:rPr>
          <w:sz w:val="24"/>
          <w:szCs w:val="24"/>
        </w:rPr>
      </w:pPr>
      <w:r w:rsidRPr="008A0E44">
        <w:rPr>
          <w:sz w:val="24"/>
          <w:szCs w:val="24"/>
        </w:rPr>
        <w:lastRenderedPageBreak/>
        <w:t>When potential non-occupational confounders (as listed above</w:t>
      </w:r>
      <w:r w:rsidR="00FD733A">
        <w:rPr>
          <w:sz w:val="24"/>
          <w:szCs w:val="24"/>
        </w:rPr>
        <w:t xml:space="preserve"> and including occupational physical activity</w:t>
      </w:r>
      <w:r w:rsidRPr="008A0E44">
        <w:rPr>
          <w:sz w:val="24"/>
          <w:szCs w:val="24"/>
        </w:rPr>
        <w:t>) were included in a single regression model for each sex, higher BMI was significantly associated with greater total hip BMD (increase per 5 kg/m</w:t>
      </w:r>
      <w:r w:rsidRPr="008A0E44">
        <w:rPr>
          <w:sz w:val="24"/>
          <w:szCs w:val="24"/>
          <w:vertAlign w:val="superscript"/>
        </w:rPr>
        <w:t>2</w:t>
      </w:r>
      <w:r w:rsidRPr="008A0E44">
        <w:rPr>
          <w:sz w:val="24"/>
          <w:szCs w:val="24"/>
        </w:rPr>
        <w:t xml:space="preserve"> 72.1 g/cm</w:t>
      </w:r>
      <w:r w:rsidRPr="008A0E44">
        <w:rPr>
          <w:sz w:val="24"/>
          <w:szCs w:val="24"/>
          <w:vertAlign w:val="superscript"/>
        </w:rPr>
        <w:t>2</w:t>
      </w:r>
      <w:r w:rsidRPr="008A0E44">
        <w:rPr>
          <w:sz w:val="24"/>
          <w:szCs w:val="24"/>
        </w:rPr>
        <w:t>, 95%CI 56.6 to 87.7, in men; and 65.9 g/cm</w:t>
      </w:r>
      <w:r w:rsidRPr="008A0E44">
        <w:rPr>
          <w:sz w:val="24"/>
          <w:szCs w:val="24"/>
          <w:vertAlign w:val="superscript"/>
        </w:rPr>
        <w:t>2</w:t>
      </w:r>
      <w:r w:rsidRPr="008A0E44">
        <w:rPr>
          <w:sz w:val="24"/>
          <w:szCs w:val="24"/>
        </w:rPr>
        <w:t>, 95%CI 54.6 to 77.3, in women), and in women, with current use of HRT (difference from never use 93.2 g/cm</w:t>
      </w:r>
      <w:r w:rsidRPr="008A0E44">
        <w:rPr>
          <w:sz w:val="24"/>
          <w:szCs w:val="24"/>
          <w:vertAlign w:val="superscript"/>
        </w:rPr>
        <w:t>2</w:t>
      </w:r>
      <w:r w:rsidRPr="008A0E44">
        <w:rPr>
          <w:sz w:val="24"/>
          <w:szCs w:val="24"/>
        </w:rPr>
        <w:t>, 95%CI 59.4 to 127.1). However, when all potential confounders were taken into account, there was no indication that any of the four occupational activities was associated with greater total hip BMD (Table).  Most of the associations were in the opposite direction, although not statistically significant.  Nor was there evidence of an effect in unadjusted analyses (data not shown). For comparison, the same analyses were performed using BMD at the femoral neck as the outcome variable and the findings were unchanged (data not shown).</w:t>
      </w:r>
    </w:p>
    <w:p w:rsidR="008A0E44" w:rsidRPr="00D97194" w:rsidRDefault="008A0E44" w:rsidP="00445A07">
      <w:pPr>
        <w:spacing w:line="480" w:lineRule="auto"/>
        <w:jc w:val="both"/>
        <w:rPr>
          <w:sz w:val="24"/>
          <w:szCs w:val="24"/>
        </w:rPr>
      </w:pPr>
    </w:p>
    <w:p w:rsidR="008A0E44" w:rsidRDefault="008A0E44" w:rsidP="00445A07">
      <w:pPr>
        <w:spacing w:line="480" w:lineRule="auto"/>
        <w:jc w:val="both"/>
        <w:rPr>
          <w:b/>
          <w:sz w:val="24"/>
          <w:szCs w:val="24"/>
        </w:rPr>
      </w:pPr>
    </w:p>
    <w:p w:rsidR="006C1029" w:rsidRPr="008A0E44" w:rsidRDefault="006C1029" w:rsidP="008A0E44">
      <w:pPr>
        <w:spacing w:line="480" w:lineRule="auto"/>
        <w:jc w:val="both"/>
        <w:rPr>
          <w:b/>
          <w:sz w:val="24"/>
          <w:szCs w:val="24"/>
        </w:rPr>
      </w:pPr>
      <w:r w:rsidRPr="008A0E44">
        <w:rPr>
          <w:b/>
          <w:sz w:val="24"/>
          <w:szCs w:val="24"/>
        </w:rPr>
        <w:t>Discussion</w:t>
      </w:r>
    </w:p>
    <w:p w:rsidR="008A0E44" w:rsidRPr="008A0E44" w:rsidRDefault="008A0E44" w:rsidP="008A0E44">
      <w:pPr>
        <w:spacing w:line="480" w:lineRule="auto"/>
        <w:jc w:val="both"/>
        <w:rPr>
          <w:sz w:val="24"/>
          <w:szCs w:val="24"/>
        </w:rPr>
      </w:pPr>
      <w:r w:rsidRPr="008A0E44">
        <w:rPr>
          <w:sz w:val="24"/>
          <w:szCs w:val="24"/>
        </w:rPr>
        <w:t>In this study, we found no evidence that cumulative exposure to occupational physical activities (standing, lifting, manual work or work sufficiently intense to induce sweating) was associated with higher BMD at the hip.</w:t>
      </w:r>
    </w:p>
    <w:p w:rsidR="008A0E44" w:rsidRPr="008A0E44" w:rsidRDefault="008A0E44" w:rsidP="008A0E44">
      <w:pPr>
        <w:spacing w:line="480" w:lineRule="auto"/>
        <w:jc w:val="both"/>
        <w:rPr>
          <w:sz w:val="24"/>
          <w:szCs w:val="24"/>
        </w:rPr>
      </w:pPr>
    </w:p>
    <w:p w:rsidR="008A0E44" w:rsidRPr="008A0E44" w:rsidRDefault="008A0E44" w:rsidP="008A0E44">
      <w:pPr>
        <w:spacing w:line="480" w:lineRule="auto"/>
        <w:jc w:val="both"/>
        <w:rPr>
          <w:sz w:val="24"/>
          <w:szCs w:val="24"/>
        </w:rPr>
      </w:pPr>
      <w:r w:rsidRPr="008A0E44">
        <w:rPr>
          <w:sz w:val="24"/>
          <w:szCs w:val="24"/>
        </w:rPr>
        <w:t>The technique for measuring BMD</w:t>
      </w:r>
      <w:r w:rsidR="004610A0">
        <w:rPr>
          <w:sz w:val="24"/>
          <w:szCs w:val="24"/>
        </w:rPr>
        <w:t xml:space="preserve"> used in this study</w:t>
      </w:r>
      <w:r w:rsidRPr="008A0E44">
        <w:rPr>
          <w:sz w:val="24"/>
          <w:szCs w:val="24"/>
        </w:rPr>
        <w:t xml:space="preserve"> was </w:t>
      </w:r>
      <w:r w:rsidR="004610A0">
        <w:rPr>
          <w:sz w:val="24"/>
          <w:szCs w:val="24"/>
        </w:rPr>
        <w:t>the gold standard</w:t>
      </w:r>
      <w:r w:rsidRPr="008A0E44">
        <w:rPr>
          <w:sz w:val="24"/>
          <w:szCs w:val="24"/>
        </w:rPr>
        <w:t xml:space="preserve">, and gave the expected associations with BMI and use of HRT.  Moreover, the ascertainment of occupational exposures, although dependent on recall, was more complete and detailed than in many previous studies.  Nor can the absence of association be ascribed to a lack of statistical power.  Thus, the upper 95% confidence limits for the difference in BMD between the highest and lowest thirds of </w:t>
      </w:r>
      <w:r w:rsidRPr="008A0E44">
        <w:rPr>
          <w:sz w:val="24"/>
          <w:szCs w:val="24"/>
        </w:rPr>
        <w:lastRenderedPageBreak/>
        <w:t>exposure to occupational standing/walking were 7.3 g/cm</w:t>
      </w:r>
      <w:r w:rsidRPr="008A0E44">
        <w:rPr>
          <w:sz w:val="24"/>
          <w:szCs w:val="24"/>
          <w:vertAlign w:val="superscript"/>
        </w:rPr>
        <w:t>2</w:t>
      </w:r>
      <w:r w:rsidRPr="008A0E44">
        <w:rPr>
          <w:sz w:val="24"/>
          <w:szCs w:val="24"/>
        </w:rPr>
        <w:t xml:space="preserve"> in men and 18.7 g/cm</w:t>
      </w:r>
      <w:r w:rsidRPr="008A0E44">
        <w:rPr>
          <w:sz w:val="24"/>
          <w:szCs w:val="24"/>
          <w:vertAlign w:val="superscript"/>
        </w:rPr>
        <w:t>2</w:t>
      </w:r>
      <w:r w:rsidRPr="008A0E44">
        <w:rPr>
          <w:sz w:val="24"/>
          <w:szCs w:val="24"/>
        </w:rPr>
        <w:t xml:space="preserve"> in women.  This is much smaller than the differences of 72.1 g/cm</w:t>
      </w:r>
      <w:r w:rsidRPr="008A0E44">
        <w:rPr>
          <w:sz w:val="24"/>
          <w:szCs w:val="24"/>
          <w:vertAlign w:val="superscript"/>
        </w:rPr>
        <w:t>2</w:t>
      </w:r>
      <w:r w:rsidRPr="008A0E44">
        <w:rPr>
          <w:sz w:val="24"/>
          <w:szCs w:val="24"/>
        </w:rPr>
        <w:t xml:space="preserve"> and 65.9 g/cm</w:t>
      </w:r>
      <w:r w:rsidRPr="008A0E44">
        <w:rPr>
          <w:sz w:val="24"/>
          <w:szCs w:val="24"/>
          <w:vertAlign w:val="superscript"/>
        </w:rPr>
        <w:t>2</w:t>
      </w:r>
      <w:r w:rsidRPr="008A0E44">
        <w:rPr>
          <w:sz w:val="24"/>
          <w:szCs w:val="24"/>
        </w:rPr>
        <w:t xml:space="preserve"> for a 5 kg/m</w:t>
      </w:r>
      <w:r w:rsidRPr="008A0E44">
        <w:rPr>
          <w:sz w:val="24"/>
          <w:szCs w:val="24"/>
          <w:vertAlign w:val="superscript"/>
        </w:rPr>
        <w:t>2</w:t>
      </w:r>
      <w:r w:rsidRPr="008A0E44">
        <w:rPr>
          <w:sz w:val="24"/>
          <w:szCs w:val="24"/>
        </w:rPr>
        <w:t xml:space="preserve"> increase in BMI.</w:t>
      </w:r>
    </w:p>
    <w:p w:rsidR="008A0E44" w:rsidRPr="008A0E44" w:rsidRDefault="008A0E44" w:rsidP="008A0E44">
      <w:pPr>
        <w:spacing w:line="480" w:lineRule="auto"/>
        <w:jc w:val="both"/>
        <w:rPr>
          <w:sz w:val="24"/>
          <w:szCs w:val="24"/>
        </w:rPr>
      </w:pPr>
    </w:p>
    <w:p w:rsidR="008A0E44" w:rsidRPr="008A0E44" w:rsidRDefault="008A0E44" w:rsidP="008A0E44">
      <w:pPr>
        <w:spacing w:line="480" w:lineRule="auto"/>
        <w:jc w:val="both"/>
        <w:rPr>
          <w:sz w:val="24"/>
          <w:szCs w:val="24"/>
        </w:rPr>
      </w:pPr>
      <w:r w:rsidRPr="008A0E44">
        <w:rPr>
          <w:sz w:val="24"/>
          <w:szCs w:val="24"/>
        </w:rPr>
        <w:t>There are a few published studies of occupational activity and BMD, and these have taken various methodological approaches. Some have summed occupational exposures with those from leisure-time activity [</w:t>
      </w:r>
      <w:r w:rsidR="0017756A">
        <w:rPr>
          <w:sz w:val="24"/>
          <w:szCs w:val="24"/>
        </w:rPr>
        <w:t>7</w:t>
      </w:r>
      <w:r w:rsidRPr="008A0E44">
        <w:rPr>
          <w:sz w:val="24"/>
          <w:szCs w:val="24"/>
        </w:rPr>
        <w:t xml:space="preserve">]. </w:t>
      </w:r>
      <w:r w:rsidR="004920F6" w:rsidRPr="00D97194">
        <w:rPr>
          <w:sz w:val="24"/>
          <w:szCs w:val="24"/>
        </w:rPr>
        <w:t xml:space="preserve">Others have assessed self-reported physical activity at home and at work but over a recent period e.g. 4 weeks or 12 months or at specified time points (age 12, age 15-19 and recent). Some researchers have compared BMD between groups of workers from different occupations with presumed different levels of </w:t>
      </w:r>
      <w:r w:rsidR="00FD733A">
        <w:rPr>
          <w:sz w:val="24"/>
          <w:szCs w:val="24"/>
        </w:rPr>
        <w:t>occupational physical exercise</w:t>
      </w:r>
      <w:r w:rsidR="004920F6" w:rsidRPr="00D97194">
        <w:rPr>
          <w:sz w:val="24"/>
          <w:szCs w:val="24"/>
        </w:rPr>
        <w:t>: e.g. farmers vs. housewives or office workers [</w:t>
      </w:r>
      <w:r w:rsidR="0017756A">
        <w:rPr>
          <w:sz w:val="24"/>
          <w:szCs w:val="24"/>
        </w:rPr>
        <w:t>8</w:t>
      </w:r>
      <w:r w:rsidR="004920F6" w:rsidRPr="00D97194">
        <w:rPr>
          <w:sz w:val="24"/>
          <w:szCs w:val="24"/>
        </w:rPr>
        <w:t>].</w:t>
      </w:r>
      <w:r w:rsidRPr="008A0E44">
        <w:rPr>
          <w:sz w:val="24"/>
          <w:szCs w:val="24"/>
        </w:rPr>
        <w:t xml:space="preserve"> One investigation observed and recorded occupational physical activity (actual walking distance, number of flights of stairs and mean heart rate) but only for one shift per worker [</w:t>
      </w:r>
      <w:r w:rsidR="0017756A">
        <w:rPr>
          <w:sz w:val="24"/>
          <w:szCs w:val="24"/>
        </w:rPr>
        <w:t>9</w:t>
      </w:r>
      <w:r w:rsidRPr="008A0E44">
        <w:rPr>
          <w:sz w:val="24"/>
          <w:szCs w:val="24"/>
        </w:rPr>
        <w:t>]. Few studies have estimated occupational activity throughout the life-course [</w:t>
      </w:r>
      <w:r w:rsidR="0017756A">
        <w:rPr>
          <w:sz w:val="24"/>
          <w:szCs w:val="24"/>
        </w:rPr>
        <w:t>10-12</w:t>
      </w:r>
      <w:r w:rsidRPr="008A0E44">
        <w:rPr>
          <w:sz w:val="24"/>
          <w:szCs w:val="24"/>
        </w:rPr>
        <w:t xml:space="preserve">]. </w:t>
      </w:r>
    </w:p>
    <w:p w:rsidR="008A0E44" w:rsidRPr="008A0E44" w:rsidRDefault="008A0E44" w:rsidP="008A0E44">
      <w:pPr>
        <w:spacing w:line="480" w:lineRule="auto"/>
        <w:jc w:val="both"/>
        <w:rPr>
          <w:sz w:val="24"/>
          <w:szCs w:val="24"/>
        </w:rPr>
      </w:pPr>
    </w:p>
    <w:p w:rsidR="008A0E44" w:rsidRPr="008A0E44" w:rsidRDefault="008A0E44" w:rsidP="008A0E44">
      <w:pPr>
        <w:spacing w:line="480" w:lineRule="auto"/>
        <w:jc w:val="both"/>
        <w:rPr>
          <w:sz w:val="24"/>
          <w:szCs w:val="24"/>
        </w:rPr>
      </w:pPr>
      <w:r w:rsidRPr="008A0E44">
        <w:rPr>
          <w:sz w:val="24"/>
          <w:szCs w:val="24"/>
        </w:rPr>
        <w:t>Two studies have reported positive associations between occupational activity and BMD. Among 44 nurses aged 47-48 years, femoral neck BMD was significantly greater than in 55 female clerks, and total time standing at work was positively correlated with hip BMD [</w:t>
      </w:r>
      <w:r w:rsidR="004920F6">
        <w:rPr>
          <w:sz w:val="24"/>
          <w:szCs w:val="24"/>
        </w:rPr>
        <w:t>1</w:t>
      </w:r>
      <w:r w:rsidR="0017756A">
        <w:rPr>
          <w:sz w:val="24"/>
          <w:szCs w:val="24"/>
        </w:rPr>
        <w:t>3</w:t>
      </w:r>
      <w:r w:rsidRPr="008A0E44">
        <w:rPr>
          <w:sz w:val="24"/>
          <w:szCs w:val="24"/>
        </w:rPr>
        <w:t>]. And in another cross-sectional survey, 71 female postmenopausal agricultural workers had greater hip and spine BMD than matched office workers or housewives [</w:t>
      </w:r>
      <w:r w:rsidR="0017756A">
        <w:rPr>
          <w:sz w:val="24"/>
          <w:szCs w:val="24"/>
        </w:rPr>
        <w:t>8</w:t>
      </w:r>
      <w:r w:rsidRPr="008A0E44">
        <w:rPr>
          <w:sz w:val="24"/>
          <w:szCs w:val="24"/>
        </w:rPr>
        <w:t>]. Against this, several other studies have not found associations [</w:t>
      </w:r>
      <w:r w:rsidR="0017756A">
        <w:rPr>
          <w:sz w:val="24"/>
          <w:szCs w:val="24"/>
        </w:rPr>
        <w:t>7,9-12</w:t>
      </w:r>
      <w:r w:rsidRPr="008A0E44">
        <w:rPr>
          <w:sz w:val="24"/>
          <w:szCs w:val="24"/>
        </w:rPr>
        <w:t>], and one indicated lower spinal BMD in men exposed to the heaviest levels</w:t>
      </w:r>
      <w:r w:rsidR="001D3733">
        <w:rPr>
          <w:sz w:val="24"/>
          <w:szCs w:val="24"/>
        </w:rPr>
        <w:t xml:space="preserve"> of occupational activity [</w:t>
      </w:r>
      <w:r w:rsidR="0017756A">
        <w:rPr>
          <w:sz w:val="24"/>
          <w:szCs w:val="24"/>
        </w:rPr>
        <w:t>7</w:t>
      </w:r>
      <w:r w:rsidRPr="008A0E44">
        <w:rPr>
          <w:sz w:val="24"/>
          <w:szCs w:val="24"/>
        </w:rPr>
        <w:t xml:space="preserve">]. A few data suggest that BMD is increased only by heavy occupational activity early in life. For example, among 152 adults </w:t>
      </w:r>
      <w:r w:rsidRPr="008A0E44">
        <w:rPr>
          <w:sz w:val="24"/>
          <w:szCs w:val="24"/>
        </w:rPr>
        <w:lastRenderedPageBreak/>
        <w:t>(mean age 65 years) neither lifetime nor recent occupational activity correlated with quantitative ultrasound at the calcaneus, but a weakly positive correlation was seen for past occupational physical activity at ages 14-21 years in men and 22-34 years in women [</w:t>
      </w:r>
      <w:r w:rsidR="001D3733">
        <w:rPr>
          <w:sz w:val="24"/>
          <w:szCs w:val="24"/>
        </w:rPr>
        <w:t>1</w:t>
      </w:r>
      <w:r w:rsidR="0017756A">
        <w:rPr>
          <w:sz w:val="24"/>
          <w:szCs w:val="24"/>
        </w:rPr>
        <w:t>2</w:t>
      </w:r>
      <w:r w:rsidRPr="008A0E44">
        <w:rPr>
          <w:sz w:val="24"/>
          <w:szCs w:val="24"/>
        </w:rPr>
        <w:t xml:space="preserve">]. Similar findings were reported in a sample of 144 South African women, in whom ‘peak bone strain score’ for activities at age 14-21 years was associated with lumbar spine BMD at age </w:t>
      </w:r>
      <w:r w:rsidR="00B40596">
        <w:rPr>
          <w:sz w:val="24"/>
          <w:szCs w:val="24"/>
        </w:rPr>
        <w:t xml:space="preserve">42.6 (+/- 8.9) </w:t>
      </w:r>
      <w:r w:rsidRPr="008A0E44">
        <w:rPr>
          <w:sz w:val="24"/>
          <w:szCs w:val="24"/>
        </w:rPr>
        <w:t>years, whereas total lifetime exposure was not [</w:t>
      </w:r>
      <w:r w:rsidR="0017756A">
        <w:rPr>
          <w:sz w:val="24"/>
          <w:szCs w:val="24"/>
        </w:rPr>
        <w:t>11</w:t>
      </w:r>
      <w:r w:rsidRPr="008A0E44">
        <w:rPr>
          <w:sz w:val="24"/>
          <w:szCs w:val="24"/>
        </w:rPr>
        <w:t xml:space="preserve">]. Coupland and colleagues again found no significant association of BMD in the spine, femoral neck, trochanter, radius or whole body with lifetime or current measures of occupational </w:t>
      </w:r>
      <w:r w:rsidR="00FD733A">
        <w:rPr>
          <w:sz w:val="24"/>
          <w:szCs w:val="24"/>
        </w:rPr>
        <w:t xml:space="preserve">activities including: </w:t>
      </w:r>
      <w:r w:rsidRPr="008A0E44">
        <w:rPr>
          <w:sz w:val="24"/>
          <w:szCs w:val="24"/>
        </w:rPr>
        <w:t>sitting, standing, walking or lifting/carrying. The only significant positive associations were with standing at age 30 years [</w:t>
      </w:r>
      <w:r w:rsidR="0017756A">
        <w:rPr>
          <w:sz w:val="24"/>
          <w:szCs w:val="24"/>
        </w:rPr>
        <w:t>10</w:t>
      </w:r>
      <w:r w:rsidRPr="008A0E44">
        <w:rPr>
          <w:sz w:val="24"/>
          <w:szCs w:val="24"/>
        </w:rPr>
        <w:t>].</w:t>
      </w:r>
    </w:p>
    <w:p w:rsidR="008A0E44" w:rsidRPr="008A0E44" w:rsidRDefault="008A0E44" w:rsidP="008A0E44">
      <w:pPr>
        <w:spacing w:line="480" w:lineRule="auto"/>
        <w:jc w:val="both"/>
        <w:rPr>
          <w:sz w:val="24"/>
          <w:szCs w:val="24"/>
        </w:rPr>
      </w:pPr>
    </w:p>
    <w:p w:rsidR="008A0E44" w:rsidRPr="008A0E44" w:rsidRDefault="00284078" w:rsidP="008A0E44">
      <w:pPr>
        <w:spacing w:line="480" w:lineRule="auto"/>
        <w:jc w:val="both"/>
        <w:rPr>
          <w:sz w:val="24"/>
          <w:szCs w:val="24"/>
        </w:rPr>
      </w:pPr>
      <w:r>
        <w:rPr>
          <w:sz w:val="24"/>
          <w:szCs w:val="24"/>
        </w:rPr>
        <w:t xml:space="preserve">Although there are conflicting data in the literature as to the effects of heavy physical activity on BMD as an outcome, BMD is a biomarker of risk of osteoporotic fracture and there are three </w:t>
      </w:r>
      <w:r w:rsidR="00FF2322">
        <w:rPr>
          <w:sz w:val="24"/>
          <w:szCs w:val="24"/>
        </w:rPr>
        <w:t>consistent published</w:t>
      </w:r>
      <w:r>
        <w:rPr>
          <w:sz w:val="24"/>
          <w:szCs w:val="24"/>
        </w:rPr>
        <w:t xml:space="preserve"> studies suggesting </w:t>
      </w:r>
      <w:r w:rsidR="008A0E44" w:rsidRPr="008A0E44">
        <w:rPr>
          <w:sz w:val="24"/>
          <w:szCs w:val="24"/>
        </w:rPr>
        <w:t>that risk of hip fracture is higher in sedentary workers [</w:t>
      </w:r>
      <w:r w:rsidR="0017756A">
        <w:rPr>
          <w:sz w:val="24"/>
          <w:szCs w:val="24"/>
        </w:rPr>
        <w:t>4-6</w:t>
      </w:r>
      <w:r w:rsidR="008A0E44" w:rsidRPr="008A0E44">
        <w:rPr>
          <w:sz w:val="24"/>
          <w:szCs w:val="24"/>
        </w:rPr>
        <w:t xml:space="preserve">]. </w:t>
      </w:r>
      <w:r>
        <w:rPr>
          <w:sz w:val="24"/>
          <w:szCs w:val="24"/>
        </w:rPr>
        <w:t xml:space="preserve">Interpretation of this apparent paradox is hampered because </w:t>
      </w:r>
      <w:r w:rsidR="003B5EE6">
        <w:rPr>
          <w:sz w:val="24"/>
          <w:szCs w:val="24"/>
        </w:rPr>
        <w:t xml:space="preserve">none of </w:t>
      </w:r>
      <w:r>
        <w:rPr>
          <w:sz w:val="24"/>
          <w:szCs w:val="24"/>
        </w:rPr>
        <w:t>the three studies include</w:t>
      </w:r>
      <w:r w:rsidR="003B5EE6">
        <w:rPr>
          <w:sz w:val="24"/>
          <w:szCs w:val="24"/>
        </w:rPr>
        <w:t>d</w:t>
      </w:r>
      <w:r>
        <w:rPr>
          <w:sz w:val="24"/>
          <w:szCs w:val="24"/>
        </w:rPr>
        <w:t xml:space="preserve"> any assessment of BMD in their methodology. However, we suggest that this apparent paradox could</w:t>
      </w:r>
      <w:r w:rsidR="008A0E44" w:rsidRPr="008A0E44">
        <w:rPr>
          <w:sz w:val="24"/>
          <w:szCs w:val="24"/>
        </w:rPr>
        <w:t xml:space="preserve"> be explained if sedentary work predisposed to fractures, not through effects on BMD, but by adverse impacts on muscle function, strength, coordination or bulk, leading to an increased risk of falling or less protection of the femoral neck when falls occurred. This hypothesis should be investigated in future studies.</w:t>
      </w:r>
    </w:p>
    <w:p w:rsidR="008A0E44" w:rsidRDefault="008A0E44" w:rsidP="008A0E44">
      <w:pPr>
        <w:spacing w:line="480" w:lineRule="auto"/>
        <w:jc w:val="both"/>
        <w:rPr>
          <w:sz w:val="24"/>
          <w:szCs w:val="24"/>
        </w:rPr>
      </w:pPr>
    </w:p>
    <w:p w:rsidR="00387A00" w:rsidRPr="00FB12A3" w:rsidRDefault="00387A00" w:rsidP="008A0E44">
      <w:pPr>
        <w:spacing w:line="480" w:lineRule="auto"/>
        <w:jc w:val="both"/>
        <w:rPr>
          <w:b/>
          <w:sz w:val="24"/>
          <w:szCs w:val="24"/>
        </w:rPr>
      </w:pPr>
      <w:r w:rsidRPr="00FB12A3">
        <w:rPr>
          <w:b/>
          <w:sz w:val="24"/>
          <w:szCs w:val="24"/>
        </w:rPr>
        <w:t>Acknowlegements</w:t>
      </w:r>
    </w:p>
    <w:p w:rsidR="00387A00" w:rsidRPr="00FB12A3" w:rsidRDefault="004610A0" w:rsidP="008A0E44">
      <w:pPr>
        <w:spacing w:line="480" w:lineRule="auto"/>
        <w:jc w:val="both"/>
        <w:rPr>
          <w:sz w:val="24"/>
          <w:szCs w:val="24"/>
        </w:rPr>
      </w:pPr>
      <w:r w:rsidRPr="00FB12A3">
        <w:rPr>
          <w:rFonts w:eastAsia="Calibri"/>
          <w:sz w:val="24"/>
          <w:szCs w:val="24"/>
        </w:rPr>
        <w:lastRenderedPageBreak/>
        <w:t>The Hertfordshire Cohort Study was supported by the Medical Research Council of Great Britain and Arthritis Research UK.  We thank all of the men and women who took part in the Hertfordshire Cohort Study; the HCS Research Staff; and Vanessa Cox who managed the data.</w:t>
      </w:r>
    </w:p>
    <w:p w:rsidR="00387A00" w:rsidRPr="00FB12A3" w:rsidRDefault="004610A0" w:rsidP="008A0E44">
      <w:pPr>
        <w:spacing w:line="480" w:lineRule="auto"/>
        <w:jc w:val="both"/>
        <w:rPr>
          <w:sz w:val="24"/>
          <w:szCs w:val="24"/>
        </w:rPr>
      </w:pPr>
      <w:r w:rsidRPr="00FB12A3">
        <w:rPr>
          <w:sz w:val="24"/>
          <w:szCs w:val="24"/>
        </w:rPr>
        <w:t xml:space="preserve">We would like to thank </w:t>
      </w:r>
      <w:r w:rsidR="00387A00" w:rsidRPr="00FB12A3">
        <w:rPr>
          <w:sz w:val="24"/>
          <w:szCs w:val="24"/>
        </w:rPr>
        <w:t>Mr James Bennett</w:t>
      </w:r>
      <w:r w:rsidRPr="00FB12A3">
        <w:rPr>
          <w:sz w:val="24"/>
          <w:szCs w:val="24"/>
        </w:rPr>
        <w:t>, Statistician, who</w:t>
      </w:r>
      <w:r w:rsidR="00387A00" w:rsidRPr="00FB12A3">
        <w:rPr>
          <w:sz w:val="24"/>
          <w:szCs w:val="24"/>
        </w:rPr>
        <w:t xml:space="preserve"> carried out the original analyses of these data.</w:t>
      </w:r>
    </w:p>
    <w:p w:rsidR="008A0E44" w:rsidRPr="00FB12A3" w:rsidRDefault="008A0E44" w:rsidP="008A0E44">
      <w:pPr>
        <w:spacing w:line="480" w:lineRule="auto"/>
        <w:jc w:val="both"/>
        <w:rPr>
          <w:sz w:val="24"/>
          <w:szCs w:val="24"/>
        </w:rPr>
      </w:pPr>
    </w:p>
    <w:p w:rsidR="0038265F" w:rsidRDefault="0038265F">
      <w:pPr>
        <w:spacing w:after="200"/>
        <w:rPr>
          <w:b/>
          <w:sz w:val="24"/>
          <w:szCs w:val="24"/>
        </w:rPr>
      </w:pPr>
      <w:r>
        <w:rPr>
          <w:b/>
          <w:sz w:val="24"/>
          <w:szCs w:val="24"/>
        </w:rPr>
        <w:br w:type="page"/>
      </w:r>
    </w:p>
    <w:p w:rsidR="00ED7E3C" w:rsidRDefault="00A076C8" w:rsidP="008A0E44">
      <w:pPr>
        <w:spacing w:line="480" w:lineRule="auto"/>
        <w:rPr>
          <w:b/>
          <w:sz w:val="24"/>
          <w:szCs w:val="24"/>
        </w:rP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198120</wp:posOffset>
                </wp:positionH>
                <wp:positionV relativeFrom="paragraph">
                  <wp:posOffset>57150</wp:posOffset>
                </wp:positionV>
                <wp:extent cx="5526405" cy="4841875"/>
                <wp:effectExtent l="7620" t="952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4841875"/>
                        </a:xfrm>
                        <a:prstGeom prst="rect">
                          <a:avLst/>
                        </a:prstGeom>
                        <a:solidFill>
                          <a:srgbClr val="FFFFFF"/>
                        </a:solidFill>
                        <a:ln w="9525">
                          <a:solidFill>
                            <a:srgbClr val="000000"/>
                          </a:solidFill>
                          <a:miter lim="800000"/>
                          <a:headEnd/>
                          <a:tailEnd/>
                        </a:ln>
                      </wps:spPr>
                      <wps:txbx>
                        <w:txbxContent>
                          <w:p w:rsidR="00ED7E3C" w:rsidRDefault="00ED7E3C" w:rsidP="00ED7E3C">
                            <w:pPr>
                              <w:spacing w:line="480" w:lineRule="auto"/>
                              <w:rPr>
                                <w:b/>
                                <w:sz w:val="24"/>
                                <w:szCs w:val="24"/>
                              </w:rPr>
                            </w:pPr>
                            <w:r>
                              <w:rPr>
                                <w:b/>
                                <w:sz w:val="24"/>
                                <w:szCs w:val="24"/>
                              </w:rPr>
                              <w:t>What This Paper Adds</w:t>
                            </w:r>
                          </w:p>
                          <w:p w:rsidR="00ED7E3C" w:rsidRPr="00ED7E3C" w:rsidRDefault="00ED7E3C" w:rsidP="00ED7E3C">
                            <w:pPr>
                              <w:pStyle w:val="ListParagraph"/>
                              <w:numPr>
                                <w:ilvl w:val="0"/>
                                <w:numId w:val="3"/>
                              </w:numPr>
                              <w:spacing w:line="480" w:lineRule="auto"/>
                              <w:rPr>
                                <w:sz w:val="24"/>
                                <w:szCs w:val="24"/>
                              </w:rPr>
                            </w:pPr>
                            <w:r w:rsidRPr="00ED7E3C">
                              <w:rPr>
                                <w:sz w:val="24"/>
                                <w:szCs w:val="24"/>
                              </w:rPr>
                              <w:t>Hip fractures are the most devastating consequence of osteoporosis in terms of mortality and morbidity, as well as healthcare costs</w:t>
                            </w:r>
                          </w:p>
                          <w:p w:rsidR="00ED7E3C" w:rsidRPr="00ED7E3C" w:rsidRDefault="00030A96" w:rsidP="00ED7E3C">
                            <w:pPr>
                              <w:pStyle w:val="ListParagraph"/>
                              <w:numPr>
                                <w:ilvl w:val="0"/>
                                <w:numId w:val="3"/>
                              </w:numPr>
                              <w:spacing w:line="480" w:lineRule="auto"/>
                              <w:rPr>
                                <w:sz w:val="24"/>
                                <w:szCs w:val="24"/>
                              </w:rPr>
                            </w:pPr>
                            <w:r>
                              <w:rPr>
                                <w:sz w:val="24"/>
                                <w:szCs w:val="24"/>
                              </w:rPr>
                              <w:t xml:space="preserve">Our study </w:t>
                            </w:r>
                            <w:r w:rsidR="00ED7E3C" w:rsidRPr="00ED7E3C">
                              <w:rPr>
                                <w:sz w:val="24"/>
                                <w:szCs w:val="24"/>
                              </w:rPr>
                              <w:t xml:space="preserve"> assessed the impact of lifetime cumulative occupational physical activity and found </w:t>
                            </w:r>
                            <w:r>
                              <w:rPr>
                                <w:sz w:val="24"/>
                                <w:szCs w:val="24"/>
                              </w:rPr>
                              <w:t>no association</w:t>
                            </w:r>
                            <w:r w:rsidR="00ED7E3C" w:rsidRPr="00ED7E3C">
                              <w:rPr>
                                <w:sz w:val="24"/>
                                <w:szCs w:val="24"/>
                              </w:rPr>
                              <w:t xml:space="preserve"> </w:t>
                            </w:r>
                            <w:r w:rsidR="007E10C6">
                              <w:rPr>
                                <w:sz w:val="24"/>
                                <w:szCs w:val="24"/>
                              </w:rPr>
                              <w:t xml:space="preserve">with </w:t>
                            </w:r>
                            <w:r>
                              <w:rPr>
                                <w:sz w:val="24"/>
                                <w:szCs w:val="24"/>
                              </w:rPr>
                              <w:t>BMD at the hip</w:t>
                            </w:r>
                            <w:r w:rsidR="00ED7E3C" w:rsidRPr="00ED7E3C">
                              <w:rPr>
                                <w:sz w:val="24"/>
                                <w:szCs w:val="24"/>
                              </w:rPr>
                              <w:t xml:space="preserve"> at retirement age</w:t>
                            </w:r>
                          </w:p>
                          <w:p w:rsidR="0041071A" w:rsidRDefault="0041071A" w:rsidP="00ED7E3C">
                            <w:pPr>
                              <w:pStyle w:val="ListParagraph"/>
                              <w:numPr>
                                <w:ilvl w:val="0"/>
                                <w:numId w:val="3"/>
                              </w:numPr>
                              <w:spacing w:line="480" w:lineRule="auto"/>
                              <w:rPr>
                                <w:sz w:val="24"/>
                                <w:szCs w:val="24"/>
                              </w:rPr>
                            </w:pPr>
                            <w:r>
                              <w:rPr>
                                <w:sz w:val="24"/>
                                <w:szCs w:val="24"/>
                              </w:rPr>
                              <w:t>Our findings suggest that the association between sedentary work and hip fracture reported previously is not mediated through reduced bone density in this group</w:t>
                            </w:r>
                          </w:p>
                          <w:p w:rsidR="00ED7E3C" w:rsidRPr="00ED7E3C" w:rsidRDefault="0041071A" w:rsidP="00ED7E3C">
                            <w:pPr>
                              <w:pStyle w:val="ListParagraph"/>
                              <w:numPr>
                                <w:ilvl w:val="0"/>
                                <w:numId w:val="3"/>
                              </w:numPr>
                              <w:spacing w:line="480" w:lineRule="auto"/>
                              <w:rPr>
                                <w:sz w:val="24"/>
                                <w:szCs w:val="24"/>
                              </w:rPr>
                            </w:pPr>
                            <w:r>
                              <w:rPr>
                                <w:sz w:val="24"/>
                                <w:szCs w:val="24"/>
                              </w:rPr>
                              <w:t xml:space="preserve">Our results highlight the need for further studies investigating the relationship between </w:t>
                            </w:r>
                            <w:r w:rsidR="00A90423">
                              <w:rPr>
                                <w:sz w:val="24"/>
                                <w:szCs w:val="24"/>
                              </w:rPr>
                              <w:t xml:space="preserve">occupational </w:t>
                            </w:r>
                            <w:r>
                              <w:rPr>
                                <w:sz w:val="24"/>
                                <w:szCs w:val="24"/>
                              </w:rPr>
                              <w:t xml:space="preserve">physical activity and </w:t>
                            </w:r>
                            <w:r w:rsidR="00ED7E3C" w:rsidRPr="00ED7E3C">
                              <w:rPr>
                                <w:sz w:val="24"/>
                                <w:szCs w:val="24"/>
                              </w:rPr>
                              <w:t xml:space="preserve">muscle power, strength, coordination and falls </w:t>
                            </w:r>
                            <w:r>
                              <w:rPr>
                                <w:sz w:val="24"/>
                                <w:szCs w:val="24"/>
                              </w:rPr>
                              <w:t>risk</w:t>
                            </w:r>
                          </w:p>
                          <w:p w:rsidR="00ED7E3C" w:rsidRPr="00ED7E3C" w:rsidRDefault="00ED7E3C" w:rsidP="00ED7E3C">
                            <w:pPr>
                              <w:spacing w:line="480" w:lineRule="auto"/>
                              <w:rPr>
                                <w:sz w:val="24"/>
                                <w:szCs w:val="24"/>
                              </w:rPr>
                            </w:pPr>
                          </w:p>
                          <w:p w:rsidR="00ED7E3C" w:rsidRDefault="00ED7E3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4.5pt;width:435.15pt;height:381.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">
                <v:textbox style="mso-fit-shape-to-text:t">
                  <w:txbxContent>
                    <w:p w:rsidR="00ED7E3C" w:rsidRDefault="00ED7E3C" w:rsidP="00ED7E3C">
                      <w:pPr>
                        <w:spacing w:line="480" w:lineRule="auto"/>
                        <w:rPr>
                          <w:b/>
                          <w:sz w:val="24"/>
                          <w:szCs w:val="24"/>
                        </w:rPr>
                      </w:pPr>
                      <w:r>
                        <w:rPr>
                          <w:b/>
                          <w:sz w:val="24"/>
                          <w:szCs w:val="24"/>
                        </w:rPr>
                        <w:t>What This Paper Adds</w:t>
                      </w:r>
                    </w:p>
                    <w:p w:rsidR="00ED7E3C" w:rsidRPr="00ED7E3C" w:rsidRDefault="00ED7E3C" w:rsidP="00ED7E3C">
                      <w:pPr>
                        <w:pStyle w:val="ListParagraph"/>
                        <w:numPr>
                          <w:ilvl w:val="0"/>
                          <w:numId w:val="3"/>
                        </w:numPr>
                        <w:spacing w:line="480" w:lineRule="auto"/>
                        <w:rPr>
                          <w:sz w:val="24"/>
                          <w:szCs w:val="24"/>
                        </w:rPr>
                      </w:pPr>
                      <w:r w:rsidRPr="00ED7E3C">
                        <w:rPr>
                          <w:sz w:val="24"/>
                          <w:szCs w:val="24"/>
                        </w:rPr>
                        <w:t>Hip fractures are the most devastating consequence of osteoporosis in terms of mortality and morbidity, as well as healthcare costs</w:t>
                      </w:r>
                    </w:p>
                    <w:p w:rsidR="00ED7E3C" w:rsidRPr="00ED7E3C" w:rsidRDefault="00030A96" w:rsidP="00ED7E3C">
                      <w:pPr>
                        <w:pStyle w:val="ListParagraph"/>
                        <w:numPr>
                          <w:ilvl w:val="0"/>
                          <w:numId w:val="3"/>
                        </w:numPr>
                        <w:spacing w:line="480" w:lineRule="auto"/>
                        <w:rPr>
                          <w:sz w:val="24"/>
                          <w:szCs w:val="24"/>
                        </w:rPr>
                      </w:pPr>
                      <w:r>
                        <w:rPr>
                          <w:sz w:val="24"/>
                          <w:szCs w:val="24"/>
                        </w:rPr>
                        <w:t xml:space="preserve">Our study </w:t>
                      </w:r>
                      <w:r w:rsidR="00ED7E3C" w:rsidRPr="00ED7E3C">
                        <w:rPr>
                          <w:sz w:val="24"/>
                          <w:szCs w:val="24"/>
                        </w:rPr>
                        <w:t xml:space="preserve"> assessed the impact of lifetime cumulative occupational physical activity and found </w:t>
                      </w:r>
                      <w:r>
                        <w:rPr>
                          <w:sz w:val="24"/>
                          <w:szCs w:val="24"/>
                        </w:rPr>
                        <w:t>no association</w:t>
                      </w:r>
                      <w:r w:rsidR="00ED7E3C" w:rsidRPr="00ED7E3C">
                        <w:rPr>
                          <w:sz w:val="24"/>
                          <w:szCs w:val="24"/>
                        </w:rPr>
                        <w:t xml:space="preserve"> </w:t>
                      </w:r>
                      <w:r w:rsidR="007E10C6">
                        <w:rPr>
                          <w:sz w:val="24"/>
                          <w:szCs w:val="24"/>
                        </w:rPr>
                        <w:t xml:space="preserve">with </w:t>
                      </w:r>
                      <w:r>
                        <w:rPr>
                          <w:sz w:val="24"/>
                          <w:szCs w:val="24"/>
                        </w:rPr>
                        <w:t>BMD at the hip</w:t>
                      </w:r>
                      <w:r w:rsidR="00ED7E3C" w:rsidRPr="00ED7E3C">
                        <w:rPr>
                          <w:sz w:val="24"/>
                          <w:szCs w:val="24"/>
                        </w:rPr>
                        <w:t xml:space="preserve"> at retirement age</w:t>
                      </w:r>
                    </w:p>
                    <w:p w:rsidR="0041071A" w:rsidRDefault="0041071A" w:rsidP="00ED7E3C">
                      <w:pPr>
                        <w:pStyle w:val="ListParagraph"/>
                        <w:numPr>
                          <w:ilvl w:val="0"/>
                          <w:numId w:val="3"/>
                        </w:numPr>
                        <w:spacing w:line="480" w:lineRule="auto"/>
                        <w:rPr>
                          <w:sz w:val="24"/>
                          <w:szCs w:val="24"/>
                        </w:rPr>
                      </w:pPr>
                      <w:r>
                        <w:rPr>
                          <w:sz w:val="24"/>
                          <w:szCs w:val="24"/>
                        </w:rPr>
                        <w:t>Our findings suggest that the association between sedentary work and hip fracture reported previously is not mediated through reduced bone density in this group</w:t>
                      </w:r>
                    </w:p>
                    <w:p w:rsidR="00ED7E3C" w:rsidRPr="00ED7E3C" w:rsidRDefault="0041071A" w:rsidP="00ED7E3C">
                      <w:pPr>
                        <w:pStyle w:val="ListParagraph"/>
                        <w:numPr>
                          <w:ilvl w:val="0"/>
                          <w:numId w:val="3"/>
                        </w:numPr>
                        <w:spacing w:line="480" w:lineRule="auto"/>
                        <w:rPr>
                          <w:sz w:val="24"/>
                          <w:szCs w:val="24"/>
                        </w:rPr>
                      </w:pPr>
                      <w:r>
                        <w:rPr>
                          <w:sz w:val="24"/>
                          <w:szCs w:val="24"/>
                        </w:rPr>
                        <w:t xml:space="preserve">Our results highlight the need for further studies investigating the relationship between </w:t>
                      </w:r>
                      <w:r w:rsidR="00A90423">
                        <w:rPr>
                          <w:sz w:val="24"/>
                          <w:szCs w:val="24"/>
                        </w:rPr>
                        <w:t xml:space="preserve">occupational </w:t>
                      </w:r>
                      <w:r>
                        <w:rPr>
                          <w:sz w:val="24"/>
                          <w:szCs w:val="24"/>
                        </w:rPr>
                        <w:t xml:space="preserve">physical activity and </w:t>
                      </w:r>
                      <w:r w:rsidR="00ED7E3C" w:rsidRPr="00ED7E3C">
                        <w:rPr>
                          <w:sz w:val="24"/>
                          <w:szCs w:val="24"/>
                        </w:rPr>
                        <w:t xml:space="preserve">muscle power, strength, coordination and falls </w:t>
                      </w:r>
                      <w:r>
                        <w:rPr>
                          <w:sz w:val="24"/>
                          <w:szCs w:val="24"/>
                        </w:rPr>
                        <w:t>risk</w:t>
                      </w:r>
                    </w:p>
                    <w:p w:rsidR="00ED7E3C" w:rsidRPr="00ED7E3C" w:rsidRDefault="00ED7E3C" w:rsidP="00ED7E3C">
                      <w:pPr>
                        <w:spacing w:line="480" w:lineRule="auto"/>
                        <w:rPr>
                          <w:sz w:val="24"/>
                          <w:szCs w:val="24"/>
                        </w:rPr>
                      </w:pPr>
                    </w:p>
                    <w:p w:rsidR="00ED7E3C" w:rsidRDefault="00ED7E3C"/>
                  </w:txbxContent>
                </v:textbox>
              </v:shape>
            </w:pict>
          </mc:Fallback>
        </mc:AlternateContent>
      </w:r>
    </w:p>
    <w:p w:rsidR="00ED7E3C" w:rsidRDefault="00ED7E3C" w:rsidP="008A0E44">
      <w:pPr>
        <w:spacing w:line="480" w:lineRule="auto"/>
        <w:rPr>
          <w:b/>
          <w:sz w:val="24"/>
          <w:szCs w:val="24"/>
        </w:rPr>
      </w:pPr>
    </w:p>
    <w:p w:rsidR="00ED7E3C" w:rsidRDefault="00ED7E3C" w:rsidP="008A0E44">
      <w:pPr>
        <w:spacing w:line="480" w:lineRule="auto"/>
        <w:rPr>
          <w:b/>
          <w:sz w:val="24"/>
          <w:szCs w:val="24"/>
        </w:rPr>
      </w:pPr>
    </w:p>
    <w:p w:rsidR="00D97194" w:rsidRPr="008A0E44" w:rsidRDefault="00D97194" w:rsidP="008A0E44">
      <w:pPr>
        <w:spacing w:line="480" w:lineRule="auto"/>
        <w:rPr>
          <w:b/>
          <w:sz w:val="24"/>
          <w:szCs w:val="24"/>
        </w:rPr>
      </w:pPr>
    </w:p>
    <w:p w:rsidR="00D97194" w:rsidRPr="008A0E44" w:rsidRDefault="00D97194" w:rsidP="008A0E44">
      <w:pPr>
        <w:spacing w:line="480" w:lineRule="auto"/>
        <w:rPr>
          <w:b/>
          <w:sz w:val="24"/>
          <w:szCs w:val="24"/>
        </w:rPr>
      </w:pPr>
    </w:p>
    <w:p w:rsidR="00D97194" w:rsidRPr="008A0E44" w:rsidRDefault="00D97194" w:rsidP="008A0E44">
      <w:pPr>
        <w:spacing w:line="480" w:lineRule="auto"/>
        <w:rPr>
          <w:b/>
          <w:sz w:val="24"/>
          <w:szCs w:val="24"/>
        </w:rPr>
      </w:pPr>
    </w:p>
    <w:p w:rsidR="008A0E44" w:rsidRPr="008A0E44" w:rsidRDefault="008A0E44" w:rsidP="00445A07">
      <w:pPr>
        <w:spacing w:line="480" w:lineRule="auto"/>
        <w:rPr>
          <w:b/>
          <w:sz w:val="24"/>
          <w:szCs w:val="24"/>
        </w:rPr>
      </w:pPr>
    </w:p>
    <w:p w:rsidR="00EA63E2" w:rsidRDefault="00EA63E2" w:rsidP="00445A07">
      <w:pPr>
        <w:spacing w:line="480" w:lineRule="auto"/>
        <w:rPr>
          <w:b/>
          <w:sz w:val="24"/>
          <w:szCs w:val="24"/>
        </w:rPr>
      </w:pPr>
    </w:p>
    <w:p w:rsidR="00EA63E2" w:rsidRDefault="00EA63E2" w:rsidP="00445A07">
      <w:pPr>
        <w:spacing w:line="480" w:lineRule="auto"/>
        <w:rPr>
          <w:b/>
          <w:sz w:val="24"/>
          <w:szCs w:val="24"/>
        </w:rPr>
      </w:pPr>
    </w:p>
    <w:p w:rsidR="00F429F7" w:rsidRDefault="00F429F7" w:rsidP="00445A07">
      <w:pPr>
        <w:spacing w:line="480" w:lineRule="auto"/>
        <w:rPr>
          <w:b/>
          <w:sz w:val="24"/>
          <w:szCs w:val="24"/>
        </w:rPr>
      </w:pPr>
    </w:p>
    <w:p w:rsidR="00F429F7" w:rsidRDefault="00F429F7" w:rsidP="00445A07">
      <w:pPr>
        <w:spacing w:line="480" w:lineRule="auto"/>
        <w:rPr>
          <w:b/>
          <w:sz w:val="24"/>
          <w:szCs w:val="24"/>
        </w:rPr>
      </w:pPr>
    </w:p>
    <w:p w:rsidR="004610A0" w:rsidRDefault="004610A0" w:rsidP="00445A07">
      <w:pPr>
        <w:spacing w:line="480" w:lineRule="auto"/>
        <w:rPr>
          <w:b/>
          <w:sz w:val="24"/>
          <w:szCs w:val="24"/>
        </w:rPr>
      </w:pPr>
    </w:p>
    <w:p w:rsidR="004610A0" w:rsidRDefault="004610A0"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ED7E3C" w:rsidRDefault="00ED7E3C" w:rsidP="00445A07">
      <w:pPr>
        <w:spacing w:line="480" w:lineRule="auto"/>
        <w:rPr>
          <w:b/>
          <w:sz w:val="24"/>
          <w:szCs w:val="24"/>
        </w:rPr>
      </w:pPr>
    </w:p>
    <w:p w:rsidR="00A15AD3" w:rsidRDefault="0097524C" w:rsidP="00445A07">
      <w:pPr>
        <w:spacing w:line="480" w:lineRule="auto"/>
        <w:rPr>
          <w:b/>
          <w:sz w:val="24"/>
          <w:szCs w:val="24"/>
        </w:rPr>
      </w:pPr>
      <w:r w:rsidRPr="00D97194">
        <w:rPr>
          <w:b/>
          <w:sz w:val="24"/>
          <w:szCs w:val="24"/>
        </w:rPr>
        <w:lastRenderedPageBreak/>
        <w:t>References</w:t>
      </w:r>
    </w:p>
    <w:p w:rsidR="00FF5035" w:rsidRPr="00FF2322" w:rsidRDefault="00FF5035" w:rsidP="00FF2322">
      <w:pPr>
        <w:pStyle w:val="ListParagraph"/>
        <w:numPr>
          <w:ilvl w:val="0"/>
          <w:numId w:val="4"/>
        </w:numPr>
        <w:autoSpaceDE w:val="0"/>
        <w:autoSpaceDN w:val="0"/>
        <w:adjustRightInd w:val="0"/>
        <w:spacing w:line="480" w:lineRule="auto"/>
        <w:rPr>
          <w:sz w:val="24"/>
          <w:szCs w:val="24"/>
        </w:rPr>
      </w:pPr>
      <w:r w:rsidRPr="00FF2322">
        <w:rPr>
          <w:sz w:val="24"/>
          <w:szCs w:val="24"/>
        </w:rPr>
        <w:t>Marshall D, Johnell O &amp; Wedel H. meta-analysis of how well measures of bone mineral density predict occurrence of osteoporotic fractures. BMJ 1996; 312(7041): 1254–1259.</w:t>
      </w:r>
    </w:p>
    <w:p w:rsidR="00FF5035" w:rsidRPr="00FF2322" w:rsidRDefault="00FF5035" w:rsidP="00FF2322">
      <w:pPr>
        <w:pStyle w:val="ListParagraph"/>
        <w:numPr>
          <w:ilvl w:val="0"/>
          <w:numId w:val="4"/>
        </w:numPr>
        <w:spacing w:before="100" w:beforeAutospacing="1" w:after="100" w:afterAutospacing="1" w:line="480" w:lineRule="auto"/>
        <w:rPr>
          <w:rFonts w:eastAsia="Times New Roman"/>
          <w:sz w:val="24"/>
          <w:szCs w:val="24"/>
          <w:lang w:eastAsia="en-GB"/>
        </w:rPr>
      </w:pPr>
      <w:r w:rsidRPr="00FF2322">
        <w:rPr>
          <w:rFonts w:eastAsia="Times New Roman"/>
          <w:sz w:val="24"/>
          <w:szCs w:val="24"/>
          <w:lang w:eastAsia="en-GB"/>
        </w:rPr>
        <w:t>Cheung AM, Giangregorio L. Mechanical stimuli and bone health: what is the evidence? Curr Opin Rheumatol 2012; 24:551-6.</w:t>
      </w:r>
    </w:p>
    <w:p w:rsidR="008F4FE7" w:rsidRPr="00D97194" w:rsidRDefault="008F4FE7" w:rsidP="00FF2322">
      <w:pPr>
        <w:pStyle w:val="ListParagraph"/>
        <w:numPr>
          <w:ilvl w:val="0"/>
          <w:numId w:val="4"/>
        </w:numPr>
        <w:spacing w:line="480" w:lineRule="auto"/>
        <w:rPr>
          <w:sz w:val="24"/>
          <w:szCs w:val="24"/>
        </w:rPr>
      </w:pPr>
      <w:r w:rsidRPr="00D97194">
        <w:rPr>
          <w:sz w:val="24"/>
          <w:szCs w:val="24"/>
        </w:rPr>
        <w:t xml:space="preserve">Kelley GA. Aerobic exercise and bone density at the hip in postmenopausal women: a meta-analysis. </w:t>
      </w:r>
      <w:r w:rsidRPr="00CA62EF">
        <w:rPr>
          <w:i/>
          <w:sz w:val="24"/>
          <w:szCs w:val="24"/>
        </w:rPr>
        <w:t>Prev Med</w:t>
      </w:r>
      <w:r w:rsidRPr="00D97194">
        <w:rPr>
          <w:sz w:val="24"/>
          <w:szCs w:val="24"/>
        </w:rPr>
        <w:t xml:space="preserve"> 1998; </w:t>
      </w:r>
      <w:r w:rsidRPr="00CA62EF">
        <w:rPr>
          <w:b/>
          <w:sz w:val="24"/>
          <w:szCs w:val="24"/>
        </w:rPr>
        <w:t>27</w:t>
      </w:r>
      <w:r w:rsidRPr="00D97194">
        <w:rPr>
          <w:sz w:val="24"/>
          <w:szCs w:val="24"/>
        </w:rPr>
        <w:t>:798-807.</w:t>
      </w:r>
    </w:p>
    <w:p w:rsidR="008F4FE7" w:rsidRPr="00D97194" w:rsidRDefault="008F4FE7" w:rsidP="00FF2322">
      <w:pPr>
        <w:pStyle w:val="ListParagraph"/>
        <w:numPr>
          <w:ilvl w:val="0"/>
          <w:numId w:val="4"/>
        </w:numPr>
        <w:spacing w:line="480" w:lineRule="auto"/>
        <w:rPr>
          <w:sz w:val="24"/>
          <w:szCs w:val="24"/>
        </w:rPr>
      </w:pPr>
      <w:r w:rsidRPr="00D97194">
        <w:rPr>
          <w:sz w:val="24"/>
          <w:szCs w:val="24"/>
        </w:rPr>
        <w:t>Cooper</w:t>
      </w:r>
      <w:r w:rsidR="00C61514" w:rsidRPr="00D97194">
        <w:rPr>
          <w:sz w:val="24"/>
          <w:szCs w:val="24"/>
        </w:rPr>
        <w:t xml:space="preserve"> C, Wickham C, Coggon D. Sedentary work in middle life and fracture of the proximal femur. </w:t>
      </w:r>
      <w:r w:rsidR="00C61514" w:rsidRPr="00CA62EF">
        <w:rPr>
          <w:i/>
          <w:sz w:val="24"/>
          <w:szCs w:val="24"/>
        </w:rPr>
        <w:t>Br J Ind Med</w:t>
      </w:r>
      <w:r w:rsidR="00C61514" w:rsidRPr="00D97194">
        <w:rPr>
          <w:sz w:val="24"/>
          <w:szCs w:val="24"/>
        </w:rPr>
        <w:t xml:space="preserve"> 1990; </w:t>
      </w:r>
      <w:r w:rsidR="00C61514" w:rsidRPr="00CA62EF">
        <w:rPr>
          <w:b/>
          <w:sz w:val="24"/>
          <w:szCs w:val="24"/>
        </w:rPr>
        <w:t>47</w:t>
      </w:r>
      <w:r w:rsidR="00C61514" w:rsidRPr="00D97194">
        <w:rPr>
          <w:sz w:val="24"/>
          <w:szCs w:val="24"/>
        </w:rPr>
        <w:t>:69-70.</w:t>
      </w:r>
    </w:p>
    <w:p w:rsidR="008F4FE7" w:rsidRPr="00D97194" w:rsidRDefault="008F4FE7" w:rsidP="00FF2322">
      <w:pPr>
        <w:pStyle w:val="ListParagraph"/>
        <w:numPr>
          <w:ilvl w:val="0"/>
          <w:numId w:val="4"/>
        </w:numPr>
        <w:spacing w:line="480" w:lineRule="auto"/>
        <w:rPr>
          <w:sz w:val="24"/>
          <w:szCs w:val="24"/>
        </w:rPr>
      </w:pPr>
      <w:r w:rsidRPr="00D97194">
        <w:rPr>
          <w:sz w:val="24"/>
          <w:szCs w:val="24"/>
        </w:rPr>
        <w:t xml:space="preserve">Suen L. Occupation and risk of hip fracture. </w:t>
      </w:r>
      <w:r w:rsidRPr="00CA62EF">
        <w:rPr>
          <w:i/>
          <w:sz w:val="24"/>
          <w:szCs w:val="24"/>
        </w:rPr>
        <w:t>J Pub Health Med</w:t>
      </w:r>
      <w:r w:rsidRPr="00D97194">
        <w:rPr>
          <w:sz w:val="24"/>
          <w:szCs w:val="24"/>
        </w:rPr>
        <w:t xml:space="preserve"> 1998; </w:t>
      </w:r>
      <w:r w:rsidRPr="00CA62EF">
        <w:rPr>
          <w:b/>
          <w:sz w:val="24"/>
          <w:szCs w:val="24"/>
        </w:rPr>
        <w:t>20</w:t>
      </w:r>
      <w:r w:rsidRPr="00D97194">
        <w:rPr>
          <w:sz w:val="24"/>
          <w:szCs w:val="24"/>
        </w:rPr>
        <w:t>:428-33.</w:t>
      </w:r>
    </w:p>
    <w:p w:rsidR="008F4FE7" w:rsidRPr="00D97194" w:rsidRDefault="008F4FE7" w:rsidP="00FF2322">
      <w:pPr>
        <w:pStyle w:val="ListParagraph"/>
        <w:numPr>
          <w:ilvl w:val="0"/>
          <w:numId w:val="4"/>
        </w:numPr>
        <w:spacing w:line="480" w:lineRule="auto"/>
        <w:rPr>
          <w:sz w:val="24"/>
          <w:szCs w:val="24"/>
        </w:rPr>
      </w:pPr>
      <w:r w:rsidRPr="00D97194">
        <w:rPr>
          <w:sz w:val="24"/>
          <w:szCs w:val="24"/>
        </w:rPr>
        <w:t>Jaglal</w:t>
      </w:r>
      <w:r w:rsidR="00C61514" w:rsidRPr="00D97194">
        <w:rPr>
          <w:sz w:val="24"/>
          <w:szCs w:val="24"/>
        </w:rPr>
        <w:t xml:space="preserve"> SB, Krieger N, Darlington GA. Lifetime occupational physical activity and risk of</w:t>
      </w:r>
      <w:r w:rsidR="00172BB1" w:rsidRPr="00D97194">
        <w:rPr>
          <w:sz w:val="24"/>
          <w:szCs w:val="24"/>
        </w:rPr>
        <w:t xml:space="preserve"> h</w:t>
      </w:r>
      <w:r w:rsidR="00C61514" w:rsidRPr="00D97194">
        <w:rPr>
          <w:sz w:val="24"/>
          <w:szCs w:val="24"/>
        </w:rPr>
        <w:t xml:space="preserve">ip fracture in women. </w:t>
      </w:r>
      <w:r w:rsidR="00C61514" w:rsidRPr="00CA62EF">
        <w:rPr>
          <w:i/>
          <w:sz w:val="24"/>
          <w:szCs w:val="24"/>
        </w:rPr>
        <w:t>Ann Epidemiol</w:t>
      </w:r>
      <w:r w:rsidR="00C61514" w:rsidRPr="00D97194">
        <w:rPr>
          <w:sz w:val="24"/>
          <w:szCs w:val="24"/>
        </w:rPr>
        <w:t xml:space="preserve"> 1995; </w:t>
      </w:r>
      <w:r w:rsidR="00C61514" w:rsidRPr="00CA62EF">
        <w:rPr>
          <w:b/>
          <w:sz w:val="24"/>
          <w:szCs w:val="24"/>
        </w:rPr>
        <w:t>5</w:t>
      </w:r>
      <w:r w:rsidR="00C61514" w:rsidRPr="00D97194">
        <w:rPr>
          <w:sz w:val="24"/>
          <w:szCs w:val="24"/>
        </w:rPr>
        <w:t>:321-4.</w:t>
      </w:r>
    </w:p>
    <w:p w:rsidR="00BB46F8" w:rsidRPr="00D97194" w:rsidRDefault="00BB46F8" w:rsidP="00FF2322">
      <w:pPr>
        <w:pStyle w:val="ListParagraph"/>
        <w:numPr>
          <w:ilvl w:val="0"/>
          <w:numId w:val="4"/>
        </w:numPr>
        <w:spacing w:line="480" w:lineRule="auto"/>
        <w:rPr>
          <w:sz w:val="24"/>
          <w:szCs w:val="24"/>
        </w:rPr>
      </w:pPr>
      <w:r w:rsidRPr="00D97194">
        <w:rPr>
          <w:sz w:val="24"/>
          <w:szCs w:val="24"/>
        </w:rPr>
        <w:t>Brahm</w:t>
      </w:r>
      <w:r w:rsidR="000B30A4" w:rsidRPr="00D97194">
        <w:rPr>
          <w:sz w:val="24"/>
          <w:szCs w:val="24"/>
        </w:rPr>
        <w:t xml:space="preserve"> H, Mallmin H, Michaelsson K, Strom H, Ljunghall S. Relationships between bone mass </w:t>
      </w:r>
      <w:r w:rsidR="00D97194" w:rsidRPr="00D97194">
        <w:rPr>
          <w:sz w:val="24"/>
          <w:szCs w:val="24"/>
        </w:rPr>
        <w:t>measurements</w:t>
      </w:r>
      <w:r w:rsidR="000B30A4" w:rsidRPr="00D97194">
        <w:rPr>
          <w:sz w:val="24"/>
          <w:szCs w:val="24"/>
        </w:rPr>
        <w:t xml:space="preserve"> and lifetime </w:t>
      </w:r>
      <w:r w:rsidR="00D97194" w:rsidRPr="00D97194">
        <w:rPr>
          <w:sz w:val="24"/>
          <w:szCs w:val="24"/>
        </w:rPr>
        <w:t>physical</w:t>
      </w:r>
      <w:r w:rsidR="000B30A4" w:rsidRPr="00D97194">
        <w:rPr>
          <w:sz w:val="24"/>
          <w:szCs w:val="24"/>
        </w:rPr>
        <w:t xml:space="preserve"> activity in a Swedish population</w:t>
      </w:r>
      <w:r w:rsidR="000B30A4" w:rsidRPr="00CA62EF">
        <w:rPr>
          <w:i/>
          <w:sz w:val="24"/>
          <w:szCs w:val="24"/>
        </w:rPr>
        <w:t>. Calcif Tiss Int</w:t>
      </w:r>
      <w:r w:rsidR="000B30A4" w:rsidRPr="00D97194">
        <w:rPr>
          <w:sz w:val="24"/>
          <w:szCs w:val="24"/>
        </w:rPr>
        <w:t xml:space="preserve"> 1998;</w:t>
      </w:r>
      <w:r w:rsidR="00CA62EF">
        <w:rPr>
          <w:sz w:val="24"/>
          <w:szCs w:val="24"/>
        </w:rPr>
        <w:t xml:space="preserve"> </w:t>
      </w:r>
      <w:r w:rsidR="000B30A4" w:rsidRPr="00CA62EF">
        <w:rPr>
          <w:b/>
          <w:sz w:val="24"/>
          <w:szCs w:val="24"/>
        </w:rPr>
        <w:t>62</w:t>
      </w:r>
      <w:r w:rsidR="000B30A4" w:rsidRPr="00D97194">
        <w:rPr>
          <w:sz w:val="24"/>
          <w:szCs w:val="24"/>
        </w:rPr>
        <w:t>:400-12.</w:t>
      </w:r>
    </w:p>
    <w:p w:rsidR="000B30A4" w:rsidRPr="00D97194" w:rsidRDefault="000B30A4" w:rsidP="00FF2322">
      <w:pPr>
        <w:pStyle w:val="ListParagraph"/>
        <w:numPr>
          <w:ilvl w:val="0"/>
          <w:numId w:val="4"/>
        </w:numPr>
        <w:spacing w:line="480" w:lineRule="auto"/>
        <w:rPr>
          <w:sz w:val="24"/>
          <w:szCs w:val="24"/>
        </w:rPr>
      </w:pPr>
      <w:r w:rsidRPr="00D97194">
        <w:rPr>
          <w:sz w:val="24"/>
          <w:szCs w:val="24"/>
        </w:rPr>
        <w:t>Damilaikis J, Perisinakis K, Kontakis G, Vagios E, Gourtsoyiannis N. Effect of lifetime occupational physical activity on indices of bone mineral status in health</w:t>
      </w:r>
      <w:r w:rsidR="00CA62EF">
        <w:rPr>
          <w:sz w:val="24"/>
          <w:szCs w:val="24"/>
        </w:rPr>
        <w:t xml:space="preserve">y postmenopausal women. </w:t>
      </w:r>
      <w:r w:rsidR="00CA62EF" w:rsidRPr="00CA62EF">
        <w:rPr>
          <w:i/>
          <w:sz w:val="24"/>
          <w:szCs w:val="24"/>
        </w:rPr>
        <w:t>Calcif T</w:t>
      </w:r>
      <w:r w:rsidRPr="00CA62EF">
        <w:rPr>
          <w:i/>
          <w:sz w:val="24"/>
          <w:szCs w:val="24"/>
        </w:rPr>
        <w:t>issue Int</w:t>
      </w:r>
      <w:r w:rsidRPr="00D97194">
        <w:rPr>
          <w:sz w:val="24"/>
          <w:szCs w:val="24"/>
        </w:rPr>
        <w:t xml:space="preserve"> 1999; </w:t>
      </w:r>
      <w:r w:rsidRPr="00CA62EF">
        <w:rPr>
          <w:b/>
          <w:sz w:val="24"/>
          <w:szCs w:val="24"/>
        </w:rPr>
        <w:t>64</w:t>
      </w:r>
      <w:r w:rsidRPr="00D97194">
        <w:rPr>
          <w:sz w:val="24"/>
          <w:szCs w:val="24"/>
        </w:rPr>
        <w:t>:112-6.</w:t>
      </w:r>
    </w:p>
    <w:p w:rsidR="000B30A4" w:rsidRPr="00D97194" w:rsidRDefault="00D97194" w:rsidP="00FF2322">
      <w:pPr>
        <w:pStyle w:val="ListParagraph"/>
        <w:numPr>
          <w:ilvl w:val="0"/>
          <w:numId w:val="4"/>
        </w:numPr>
        <w:spacing w:line="480" w:lineRule="auto"/>
        <w:rPr>
          <w:sz w:val="24"/>
          <w:szCs w:val="24"/>
        </w:rPr>
      </w:pPr>
      <w:r w:rsidRPr="00D97194">
        <w:rPr>
          <w:sz w:val="24"/>
          <w:szCs w:val="24"/>
        </w:rPr>
        <w:t xml:space="preserve">Uusi-Rasi K, Nygard CH, Oja P, Pasanen M, Sievanen H, Vuori I. Walking at work and bone mineral density of premenopausal women. </w:t>
      </w:r>
      <w:r w:rsidR="000B30A4" w:rsidRPr="00CA62EF">
        <w:rPr>
          <w:i/>
          <w:sz w:val="24"/>
          <w:szCs w:val="24"/>
        </w:rPr>
        <w:t>Osteoporos Int</w:t>
      </w:r>
      <w:r w:rsidR="000B30A4" w:rsidRPr="00D97194">
        <w:rPr>
          <w:sz w:val="24"/>
          <w:szCs w:val="24"/>
        </w:rPr>
        <w:t xml:space="preserve"> 1994; </w:t>
      </w:r>
      <w:r w:rsidR="000B30A4" w:rsidRPr="00CA62EF">
        <w:rPr>
          <w:b/>
          <w:sz w:val="24"/>
          <w:szCs w:val="24"/>
        </w:rPr>
        <w:t>4</w:t>
      </w:r>
      <w:r w:rsidR="000B30A4" w:rsidRPr="00D97194">
        <w:rPr>
          <w:sz w:val="24"/>
          <w:szCs w:val="24"/>
        </w:rPr>
        <w:t>:336-40.</w:t>
      </w:r>
    </w:p>
    <w:p w:rsidR="00C61514" w:rsidRPr="00D97194" w:rsidRDefault="00C61514" w:rsidP="00FF2322">
      <w:pPr>
        <w:pStyle w:val="ListParagraph"/>
        <w:numPr>
          <w:ilvl w:val="0"/>
          <w:numId w:val="4"/>
        </w:numPr>
        <w:spacing w:line="480" w:lineRule="auto"/>
        <w:rPr>
          <w:sz w:val="24"/>
          <w:szCs w:val="24"/>
        </w:rPr>
      </w:pPr>
      <w:r w:rsidRPr="00D97194">
        <w:rPr>
          <w:sz w:val="24"/>
          <w:szCs w:val="24"/>
        </w:rPr>
        <w:lastRenderedPageBreak/>
        <w:t>Coupland</w:t>
      </w:r>
      <w:r w:rsidR="00BB46F8" w:rsidRPr="00D97194">
        <w:rPr>
          <w:sz w:val="24"/>
          <w:szCs w:val="24"/>
        </w:rPr>
        <w:t xml:space="preserve"> CAC, </w:t>
      </w:r>
      <w:r w:rsidR="00D97194" w:rsidRPr="00D97194">
        <w:rPr>
          <w:sz w:val="24"/>
          <w:szCs w:val="24"/>
        </w:rPr>
        <w:t xml:space="preserve">Grainge MJ, </w:t>
      </w:r>
      <w:r w:rsidR="00BB46F8" w:rsidRPr="00D97194">
        <w:rPr>
          <w:sz w:val="24"/>
          <w:szCs w:val="24"/>
        </w:rPr>
        <w:t xml:space="preserve">Cliffe SJ, Hosking DJ, Chilvers CED. </w:t>
      </w:r>
      <w:r w:rsidR="00D97194" w:rsidRPr="00D97194">
        <w:rPr>
          <w:sz w:val="24"/>
          <w:szCs w:val="24"/>
        </w:rPr>
        <w:t>Occupational</w:t>
      </w:r>
      <w:r w:rsidR="00BB46F8" w:rsidRPr="00D97194">
        <w:rPr>
          <w:sz w:val="24"/>
          <w:szCs w:val="24"/>
        </w:rPr>
        <w:t xml:space="preserve"> activity and bone mineral </w:t>
      </w:r>
      <w:r w:rsidR="00D97194" w:rsidRPr="00D97194">
        <w:rPr>
          <w:sz w:val="24"/>
          <w:szCs w:val="24"/>
        </w:rPr>
        <w:t>density</w:t>
      </w:r>
      <w:r w:rsidR="00BB46F8" w:rsidRPr="00D97194">
        <w:rPr>
          <w:sz w:val="24"/>
          <w:szCs w:val="24"/>
        </w:rPr>
        <w:t xml:space="preserve"> in postmenopausal women in England. </w:t>
      </w:r>
      <w:r w:rsidR="00D97194" w:rsidRPr="00CA62EF">
        <w:rPr>
          <w:i/>
          <w:sz w:val="24"/>
          <w:szCs w:val="24"/>
        </w:rPr>
        <w:t>Osteoporos Int</w:t>
      </w:r>
      <w:r w:rsidR="00D97194" w:rsidRPr="00D97194">
        <w:rPr>
          <w:sz w:val="24"/>
          <w:szCs w:val="24"/>
        </w:rPr>
        <w:t xml:space="preserve"> 2000; </w:t>
      </w:r>
      <w:r w:rsidR="00D97194" w:rsidRPr="00CA62EF">
        <w:rPr>
          <w:b/>
          <w:sz w:val="24"/>
          <w:szCs w:val="24"/>
        </w:rPr>
        <w:t>11</w:t>
      </w:r>
      <w:r w:rsidR="00D97194" w:rsidRPr="00D97194">
        <w:rPr>
          <w:sz w:val="24"/>
          <w:szCs w:val="24"/>
        </w:rPr>
        <w:t>:310-5.</w:t>
      </w:r>
    </w:p>
    <w:p w:rsidR="00C61514" w:rsidRPr="00D97194" w:rsidRDefault="00C61514" w:rsidP="00FF2322">
      <w:pPr>
        <w:pStyle w:val="ListParagraph"/>
        <w:numPr>
          <w:ilvl w:val="0"/>
          <w:numId w:val="4"/>
        </w:numPr>
        <w:spacing w:line="480" w:lineRule="auto"/>
        <w:rPr>
          <w:sz w:val="24"/>
          <w:szCs w:val="24"/>
        </w:rPr>
      </w:pPr>
      <w:r w:rsidRPr="00D97194">
        <w:rPr>
          <w:sz w:val="24"/>
          <w:szCs w:val="24"/>
        </w:rPr>
        <w:t>Mickelsfield</w:t>
      </w:r>
      <w:r w:rsidR="00BB46F8" w:rsidRPr="00D97194">
        <w:rPr>
          <w:sz w:val="24"/>
          <w:szCs w:val="24"/>
        </w:rPr>
        <w:t xml:space="preserve"> L, Rosenberg L, Cooper D, Hoffman M, Kalla A, Stander I, Lambert E. Bone mineral </w:t>
      </w:r>
      <w:r w:rsidR="00D97194" w:rsidRPr="00D97194">
        <w:rPr>
          <w:sz w:val="24"/>
          <w:szCs w:val="24"/>
        </w:rPr>
        <w:t>density</w:t>
      </w:r>
      <w:r w:rsidR="00BB46F8" w:rsidRPr="00D97194">
        <w:rPr>
          <w:sz w:val="24"/>
          <w:szCs w:val="24"/>
        </w:rPr>
        <w:t xml:space="preserve"> and lifetime physical activity in </w:t>
      </w:r>
      <w:r w:rsidR="00CA62EF">
        <w:rPr>
          <w:sz w:val="24"/>
          <w:szCs w:val="24"/>
        </w:rPr>
        <w:t xml:space="preserve">South African women. </w:t>
      </w:r>
      <w:r w:rsidR="00CA62EF" w:rsidRPr="00CA62EF">
        <w:rPr>
          <w:i/>
          <w:sz w:val="24"/>
          <w:szCs w:val="24"/>
        </w:rPr>
        <w:t>Calf Tissue</w:t>
      </w:r>
      <w:r w:rsidR="00BB46F8" w:rsidRPr="00CA62EF">
        <w:rPr>
          <w:i/>
          <w:sz w:val="24"/>
          <w:szCs w:val="24"/>
        </w:rPr>
        <w:t xml:space="preserve"> Int</w:t>
      </w:r>
      <w:r w:rsidR="00BB46F8" w:rsidRPr="00D97194">
        <w:rPr>
          <w:sz w:val="24"/>
          <w:szCs w:val="24"/>
        </w:rPr>
        <w:t xml:space="preserve"> 2003; </w:t>
      </w:r>
      <w:r w:rsidR="00BB46F8" w:rsidRPr="00CA62EF">
        <w:rPr>
          <w:b/>
          <w:sz w:val="24"/>
          <w:szCs w:val="24"/>
        </w:rPr>
        <w:t>73</w:t>
      </w:r>
      <w:r w:rsidR="00BB46F8" w:rsidRPr="00D97194">
        <w:rPr>
          <w:sz w:val="24"/>
          <w:szCs w:val="24"/>
        </w:rPr>
        <w:t>:463-9.</w:t>
      </w:r>
    </w:p>
    <w:p w:rsidR="00C61514" w:rsidRPr="00D97194" w:rsidRDefault="00C61514" w:rsidP="00FF2322">
      <w:pPr>
        <w:pStyle w:val="ListParagraph"/>
        <w:numPr>
          <w:ilvl w:val="0"/>
          <w:numId w:val="4"/>
        </w:numPr>
        <w:spacing w:line="480" w:lineRule="auto"/>
        <w:rPr>
          <w:sz w:val="24"/>
          <w:szCs w:val="24"/>
        </w:rPr>
      </w:pPr>
      <w:r w:rsidRPr="00D97194">
        <w:rPr>
          <w:sz w:val="24"/>
          <w:szCs w:val="24"/>
        </w:rPr>
        <w:t>Kolbe-Alexander</w:t>
      </w:r>
      <w:r w:rsidR="00BB46F8" w:rsidRPr="00D97194">
        <w:rPr>
          <w:sz w:val="24"/>
          <w:szCs w:val="24"/>
        </w:rPr>
        <w:t xml:space="preserve"> TL, Charlton KE, Lambert EV. Lifetime </w:t>
      </w:r>
      <w:r w:rsidR="00D97194" w:rsidRPr="00D97194">
        <w:rPr>
          <w:sz w:val="24"/>
          <w:szCs w:val="24"/>
        </w:rPr>
        <w:t xml:space="preserve">physical </w:t>
      </w:r>
      <w:r w:rsidR="00BB46F8" w:rsidRPr="00D97194">
        <w:rPr>
          <w:sz w:val="24"/>
          <w:szCs w:val="24"/>
        </w:rPr>
        <w:t xml:space="preserve">activity and determinants of </w:t>
      </w:r>
      <w:r w:rsidR="00D97194" w:rsidRPr="00D97194">
        <w:rPr>
          <w:sz w:val="24"/>
          <w:szCs w:val="24"/>
        </w:rPr>
        <w:t>estimated</w:t>
      </w:r>
      <w:r w:rsidR="00BB46F8" w:rsidRPr="00D97194">
        <w:rPr>
          <w:sz w:val="24"/>
          <w:szCs w:val="24"/>
        </w:rPr>
        <w:t xml:space="preserve"> bone mineral </w:t>
      </w:r>
      <w:r w:rsidR="00D97194" w:rsidRPr="00D97194">
        <w:rPr>
          <w:sz w:val="24"/>
          <w:szCs w:val="24"/>
        </w:rPr>
        <w:t>density</w:t>
      </w:r>
      <w:r w:rsidR="00BB46F8" w:rsidRPr="00D97194">
        <w:rPr>
          <w:sz w:val="24"/>
          <w:szCs w:val="24"/>
        </w:rPr>
        <w:t xml:space="preserve"> using calcaneal ultrasound in older South African adults. </w:t>
      </w:r>
      <w:r w:rsidR="00BB46F8" w:rsidRPr="00CA62EF">
        <w:rPr>
          <w:i/>
          <w:sz w:val="24"/>
          <w:szCs w:val="24"/>
        </w:rPr>
        <w:t xml:space="preserve">J </w:t>
      </w:r>
      <w:r w:rsidR="00D97194" w:rsidRPr="00CA62EF">
        <w:rPr>
          <w:i/>
          <w:sz w:val="24"/>
          <w:szCs w:val="24"/>
        </w:rPr>
        <w:t>Nutr</w:t>
      </w:r>
      <w:r w:rsidR="00BB46F8" w:rsidRPr="00CA62EF">
        <w:rPr>
          <w:i/>
          <w:sz w:val="24"/>
          <w:szCs w:val="24"/>
        </w:rPr>
        <w:t xml:space="preserve"> Health Aging</w:t>
      </w:r>
      <w:r w:rsidR="00BB46F8" w:rsidRPr="00D97194">
        <w:rPr>
          <w:sz w:val="24"/>
          <w:szCs w:val="24"/>
        </w:rPr>
        <w:t xml:space="preserve"> 2004;</w:t>
      </w:r>
      <w:r w:rsidR="00CA62EF">
        <w:rPr>
          <w:sz w:val="24"/>
          <w:szCs w:val="24"/>
        </w:rPr>
        <w:t xml:space="preserve"> </w:t>
      </w:r>
      <w:r w:rsidR="00BB46F8" w:rsidRPr="00CA62EF">
        <w:rPr>
          <w:b/>
          <w:sz w:val="24"/>
          <w:szCs w:val="24"/>
        </w:rPr>
        <w:t>8</w:t>
      </w:r>
      <w:r w:rsidR="00BB46F8" w:rsidRPr="00D97194">
        <w:rPr>
          <w:sz w:val="24"/>
          <w:szCs w:val="24"/>
        </w:rPr>
        <w:t>:521-30.</w:t>
      </w:r>
    </w:p>
    <w:p w:rsidR="00C61514" w:rsidRPr="00D97194" w:rsidRDefault="00C61514" w:rsidP="00FF2322">
      <w:pPr>
        <w:pStyle w:val="ListParagraph"/>
        <w:numPr>
          <w:ilvl w:val="0"/>
          <w:numId w:val="4"/>
        </w:numPr>
        <w:spacing w:line="480" w:lineRule="auto"/>
        <w:rPr>
          <w:sz w:val="24"/>
          <w:szCs w:val="24"/>
        </w:rPr>
      </w:pPr>
      <w:r w:rsidRPr="00D97194">
        <w:rPr>
          <w:sz w:val="24"/>
          <w:szCs w:val="24"/>
        </w:rPr>
        <w:t>Weiss</w:t>
      </w:r>
      <w:r w:rsidR="00BB46F8" w:rsidRPr="00D97194">
        <w:rPr>
          <w:sz w:val="24"/>
          <w:szCs w:val="24"/>
        </w:rPr>
        <w:t xml:space="preserve"> M, Yogev R, Dolev E. </w:t>
      </w:r>
      <w:r w:rsidR="00D97194" w:rsidRPr="00D97194">
        <w:rPr>
          <w:sz w:val="24"/>
          <w:szCs w:val="24"/>
        </w:rPr>
        <w:t>Occupational</w:t>
      </w:r>
      <w:r w:rsidR="00BB46F8" w:rsidRPr="00D97194">
        <w:rPr>
          <w:sz w:val="24"/>
          <w:szCs w:val="24"/>
        </w:rPr>
        <w:t xml:space="preserve"> sitting and low hip mineral </w:t>
      </w:r>
      <w:r w:rsidR="00D97194" w:rsidRPr="00D97194">
        <w:rPr>
          <w:sz w:val="24"/>
          <w:szCs w:val="24"/>
        </w:rPr>
        <w:t>density</w:t>
      </w:r>
      <w:r w:rsidR="00BB46F8" w:rsidRPr="00D97194">
        <w:rPr>
          <w:sz w:val="24"/>
          <w:szCs w:val="24"/>
        </w:rPr>
        <w:t xml:space="preserve">. </w:t>
      </w:r>
      <w:r w:rsidR="00BB46F8" w:rsidRPr="00CA62EF">
        <w:rPr>
          <w:i/>
          <w:sz w:val="24"/>
          <w:szCs w:val="24"/>
        </w:rPr>
        <w:t>Calcif Tissue Int</w:t>
      </w:r>
      <w:r w:rsidR="00BB46F8" w:rsidRPr="00D97194">
        <w:rPr>
          <w:sz w:val="24"/>
          <w:szCs w:val="24"/>
        </w:rPr>
        <w:t xml:space="preserve"> 1998;</w:t>
      </w:r>
      <w:r w:rsidR="00CA62EF">
        <w:rPr>
          <w:sz w:val="24"/>
          <w:szCs w:val="24"/>
        </w:rPr>
        <w:t xml:space="preserve"> </w:t>
      </w:r>
      <w:r w:rsidR="00CA62EF" w:rsidRPr="00CA62EF">
        <w:rPr>
          <w:b/>
          <w:sz w:val="24"/>
          <w:szCs w:val="24"/>
        </w:rPr>
        <w:t>62</w:t>
      </w:r>
      <w:r w:rsidR="00CA62EF">
        <w:rPr>
          <w:sz w:val="24"/>
          <w:szCs w:val="24"/>
        </w:rPr>
        <w:t>:47-</w:t>
      </w:r>
      <w:r w:rsidR="00BB46F8" w:rsidRPr="00D97194">
        <w:rPr>
          <w:sz w:val="24"/>
          <w:szCs w:val="24"/>
        </w:rPr>
        <w:t>50.</w:t>
      </w:r>
    </w:p>
    <w:p w:rsidR="00BD6111" w:rsidRPr="00D97194" w:rsidRDefault="00BD6111" w:rsidP="00FF2322">
      <w:pPr>
        <w:pStyle w:val="ListParagraph"/>
        <w:numPr>
          <w:ilvl w:val="0"/>
          <w:numId w:val="4"/>
        </w:numPr>
        <w:spacing w:line="480" w:lineRule="auto"/>
        <w:rPr>
          <w:rFonts w:eastAsia="Times New Roman"/>
          <w:sz w:val="24"/>
          <w:szCs w:val="24"/>
          <w:lang w:eastAsia="en-GB"/>
        </w:rPr>
      </w:pPr>
      <w:r w:rsidRPr="00D97194">
        <w:rPr>
          <w:rFonts w:eastAsia="Times New Roman"/>
          <w:sz w:val="24"/>
          <w:szCs w:val="24"/>
          <w:lang w:eastAsia="en-GB"/>
        </w:rPr>
        <w:t>Syddall HE, Aihie Sayer A, Dennison EM, Martin HJ, Barker DJP, Cooper C. Cohort profile: The Hertfordshire Cohort Study</w:t>
      </w:r>
      <w:r w:rsidR="00925DE8">
        <w:rPr>
          <w:rFonts w:eastAsia="Times New Roman"/>
          <w:sz w:val="24"/>
          <w:szCs w:val="24"/>
          <w:lang w:eastAsia="en-GB"/>
        </w:rPr>
        <w:t xml:space="preserve">. </w:t>
      </w:r>
      <w:r w:rsidR="00925DE8" w:rsidRPr="00925DE8">
        <w:rPr>
          <w:rFonts w:eastAsia="Times New Roman"/>
          <w:i/>
          <w:sz w:val="24"/>
          <w:szCs w:val="24"/>
          <w:lang w:eastAsia="en-GB"/>
        </w:rPr>
        <w:t>Int J Epidemiol</w:t>
      </w:r>
      <w:r w:rsidR="00925DE8">
        <w:rPr>
          <w:rFonts w:eastAsia="Times New Roman"/>
          <w:sz w:val="24"/>
          <w:szCs w:val="24"/>
          <w:lang w:eastAsia="en-GB"/>
        </w:rPr>
        <w:t xml:space="preserve"> </w:t>
      </w:r>
      <w:r w:rsidRPr="00D97194">
        <w:rPr>
          <w:rFonts w:eastAsia="Times New Roman"/>
          <w:sz w:val="24"/>
          <w:szCs w:val="24"/>
          <w:lang w:eastAsia="en-GB"/>
        </w:rPr>
        <w:t>2005</w:t>
      </w:r>
      <w:r w:rsidR="00925DE8">
        <w:rPr>
          <w:rFonts w:eastAsia="Times New Roman"/>
          <w:sz w:val="24"/>
          <w:szCs w:val="24"/>
          <w:lang w:eastAsia="en-GB"/>
        </w:rPr>
        <w:t>;</w:t>
      </w:r>
      <w:r w:rsidRPr="00D97194">
        <w:rPr>
          <w:rFonts w:eastAsia="Times New Roman"/>
          <w:sz w:val="24"/>
          <w:szCs w:val="24"/>
          <w:lang w:eastAsia="en-GB"/>
        </w:rPr>
        <w:t xml:space="preserve"> </w:t>
      </w:r>
      <w:r w:rsidRPr="00925DE8">
        <w:rPr>
          <w:rFonts w:eastAsia="Times New Roman"/>
          <w:b/>
          <w:sz w:val="24"/>
          <w:szCs w:val="24"/>
          <w:lang w:eastAsia="en-GB"/>
        </w:rPr>
        <w:t>34</w:t>
      </w:r>
      <w:r w:rsidRPr="00D97194">
        <w:rPr>
          <w:rFonts w:eastAsia="Times New Roman"/>
          <w:sz w:val="24"/>
          <w:szCs w:val="24"/>
          <w:lang w:eastAsia="en-GB"/>
        </w:rPr>
        <w:t>: 1234-4</w:t>
      </w:r>
      <w:r w:rsidR="00925DE8">
        <w:rPr>
          <w:rFonts w:eastAsia="Times New Roman"/>
          <w:sz w:val="24"/>
          <w:szCs w:val="24"/>
          <w:lang w:eastAsia="en-GB"/>
        </w:rPr>
        <w:t>2.</w:t>
      </w:r>
    </w:p>
    <w:p w:rsidR="008F4FE7" w:rsidRPr="00BD6111" w:rsidRDefault="008F4FE7" w:rsidP="00BD6111">
      <w:pPr>
        <w:spacing w:line="480" w:lineRule="auto"/>
        <w:rPr>
          <w:sz w:val="24"/>
          <w:szCs w:val="24"/>
        </w:rPr>
      </w:pPr>
    </w:p>
    <w:p w:rsidR="002C50B1" w:rsidRDefault="002C50B1" w:rsidP="008F4FE7">
      <w:pPr>
        <w:spacing w:line="480" w:lineRule="auto"/>
      </w:pPr>
    </w:p>
    <w:p w:rsidR="006F38B2" w:rsidRDefault="006F38B2" w:rsidP="00445A07">
      <w:pPr>
        <w:spacing w:line="480" w:lineRule="auto"/>
      </w:pPr>
    </w:p>
    <w:p w:rsidR="006F38B2" w:rsidRDefault="006F38B2" w:rsidP="00445A07">
      <w:pPr>
        <w:spacing w:line="480" w:lineRule="auto"/>
        <w:sectPr w:rsidR="006F38B2">
          <w:footerReference w:type="default" r:id="rId9"/>
          <w:pgSz w:w="11906" w:h="16838"/>
          <w:pgMar w:top="1440" w:right="1440" w:bottom="1440" w:left="1440" w:header="708" w:footer="708" w:gutter="0"/>
          <w:cols w:space="708"/>
          <w:docGrid w:linePitch="360"/>
        </w:sectPr>
      </w:pPr>
    </w:p>
    <w:p w:rsidR="00F75B92" w:rsidRPr="00F75B92" w:rsidRDefault="006F38B2" w:rsidP="00F75B92">
      <w:pPr>
        <w:spacing w:line="240" w:lineRule="auto"/>
        <w:ind w:left="1440" w:hanging="1440"/>
        <w:rPr>
          <w:b/>
        </w:rPr>
      </w:pPr>
      <w:r>
        <w:rPr>
          <w:b/>
        </w:rPr>
        <w:lastRenderedPageBreak/>
        <w:t>Table</w:t>
      </w:r>
      <w:r w:rsidR="00986224">
        <w:rPr>
          <w:b/>
        </w:rPr>
        <w:t xml:space="preserve"> 1</w:t>
      </w:r>
      <w:r>
        <w:rPr>
          <w:b/>
        </w:rPr>
        <w:tab/>
      </w:r>
      <w:r w:rsidR="00F75B92" w:rsidRPr="00F75B92">
        <w:rPr>
          <w:b/>
        </w:rPr>
        <w:t>Associations of four types of lifetime occupational activity with total hip bone mineral density measured at age 65 years in the Hertfordshire cohort study</w:t>
      </w:r>
    </w:p>
    <w:p w:rsidR="006F38B2" w:rsidRPr="00CD57DD" w:rsidRDefault="00986224" w:rsidP="00F86AB5">
      <w:pPr>
        <w:spacing w:line="240" w:lineRule="auto"/>
        <w:rPr>
          <w:b/>
        </w:rPr>
      </w:pPr>
      <w:r>
        <w:rPr>
          <w:b/>
        </w:rPr>
        <w:t xml:space="preserve"> </w:t>
      </w:r>
    </w:p>
    <w:tbl>
      <w:tblPr>
        <w:tblStyle w:val="TableGrid"/>
        <w:tblW w:w="1460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34"/>
        <w:gridCol w:w="1195"/>
        <w:gridCol w:w="674"/>
        <w:gridCol w:w="1560"/>
        <w:gridCol w:w="2105"/>
        <w:gridCol w:w="277"/>
        <w:gridCol w:w="1195"/>
        <w:gridCol w:w="817"/>
        <w:gridCol w:w="1700"/>
        <w:gridCol w:w="2127"/>
      </w:tblGrid>
      <w:tr w:rsidR="00D10092" w:rsidTr="00550FED">
        <w:tc>
          <w:tcPr>
            <w:tcW w:w="2717" w:type="dxa"/>
            <w:vMerge w:val="restart"/>
            <w:tcBorders>
              <w:top w:val="single" w:sz="12" w:space="0" w:color="auto"/>
            </w:tcBorders>
            <w:vAlign w:val="center"/>
          </w:tcPr>
          <w:p w:rsidR="00D10092" w:rsidRDefault="00D10092" w:rsidP="00F86AB5">
            <w:pPr>
              <w:rPr>
                <w:b/>
              </w:rPr>
            </w:pPr>
            <w:r>
              <w:rPr>
                <w:b/>
              </w:rPr>
              <w:t>O</w:t>
            </w:r>
            <w:r w:rsidRPr="00B8268E">
              <w:rPr>
                <w:b/>
              </w:rPr>
              <w:t xml:space="preserve">ccupational </w:t>
            </w:r>
            <w:r>
              <w:rPr>
                <w:b/>
              </w:rPr>
              <w:t xml:space="preserve">activity </w:t>
            </w:r>
          </w:p>
          <w:p w:rsidR="00D10092" w:rsidRPr="009A1C0D" w:rsidRDefault="00D10092" w:rsidP="00F86AB5"/>
        </w:tc>
        <w:tc>
          <w:tcPr>
            <w:tcW w:w="234" w:type="dxa"/>
            <w:vMerge w:val="restart"/>
            <w:tcBorders>
              <w:top w:val="single" w:sz="12" w:space="0" w:color="auto"/>
            </w:tcBorders>
          </w:tcPr>
          <w:p w:rsidR="00D10092" w:rsidRPr="00B8268E" w:rsidRDefault="00D10092" w:rsidP="00F86AB5">
            <w:pPr>
              <w:rPr>
                <w:b/>
              </w:rPr>
            </w:pPr>
          </w:p>
        </w:tc>
        <w:tc>
          <w:tcPr>
            <w:tcW w:w="5534" w:type="dxa"/>
            <w:gridSpan w:val="4"/>
            <w:tcBorders>
              <w:top w:val="single" w:sz="12" w:space="0" w:color="auto"/>
              <w:bottom w:val="single" w:sz="12" w:space="0" w:color="auto"/>
            </w:tcBorders>
          </w:tcPr>
          <w:p w:rsidR="00D10092" w:rsidRPr="00B8268E" w:rsidRDefault="00D10092" w:rsidP="00F86AB5">
            <w:pPr>
              <w:jc w:val="center"/>
              <w:rPr>
                <w:b/>
              </w:rPr>
            </w:pPr>
            <w:r w:rsidRPr="00B8268E">
              <w:rPr>
                <w:b/>
              </w:rPr>
              <w:t>Men</w:t>
            </w:r>
          </w:p>
        </w:tc>
        <w:tc>
          <w:tcPr>
            <w:tcW w:w="277" w:type="dxa"/>
            <w:vMerge w:val="restart"/>
            <w:tcBorders>
              <w:top w:val="single" w:sz="12" w:space="0" w:color="auto"/>
            </w:tcBorders>
          </w:tcPr>
          <w:p w:rsidR="00D10092" w:rsidRPr="00B8268E" w:rsidRDefault="00D10092" w:rsidP="00F86AB5">
            <w:pPr>
              <w:rPr>
                <w:b/>
              </w:rPr>
            </w:pPr>
          </w:p>
        </w:tc>
        <w:tc>
          <w:tcPr>
            <w:tcW w:w="5839" w:type="dxa"/>
            <w:gridSpan w:val="4"/>
            <w:tcBorders>
              <w:top w:val="single" w:sz="12" w:space="0" w:color="auto"/>
              <w:bottom w:val="single" w:sz="12" w:space="0" w:color="auto"/>
            </w:tcBorders>
          </w:tcPr>
          <w:p w:rsidR="00D10092" w:rsidRPr="00B8268E" w:rsidRDefault="00D10092" w:rsidP="00F86AB5">
            <w:pPr>
              <w:jc w:val="center"/>
              <w:rPr>
                <w:b/>
              </w:rPr>
            </w:pPr>
            <w:r w:rsidRPr="00B8268E">
              <w:rPr>
                <w:b/>
              </w:rPr>
              <w:t>Women</w:t>
            </w:r>
          </w:p>
        </w:tc>
      </w:tr>
      <w:tr w:rsidR="00D10092" w:rsidTr="00550FED">
        <w:tc>
          <w:tcPr>
            <w:tcW w:w="2717" w:type="dxa"/>
            <w:vMerge/>
          </w:tcPr>
          <w:p w:rsidR="00D10092" w:rsidRPr="00B8268E" w:rsidRDefault="00D10092" w:rsidP="00F86AB5">
            <w:pPr>
              <w:rPr>
                <w:b/>
              </w:rPr>
            </w:pPr>
          </w:p>
        </w:tc>
        <w:tc>
          <w:tcPr>
            <w:tcW w:w="234" w:type="dxa"/>
            <w:vMerge/>
          </w:tcPr>
          <w:p w:rsidR="00D10092" w:rsidRPr="00B8268E" w:rsidRDefault="00D10092" w:rsidP="00F86AB5">
            <w:pPr>
              <w:rPr>
                <w:b/>
              </w:rPr>
            </w:pPr>
          </w:p>
        </w:tc>
        <w:tc>
          <w:tcPr>
            <w:tcW w:w="1195" w:type="dxa"/>
            <w:vMerge w:val="restart"/>
            <w:tcBorders>
              <w:top w:val="single" w:sz="12" w:space="0" w:color="auto"/>
            </w:tcBorders>
          </w:tcPr>
          <w:p w:rsidR="00D10092" w:rsidRPr="00B8268E" w:rsidRDefault="00D10092" w:rsidP="00F86AB5">
            <w:pPr>
              <w:jc w:val="center"/>
              <w:rPr>
                <w:b/>
              </w:rPr>
            </w:pPr>
            <w:r>
              <w:rPr>
                <w:b/>
              </w:rPr>
              <w:t>Years of exposure</w:t>
            </w:r>
          </w:p>
        </w:tc>
        <w:tc>
          <w:tcPr>
            <w:tcW w:w="674" w:type="dxa"/>
            <w:vMerge w:val="restart"/>
            <w:tcBorders>
              <w:top w:val="single" w:sz="12" w:space="0" w:color="auto"/>
            </w:tcBorders>
            <w:vAlign w:val="center"/>
          </w:tcPr>
          <w:p w:rsidR="00D10092" w:rsidRPr="00B8268E" w:rsidRDefault="00D10092" w:rsidP="00F86AB5">
            <w:pPr>
              <w:jc w:val="center"/>
              <w:rPr>
                <w:b/>
              </w:rPr>
            </w:pPr>
            <w:r w:rsidRPr="00B8268E">
              <w:rPr>
                <w:b/>
              </w:rPr>
              <w:t>n</w:t>
            </w:r>
          </w:p>
        </w:tc>
        <w:tc>
          <w:tcPr>
            <w:tcW w:w="3665" w:type="dxa"/>
            <w:gridSpan w:val="2"/>
            <w:tcBorders>
              <w:top w:val="single" w:sz="12" w:space="0" w:color="auto"/>
            </w:tcBorders>
          </w:tcPr>
          <w:p w:rsidR="00D10092" w:rsidRPr="009A1C0D" w:rsidRDefault="00D10092" w:rsidP="00F86AB5">
            <w:pPr>
              <w:jc w:val="center"/>
              <w:rPr>
                <w:b/>
                <w:vertAlign w:val="superscript"/>
              </w:rPr>
            </w:pPr>
            <w:r w:rsidRPr="00B8268E">
              <w:rPr>
                <w:b/>
              </w:rPr>
              <w:t xml:space="preserve">Difference in total </w:t>
            </w:r>
            <w:r>
              <w:rPr>
                <w:b/>
              </w:rPr>
              <w:t>hip</w:t>
            </w:r>
            <w:r w:rsidRPr="00B8268E">
              <w:rPr>
                <w:b/>
              </w:rPr>
              <w:t xml:space="preserve"> BMD</w:t>
            </w:r>
            <w:r>
              <w:rPr>
                <w:b/>
                <w:vertAlign w:val="superscript"/>
              </w:rPr>
              <w:t>a</w:t>
            </w:r>
            <w:r>
              <w:rPr>
                <w:b/>
              </w:rPr>
              <w:t xml:space="preserve"> (g/cm</w:t>
            </w:r>
            <w:r>
              <w:rPr>
                <w:b/>
                <w:vertAlign w:val="superscript"/>
              </w:rPr>
              <w:t>2</w:t>
            </w:r>
            <w:r>
              <w:rPr>
                <w:b/>
              </w:rPr>
              <w:t>)</w:t>
            </w:r>
          </w:p>
        </w:tc>
        <w:tc>
          <w:tcPr>
            <w:tcW w:w="277" w:type="dxa"/>
            <w:vMerge/>
          </w:tcPr>
          <w:p w:rsidR="00D10092" w:rsidRPr="00B8268E" w:rsidRDefault="00D10092" w:rsidP="00F86AB5">
            <w:pPr>
              <w:rPr>
                <w:b/>
              </w:rPr>
            </w:pPr>
          </w:p>
        </w:tc>
        <w:tc>
          <w:tcPr>
            <w:tcW w:w="1195" w:type="dxa"/>
            <w:vMerge w:val="restart"/>
            <w:tcBorders>
              <w:top w:val="single" w:sz="12" w:space="0" w:color="auto"/>
            </w:tcBorders>
          </w:tcPr>
          <w:p w:rsidR="00D10092" w:rsidRPr="00B8268E" w:rsidRDefault="00D10092" w:rsidP="00F86AB5">
            <w:pPr>
              <w:jc w:val="center"/>
              <w:rPr>
                <w:b/>
              </w:rPr>
            </w:pPr>
            <w:r>
              <w:rPr>
                <w:b/>
              </w:rPr>
              <w:t>Years of exposure</w:t>
            </w:r>
          </w:p>
        </w:tc>
        <w:tc>
          <w:tcPr>
            <w:tcW w:w="817" w:type="dxa"/>
            <w:vMerge w:val="restart"/>
            <w:tcBorders>
              <w:top w:val="single" w:sz="12" w:space="0" w:color="auto"/>
            </w:tcBorders>
            <w:vAlign w:val="center"/>
          </w:tcPr>
          <w:p w:rsidR="00D10092" w:rsidRPr="00B8268E" w:rsidRDefault="00D10092" w:rsidP="00F86AB5">
            <w:pPr>
              <w:jc w:val="center"/>
              <w:rPr>
                <w:b/>
              </w:rPr>
            </w:pPr>
            <w:r w:rsidRPr="00B8268E">
              <w:rPr>
                <w:b/>
              </w:rPr>
              <w:t>n</w:t>
            </w:r>
          </w:p>
        </w:tc>
        <w:tc>
          <w:tcPr>
            <w:tcW w:w="3827" w:type="dxa"/>
            <w:gridSpan w:val="2"/>
            <w:tcBorders>
              <w:top w:val="single" w:sz="12" w:space="0" w:color="auto"/>
            </w:tcBorders>
          </w:tcPr>
          <w:p w:rsidR="00D10092" w:rsidRDefault="00D10092" w:rsidP="00F86AB5">
            <w:pPr>
              <w:jc w:val="center"/>
              <w:rPr>
                <w:b/>
                <w:vertAlign w:val="superscript"/>
              </w:rPr>
            </w:pPr>
            <w:r>
              <w:rPr>
                <w:b/>
              </w:rPr>
              <w:t>Difference in total hip</w:t>
            </w:r>
            <w:r w:rsidRPr="00B8268E">
              <w:rPr>
                <w:b/>
              </w:rPr>
              <w:t xml:space="preserve"> BMD</w:t>
            </w:r>
            <w:r>
              <w:rPr>
                <w:b/>
                <w:vertAlign w:val="superscript"/>
              </w:rPr>
              <w:t>b</w:t>
            </w:r>
            <w:r>
              <w:rPr>
                <w:b/>
              </w:rPr>
              <w:t xml:space="preserve"> (g/cm</w:t>
            </w:r>
            <w:r>
              <w:rPr>
                <w:b/>
                <w:vertAlign w:val="superscript"/>
              </w:rPr>
              <w:t>2</w:t>
            </w:r>
            <w:r>
              <w:rPr>
                <w:b/>
              </w:rPr>
              <w:t>)</w:t>
            </w:r>
          </w:p>
          <w:p w:rsidR="00D10092" w:rsidRPr="009A1C0D" w:rsidRDefault="00D10092" w:rsidP="00F86AB5">
            <w:pPr>
              <w:rPr>
                <w:b/>
                <w:vertAlign w:val="superscript"/>
              </w:rPr>
            </w:pPr>
          </w:p>
        </w:tc>
      </w:tr>
      <w:tr w:rsidR="00D10092" w:rsidTr="00550FED">
        <w:tc>
          <w:tcPr>
            <w:tcW w:w="2717" w:type="dxa"/>
            <w:vMerge/>
            <w:tcBorders>
              <w:bottom w:val="single" w:sz="12" w:space="0" w:color="auto"/>
            </w:tcBorders>
          </w:tcPr>
          <w:p w:rsidR="00D10092" w:rsidRPr="00B8268E" w:rsidRDefault="00D10092" w:rsidP="00F86AB5">
            <w:pPr>
              <w:rPr>
                <w:b/>
              </w:rPr>
            </w:pPr>
          </w:p>
        </w:tc>
        <w:tc>
          <w:tcPr>
            <w:tcW w:w="234" w:type="dxa"/>
            <w:vMerge/>
            <w:tcBorders>
              <w:bottom w:val="single" w:sz="12" w:space="0" w:color="auto"/>
            </w:tcBorders>
          </w:tcPr>
          <w:p w:rsidR="00D10092" w:rsidRPr="00B8268E" w:rsidRDefault="00D10092" w:rsidP="00F86AB5">
            <w:pPr>
              <w:rPr>
                <w:b/>
              </w:rPr>
            </w:pPr>
          </w:p>
        </w:tc>
        <w:tc>
          <w:tcPr>
            <w:tcW w:w="1195" w:type="dxa"/>
            <w:vMerge/>
            <w:tcBorders>
              <w:bottom w:val="single" w:sz="12" w:space="0" w:color="auto"/>
            </w:tcBorders>
          </w:tcPr>
          <w:p w:rsidR="00D10092" w:rsidRPr="00B8268E" w:rsidRDefault="00D10092" w:rsidP="00F86AB5">
            <w:pPr>
              <w:rPr>
                <w:b/>
              </w:rPr>
            </w:pPr>
          </w:p>
        </w:tc>
        <w:tc>
          <w:tcPr>
            <w:tcW w:w="674" w:type="dxa"/>
            <w:vMerge/>
            <w:tcBorders>
              <w:bottom w:val="single" w:sz="12" w:space="0" w:color="auto"/>
            </w:tcBorders>
          </w:tcPr>
          <w:p w:rsidR="00D10092" w:rsidRPr="00B8268E" w:rsidRDefault="00D10092" w:rsidP="00F86AB5">
            <w:pPr>
              <w:rPr>
                <w:b/>
              </w:rPr>
            </w:pPr>
          </w:p>
        </w:tc>
        <w:tc>
          <w:tcPr>
            <w:tcW w:w="1560" w:type="dxa"/>
            <w:tcBorders>
              <w:bottom w:val="single" w:sz="12" w:space="0" w:color="auto"/>
            </w:tcBorders>
          </w:tcPr>
          <w:p w:rsidR="00D10092" w:rsidRPr="00B8268E" w:rsidRDefault="00D10092" w:rsidP="00F86AB5">
            <w:pPr>
              <w:rPr>
                <w:b/>
              </w:rPr>
            </w:pPr>
            <w:r w:rsidRPr="00B8268E">
              <w:rPr>
                <w:b/>
              </w:rPr>
              <w:t>Mean</w:t>
            </w:r>
          </w:p>
        </w:tc>
        <w:tc>
          <w:tcPr>
            <w:tcW w:w="2105" w:type="dxa"/>
            <w:tcBorders>
              <w:bottom w:val="single" w:sz="12" w:space="0" w:color="auto"/>
            </w:tcBorders>
          </w:tcPr>
          <w:p w:rsidR="00D10092" w:rsidRPr="00B8268E" w:rsidRDefault="00D10092" w:rsidP="00F86AB5">
            <w:pPr>
              <w:rPr>
                <w:b/>
              </w:rPr>
            </w:pPr>
            <w:r w:rsidRPr="00B8268E">
              <w:rPr>
                <w:b/>
              </w:rPr>
              <w:t>95%CI</w:t>
            </w:r>
          </w:p>
        </w:tc>
        <w:tc>
          <w:tcPr>
            <w:tcW w:w="277" w:type="dxa"/>
            <w:vMerge/>
            <w:tcBorders>
              <w:bottom w:val="single" w:sz="12" w:space="0" w:color="auto"/>
            </w:tcBorders>
          </w:tcPr>
          <w:p w:rsidR="00D10092" w:rsidRPr="00B8268E" w:rsidRDefault="00D10092" w:rsidP="00F86AB5">
            <w:pPr>
              <w:rPr>
                <w:b/>
              </w:rPr>
            </w:pPr>
          </w:p>
        </w:tc>
        <w:tc>
          <w:tcPr>
            <w:tcW w:w="1195" w:type="dxa"/>
            <w:vMerge/>
            <w:tcBorders>
              <w:bottom w:val="single" w:sz="12" w:space="0" w:color="auto"/>
            </w:tcBorders>
          </w:tcPr>
          <w:p w:rsidR="00D10092" w:rsidRPr="00B8268E" w:rsidRDefault="00D10092" w:rsidP="00F86AB5">
            <w:pPr>
              <w:rPr>
                <w:b/>
              </w:rPr>
            </w:pPr>
          </w:p>
        </w:tc>
        <w:tc>
          <w:tcPr>
            <w:tcW w:w="817" w:type="dxa"/>
            <w:vMerge/>
            <w:tcBorders>
              <w:bottom w:val="single" w:sz="12" w:space="0" w:color="auto"/>
            </w:tcBorders>
          </w:tcPr>
          <w:p w:rsidR="00D10092" w:rsidRPr="00B8268E" w:rsidRDefault="00D10092" w:rsidP="00F86AB5">
            <w:pPr>
              <w:rPr>
                <w:b/>
              </w:rPr>
            </w:pPr>
          </w:p>
        </w:tc>
        <w:tc>
          <w:tcPr>
            <w:tcW w:w="1700" w:type="dxa"/>
            <w:tcBorders>
              <w:bottom w:val="single" w:sz="12" w:space="0" w:color="auto"/>
            </w:tcBorders>
          </w:tcPr>
          <w:p w:rsidR="00D10092" w:rsidRPr="00B8268E" w:rsidRDefault="00D10092" w:rsidP="00F86AB5">
            <w:pPr>
              <w:rPr>
                <w:b/>
              </w:rPr>
            </w:pPr>
            <w:r w:rsidRPr="00B8268E">
              <w:rPr>
                <w:b/>
              </w:rPr>
              <w:t>Mean</w:t>
            </w:r>
          </w:p>
        </w:tc>
        <w:tc>
          <w:tcPr>
            <w:tcW w:w="2127" w:type="dxa"/>
            <w:tcBorders>
              <w:bottom w:val="single" w:sz="12" w:space="0" w:color="auto"/>
            </w:tcBorders>
          </w:tcPr>
          <w:p w:rsidR="00D10092" w:rsidRPr="00B8268E" w:rsidRDefault="00D10092" w:rsidP="00F86AB5">
            <w:pPr>
              <w:rPr>
                <w:b/>
              </w:rPr>
            </w:pPr>
            <w:r w:rsidRPr="00B8268E">
              <w:rPr>
                <w:b/>
              </w:rPr>
              <w:t>95%CI</w:t>
            </w:r>
          </w:p>
        </w:tc>
      </w:tr>
      <w:tr w:rsidR="00D10092" w:rsidTr="00550FED">
        <w:tc>
          <w:tcPr>
            <w:tcW w:w="2717" w:type="dxa"/>
            <w:tcBorders>
              <w:top w:val="single" w:sz="12" w:space="0" w:color="auto"/>
            </w:tcBorders>
          </w:tcPr>
          <w:p w:rsidR="00D10092" w:rsidRPr="00B8268E" w:rsidRDefault="00D10092" w:rsidP="00F86AB5"/>
        </w:tc>
        <w:tc>
          <w:tcPr>
            <w:tcW w:w="234" w:type="dxa"/>
            <w:tcBorders>
              <w:top w:val="single" w:sz="12" w:space="0" w:color="auto"/>
            </w:tcBorders>
          </w:tcPr>
          <w:p w:rsidR="00D10092" w:rsidRPr="00B8268E" w:rsidRDefault="00D10092" w:rsidP="00F86AB5"/>
        </w:tc>
        <w:tc>
          <w:tcPr>
            <w:tcW w:w="1195" w:type="dxa"/>
            <w:tcBorders>
              <w:top w:val="single" w:sz="12" w:space="0" w:color="auto"/>
            </w:tcBorders>
          </w:tcPr>
          <w:p w:rsidR="00D10092" w:rsidRPr="00B8268E" w:rsidRDefault="00D10092" w:rsidP="00F86AB5"/>
        </w:tc>
        <w:tc>
          <w:tcPr>
            <w:tcW w:w="674" w:type="dxa"/>
            <w:tcBorders>
              <w:top w:val="single" w:sz="12" w:space="0" w:color="auto"/>
            </w:tcBorders>
          </w:tcPr>
          <w:p w:rsidR="00D10092" w:rsidRPr="00B8268E" w:rsidRDefault="00D10092" w:rsidP="00F86AB5"/>
        </w:tc>
        <w:tc>
          <w:tcPr>
            <w:tcW w:w="1560" w:type="dxa"/>
            <w:tcBorders>
              <w:top w:val="single" w:sz="12" w:space="0" w:color="auto"/>
            </w:tcBorders>
          </w:tcPr>
          <w:p w:rsidR="00D10092" w:rsidRPr="00B8268E" w:rsidRDefault="00D10092" w:rsidP="00F86AB5"/>
        </w:tc>
        <w:tc>
          <w:tcPr>
            <w:tcW w:w="2105" w:type="dxa"/>
            <w:tcBorders>
              <w:top w:val="single" w:sz="12" w:space="0" w:color="auto"/>
            </w:tcBorders>
          </w:tcPr>
          <w:p w:rsidR="00D10092" w:rsidRPr="00B8268E" w:rsidRDefault="00D10092" w:rsidP="00F86AB5"/>
        </w:tc>
        <w:tc>
          <w:tcPr>
            <w:tcW w:w="277" w:type="dxa"/>
            <w:tcBorders>
              <w:top w:val="single" w:sz="12" w:space="0" w:color="auto"/>
            </w:tcBorders>
          </w:tcPr>
          <w:p w:rsidR="00D10092" w:rsidRPr="00B8268E" w:rsidRDefault="00D10092" w:rsidP="00F86AB5"/>
        </w:tc>
        <w:tc>
          <w:tcPr>
            <w:tcW w:w="1195" w:type="dxa"/>
            <w:tcBorders>
              <w:top w:val="single" w:sz="12" w:space="0" w:color="auto"/>
            </w:tcBorders>
          </w:tcPr>
          <w:p w:rsidR="00D10092" w:rsidRPr="00B8268E" w:rsidRDefault="00D10092" w:rsidP="00F86AB5"/>
        </w:tc>
        <w:tc>
          <w:tcPr>
            <w:tcW w:w="817" w:type="dxa"/>
            <w:tcBorders>
              <w:top w:val="single" w:sz="12" w:space="0" w:color="auto"/>
            </w:tcBorders>
          </w:tcPr>
          <w:p w:rsidR="00D10092" w:rsidRPr="00B8268E" w:rsidRDefault="00D10092" w:rsidP="00F86AB5"/>
        </w:tc>
        <w:tc>
          <w:tcPr>
            <w:tcW w:w="1700" w:type="dxa"/>
            <w:tcBorders>
              <w:top w:val="single" w:sz="12" w:space="0" w:color="auto"/>
            </w:tcBorders>
          </w:tcPr>
          <w:p w:rsidR="00D10092" w:rsidRPr="00B8268E" w:rsidRDefault="00D10092" w:rsidP="00F86AB5"/>
        </w:tc>
        <w:tc>
          <w:tcPr>
            <w:tcW w:w="2127" w:type="dxa"/>
            <w:tcBorders>
              <w:top w:val="single" w:sz="12" w:space="0" w:color="auto"/>
            </w:tcBorders>
          </w:tcPr>
          <w:p w:rsidR="00D10092" w:rsidRPr="00B8268E" w:rsidRDefault="00D10092" w:rsidP="00F86AB5"/>
        </w:tc>
      </w:tr>
      <w:tr w:rsidR="00D10092" w:rsidTr="00550FED">
        <w:tc>
          <w:tcPr>
            <w:tcW w:w="2717" w:type="dxa"/>
            <w:vMerge w:val="restart"/>
          </w:tcPr>
          <w:p w:rsidR="00D10092" w:rsidRPr="00B8268E" w:rsidRDefault="00D10092" w:rsidP="00F86AB5">
            <w:r>
              <w:t>Standing/walking for ≥4 hours per day</w:t>
            </w:r>
          </w:p>
        </w:tc>
        <w:tc>
          <w:tcPr>
            <w:tcW w:w="234" w:type="dxa"/>
          </w:tcPr>
          <w:p w:rsidR="00D10092" w:rsidRPr="00B8268E" w:rsidRDefault="00D10092" w:rsidP="00F86AB5"/>
        </w:tc>
        <w:tc>
          <w:tcPr>
            <w:tcW w:w="1195" w:type="dxa"/>
          </w:tcPr>
          <w:p w:rsidR="00D10092" w:rsidRPr="00B8268E" w:rsidRDefault="00D10092" w:rsidP="00F86AB5">
            <w:r>
              <w:t>&lt;37</w:t>
            </w:r>
          </w:p>
        </w:tc>
        <w:tc>
          <w:tcPr>
            <w:tcW w:w="674" w:type="dxa"/>
          </w:tcPr>
          <w:p w:rsidR="00D10092" w:rsidRPr="00B8268E" w:rsidRDefault="00D10092" w:rsidP="00F86AB5">
            <w:r>
              <w:t>164</w:t>
            </w:r>
          </w:p>
        </w:tc>
        <w:tc>
          <w:tcPr>
            <w:tcW w:w="1560" w:type="dxa"/>
          </w:tcPr>
          <w:p w:rsidR="00D10092" w:rsidRPr="00B8268E" w:rsidRDefault="00D10092" w:rsidP="00F86AB5">
            <w:r>
              <w:t>Baseline</w:t>
            </w:r>
          </w:p>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r>
              <w:t>&lt;8.5</w:t>
            </w:r>
          </w:p>
        </w:tc>
        <w:tc>
          <w:tcPr>
            <w:tcW w:w="817" w:type="dxa"/>
          </w:tcPr>
          <w:p w:rsidR="00D10092" w:rsidRPr="00B8268E" w:rsidRDefault="00D10092" w:rsidP="00F86AB5">
            <w:r>
              <w:t>129</w:t>
            </w:r>
          </w:p>
        </w:tc>
        <w:tc>
          <w:tcPr>
            <w:tcW w:w="1700" w:type="dxa"/>
          </w:tcPr>
          <w:p w:rsidR="00D10092" w:rsidRPr="00B8268E" w:rsidRDefault="00D10092" w:rsidP="00F86AB5">
            <w:r>
              <w:t>Baseline</w:t>
            </w:r>
          </w:p>
        </w:tc>
        <w:tc>
          <w:tcPr>
            <w:tcW w:w="2127" w:type="dxa"/>
          </w:tcPr>
          <w:p w:rsidR="00D10092" w:rsidRPr="00B8268E" w:rsidRDefault="00D10092" w:rsidP="00F86AB5"/>
        </w:tc>
      </w:tr>
      <w:tr w:rsidR="00D10092" w:rsidTr="00550FED">
        <w:tc>
          <w:tcPr>
            <w:tcW w:w="2717" w:type="dxa"/>
            <w:vMerge/>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37-47</w:t>
            </w:r>
          </w:p>
        </w:tc>
        <w:tc>
          <w:tcPr>
            <w:tcW w:w="674" w:type="dxa"/>
          </w:tcPr>
          <w:p w:rsidR="00D10092" w:rsidRPr="00B8268E" w:rsidRDefault="00D10092" w:rsidP="00F86AB5">
            <w:r>
              <w:t>184</w:t>
            </w:r>
          </w:p>
        </w:tc>
        <w:tc>
          <w:tcPr>
            <w:tcW w:w="1560" w:type="dxa"/>
          </w:tcPr>
          <w:p w:rsidR="00D10092" w:rsidRPr="00B8268E" w:rsidRDefault="00D10092" w:rsidP="00F86AB5">
            <w:r>
              <w:t>-12.2</w:t>
            </w:r>
          </w:p>
        </w:tc>
        <w:tc>
          <w:tcPr>
            <w:tcW w:w="2105" w:type="dxa"/>
          </w:tcPr>
          <w:p w:rsidR="00D10092" w:rsidRPr="00B8268E" w:rsidRDefault="00D10092" w:rsidP="00F86AB5">
            <w:r>
              <w:t>-38.8 to 14.4</w:t>
            </w:r>
          </w:p>
        </w:tc>
        <w:tc>
          <w:tcPr>
            <w:tcW w:w="277" w:type="dxa"/>
          </w:tcPr>
          <w:p w:rsidR="00D10092" w:rsidRPr="00B8268E" w:rsidRDefault="00D10092" w:rsidP="00F86AB5"/>
        </w:tc>
        <w:tc>
          <w:tcPr>
            <w:tcW w:w="1195" w:type="dxa"/>
          </w:tcPr>
          <w:p w:rsidR="00D10092" w:rsidRPr="00B8268E" w:rsidRDefault="00D10092" w:rsidP="00F86AB5">
            <w:r>
              <w:t>8.5-22.5</w:t>
            </w:r>
          </w:p>
        </w:tc>
        <w:tc>
          <w:tcPr>
            <w:tcW w:w="817" w:type="dxa"/>
          </w:tcPr>
          <w:p w:rsidR="00D10092" w:rsidRPr="00B8268E" w:rsidRDefault="00D10092" w:rsidP="00F86AB5">
            <w:r>
              <w:t>123</w:t>
            </w:r>
          </w:p>
        </w:tc>
        <w:tc>
          <w:tcPr>
            <w:tcW w:w="1700" w:type="dxa"/>
          </w:tcPr>
          <w:p w:rsidR="00D10092" w:rsidRPr="00B8268E" w:rsidRDefault="00D10092" w:rsidP="00F86AB5">
            <w:r>
              <w:t>3.5</w:t>
            </w:r>
          </w:p>
        </w:tc>
        <w:tc>
          <w:tcPr>
            <w:tcW w:w="2127" w:type="dxa"/>
          </w:tcPr>
          <w:p w:rsidR="00D10092" w:rsidRPr="00B8268E" w:rsidRDefault="00D10092" w:rsidP="00F86AB5">
            <w:r>
              <w:t>-25.0 to 32.0</w:t>
            </w:r>
          </w:p>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&gt;47</w:t>
            </w:r>
          </w:p>
        </w:tc>
        <w:tc>
          <w:tcPr>
            <w:tcW w:w="674" w:type="dxa"/>
          </w:tcPr>
          <w:p w:rsidR="00D10092" w:rsidRPr="00B8268E" w:rsidRDefault="00D10092" w:rsidP="00F86AB5">
            <w:r>
              <w:t>140</w:t>
            </w:r>
          </w:p>
        </w:tc>
        <w:tc>
          <w:tcPr>
            <w:tcW w:w="1560" w:type="dxa"/>
          </w:tcPr>
          <w:p w:rsidR="00D10092" w:rsidRPr="00B8268E" w:rsidRDefault="00D10092" w:rsidP="00F86AB5">
            <w:r>
              <w:t>-22.7</w:t>
            </w:r>
          </w:p>
        </w:tc>
        <w:tc>
          <w:tcPr>
            <w:tcW w:w="2105" w:type="dxa"/>
          </w:tcPr>
          <w:p w:rsidR="00D10092" w:rsidRPr="00B8268E" w:rsidRDefault="00D10092" w:rsidP="00F86AB5">
            <w:r>
              <w:t>-52.7 to 7.3</w:t>
            </w:r>
          </w:p>
        </w:tc>
        <w:tc>
          <w:tcPr>
            <w:tcW w:w="277" w:type="dxa"/>
          </w:tcPr>
          <w:p w:rsidR="00D10092" w:rsidRPr="00B8268E" w:rsidRDefault="00D10092" w:rsidP="00F86AB5"/>
        </w:tc>
        <w:tc>
          <w:tcPr>
            <w:tcW w:w="1195" w:type="dxa"/>
          </w:tcPr>
          <w:p w:rsidR="00D10092" w:rsidRPr="00B8268E" w:rsidRDefault="00D10092" w:rsidP="00F86AB5">
            <w:r>
              <w:t>&gt;22.5</w:t>
            </w:r>
          </w:p>
        </w:tc>
        <w:tc>
          <w:tcPr>
            <w:tcW w:w="817" w:type="dxa"/>
          </w:tcPr>
          <w:p w:rsidR="00D10092" w:rsidRPr="00B8268E" w:rsidRDefault="00D10092" w:rsidP="00F86AB5">
            <w:r>
              <w:t>120</w:t>
            </w:r>
          </w:p>
        </w:tc>
        <w:tc>
          <w:tcPr>
            <w:tcW w:w="1700" w:type="dxa"/>
          </w:tcPr>
          <w:p w:rsidR="00D10092" w:rsidRPr="00B8268E" w:rsidRDefault="00D10092" w:rsidP="00F86AB5">
            <w:r>
              <w:t>-9.7</w:t>
            </w:r>
          </w:p>
        </w:tc>
        <w:tc>
          <w:tcPr>
            <w:tcW w:w="2127" w:type="dxa"/>
          </w:tcPr>
          <w:p w:rsidR="00D10092" w:rsidRPr="00B8268E" w:rsidRDefault="00D10092" w:rsidP="00F86AB5">
            <w:r>
              <w:t>-38.2 to 18.7</w:t>
            </w:r>
          </w:p>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tc>
        <w:tc>
          <w:tcPr>
            <w:tcW w:w="674" w:type="dxa"/>
          </w:tcPr>
          <w:p w:rsidR="00D10092" w:rsidRPr="00B8268E" w:rsidRDefault="00D10092" w:rsidP="00F86AB5"/>
        </w:tc>
        <w:tc>
          <w:tcPr>
            <w:tcW w:w="1560" w:type="dxa"/>
          </w:tcPr>
          <w:p w:rsidR="00D10092" w:rsidRPr="00B8268E" w:rsidRDefault="00D10092" w:rsidP="00F86AB5"/>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tc>
        <w:tc>
          <w:tcPr>
            <w:tcW w:w="817" w:type="dxa"/>
          </w:tcPr>
          <w:p w:rsidR="00D10092" w:rsidRPr="00B8268E" w:rsidRDefault="00D10092" w:rsidP="00F86AB5"/>
        </w:tc>
        <w:tc>
          <w:tcPr>
            <w:tcW w:w="1700" w:type="dxa"/>
          </w:tcPr>
          <w:p w:rsidR="00D10092" w:rsidRPr="00B8268E" w:rsidRDefault="00D10092" w:rsidP="00F86AB5"/>
        </w:tc>
        <w:tc>
          <w:tcPr>
            <w:tcW w:w="2127" w:type="dxa"/>
          </w:tcPr>
          <w:p w:rsidR="00D10092" w:rsidRPr="00B8268E" w:rsidRDefault="00D10092" w:rsidP="00F86AB5"/>
        </w:tc>
      </w:tr>
      <w:tr w:rsidR="00D10092" w:rsidTr="00550FED">
        <w:tc>
          <w:tcPr>
            <w:tcW w:w="2717" w:type="dxa"/>
          </w:tcPr>
          <w:p w:rsidR="00D10092" w:rsidRPr="00B8268E" w:rsidRDefault="00D10092" w:rsidP="00F86AB5">
            <w:r>
              <w:t>Lifting weights ≥25 kg</w:t>
            </w:r>
          </w:p>
        </w:tc>
        <w:tc>
          <w:tcPr>
            <w:tcW w:w="234" w:type="dxa"/>
          </w:tcPr>
          <w:p w:rsidR="00D10092" w:rsidRPr="00B8268E" w:rsidRDefault="00D10092" w:rsidP="00F86AB5"/>
        </w:tc>
        <w:tc>
          <w:tcPr>
            <w:tcW w:w="1195" w:type="dxa"/>
          </w:tcPr>
          <w:p w:rsidR="00D10092" w:rsidRPr="00B8268E" w:rsidRDefault="00D10092" w:rsidP="00F86AB5">
            <w:r>
              <w:t>&lt;17</w:t>
            </w:r>
          </w:p>
        </w:tc>
        <w:tc>
          <w:tcPr>
            <w:tcW w:w="674" w:type="dxa"/>
          </w:tcPr>
          <w:p w:rsidR="00D10092" w:rsidRPr="00B8268E" w:rsidRDefault="00D10092" w:rsidP="00F86AB5">
            <w:r>
              <w:t>165</w:t>
            </w:r>
          </w:p>
        </w:tc>
        <w:tc>
          <w:tcPr>
            <w:tcW w:w="1560" w:type="dxa"/>
          </w:tcPr>
          <w:p w:rsidR="00D10092" w:rsidRPr="00B8268E" w:rsidRDefault="00D10092" w:rsidP="00F86AB5">
            <w:r>
              <w:t>Baseline</w:t>
            </w:r>
          </w:p>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r>
              <w:t>0</w:t>
            </w:r>
          </w:p>
        </w:tc>
        <w:tc>
          <w:tcPr>
            <w:tcW w:w="817" w:type="dxa"/>
          </w:tcPr>
          <w:p w:rsidR="00D10092" w:rsidRPr="00B8268E" w:rsidRDefault="00D10092" w:rsidP="00F86AB5">
            <w:r>
              <w:t>247</w:t>
            </w:r>
          </w:p>
        </w:tc>
        <w:tc>
          <w:tcPr>
            <w:tcW w:w="1700" w:type="dxa"/>
          </w:tcPr>
          <w:p w:rsidR="00D10092" w:rsidRPr="00B8268E" w:rsidRDefault="00D10092" w:rsidP="00F86AB5">
            <w:r>
              <w:t>Baseline</w:t>
            </w:r>
          </w:p>
        </w:tc>
        <w:tc>
          <w:tcPr>
            <w:tcW w:w="2127" w:type="dxa"/>
          </w:tcPr>
          <w:p w:rsidR="00D10092" w:rsidRPr="00B8268E" w:rsidRDefault="00D10092" w:rsidP="00F86AB5"/>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17-44</w:t>
            </w:r>
          </w:p>
        </w:tc>
        <w:tc>
          <w:tcPr>
            <w:tcW w:w="674" w:type="dxa"/>
          </w:tcPr>
          <w:p w:rsidR="00D10092" w:rsidRPr="00B8268E" w:rsidRDefault="00D10092" w:rsidP="00F86AB5">
            <w:r>
              <w:t>171</w:t>
            </w:r>
          </w:p>
        </w:tc>
        <w:tc>
          <w:tcPr>
            <w:tcW w:w="1560" w:type="dxa"/>
          </w:tcPr>
          <w:p w:rsidR="00D10092" w:rsidRPr="00B8268E" w:rsidRDefault="00D10092" w:rsidP="00F86AB5">
            <w:r>
              <w:t>-17.0</w:t>
            </w:r>
          </w:p>
        </w:tc>
        <w:tc>
          <w:tcPr>
            <w:tcW w:w="2105" w:type="dxa"/>
          </w:tcPr>
          <w:p w:rsidR="00D10092" w:rsidRPr="00B8268E" w:rsidRDefault="00D10092" w:rsidP="00F86AB5">
            <w:r>
              <w:t>-44.5 to 10.5</w:t>
            </w:r>
          </w:p>
        </w:tc>
        <w:tc>
          <w:tcPr>
            <w:tcW w:w="277" w:type="dxa"/>
          </w:tcPr>
          <w:p w:rsidR="00D10092" w:rsidRPr="00B8268E" w:rsidRDefault="00D10092" w:rsidP="00F86AB5"/>
        </w:tc>
        <w:tc>
          <w:tcPr>
            <w:tcW w:w="1195" w:type="dxa"/>
          </w:tcPr>
          <w:p w:rsidR="00D10092" w:rsidRPr="00B8268E" w:rsidRDefault="00D10092" w:rsidP="00F86AB5">
            <w:r>
              <w:t>&gt;0</w:t>
            </w:r>
          </w:p>
        </w:tc>
        <w:tc>
          <w:tcPr>
            <w:tcW w:w="817" w:type="dxa"/>
          </w:tcPr>
          <w:p w:rsidR="00D10092" w:rsidRPr="00B8268E" w:rsidRDefault="00D10092" w:rsidP="00F86AB5">
            <w:r>
              <w:t>125</w:t>
            </w:r>
          </w:p>
        </w:tc>
        <w:tc>
          <w:tcPr>
            <w:tcW w:w="1700" w:type="dxa"/>
          </w:tcPr>
          <w:p w:rsidR="00D10092" w:rsidRPr="00B8268E" w:rsidRDefault="00D10092" w:rsidP="00F86AB5">
            <w:r>
              <w:t>-8.5</w:t>
            </w:r>
          </w:p>
        </w:tc>
        <w:tc>
          <w:tcPr>
            <w:tcW w:w="2127" w:type="dxa"/>
          </w:tcPr>
          <w:p w:rsidR="00D10092" w:rsidRPr="00B8268E" w:rsidRDefault="00D10092" w:rsidP="00F86AB5">
            <w:r>
              <w:t>-32.8 to 15.9</w:t>
            </w:r>
          </w:p>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&gt;44</w:t>
            </w:r>
          </w:p>
        </w:tc>
        <w:tc>
          <w:tcPr>
            <w:tcW w:w="674" w:type="dxa"/>
          </w:tcPr>
          <w:p w:rsidR="00D10092" w:rsidRPr="00B8268E" w:rsidRDefault="00D10092" w:rsidP="00F86AB5">
            <w:r>
              <w:t>152</w:t>
            </w:r>
          </w:p>
        </w:tc>
        <w:tc>
          <w:tcPr>
            <w:tcW w:w="1560" w:type="dxa"/>
          </w:tcPr>
          <w:p w:rsidR="00D10092" w:rsidRPr="00B8268E" w:rsidRDefault="00D10092" w:rsidP="00F86AB5">
            <w:r>
              <w:t>9.8</w:t>
            </w:r>
          </w:p>
        </w:tc>
        <w:tc>
          <w:tcPr>
            <w:tcW w:w="2105" w:type="dxa"/>
          </w:tcPr>
          <w:p w:rsidR="00D10092" w:rsidRPr="00B8268E" w:rsidRDefault="00D10092" w:rsidP="00F86AB5">
            <w:r>
              <w:t>-18.0 to 37.6</w:t>
            </w:r>
          </w:p>
        </w:tc>
        <w:tc>
          <w:tcPr>
            <w:tcW w:w="277" w:type="dxa"/>
          </w:tcPr>
          <w:p w:rsidR="00D10092" w:rsidRPr="00B8268E" w:rsidRDefault="00D10092" w:rsidP="00F86AB5"/>
        </w:tc>
        <w:tc>
          <w:tcPr>
            <w:tcW w:w="1195" w:type="dxa"/>
          </w:tcPr>
          <w:p w:rsidR="00D10092" w:rsidRPr="00B8268E" w:rsidRDefault="00D10092" w:rsidP="00F86AB5"/>
        </w:tc>
        <w:tc>
          <w:tcPr>
            <w:tcW w:w="817" w:type="dxa"/>
          </w:tcPr>
          <w:p w:rsidR="00D10092" w:rsidRPr="00B8268E" w:rsidRDefault="00D10092" w:rsidP="00F86AB5"/>
        </w:tc>
        <w:tc>
          <w:tcPr>
            <w:tcW w:w="1700" w:type="dxa"/>
          </w:tcPr>
          <w:p w:rsidR="00D10092" w:rsidRPr="00B8268E" w:rsidRDefault="00D10092" w:rsidP="00F86AB5"/>
        </w:tc>
        <w:tc>
          <w:tcPr>
            <w:tcW w:w="2127" w:type="dxa"/>
          </w:tcPr>
          <w:p w:rsidR="00D10092" w:rsidRPr="00B8268E" w:rsidRDefault="00D10092" w:rsidP="00F86AB5"/>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tc>
        <w:tc>
          <w:tcPr>
            <w:tcW w:w="674" w:type="dxa"/>
          </w:tcPr>
          <w:p w:rsidR="00D10092" w:rsidRPr="00B8268E" w:rsidRDefault="00D10092" w:rsidP="00F86AB5"/>
        </w:tc>
        <w:tc>
          <w:tcPr>
            <w:tcW w:w="1560" w:type="dxa"/>
          </w:tcPr>
          <w:p w:rsidR="00D10092" w:rsidRPr="00B8268E" w:rsidRDefault="00D10092" w:rsidP="00F86AB5"/>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tc>
        <w:tc>
          <w:tcPr>
            <w:tcW w:w="817" w:type="dxa"/>
          </w:tcPr>
          <w:p w:rsidR="00D10092" w:rsidRPr="00B8268E" w:rsidRDefault="00D10092" w:rsidP="00F86AB5"/>
        </w:tc>
        <w:tc>
          <w:tcPr>
            <w:tcW w:w="1700" w:type="dxa"/>
          </w:tcPr>
          <w:p w:rsidR="00D10092" w:rsidRPr="00B8268E" w:rsidRDefault="00D10092" w:rsidP="00F86AB5"/>
        </w:tc>
        <w:tc>
          <w:tcPr>
            <w:tcW w:w="2127" w:type="dxa"/>
          </w:tcPr>
          <w:p w:rsidR="00D10092" w:rsidRPr="00B8268E" w:rsidRDefault="00D10092" w:rsidP="00F86AB5"/>
        </w:tc>
      </w:tr>
      <w:tr w:rsidR="00D10092" w:rsidTr="00550FED">
        <w:tc>
          <w:tcPr>
            <w:tcW w:w="2717" w:type="dxa"/>
            <w:vMerge w:val="restart"/>
          </w:tcPr>
          <w:p w:rsidR="00D10092" w:rsidRPr="00B8268E" w:rsidRDefault="00D10092" w:rsidP="00F86AB5">
            <w:r>
              <w:t>Physical work sufficient to cause sweating</w:t>
            </w:r>
          </w:p>
        </w:tc>
        <w:tc>
          <w:tcPr>
            <w:tcW w:w="234" w:type="dxa"/>
          </w:tcPr>
          <w:p w:rsidR="00D10092" w:rsidRPr="00B8268E" w:rsidRDefault="00D10092" w:rsidP="00F86AB5"/>
        </w:tc>
        <w:tc>
          <w:tcPr>
            <w:tcW w:w="1195" w:type="dxa"/>
          </w:tcPr>
          <w:p w:rsidR="00D10092" w:rsidRPr="00B8268E" w:rsidRDefault="00D10092" w:rsidP="00F86AB5">
            <w:r>
              <w:t>&lt;5</w:t>
            </w:r>
          </w:p>
        </w:tc>
        <w:tc>
          <w:tcPr>
            <w:tcW w:w="674" w:type="dxa"/>
          </w:tcPr>
          <w:p w:rsidR="00D10092" w:rsidRPr="00B8268E" w:rsidRDefault="00D10092" w:rsidP="00F86AB5">
            <w:r>
              <w:t>166</w:t>
            </w:r>
          </w:p>
        </w:tc>
        <w:tc>
          <w:tcPr>
            <w:tcW w:w="1560" w:type="dxa"/>
          </w:tcPr>
          <w:p w:rsidR="00D10092" w:rsidRPr="00B8268E" w:rsidRDefault="00D10092" w:rsidP="00F86AB5">
            <w:r>
              <w:t>Baseline</w:t>
            </w:r>
          </w:p>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r>
              <w:t>0</w:t>
            </w:r>
          </w:p>
        </w:tc>
        <w:tc>
          <w:tcPr>
            <w:tcW w:w="817" w:type="dxa"/>
          </w:tcPr>
          <w:p w:rsidR="00D10092" w:rsidRPr="00B8268E" w:rsidRDefault="00D10092" w:rsidP="00F86AB5">
            <w:r>
              <w:t>319</w:t>
            </w:r>
          </w:p>
        </w:tc>
        <w:tc>
          <w:tcPr>
            <w:tcW w:w="1700" w:type="dxa"/>
          </w:tcPr>
          <w:p w:rsidR="00D10092" w:rsidRPr="00B8268E" w:rsidRDefault="00D10092" w:rsidP="00F86AB5">
            <w:r>
              <w:t>Baseline</w:t>
            </w:r>
          </w:p>
        </w:tc>
        <w:tc>
          <w:tcPr>
            <w:tcW w:w="2127" w:type="dxa"/>
          </w:tcPr>
          <w:p w:rsidR="00D10092" w:rsidRPr="00B8268E" w:rsidRDefault="00D10092" w:rsidP="00F86AB5"/>
        </w:tc>
      </w:tr>
      <w:tr w:rsidR="00D10092" w:rsidTr="00550FED">
        <w:tc>
          <w:tcPr>
            <w:tcW w:w="2717" w:type="dxa"/>
            <w:vMerge/>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5-39</w:t>
            </w:r>
          </w:p>
        </w:tc>
        <w:tc>
          <w:tcPr>
            <w:tcW w:w="674" w:type="dxa"/>
          </w:tcPr>
          <w:p w:rsidR="00D10092" w:rsidRPr="00B8268E" w:rsidRDefault="00D10092" w:rsidP="00F86AB5">
            <w:r>
              <w:t>161</w:t>
            </w:r>
          </w:p>
        </w:tc>
        <w:tc>
          <w:tcPr>
            <w:tcW w:w="1560" w:type="dxa"/>
          </w:tcPr>
          <w:p w:rsidR="00D10092" w:rsidRPr="00B8268E" w:rsidRDefault="00D10092" w:rsidP="00F86AB5">
            <w:r>
              <w:t>-30.3</w:t>
            </w:r>
          </w:p>
        </w:tc>
        <w:tc>
          <w:tcPr>
            <w:tcW w:w="2105" w:type="dxa"/>
          </w:tcPr>
          <w:p w:rsidR="00D10092" w:rsidRPr="00B8268E" w:rsidRDefault="00D10092" w:rsidP="00F86AB5">
            <w:r>
              <w:t>-57.6 to -3.0</w:t>
            </w:r>
          </w:p>
        </w:tc>
        <w:tc>
          <w:tcPr>
            <w:tcW w:w="277" w:type="dxa"/>
          </w:tcPr>
          <w:p w:rsidR="00D10092" w:rsidRPr="00B8268E" w:rsidRDefault="00D10092" w:rsidP="00F86AB5"/>
        </w:tc>
        <w:tc>
          <w:tcPr>
            <w:tcW w:w="1195" w:type="dxa"/>
          </w:tcPr>
          <w:p w:rsidR="00D10092" w:rsidRPr="00B8268E" w:rsidRDefault="00D10092" w:rsidP="00F86AB5">
            <w:r>
              <w:t>&gt;0</w:t>
            </w:r>
          </w:p>
        </w:tc>
        <w:tc>
          <w:tcPr>
            <w:tcW w:w="817" w:type="dxa"/>
          </w:tcPr>
          <w:p w:rsidR="00D10092" w:rsidRPr="00B8268E" w:rsidRDefault="00D10092" w:rsidP="00F86AB5">
            <w:r>
              <w:t>53</w:t>
            </w:r>
          </w:p>
        </w:tc>
        <w:tc>
          <w:tcPr>
            <w:tcW w:w="1700" w:type="dxa"/>
          </w:tcPr>
          <w:p w:rsidR="00D10092" w:rsidRPr="00B8268E" w:rsidRDefault="00D10092" w:rsidP="00F86AB5">
            <w:r>
              <w:t>1.6</w:t>
            </w:r>
          </w:p>
        </w:tc>
        <w:tc>
          <w:tcPr>
            <w:tcW w:w="2127" w:type="dxa"/>
          </w:tcPr>
          <w:p w:rsidR="00D10092" w:rsidRPr="00B8268E" w:rsidRDefault="00D10092" w:rsidP="00F86AB5">
            <w:r>
              <w:t>-32.3 to 35.5</w:t>
            </w:r>
          </w:p>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&gt;39</w:t>
            </w:r>
          </w:p>
        </w:tc>
        <w:tc>
          <w:tcPr>
            <w:tcW w:w="674" w:type="dxa"/>
          </w:tcPr>
          <w:p w:rsidR="00D10092" w:rsidRPr="00B8268E" w:rsidRDefault="00D10092" w:rsidP="00F86AB5">
            <w:r>
              <w:t>161</w:t>
            </w:r>
          </w:p>
        </w:tc>
        <w:tc>
          <w:tcPr>
            <w:tcW w:w="1560" w:type="dxa"/>
          </w:tcPr>
          <w:p w:rsidR="00D10092" w:rsidRPr="00B8268E" w:rsidRDefault="00D10092" w:rsidP="00F86AB5">
            <w:r>
              <w:t>-24.4</w:t>
            </w:r>
          </w:p>
        </w:tc>
        <w:tc>
          <w:tcPr>
            <w:tcW w:w="2105" w:type="dxa"/>
          </w:tcPr>
          <w:p w:rsidR="00D10092" w:rsidRPr="00B8268E" w:rsidRDefault="00D10092" w:rsidP="00F86AB5">
            <w:r>
              <w:t>-51.7 to 3.0</w:t>
            </w:r>
          </w:p>
        </w:tc>
        <w:tc>
          <w:tcPr>
            <w:tcW w:w="277" w:type="dxa"/>
          </w:tcPr>
          <w:p w:rsidR="00D10092" w:rsidRPr="00B8268E" w:rsidRDefault="00D10092" w:rsidP="00F86AB5"/>
        </w:tc>
        <w:tc>
          <w:tcPr>
            <w:tcW w:w="1195" w:type="dxa"/>
          </w:tcPr>
          <w:p w:rsidR="00D10092" w:rsidRPr="00B8268E" w:rsidRDefault="00D10092" w:rsidP="00F86AB5"/>
        </w:tc>
        <w:tc>
          <w:tcPr>
            <w:tcW w:w="817" w:type="dxa"/>
          </w:tcPr>
          <w:p w:rsidR="00D10092" w:rsidRPr="00B8268E" w:rsidRDefault="00D10092" w:rsidP="00F86AB5"/>
        </w:tc>
        <w:tc>
          <w:tcPr>
            <w:tcW w:w="1700" w:type="dxa"/>
          </w:tcPr>
          <w:p w:rsidR="00D10092" w:rsidRPr="00B8268E" w:rsidRDefault="00D10092" w:rsidP="00F86AB5"/>
        </w:tc>
        <w:tc>
          <w:tcPr>
            <w:tcW w:w="2127" w:type="dxa"/>
          </w:tcPr>
          <w:p w:rsidR="00D10092" w:rsidRPr="00B8268E" w:rsidRDefault="00D10092" w:rsidP="00F86AB5"/>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tc>
        <w:tc>
          <w:tcPr>
            <w:tcW w:w="674" w:type="dxa"/>
          </w:tcPr>
          <w:p w:rsidR="00D10092" w:rsidRPr="00B8268E" w:rsidRDefault="00D10092" w:rsidP="00F86AB5"/>
        </w:tc>
        <w:tc>
          <w:tcPr>
            <w:tcW w:w="1560" w:type="dxa"/>
          </w:tcPr>
          <w:p w:rsidR="00D10092" w:rsidRPr="00B8268E" w:rsidRDefault="00D10092" w:rsidP="00F86AB5"/>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tc>
        <w:tc>
          <w:tcPr>
            <w:tcW w:w="817" w:type="dxa"/>
          </w:tcPr>
          <w:p w:rsidR="00D10092" w:rsidRPr="00B8268E" w:rsidRDefault="00D10092" w:rsidP="00F86AB5"/>
        </w:tc>
        <w:tc>
          <w:tcPr>
            <w:tcW w:w="1700" w:type="dxa"/>
          </w:tcPr>
          <w:p w:rsidR="00D10092" w:rsidRPr="00B8268E" w:rsidRDefault="00D10092" w:rsidP="00F86AB5"/>
        </w:tc>
        <w:tc>
          <w:tcPr>
            <w:tcW w:w="2127" w:type="dxa"/>
          </w:tcPr>
          <w:p w:rsidR="00D10092" w:rsidRPr="00B8268E" w:rsidRDefault="00D10092" w:rsidP="00F86AB5"/>
        </w:tc>
      </w:tr>
      <w:tr w:rsidR="00D10092" w:rsidTr="00550FED">
        <w:tc>
          <w:tcPr>
            <w:tcW w:w="2717" w:type="dxa"/>
          </w:tcPr>
          <w:p w:rsidR="00D10092" w:rsidRPr="00B8268E" w:rsidRDefault="00D10092" w:rsidP="00F86AB5">
            <w:r>
              <w:t>Manual work</w:t>
            </w:r>
          </w:p>
        </w:tc>
        <w:tc>
          <w:tcPr>
            <w:tcW w:w="234" w:type="dxa"/>
          </w:tcPr>
          <w:p w:rsidR="00D10092" w:rsidRPr="00B8268E" w:rsidRDefault="00D10092" w:rsidP="00F86AB5"/>
        </w:tc>
        <w:tc>
          <w:tcPr>
            <w:tcW w:w="1195" w:type="dxa"/>
          </w:tcPr>
          <w:p w:rsidR="00D10092" w:rsidRPr="00B8268E" w:rsidRDefault="00D10092" w:rsidP="00F86AB5">
            <w:r>
              <w:t>&lt;24</w:t>
            </w:r>
          </w:p>
        </w:tc>
        <w:tc>
          <w:tcPr>
            <w:tcW w:w="674" w:type="dxa"/>
          </w:tcPr>
          <w:p w:rsidR="00D10092" w:rsidRPr="00B8268E" w:rsidRDefault="00D10092" w:rsidP="00F86AB5">
            <w:r>
              <w:t>165</w:t>
            </w:r>
          </w:p>
        </w:tc>
        <w:tc>
          <w:tcPr>
            <w:tcW w:w="1560" w:type="dxa"/>
          </w:tcPr>
          <w:p w:rsidR="00D10092" w:rsidRPr="00B8268E" w:rsidRDefault="00D10092" w:rsidP="00F86AB5">
            <w:r>
              <w:t>Baseline</w:t>
            </w:r>
          </w:p>
        </w:tc>
        <w:tc>
          <w:tcPr>
            <w:tcW w:w="2105" w:type="dxa"/>
          </w:tcPr>
          <w:p w:rsidR="00D10092" w:rsidRPr="00B8268E" w:rsidRDefault="00D10092" w:rsidP="00F86AB5"/>
        </w:tc>
        <w:tc>
          <w:tcPr>
            <w:tcW w:w="277" w:type="dxa"/>
          </w:tcPr>
          <w:p w:rsidR="00D10092" w:rsidRPr="00B8268E" w:rsidRDefault="00D10092" w:rsidP="00F86AB5"/>
        </w:tc>
        <w:tc>
          <w:tcPr>
            <w:tcW w:w="1195" w:type="dxa"/>
          </w:tcPr>
          <w:p w:rsidR="00D10092" w:rsidRPr="00B8268E" w:rsidRDefault="00D10092" w:rsidP="00F86AB5">
            <w:r>
              <w:t>&lt;0.5</w:t>
            </w:r>
          </w:p>
        </w:tc>
        <w:tc>
          <w:tcPr>
            <w:tcW w:w="817" w:type="dxa"/>
          </w:tcPr>
          <w:p w:rsidR="00D10092" w:rsidRPr="00B8268E" w:rsidRDefault="00D10092" w:rsidP="00F86AB5">
            <w:r>
              <w:t>128</w:t>
            </w:r>
          </w:p>
        </w:tc>
        <w:tc>
          <w:tcPr>
            <w:tcW w:w="1700" w:type="dxa"/>
          </w:tcPr>
          <w:p w:rsidR="00D10092" w:rsidRPr="00B8268E" w:rsidRDefault="00D10092" w:rsidP="00F86AB5">
            <w:r>
              <w:t>Baseline</w:t>
            </w:r>
          </w:p>
        </w:tc>
        <w:tc>
          <w:tcPr>
            <w:tcW w:w="2127" w:type="dxa"/>
          </w:tcPr>
          <w:p w:rsidR="00D10092" w:rsidRPr="00B8268E" w:rsidRDefault="00D10092" w:rsidP="00F86AB5"/>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24-46</w:t>
            </w:r>
          </w:p>
        </w:tc>
        <w:tc>
          <w:tcPr>
            <w:tcW w:w="674" w:type="dxa"/>
          </w:tcPr>
          <w:p w:rsidR="00D10092" w:rsidRPr="00B8268E" w:rsidRDefault="00D10092" w:rsidP="00F86AB5">
            <w:r>
              <w:t>166</w:t>
            </w:r>
          </w:p>
        </w:tc>
        <w:tc>
          <w:tcPr>
            <w:tcW w:w="1560" w:type="dxa"/>
          </w:tcPr>
          <w:p w:rsidR="00D10092" w:rsidRPr="00B8268E" w:rsidRDefault="00D10092" w:rsidP="00F86AB5">
            <w:r>
              <w:t>-9.8</w:t>
            </w:r>
          </w:p>
        </w:tc>
        <w:tc>
          <w:tcPr>
            <w:tcW w:w="2105" w:type="dxa"/>
          </w:tcPr>
          <w:p w:rsidR="00D10092" w:rsidRPr="00B8268E" w:rsidRDefault="00D10092" w:rsidP="00F86AB5">
            <w:r>
              <w:t>-37.7 to 18.1</w:t>
            </w:r>
          </w:p>
        </w:tc>
        <w:tc>
          <w:tcPr>
            <w:tcW w:w="277" w:type="dxa"/>
          </w:tcPr>
          <w:p w:rsidR="00D10092" w:rsidRPr="00B8268E" w:rsidRDefault="00D10092" w:rsidP="00F86AB5"/>
        </w:tc>
        <w:tc>
          <w:tcPr>
            <w:tcW w:w="1195" w:type="dxa"/>
          </w:tcPr>
          <w:p w:rsidR="00D10092" w:rsidRPr="00B8268E" w:rsidRDefault="00D10092" w:rsidP="00F86AB5">
            <w:r>
              <w:t>0.5-15.5</w:t>
            </w:r>
          </w:p>
        </w:tc>
        <w:tc>
          <w:tcPr>
            <w:tcW w:w="817" w:type="dxa"/>
          </w:tcPr>
          <w:p w:rsidR="00D10092" w:rsidRPr="00B8268E" w:rsidRDefault="00D10092" w:rsidP="00F86AB5">
            <w:r>
              <w:t>120</w:t>
            </w:r>
          </w:p>
        </w:tc>
        <w:tc>
          <w:tcPr>
            <w:tcW w:w="1700" w:type="dxa"/>
          </w:tcPr>
          <w:p w:rsidR="00D10092" w:rsidRPr="00B8268E" w:rsidRDefault="00D10092" w:rsidP="00F86AB5">
            <w:r>
              <w:t>-3.5</w:t>
            </w:r>
          </w:p>
        </w:tc>
        <w:tc>
          <w:tcPr>
            <w:tcW w:w="2127" w:type="dxa"/>
          </w:tcPr>
          <w:p w:rsidR="00D10092" w:rsidRPr="00B8268E" w:rsidRDefault="00D10092" w:rsidP="00F86AB5">
            <w:r>
              <w:t>-32.1 to 25.1</w:t>
            </w:r>
          </w:p>
        </w:tc>
      </w:tr>
      <w:tr w:rsidR="00D10092" w:rsidTr="00550FED">
        <w:tc>
          <w:tcPr>
            <w:tcW w:w="2717" w:type="dxa"/>
          </w:tcPr>
          <w:p w:rsidR="00D10092" w:rsidRPr="00B8268E" w:rsidRDefault="00D10092" w:rsidP="00F86AB5"/>
        </w:tc>
        <w:tc>
          <w:tcPr>
            <w:tcW w:w="234" w:type="dxa"/>
          </w:tcPr>
          <w:p w:rsidR="00D10092" w:rsidRPr="00B8268E" w:rsidRDefault="00D10092" w:rsidP="00F86AB5"/>
        </w:tc>
        <w:tc>
          <w:tcPr>
            <w:tcW w:w="1195" w:type="dxa"/>
          </w:tcPr>
          <w:p w:rsidR="00D10092" w:rsidRPr="00B8268E" w:rsidRDefault="00D10092" w:rsidP="00F86AB5">
            <w:r>
              <w:t>&gt;46</w:t>
            </w:r>
          </w:p>
        </w:tc>
        <w:tc>
          <w:tcPr>
            <w:tcW w:w="674" w:type="dxa"/>
          </w:tcPr>
          <w:p w:rsidR="00D10092" w:rsidRPr="00B8268E" w:rsidRDefault="00D10092" w:rsidP="00F86AB5">
            <w:r>
              <w:t>157</w:t>
            </w:r>
          </w:p>
        </w:tc>
        <w:tc>
          <w:tcPr>
            <w:tcW w:w="1560" w:type="dxa"/>
          </w:tcPr>
          <w:p w:rsidR="00D10092" w:rsidRPr="00B8268E" w:rsidRDefault="00D10092" w:rsidP="00F86AB5">
            <w:r>
              <w:t>-5.1</w:t>
            </w:r>
          </w:p>
        </w:tc>
        <w:tc>
          <w:tcPr>
            <w:tcW w:w="2105" w:type="dxa"/>
          </w:tcPr>
          <w:p w:rsidR="00D10092" w:rsidRPr="00B8268E" w:rsidRDefault="00D10092" w:rsidP="00F86AB5">
            <w:r>
              <w:t>-33.3 to 23.1</w:t>
            </w:r>
          </w:p>
        </w:tc>
        <w:tc>
          <w:tcPr>
            <w:tcW w:w="277" w:type="dxa"/>
          </w:tcPr>
          <w:p w:rsidR="00D10092" w:rsidRPr="00B8268E" w:rsidRDefault="00D10092" w:rsidP="00F86AB5"/>
        </w:tc>
        <w:tc>
          <w:tcPr>
            <w:tcW w:w="1195" w:type="dxa"/>
          </w:tcPr>
          <w:p w:rsidR="00D10092" w:rsidRPr="00B8268E" w:rsidRDefault="00D10092" w:rsidP="00F86AB5">
            <w:r>
              <w:t>&gt;15.5</w:t>
            </w:r>
          </w:p>
        </w:tc>
        <w:tc>
          <w:tcPr>
            <w:tcW w:w="817" w:type="dxa"/>
          </w:tcPr>
          <w:p w:rsidR="00D10092" w:rsidRPr="00B8268E" w:rsidRDefault="00D10092" w:rsidP="00F86AB5">
            <w:r>
              <w:t>124</w:t>
            </w:r>
          </w:p>
        </w:tc>
        <w:tc>
          <w:tcPr>
            <w:tcW w:w="1700" w:type="dxa"/>
          </w:tcPr>
          <w:p w:rsidR="00D10092" w:rsidRPr="00B8268E" w:rsidRDefault="00D10092" w:rsidP="00F86AB5">
            <w:r>
              <w:t>-4.4</w:t>
            </w:r>
          </w:p>
        </w:tc>
        <w:tc>
          <w:tcPr>
            <w:tcW w:w="2127" w:type="dxa"/>
          </w:tcPr>
          <w:p w:rsidR="00D10092" w:rsidRPr="00B8268E" w:rsidRDefault="00D10092" w:rsidP="00F86AB5">
            <w:r>
              <w:t>-33.3 to 24.6</w:t>
            </w:r>
          </w:p>
        </w:tc>
      </w:tr>
      <w:tr w:rsidR="00D10092" w:rsidTr="00550FED">
        <w:tc>
          <w:tcPr>
            <w:tcW w:w="2717" w:type="dxa"/>
            <w:tcBorders>
              <w:bottom w:val="single" w:sz="12" w:space="0" w:color="auto"/>
            </w:tcBorders>
          </w:tcPr>
          <w:p w:rsidR="00D10092" w:rsidRPr="00B8268E" w:rsidRDefault="00D10092" w:rsidP="00F86AB5"/>
        </w:tc>
        <w:tc>
          <w:tcPr>
            <w:tcW w:w="234" w:type="dxa"/>
            <w:tcBorders>
              <w:bottom w:val="single" w:sz="12" w:space="0" w:color="auto"/>
            </w:tcBorders>
          </w:tcPr>
          <w:p w:rsidR="00D10092" w:rsidRPr="00B8268E" w:rsidRDefault="00D10092" w:rsidP="00F86AB5"/>
        </w:tc>
        <w:tc>
          <w:tcPr>
            <w:tcW w:w="1195" w:type="dxa"/>
            <w:tcBorders>
              <w:bottom w:val="single" w:sz="12" w:space="0" w:color="auto"/>
            </w:tcBorders>
          </w:tcPr>
          <w:p w:rsidR="00D10092" w:rsidRPr="00B8268E" w:rsidRDefault="00D10092" w:rsidP="00F86AB5"/>
        </w:tc>
        <w:tc>
          <w:tcPr>
            <w:tcW w:w="674" w:type="dxa"/>
            <w:tcBorders>
              <w:bottom w:val="single" w:sz="12" w:space="0" w:color="auto"/>
            </w:tcBorders>
          </w:tcPr>
          <w:p w:rsidR="00D10092" w:rsidRPr="00B8268E" w:rsidRDefault="00D10092" w:rsidP="00F86AB5"/>
        </w:tc>
        <w:tc>
          <w:tcPr>
            <w:tcW w:w="1560" w:type="dxa"/>
            <w:tcBorders>
              <w:bottom w:val="single" w:sz="12" w:space="0" w:color="auto"/>
            </w:tcBorders>
          </w:tcPr>
          <w:p w:rsidR="00D10092" w:rsidRPr="00B8268E" w:rsidRDefault="00D10092" w:rsidP="00F86AB5"/>
        </w:tc>
        <w:tc>
          <w:tcPr>
            <w:tcW w:w="2105" w:type="dxa"/>
            <w:tcBorders>
              <w:bottom w:val="single" w:sz="12" w:space="0" w:color="auto"/>
            </w:tcBorders>
          </w:tcPr>
          <w:p w:rsidR="00D10092" w:rsidRPr="00B8268E" w:rsidRDefault="00D10092" w:rsidP="00F86AB5"/>
        </w:tc>
        <w:tc>
          <w:tcPr>
            <w:tcW w:w="277" w:type="dxa"/>
            <w:tcBorders>
              <w:bottom w:val="single" w:sz="12" w:space="0" w:color="auto"/>
            </w:tcBorders>
          </w:tcPr>
          <w:p w:rsidR="00D10092" w:rsidRPr="00B8268E" w:rsidRDefault="00D10092" w:rsidP="00F86AB5"/>
        </w:tc>
        <w:tc>
          <w:tcPr>
            <w:tcW w:w="1195" w:type="dxa"/>
            <w:tcBorders>
              <w:bottom w:val="single" w:sz="12" w:space="0" w:color="auto"/>
            </w:tcBorders>
          </w:tcPr>
          <w:p w:rsidR="00D10092" w:rsidRPr="00B8268E" w:rsidRDefault="00D10092" w:rsidP="00F86AB5"/>
        </w:tc>
        <w:tc>
          <w:tcPr>
            <w:tcW w:w="817" w:type="dxa"/>
            <w:tcBorders>
              <w:bottom w:val="single" w:sz="12" w:space="0" w:color="auto"/>
            </w:tcBorders>
          </w:tcPr>
          <w:p w:rsidR="00D10092" w:rsidRPr="00B8268E" w:rsidRDefault="00D10092" w:rsidP="00F86AB5"/>
        </w:tc>
        <w:tc>
          <w:tcPr>
            <w:tcW w:w="1700" w:type="dxa"/>
            <w:tcBorders>
              <w:bottom w:val="single" w:sz="12" w:space="0" w:color="auto"/>
            </w:tcBorders>
          </w:tcPr>
          <w:p w:rsidR="00D10092" w:rsidRPr="00B8268E" w:rsidRDefault="00D10092" w:rsidP="00F86AB5"/>
        </w:tc>
        <w:tc>
          <w:tcPr>
            <w:tcW w:w="2127" w:type="dxa"/>
            <w:tcBorders>
              <w:bottom w:val="single" w:sz="12" w:space="0" w:color="auto"/>
            </w:tcBorders>
          </w:tcPr>
          <w:p w:rsidR="00D10092" w:rsidRPr="00B8268E" w:rsidRDefault="00D10092" w:rsidP="00F86AB5"/>
        </w:tc>
      </w:tr>
    </w:tbl>
    <w:p w:rsidR="006F38B2" w:rsidRDefault="006F38B2" w:rsidP="00F86AB5">
      <w:pPr>
        <w:spacing w:line="240" w:lineRule="auto"/>
        <w:rPr>
          <w:sz w:val="20"/>
          <w:vertAlign w:val="superscript"/>
        </w:rPr>
      </w:pPr>
    </w:p>
    <w:p w:rsidR="006F38B2" w:rsidRPr="00CD57DD" w:rsidRDefault="006F38B2" w:rsidP="00F86AB5">
      <w:pPr>
        <w:spacing w:line="240" w:lineRule="auto"/>
        <w:rPr>
          <w:sz w:val="20"/>
        </w:rPr>
      </w:pPr>
      <w:r w:rsidRPr="00CD57DD">
        <w:rPr>
          <w:sz w:val="20"/>
          <w:vertAlign w:val="superscript"/>
        </w:rPr>
        <w:t>a</w:t>
      </w:r>
      <w:r w:rsidRPr="00CD57DD">
        <w:rPr>
          <w:sz w:val="20"/>
        </w:rPr>
        <w:t>Each risk factor was analysed in a separate linear regression model with adjustment for age, BMI, log of daily dietary calcium intake, current physical activity score (all treated as continuous variables), smoking status (never, ex- or current), alcohol consumption (none, low, moderate or high) and family history of fractures (no or yes).</w:t>
      </w:r>
    </w:p>
    <w:p w:rsidR="006F38B2" w:rsidRPr="00CD57DD" w:rsidRDefault="006F38B2" w:rsidP="00F86AB5">
      <w:pPr>
        <w:spacing w:line="240" w:lineRule="auto"/>
        <w:rPr>
          <w:sz w:val="20"/>
        </w:rPr>
      </w:pPr>
    </w:p>
    <w:p w:rsidR="006F38B2" w:rsidRPr="00CD57DD" w:rsidRDefault="006F38B2" w:rsidP="00F86AB5">
      <w:pPr>
        <w:spacing w:line="240" w:lineRule="auto"/>
        <w:rPr>
          <w:sz w:val="20"/>
        </w:rPr>
      </w:pPr>
      <w:r w:rsidRPr="00CD57DD">
        <w:rPr>
          <w:sz w:val="20"/>
          <w:vertAlign w:val="superscript"/>
        </w:rPr>
        <w:t>b</w:t>
      </w:r>
      <w:r w:rsidRPr="00CD57DD">
        <w:rPr>
          <w:sz w:val="20"/>
        </w:rPr>
        <w:t>Each risk factor was analysed in a separate linear regression model with adjustment for age, BMI, log of daily dietary calcium intake, current physical activity score (all treated as continuous variables), smoking status (never, ex- or current), alcohol consumption (none, low, moderate or high), family history of fractures (no or yes), years since menopause (&lt;10, ≥10 and &lt;15, ≥15 and &lt;20, ≥20 or hysterectomy) and use of hormone replacement therapy (never, ≥5 years ago, within past 5 years but not current, or current) .</w:t>
      </w:r>
    </w:p>
    <w:p w:rsidR="006F38B2" w:rsidRPr="00A15AD3" w:rsidRDefault="006F38B2" w:rsidP="00F86AB5">
      <w:pPr>
        <w:spacing w:line="240" w:lineRule="auto"/>
      </w:pPr>
    </w:p>
    <w:sectPr w:rsidR="006F38B2" w:rsidRPr="00A15AD3" w:rsidSect="00550FE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D25" w:rsidRDefault="00BE3D25" w:rsidP="00732085">
      <w:pPr>
        <w:spacing w:line="240" w:lineRule="auto"/>
      </w:pPr>
      <w:r>
        <w:separator/>
      </w:r>
    </w:p>
  </w:endnote>
  <w:endnote w:type="continuationSeparator" w:id="0">
    <w:p w:rsidR="00BE3D25" w:rsidRDefault="00BE3D25" w:rsidP="00732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904857"/>
      <w:docPartObj>
        <w:docPartGallery w:val="Page Numbers (Bottom of Page)"/>
        <w:docPartUnique/>
      </w:docPartObj>
    </w:sdtPr>
    <w:sdtEndPr>
      <w:rPr>
        <w:noProof/>
      </w:rPr>
    </w:sdtEndPr>
    <w:sdtContent>
      <w:p w:rsidR="00550FED" w:rsidRDefault="003822D9">
        <w:pPr>
          <w:pStyle w:val="Footer"/>
          <w:jc w:val="right"/>
        </w:pPr>
        <w:r>
          <w:fldChar w:fldCharType="begin"/>
        </w:r>
        <w:r w:rsidR="00550FED">
          <w:instrText xml:space="preserve"> PAGE   \* MERGEFORMAT </w:instrText>
        </w:r>
        <w:r>
          <w:fldChar w:fldCharType="separate"/>
        </w:r>
        <w:r w:rsidR="00A076C8">
          <w:rPr>
            <w:noProof/>
          </w:rPr>
          <w:t>1</w:t>
        </w:r>
        <w:r>
          <w:rPr>
            <w:noProof/>
          </w:rPr>
          <w:fldChar w:fldCharType="end"/>
        </w:r>
      </w:p>
    </w:sdtContent>
  </w:sdt>
  <w:p w:rsidR="00550FED" w:rsidRDefault="00550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D25" w:rsidRDefault="00BE3D25" w:rsidP="00732085">
      <w:pPr>
        <w:spacing w:line="240" w:lineRule="auto"/>
      </w:pPr>
      <w:r>
        <w:separator/>
      </w:r>
    </w:p>
  </w:footnote>
  <w:footnote w:type="continuationSeparator" w:id="0">
    <w:p w:rsidR="00BE3D25" w:rsidRDefault="00BE3D25" w:rsidP="007320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B1E"/>
    <w:multiLevelType w:val="hybridMultilevel"/>
    <w:tmpl w:val="5CAC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BE21C8"/>
    <w:multiLevelType w:val="hybridMultilevel"/>
    <w:tmpl w:val="5450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41556A"/>
    <w:multiLevelType w:val="hybridMultilevel"/>
    <w:tmpl w:val="62B8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731DBF"/>
    <w:multiLevelType w:val="hybridMultilevel"/>
    <w:tmpl w:val="DF90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D3"/>
    <w:rsid w:val="000158A6"/>
    <w:rsid w:val="00030A96"/>
    <w:rsid w:val="00066673"/>
    <w:rsid w:val="000764FF"/>
    <w:rsid w:val="00082062"/>
    <w:rsid w:val="00090457"/>
    <w:rsid w:val="000A41FA"/>
    <w:rsid w:val="000B30A4"/>
    <w:rsid w:val="000F390A"/>
    <w:rsid w:val="00101B90"/>
    <w:rsid w:val="00102398"/>
    <w:rsid w:val="001063DA"/>
    <w:rsid w:val="00113EDD"/>
    <w:rsid w:val="00130CC1"/>
    <w:rsid w:val="001331FF"/>
    <w:rsid w:val="00137560"/>
    <w:rsid w:val="00172826"/>
    <w:rsid w:val="00172BB1"/>
    <w:rsid w:val="00175B4A"/>
    <w:rsid w:val="0017756A"/>
    <w:rsid w:val="00186163"/>
    <w:rsid w:val="00195430"/>
    <w:rsid w:val="00197DE2"/>
    <w:rsid w:val="001B71E6"/>
    <w:rsid w:val="001C55B3"/>
    <w:rsid w:val="001D3733"/>
    <w:rsid w:val="001F5212"/>
    <w:rsid w:val="00201FB3"/>
    <w:rsid w:val="00213931"/>
    <w:rsid w:val="0026082C"/>
    <w:rsid w:val="00266D88"/>
    <w:rsid w:val="00272AF7"/>
    <w:rsid w:val="00284078"/>
    <w:rsid w:val="0029729B"/>
    <w:rsid w:val="002C50B1"/>
    <w:rsid w:val="002E563E"/>
    <w:rsid w:val="00301976"/>
    <w:rsid w:val="003822D9"/>
    <w:rsid w:val="0038265F"/>
    <w:rsid w:val="00384AFB"/>
    <w:rsid w:val="00387A00"/>
    <w:rsid w:val="003A30EE"/>
    <w:rsid w:val="003B19C5"/>
    <w:rsid w:val="003B5EE6"/>
    <w:rsid w:val="003D0A55"/>
    <w:rsid w:val="003D0BDA"/>
    <w:rsid w:val="00404F7D"/>
    <w:rsid w:val="004102B3"/>
    <w:rsid w:val="0041071A"/>
    <w:rsid w:val="00445A07"/>
    <w:rsid w:val="004610A0"/>
    <w:rsid w:val="00461AAC"/>
    <w:rsid w:val="004854CA"/>
    <w:rsid w:val="004920F6"/>
    <w:rsid w:val="004D428A"/>
    <w:rsid w:val="004F0156"/>
    <w:rsid w:val="005023C5"/>
    <w:rsid w:val="00513C1D"/>
    <w:rsid w:val="005150E8"/>
    <w:rsid w:val="0053692A"/>
    <w:rsid w:val="00550FED"/>
    <w:rsid w:val="00581D02"/>
    <w:rsid w:val="00584ECF"/>
    <w:rsid w:val="005B2805"/>
    <w:rsid w:val="005C534E"/>
    <w:rsid w:val="00604781"/>
    <w:rsid w:val="00614BAB"/>
    <w:rsid w:val="00615BF1"/>
    <w:rsid w:val="00672400"/>
    <w:rsid w:val="00690692"/>
    <w:rsid w:val="006A4564"/>
    <w:rsid w:val="006B5133"/>
    <w:rsid w:val="006C1029"/>
    <w:rsid w:val="006C4A7A"/>
    <w:rsid w:val="006E15A8"/>
    <w:rsid w:val="006E531C"/>
    <w:rsid w:val="006F38B2"/>
    <w:rsid w:val="007143A7"/>
    <w:rsid w:val="00717CDC"/>
    <w:rsid w:val="0072102B"/>
    <w:rsid w:val="00730A4A"/>
    <w:rsid w:val="00732085"/>
    <w:rsid w:val="007374B5"/>
    <w:rsid w:val="007A23C6"/>
    <w:rsid w:val="007B3646"/>
    <w:rsid w:val="007B644A"/>
    <w:rsid w:val="007C3D4D"/>
    <w:rsid w:val="007C7017"/>
    <w:rsid w:val="007D2771"/>
    <w:rsid w:val="007D7AE5"/>
    <w:rsid w:val="007E10C6"/>
    <w:rsid w:val="007E1453"/>
    <w:rsid w:val="00830131"/>
    <w:rsid w:val="008537F3"/>
    <w:rsid w:val="0085535C"/>
    <w:rsid w:val="00866667"/>
    <w:rsid w:val="00871385"/>
    <w:rsid w:val="00877DA5"/>
    <w:rsid w:val="008876CB"/>
    <w:rsid w:val="008A0E44"/>
    <w:rsid w:val="008C6587"/>
    <w:rsid w:val="008E1FCC"/>
    <w:rsid w:val="008E7B5E"/>
    <w:rsid w:val="008F4FE7"/>
    <w:rsid w:val="009129CF"/>
    <w:rsid w:val="00923A7A"/>
    <w:rsid w:val="00925DE8"/>
    <w:rsid w:val="00936245"/>
    <w:rsid w:val="00944046"/>
    <w:rsid w:val="009464FA"/>
    <w:rsid w:val="00957224"/>
    <w:rsid w:val="0097524C"/>
    <w:rsid w:val="00986224"/>
    <w:rsid w:val="00992DB1"/>
    <w:rsid w:val="009A75DF"/>
    <w:rsid w:val="009C1AAE"/>
    <w:rsid w:val="009D5338"/>
    <w:rsid w:val="009D5E6E"/>
    <w:rsid w:val="00A03CB0"/>
    <w:rsid w:val="00A076C8"/>
    <w:rsid w:val="00A15AD3"/>
    <w:rsid w:val="00A16AFD"/>
    <w:rsid w:val="00A268FB"/>
    <w:rsid w:val="00A34295"/>
    <w:rsid w:val="00A36196"/>
    <w:rsid w:val="00A506BD"/>
    <w:rsid w:val="00A725A5"/>
    <w:rsid w:val="00A72CE8"/>
    <w:rsid w:val="00A81D49"/>
    <w:rsid w:val="00A90423"/>
    <w:rsid w:val="00AB745A"/>
    <w:rsid w:val="00AC14CF"/>
    <w:rsid w:val="00AE0F6C"/>
    <w:rsid w:val="00AE409A"/>
    <w:rsid w:val="00AF551D"/>
    <w:rsid w:val="00B05F52"/>
    <w:rsid w:val="00B232D2"/>
    <w:rsid w:val="00B40596"/>
    <w:rsid w:val="00B42579"/>
    <w:rsid w:val="00B61B63"/>
    <w:rsid w:val="00B641AB"/>
    <w:rsid w:val="00B645BB"/>
    <w:rsid w:val="00B67F59"/>
    <w:rsid w:val="00B91DA4"/>
    <w:rsid w:val="00B96891"/>
    <w:rsid w:val="00BA0629"/>
    <w:rsid w:val="00BA5D22"/>
    <w:rsid w:val="00BA6C60"/>
    <w:rsid w:val="00BA7D41"/>
    <w:rsid w:val="00BB46F8"/>
    <w:rsid w:val="00BC52D3"/>
    <w:rsid w:val="00BD6111"/>
    <w:rsid w:val="00BE3D25"/>
    <w:rsid w:val="00BF0B29"/>
    <w:rsid w:val="00C5708A"/>
    <w:rsid w:val="00C576EC"/>
    <w:rsid w:val="00C61514"/>
    <w:rsid w:val="00C76897"/>
    <w:rsid w:val="00C83CC6"/>
    <w:rsid w:val="00CA62EF"/>
    <w:rsid w:val="00CB4EFD"/>
    <w:rsid w:val="00CC79C9"/>
    <w:rsid w:val="00CE7CA6"/>
    <w:rsid w:val="00D10092"/>
    <w:rsid w:val="00D10836"/>
    <w:rsid w:val="00D17618"/>
    <w:rsid w:val="00D40532"/>
    <w:rsid w:val="00D47BD9"/>
    <w:rsid w:val="00D576C8"/>
    <w:rsid w:val="00D71BFA"/>
    <w:rsid w:val="00D72172"/>
    <w:rsid w:val="00D97194"/>
    <w:rsid w:val="00DA1170"/>
    <w:rsid w:val="00DA5108"/>
    <w:rsid w:val="00DB6A29"/>
    <w:rsid w:val="00DE4F69"/>
    <w:rsid w:val="00DE67EB"/>
    <w:rsid w:val="00DF0743"/>
    <w:rsid w:val="00DF14CB"/>
    <w:rsid w:val="00DF2C09"/>
    <w:rsid w:val="00E03BB4"/>
    <w:rsid w:val="00E83F3A"/>
    <w:rsid w:val="00E86A57"/>
    <w:rsid w:val="00EA63E2"/>
    <w:rsid w:val="00EB2285"/>
    <w:rsid w:val="00EC38A1"/>
    <w:rsid w:val="00EC7DE9"/>
    <w:rsid w:val="00ED7E3C"/>
    <w:rsid w:val="00EF2A84"/>
    <w:rsid w:val="00F14C9C"/>
    <w:rsid w:val="00F3039F"/>
    <w:rsid w:val="00F32984"/>
    <w:rsid w:val="00F350DC"/>
    <w:rsid w:val="00F429F7"/>
    <w:rsid w:val="00F4657E"/>
    <w:rsid w:val="00F732FD"/>
    <w:rsid w:val="00F75B92"/>
    <w:rsid w:val="00F86AB5"/>
    <w:rsid w:val="00FB12A3"/>
    <w:rsid w:val="00FB6153"/>
    <w:rsid w:val="00FD64AC"/>
    <w:rsid w:val="00FD733A"/>
    <w:rsid w:val="00FE62A2"/>
    <w:rsid w:val="00FF2322"/>
    <w:rsid w:val="00FF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character" w:styleId="CommentReference">
    <w:name w:val="annotation reference"/>
    <w:basedOn w:val="DefaultParagraphFont"/>
    <w:uiPriority w:val="99"/>
    <w:semiHidden/>
    <w:unhideWhenUsed/>
    <w:rsid w:val="00B91DA4"/>
    <w:rPr>
      <w:sz w:val="16"/>
      <w:szCs w:val="16"/>
    </w:rPr>
  </w:style>
  <w:style w:type="paragraph" w:styleId="CommentText">
    <w:name w:val="annotation text"/>
    <w:basedOn w:val="Normal"/>
    <w:link w:val="CommentTextChar"/>
    <w:uiPriority w:val="99"/>
    <w:semiHidden/>
    <w:unhideWhenUsed/>
    <w:rsid w:val="00B91DA4"/>
    <w:pPr>
      <w:spacing w:line="240" w:lineRule="auto"/>
    </w:pPr>
    <w:rPr>
      <w:sz w:val="20"/>
      <w:szCs w:val="20"/>
    </w:rPr>
  </w:style>
  <w:style w:type="character" w:customStyle="1" w:styleId="CommentTextChar">
    <w:name w:val="Comment Text Char"/>
    <w:basedOn w:val="DefaultParagraphFont"/>
    <w:link w:val="CommentText"/>
    <w:uiPriority w:val="99"/>
    <w:semiHidden/>
    <w:rsid w:val="00B91D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1DA4"/>
    <w:rPr>
      <w:b/>
      <w:bCs/>
    </w:rPr>
  </w:style>
  <w:style w:type="character" w:customStyle="1" w:styleId="CommentSubjectChar">
    <w:name w:val="Comment Subject Char"/>
    <w:basedOn w:val="CommentTextChar"/>
    <w:link w:val="CommentSubject"/>
    <w:uiPriority w:val="99"/>
    <w:semiHidden/>
    <w:rsid w:val="00B91DA4"/>
    <w:rPr>
      <w:rFonts w:ascii="Arial" w:hAnsi="Arial" w:cs="Arial"/>
      <w:b/>
      <w:bCs/>
      <w:sz w:val="20"/>
      <w:szCs w:val="20"/>
    </w:rPr>
  </w:style>
  <w:style w:type="paragraph" w:styleId="BalloonText">
    <w:name w:val="Balloon Text"/>
    <w:basedOn w:val="Normal"/>
    <w:link w:val="BalloonTextChar"/>
    <w:uiPriority w:val="99"/>
    <w:semiHidden/>
    <w:unhideWhenUsed/>
    <w:rsid w:val="00B91D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DA4"/>
    <w:rPr>
      <w:rFonts w:ascii="Tahoma" w:hAnsi="Tahoma" w:cs="Tahoma"/>
      <w:sz w:val="16"/>
      <w:szCs w:val="16"/>
    </w:rPr>
  </w:style>
  <w:style w:type="table" w:styleId="TableGrid">
    <w:name w:val="Table Grid"/>
    <w:basedOn w:val="TableNormal"/>
    <w:uiPriority w:val="59"/>
    <w:rsid w:val="006F3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0B1"/>
    <w:pPr>
      <w:ind w:left="720"/>
      <w:contextualSpacing/>
    </w:pPr>
  </w:style>
  <w:style w:type="paragraph" w:styleId="Header">
    <w:name w:val="header"/>
    <w:basedOn w:val="Normal"/>
    <w:link w:val="HeaderChar"/>
    <w:uiPriority w:val="99"/>
    <w:unhideWhenUsed/>
    <w:rsid w:val="00732085"/>
    <w:pPr>
      <w:tabs>
        <w:tab w:val="center" w:pos="4513"/>
        <w:tab w:val="right" w:pos="9026"/>
      </w:tabs>
      <w:spacing w:line="240" w:lineRule="auto"/>
    </w:pPr>
  </w:style>
  <w:style w:type="character" w:customStyle="1" w:styleId="HeaderChar">
    <w:name w:val="Header Char"/>
    <w:basedOn w:val="DefaultParagraphFont"/>
    <w:link w:val="Header"/>
    <w:uiPriority w:val="99"/>
    <w:rsid w:val="00732085"/>
    <w:rPr>
      <w:rFonts w:ascii="Arial" w:hAnsi="Arial" w:cs="Arial"/>
    </w:rPr>
  </w:style>
  <w:style w:type="paragraph" w:styleId="Footer">
    <w:name w:val="footer"/>
    <w:basedOn w:val="Normal"/>
    <w:link w:val="FooterChar"/>
    <w:uiPriority w:val="99"/>
    <w:unhideWhenUsed/>
    <w:rsid w:val="00732085"/>
    <w:pPr>
      <w:tabs>
        <w:tab w:val="center" w:pos="4513"/>
        <w:tab w:val="right" w:pos="9026"/>
      </w:tabs>
      <w:spacing w:line="240" w:lineRule="auto"/>
    </w:pPr>
  </w:style>
  <w:style w:type="character" w:customStyle="1" w:styleId="FooterChar">
    <w:name w:val="Footer Char"/>
    <w:basedOn w:val="DefaultParagraphFont"/>
    <w:link w:val="Footer"/>
    <w:uiPriority w:val="99"/>
    <w:rsid w:val="00732085"/>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character" w:styleId="CommentReference">
    <w:name w:val="annotation reference"/>
    <w:basedOn w:val="DefaultParagraphFont"/>
    <w:uiPriority w:val="99"/>
    <w:semiHidden/>
    <w:unhideWhenUsed/>
    <w:rsid w:val="00B91DA4"/>
    <w:rPr>
      <w:sz w:val="16"/>
      <w:szCs w:val="16"/>
    </w:rPr>
  </w:style>
  <w:style w:type="paragraph" w:styleId="CommentText">
    <w:name w:val="annotation text"/>
    <w:basedOn w:val="Normal"/>
    <w:link w:val="CommentTextChar"/>
    <w:uiPriority w:val="99"/>
    <w:semiHidden/>
    <w:unhideWhenUsed/>
    <w:rsid w:val="00B91DA4"/>
    <w:pPr>
      <w:spacing w:line="240" w:lineRule="auto"/>
    </w:pPr>
    <w:rPr>
      <w:sz w:val="20"/>
      <w:szCs w:val="20"/>
    </w:rPr>
  </w:style>
  <w:style w:type="character" w:customStyle="1" w:styleId="CommentTextChar">
    <w:name w:val="Comment Text Char"/>
    <w:basedOn w:val="DefaultParagraphFont"/>
    <w:link w:val="CommentText"/>
    <w:uiPriority w:val="99"/>
    <w:semiHidden/>
    <w:rsid w:val="00B91D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1DA4"/>
    <w:rPr>
      <w:b/>
      <w:bCs/>
    </w:rPr>
  </w:style>
  <w:style w:type="character" w:customStyle="1" w:styleId="CommentSubjectChar">
    <w:name w:val="Comment Subject Char"/>
    <w:basedOn w:val="CommentTextChar"/>
    <w:link w:val="CommentSubject"/>
    <w:uiPriority w:val="99"/>
    <w:semiHidden/>
    <w:rsid w:val="00B91DA4"/>
    <w:rPr>
      <w:rFonts w:ascii="Arial" w:hAnsi="Arial" w:cs="Arial"/>
      <w:b/>
      <w:bCs/>
      <w:sz w:val="20"/>
      <w:szCs w:val="20"/>
    </w:rPr>
  </w:style>
  <w:style w:type="paragraph" w:styleId="BalloonText">
    <w:name w:val="Balloon Text"/>
    <w:basedOn w:val="Normal"/>
    <w:link w:val="BalloonTextChar"/>
    <w:uiPriority w:val="99"/>
    <w:semiHidden/>
    <w:unhideWhenUsed/>
    <w:rsid w:val="00B91D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DA4"/>
    <w:rPr>
      <w:rFonts w:ascii="Tahoma" w:hAnsi="Tahoma" w:cs="Tahoma"/>
      <w:sz w:val="16"/>
      <w:szCs w:val="16"/>
    </w:rPr>
  </w:style>
  <w:style w:type="table" w:styleId="TableGrid">
    <w:name w:val="Table Grid"/>
    <w:basedOn w:val="TableNormal"/>
    <w:uiPriority w:val="59"/>
    <w:rsid w:val="006F3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0B1"/>
    <w:pPr>
      <w:ind w:left="720"/>
      <w:contextualSpacing/>
    </w:pPr>
  </w:style>
  <w:style w:type="paragraph" w:styleId="Header">
    <w:name w:val="header"/>
    <w:basedOn w:val="Normal"/>
    <w:link w:val="HeaderChar"/>
    <w:uiPriority w:val="99"/>
    <w:unhideWhenUsed/>
    <w:rsid w:val="00732085"/>
    <w:pPr>
      <w:tabs>
        <w:tab w:val="center" w:pos="4513"/>
        <w:tab w:val="right" w:pos="9026"/>
      </w:tabs>
      <w:spacing w:line="240" w:lineRule="auto"/>
    </w:pPr>
  </w:style>
  <w:style w:type="character" w:customStyle="1" w:styleId="HeaderChar">
    <w:name w:val="Header Char"/>
    <w:basedOn w:val="DefaultParagraphFont"/>
    <w:link w:val="Header"/>
    <w:uiPriority w:val="99"/>
    <w:rsid w:val="00732085"/>
    <w:rPr>
      <w:rFonts w:ascii="Arial" w:hAnsi="Arial" w:cs="Arial"/>
    </w:rPr>
  </w:style>
  <w:style w:type="paragraph" w:styleId="Footer">
    <w:name w:val="footer"/>
    <w:basedOn w:val="Normal"/>
    <w:link w:val="FooterChar"/>
    <w:uiPriority w:val="99"/>
    <w:unhideWhenUsed/>
    <w:rsid w:val="00732085"/>
    <w:pPr>
      <w:tabs>
        <w:tab w:val="center" w:pos="4513"/>
        <w:tab w:val="right" w:pos="9026"/>
      </w:tabs>
      <w:spacing w:line="240" w:lineRule="auto"/>
    </w:pPr>
  </w:style>
  <w:style w:type="character" w:customStyle="1" w:styleId="FooterChar">
    <w:name w:val="Footer Char"/>
    <w:basedOn w:val="DefaultParagraphFont"/>
    <w:link w:val="Footer"/>
    <w:uiPriority w:val="99"/>
    <w:rsid w:val="0073208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77B1-513F-4CCB-A164-955F152B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2521</Words>
  <Characters>14372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david.coggon</dc:creator>
  <cp:lastModifiedBy>Karen Drake</cp:lastModifiedBy>
  <cp:revision>2</cp:revision>
  <cp:lastPrinted>2014-01-20T18:59:00Z</cp:lastPrinted>
  <dcterms:created xsi:type="dcterms:W3CDTF">2014-07-21T15:00:00Z</dcterms:created>
  <dcterms:modified xsi:type="dcterms:W3CDTF">2014-07-21T15:00:00Z</dcterms:modified>
</cp:coreProperties>
</file>