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B47" w:rsidRPr="008C3B47" w:rsidRDefault="008C3B47" w:rsidP="008C3B47">
      <w:pPr>
        <w:widowControl w:val="0"/>
        <w:rPr>
          <w:rFonts w:ascii="Times New Roman" w:hAnsi="Times New Roman" w:cs="Times New Roman"/>
          <w:b/>
          <w:sz w:val="32"/>
          <w:szCs w:val="32"/>
        </w:rPr>
      </w:pPr>
      <w:bookmarkStart w:id="0" w:name="_GoBack"/>
      <w:bookmarkEnd w:id="0"/>
      <w:r w:rsidRPr="000B4865">
        <w:rPr>
          <w:rFonts w:ascii="Times New Roman" w:hAnsi="Times New Roman" w:cs="Times New Roman"/>
          <w:b/>
          <w:sz w:val="32"/>
          <w:szCs w:val="32"/>
        </w:rPr>
        <w:t>The role of</w:t>
      </w:r>
      <w:r w:rsidRPr="008C3B47">
        <w:rPr>
          <w:rFonts w:ascii="Times New Roman" w:hAnsi="Times New Roman" w:cs="Times New Roman"/>
          <w:b/>
          <w:sz w:val="32"/>
          <w:szCs w:val="32"/>
        </w:rPr>
        <w:t xml:space="preserve"> mental health problems and common psychotropic drug treatments in accidental injury at work</w:t>
      </w:r>
      <w:r w:rsidR="00DD0B2C">
        <w:rPr>
          <w:rFonts w:ascii="Times New Roman" w:hAnsi="Times New Roman" w:cs="Times New Roman"/>
          <w:b/>
          <w:sz w:val="32"/>
          <w:szCs w:val="32"/>
        </w:rPr>
        <w:t>, a case-control study</w:t>
      </w:r>
    </w:p>
    <w:p w:rsidR="007540AE" w:rsidRDefault="007540AE" w:rsidP="006163FF">
      <w:pPr>
        <w:widowControl w:val="0"/>
        <w:rPr>
          <w:rFonts w:ascii="Times New Roman" w:hAnsi="Times New Roman" w:cs="Times New Roman"/>
          <w:b/>
          <w:sz w:val="32"/>
          <w:szCs w:val="32"/>
        </w:rPr>
      </w:pPr>
    </w:p>
    <w:p w:rsidR="007540AE" w:rsidRDefault="007540AE" w:rsidP="006163FF">
      <w:pPr>
        <w:widowControl w:val="0"/>
        <w:rPr>
          <w:rFonts w:ascii="Times New Roman" w:hAnsi="Times New Roman" w:cs="Times New Roman"/>
          <w:b/>
          <w:sz w:val="32"/>
          <w:szCs w:val="32"/>
        </w:rPr>
      </w:pPr>
    </w:p>
    <w:p w:rsidR="007540AE" w:rsidRDefault="007540AE" w:rsidP="006163FF">
      <w:pPr>
        <w:widowControl w:val="0"/>
        <w:rPr>
          <w:rFonts w:ascii="Times New Roman" w:hAnsi="Times New Roman" w:cs="Times New Roman"/>
          <w:b/>
          <w:sz w:val="32"/>
          <w:szCs w:val="32"/>
        </w:rPr>
      </w:pPr>
    </w:p>
    <w:p w:rsidR="007540AE" w:rsidRDefault="007540AE" w:rsidP="006163FF">
      <w:pPr>
        <w:widowControl w:val="0"/>
        <w:rPr>
          <w:rFonts w:ascii="Times New Roman" w:hAnsi="Times New Roman" w:cs="Times New Roman"/>
          <w:b/>
          <w:sz w:val="28"/>
          <w:szCs w:val="28"/>
        </w:rPr>
      </w:pPr>
    </w:p>
    <w:p w:rsidR="007540AE" w:rsidRDefault="007540AE" w:rsidP="006163FF">
      <w:pPr>
        <w:widowControl w:val="0"/>
        <w:rPr>
          <w:rFonts w:ascii="Times New Roman" w:hAnsi="Times New Roman" w:cs="Times New Roman"/>
          <w:b/>
          <w:sz w:val="28"/>
          <w:szCs w:val="28"/>
        </w:rPr>
      </w:pPr>
      <w:r>
        <w:rPr>
          <w:rFonts w:ascii="Times New Roman" w:hAnsi="Times New Roman" w:cs="Times New Roman"/>
          <w:b/>
          <w:sz w:val="28"/>
          <w:szCs w:val="28"/>
        </w:rPr>
        <w:t>Professor Keith</w:t>
      </w:r>
      <w:r w:rsidR="00FF6047">
        <w:rPr>
          <w:rFonts w:ascii="Times New Roman" w:hAnsi="Times New Roman" w:cs="Times New Roman"/>
          <w:b/>
          <w:sz w:val="28"/>
          <w:szCs w:val="28"/>
        </w:rPr>
        <w:t xml:space="preserve"> T</w:t>
      </w:r>
      <w:r>
        <w:rPr>
          <w:rFonts w:ascii="Times New Roman" w:hAnsi="Times New Roman" w:cs="Times New Roman"/>
          <w:b/>
          <w:sz w:val="28"/>
          <w:szCs w:val="28"/>
        </w:rPr>
        <w:t xml:space="preserve"> Palmer</w:t>
      </w:r>
    </w:p>
    <w:p w:rsidR="008C3B47" w:rsidRDefault="008C3B47" w:rsidP="006163FF">
      <w:pPr>
        <w:widowControl w:val="0"/>
        <w:rPr>
          <w:rFonts w:ascii="Times New Roman" w:hAnsi="Times New Roman" w:cs="Times New Roman"/>
          <w:b/>
          <w:sz w:val="28"/>
          <w:szCs w:val="28"/>
        </w:rPr>
      </w:pPr>
      <w:r>
        <w:rPr>
          <w:rFonts w:ascii="Times New Roman" w:hAnsi="Times New Roman" w:cs="Times New Roman"/>
          <w:b/>
          <w:sz w:val="28"/>
          <w:szCs w:val="28"/>
        </w:rPr>
        <w:t>Stefania D’Angelo</w:t>
      </w:r>
    </w:p>
    <w:p w:rsidR="007540AE" w:rsidRDefault="007540AE" w:rsidP="006163FF">
      <w:pPr>
        <w:widowControl w:val="0"/>
        <w:rPr>
          <w:rFonts w:ascii="Times New Roman" w:hAnsi="Times New Roman" w:cs="Times New Roman"/>
          <w:b/>
          <w:sz w:val="28"/>
          <w:szCs w:val="28"/>
        </w:rPr>
      </w:pPr>
      <w:r>
        <w:rPr>
          <w:rFonts w:ascii="Times New Roman" w:hAnsi="Times New Roman" w:cs="Times New Roman"/>
          <w:b/>
          <w:sz w:val="28"/>
          <w:szCs w:val="28"/>
        </w:rPr>
        <w:t xml:space="preserve">Dr </w:t>
      </w:r>
      <w:r w:rsidR="00B63ED2">
        <w:rPr>
          <w:rFonts w:ascii="Times New Roman" w:hAnsi="Times New Roman" w:cs="Times New Roman"/>
          <w:b/>
          <w:sz w:val="28"/>
          <w:szCs w:val="28"/>
        </w:rPr>
        <w:t xml:space="preserve">E </w:t>
      </w:r>
      <w:r>
        <w:rPr>
          <w:rFonts w:ascii="Times New Roman" w:hAnsi="Times New Roman" w:cs="Times New Roman"/>
          <w:b/>
          <w:sz w:val="28"/>
          <w:szCs w:val="28"/>
        </w:rPr>
        <w:t>Clare Harris</w:t>
      </w:r>
    </w:p>
    <w:p w:rsidR="007540AE" w:rsidRDefault="007540AE" w:rsidP="006163FF">
      <w:pPr>
        <w:widowControl w:val="0"/>
        <w:rPr>
          <w:rFonts w:ascii="Times New Roman" w:hAnsi="Times New Roman" w:cs="Times New Roman"/>
          <w:b/>
          <w:sz w:val="28"/>
          <w:szCs w:val="28"/>
        </w:rPr>
      </w:pPr>
      <w:r>
        <w:rPr>
          <w:rFonts w:ascii="Times New Roman" w:hAnsi="Times New Roman" w:cs="Times New Roman"/>
          <w:b/>
          <w:sz w:val="28"/>
          <w:szCs w:val="28"/>
        </w:rPr>
        <w:t>Dr Cathy Linaker</w:t>
      </w:r>
    </w:p>
    <w:p w:rsidR="007540AE" w:rsidRDefault="007540AE" w:rsidP="006163FF">
      <w:pPr>
        <w:widowControl w:val="0"/>
        <w:rPr>
          <w:rFonts w:ascii="Times New Roman" w:hAnsi="Times New Roman" w:cs="Times New Roman"/>
          <w:b/>
          <w:sz w:val="28"/>
          <w:szCs w:val="28"/>
        </w:rPr>
      </w:pPr>
      <w:r>
        <w:rPr>
          <w:rFonts w:ascii="Times New Roman" w:hAnsi="Times New Roman" w:cs="Times New Roman"/>
          <w:b/>
          <w:sz w:val="28"/>
          <w:szCs w:val="28"/>
        </w:rPr>
        <w:t>Professor David Coggon</w:t>
      </w:r>
    </w:p>
    <w:p w:rsidR="007540AE" w:rsidRDefault="007540AE" w:rsidP="006163FF">
      <w:pPr>
        <w:widowControl w:val="0"/>
        <w:rPr>
          <w:rFonts w:ascii="Times New Roman" w:hAnsi="Times New Roman" w:cs="Times New Roman"/>
          <w:b/>
          <w:sz w:val="28"/>
          <w:szCs w:val="28"/>
        </w:rPr>
      </w:pPr>
    </w:p>
    <w:p w:rsidR="006163FF" w:rsidRDefault="007540AE" w:rsidP="006163FF">
      <w:pPr>
        <w:widowControl w:val="0"/>
        <w:rPr>
          <w:rFonts w:ascii="Times New Roman" w:hAnsi="Times New Roman" w:cs="Times New Roman"/>
          <w:b/>
          <w:sz w:val="28"/>
          <w:szCs w:val="28"/>
        </w:rPr>
      </w:pPr>
      <w:r>
        <w:rPr>
          <w:rFonts w:ascii="Times New Roman" w:hAnsi="Times New Roman" w:cs="Times New Roman"/>
          <w:b/>
          <w:sz w:val="28"/>
          <w:szCs w:val="28"/>
        </w:rPr>
        <w:t>MRC Lifecourse Epidemiology Unit</w:t>
      </w:r>
      <w:r w:rsidR="008C3B47">
        <w:rPr>
          <w:rFonts w:ascii="Times New Roman" w:hAnsi="Times New Roman" w:cs="Times New Roman"/>
          <w:b/>
          <w:sz w:val="28"/>
          <w:szCs w:val="28"/>
        </w:rPr>
        <w:t xml:space="preserve">, </w:t>
      </w:r>
      <w:r>
        <w:rPr>
          <w:rFonts w:ascii="Times New Roman" w:hAnsi="Times New Roman" w:cs="Times New Roman"/>
          <w:b/>
          <w:sz w:val="28"/>
          <w:szCs w:val="28"/>
        </w:rPr>
        <w:t>University of Southampton</w:t>
      </w:r>
      <w:r w:rsidR="008C3B47">
        <w:rPr>
          <w:rFonts w:ascii="Times New Roman" w:hAnsi="Times New Roman" w:cs="Times New Roman"/>
          <w:b/>
          <w:sz w:val="28"/>
          <w:szCs w:val="28"/>
        </w:rPr>
        <w:t>,</w:t>
      </w:r>
      <w:r w:rsidR="008C3B47" w:rsidRPr="008C3B47">
        <w:rPr>
          <w:rFonts w:ascii="Times New Roman" w:hAnsi="Times New Roman" w:cs="Times New Roman"/>
          <w:b/>
          <w:sz w:val="28"/>
          <w:szCs w:val="28"/>
        </w:rPr>
        <w:t xml:space="preserve"> </w:t>
      </w:r>
      <w:r w:rsidR="008C3B47">
        <w:rPr>
          <w:rFonts w:ascii="Times New Roman" w:hAnsi="Times New Roman" w:cs="Times New Roman"/>
          <w:b/>
          <w:sz w:val="28"/>
          <w:szCs w:val="28"/>
        </w:rPr>
        <w:t>Southampton, UK</w:t>
      </w:r>
    </w:p>
    <w:p w:rsidR="008C3B47" w:rsidRPr="00C23D45" w:rsidRDefault="008C3B47" w:rsidP="006163FF">
      <w:pPr>
        <w:widowControl w:val="0"/>
        <w:rPr>
          <w:rFonts w:ascii="Times New Roman" w:hAnsi="Times New Roman" w:cs="Times New Roman"/>
          <w:b/>
          <w:sz w:val="28"/>
          <w:szCs w:val="28"/>
        </w:rPr>
      </w:pPr>
    </w:p>
    <w:p w:rsidR="008C3B47" w:rsidRPr="008C3B47" w:rsidRDefault="008C3B47" w:rsidP="008C3B47">
      <w:pPr>
        <w:rPr>
          <w:rFonts w:ascii="Times New Roman" w:hAnsi="Times New Roman" w:cs="Times New Roman"/>
          <w:b/>
          <w:sz w:val="28"/>
          <w:szCs w:val="28"/>
        </w:rPr>
      </w:pPr>
      <w:r w:rsidRPr="008C3B47">
        <w:rPr>
          <w:rFonts w:ascii="Times New Roman" w:hAnsi="Times New Roman" w:cs="Times New Roman"/>
          <w:b/>
          <w:sz w:val="28"/>
          <w:szCs w:val="28"/>
        </w:rPr>
        <w:t>Correspondence to: Professor Palmer</w:t>
      </w:r>
      <w:r w:rsidR="00B63ED2">
        <w:rPr>
          <w:rFonts w:ascii="Times New Roman" w:hAnsi="Times New Roman" w:cs="Times New Roman"/>
          <w:b/>
          <w:sz w:val="28"/>
          <w:szCs w:val="28"/>
        </w:rPr>
        <w:t>,</w:t>
      </w:r>
      <w:r w:rsidRPr="008C3B47">
        <w:rPr>
          <w:rFonts w:ascii="Times New Roman" w:hAnsi="Times New Roman" w:cs="Times New Roman"/>
          <w:b/>
          <w:sz w:val="28"/>
          <w:szCs w:val="28"/>
        </w:rPr>
        <w:t xml:space="preserve"> MRC Lifecourse Epidemiology Unit, Univers</w:t>
      </w:r>
      <w:r>
        <w:rPr>
          <w:rFonts w:ascii="Times New Roman" w:hAnsi="Times New Roman" w:cs="Times New Roman"/>
          <w:b/>
          <w:sz w:val="28"/>
          <w:szCs w:val="28"/>
        </w:rPr>
        <w:t xml:space="preserve">ity of Southampton, UK SO16 6YD: </w:t>
      </w:r>
      <w:hyperlink r:id="rId9" w:history="1">
        <w:r w:rsidRPr="00252141">
          <w:rPr>
            <w:rStyle w:val="Hyperlink"/>
            <w:rFonts w:ascii="Times New Roman" w:hAnsi="Times New Roman" w:cs="Times New Roman"/>
            <w:b/>
            <w:sz w:val="28"/>
            <w:szCs w:val="28"/>
          </w:rPr>
          <w:t>ktp@mrc.soton.ac.uk</w:t>
        </w:r>
      </w:hyperlink>
      <w:r>
        <w:rPr>
          <w:rFonts w:ascii="Times New Roman" w:hAnsi="Times New Roman" w:cs="Times New Roman"/>
          <w:b/>
          <w:sz w:val="28"/>
          <w:szCs w:val="28"/>
        </w:rPr>
        <w:t xml:space="preserve"> </w:t>
      </w:r>
    </w:p>
    <w:p w:rsidR="00964CC3" w:rsidRDefault="00964CC3">
      <w:pPr>
        <w:rPr>
          <w:rFonts w:ascii="Times New Roman" w:hAnsi="Times New Roman" w:cs="Times New Roman"/>
          <w:b/>
          <w:sz w:val="28"/>
          <w:szCs w:val="28"/>
        </w:rPr>
      </w:pPr>
    </w:p>
    <w:p w:rsidR="00925734" w:rsidRDefault="00925734">
      <w:pPr>
        <w:rPr>
          <w:rFonts w:ascii="Times New Roman" w:hAnsi="Times New Roman" w:cs="Times New Roman"/>
          <w:b/>
          <w:sz w:val="28"/>
          <w:szCs w:val="28"/>
        </w:rPr>
      </w:pPr>
      <w:r>
        <w:rPr>
          <w:rFonts w:ascii="Times New Roman" w:hAnsi="Times New Roman" w:cs="Times New Roman"/>
          <w:b/>
          <w:sz w:val="28"/>
          <w:szCs w:val="28"/>
        </w:rPr>
        <w:t>Abstract: 245 words</w:t>
      </w:r>
    </w:p>
    <w:p w:rsidR="00925734" w:rsidRDefault="00925734">
      <w:pPr>
        <w:rPr>
          <w:rFonts w:ascii="Times New Roman" w:hAnsi="Times New Roman" w:cs="Times New Roman"/>
          <w:b/>
          <w:sz w:val="28"/>
          <w:szCs w:val="28"/>
        </w:rPr>
      </w:pPr>
      <w:r>
        <w:rPr>
          <w:rFonts w:ascii="Times New Roman" w:hAnsi="Times New Roman" w:cs="Times New Roman"/>
          <w:b/>
          <w:sz w:val="28"/>
          <w:szCs w:val="28"/>
        </w:rPr>
        <w:t>Main text: 30</w:t>
      </w:r>
      <w:r w:rsidR="00C47BDA">
        <w:rPr>
          <w:rFonts w:ascii="Times New Roman" w:hAnsi="Times New Roman" w:cs="Times New Roman"/>
          <w:b/>
          <w:sz w:val="28"/>
          <w:szCs w:val="28"/>
        </w:rPr>
        <w:t>7</w:t>
      </w:r>
      <w:r>
        <w:rPr>
          <w:rFonts w:ascii="Times New Roman" w:hAnsi="Times New Roman" w:cs="Times New Roman"/>
          <w:b/>
          <w:sz w:val="28"/>
          <w:szCs w:val="28"/>
        </w:rPr>
        <w:t>8</w:t>
      </w:r>
    </w:p>
    <w:p w:rsidR="00925734" w:rsidRDefault="00925734">
      <w:pPr>
        <w:rPr>
          <w:rFonts w:ascii="Times New Roman" w:hAnsi="Times New Roman" w:cs="Times New Roman"/>
          <w:b/>
          <w:sz w:val="28"/>
          <w:szCs w:val="28"/>
        </w:rPr>
      </w:pPr>
      <w:r>
        <w:rPr>
          <w:rFonts w:ascii="Times New Roman" w:hAnsi="Times New Roman" w:cs="Times New Roman"/>
          <w:b/>
          <w:sz w:val="28"/>
          <w:szCs w:val="28"/>
        </w:rPr>
        <w:t>Tables: 4</w:t>
      </w:r>
    </w:p>
    <w:p w:rsidR="00925734" w:rsidRDefault="00925734">
      <w:pPr>
        <w:rPr>
          <w:rFonts w:ascii="Times New Roman" w:hAnsi="Times New Roman" w:cs="Times New Roman"/>
          <w:b/>
          <w:sz w:val="28"/>
          <w:szCs w:val="28"/>
        </w:rPr>
      </w:pPr>
      <w:r>
        <w:rPr>
          <w:rFonts w:ascii="Times New Roman" w:hAnsi="Times New Roman" w:cs="Times New Roman"/>
          <w:b/>
          <w:sz w:val="28"/>
          <w:szCs w:val="28"/>
        </w:rPr>
        <w:t>Online supplement: 3 tables, 3 appendices</w:t>
      </w:r>
    </w:p>
    <w:p w:rsidR="00EE51AB" w:rsidRDefault="00EE51AB" w:rsidP="00EE51AB">
      <w:pPr>
        <w:rPr>
          <w:rFonts w:ascii="Times New Roman" w:hAnsi="Times New Roman" w:cs="Times New Roman"/>
          <w:sz w:val="24"/>
          <w:szCs w:val="24"/>
        </w:rPr>
      </w:pPr>
    </w:p>
    <w:p w:rsidR="00496F2A" w:rsidRPr="00925734" w:rsidRDefault="00EE51AB">
      <w:pPr>
        <w:rPr>
          <w:rFonts w:ascii="Times New Roman" w:hAnsi="Times New Roman" w:cs="Times New Roman"/>
          <w:sz w:val="24"/>
          <w:szCs w:val="24"/>
        </w:rPr>
      </w:pPr>
      <w:r w:rsidRPr="00EE51AB">
        <w:rPr>
          <w:rFonts w:ascii="Times New Roman" w:hAnsi="Times New Roman" w:cs="Times New Roman"/>
          <w:sz w:val="24"/>
          <w:szCs w:val="24"/>
        </w:rPr>
        <w:t>The Corresponding Author has the right to grant on behalf of all authors and does grant on behalf of all authors, an exclusive licence (or non exclusive for government employees) on a worldwide basis to the BMJ Publishing Group Ltd and its Licensees to permit this article (if accepted) to be published in Occupational and Environmental Medicine editions and any other BMJPGL products to exploit all subsidiary rights, as set out in our licence (http://oem.bmjjournals.com/misc/ifora/licenceform.shtml).</w:t>
      </w:r>
      <w:r w:rsidR="00496F2A">
        <w:rPr>
          <w:rFonts w:ascii="Times New Roman" w:hAnsi="Times New Roman" w:cs="Times New Roman"/>
        </w:rPr>
        <w:br w:type="page"/>
      </w:r>
    </w:p>
    <w:p w:rsidR="00964CC3" w:rsidRPr="00880131" w:rsidRDefault="00496F2A">
      <w:pPr>
        <w:rPr>
          <w:rFonts w:ascii="Times New Roman" w:hAnsi="Times New Roman" w:cs="Times New Roman"/>
          <w:b/>
          <w:sz w:val="28"/>
          <w:szCs w:val="28"/>
        </w:rPr>
      </w:pPr>
      <w:r w:rsidRPr="00880131">
        <w:rPr>
          <w:rFonts w:ascii="Times New Roman" w:hAnsi="Times New Roman" w:cs="Times New Roman"/>
          <w:b/>
          <w:sz w:val="28"/>
          <w:szCs w:val="28"/>
        </w:rPr>
        <w:lastRenderedPageBreak/>
        <w:t>Abstract</w:t>
      </w:r>
    </w:p>
    <w:p w:rsidR="00880131" w:rsidRDefault="00880131" w:rsidP="00880131">
      <w:pPr>
        <w:rPr>
          <w:rFonts w:ascii="Times New Roman" w:hAnsi="Times New Roman" w:cs="Times New Roman"/>
          <w:b/>
          <w:sz w:val="24"/>
          <w:szCs w:val="24"/>
        </w:rPr>
      </w:pPr>
    </w:p>
    <w:p w:rsidR="00EE51AB" w:rsidRPr="00880131" w:rsidRDefault="00EE51AB" w:rsidP="00EE51AB">
      <w:pPr>
        <w:rPr>
          <w:rFonts w:ascii="Times New Roman" w:hAnsi="Times New Roman" w:cs="Times New Roman"/>
          <w:b/>
          <w:sz w:val="24"/>
          <w:szCs w:val="24"/>
        </w:rPr>
      </w:pPr>
      <w:r w:rsidRPr="00880131">
        <w:rPr>
          <w:rFonts w:ascii="Times New Roman" w:hAnsi="Times New Roman" w:cs="Times New Roman"/>
          <w:b/>
          <w:sz w:val="24"/>
          <w:szCs w:val="24"/>
        </w:rPr>
        <w:t>Objectives</w:t>
      </w:r>
    </w:p>
    <w:p w:rsidR="00EE51AB" w:rsidRDefault="00EE51AB" w:rsidP="00EE51AB">
      <w:pPr>
        <w:rPr>
          <w:rFonts w:ascii="Times New Roman" w:hAnsi="Times New Roman" w:cs="Times New Roman"/>
          <w:sz w:val="24"/>
          <w:szCs w:val="24"/>
        </w:rPr>
      </w:pPr>
      <w:r>
        <w:rPr>
          <w:rFonts w:ascii="Times New Roman" w:hAnsi="Times New Roman" w:cs="Times New Roman"/>
          <w:sz w:val="24"/>
          <w:szCs w:val="24"/>
        </w:rPr>
        <w:t>M</w:t>
      </w:r>
      <w:r w:rsidRPr="00496F2A">
        <w:rPr>
          <w:rFonts w:ascii="Times New Roman" w:hAnsi="Times New Roman" w:cs="Times New Roman"/>
          <w:sz w:val="24"/>
          <w:szCs w:val="24"/>
        </w:rPr>
        <w:t xml:space="preserve">ental </w:t>
      </w:r>
      <w:r>
        <w:rPr>
          <w:rFonts w:ascii="Times New Roman" w:hAnsi="Times New Roman" w:cs="Times New Roman"/>
          <w:sz w:val="24"/>
          <w:szCs w:val="24"/>
        </w:rPr>
        <w:t>illness</w:t>
      </w:r>
      <w:r w:rsidRPr="00496F2A">
        <w:rPr>
          <w:rFonts w:ascii="Times New Roman" w:hAnsi="Times New Roman" w:cs="Times New Roman"/>
          <w:sz w:val="24"/>
          <w:szCs w:val="24"/>
        </w:rPr>
        <w:t xml:space="preserve"> and psychotropic drugs </w:t>
      </w:r>
      <w:r>
        <w:rPr>
          <w:rFonts w:ascii="Times New Roman" w:hAnsi="Times New Roman" w:cs="Times New Roman"/>
          <w:sz w:val="24"/>
          <w:szCs w:val="24"/>
        </w:rPr>
        <w:t>have been linked with workplace</w:t>
      </w:r>
      <w:r w:rsidRPr="00496F2A">
        <w:rPr>
          <w:rFonts w:ascii="Times New Roman" w:hAnsi="Times New Roman" w:cs="Times New Roman"/>
          <w:sz w:val="24"/>
          <w:szCs w:val="24"/>
        </w:rPr>
        <w:t xml:space="preserve"> injury, </w:t>
      </w:r>
      <w:r>
        <w:rPr>
          <w:rFonts w:ascii="Times New Roman" w:hAnsi="Times New Roman" w:cs="Times New Roman"/>
          <w:sz w:val="24"/>
          <w:szCs w:val="24"/>
        </w:rPr>
        <w:t>but</w:t>
      </w:r>
      <w:r w:rsidRPr="00496F2A">
        <w:rPr>
          <w:rFonts w:ascii="Times New Roman" w:hAnsi="Times New Roman" w:cs="Times New Roman"/>
          <w:sz w:val="24"/>
          <w:szCs w:val="24"/>
        </w:rPr>
        <w:t xml:space="preserve"> </w:t>
      </w:r>
      <w:r>
        <w:rPr>
          <w:rFonts w:ascii="Times New Roman" w:hAnsi="Times New Roman" w:cs="Times New Roman"/>
          <w:sz w:val="24"/>
          <w:szCs w:val="24"/>
        </w:rPr>
        <w:t>few</w:t>
      </w:r>
      <w:r w:rsidRPr="00496F2A">
        <w:rPr>
          <w:rFonts w:ascii="Times New Roman" w:hAnsi="Times New Roman" w:cs="Times New Roman"/>
          <w:sz w:val="24"/>
          <w:szCs w:val="24"/>
        </w:rPr>
        <w:t xml:space="preserve"> studies have measure</w:t>
      </w:r>
      <w:r>
        <w:rPr>
          <w:rFonts w:ascii="Times New Roman" w:hAnsi="Times New Roman" w:cs="Times New Roman"/>
          <w:sz w:val="24"/>
          <w:szCs w:val="24"/>
        </w:rPr>
        <w:t>d</w:t>
      </w:r>
      <w:r w:rsidRPr="00496F2A">
        <w:rPr>
          <w:rFonts w:ascii="Times New Roman" w:hAnsi="Times New Roman" w:cs="Times New Roman"/>
          <w:sz w:val="24"/>
          <w:szCs w:val="24"/>
        </w:rPr>
        <w:t xml:space="preserve"> exposures and outcomes independently</w:t>
      </w:r>
      <w:r>
        <w:rPr>
          <w:rFonts w:ascii="Times New Roman" w:hAnsi="Times New Roman" w:cs="Times New Roman"/>
          <w:sz w:val="24"/>
          <w:szCs w:val="24"/>
        </w:rPr>
        <w:t xml:space="preserve"> or established their relative timings. To address this shortcoming, we conducted a </w:t>
      </w:r>
      <w:r w:rsidRPr="00496F2A">
        <w:rPr>
          <w:rFonts w:ascii="Times New Roman" w:hAnsi="Times New Roman" w:cs="Times New Roman"/>
          <w:sz w:val="24"/>
          <w:szCs w:val="24"/>
        </w:rPr>
        <w:t xml:space="preserve">case-control </w:t>
      </w:r>
      <w:r>
        <w:rPr>
          <w:rFonts w:ascii="Times New Roman" w:hAnsi="Times New Roman" w:cs="Times New Roman"/>
          <w:sz w:val="24"/>
          <w:szCs w:val="24"/>
        </w:rPr>
        <w:t xml:space="preserve">study nested within a </w:t>
      </w:r>
      <w:r w:rsidRPr="00496F2A">
        <w:rPr>
          <w:rFonts w:ascii="Times New Roman" w:hAnsi="Times New Roman" w:cs="Times New Roman"/>
          <w:sz w:val="24"/>
          <w:szCs w:val="24"/>
        </w:rPr>
        <w:t>database prospectively</w:t>
      </w:r>
      <w:r>
        <w:rPr>
          <w:rFonts w:ascii="Times New Roman" w:hAnsi="Times New Roman" w:cs="Times New Roman"/>
          <w:sz w:val="24"/>
          <w:szCs w:val="24"/>
        </w:rPr>
        <w:t xml:space="preserve"> recording</w:t>
      </w:r>
      <w:r w:rsidRPr="00496F2A">
        <w:rPr>
          <w:rFonts w:ascii="Times New Roman" w:hAnsi="Times New Roman" w:cs="Times New Roman"/>
          <w:sz w:val="24"/>
          <w:szCs w:val="24"/>
        </w:rPr>
        <w:t xml:space="preserve"> </w:t>
      </w:r>
      <w:r>
        <w:rPr>
          <w:rFonts w:ascii="Times New Roman" w:hAnsi="Times New Roman" w:cs="Times New Roman"/>
          <w:sz w:val="24"/>
          <w:szCs w:val="24"/>
        </w:rPr>
        <w:t xml:space="preserve">injury </w:t>
      </w:r>
      <w:r w:rsidRPr="00496F2A">
        <w:rPr>
          <w:rFonts w:ascii="Times New Roman" w:hAnsi="Times New Roman" w:cs="Times New Roman"/>
          <w:sz w:val="24"/>
          <w:szCs w:val="24"/>
        </w:rPr>
        <w:t>consultations, diagnoses and drug prescriptions.</w:t>
      </w:r>
    </w:p>
    <w:p w:rsidR="00EE51AB" w:rsidRPr="00880131" w:rsidRDefault="00EE51AB" w:rsidP="00EE51AB">
      <w:pPr>
        <w:rPr>
          <w:rFonts w:ascii="Times New Roman" w:hAnsi="Times New Roman" w:cs="Times New Roman"/>
          <w:b/>
          <w:sz w:val="24"/>
          <w:szCs w:val="24"/>
        </w:rPr>
      </w:pPr>
      <w:r w:rsidRPr="00880131">
        <w:rPr>
          <w:rFonts w:ascii="Times New Roman" w:hAnsi="Times New Roman" w:cs="Times New Roman"/>
          <w:b/>
          <w:sz w:val="24"/>
          <w:szCs w:val="24"/>
        </w:rPr>
        <w:t>Methods</w:t>
      </w:r>
    </w:p>
    <w:p w:rsidR="00EE51AB" w:rsidRPr="0083336D" w:rsidRDefault="00EE51AB" w:rsidP="00EE51AB">
      <w:pPr>
        <w:rPr>
          <w:rFonts w:ascii="Times New Roman" w:hAnsi="Times New Roman" w:cs="Times New Roman"/>
          <w:sz w:val="24"/>
          <w:szCs w:val="24"/>
        </w:rPr>
      </w:pPr>
      <w:r w:rsidRPr="00880131">
        <w:rPr>
          <w:rFonts w:ascii="Times New Roman" w:hAnsi="Times New Roman" w:cs="Times New Roman"/>
          <w:sz w:val="24"/>
          <w:szCs w:val="24"/>
        </w:rPr>
        <w:t xml:space="preserve">The </w:t>
      </w:r>
      <w:r w:rsidRPr="0093540C">
        <w:rPr>
          <w:rFonts w:ascii="Times New Roman" w:hAnsi="Times New Roman" w:cs="Times New Roman"/>
          <w:sz w:val="24"/>
          <w:szCs w:val="24"/>
        </w:rPr>
        <w:t xml:space="preserve">Clinical Practice Research Datalink </w:t>
      </w:r>
      <w:r w:rsidRPr="00880131">
        <w:rPr>
          <w:rFonts w:ascii="Times New Roman" w:hAnsi="Times New Roman" w:cs="Times New Roman"/>
          <w:sz w:val="24"/>
          <w:szCs w:val="24"/>
        </w:rPr>
        <w:t xml:space="preserve">logs primary care </w:t>
      </w:r>
      <w:r>
        <w:rPr>
          <w:rFonts w:ascii="Times New Roman" w:hAnsi="Times New Roman" w:cs="Times New Roman"/>
          <w:sz w:val="24"/>
          <w:szCs w:val="24"/>
        </w:rPr>
        <w:t>data</w:t>
      </w:r>
      <w:r w:rsidRPr="00880131">
        <w:rPr>
          <w:rFonts w:ascii="Times New Roman" w:hAnsi="Times New Roman" w:cs="Times New Roman"/>
          <w:sz w:val="24"/>
          <w:szCs w:val="24"/>
        </w:rPr>
        <w:t xml:space="preserve"> for 6% of the British population</w:t>
      </w:r>
      <w:r>
        <w:rPr>
          <w:rFonts w:ascii="Times New Roman" w:hAnsi="Times New Roman" w:cs="Times New Roman"/>
          <w:sz w:val="24"/>
          <w:szCs w:val="24"/>
        </w:rPr>
        <w:t>, coding all</w:t>
      </w:r>
      <w:r w:rsidRPr="00880131">
        <w:rPr>
          <w:rFonts w:ascii="Times New Roman" w:hAnsi="Times New Roman" w:cs="Times New Roman"/>
          <w:sz w:val="24"/>
          <w:szCs w:val="24"/>
        </w:rPr>
        <w:t xml:space="preserve"> </w:t>
      </w:r>
      <w:r>
        <w:rPr>
          <w:rFonts w:ascii="Times New Roman" w:hAnsi="Times New Roman" w:cs="Times New Roman"/>
          <w:sz w:val="24"/>
          <w:szCs w:val="24"/>
        </w:rPr>
        <w:t>c</w:t>
      </w:r>
      <w:r w:rsidRPr="00880131">
        <w:rPr>
          <w:rFonts w:ascii="Times New Roman" w:hAnsi="Times New Roman" w:cs="Times New Roman"/>
          <w:sz w:val="24"/>
          <w:szCs w:val="24"/>
        </w:rPr>
        <w:t xml:space="preserve">onsultations </w:t>
      </w:r>
      <w:r>
        <w:rPr>
          <w:rFonts w:ascii="Times New Roman" w:hAnsi="Times New Roman" w:cs="Times New Roman"/>
          <w:sz w:val="24"/>
          <w:szCs w:val="24"/>
        </w:rPr>
        <w:t>(</w:t>
      </w:r>
      <w:r w:rsidRPr="00880131">
        <w:rPr>
          <w:rFonts w:ascii="Times New Roman" w:hAnsi="Times New Roman" w:cs="Times New Roman"/>
          <w:sz w:val="24"/>
          <w:szCs w:val="24"/>
        </w:rPr>
        <w:t>by the Read system</w:t>
      </w:r>
      <w:r>
        <w:rPr>
          <w:rFonts w:ascii="Times New Roman" w:hAnsi="Times New Roman" w:cs="Times New Roman"/>
          <w:sz w:val="24"/>
          <w:szCs w:val="24"/>
        </w:rPr>
        <w:t>)</w:t>
      </w:r>
      <w:r w:rsidRPr="00880131">
        <w:rPr>
          <w:rFonts w:ascii="Times New Roman" w:hAnsi="Times New Roman" w:cs="Times New Roman"/>
          <w:sz w:val="24"/>
          <w:szCs w:val="24"/>
        </w:rPr>
        <w:t xml:space="preserve"> and drug prescriptions. </w:t>
      </w:r>
      <w:r>
        <w:rPr>
          <w:rFonts w:ascii="Times New Roman" w:hAnsi="Times New Roman" w:cs="Times New Roman"/>
          <w:sz w:val="24"/>
          <w:szCs w:val="24"/>
        </w:rPr>
        <w:t>W</w:t>
      </w:r>
      <w:r w:rsidRPr="00880131">
        <w:rPr>
          <w:rFonts w:ascii="Times New Roman" w:hAnsi="Times New Roman" w:cs="Times New Roman"/>
          <w:sz w:val="24"/>
          <w:szCs w:val="24"/>
        </w:rPr>
        <w:t>e identified 1,348 patients aged 16-64 years</w:t>
      </w:r>
      <w:r>
        <w:rPr>
          <w:rFonts w:ascii="Times New Roman" w:hAnsi="Times New Roman" w:cs="Times New Roman"/>
          <w:sz w:val="24"/>
          <w:szCs w:val="24"/>
        </w:rPr>
        <w:t xml:space="preserve"> from this database</w:t>
      </w:r>
      <w:r w:rsidRPr="00880131">
        <w:rPr>
          <w:rFonts w:ascii="Times New Roman" w:hAnsi="Times New Roman" w:cs="Times New Roman"/>
          <w:sz w:val="24"/>
          <w:szCs w:val="24"/>
        </w:rPr>
        <w:t xml:space="preserve"> </w:t>
      </w:r>
      <w:r>
        <w:rPr>
          <w:rFonts w:ascii="Times New Roman" w:hAnsi="Times New Roman" w:cs="Times New Roman"/>
          <w:sz w:val="24"/>
          <w:szCs w:val="24"/>
        </w:rPr>
        <w:t xml:space="preserve">who had </w:t>
      </w:r>
      <w:r w:rsidRPr="00880131">
        <w:rPr>
          <w:rFonts w:ascii="Times New Roman" w:hAnsi="Times New Roman" w:cs="Times New Roman"/>
          <w:sz w:val="24"/>
          <w:szCs w:val="24"/>
        </w:rPr>
        <w:t>consult</w:t>
      </w:r>
      <w:r>
        <w:rPr>
          <w:rFonts w:ascii="Times New Roman" w:hAnsi="Times New Roman" w:cs="Times New Roman"/>
          <w:sz w:val="24"/>
          <w:szCs w:val="24"/>
        </w:rPr>
        <w:t>ed</w:t>
      </w:r>
      <w:r w:rsidRPr="00880131">
        <w:rPr>
          <w:rFonts w:ascii="Times New Roman" w:hAnsi="Times New Roman" w:cs="Times New Roman"/>
          <w:sz w:val="24"/>
          <w:szCs w:val="24"/>
        </w:rPr>
        <w:t xml:space="preserve"> a </w:t>
      </w:r>
      <w:r>
        <w:rPr>
          <w:rFonts w:ascii="Times New Roman" w:hAnsi="Times New Roman" w:cs="Times New Roman"/>
          <w:sz w:val="24"/>
          <w:szCs w:val="24"/>
        </w:rPr>
        <w:t>family doctor or hospital over a 20-year period</w:t>
      </w:r>
      <w:r w:rsidRPr="00880131">
        <w:rPr>
          <w:rFonts w:ascii="Times New Roman" w:hAnsi="Times New Roman" w:cs="Times New Roman"/>
          <w:sz w:val="24"/>
          <w:szCs w:val="24"/>
        </w:rPr>
        <w:t xml:space="preserve"> for workplace injury (</w:t>
      </w:r>
      <w:r>
        <w:rPr>
          <w:rFonts w:ascii="Times New Roman" w:hAnsi="Times New Roman" w:cs="Times New Roman"/>
          <w:sz w:val="24"/>
          <w:szCs w:val="24"/>
        </w:rPr>
        <w:t xml:space="preserve">cases, </w:t>
      </w:r>
      <w:r w:rsidRPr="00880131">
        <w:rPr>
          <w:rFonts w:ascii="Times New Roman" w:hAnsi="Times New Roman" w:cs="Times New Roman"/>
          <w:sz w:val="24"/>
          <w:szCs w:val="24"/>
        </w:rPr>
        <w:t xml:space="preserve">479 diagnostic codes) and 6,652 age, sex, and practice-matched controls with no such consultation. </w:t>
      </w:r>
      <w:r>
        <w:rPr>
          <w:rFonts w:ascii="Times New Roman" w:hAnsi="Times New Roman" w:cs="Times New Roman"/>
          <w:sz w:val="24"/>
          <w:szCs w:val="24"/>
        </w:rPr>
        <w:t>Groups</w:t>
      </w:r>
      <w:r w:rsidRPr="00880131">
        <w:rPr>
          <w:rFonts w:ascii="Times New Roman" w:hAnsi="Times New Roman" w:cs="Times New Roman"/>
          <w:sz w:val="24"/>
          <w:szCs w:val="24"/>
        </w:rPr>
        <w:t xml:space="preserve"> were compared in terms of consultations for mental health problems (1,328 codes) and prescription of </w:t>
      </w:r>
      <w:r>
        <w:rPr>
          <w:rFonts w:ascii="Times New Roman" w:hAnsi="Times New Roman" w:cs="Times New Roman"/>
          <w:sz w:val="24"/>
          <w:szCs w:val="24"/>
        </w:rPr>
        <w:t>psychotropic drugs prior to the case’s</w:t>
      </w:r>
      <w:r w:rsidRPr="00880131">
        <w:rPr>
          <w:rFonts w:ascii="Times New Roman" w:hAnsi="Times New Roman" w:cs="Times New Roman"/>
          <w:sz w:val="24"/>
          <w:szCs w:val="24"/>
        </w:rPr>
        <w:t xml:space="preserve"> injury</w:t>
      </w:r>
      <w:r>
        <w:rPr>
          <w:rFonts w:ascii="Times New Roman" w:hAnsi="Times New Roman" w:cs="Times New Roman"/>
          <w:sz w:val="24"/>
          <w:szCs w:val="24"/>
        </w:rPr>
        <w:t xml:space="preserve"> consultation,</w:t>
      </w:r>
      <w:r w:rsidRPr="00880131">
        <w:rPr>
          <w:rFonts w:ascii="Times New Roman" w:hAnsi="Times New Roman" w:cs="Times New Roman"/>
          <w:sz w:val="24"/>
          <w:szCs w:val="24"/>
        </w:rPr>
        <w:t xml:space="preserve"> using conditional logistic regression.</w:t>
      </w:r>
    </w:p>
    <w:p w:rsidR="00EE51AB" w:rsidRDefault="00EE51AB" w:rsidP="00EE51AB">
      <w:pPr>
        <w:pStyle w:val="Heading2"/>
        <w:spacing w:before="0"/>
        <w:rPr>
          <w:rFonts w:ascii="Times New Roman" w:eastAsiaTheme="minorHAnsi" w:hAnsi="Times New Roman" w:cs="Times New Roman"/>
          <w:bCs w:val="0"/>
          <w:color w:val="auto"/>
          <w:sz w:val="24"/>
          <w:szCs w:val="24"/>
        </w:rPr>
      </w:pPr>
    </w:p>
    <w:p w:rsidR="00EE51AB" w:rsidRPr="00880131" w:rsidRDefault="00EE51AB" w:rsidP="00EE51AB">
      <w:pPr>
        <w:pStyle w:val="Heading2"/>
        <w:spacing w:before="0"/>
        <w:rPr>
          <w:rFonts w:ascii="Times New Roman" w:eastAsiaTheme="minorHAnsi" w:hAnsi="Times New Roman" w:cs="Times New Roman"/>
          <w:bCs w:val="0"/>
          <w:color w:val="auto"/>
          <w:sz w:val="24"/>
          <w:szCs w:val="24"/>
        </w:rPr>
      </w:pPr>
      <w:r w:rsidRPr="00880131">
        <w:rPr>
          <w:rFonts w:ascii="Times New Roman" w:eastAsiaTheme="minorHAnsi" w:hAnsi="Times New Roman" w:cs="Times New Roman"/>
          <w:bCs w:val="0"/>
          <w:color w:val="auto"/>
          <w:sz w:val="24"/>
          <w:szCs w:val="24"/>
        </w:rPr>
        <w:t>Results</w:t>
      </w:r>
    </w:p>
    <w:p w:rsidR="00EE51AB" w:rsidRPr="00DE39D6" w:rsidRDefault="00EE51AB" w:rsidP="00EE51AB">
      <w:pPr>
        <w:widowControl w:val="0"/>
        <w:rPr>
          <w:rFonts w:ascii="Times New Roman" w:hAnsi="Times New Roman" w:cs="Times New Roman"/>
          <w:sz w:val="24"/>
          <w:szCs w:val="24"/>
        </w:rPr>
      </w:pPr>
      <w:r w:rsidRPr="00880131">
        <w:rPr>
          <w:rFonts w:ascii="Times New Roman" w:hAnsi="Times New Roman" w:cs="Times New Roman"/>
          <w:sz w:val="24"/>
          <w:szCs w:val="24"/>
        </w:rPr>
        <w:t xml:space="preserve">In </w:t>
      </w:r>
      <w:r>
        <w:rPr>
          <w:rFonts w:ascii="Times New Roman" w:hAnsi="Times New Roman" w:cs="Times New Roman"/>
          <w:sz w:val="24"/>
          <w:szCs w:val="24"/>
        </w:rPr>
        <w:t>total</w:t>
      </w:r>
      <w:r w:rsidRPr="00880131">
        <w:rPr>
          <w:rFonts w:ascii="Times New Roman" w:hAnsi="Times New Roman" w:cs="Times New Roman"/>
          <w:sz w:val="24"/>
          <w:szCs w:val="24"/>
        </w:rPr>
        <w:t xml:space="preserve">, 1,846 (23%) subjects had at least one psychiatric consultation </w:t>
      </w:r>
      <w:r>
        <w:rPr>
          <w:rFonts w:ascii="Times New Roman" w:hAnsi="Times New Roman" w:cs="Times New Roman"/>
          <w:sz w:val="24"/>
          <w:szCs w:val="24"/>
        </w:rPr>
        <w:t>before</w:t>
      </w:r>
      <w:r w:rsidRPr="00880131">
        <w:rPr>
          <w:rFonts w:ascii="Times New Roman" w:hAnsi="Times New Roman" w:cs="Times New Roman"/>
          <w:sz w:val="24"/>
          <w:szCs w:val="24"/>
        </w:rPr>
        <w:t xml:space="preserve"> the index date</w:t>
      </w:r>
      <w:r>
        <w:rPr>
          <w:rFonts w:ascii="Times New Roman" w:hAnsi="Times New Roman" w:cs="Times New Roman"/>
          <w:sz w:val="24"/>
          <w:szCs w:val="24"/>
        </w:rPr>
        <w:t xml:space="preserve"> and</w:t>
      </w:r>
      <w:r w:rsidRPr="00880131">
        <w:rPr>
          <w:rFonts w:ascii="Times New Roman" w:hAnsi="Times New Roman" w:cs="Times New Roman"/>
          <w:sz w:val="24"/>
          <w:szCs w:val="24"/>
        </w:rPr>
        <w:t xml:space="preserve"> 1,682 (21%) had been prescribed </w:t>
      </w:r>
      <w:r>
        <w:rPr>
          <w:rFonts w:ascii="Times New Roman" w:hAnsi="Times New Roman" w:cs="Times New Roman"/>
          <w:sz w:val="24"/>
          <w:szCs w:val="24"/>
        </w:rPr>
        <w:t>a psychotropic drug. The o</w:t>
      </w:r>
      <w:r w:rsidRPr="00880131">
        <w:rPr>
          <w:rFonts w:ascii="Times New Roman" w:hAnsi="Times New Roman" w:cs="Times New Roman"/>
          <w:sz w:val="24"/>
          <w:szCs w:val="24"/>
        </w:rPr>
        <w:t xml:space="preserve">dds </w:t>
      </w:r>
      <w:r>
        <w:rPr>
          <w:rFonts w:ascii="Times New Roman" w:hAnsi="Times New Roman" w:cs="Times New Roman"/>
          <w:sz w:val="24"/>
          <w:szCs w:val="24"/>
        </w:rPr>
        <w:t>r</w:t>
      </w:r>
      <w:r w:rsidRPr="00880131">
        <w:rPr>
          <w:rFonts w:ascii="Times New Roman" w:hAnsi="Times New Roman" w:cs="Times New Roman"/>
          <w:sz w:val="24"/>
          <w:szCs w:val="24"/>
        </w:rPr>
        <w:t xml:space="preserve">atio </w:t>
      </w:r>
      <w:r>
        <w:rPr>
          <w:rFonts w:ascii="Times New Roman" w:hAnsi="Times New Roman" w:cs="Times New Roman"/>
          <w:sz w:val="24"/>
          <w:szCs w:val="24"/>
        </w:rPr>
        <w:t xml:space="preserve">for </w:t>
      </w:r>
      <w:r w:rsidRPr="00880131">
        <w:rPr>
          <w:rFonts w:ascii="Times New Roman" w:hAnsi="Times New Roman" w:cs="Times New Roman"/>
          <w:sz w:val="24"/>
          <w:szCs w:val="24"/>
        </w:rPr>
        <w:t xml:space="preserve">prior mental health </w:t>
      </w:r>
      <w:r>
        <w:rPr>
          <w:rFonts w:ascii="Times New Roman" w:hAnsi="Times New Roman" w:cs="Times New Roman"/>
          <w:sz w:val="24"/>
          <w:szCs w:val="24"/>
        </w:rPr>
        <w:t>consultation was 1.44</w:t>
      </w:r>
      <w:r w:rsidRPr="00976837">
        <w:rPr>
          <w:rFonts w:ascii="Times New Roman" w:hAnsi="Times New Roman" w:cs="Times New Roman"/>
          <w:sz w:val="24"/>
          <w:szCs w:val="24"/>
        </w:rPr>
        <w:t xml:space="preserve"> (P&lt;0.001)</w:t>
      </w:r>
      <w:r>
        <w:rPr>
          <w:rFonts w:ascii="Times New Roman" w:hAnsi="Times New Roman" w:cs="Times New Roman"/>
          <w:sz w:val="24"/>
          <w:szCs w:val="24"/>
        </w:rPr>
        <w:t xml:space="preserve"> and that for psychotropic</w:t>
      </w:r>
      <w:r w:rsidRPr="00880131">
        <w:rPr>
          <w:rFonts w:ascii="Times New Roman" w:hAnsi="Times New Roman" w:cs="Times New Roman"/>
          <w:sz w:val="24"/>
          <w:szCs w:val="24"/>
        </w:rPr>
        <w:t xml:space="preserve"> drug treatment</w:t>
      </w:r>
      <w:r>
        <w:rPr>
          <w:rFonts w:ascii="Times New Roman" w:hAnsi="Times New Roman" w:cs="Times New Roman"/>
          <w:sz w:val="24"/>
          <w:szCs w:val="24"/>
        </w:rPr>
        <w:t xml:space="preserve"> was 1.57 (</w:t>
      </w:r>
      <w:r w:rsidRPr="00880131">
        <w:rPr>
          <w:rFonts w:ascii="Times New Roman" w:hAnsi="Times New Roman" w:cs="Times New Roman"/>
          <w:sz w:val="24"/>
          <w:szCs w:val="24"/>
        </w:rPr>
        <w:t>P&lt;0.001</w:t>
      </w:r>
      <w:r>
        <w:rPr>
          <w:rFonts w:ascii="Times New Roman" w:hAnsi="Times New Roman" w:cs="Times New Roman"/>
          <w:sz w:val="24"/>
          <w:szCs w:val="24"/>
        </w:rPr>
        <w:t xml:space="preserve">). Risks were </w:t>
      </w:r>
      <w:r w:rsidRPr="00880131">
        <w:rPr>
          <w:rFonts w:ascii="Times New Roman" w:hAnsi="Times New Roman" w:cs="Times New Roman"/>
          <w:sz w:val="24"/>
          <w:szCs w:val="24"/>
        </w:rPr>
        <w:t>significant</w:t>
      </w:r>
      <w:r>
        <w:rPr>
          <w:rFonts w:ascii="Times New Roman" w:hAnsi="Times New Roman" w:cs="Times New Roman"/>
          <w:sz w:val="24"/>
          <w:szCs w:val="24"/>
        </w:rPr>
        <w:t>ly elevated</w:t>
      </w:r>
      <w:r w:rsidRPr="00880131">
        <w:rPr>
          <w:rFonts w:ascii="Times New Roman" w:hAnsi="Times New Roman" w:cs="Times New Roman"/>
          <w:sz w:val="24"/>
          <w:szCs w:val="24"/>
        </w:rPr>
        <w:t xml:space="preserve"> </w:t>
      </w:r>
      <w:r>
        <w:rPr>
          <w:rFonts w:ascii="Times New Roman" w:hAnsi="Times New Roman" w:cs="Times New Roman"/>
          <w:sz w:val="24"/>
          <w:szCs w:val="24"/>
        </w:rPr>
        <w:t>for several</w:t>
      </w:r>
      <w:r w:rsidRPr="00880131">
        <w:rPr>
          <w:rFonts w:ascii="Times New Roman" w:hAnsi="Times New Roman" w:cs="Times New Roman"/>
          <w:sz w:val="24"/>
          <w:szCs w:val="24"/>
        </w:rPr>
        <w:t xml:space="preserve"> subclass</w:t>
      </w:r>
      <w:r>
        <w:rPr>
          <w:rFonts w:ascii="Times New Roman" w:hAnsi="Times New Roman" w:cs="Times New Roman"/>
          <w:sz w:val="24"/>
          <w:szCs w:val="24"/>
        </w:rPr>
        <w:t xml:space="preserve">es of mental health diagnosis </w:t>
      </w:r>
      <w:r w:rsidRPr="00880131">
        <w:rPr>
          <w:rFonts w:ascii="Times New Roman" w:hAnsi="Times New Roman" w:cs="Times New Roman"/>
          <w:sz w:val="24"/>
          <w:szCs w:val="24"/>
        </w:rPr>
        <w:t>(</w:t>
      </w:r>
      <w:r>
        <w:rPr>
          <w:rFonts w:ascii="Times New Roman" w:hAnsi="Times New Roman" w:cs="Times New Roman"/>
          <w:sz w:val="24"/>
          <w:szCs w:val="24"/>
        </w:rPr>
        <w:t xml:space="preserve">e.g. </w:t>
      </w:r>
      <w:r w:rsidRPr="00880131">
        <w:rPr>
          <w:rFonts w:ascii="Times New Roman" w:hAnsi="Times New Roman" w:cs="Times New Roman"/>
          <w:sz w:val="24"/>
          <w:szCs w:val="24"/>
        </w:rPr>
        <w:t>psychosis, neurosis)</w:t>
      </w:r>
      <w:r>
        <w:rPr>
          <w:rFonts w:ascii="Times New Roman" w:hAnsi="Times New Roman" w:cs="Times New Roman"/>
          <w:sz w:val="24"/>
          <w:szCs w:val="24"/>
        </w:rPr>
        <w:t xml:space="preserve"> and for each </w:t>
      </w:r>
      <w:r w:rsidRPr="00880131">
        <w:rPr>
          <w:rFonts w:ascii="Times New Roman" w:hAnsi="Times New Roman" w:cs="Times New Roman"/>
          <w:sz w:val="24"/>
          <w:szCs w:val="24"/>
        </w:rPr>
        <w:t xml:space="preserve">of the drug classes </w:t>
      </w:r>
      <w:r>
        <w:rPr>
          <w:rFonts w:ascii="Times New Roman" w:hAnsi="Times New Roman" w:cs="Times New Roman"/>
          <w:sz w:val="24"/>
          <w:szCs w:val="24"/>
        </w:rPr>
        <w:t>analysed</w:t>
      </w:r>
      <w:r w:rsidRPr="00880131">
        <w:rPr>
          <w:rFonts w:ascii="Times New Roman" w:hAnsi="Times New Roman" w:cs="Times New Roman"/>
          <w:sz w:val="24"/>
          <w:szCs w:val="24"/>
        </w:rPr>
        <w:t xml:space="preserve">. </w:t>
      </w:r>
      <w:r>
        <w:rPr>
          <w:rFonts w:ascii="Times New Roman" w:hAnsi="Times New Roman" w:cs="Times New Roman"/>
          <w:sz w:val="24"/>
          <w:szCs w:val="24"/>
        </w:rPr>
        <w:t xml:space="preserve"> Assuming causal relationships, </w:t>
      </w:r>
      <w:r w:rsidR="00533B09">
        <w:rPr>
          <w:rFonts w:ascii="Times New Roman" w:hAnsi="Times New Roman" w:cs="Times New Roman"/>
          <w:sz w:val="24"/>
          <w:szCs w:val="24"/>
        </w:rPr>
        <w:t>about</w:t>
      </w:r>
      <w:r w:rsidRPr="0093540C">
        <w:rPr>
          <w:rFonts w:ascii="Times New Roman" w:hAnsi="Times New Roman" w:cs="Times New Roman"/>
          <w:sz w:val="24"/>
          <w:szCs w:val="24"/>
        </w:rPr>
        <w:t xml:space="preserve"> </w:t>
      </w:r>
      <w:r>
        <w:rPr>
          <w:rFonts w:ascii="Times New Roman" w:hAnsi="Times New Roman" w:cs="Times New Roman"/>
          <w:sz w:val="24"/>
          <w:szCs w:val="24"/>
        </w:rPr>
        <w:t>9-10%</w:t>
      </w:r>
      <w:r w:rsidRPr="0093540C">
        <w:rPr>
          <w:rFonts w:ascii="Times New Roman" w:hAnsi="Times New Roman" w:cs="Times New Roman"/>
          <w:sz w:val="24"/>
          <w:szCs w:val="24"/>
        </w:rPr>
        <w:t xml:space="preserve"> of all workplace injuries </w:t>
      </w:r>
      <w:r>
        <w:rPr>
          <w:rFonts w:ascii="Times New Roman" w:hAnsi="Times New Roman" w:cs="Times New Roman"/>
          <w:sz w:val="24"/>
          <w:szCs w:val="24"/>
        </w:rPr>
        <w:t>leading to medical consultation were</w:t>
      </w:r>
      <w:r w:rsidRPr="0093540C">
        <w:rPr>
          <w:rFonts w:ascii="Times New Roman" w:hAnsi="Times New Roman" w:cs="Times New Roman"/>
          <w:sz w:val="24"/>
          <w:szCs w:val="24"/>
        </w:rPr>
        <w:t xml:space="preserve"> attributable to mental </w:t>
      </w:r>
      <w:r>
        <w:rPr>
          <w:rFonts w:ascii="Times New Roman" w:hAnsi="Times New Roman" w:cs="Times New Roman"/>
          <w:sz w:val="24"/>
          <w:szCs w:val="24"/>
        </w:rPr>
        <w:t>illness</w:t>
      </w:r>
      <w:r w:rsidRPr="0093540C">
        <w:rPr>
          <w:rFonts w:ascii="Times New Roman" w:hAnsi="Times New Roman" w:cs="Times New Roman"/>
          <w:sz w:val="24"/>
          <w:szCs w:val="24"/>
        </w:rPr>
        <w:t xml:space="preserve"> or psychotropic medication</w:t>
      </w:r>
      <w:r w:rsidRPr="00DE39D6">
        <w:rPr>
          <w:rFonts w:ascii="Times New Roman" w:hAnsi="Times New Roman" w:cs="Times New Roman"/>
          <w:sz w:val="24"/>
          <w:szCs w:val="24"/>
        </w:rPr>
        <w:t xml:space="preserve">. </w:t>
      </w:r>
    </w:p>
    <w:p w:rsidR="00EE51AB" w:rsidRDefault="00EE51AB" w:rsidP="00EE51AB">
      <w:pPr>
        <w:rPr>
          <w:rFonts w:ascii="Times New Roman" w:hAnsi="Times New Roman" w:cs="Times New Roman"/>
          <w:b/>
          <w:sz w:val="24"/>
          <w:szCs w:val="24"/>
        </w:rPr>
      </w:pPr>
    </w:p>
    <w:p w:rsidR="00EE51AB" w:rsidRPr="00DE39D6" w:rsidRDefault="00EE51AB" w:rsidP="00EE51AB">
      <w:pPr>
        <w:rPr>
          <w:rFonts w:ascii="Times New Roman" w:hAnsi="Times New Roman" w:cs="Times New Roman"/>
          <w:b/>
          <w:sz w:val="24"/>
          <w:szCs w:val="24"/>
        </w:rPr>
      </w:pPr>
      <w:r w:rsidRPr="00DE39D6">
        <w:rPr>
          <w:rFonts w:ascii="Times New Roman" w:hAnsi="Times New Roman" w:cs="Times New Roman"/>
          <w:b/>
          <w:sz w:val="24"/>
          <w:szCs w:val="24"/>
        </w:rPr>
        <w:t>Conclusions</w:t>
      </w:r>
    </w:p>
    <w:p w:rsidR="007540AE" w:rsidRPr="00976837" w:rsidRDefault="00EE51AB" w:rsidP="00EE51AB">
      <w:pPr>
        <w:rPr>
          <w:rFonts w:ascii="Times New Roman" w:hAnsi="Times New Roman" w:cs="Times New Roman"/>
          <w:sz w:val="24"/>
          <w:szCs w:val="24"/>
        </w:rPr>
      </w:pPr>
      <w:r w:rsidRPr="00DE39D6">
        <w:rPr>
          <w:rFonts w:ascii="Times New Roman" w:hAnsi="Times New Roman" w:cs="Times New Roman"/>
          <w:sz w:val="24"/>
          <w:szCs w:val="24"/>
        </w:rPr>
        <w:t xml:space="preserve">Mental health problems and psychotropic treatments </w:t>
      </w:r>
      <w:r>
        <w:rPr>
          <w:rFonts w:ascii="Times New Roman" w:hAnsi="Times New Roman" w:cs="Times New Roman"/>
          <w:sz w:val="24"/>
          <w:szCs w:val="24"/>
        </w:rPr>
        <w:t xml:space="preserve">may </w:t>
      </w:r>
      <w:r w:rsidRPr="00DE39D6">
        <w:rPr>
          <w:rFonts w:ascii="Times New Roman" w:hAnsi="Times New Roman" w:cs="Times New Roman"/>
          <w:sz w:val="24"/>
          <w:szCs w:val="24"/>
        </w:rPr>
        <w:t>account for an important minority of workplace injur</w:t>
      </w:r>
      <w:r>
        <w:rPr>
          <w:rFonts w:ascii="Times New Roman" w:hAnsi="Times New Roman" w:cs="Times New Roman"/>
          <w:sz w:val="24"/>
          <w:szCs w:val="24"/>
        </w:rPr>
        <w:t>ie</w:t>
      </w:r>
      <w:r w:rsidRPr="00DE39D6">
        <w:rPr>
          <w:rFonts w:ascii="Times New Roman" w:hAnsi="Times New Roman" w:cs="Times New Roman"/>
          <w:sz w:val="24"/>
          <w:szCs w:val="24"/>
        </w:rPr>
        <w:t xml:space="preserve">s. </w:t>
      </w:r>
      <w:r w:rsidR="007540AE">
        <w:rPr>
          <w:rFonts w:ascii="Times New Roman" w:hAnsi="Times New Roman" w:cs="Times New Roman"/>
          <w:b/>
          <w:i/>
        </w:rPr>
        <w:br w:type="page"/>
      </w:r>
    </w:p>
    <w:p w:rsidR="004E27C7" w:rsidRDefault="004E27C7">
      <w:pPr>
        <w:rPr>
          <w:rFonts w:ascii="Times New Roman" w:hAnsi="Times New Roman" w:cs="Times New Roman"/>
          <w:sz w:val="24"/>
          <w:szCs w:val="24"/>
        </w:rPr>
      </w:pPr>
      <w:r w:rsidRPr="00293DE2">
        <w:rPr>
          <w:rFonts w:ascii="Times New Roman" w:hAnsi="Times New Roman" w:cs="Times New Roman"/>
          <w:b/>
          <w:sz w:val="24"/>
          <w:szCs w:val="24"/>
        </w:rPr>
        <w:lastRenderedPageBreak/>
        <w:t>What is known</w:t>
      </w:r>
      <w:r>
        <w:rPr>
          <w:rFonts w:ascii="Times New Roman" w:hAnsi="Times New Roman" w:cs="Times New Roman"/>
          <w:sz w:val="24"/>
          <w:szCs w:val="24"/>
        </w:rPr>
        <w:t>:</w:t>
      </w:r>
    </w:p>
    <w:p w:rsidR="00BD77FE" w:rsidRDefault="00BD77FE">
      <w:pPr>
        <w:rPr>
          <w:rFonts w:ascii="Times New Roman" w:hAnsi="Times New Roman" w:cs="Times New Roman"/>
          <w:sz w:val="24"/>
          <w:szCs w:val="24"/>
        </w:rPr>
      </w:pPr>
      <w:r>
        <w:rPr>
          <w:rFonts w:ascii="Times New Roman" w:hAnsi="Times New Roman" w:cs="Times New Roman"/>
          <w:sz w:val="24"/>
          <w:szCs w:val="24"/>
        </w:rPr>
        <w:t>M</w:t>
      </w:r>
      <w:r w:rsidRPr="00496F2A">
        <w:rPr>
          <w:rFonts w:ascii="Times New Roman" w:hAnsi="Times New Roman" w:cs="Times New Roman"/>
          <w:sz w:val="24"/>
          <w:szCs w:val="24"/>
        </w:rPr>
        <w:t xml:space="preserve">ental </w:t>
      </w:r>
      <w:r>
        <w:rPr>
          <w:rFonts w:ascii="Times New Roman" w:hAnsi="Times New Roman" w:cs="Times New Roman"/>
          <w:sz w:val="24"/>
          <w:szCs w:val="24"/>
        </w:rPr>
        <w:t>illness</w:t>
      </w:r>
      <w:r w:rsidRPr="00496F2A">
        <w:rPr>
          <w:rFonts w:ascii="Times New Roman" w:hAnsi="Times New Roman" w:cs="Times New Roman"/>
          <w:sz w:val="24"/>
          <w:szCs w:val="24"/>
        </w:rPr>
        <w:t xml:space="preserve"> and psychotropic drugs </w:t>
      </w:r>
      <w:r>
        <w:rPr>
          <w:rFonts w:ascii="Times New Roman" w:hAnsi="Times New Roman" w:cs="Times New Roman"/>
          <w:sz w:val="24"/>
          <w:szCs w:val="24"/>
        </w:rPr>
        <w:t>have been linked with occupational</w:t>
      </w:r>
      <w:r w:rsidRPr="00496F2A">
        <w:rPr>
          <w:rFonts w:ascii="Times New Roman" w:hAnsi="Times New Roman" w:cs="Times New Roman"/>
          <w:sz w:val="24"/>
          <w:szCs w:val="24"/>
        </w:rPr>
        <w:t xml:space="preserve"> injury</w:t>
      </w:r>
      <w:r w:rsidR="00293DE2" w:rsidRPr="00293DE2">
        <w:rPr>
          <w:rFonts w:ascii="Times New Roman" w:hAnsi="Times New Roman" w:cs="Times New Roman"/>
          <w:sz w:val="24"/>
          <w:szCs w:val="24"/>
        </w:rPr>
        <w:t xml:space="preserve"> </w:t>
      </w:r>
      <w:r w:rsidR="00293DE2">
        <w:rPr>
          <w:rFonts w:ascii="Times New Roman" w:hAnsi="Times New Roman" w:cs="Times New Roman"/>
          <w:sz w:val="24"/>
          <w:szCs w:val="24"/>
        </w:rPr>
        <w:t>in earlier studies</w:t>
      </w:r>
      <w:r w:rsidRPr="00496F2A">
        <w:rPr>
          <w:rFonts w:ascii="Times New Roman" w:hAnsi="Times New Roman" w:cs="Times New Roman"/>
          <w:sz w:val="24"/>
          <w:szCs w:val="24"/>
        </w:rPr>
        <w:t xml:space="preserve">, </w:t>
      </w:r>
      <w:r>
        <w:rPr>
          <w:rFonts w:ascii="Times New Roman" w:hAnsi="Times New Roman" w:cs="Times New Roman"/>
          <w:sz w:val="24"/>
          <w:szCs w:val="24"/>
        </w:rPr>
        <w:t>but</w:t>
      </w:r>
      <w:r w:rsidRPr="00496F2A">
        <w:rPr>
          <w:rFonts w:ascii="Times New Roman" w:hAnsi="Times New Roman" w:cs="Times New Roman"/>
          <w:sz w:val="24"/>
          <w:szCs w:val="24"/>
        </w:rPr>
        <w:t xml:space="preserve"> </w:t>
      </w:r>
      <w:r w:rsidR="004E27C7">
        <w:rPr>
          <w:rFonts w:ascii="Times New Roman" w:hAnsi="Times New Roman" w:cs="Times New Roman"/>
          <w:sz w:val="24"/>
          <w:szCs w:val="24"/>
        </w:rPr>
        <w:t>inability to</w:t>
      </w:r>
      <w:r w:rsidR="004E27C7" w:rsidRPr="00496F2A">
        <w:rPr>
          <w:rFonts w:ascii="Times New Roman" w:hAnsi="Times New Roman" w:cs="Times New Roman"/>
          <w:sz w:val="24"/>
          <w:szCs w:val="24"/>
        </w:rPr>
        <w:t xml:space="preserve"> measure exposures and outcomes independently</w:t>
      </w:r>
      <w:r w:rsidR="00293DE2">
        <w:rPr>
          <w:rFonts w:ascii="Times New Roman" w:hAnsi="Times New Roman" w:cs="Times New Roman"/>
          <w:sz w:val="24"/>
          <w:szCs w:val="24"/>
        </w:rPr>
        <w:t>,</w:t>
      </w:r>
      <w:r w:rsidR="004E27C7">
        <w:rPr>
          <w:rFonts w:ascii="Times New Roman" w:hAnsi="Times New Roman" w:cs="Times New Roman"/>
          <w:sz w:val="24"/>
          <w:szCs w:val="24"/>
        </w:rPr>
        <w:t xml:space="preserve"> </w:t>
      </w:r>
      <w:r w:rsidR="00293DE2">
        <w:rPr>
          <w:rFonts w:ascii="Times New Roman" w:hAnsi="Times New Roman" w:cs="Times New Roman"/>
          <w:sz w:val="24"/>
          <w:szCs w:val="24"/>
        </w:rPr>
        <w:t>or to</w:t>
      </w:r>
      <w:r w:rsidR="004E27C7">
        <w:rPr>
          <w:rFonts w:ascii="Times New Roman" w:hAnsi="Times New Roman" w:cs="Times New Roman"/>
          <w:sz w:val="24"/>
          <w:szCs w:val="24"/>
        </w:rPr>
        <w:t xml:space="preserve"> establish their relative timings</w:t>
      </w:r>
      <w:r w:rsidR="00293DE2">
        <w:rPr>
          <w:rFonts w:ascii="Times New Roman" w:hAnsi="Times New Roman" w:cs="Times New Roman"/>
          <w:sz w:val="24"/>
          <w:szCs w:val="24"/>
        </w:rPr>
        <w:t>,</w:t>
      </w:r>
      <w:r w:rsidR="004E27C7">
        <w:rPr>
          <w:rFonts w:ascii="Times New Roman" w:hAnsi="Times New Roman" w:cs="Times New Roman"/>
          <w:sz w:val="24"/>
          <w:szCs w:val="24"/>
        </w:rPr>
        <w:t xml:space="preserve"> may have led to risks being over-estimated</w:t>
      </w:r>
      <w:r>
        <w:rPr>
          <w:rFonts w:ascii="Times New Roman" w:hAnsi="Times New Roman" w:cs="Times New Roman"/>
          <w:sz w:val="24"/>
          <w:szCs w:val="24"/>
        </w:rPr>
        <w:t>.</w:t>
      </w:r>
    </w:p>
    <w:p w:rsidR="004E27C7" w:rsidRDefault="004E27C7">
      <w:pPr>
        <w:rPr>
          <w:rFonts w:ascii="Times New Roman" w:hAnsi="Times New Roman" w:cs="Times New Roman"/>
          <w:sz w:val="24"/>
          <w:szCs w:val="24"/>
        </w:rPr>
      </w:pPr>
    </w:p>
    <w:p w:rsidR="004E27C7" w:rsidRDefault="004E27C7">
      <w:pPr>
        <w:rPr>
          <w:rFonts w:ascii="Times New Roman" w:hAnsi="Times New Roman" w:cs="Times New Roman"/>
          <w:sz w:val="24"/>
          <w:szCs w:val="24"/>
        </w:rPr>
      </w:pPr>
      <w:r w:rsidRPr="00293DE2">
        <w:rPr>
          <w:rFonts w:ascii="Times New Roman" w:hAnsi="Times New Roman" w:cs="Times New Roman"/>
          <w:b/>
          <w:sz w:val="24"/>
          <w:szCs w:val="24"/>
        </w:rPr>
        <w:t>What this study adds</w:t>
      </w:r>
      <w:r>
        <w:rPr>
          <w:rFonts w:ascii="Times New Roman" w:hAnsi="Times New Roman" w:cs="Times New Roman"/>
          <w:sz w:val="24"/>
          <w:szCs w:val="24"/>
        </w:rPr>
        <w:t>:</w:t>
      </w:r>
    </w:p>
    <w:p w:rsidR="004E27C7" w:rsidRDefault="00293DE2">
      <w:pPr>
        <w:rPr>
          <w:rFonts w:ascii="Times New Roman" w:hAnsi="Times New Roman" w:cs="Times New Roman"/>
          <w:sz w:val="24"/>
          <w:szCs w:val="24"/>
        </w:rPr>
      </w:pPr>
      <w:r>
        <w:rPr>
          <w:rFonts w:ascii="Times New Roman" w:hAnsi="Times New Roman" w:cs="Times New Roman"/>
          <w:sz w:val="24"/>
          <w:szCs w:val="24"/>
        </w:rPr>
        <w:t xml:space="preserve">Using </w:t>
      </w:r>
      <w:r w:rsidR="00BD77FE">
        <w:rPr>
          <w:rFonts w:ascii="Times New Roman" w:hAnsi="Times New Roman" w:cs="Times New Roman"/>
          <w:sz w:val="24"/>
          <w:szCs w:val="24"/>
        </w:rPr>
        <w:t>a</w:t>
      </w:r>
      <w:r w:rsidR="004E27C7">
        <w:rPr>
          <w:rFonts w:ascii="Times New Roman" w:hAnsi="Times New Roman" w:cs="Times New Roman"/>
          <w:sz w:val="24"/>
          <w:szCs w:val="24"/>
        </w:rPr>
        <w:t xml:space="preserve"> database that overcame these problems, </w:t>
      </w:r>
      <w:r>
        <w:rPr>
          <w:rFonts w:ascii="Times New Roman" w:hAnsi="Times New Roman" w:cs="Times New Roman"/>
          <w:sz w:val="24"/>
          <w:szCs w:val="24"/>
        </w:rPr>
        <w:t xml:space="preserve">we </w:t>
      </w:r>
      <w:r w:rsidR="004E27C7">
        <w:rPr>
          <w:rFonts w:ascii="Times New Roman" w:hAnsi="Times New Roman" w:cs="Times New Roman"/>
          <w:sz w:val="24"/>
          <w:szCs w:val="24"/>
        </w:rPr>
        <w:t>focuss</w:t>
      </w:r>
      <w:r>
        <w:rPr>
          <w:rFonts w:ascii="Times New Roman" w:hAnsi="Times New Roman" w:cs="Times New Roman"/>
          <w:sz w:val="24"/>
          <w:szCs w:val="24"/>
        </w:rPr>
        <w:t>ed</w:t>
      </w:r>
      <w:r w:rsidR="004E27C7">
        <w:rPr>
          <w:rFonts w:ascii="Times New Roman" w:hAnsi="Times New Roman" w:cs="Times New Roman"/>
          <w:sz w:val="24"/>
          <w:szCs w:val="24"/>
        </w:rPr>
        <w:t xml:space="preserve"> on events that preceded medical injury consultation</w:t>
      </w:r>
      <w:r w:rsidR="00BD77FE">
        <w:rPr>
          <w:rFonts w:ascii="Times New Roman" w:hAnsi="Times New Roman" w:cs="Times New Roman"/>
          <w:sz w:val="24"/>
          <w:szCs w:val="24"/>
        </w:rPr>
        <w:t>.</w:t>
      </w:r>
      <w:r w:rsidR="004E27C7">
        <w:rPr>
          <w:rFonts w:ascii="Times New Roman" w:hAnsi="Times New Roman" w:cs="Times New Roman"/>
          <w:sz w:val="24"/>
          <w:szCs w:val="24"/>
        </w:rPr>
        <w:t xml:space="preserve">  </w:t>
      </w:r>
      <w:r>
        <w:rPr>
          <w:rFonts w:ascii="Times New Roman" w:hAnsi="Times New Roman" w:cs="Times New Roman"/>
          <w:sz w:val="24"/>
          <w:szCs w:val="24"/>
        </w:rPr>
        <w:t>Prior m</w:t>
      </w:r>
      <w:r w:rsidR="004E27C7">
        <w:rPr>
          <w:rFonts w:ascii="Times New Roman" w:hAnsi="Times New Roman" w:cs="Times New Roman"/>
          <w:sz w:val="24"/>
          <w:szCs w:val="24"/>
        </w:rPr>
        <w:t>ental health diagnoses and p</w:t>
      </w:r>
      <w:r>
        <w:rPr>
          <w:rFonts w:ascii="Times New Roman" w:hAnsi="Times New Roman" w:cs="Times New Roman"/>
          <w:sz w:val="24"/>
          <w:szCs w:val="24"/>
        </w:rPr>
        <w:t>sycho</w:t>
      </w:r>
      <w:r w:rsidR="004E27C7">
        <w:rPr>
          <w:rFonts w:ascii="Times New Roman" w:hAnsi="Times New Roman" w:cs="Times New Roman"/>
          <w:sz w:val="24"/>
          <w:szCs w:val="24"/>
        </w:rPr>
        <w:t>tropic drug prescriptions</w:t>
      </w:r>
      <w:r>
        <w:rPr>
          <w:rFonts w:ascii="Times New Roman" w:hAnsi="Times New Roman" w:cs="Times New Roman"/>
          <w:sz w:val="24"/>
          <w:szCs w:val="24"/>
        </w:rPr>
        <w:t xml:space="preserve"> </w:t>
      </w:r>
      <w:r w:rsidR="004E27C7">
        <w:rPr>
          <w:rFonts w:ascii="Times New Roman" w:hAnsi="Times New Roman" w:cs="Times New Roman"/>
          <w:sz w:val="24"/>
          <w:szCs w:val="24"/>
        </w:rPr>
        <w:t xml:space="preserve">were </w:t>
      </w:r>
      <w:r>
        <w:rPr>
          <w:rFonts w:ascii="Times New Roman" w:hAnsi="Times New Roman" w:cs="Times New Roman"/>
          <w:sz w:val="24"/>
          <w:szCs w:val="24"/>
        </w:rPr>
        <w:t>associated with significantly higher risks of injury consultation. About</w:t>
      </w:r>
      <w:r w:rsidRPr="0093540C">
        <w:rPr>
          <w:rFonts w:ascii="Times New Roman" w:hAnsi="Times New Roman" w:cs="Times New Roman"/>
          <w:sz w:val="24"/>
          <w:szCs w:val="24"/>
        </w:rPr>
        <w:t xml:space="preserve"> </w:t>
      </w:r>
      <w:r>
        <w:rPr>
          <w:rFonts w:ascii="Times New Roman" w:hAnsi="Times New Roman" w:cs="Times New Roman"/>
          <w:sz w:val="24"/>
          <w:szCs w:val="24"/>
        </w:rPr>
        <w:t>9-10%</w:t>
      </w:r>
      <w:r w:rsidRPr="0093540C">
        <w:rPr>
          <w:rFonts w:ascii="Times New Roman" w:hAnsi="Times New Roman" w:cs="Times New Roman"/>
          <w:sz w:val="24"/>
          <w:szCs w:val="24"/>
        </w:rPr>
        <w:t xml:space="preserve"> of all workplace injuries </w:t>
      </w:r>
      <w:r>
        <w:rPr>
          <w:rFonts w:ascii="Times New Roman" w:hAnsi="Times New Roman" w:cs="Times New Roman"/>
          <w:sz w:val="24"/>
          <w:szCs w:val="24"/>
        </w:rPr>
        <w:t>leading to medical consultation appeared to be</w:t>
      </w:r>
      <w:r w:rsidRPr="0093540C">
        <w:rPr>
          <w:rFonts w:ascii="Times New Roman" w:hAnsi="Times New Roman" w:cs="Times New Roman"/>
          <w:sz w:val="24"/>
          <w:szCs w:val="24"/>
        </w:rPr>
        <w:t xml:space="preserve"> attributable to </w:t>
      </w:r>
      <w:r>
        <w:rPr>
          <w:rFonts w:ascii="Times New Roman" w:hAnsi="Times New Roman" w:cs="Times New Roman"/>
          <w:sz w:val="24"/>
          <w:szCs w:val="24"/>
        </w:rPr>
        <w:t>these factors.</w:t>
      </w:r>
    </w:p>
    <w:p w:rsidR="00A76B7A" w:rsidRPr="00BD77FE" w:rsidRDefault="00A76B7A">
      <w:pPr>
        <w:rPr>
          <w:rFonts w:ascii="Times New Roman" w:hAnsi="Times New Roman" w:cs="Times New Roman"/>
          <w:sz w:val="24"/>
          <w:szCs w:val="24"/>
        </w:rPr>
      </w:pPr>
      <w:r>
        <w:rPr>
          <w:rFonts w:ascii="Times New Roman" w:hAnsi="Times New Roman" w:cs="Times New Roman"/>
          <w:b/>
          <w:sz w:val="24"/>
          <w:szCs w:val="24"/>
        </w:rPr>
        <w:br w:type="page"/>
      </w:r>
    </w:p>
    <w:p w:rsidR="008C3B47" w:rsidRPr="0093540C" w:rsidRDefault="008C3B47" w:rsidP="008C3B47">
      <w:pPr>
        <w:autoSpaceDE w:val="0"/>
        <w:autoSpaceDN w:val="0"/>
        <w:adjustRightInd w:val="0"/>
        <w:rPr>
          <w:rFonts w:ascii="Times New Roman" w:hAnsi="Times New Roman" w:cs="Times New Roman"/>
          <w:b/>
          <w:sz w:val="24"/>
          <w:szCs w:val="24"/>
        </w:rPr>
      </w:pPr>
      <w:r w:rsidRPr="0093540C">
        <w:rPr>
          <w:rFonts w:ascii="Times New Roman" w:hAnsi="Times New Roman" w:cs="Times New Roman"/>
          <w:b/>
          <w:sz w:val="24"/>
          <w:szCs w:val="24"/>
        </w:rPr>
        <w:lastRenderedPageBreak/>
        <w:t>Background</w:t>
      </w:r>
    </w:p>
    <w:p w:rsidR="00A04DFF" w:rsidRPr="0093540C" w:rsidRDefault="00A04DFF" w:rsidP="008C3B47">
      <w:pPr>
        <w:autoSpaceDE w:val="0"/>
        <w:autoSpaceDN w:val="0"/>
        <w:adjustRightInd w:val="0"/>
        <w:rPr>
          <w:rFonts w:ascii="Times New Roman" w:hAnsi="Times New Roman" w:cs="Times New Roman"/>
          <w:sz w:val="24"/>
          <w:szCs w:val="24"/>
        </w:rPr>
      </w:pPr>
      <w:r w:rsidRPr="0093540C">
        <w:rPr>
          <w:rFonts w:ascii="Times New Roman" w:hAnsi="Times New Roman" w:cs="Times New Roman"/>
          <w:sz w:val="24"/>
          <w:szCs w:val="24"/>
        </w:rPr>
        <w:t>Common</w:t>
      </w:r>
      <w:r w:rsidR="008C3B47" w:rsidRPr="0093540C">
        <w:rPr>
          <w:rFonts w:ascii="Times New Roman" w:hAnsi="Times New Roman" w:cs="Times New Roman"/>
          <w:sz w:val="24"/>
          <w:szCs w:val="24"/>
        </w:rPr>
        <w:t xml:space="preserve"> mental health problems</w:t>
      </w:r>
      <w:r w:rsidR="000E24C4" w:rsidRPr="0093540C">
        <w:rPr>
          <w:rFonts w:ascii="Times New Roman" w:hAnsi="Times New Roman" w:cs="Times New Roman"/>
          <w:sz w:val="24"/>
          <w:szCs w:val="24"/>
        </w:rPr>
        <w:t xml:space="preserve"> and prescribed psychotropic medicines have</w:t>
      </w:r>
      <w:r w:rsidRPr="0093540C">
        <w:rPr>
          <w:rFonts w:ascii="Times New Roman" w:hAnsi="Times New Roman" w:cs="Times New Roman"/>
          <w:sz w:val="24"/>
          <w:szCs w:val="24"/>
        </w:rPr>
        <w:t xml:space="preserve"> the</w:t>
      </w:r>
      <w:r w:rsidR="000E24C4" w:rsidRPr="0093540C">
        <w:rPr>
          <w:rFonts w:ascii="Times New Roman" w:hAnsi="Times New Roman" w:cs="Times New Roman"/>
          <w:sz w:val="24"/>
          <w:szCs w:val="24"/>
        </w:rPr>
        <w:t xml:space="preserve"> potential to cause drowsiness and </w:t>
      </w:r>
      <w:r w:rsidR="008C3B47" w:rsidRPr="0093540C">
        <w:rPr>
          <w:rFonts w:ascii="Times New Roman" w:hAnsi="Times New Roman" w:cs="Times New Roman"/>
          <w:sz w:val="24"/>
          <w:szCs w:val="24"/>
        </w:rPr>
        <w:t xml:space="preserve">impair judgement, alertness and vigilance. In theory, </w:t>
      </w:r>
      <w:r w:rsidRPr="0093540C">
        <w:rPr>
          <w:rFonts w:ascii="Times New Roman" w:hAnsi="Times New Roman" w:cs="Times New Roman"/>
          <w:sz w:val="24"/>
          <w:szCs w:val="24"/>
        </w:rPr>
        <w:t xml:space="preserve">therefore, </w:t>
      </w:r>
      <w:r w:rsidR="008C3B47" w:rsidRPr="0093540C">
        <w:rPr>
          <w:rFonts w:ascii="Times New Roman" w:hAnsi="Times New Roman" w:cs="Times New Roman"/>
          <w:sz w:val="24"/>
          <w:szCs w:val="24"/>
        </w:rPr>
        <w:t xml:space="preserve">such illnesses and treatments </w:t>
      </w:r>
      <w:r w:rsidRPr="0093540C">
        <w:rPr>
          <w:rFonts w:ascii="Times New Roman" w:hAnsi="Times New Roman" w:cs="Times New Roman"/>
          <w:sz w:val="24"/>
          <w:szCs w:val="24"/>
        </w:rPr>
        <w:t>might</w:t>
      </w:r>
      <w:r w:rsidR="008C3B47" w:rsidRPr="0093540C">
        <w:rPr>
          <w:rFonts w:ascii="Times New Roman" w:hAnsi="Times New Roman" w:cs="Times New Roman"/>
          <w:sz w:val="24"/>
          <w:szCs w:val="24"/>
        </w:rPr>
        <w:t xml:space="preserve"> </w:t>
      </w:r>
      <w:r w:rsidR="000E24C4" w:rsidRPr="0093540C">
        <w:rPr>
          <w:rFonts w:ascii="Times New Roman" w:hAnsi="Times New Roman" w:cs="Times New Roman"/>
          <w:sz w:val="24"/>
          <w:szCs w:val="24"/>
        </w:rPr>
        <w:t>increase risks</w:t>
      </w:r>
      <w:r w:rsidR="008C3B47" w:rsidRPr="0093540C">
        <w:rPr>
          <w:rFonts w:ascii="Times New Roman" w:hAnsi="Times New Roman" w:cs="Times New Roman"/>
          <w:sz w:val="24"/>
          <w:szCs w:val="24"/>
        </w:rPr>
        <w:t xml:space="preserve"> of </w:t>
      </w:r>
      <w:r w:rsidRPr="0093540C">
        <w:rPr>
          <w:rFonts w:ascii="Times New Roman" w:hAnsi="Times New Roman" w:cs="Times New Roman"/>
          <w:sz w:val="24"/>
          <w:szCs w:val="24"/>
        </w:rPr>
        <w:t>occupational</w:t>
      </w:r>
      <w:r w:rsidR="000E24C4" w:rsidRPr="0093540C">
        <w:rPr>
          <w:rFonts w:ascii="Times New Roman" w:hAnsi="Times New Roman" w:cs="Times New Roman"/>
          <w:sz w:val="24"/>
          <w:szCs w:val="24"/>
        </w:rPr>
        <w:t xml:space="preserve"> injury</w:t>
      </w:r>
      <w:r w:rsidR="008C3B47" w:rsidRPr="0093540C">
        <w:rPr>
          <w:rFonts w:ascii="Times New Roman" w:hAnsi="Times New Roman" w:cs="Times New Roman"/>
          <w:sz w:val="24"/>
          <w:szCs w:val="24"/>
        </w:rPr>
        <w:t>. In</w:t>
      </w:r>
      <w:r w:rsidR="000E24C4" w:rsidRPr="0093540C">
        <w:rPr>
          <w:rFonts w:ascii="Times New Roman" w:hAnsi="Times New Roman" w:cs="Times New Roman"/>
          <w:sz w:val="24"/>
          <w:szCs w:val="24"/>
        </w:rPr>
        <w:t xml:space="preserve"> </w:t>
      </w:r>
      <w:r w:rsidR="00C22841" w:rsidRPr="0093540C">
        <w:rPr>
          <w:rFonts w:ascii="Times New Roman" w:hAnsi="Times New Roman" w:cs="Times New Roman"/>
          <w:sz w:val="24"/>
          <w:szCs w:val="24"/>
        </w:rPr>
        <w:t>an earlier review [1]</w:t>
      </w:r>
      <w:r w:rsidR="000E24C4" w:rsidRPr="0093540C">
        <w:rPr>
          <w:rFonts w:ascii="Times New Roman" w:hAnsi="Times New Roman" w:cs="Times New Roman"/>
          <w:sz w:val="24"/>
          <w:szCs w:val="24"/>
        </w:rPr>
        <w:t xml:space="preserve"> we</w:t>
      </w:r>
      <w:r w:rsidR="008C3B47" w:rsidRPr="0093540C">
        <w:rPr>
          <w:rFonts w:ascii="Times New Roman" w:hAnsi="Times New Roman" w:cs="Times New Roman"/>
          <w:sz w:val="24"/>
          <w:szCs w:val="24"/>
        </w:rPr>
        <w:t xml:space="preserve"> </w:t>
      </w:r>
      <w:r w:rsidR="00C22841" w:rsidRPr="0093540C">
        <w:rPr>
          <w:rFonts w:ascii="Times New Roman" w:hAnsi="Times New Roman" w:cs="Times New Roman"/>
          <w:sz w:val="24"/>
          <w:szCs w:val="24"/>
        </w:rPr>
        <w:t>identified 15 reports that assessed injury risk</w:t>
      </w:r>
      <w:r w:rsidRPr="0093540C">
        <w:rPr>
          <w:rFonts w:ascii="Times New Roman" w:hAnsi="Times New Roman" w:cs="Times New Roman"/>
          <w:sz w:val="24"/>
          <w:szCs w:val="24"/>
        </w:rPr>
        <w:t>s at work</w:t>
      </w:r>
      <w:r w:rsidR="00C22841" w:rsidRPr="0093540C">
        <w:rPr>
          <w:rFonts w:ascii="Times New Roman" w:hAnsi="Times New Roman" w:cs="Times New Roman"/>
          <w:sz w:val="24"/>
          <w:szCs w:val="24"/>
        </w:rPr>
        <w:t xml:space="preserve"> in relation to mental illness [2-16] and nine in relation to medication [14,17-24]. More recently, there have been </w:t>
      </w:r>
      <w:r w:rsidR="00CD4231" w:rsidRPr="0093540C">
        <w:rPr>
          <w:rFonts w:ascii="Times New Roman" w:hAnsi="Times New Roman" w:cs="Times New Roman"/>
          <w:sz w:val="24"/>
          <w:szCs w:val="24"/>
        </w:rPr>
        <w:t>a few</w:t>
      </w:r>
      <w:r w:rsidR="00C22841" w:rsidRPr="0093540C">
        <w:rPr>
          <w:rFonts w:ascii="Times New Roman" w:hAnsi="Times New Roman" w:cs="Times New Roman"/>
          <w:sz w:val="24"/>
          <w:szCs w:val="24"/>
        </w:rPr>
        <w:t xml:space="preserve"> </w:t>
      </w:r>
      <w:r w:rsidR="00716F27" w:rsidRPr="0093540C">
        <w:rPr>
          <w:rFonts w:ascii="Times New Roman" w:hAnsi="Times New Roman" w:cs="Times New Roman"/>
          <w:sz w:val="24"/>
          <w:szCs w:val="24"/>
        </w:rPr>
        <w:t>further</w:t>
      </w:r>
      <w:r w:rsidR="00C22841" w:rsidRPr="0093540C">
        <w:rPr>
          <w:rFonts w:ascii="Times New Roman" w:hAnsi="Times New Roman" w:cs="Times New Roman"/>
          <w:sz w:val="24"/>
          <w:szCs w:val="24"/>
        </w:rPr>
        <w:t xml:space="preserve"> </w:t>
      </w:r>
      <w:r w:rsidR="009877F9" w:rsidRPr="0093540C">
        <w:rPr>
          <w:rFonts w:ascii="Times New Roman" w:hAnsi="Times New Roman" w:cs="Times New Roman"/>
          <w:sz w:val="24"/>
          <w:szCs w:val="24"/>
        </w:rPr>
        <w:t>studies</w:t>
      </w:r>
      <w:r w:rsidR="00C22841" w:rsidRPr="0093540C">
        <w:rPr>
          <w:rFonts w:ascii="Times New Roman" w:hAnsi="Times New Roman" w:cs="Times New Roman"/>
          <w:sz w:val="24"/>
          <w:szCs w:val="24"/>
        </w:rPr>
        <w:t xml:space="preserve"> [</w:t>
      </w:r>
      <w:r w:rsidR="00CD4231" w:rsidRPr="0093540C">
        <w:rPr>
          <w:rFonts w:ascii="Times New Roman" w:hAnsi="Times New Roman" w:cs="Times New Roman"/>
          <w:sz w:val="24"/>
          <w:szCs w:val="24"/>
        </w:rPr>
        <w:t>25,26</w:t>
      </w:r>
      <w:r w:rsidR="00C22841" w:rsidRPr="0093540C">
        <w:rPr>
          <w:rFonts w:ascii="Times New Roman" w:hAnsi="Times New Roman" w:cs="Times New Roman"/>
          <w:sz w:val="24"/>
          <w:szCs w:val="24"/>
        </w:rPr>
        <w:t>]</w:t>
      </w:r>
      <w:r w:rsidRPr="0093540C">
        <w:rPr>
          <w:rFonts w:ascii="Times New Roman" w:hAnsi="Times New Roman" w:cs="Times New Roman"/>
          <w:sz w:val="24"/>
          <w:szCs w:val="24"/>
        </w:rPr>
        <w:t>.</w:t>
      </w:r>
      <w:r w:rsidR="00CD4231" w:rsidRPr="0093540C">
        <w:rPr>
          <w:rFonts w:ascii="Times New Roman" w:hAnsi="Times New Roman" w:cs="Times New Roman"/>
          <w:sz w:val="24"/>
          <w:szCs w:val="24"/>
        </w:rPr>
        <w:t xml:space="preserve"> Findings to date are compatible with a modest elevation </w:t>
      </w:r>
      <w:r w:rsidR="004035CA">
        <w:rPr>
          <w:rFonts w:ascii="Times New Roman" w:hAnsi="Times New Roman" w:cs="Times New Roman"/>
          <w:sz w:val="24"/>
          <w:szCs w:val="24"/>
        </w:rPr>
        <w:t>of risk</w:t>
      </w:r>
      <w:r w:rsidR="00CD4231" w:rsidRPr="0093540C">
        <w:rPr>
          <w:rFonts w:ascii="Times New Roman" w:hAnsi="Times New Roman" w:cs="Times New Roman"/>
          <w:sz w:val="24"/>
          <w:szCs w:val="24"/>
        </w:rPr>
        <w:t>.</w:t>
      </w:r>
    </w:p>
    <w:p w:rsidR="00A04DFF" w:rsidRPr="0093540C" w:rsidRDefault="00A04DFF" w:rsidP="008C3B47">
      <w:pPr>
        <w:autoSpaceDE w:val="0"/>
        <w:autoSpaceDN w:val="0"/>
        <w:adjustRightInd w:val="0"/>
        <w:rPr>
          <w:rFonts w:ascii="Times New Roman" w:hAnsi="Times New Roman" w:cs="Times New Roman"/>
          <w:sz w:val="24"/>
          <w:szCs w:val="24"/>
        </w:rPr>
      </w:pPr>
    </w:p>
    <w:p w:rsidR="004960F9" w:rsidRPr="0093540C" w:rsidRDefault="00716F27" w:rsidP="009877F9">
      <w:pPr>
        <w:autoSpaceDE w:val="0"/>
        <w:autoSpaceDN w:val="0"/>
        <w:adjustRightInd w:val="0"/>
        <w:rPr>
          <w:rFonts w:ascii="Times New Roman" w:hAnsi="Times New Roman" w:cs="Times New Roman"/>
          <w:sz w:val="24"/>
          <w:szCs w:val="24"/>
        </w:rPr>
      </w:pPr>
      <w:r w:rsidRPr="0093540C">
        <w:rPr>
          <w:rFonts w:ascii="Times New Roman" w:hAnsi="Times New Roman" w:cs="Times New Roman"/>
          <w:sz w:val="24"/>
          <w:szCs w:val="24"/>
        </w:rPr>
        <w:t>However, many</w:t>
      </w:r>
      <w:r w:rsidR="004960F9" w:rsidRPr="0093540C">
        <w:rPr>
          <w:rFonts w:ascii="Times New Roman" w:hAnsi="Times New Roman" w:cs="Times New Roman"/>
          <w:sz w:val="24"/>
          <w:szCs w:val="24"/>
        </w:rPr>
        <w:t xml:space="preserve"> </w:t>
      </w:r>
      <w:r w:rsidR="005A2F2E" w:rsidRPr="0093540C">
        <w:rPr>
          <w:rFonts w:ascii="Times New Roman" w:hAnsi="Times New Roman" w:cs="Times New Roman"/>
          <w:sz w:val="24"/>
          <w:szCs w:val="24"/>
        </w:rPr>
        <w:t>previous</w:t>
      </w:r>
      <w:r w:rsidRPr="0093540C">
        <w:rPr>
          <w:rFonts w:ascii="Times New Roman" w:hAnsi="Times New Roman" w:cs="Times New Roman"/>
          <w:sz w:val="24"/>
          <w:szCs w:val="24"/>
        </w:rPr>
        <w:t xml:space="preserve"> </w:t>
      </w:r>
      <w:r w:rsidR="004960F9" w:rsidRPr="0093540C">
        <w:rPr>
          <w:rFonts w:ascii="Times New Roman" w:hAnsi="Times New Roman" w:cs="Times New Roman"/>
          <w:sz w:val="24"/>
          <w:szCs w:val="24"/>
        </w:rPr>
        <w:t>investigations</w:t>
      </w:r>
      <w:r w:rsidRPr="0093540C">
        <w:rPr>
          <w:rFonts w:ascii="Times New Roman" w:hAnsi="Times New Roman" w:cs="Times New Roman"/>
          <w:sz w:val="24"/>
          <w:szCs w:val="24"/>
        </w:rPr>
        <w:t xml:space="preserve"> </w:t>
      </w:r>
      <w:r w:rsidR="004960F9" w:rsidRPr="0093540C">
        <w:rPr>
          <w:rFonts w:ascii="Times New Roman" w:hAnsi="Times New Roman" w:cs="Times New Roman"/>
          <w:sz w:val="24"/>
          <w:szCs w:val="24"/>
        </w:rPr>
        <w:t>could</w:t>
      </w:r>
      <w:r w:rsidRPr="0093540C">
        <w:rPr>
          <w:rFonts w:ascii="Times New Roman" w:hAnsi="Times New Roman" w:cs="Times New Roman"/>
          <w:sz w:val="24"/>
          <w:szCs w:val="24"/>
        </w:rPr>
        <w:t xml:space="preserve"> have overestimat</w:t>
      </w:r>
      <w:r w:rsidR="00A04DFF" w:rsidRPr="0093540C">
        <w:rPr>
          <w:rFonts w:ascii="Times New Roman" w:hAnsi="Times New Roman" w:cs="Times New Roman"/>
          <w:sz w:val="24"/>
          <w:szCs w:val="24"/>
        </w:rPr>
        <w:t xml:space="preserve">ed risks, </w:t>
      </w:r>
      <w:r w:rsidR="004960F9" w:rsidRPr="0093540C">
        <w:rPr>
          <w:rFonts w:ascii="Times New Roman" w:hAnsi="Times New Roman" w:cs="Times New Roman"/>
          <w:sz w:val="24"/>
          <w:szCs w:val="24"/>
        </w:rPr>
        <w:t>since</w:t>
      </w:r>
      <w:r w:rsidR="004035CA">
        <w:rPr>
          <w:rFonts w:ascii="Times New Roman" w:hAnsi="Times New Roman" w:cs="Times New Roman"/>
          <w:sz w:val="24"/>
          <w:szCs w:val="24"/>
        </w:rPr>
        <w:t xml:space="preserve"> typically</w:t>
      </w:r>
      <w:r w:rsidR="00A04DFF" w:rsidRPr="0093540C">
        <w:rPr>
          <w:rFonts w:ascii="Times New Roman" w:hAnsi="Times New Roman" w:cs="Times New Roman"/>
          <w:sz w:val="24"/>
          <w:szCs w:val="24"/>
        </w:rPr>
        <w:t xml:space="preserve"> </w:t>
      </w:r>
      <w:r w:rsidR="009877F9" w:rsidRPr="0093540C">
        <w:rPr>
          <w:rFonts w:ascii="Times New Roman" w:hAnsi="Times New Roman" w:cs="Times New Roman"/>
          <w:sz w:val="24"/>
          <w:szCs w:val="24"/>
        </w:rPr>
        <w:t xml:space="preserve">both </w:t>
      </w:r>
      <w:r w:rsidR="004960F9" w:rsidRPr="0093540C">
        <w:rPr>
          <w:rFonts w:ascii="Times New Roman" w:hAnsi="Times New Roman" w:cs="Times New Roman"/>
          <w:sz w:val="24"/>
          <w:szCs w:val="24"/>
        </w:rPr>
        <w:t>exposures and outcomes were</w:t>
      </w:r>
      <w:r w:rsidR="005A2F2E" w:rsidRPr="0093540C">
        <w:rPr>
          <w:rFonts w:ascii="Times New Roman" w:hAnsi="Times New Roman" w:cs="Times New Roman"/>
          <w:sz w:val="24"/>
          <w:szCs w:val="24"/>
        </w:rPr>
        <w:t xml:space="preserve"> </w:t>
      </w:r>
      <w:r w:rsidR="00A04DFF" w:rsidRPr="0093540C">
        <w:rPr>
          <w:rFonts w:ascii="Times New Roman" w:hAnsi="Times New Roman" w:cs="Times New Roman"/>
          <w:sz w:val="24"/>
          <w:szCs w:val="24"/>
        </w:rPr>
        <w:t xml:space="preserve">ascertained by self-report after the event. Bias can arise in these circumstances from non-independence in </w:t>
      </w:r>
      <w:r w:rsidR="004960F9" w:rsidRPr="0093540C">
        <w:rPr>
          <w:rFonts w:ascii="Times New Roman" w:hAnsi="Times New Roman" w:cs="Times New Roman"/>
          <w:sz w:val="24"/>
          <w:szCs w:val="24"/>
        </w:rPr>
        <w:t>measurement</w:t>
      </w:r>
      <w:r w:rsidRPr="0093540C">
        <w:rPr>
          <w:rFonts w:ascii="Times New Roman" w:hAnsi="Times New Roman" w:cs="Times New Roman"/>
          <w:sz w:val="24"/>
          <w:szCs w:val="24"/>
        </w:rPr>
        <w:t xml:space="preserve"> of exposures and outcomes</w:t>
      </w:r>
      <w:r w:rsidR="00A04DFF" w:rsidRPr="0093540C">
        <w:rPr>
          <w:rFonts w:ascii="Times New Roman" w:hAnsi="Times New Roman" w:cs="Times New Roman"/>
          <w:sz w:val="24"/>
          <w:szCs w:val="24"/>
        </w:rPr>
        <w:t xml:space="preserve"> (common instrument bias) </w:t>
      </w:r>
      <w:r w:rsidRPr="0093540C">
        <w:rPr>
          <w:rFonts w:ascii="Times New Roman" w:hAnsi="Times New Roman" w:cs="Times New Roman"/>
          <w:sz w:val="24"/>
          <w:szCs w:val="24"/>
        </w:rPr>
        <w:t xml:space="preserve">and reverse causation.  </w:t>
      </w:r>
      <w:r w:rsidR="00A145F9" w:rsidRPr="00DE39D6">
        <w:rPr>
          <w:rFonts w:ascii="Times New Roman" w:hAnsi="Times New Roman" w:cs="Times New Roman"/>
          <w:sz w:val="24"/>
          <w:szCs w:val="24"/>
        </w:rPr>
        <w:t xml:space="preserve">For example, workers </w:t>
      </w:r>
      <w:r w:rsidR="00CE6766" w:rsidRPr="00DE39D6">
        <w:rPr>
          <w:rFonts w:ascii="Times New Roman" w:hAnsi="Times New Roman" w:cs="Times New Roman"/>
          <w:sz w:val="24"/>
          <w:szCs w:val="24"/>
        </w:rPr>
        <w:t>who perceive and report more anxiety on a screening question</w:t>
      </w:r>
      <w:r w:rsidR="00DE39D6">
        <w:rPr>
          <w:rFonts w:ascii="Times New Roman" w:hAnsi="Times New Roman" w:cs="Times New Roman"/>
          <w:sz w:val="24"/>
          <w:szCs w:val="24"/>
        </w:rPr>
        <w:t>naire</w:t>
      </w:r>
      <w:r w:rsidR="00A145F9" w:rsidRPr="00DE39D6">
        <w:rPr>
          <w:rFonts w:ascii="Times New Roman" w:hAnsi="Times New Roman" w:cs="Times New Roman"/>
          <w:sz w:val="24"/>
          <w:szCs w:val="24"/>
        </w:rPr>
        <w:t xml:space="preserve"> </w:t>
      </w:r>
      <w:r w:rsidR="00CE6766" w:rsidRPr="00DE39D6">
        <w:rPr>
          <w:rFonts w:ascii="Times New Roman" w:hAnsi="Times New Roman" w:cs="Times New Roman"/>
          <w:sz w:val="24"/>
          <w:szCs w:val="24"/>
        </w:rPr>
        <w:t xml:space="preserve">may </w:t>
      </w:r>
      <w:r w:rsidR="00A145F9" w:rsidRPr="00DE39D6">
        <w:rPr>
          <w:rFonts w:ascii="Times New Roman" w:hAnsi="Times New Roman" w:cs="Times New Roman"/>
          <w:sz w:val="24"/>
          <w:szCs w:val="24"/>
        </w:rPr>
        <w:t xml:space="preserve">more </w:t>
      </w:r>
      <w:r w:rsidR="00CE6766" w:rsidRPr="00DE39D6">
        <w:rPr>
          <w:rFonts w:ascii="Times New Roman" w:hAnsi="Times New Roman" w:cs="Times New Roman"/>
          <w:sz w:val="24"/>
          <w:szCs w:val="24"/>
        </w:rPr>
        <w:t>readily recall minor injuries at work, while workplace injury may cause anxiety neurosis (or lead to its diagnosis), rather than being consequent upon it.</w:t>
      </w:r>
      <w:r w:rsidR="00CE6766">
        <w:rPr>
          <w:rFonts w:ascii="Times New Roman" w:hAnsi="Times New Roman" w:cs="Times New Roman"/>
          <w:sz w:val="24"/>
          <w:szCs w:val="24"/>
        </w:rPr>
        <w:t xml:space="preserve"> </w:t>
      </w:r>
      <w:r w:rsidR="004960F9" w:rsidRPr="0093540C">
        <w:rPr>
          <w:rFonts w:ascii="Times New Roman" w:hAnsi="Times New Roman" w:cs="Times New Roman"/>
          <w:sz w:val="24"/>
          <w:szCs w:val="24"/>
        </w:rPr>
        <w:t xml:space="preserve">We found only a few cohort and case-control studies in which </w:t>
      </w:r>
      <w:r w:rsidR="005A2F2E" w:rsidRPr="0093540C">
        <w:rPr>
          <w:rFonts w:ascii="Times New Roman" w:hAnsi="Times New Roman" w:cs="Times New Roman"/>
          <w:sz w:val="24"/>
          <w:szCs w:val="24"/>
        </w:rPr>
        <w:t>these</w:t>
      </w:r>
      <w:r w:rsidR="004960F9" w:rsidRPr="0093540C">
        <w:rPr>
          <w:rFonts w:ascii="Times New Roman" w:hAnsi="Times New Roman" w:cs="Times New Roman"/>
          <w:sz w:val="24"/>
          <w:szCs w:val="24"/>
        </w:rPr>
        <w:t xml:space="preserve"> </w:t>
      </w:r>
      <w:r w:rsidR="00A50EFD" w:rsidRPr="0093540C">
        <w:rPr>
          <w:rFonts w:ascii="Times New Roman" w:hAnsi="Times New Roman" w:cs="Times New Roman"/>
          <w:sz w:val="24"/>
          <w:szCs w:val="24"/>
        </w:rPr>
        <w:t xml:space="preserve">two </w:t>
      </w:r>
      <w:r w:rsidR="004960F9" w:rsidRPr="0093540C">
        <w:rPr>
          <w:rFonts w:ascii="Times New Roman" w:hAnsi="Times New Roman" w:cs="Times New Roman"/>
          <w:sz w:val="24"/>
          <w:szCs w:val="24"/>
        </w:rPr>
        <w:t>concerns</w:t>
      </w:r>
      <w:r w:rsidR="009877F9" w:rsidRPr="0093540C">
        <w:rPr>
          <w:rFonts w:ascii="Times New Roman" w:hAnsi="Times New Roman" w:cs="Times New Roman"/>
          <w:sz w:val="24"/>
          <w:szCs w:val="24"/>
        </w:rPr>
        <w:t xml:space="preserve"> </w:t>
      </w:r>
      <w:r w:rsidR="005A2F2E" w:rsidRPr="0093540C">
        <w:rPr>
          <w:rFonts w:ascii="Times New Roman" w:hAnsi="Times New Roman" w:cs="Times New Roman"/>
          <w:sz w:val="24"/>
          <w:szCs w:val="24"/>
        </w:rPr>
        <w:t>were</w:t>
      </w:r>
      <w:r w:rsidR="004960F9" w:rsidRPr="0093540C">
        <w:rPr>
          <w:rFonts w:ascii="Times New Roman" w:hAnsi="Times New Roman" w:cs="Times New Roman"/>
          <w:sz w:val="24"/>
          <w:szCs w:val="24"/>
        </w:rPr>
        <w:t xml:space="preserve"> overcome by independent assessment of exposure and outcome and by assurance </w:t>
      </w:r>
      <w:r w:rsidR="005A2F2E" w:rsidRPr="0093540C">
        <w:rPr>
          <w:rFonts w:ascii="Times New Roman" w:hAnsi="Times New Roman" w:cs="Times New Roman"/>
          <w:sz w:val="24"/>
          <w:szCs w:val="24"/>
        </w:rPr>
        <w:t>regarding</w:t>
      </w:r>
      <w:r w:rsidR="004960F9" w:rsidRPr="0093540C">
        <w:rPr>
          <w:rFonts w:ascii="Times New Roman" w:hAnsi="Times New Roman" w:cs="Times New Roman"/>
          <w:sz w:val="24"/>
          <w:szCs w:val="24"/>
        </w:rPr>
        <w:t xml:space="preserve"> the timing of exposures (e.g. tranquilliser use and low mood) relative to </w:t>
      </w:r>
      <w:r w:rsidR="005A2F2E" w:rsidRPr="0093540C">
        <w:rPr>
          <w:rFonts w:ascii="Times New Roman" w:hAnsi="Times New Roman" w:cs="Times New Roman"/>
          <w:sz w:val="24"/>
          <w:szCs w:val="24"/>
        </w:rPr>
        <w:t>injuries</w:t>
      </w:r>
      <w:r w:rsidR="004960F9" w:rsidRPr="0093540C">
        <w:rPr>
          <w:rFonts w:ascii="Times New Roman" w:hAnsi="Times New Roman" w:cs="Times New Roman"/>
          <w:sz w:val="24"/>
          <w:szCs w:val="24"/>
        </w:rPr>
        <w:t xml:space="preserve">. </w:t>
      </w:r>
      <w:r w:rsidR="009877F9" w:rsidRPr="0093540C">
        <w:rPr>
          <w:rFonts w:ascii="Times New Roman" w:hAnsi="Times New Roman" w:cs="Times New Roman"/>
          <w:sz w:val="24"/>
          <w:szCs w:val="24"/>
        </w:rPr>
        <w:t>However, t</w:t>
      </w:r>
      <w:r w:rsidR="004960F9" w:rsidRPr="0093540C">
        <w:rPr>
          <w:rFonts w:ascii="Times New Roman" w:hAnsi="Times New Roman" w:cs="Times New Roman"/>
          <w:sz w:val="24"/>
          <w:szCs w:val="24"/>
        </w:rPr>
        <w:t>wo higher quality studies</w:t>
      </w:r>
      <w:r w:rsidR="005A2F2E" w:rsidRPr="0093540C">
        <w:rPr>
          <w:rFonts w:ascii="Times New Roman" w:hAnsi="Times New Roman" w:cs="Times New Roman"/>
          <w:sz w:val="24"/>
          <w:szCs w:val="24"/>
        </w:rPr>
        <w:t xml:space="preserve"> </w:t>
      </w:r>
      <w:r w:rsidR="004035CA">
        <w:rPr>
          <w:rFonts w:ascii="Times New Roman" w:hAnsi="Times New Roman" w:cs="Times New Roman"/>
          <w:sz w:val="24"/>
          <w:szCs w:val="24"/>
        </w:rPr>
        <w:t>adopted</w:t>
      </w:r>
      <w:r w:rsidR="005A2F2E" w:rsidRPr="0093540C">
        <w:rPr>
          <w:rFonts w:ascii="Times New Roman" w:hAnsi="Times New Roman" w:cs="Times New Roman"/>
          <w:sz w:val="24"/>
          <w:szCs w:val="24"/>
        </w:rPr>
        <w:t xml:space="preserve"> a preferable approach</w:t>
      </w:r>
      <w:r w:rsidR="004960F9" w:rsidRPr="0093540C">
        <w:rPr>
          <w:rFonts w:ascii="Times New Roman" w:hAnsi="Times New Roman" w:cs="Times New Roman"/>
          <w:sz w:val="24"/>
          <w:szCs w:val="24"/>
        </w:rPr>
        <w:t xml:space="preserve"> </w:t>
      </w:r>
      <w:r w:rsidR="005A2F2E" w:rsidRPr="0093540C">
        <w:rPr>
          <w:rFonts w:ascii="Times New Roman" w:hAnsi="Times New Roman" w:cs="Times New Roman"/>
          <w:sz w:val="24"/>
          <w:szCs w:val="24"/>
        </w:rPr>
        <w:t xml:space="preserve">in </w:t>
      </w:r>
      <w:r w:rsidR="004960F9" w:rsidRPr="0093540C">
        <w:rPr>
          <w:rFonts w:ascii="Times New Roman" w:hAnsi="Times New Roman" w:cs="Times New Roman"/>
          <w:sz w:val="24"/>
          <w:szCs w:val="24"/>
        </w:rPr>
        <w:t xml:space="preserve">which </w:t>
      </w:r>
      <w:r w:rsidR="005A2F2E" w:rsidRPr="0093540C">
        <w:rPr>
          <w:rFonts w:ascii="Times New Roman" w:hAnsi="Times New Roman" w:cs="Times New Roman"/>
          <w:sz w:val="24"/>
          <w:szCs w:val="24"/>
        </w:rPr>
        <w:t xml:space="preserve">events and their timings were </w:t>
      </w:r>
      <w:r w:rsidR="004960F9" w:rsidRPr="0093540C">
        <w:rPr>
          <w:rFonts w:ascii="Times New Roman" w:hAnsi="Times New Roman" w:cs="Times New Roman"/>
          <w:sz w:val="24"/>
          <w:szCs w:val="24"/>
        </w:rPr>
        <w:t xml:space="preserve">corroborated </w:t>
      </w:r>
      <w:r w:rsidR="005A2F2E" w:rsidRPr="0093540C">
        <w:rPr>
          <w:rFonts w:ascii="Times New Roman" w:hAnsi="Times New Roman" w:cs="Times New Roman"/>
          <w:sz w:val="24"/>
          <w:szCs w:val="24"/>
        </w:rPr>
        <w:t>using</w:t>
      </w:r>
      <w:r w:rsidR="004960F9" w:rsidRPr="0093540C">
        <w:rPr>
          <w:rFonts w:ascii="Times New Roman" w:hAnsi="Times New Roman" w:cs="Times New Roman"/>
          <w:sz w:val="24"/>
          <w:szCs w:val="24"/>
        </w:rPr>
        <w:t xml:space="preserve"> hospital billing records and dispensary databases [</w:t>
      </w:r>
      <w:r w:rsidR="00CD4231" w:rsidRPr="000456B8">
        <w:rPr>
          <w:rFonts w:ascii="Times New Roman" w:hAnsi="Times New Roman" w:cs="Times New Roman"/>
          <w:sz w:val="24"/>
          <w:szCs w:val="24"/>
        </w:rPr>
        <w:t>14,20</w:t>
      </w:r>
      <w:r w:rsidR="004960F9" w:rsidRPr="0093540C">
        <w:rPr>
          <w:rFonts w:ascii="Times New Roman" w:hAnsi="Times New Roman" w:cs="Times New Roman"/>
          <w:sz w:val="24"/>
          <w:szCs w:val="24"/>
        </w:rPr>
        <w:t>].</w:t>
      </w:r>
    </w:p>
    <w:p w:rsidR="004960F9" w:rsidRPr="0093540C" w:rsidRDefault="004960F9" w:rsidP="008C3B47">
      <w:pPr>
        <w:autoSpaceDE w:val="0"/>
        <w:autoSpaceDN w:val="0"/>
        <w:adjustRightInd w:val="0"/>
        <w:rPr>
          <w:rFonts w:ascii="Times New Roman" w:hAnsi="Times New Roman" w:cs="Times New Roman"/>
          <w:sz w:val="24"/>
          <w:szCs w:val="24"/>
        </w:rPr>
      </w:pPr>
    </w:p>
    <w:p w:rsidR="008C3B47" w:rsidRPr="0093540C" w:rsidRDefault="009877F9" w:rsidP="008C3B47">
      <w:pPr>
        <w:rPr>
          <w:rFonts w:ascii="Times New Roman" w:hAnsi="Times New Roman" w:cs="Times New Roman"/>
          <w:sz w:val="24"/>
          <w:szCs w:val="24"/>
        </w:rPr>
      </w:pPr>
      <w:r w:rsidRPr="0093540C">
        <w:rPr>
          <w:rFonts w:ascii="Times New Roman" w:hAnsi="Times New Roman" w:cs="Times New Roman"/>
          <w:sz w:val="24"/>
          <w:szCs w:val="24"/>
        </w:rPr>
        <w:t>In view of the limitations in</w:t>
      </w:r>
      <w:r w:rsidR="001C6D40" w:rsidRPr="0093540C">
        <w:rPr>
          <w:rFonts w:ascii="Times New Roman" w:hAnsi="Times New Roman" w:cs="Times New Roman"/>
          <w:sz w:val="24"/>
          <w:szCs w:val="24"/>
        </w:rPr>
        <w:t xml:space="preserve"> the existing</w:t>
      </w:r>
      <w:r w:rsidR="005A2F2E" w:rsidRPr="0093540C">
        <w:rPr>
          <w:rFonts w:ascii="Times New Roman" w:hAnsi="Times New Roman" w:cs="Times New Roman"/>
          <w:sz w:val="24"/>
          <w:szCs w:val="24"/>
        </w:rPr>
        <w:t xml:space="preserve"> evidence base, we un</w:t>
      </w:r>
      <w:r w:rsidRPr="0093540C">
        <w:rPr>
          <w:rFonts w:ascii="Times New Roman" w:hAnsi="Times New Roman" w:cs="Times New Roman"/>
          <w:sz w:val="24"/>
          <w:szCs w:val="24"/>
        </w:rPr>
        <w:t>dertook a case-control analysis</w:t>
      </w:r>
      <w:r w:rsidR="005A2F2E" w:rsidRPr="0093540C">
        <w:rPr>
          <w:rFonts w:ascii="Times New Roman" w:hAnsi="Times New Roman" w:cs="Times New Roman"/>
          <w:sz w:val="24"/>
          <w:szCs w:val="24"/>
        </w:rPr>
        <w:t xml:space="preserve"> nested with</w:t>
      </w:r>
      <w:r w:rsidR="004035CA">
        <w:rPr>
          <w:rFonts w:ascii="Times New Roman" w:hAnsi="Times New Roman" w:cs="Times New Roman"/>
          <w:sz w:val="24"/>
          <w:szCs w:val="24"/>
        </w:rPr>
        <w:t>in</w:t>
      </w:r>
      <w:r w:rsidR="005A2F2E" w:rsidRPr="0093540C">
        <w:rPr>
          <w:rFonts w:ascii="Times New Roman" w:hAnsi="Times New Roman" w:cs="Times New Roman"/>
          <w:sz w:val="24"/>
          <w:szCs w:val="24"/>
        </w:rPr>
        <w:t xml:space="preserve"> a dynamic cohort of patients </w:t>
      </w:r>
      <w:r w:rsidR="001C6D40" w:rsidRPr="0093540C">
        <w:rPr>
          <w:rFonts w:ascii="Times New Roman" w:hAnsi="Times New Roman" w:cs="Times New Roman"/>
          <w:sz w:val="24"/>
          <w:szCs w:val="24"/>
        </w:rPr>
        <w:t>for</w:t>
      </w:r>
      <w:r w:rsidR="005A2F2E" w:rsidRPr="0093540C">
        <w:rPr>
          <w:rFonts w:ascii="Times New Roman" w:hAnsi="Times New Roman" w:cs="Times New Roman"/>
          <w:sz w:val="24"/>
          <w:szCs w:val="24"/>
        </w:rPr>
        <w:t xml:space="preserve"> whom consultations for workplace injury, other d</w:t>
      </w:r>
      <w:r w:rsidRPr="0093540C">
        <w:rPr>
          <w:rFonts w:ascii="Times New Roman" w:hAnsi="Times New Roman" w:cs="Times New Roman"/>
          <w:sz w:val="24"/>
          <w:szCs w:val="24"/>
        </w:rPr>
        <w:t>iagnoses and drug prescriptions</w:t>
      </w:r>
      <w:r w:rsidR="005A2F2E" w:rsidRPr="0093540C">
        <w:rPr>
          <w:rFonts w:ascii="Times New Roman" w:hAnsi="Times New Roman" w:cs="Times New Roman"/>
          <w:sz w:val="24"/>
          <w:szCs w:val="24"/>
        </w:rPr>
        <w:t xml:space="preserve"> had been </w:t>
      </w:r>
      <w:r w:rsidR="001C6D40" w:rsidRPr="0093540C">
        <w:rPr>
          <w:rFonts w:ascii="Times New Roman" w:hAnsi="Times New Roman" w:cs="Times New Roman"/>
          <w:sz w:val="24"/>
          <w:szCs w:val="24"/>
        </w:rPr>
        <w:t>recorded</w:t>
      </w:r>
      <w:r w:rsidR="005A2F2E" w:rsidRPr="0093540C">
        <w:rPr>
          <w:rFonts w:ascii="Times New Roman" w:hAnsi="Times New Roman" w:cs="Times New Roman"/>
          <w:sz w:val="24"/>
          <w:szCs w:val="24"/>
        </w:rPr>
        <w:t xml:space="preserve"> prospectively</w:t>
      </w:r>
      <w:r w:rsidRPr="0093540C">
        <w:rPr>
          <w:rFonts w:ascii="Times New Roman" w:hAnsi="Times New Roman" w:cs="Times New Roman"/>
          <w:sz w:val="24"/>
          <w:szCs w:val="24"/>
        </w:rPr>
        <w:t>,</w:t>
      </w:r>
      <w:r w:rsidR="005A2F2E" w:rsidRPr="0093540C">
        <w:rPr>
          <w:rFonts w:ascii="Times New Roman" w:hAnsi="Times New Roman" w:cs="Times New Roman"/>
          <w:sz w:val="24"/>
          <w:szCs w:val="24"/>
        </w:rPr>
        <w:t xml:space="preserve"> with full </w:t>
      </w:r>
      <w:r w:rsidR="004035CA" w:rsidRPr="0093540C">
        <w:rPr>
          <w:rFonts w:ascii="Times New Roman" w:hAnsi="Times New Roman" w:cs="Times New Roman"/>
          <w:sz w:val="24"/>
          <w:szCs w:val="24"/>
        </w:rPr>
        <w:t>information</w:t>
      </w:r>
      <w:r w:rsidR="004035CA">
        <w:rPr>
          <w:rFonts w:ascii="Times New Roman" w:hAnsi="Times New Roman" w:cs="Times New Roman"/>
          <w:sz w:val="24"/>
          <w:szCs w:val="24"/>
        </w:rPr>
        <w:t xml:space="preserve"> on the</w:t>
      </w:r>
      <w:r w:rsidR="004035CA" w:rsidRPr="0093540C">
        <w:rPr>
          <w:rFonts w:ascii="Times New Roman" w:hAnsi="Times New Roman" w:cs="Times New Roman"/>
          <w:sz w:val="24"/>
          <w:szCs w:val="24"/>
        </w:rPr>
        <w:t xml:space="preserve"> </w:t>
      </w:r>
      <w:r w:rsidR="005A2F2E" w:rsidRPr="0093540C">
        <w:rPr>
          <w:rFonts w:ascii="Times New Roman" w:hAnsi="Times New Roman" w:cs="Times New Roman"/>
          <w:sz w:val="24"/>
          <w:szCs w:val="24"/>
        </w:rPr>
        <w:t>date</w:t>
      </w:r>
      <w:r w:rsidR="00F26173">
        <w:rPr>
          <w:rFonts w:ascii="Times New Roman" w:hAnsi="Times New Roman" w:cs="Times New Roman"/>
          <w:sz w:val="24"/>
          <w:szCs w:val="24"/>
        </w:rPr>
        <w:t>s</w:t>
      </w:r>
      <w:r w:rsidR="005A2F2E" w:rsidRPr="0093540C">
        <w:rPr>
          <w:rFonts w:ascii="Times New Roman" w:hAnsi="Times New Roman" w:cs="Times New Roman"/>
          <w:sz w:val="24"/>
          <w:szCs w:val="24"/>
        </w:rPr>
        <w:t xml:space="preserve"> of event</w:t>
      </w:r>
      <w:r w:rsidR="004035CA">
        <w:rPr>
          <w:rFonts w:ascii="Times New Roman" w:hAnsi="Times New Roman" w:cs="Times New Roman"/>
          <w:sz w:val="24"/>
          <w:szCs w:val="24"/>
        </w:rPr>
        <w:t>s</w:t>
      </w:r>
      <w:r w:rsidR="005A2F2E" w:rsidRPr="0093540C">
        <w:rPr>
          <w:rFonts w:ascii="Times New Roman" w:hAnsi="Times New Roman" w:cs="Times New Roman"/>
          <w:sz w:val="24"/>
          <w:szCs w:val="24"/>
        </w:rPr>
        <w:t>.</w:t>
      </w:r>
    </w:p>
    <w:p w:rsidR="005A2F2E" w:rsidRPr="0093540C" w:rsidRDefault="005A2F2E" w:rsidP="008C3B47">
      <w:pPr>
        <w:rPr>
          <w:rFonts w:ascii="Times New Roman" w:hAnsi="Times New Roman" w:cs="Times New Roman"/>
          <w:sz w:val="24"/>
          <w:szCs w:val="24"/>
        </w:rPr>
      </w:pPr>
    </w:p>
    <w:p w:rsidR="00BF1373" w:rsidRPr="0093540C" w:rsidRDefault="001C6D40" w:rsidP="006163FF">
      <w:pPr>
        <w:widowControl w:val="0"/>
        <w:rPr>
          <w:rFonts w:ascii="Times New Roman" w:hAnsi="Times New Roman" w:cs="Times New Roman"/>
          <w:b/>
          <w:sz w:val="24"/>
          <w:szCs w:val="24"/>
        </w:rPr>
      </w:pPr>
      <w:r w:rsidRPr="0093540C">
        <w:rPr>
          <w:rFonts w:ascii="Times New Roman" w:hAnsi="Times New Roman" w:cs="Times New Roman"/>
          <w:b/>
          <w:sz w:val="24"/>
          <w:szCs w:val="24"/>
        </w:rPr>
        <w:t>Methods</w:t>
      </w:r>
    </w:p>
    <w:p w:rsidR="009877F9" w:rsidRPr="0093540C" w:rsidRDefault="002F27A0" w:rsidP="009877F9">
      <w:pPr>
        <w:widowControl w:val="0"/>
        <w:rPr>
          <w:rFonts w:ascii="Times New Roman" w:hAnsi="Times New Roman" w:cs="Times New Roman"/>
          <w:sz w:val="24"/>
          <w:szCs w:val="24"/>
        </w:rPr>
      </w:pPr>
      <w:r w:rsidRPr="0093540C">
        <w:rPr>
          <w:rFonts w:ascii="Times New Roman" w:hAnsi="Times New Roman" w:cs="Times New Roman"/>
          <w:sz w:val="24"/>
          <w:szCs w:val="24"/>
        </w:rPr>
        <w:t xml:space="preserve">Since 1987 the </w:t>
      </w:r>
      <w:r w:rsidR="001C6D40" w:rsidRPr="0093540C">
        <w:rPr>
          <w:rFonts w:ascii="Times New Roman" w:hAnsi="Times New Roman" w:cs="Times New Roman"/>
          <w:sz w:val="24"/>
          <w:szCs w:val="24"/>
        </w:rPr>
        <w:t xml:space="preserve">Clinical Practice Research Datalink (CPRD) (formerly the </w:t>
      </w:r>
      <w:r w:rsidRPr="0093540C">
        <w:rPr>
          <w:rFonts w:ascii="Times New Roman" w:hAnsi="Times New Roman" w:cs="Times New Roman"/>
          <w:sz w:val="24"/>
          <w:szCs w:val="24"/>
        </w:rPr>
        <w:t>GPRD</w:t>
      </w:r>
      <w:r w:rsidR="001C6D40" w:rsidRPr="0093540C">
        <w:rPr>
          <w:rFonts w:ascii="Times New Roman" w:hAnsi="Times New Roman" w:cs="Times New Roman"/>
          <w:sz w:val="24"/>
          <w:szCs w:val="24"/>
        </w:rPr>
        <w:t xml:space="preserve">) </w:t>
      </w:r>
      <w:r w:rsidRPr="0093540C">
        <w:rPr>
          <w:rFonts w:ascii="Times New Roman" w:hAnsi="Times New Roman" w:cs="Times New Roman"/>
          <w:sz w:val="24"/>
          <w:szCs w:val="24"/>
        </w:rPr>
        <w:t>has log</w:t>
      </w:r>
      <w:r w:rsidR="004035CA">
        <w:rPr>
          <w:rFonts w:ascii="Times New Roman" w:hAnsi="Times New Roman" w:cs="Times New Roman"/>
          <w:sz w:val="24"/>
          <w:szCs w:val="24"/>
        </w:rPr>
        <w:t>ged</w:t>
      </w:r>
      <w:r w:rsidRPr="0093540C">
        <w:rPr>
          <w:rFonts w:ascii="Times New Roman" w:hAnsi="Times New Roman" w:cs="Times New Roman"/>
          <w:sz w:val="24"/>
          <w:szCs w:val="24"/>
        </w:rPr>
        <w:t xml:space="preserve"> all consultation episodes associated with significant events, illnesses, or medical activity (</w:t>
      </w:r>
      <w:r w:rsidR="00B6555E" w:rsidRPr="0093540C">
        <w:rPr>
          <w:rFonts w:ascii="Times New Roman" w:hAnsi="Times New Roman" w:cs="Times New Roman"/>
          <w:sz w:val="24"/>
          <w:szCs w:val="24"/>
        </w:rPr>
        <w:t xml:space="preserve">e.g. </w:t>
      </w:r>
      <w:r w:rsidRPr="0093540C">
        <w:rPr>
          <w:rFonts w:ascii="Times New Roman" w:hAnsi="Times New Roman" w:cs="Times New Roman"/>
          <w:sz w:val="24"/>
          <w:szCs w:val="24"/>
        </w:rPr>
        <w:t xml:space="preserve">diagnosis, referral, </w:t>
      </w:r>
      <w:r w:rsidR="004035CA">
        <w:rPr>
          <w:rFonts w:ascii="Times New Roman" w:hAnsi="Times New Roman" w:cs="Times New Roman"/>
          <w:sz w:val="24"/>
          <w:szCs w:val="24"/>
        </w:rPr>
        <w:t xml:space="preserve">hospital </w:t>
      </w:r>
      <w:r w:rsidR="009877F9" w:rsidRPr="0093540C">
        <w:rPr>
          <w:rFonts w:ascii="Times New Roman" w:hAnsi="Times New Roman" w:cs="Times New Roman"/>
          <w:sz w:val="24"/>
          <w:szCs w:val="24"/>
        </w:rPr>
        <w:t xml:space="preserve">admission, </w:t>
      </w:r>
      <w:r w:rsidRPr="0093540C">
        <w:rPr>
          <w:rFonts w:ascii="Times New Roman" w:hAnsi="Times New Roman" w:cs="Times New Roman"/>
          <w:sz w:val="24"/>
          <w:szCs w:val="24"/>
        </w:rPr>
        <w:t xml:space="preserve">prescription) among patients from </w:t>
      </w:r>
      <w:r w:rsidR="009877F9" w:rsidRPr="0093540C">
        <w:rPr>
          <w:rFonts w:ascii="Times New Roman" w:hAnsi="Times New Roman" w:cs="Times New Roman"/>
          <w:sz w:val="24"/>
          <w:szCs w:val="24"/>
        </w:rPr>
        <w:t>participating general practices</w:t>
      </w:r>
      <w:r w:rsidR="00B2041F" w:rsidRPr="0093540C">
        <w:rPr>
          <w:rFonts w:ascii="Times New Roman" w:hAnsi="Times New Roman" w:cs="Times New Roman"/>
          <w:sz w:val="24"/>
          <w:szCs w:val="24"/>
        </w:rPr>
        <w:t xml:space="preserve"> </w:t>
      </w:r>
      <w:r w:rsidR="0093540C">
        <w:rPr>
          <w:rFonts w:ascii="Times New Roman" w:hAnsi="Times New Roman" w:cs="Times New Roman"/>
          <w:sz w:val="24"/>
          <w:szCs w:val="24"/>
        </w:rPr>
        <w:t>across</w:t>
      </w:r>
      <w:r w:rsidR="00B2041F" w:rsidRPr="0093540C">
        <w:rPr>
          <w:rFonts w:ascii="Times New Roman" w:hAnsi="Times New Roman" w:cs="Times New Roman"/>
          <w:sz w:val="24"/>
          <w:szCs w:val="24"/>
        </w:rPr>
        <w:t xml:space="preserve"> </w:t>
      </w:r>
      <w:r w:rsidR="0093540C">
        <w:rPr>
          <w:rFonts w:ascii="Times New Roman" w:hAnsi="Times New Roman" w:cs="Times New Roman"/>
          <w:sz w:val="24"/>
          <w:szCs w:val="24"/>
        </w:rPr>
        <w:t xml:space="preserve">Great </w:t>
      </w:r>
      <w:r w:rsidR="00B2041F" w:rsidRPr="0093540C">
        <w:rPr>
          <w:rFonts w:ascii="Times New Roman" w:hAnsi="Times New Roman" w:cs="Times New Roman"/>
          <w:sz w:val="24"/>
          <w:szCs w:val="24"/>
        </w:rPr>
        <w:t>Britain</w:t>
      </w:r>
      <w:r w:rsidR="005B4CFF" w:rsidRPr="0093540C">
        <w:rPr>
          <w:rFonts w:ascii="Times New Roman" w:hAnsi="Times New Roman" w:cs="Times New Roman"/>
          <w:sz w:val="24"/>
          <w:szCs w:val="24"/>
        </w:rPr>
        <w:t xml:space="preserve"> [</w:t>
      </w:r>
      <w:r w:rsidR="00CD4231" w:rsidRPr="0093540C">
        <w:rPr>
          <w:rFonts w:ascii="Times New Roman" w:hAnsi="Times New Roman" w:cs="Times New Roman"/>
          <w:sz w:val="24"/>
          <w:szCs w:val="24"/>
        </w:rPr>
        <w:t>27</w:t>
      </w:r>
      <w:r w:rsidRPr="0093540C">
        <w:rPr>
          <w:rFonts w:ascii="Times New Roman" w:hAnsi="Times New Roman" w:cs="Times New Roman"/>
          <w:sz w:val="24"/>
          <w:szCs w:val="24"/>
        </w:rPr>
        <w:t xml:space="preserve">]. </w:t>
      </w:r>
      <w:r w:rsidR="009877F9" w:rsidRPr="0093540C">
        <w:rPr>
          <w:rFonts w:ascii="Times New Roman" w:hAnsi="Times New Roman" w:cs="Times New Roman"/>
          <w:sz w:val="24"/>
          <w:szCs w:val="24"/>
        </w:rPr>
        <w:t xml:space="preserve">Records are maintained </w:t>
      </w:r>
      <w:r w:rsidR="00B6555E" w:rsidRPr="0093540C">
        <w:rPr>
          <w:rFonts w:ascii="Times New Roman" w:hAnsi="Times New Roman" w:cs="Times New Roman"/>
          <w:sz w:val="24"/>
          <w:szCs w:val="24"/>
        </w:rPr>
        <w:t xml:space="preserve">by the Medicines and Healthcare Products Regulatory Agency (MHRA) of the Department of Health </w:t>
      </w:r>
      <w:r w:rsidR="004035CA">
        <w:rPr>
          <w:rFonts w:ascii="Times New Roman" w:hAnsi="Times New Roman" w:cs="Times New Roman"/>
          <w:sz w:val="24"/>
          <w:szCs w:val="24"/>
        </w:rPr>
        <w:t>and relate</w:t>
      </w:r>
      <w:r w:rsidR="0093540C" w:rsidRPr="0093540C">
        <w:rPr>
          <w:rFonts w:ascii="Times New Roman" w:hAnsi="Times New Roman" w:cs="Times New Roman"/>
          <w:sz w:val="24"/>
          <w:szCs w:val="24"/>
        </w:rPr>
        <w:t xml:space="preserve"> to</w:t>
      </w:r>
      <w:r w:rsidR="009877F9" w:rsidRPr="0093540C">
        <w:rPr>
          <w:rFonts w:ascii="Times New Roman" w:hAnsi="Times New Roman" w:cs="Times New Roman"/>
          <w:sz w:val="24"/>
          <w:szCs w:val="24"/>
        </w:rPr>
        <w:t xml:space="preserve"> </w:t>
      </w:r>
      <w:r w:rsidR="00B2041F" w:rsidRPr="0093540C">
        <w:rPr>
          <w:rFonts w:ascii="Times New Roman" w:hAnsi="Times New Roman" w:cs="Times New Roman"/>
          <w:sz w:val="24"/>
          <w:szCs w:val="24"/>
        </w:rPr>
        <w:t>some</w:t>
      </w:r>
      <w:r w:rsidR="009877F9" w:rsidRPr="0093540C">
        <w:rPr>
          <w:rFonts w:ascii="Times New Roman" w:hAnsi="Times New Roman" w:cs="Times New Roman"/>
          <w:sz w:val="24"/>
          <w:szCs w:val="24"/>
        </w:rPr>
        <w:t xml:space="preserve"> five million patients from 590 practices. </w:t>
      </w:r>
      <w:r w:rsidRPr="0093540C">
        <w:rPr>
          <w:rFonts w:ascii="Times New Roman" w:hAnsi="Times New Roman" w:cs="Times New Roman"/>
          <w:sz w:val="24"/>
          <w:szCs w:val="24"/>
        </w:rPr>
        <w:t>Data</w:t>
      </w:r>
      <w:r w:rsidR="009877F9" w:rsidRPr="0093540C">
        <w:rPr>
          <w:rFonts w:ascii="Times New Roman" w:hAnsi="Times New Roman" w:cs="Times New Roman"/>
          <w:sz w:val="24"/>
          <w:szCs w:val="24"/>
        </w:rPr>
        <w:t xml:space="preserve"> are uploaded monthly</w:t>
      </w:r>
      <w:r w:rsidR="00B2041F" w:rsidRPr="0093540C">
        <w:rPr>
          <w:rFonts w:ascii="Times New Roman" w:hAnsi="Times New Roman" w:cs="Times New Roman"/>
          <w:sz w:val="24"/>
          <w:szCs w:val="24"/>
        </w:rPr>
        <w:t xml:space="preserve"> and</w:t>
      </w:r>
      <w:r w:rsidRPr="0093540C">
        <w:rPr>
          <w:rFonts w:ascii="Times New Roman" w:hAnsi="Times New Roman" w:cs="Times New Roman"/>
          <w:sz w:val="24"/>
          <w:szCs w:val="24"/>
        </w:rPr>
        <w:t xml:space="preserve"> screened for completeness and validity. </w:t>
      </w:r>
      <w:r w:rsidR="009877F9" w:rsidRPr="0093540C">
        <w:rPr>
          <w:rFonts w:ascii="Times New Roman" w:hAnsi="Times New Roman" w:cs="Times New Roman"/>
          <w:sz w:val="24"/>
          <w:szCs w:val="24"/>
        </w:rPr>
        <w:t xml:space="preserve">A </w:t>
      </w:r>
      <w:r w:rsidR="00B2041F" w:rsidRPr="0093540C">
        <w:rPr>
          <w:rFonts w:ascii="Times New Roman" w:hAnsi="Times New Roman" w:cs="Times New Roman"/>
          <w:sz w:val="24"/>
          <w:szCs w:val="24"/>
        </w:rPr>
        <w:t xml:space="preserve">nested </w:t>
      </w:r>
      <w:r w:rsidR="009877F9" w:rsidRPr="0093540C">
        <w:rPr>
          <w:rFonts w:ascii="Times New Roman" w:hAnsi="Times New Roman" w:cs="Times New Roman"/>
          <w:sz w:val="24"/>
          <w:szCs w:val="24"/>
        </w:rPr>
        <w:t>case-control analysis was undertaken within the coho</w:t>
      </w:r>
      <w:r w:rsidR="00B2041F" w:rsidRPr="0093540C">
        <w:rPr>
          <w:rFonts w:ascii="Times New Roman" w:hAnsi="Times New Roman" w:cs="Times New Roman"/>
          <w:sz w:val="24"/>
          <w:szCs w:val="24"/>
        </w:rPr>
        <w:t>rt of patients registered on this</w:t>
      </w:r>
      <w:r w:rsidR="009877F9" w:rsidRPr="0093540C">
        <w:rPr>
          <w:rFonts w:ascii="Times New Roman" w:hAnsi="Times New Roman" w:cs="Times New Roman"/>
          <w:sz w:val="24"/>
          <w:szCs w:val="24"/>
        </w:rPr>
        <w:t xml:space="preserve"> database </w:t>
      </w:r>
      <w:r w:rsidR="004035CA">
        <w:rPr>
          <w:rFonts w:ascii="Times New Roman" w:hAnsi="Times New Roman" w:cs="Times New Roman"/>
          <w:sz w:val="24"/>
          <w:szCs w:val="24"/>
        </w:rPr>
        <w:t xml:space="preserve">at any time </w:t>
      </w:r>
      <w:r w:rsidR="004035CA" w:rsidRPr="0093540C">
        <w:rPr>
          <w:rFonts w:ascii="Times New Roman" w:hAnsi="Times New Roman" w:cs="Times New Roman"/>
          <w:sz w:val="24"/>
          <w:szCs w:val="24"/>
        </w:rPr>
        <w:t>between 1</w:t>
      </w:r>
      <w:r w:rsidR="004035CA" w:rsidRPr="0093540C">
        <w:rPr>
          <w:rFonts w:ascii="Times New Roman" w:hAnsi="Times New Roman" w:cs="Times New Roman"/>
          <w:sz w:val="24"/>
          <w:szCs w:val="24"/>
          <w:vertAlign w:val="superscript"/>
        </w:rPr>
        <w:t>st</w:t>
      </w:r>
      <w:r w:rsidR="004035CA" w:rsidRPr="0093540C">
        <w:rPr>
          <w:rFonts w:ascii="Times New Roman" w:hAnsi="Times New Roman" w:cs="Times New Roman"/>
          <w:sz w:val="24"/>
          <w:szCs w:val="24"/>
        </w:rPr>
        <w:t xml:space="preserve"> </w:t>
      </w:r>
      <w:r w:rsidR="0093540C" w:rsidRPr="0093540C">
        <w:rPr>
          <w:rFonts w:ascii="Times New Roman" w:hAnsi="Times New Roman" w:cs="Times New Roman"/>
          <w:sz w:val="24"/>
          <w:szCs w:val="24"/>
        </w:rPr>
        <w:t>January 1987</w:t>
      </w:r>
      <w:r w:rsidR="009877F9" w:rsidRPr="0093540C">
        <w:rPr>
          <w:rFonts w:ascii="Times New Roman" w:hAnsi="Times New Roman" w:cs="Times New Roman"/>
          <w:sz w:val="24"/>
          <w:szCs w:val="24"/>
        </w:rPr>
        <w:t xml:space="preserve"> and </w:t>
      </w:r>
      <w:r w:rsidR="0093540C" w:rsidRPr="0093540C">
        <w:rPr>
          <w:rFonts w:ascii="Times New Roman" w:hAnsi="Times New Roman" w:cs="Times New Roman"/>
          <w:sz w:val="24"/>
          <w:szCs w:val="24"/>
        </w:rPr>
        <w:t>31</w:t>
      </w:r>
      <w:r w:rsidR="0093540C" w:rsidRPr="0093540C">
        <w:rPr>
          <w:rFonts w:ascii="Times New Roman" w:hAnsi="Times New Roman" w:cs="Times New Roman"/>
          <w:sz w:val="24"/>
          <w:szCs w:val="24"/>
          <w:vertAlign w:val="superscript"/>
        </w:rPr>
        <w:t>st</w:t>
      </w:r>
      <w:r w:rsidR="0093540C">
        <w:rPr>
          <w:rFonts w:ascii="Times New Roman" w:hAnsi="Times New Roman" w:cs="Times New Roman"/>
          <w:sz w:val="24"/>
          <w:szCs w:val="24"/>
        </w:rPr>
        <w:t xml:space="preserve"> December 2009</w:t>
      </w:r>
      <w:r w:rsidR="009877F9" w:rsidRPr="0093540C">
        <w:rPr>
          <w:rFonts w:ascii="Times New Roman" w:hAnsi="Times New Roman" w:cs="Times New Roman"/>
          <w:sz w:val="24"/>
          <w:szCs w:val="24"/>
        </w:rPr>
        <w:t>.</w:t>
      </w:r>
    </w:p>
    <w:p w:rsidR="00B2041F" w:rsidRPr="0093540C" w:rsidRDefault="00B2041F" w:rsidP="009877F9">
      <w:pPr>
        <w:widowControl w:val="0"/>
        <w:rPr>
          <w:rFonts w:ascii="Times New Roman" w:hAnsi="Times New Roman" w:cs="Times New Roman"/>
          <w:sz w:val="24"/>
          <w:szCs w:val="24"/>
        </w:rPr>
      </w:pPr>
    </w:p>
    <w:p w:rsidR="00B2041F" w:rsidRPr="0093540C" w:rsidRDefault="004035CA" w:rsidP="00B2041F">
      <w:pPr>
        <w:widowControl w:val="0"/>
        <w:rPr>
          <w:rFonts w:ascii="Times New Roman" w:hAnsi="Times New Roman" w:cs="Times New Roman"/>
          <w:sz w:val="24"/>
          <w:szCs w:val="24"/>
        </w:rPr>
      </w:pPr>
      <w:r>
        <w:rPr>
          <w:rFonts w:ascii="Times New Roman" w:hAnsi="Times New Roman" w:cs="Times New Roman"/>
          <w:sz w:val="24"/>
          <w:szCs w:val="24"/>
        </w:rPr>
        <w:lastRenderedPageBreak/>
        <w:t>C</w:t>
      </w:r>
      <w:r w:rsidR="00B2041F" w:rsidRPr="0093540C">
        <w:rPr>
          <w:rFonts w:ascii="Times New Roman" w:hAnsi="Times New Roman" w:cs="Times New Roman"/>
          <w:sz w:val="24"/>
          <w:szCs w:val="24"/>
        </w:rPr>
        <w:t>PRD consultation episodes are classified by Read diagnostic codes. In a scoping exercise, we identified 479 codes for occupational injury, ranging from the non-specific (</w:t>
      </w:r>
      <w:r w:rsidR="00B63ED2">
        <w:rPr>
          <w:rFonts w:ascii="Times New Roman" w:hAnsi="Times New Roman" w:cs="Times New Roman"/>
          <w:sz w:val="24"/>
          <w:szCs w:val="24"/>
        </w:rPr>
        <w:t xml:space="preserve">e.g. </w:t>
      </w:r>
      <w:r w:rsidR="00B2041F" w:rsidRPr="0093540C">
        <w:rPr>
          <w:rFonts w:ascii="Times New Roman" w:hAnsi="Times New Roman" w:cs="Times New Roman"/>
          <w:sz w:val="24"/>
          <w:szCs w:val="24"/>
        </w:rPr>
        <w:t>codes: L5250W “accident at work”, T920 “accident on duty”) through to events distinguishable as involving machinery or tools likely only to be used during work (e.g. TG31400 “Accident caused by forging machine”, TG37500 “Accident caused by transmission pulley”), plant or off-road vehicles at work (e.g.</w:t>
      </w:r>
      <w:r w:rsidR="00CD4231" w:rsidRPr="0093540C">
        <w:rPr>
          <w:rFonts w:ascii="Times New Roman" w:hAnsi="Times New Roman" w:cs="Times New Roman"/>
          <w:sz w:val="24"/>
          <w:szCs w:val="24"/>
        </w:rPr>
        <w:t xml:space="preserve"> </w:t>
      </w:r>
      <w:r w:rsidR="00B2041F" w:rsidRPr="0093540C">
        <w:rPr>
          <w:rFonts w:ascii="Times New Roman" w:hAnsi="Times New Roman" w:cs="Times New Roman"/>
          <w:sz w:val="24"/>
          <w:szCs w:val="24"/>
        </w:rPr>
        <w:t>T605.00 “Accident involving industrial self-propelled truck</w:t>
      </w:r>
      <w:r w:rsidR="00CD4231" w:rsidRPr="0093540C">
        <w:rPr>
          <w:rFonts w:ascii="Times New Roman" w:hAnsi="Times New Roman" w:cs="Times New Roman"/>
          <w:sz w:val="24"/>
          <w:szCs w:val="24"/>
        </w:rPr>
        <w:t>”</w:t>
      </w:r>
      <w:r w:rsidR="00B2041F" w:rsidRPr="0093540C">
        <w:rPr>
          <w:rFonts w:ascii="Times New Roman" w:hAnsi="Times New Roman" w:cs="Times New Roman"/>
          <w:sz w:val="24"/>
          <w:szCs w:val="24"/>
        </w:rPr>
        <w:t>)</w:t>
      </w:r>
      <w:r w:rsidR="00F65B90" w:rsidRPr="0093540C">
        <w:rPr>
          <w:rFonts w:ascii="Times New Roman" w:hAnsi="Times New Roman" w:cs="Times New Roman"/>
          <w:sz w:val="24"/>
          <w:szCs w:val="24"/>
        </w:rPr>
        <w:t>,</w:t>
      </w:r>
      <w:r w:rsidR="00B2041F" w:rsidRPr="0093540C">
        <w:rPr>
          <w:rFonts w:ascii="Times New Roman" w:hAnsi="Times New Roman" w:cs="Times New Roman"/>
          <w:sz w:val="24"/>
          <w:szCs w:val="24"/>
        </w:rPr>
        <w:t xml:space="preserve"> </w:t>
      </w:r>
      <w:r w:rsidR="00F65B90" w:rsidRPr="0093540C">
        <w:rPr>
          <w:rFonts w:ascii="Times New Roman" w:hAnsi="Times New Roman" w:cs="Times New Roman"/>
          <w:sz w:val="24"/>
          <w:szCs w:val="24"/>
        </w:rPr>
        <w:t>or</w:t>
      </w:r>
      <w:r w:rsidR="00B2041F" w:rsidRPr="0093540C">
        <w:rPr>
          <w:rFonts w:ascii="Times New Roman" w:hAnsi="Times New Roman" w:cs="Times New Roman"/>
          <w:sz w:val="24"/>
          <w:szCs w:val="24"/>
        </w:rPr>
        <w:t xml:space="preserve"> </w:t>
      </w:r>
      <w:r w:rsidR="00B6555E" w:rsidRPr="0093540C">
        <w:rPr>
          <w:rFonts w:ascii="Times New Roman" w:hAnsi="Times New Roman" w:cs="Times New Roman"/>
          <w:sz w:val="24"/>
          <w:szCs w:val="24"/>
        </w:rPr>
        <w:t xml:space="preserve">in </w:t>
      </w:r>
      <w:r w:rsidR="00B2041F" w:rsidRPr="0093540C">
        <w:rPr>
          <w:rFonts w:ascii="Times New Roman" w:hAnsi="Times New Roman" w:cs="Times New Roman"/>
          <w:sz w:val="24"/>
          <w:szCs w:val="24"/>
        </w:rPr>
        <w:t>work location</w:t>
      </w:r>
      <w:r w:rsidR="00F65B90" w:rsidRPr="0093540C">
        <w:rPr>
          <w:rFonts w:ascii="Times New Roman" w:hAnsi="Times New Roman" w:cs="Times New Roman"/>
          <w:sz w:val="24"/>
          <w:szCs w:val="24"/>
        </w:rPr>
        <w:t>s</w:t>
      </w:r>
      <w:r w:rsidR="00B2041F" w:rsidRPr="0093540C">
        <w:rPr>
          <w:rFonts w:ascii="Times New Roman" w:hAnsi="Times New Roman" w:cs="Times New Roman"/>
          <w:sz w:val="24"/>
          <w:szCs w:val="24"/>
        </w:rPr>
        <w:t xml:space="preserve"> (e.g. T736.00, “Place of accident or poisoning, industrial yard”).  Appendix 1 </w:t>
      </w:r>
      <w:r w:rsidR="00B072FE" w:rsidRPr="0093540C">
        <w:rPr>
          <w:rFonts w:ascii="Times New Roman" w:hAnsi="Times New Roman" w:cs="Times New Roman"/>
          <w:sz w:val="24"/>
          <w:szCs w:val="24"/>
        </w:rPr>
        <w:t>(</w:t>
      </w:r>
      <w:r w:rsidR="00B072FE" w:rsidRPr="0093540C">
        <w:rPr>
          <w:rFonts w:ascii="Times New Roman" w:hAnsi="Times New Roman" w:cs="Times New Roman"/>
          <w:i/>
          <w:sz w:val="24"/>
          <w:szCs w:val="24"/>
        </w:rPr>
        <w:t>proposed as on online supplement</w:t>
      </w:r>
      <w:r w:rsidR="00B072FE" w:rsidRPr="0093540C">
        <w:rPr>
          <w:rFonts w:ascii="Times New Roman" w:hAnsi="Times New Roman" w:cs="Times New Roman"/>
          <w:sz w:val="24"/>
          <w:szCs w:val="24"/>
        </w:rPr>
        <w:t xml:space="preserve">) </w:t>
      </w:r>
      <w:r w:rsidR="00B2041F" w:rsidRPr="0093540C">
        <w:rPr>
          <w:rFonts w:ascii="Times New Roman" w:hAnsi="Times New Roman" w:cs="Times New Roman"/>
          <w:sz w:val="24"/>
          <w:szCs w:val="24"/>
        </w:rPr>
        <w:t xml:space="preserve">provides </w:t>
      </w:r>
      <w:r w:rsidR="00F65B90" w:rsidRPr="0093540C">
        <w:rPr>
          <w:rFonts w:ascii="Times New Roman" w:hAnsi="Times New Roman" w:cs="Times New Roman"/>
          <w:sz w:val="24"/>
          <w:szCs w:val="24"/>
        </w:rPr>
        <w:t>a full list</w:t>
      </w:r>
      <w:r w:rsidR="00B2041F" w:rsidRPr="0093540C">
        <w:rPr>
          <w:rFonts w:ascii="Times New Roman" w:hAnsi="Times New Roman" w:cs="Times New Roman"/>
          <w:sz w:val="24"/>
          <w:szCs w:val="24"/>
        </w:rPr>
        <w:t xml:space="preserve">. The MHRA supplied us with an anonymised dataset containing the full </w:t>
      </w:r>
      <w:r w:rsidR="0093540C">
        <w:rPr>
          <w:rFonts w:ascii="Times New Roman" w:hAnsi="Times New Roman" w:cs="Times New Roman"/>
          <w:sz w:val="24"/>
          <w:szCs w:val="24"/>
        </w:rPr>
        <w:t xml:space="preserve">primary care </w:t>
      </w:r>
      <w:r w:rsidR="00B2041F" w:rsidRPr="0093540C">
        <w:rPr>
          <w:rFonts w:ascii="Times New Roman" w:hAnsi="Times New Roman" w:cs="Times New Roman"/>
          <w:sz w:val="24"/>
          <w:szCs w:val="24"/>
        </w:rPr>
        <w:t xml:space="preserve">medical records of 9,612 </w:t>
      </w:r>
      <w:r>
        <w:rPr>
          <w:rFonts w:ascii="Times New Roman" w:hAnsi="Times New Roman" w:cs="Times New Roman"/>
          <w:sz w:val="24"/>
          <w:szCs w:val="24"/>
        </w:rPr>
        <w:t>cohort members</w:t>
      </w:r>
      <w:r w:rsidR="00F65B90" w:rsidRPr="0093540C">
        <w:rPr>
          <w:rFonts w:ascii="Times New Roman" w:hAnsi="Times New Roman" w:cs="Times New Roman"/>
          <w:sz w:val="24"/>
          <w:szCs w:val="24"/>
        </w:rPr>
        <w:t xml:space="preserve"> comprising</w:t>
      </w:r>
      <w:r w:rsidR="00B2041F" w:rsidRPr="0093540C">
        <w:rPr>
          <w:rFonts w:ascii="Times New Roman" w:hAnsi="Times New Roman" w:cs="Times New Roman"/>
          <w:sz w:val="24"/>
          <w:szCs w:val="24"/>
        </w:rPr>
        <w:t xml:space="preserve"> (1) 1,700 </w:t>
      </w:r>
      <w:r w:rsidR="00B6555E" w:rsidRPr="0093540C">
        <w:rPr>
          <w:rFonts w:ascii="Times New Roman" w:hAnsi="Times New Roman" w:cs="Times New Roman"/>
          <w:sz w:val="24"/>
          <w:szCs w:val="24"/>
        </w:rPr>
        <w:t>patients</w:t>
      </w:r>
      <w:r w:rsidR="00B2041F" w:rsidRPr="0093540C">
        <w:rPr>
          <w:rFonts w:ascii="Times New Roman" w:hAnsi="Times New Roman" w:cs="Times New Roman"/>
          <w:sz w:val="24"/>
          <w:szCs w:val="24"/>
        </w:rPr>
        <w:t xml:space="preserve"> who had consulted </w:t>
      </w:r>
      <w:r w:rsidR="00F65B90" w:rsidRPr="0093540C">
        <w:rPr>
          <w:rFonts w:ascii="Times New Roman" w:hAnsi="Times New Roman" w:cs="Times New Roman"/>
          <w:sz w:val="24"/>
          <w:szCs w:val="24"/>
        </w:rPr>
        <w:t>their general</w:t>
      </w:r>
      <w:r w:rsidR="00B2041F" w:rsidRPr="0093540C">
        <w:rPr>
          <w:rFonts w:ascii="Times New Roman" w:hAnsi="Times New Roman" w:cs="Times New Roman"/>
          <w:sz w:val="24"/>
          <w:szCs w:val="24"/>
        </w:rPr>
        <w:t xml:space="preserve"> practice or attended hospital with </w:t>
      </w:r>
      <w:r w:rsidR="00F65B90" w:rsidRPr="0093540C">
        <w:rPr>
          <w:rFonts w:ascii="Times New Roman" w:hAnsi="Times New Roman" w:cs="Times New Roman"/>
          <w:sz w:val="24"/>
          <w:szCs w:val="24"/>
        </w:rPr>
        <w:t>a</w:t>
      </w:r>
      <w:r w:rsidR="00B2041F" w:rsidRPr="0093540C">
        <w:rPr>
          <w:rFonts w:ascii="Times New Roman" w:hAnsi="Times New Roman" w:cs="Times New Roman"/>
          <w:sz w:val="24"/>
          <w:szCs w:val="24"/>
        </w:rPr>
        <w:t xml:space="preserve"> qualifying</w:t>
      </w:r>
      <w:r w:rsidR="00F65B90" w:rsidRPr="0093540C">
        <w:rPr>
          <w:rFonts w:ascii="Times New Roman" w:hAnsi="Times New Roman" w:cs="Times New Roman"/>
          <w:sz w:val="24"/>
          <w:szCs w:val="24"/>
        </w:rPr>
        <w:t xml:space="preserve"> injury code</w:t>
      </w:r>
      <w:r w:rsidR="00B6555E" w:rsidRPr="0093540C">
        <w:rPr>
          <w:rFonts w:ascii="Times New Roman" w:hAnsi="Times New Roman" w:cs="Times New Roman"/>
          <w:sz w:val="24"/>
          <w:szCs w:val="24"/>
        </w:rPr>
        <w:t xml:space="preserve"> </w:t>
      </w:r>
      <w:r>
        <w:rPr>
          <w:rFonts w:ascii="Times New Roman" w:hAnsi="Times New Roman" w:cs="Times New Roman"/>
          <w:sz w:val="24"/>
          <w:szCs w:val="24"/>
        </w:rPr>
        <w:t xml:space="preserve">during 1987-2009 </w:t>
      </w:r>
      <w:r w:rsidR="00B6555E" w:rsidRPr="0093540C">
        <w:rPr>
          <w:rFonts w:ascii="Times New Roman" w:hAnsi="Times New Roman" w:cs="Times New Roman"/>
          <w:sz w:val="24"/>
          <w:szCs w:val="24"/>
        </w:rPr>
        <w:t>(cases)</w:t>
      </w:r>
      <w:r w:rsidR="00F65B90" w:rsidRPr="0093540C">
        <w:rPr>
          <w:rFonts w:ascii="Times New Roman" w:hAnsi="Times New Roman" w:cs="Times New Roman"/>
          <w:sz w:val="24"/>
          <w:szCs w:val="24"/>
        </w:rPr>
        <w:t>,</w:t>
      </w:r>
      <w:r w:rsidR="00B2041F" w:rsidRPr="0093540C">
        <w:rPr>
          <w:rFonts w:ascii="Times New Roman" w:hAnsi="Times New Roman" w:cs="Times New Roman"/>
          <w:sz w:val="24"/>
          <w:szCs w:val="24"/>
        </w:rPr>
        <w:t xml:space="preserve"> and (2) 8,500 </w:t>
      </w:r>
      <w:r w:rsidR="00B6555E" w:rsidRPr="0093540C">
        <w:rPr>
          <w:rFonts w:ascii="Times New Roman" w:hAnsi="Times New Roman" w:cs="Times New Roman"/>
          <w:sz w:val="24"/>
          <w:szCs w:val="24"/>
        </w:rPr>
        <w:t xml:space="preserve">patients </w:t>
      </w:r>
      <w:r w:rsidR="00F65B90" w:rsidRPr="0093540C">
        <w:rPr>
          <w:rFonts w:ascii="Times New Roman" w:hAnsi="Times New Roman" w:cs="Times New Roman"/>
          <w:sz w:val="24"/>
          <w:szCs w:val="24"/>
        </w:rPr>
        <w:t>with no workplace injury</w:t>
      </w:r>
      <w:r w:rsidR="00DE39D6">
        <w:rPr>
          <w:rFonts w:ascii="Times New Roman" w:hAnsi="Times New Roman" w:cs="Times New Roman"/>
          <w:sz w:val="24"/>
          <w:szCs w:val="24"/>
        </w:rPr>
        <w:t xml:space="preserve"> </w:t>
      </w:r>
      <w:r w:rsidR="00DE39D6" w:rsidRPr="0093540C">
        <w:rPr>
          <w:rFonts w:ascii="Times New Roman" w:hAnsi="Times New Roman" w:cs="Times New Roman"/>
          <w:sz w:val="24"/>
          <w:szCs w:val="24"/>
        </w:rPr>
        <w:t>(controls)</w:t>
      </w:r>
      <w:r w:rsidR="00DE39D6">
        <w:rPr>
          <w:rFonts w:ascii="Times New Roman" w:hAnsi="Times New Roman" w:cs="Times New Roman"/>
          <w:sz w:val="24"/>
          <w:szCs w:val="24"/>
        </w:rPr>
        <w:t xml:space="preserve">. </w:t>
      </w:r>
      <w:r w:rsidR="00B2041F" w:rsidRPr="0093540C">
        <w:rPr>
          <w:rFonts w:ascii="Times New Roman" w:hAnsi="Times New Roman" w:cs="Times New Roman"/>
          <w:sz w:val="24"/>
          <w:szCs w:val="24"/>
        </w:rPr>
        <w:t xml:space="preserve"> </w:t>
      </w:r>
      <w:r w:rsidR="00DE39D6">
        <w:rPr>
          <w:rFonts w:ascii="Times New Roman" w:hAnsi="Times New Roman" w:cs="Times New Roman"/>
          <w:sz w:val="24"/>
          <w:szCs w:val="24"/>
        </w:rPr>
        <w:t>A</w:t>
      </w:r>
      <w:r w:rsidR="00DE39D6" w:rsidRPr="0093540C">
        <w:rPr>
          <w:rFonts w:ascii="Times New Roman" w:hAnsi="Times New Roman" w:cs="Times New Roman"/>
          <w:sz w:val="24"/>
          <w:szCs w:val="24"/>
        </w:rPr>
        <w:t xml:space="preserve"> pre-defined algorithm</w:t>
      </w:r>
      <w:r w:rsidR="00DE39D6">
        <w:rPr>
          <w:rFonts w:ascii="Times New Roman" w:hAnsi="Times New Roman" w:cs="Times New Roman"/>
          <w:sz w:val="24"/>
          <w:szCs w:val="24"/>
        </w:rPr>
        <w:t xml:space="preserve"> was applied to</w:t>
      </w:r>
      <w:r w:rsidR="00DE39D6" w:rsidRPr="0093540C">
        <w:rPr>
          <w:rFonts w:ascii="Times New Roman" w:hAnsi="Times New Roman" w:cs="Times New Roman"/>
          <w:sz w:val="24"/>
          <w:szCs w:val="24"/>
        </w:rPr>
        <w:t xml:space="preserve"> match</w:t>
      </w:r>
      <w:r w:rsidR="00DE39D6">
        <w:rPr>
          <w:rFonts w:ascii="Times New Roman" w:hAnsi="Times New Roman" w:cs="Times New Roman"/>
          <w:sz w:val="24"/>
          <w:szCs w:val="24"/>
        </w:rPr>
        <w:t xml:space="preserve"> the controls </w:t>
      </w:r>
      <w:r w:rsidR="00DE39D6" w:rsidRPr="0093540C">
        <w:rPr>
          <w:rFonts w:ascii="Times New Roman" w:hAnsi="Times New Roman" w:cs="Times New Roman"/>
          <w:sz w:val="24"/>
          <w:szCs w:val="24"/>
        </w:rPr>
        <w:t>individually</w:t>
      </w:r>
      <w:r w:rsidR="00DE39D6">
        <w:rPr>
          <w:rFonts w:ascii="Times New Roman" w:hAnsi="Times New Roman" w:cs="Times New Roman"/>
          <w:sz w:val="24"/>
          <w:szCs w:val="24"/>
        </w:rPr>
        <w:t xml:space="preserve"> to cases (</w:t>
      </w:r>
      <w:r w:rsidR="00B2041F" w:rsidRPr="0093540C">
        <w:rPr>
          <w:rFonts w:ascii="Times New Roman" w:hAnsi="Times New Roman" w:cs="Times New Roman"/>
          <w:sz w:val="24"/>
          <w:szCs w:val="24"/>
        </w:rPr>
        <w:t>five per case</w:t>
      </w:r>
      <w:r w:rsidR="00DE39D6">
        <w:rPr>
          <w:rFonts w:ascii="Times New Roman" w:hAnsi="Times New Roman" w:cs="Times New Roman"/>
          <w:sz w:val="24"/>
          <w:szCs w:val="24"/>
        </w:rPr>
        <w:t>)</w:t>
      </w:r>
      <w:r w:rsidR="00B2041F" w:rsidRPr="0093540C">
        <w:rPr>
          <w:rFonts w:ascii="Times New Roman" w:hAnsi="Times New Roman" w:cs="Times New Roman"/>
          <w:sz w:val="24"/>
          <w:szCs w:val="24"/>
        </w:rPr>
        <w:t xml:space="preserve"> by sex, nearest year of birth</w:t>
      </w:r>
      <w:r w:rsidR="00DE39D6">
        <w:rPr>
          <w:rFonts w:ascii="Times New Roman" w:hAnsi="Times New Roman" w:cs="Times New Roman"/>
          <w:sz w:val="24"/>
          <w:szCs w:val="24"/>
        </w:rPr>
        <w:t>,</w:t>
      </w:r>
      <w:r w:rsidR="00B2041F" w:rsidRPr="0093540C">
        <w:rPr>
          <w:rFonts w:ascii="Times New Roman" w:hAnsi="Times New Roman" w:cs="Times New Roman"/>
          <w:sz w:val="24"/>
          <w:szCs w:val="24"/>
        </w:rPr>
        <w:t xml:space="preserve"> general practice</w:t>
      </w:r>
      <w:r>
        <w:rPr>
          <w:rFonts w:ascii="Times New Roman" w:hAnsi="Times New Roman" w:cs="Times New Roman"/>
          <w:sz w:val="24"/>
          <w:szCs w:val="24"/>
        </w:rPr>
        <w:t>,</w:t>
      </w:r>
      <w:r w:rsidR="00B2041F" w:rsidRPr="0093540C">
        <w:rPr>
          <w:rFonts w:ascii="Times New Roman" w:hAnsi="Times New Roman" w:cs="Times New Roman"/>
          <w:sz w:val="24"/>
          <w:szCs w:val="24"/>
        </w:rPr>
        <w:t xml:space="preserve"> </w:t>
      </w:r>
      <w:r w:rsidRPr="00DE39D6">
        <w:rPr>
          <w:rFonts w:ascii="Times New Roman" w:hAnsi="Times New Roman" w:cs="Times New Roman"/>
          <w:sz w:val="24"/>
          <w:szCs w:val="24"/>
        </w:rPr>
        <w:t>and</w:t>
      </w:r>
      <w:r w:rsidR="00DE39D6">
        <w:rPr>
          <w:rFonts w:ascii="Times New Roman" w:hAnsi="Times New Roman" w:cs="Times New Roman"/>
          <w:sz w:val="24"/>
          <w:szCs w:val="24"/>
        </w:rPr>
        <w:t xml:space="preserve"> being</w:t>
      </w:r>
      <w:r w:rsidRPr="00DE39D6">
        <w:rPr>
          <w:rFonts w:ascii="Times New Roman" w:hAnsi="Times New Roman" w:cs="Times New Roman"/>
          <w:sz w:val="24"/>
          <w:szCs w:val="24"/>
        </w:rPr>
        <w:t xml:space="preserve"> in the database at the time of the matched case’s injury consultation</w:t>
      </w:r>
      <w:r w:rsidR="00B2041F" w:rsidRPr="0093540C">
        <w:rPr>
          <w:rFonts w:ascii="Times New Roman" w:hAnsi="Times New Roman" w:cs="Times New Roman"/>
          <w:sz w:val="24"/>
          <w:szCs w:val="24"/>
        </w:rPr>
        <w:t xml:space="preserve">. </w:t>
      </w:r>
    </w:p>
    <w:p w:rsidR="00B2041F" w:rsidRPr="0093540C" w:rsidRDefault="00B2041F" w:rsidP="00B2041F">
      <w:pPr>
        <w:widowControl w:val="0"/>
        <w:rPr>
          <w:rFonts w:ascii="Times New Roman" w:hAnsi="Times New Roman" w:cs="Times New Roman"/>
          <w:sz w:val="24"/>
          <w:szCs w:val="24"/>
        </w:rPr>
      </w:pPr>
    </w:p>
    <w:p w:rsidR="00E42774" w:rsidRPr="0093540C" w:rsidRDefault="00B2041F" w:rsidP="00B2041F">
      <w:pPr>
        <w:widowControl w:val="0"/>
        <w:rPr>
          <w:rFonts w:ascii="Times New Roman" w:hAnsi="Times New Roman" w:cs="Times New Roman"/>
          <w:sz w:val="24"/>
          <w:szCs w:val="24"/>
        </w:rPr>
      </w:pPr>
      <w:r w:rsidRPr="0093540C">
        <w:rPr>
          <w:rFonts w:ascii="Times New Roman" w:hAnsi="Times New Roman" w:cs="Times New Roman"/>
          <w:sz w:val="24"/>
          <w:szCs w:val="24"/>
        </w:rPr>
        <w:t xml:space="preserve">All </w:t>
      </w:r>
      <w:r w:rsidR="00E42774" w:rsidRPr="0093540C">
        <w:rPr>
          <w:rFonts w:ascii="Times New Roman" w:hAnsi="Times New Roman" w:cs="Times New Roman"/>
          <w:sz w:val="24"/>
          <w:szCs w:val="24"/>
        </w:rPr>
        <w:t>coding decisions</w:t>
      </w:r>
      <w:r w:rsidR="00F65B90" w:rsidRPr="0093540C">
        <w:rPr>
          <w:rFonts w:ascii="Times New Roman" w:hAnsi="Times New Roman" w:cs="Times New Roman"/>
          <w:sz w:val="24"/>
          <w:szCs w:val="24"/>
        </w:rPr>
        <w:t xml:space="preserve"> and analyses</w:t>
      </w:r>
      <w:r w:rsidR="00E42774" w:rsidRPr="0093540C">
        <w:rPr>
          <w:rFonts w:ascii="Times New Roman" w:hAnsi="Times New Roman" w:cs="Times New Roman"/>
          <w:sz w:val="24"/>
          <w:szCs w:val="24"/>
        </w:rPr>
        <w:t xml:space="preserve"> were </w:t>
      </w:r>
      <w:r w:rsidR="00B6555E" w:rsidRPr="0093540C">
        <w:rPr>
          <w:rFonts w:ascii="Times New Roman" w:hAnsi="Times New Roman" w:cs="Times New Roman"/>
          <w:sz w:val="24"/>
          <w:szCs w:val="24"/>
        </w:rPr>
        <w:t>under</w:t>
      </w:r>
      <w:r w:rsidR="00E42774" w:rsidRPr="0093540C">
        <w:rPr>
          <w:rFonts w:ascii="Times New Roman" w:hAnsi="Times New Roman" w:cs="Times New Roman"/>
          <w:sz w:val="24"/>
          <w:szCs w:val="24"/>
        </w:rPr>
        <w:t>taken in relation</w:t>
      </w:r>
      <w:r w:rsidRPr="0093540C">
        <w:rPr>
          <w:rFonts w:ascii="Times New Roman" w:hAnsi="Times New Roman" w:cs="Times New Roman"/>
          <w:sz w:val="24"/>
          <w:szCs w:val="24"/>
        </w:rPr>
        <w:t xml:space="preserve"> to an</w:t>
      </w:r>
      <w:r w:rsidR="00E42774" w:rsidRPr="0093540C">
        <w:rPr>
          <w:rFonts w:ascii="Times New Roman" w:hAnsi="Times New Roman" w:cs="Times New Roman"/>
          <w:sz w:val="24"/>
          <w:szCs w:val="24"/>
        </w:rPr>
        <w:t xml:space="preserve"> </w:t>
      </w:r>
      <w:r w:rsidRPr="0093540C">
        <w:rPr>
          <w:rFonts w:ascii="Times New Roman" w:hAnsi="Times New Roman" w:cs="Times New Roman"/>
          <w:sz w:val="24"/>
          <w:szCs w:val="24"/>
        </w:rPr>
        <w:t>index date – for a case, the date of</w:t>
      </w:r>
      <w:r w:rsidR="00E42774" w:rsidRPr="0093540C">
        <w:rPr>
          <w:rFonts w:ascii="Times New Roman" w:hAnsi="Times New Roman" w:cs="Times New Roman"/>
          <w:sz w:val="24"/>
          <w:szCs w:val="24"/>
        </w:rPr>
        <w:t xml:space="preserve"> their</w:t>
      </w:r>
      <w:r w:rsidRPr="0093540C">
        <w:rPr>
          <w:rFonts w:ascii="Times New Roman" w:hAnsi="Times New Roman" w:cs="Times New Roman"/>
          <w:sz w:val="24"/>
          <w:szCs w:val="24"/>
        </w:rPr>
        <w:t xml:space="preserve"> injury consultation and, for controls, th</w:t>
      </w:r>
      <w:r w:rsidR="00E42774" w:rsidRPr="0093540C">
        <w:rPr>
          <w:rFonts w:ascii="Times New Roman" w:hAnsi="Times New Roman" w:cs="Times New Roman"/>
          <w:sz w:val="24"/>
          <w:szCs w:val="24"/>
        </w:rPr>
        <w:t>e date of injury consultation of</w:t>
      </w:r>
      <w:r w:rsidRPr="0093540C">
        <w:rPr>
          <w:rFonts w:ascii="Times New Roman" w:hAnsi="Times New Roman" w:cs="Times New Roman"/>
          <w:sz w:val="24"/>
          <w:szCs w:val="24"/>
        </w:rPr>
        <w:t xml:space="preserve"> the</w:t>
      </w:r>
      <w:r w:rsidR="00F65B90" w:rsidRPr="0093540C">
        <w:rPr>
          <w:rFonts w:ascii="Times New Roman" w:hAnsi="Times New Roman" w:cs="Times New Roman"/>
          <w:sz w:val="24"/>
          <w:szCs w:val="24"/>
        </w:rPr>
        <w:t>ir</w:t>
      </w:r>
      <w:r w:rsidRPr="0093540C">
        <w:rPr>
          <w:rFonts w:ascii="Times New Roman" w:hAnsi="Times New Roman" w:cs="Times New Roman"/>
          <w:sz w:val="24"/>
          <w:szCs w:val="24"/>
        </w:rPr>
        <w:t xml:space="preserve"> </w:t>
      </w:r>
      <w:r w:rsidR="00F65B90" w:rsidRPr="0093540C">
        <w:rPr>
          <w:rFonts w:ascii="Times New Roman" w:hAnsi="Times New Roman" w:cs="Times New Roman"/>
          <w:sz w:val="24"/>
          <w:szCs w:val="24"/>
        </w:rPr>
        <w:t xml:space="preserve">matched </w:t>
      </w:r>
      <w:r w:rsidR="00E42774" w:rsidRPr="0093540C">
        <w:rPr>
          <w:rFonts w:ascii="Times New Roman" w:hAnsi="Times New Roman" w:cs="Times New Roman"/>
          <w:sz w:val="24"/>
          <w:szCs w:val="24"/>
        </w:rPr>
        <w:t>case</w:t>
      </w:r>
      <w:r w:rsidRPr="0093540C">
        <w:rPr>
          <w:rFonts w:ascii="Times New Roman" w:hAnsi="Times New Roman" w:cs="Times New Roman"/>
          <w:sz w:val="24"/>
          <w:szCs w:val="24"/>
        </w:rPr>
        <w:t xml:space="preserve">. </w:t>
      </w:r>
      <w:r w:rsidR="00E42774" w:rsidRPr="0093540C">
        <w:rPr>
          <w:rFonts w:ascii="Times New Roman" w:hAnsi="Times New Roman" w:cs="Times New Roman"/>
          <w:sz w:val="24"/>
          <w:szCs w:val="24"/>
        </w:rPr>
        <w:t xml:space="preserve"> Subjects who were </w:t>
      </w:r>
      <w:r w:rsidR="00E42774" w:rsidRPr="0093540C">
        <w:rPr>
          <w:rFonts w:ascii="Times New Roman" w:hAnsi="Times New Roman" w:cs="Times New Roman"/>
          <w:sz w:val="24"/>
          <w:szCs w:val="24"/>
          <w:u w:val="single"/>
        </w:rPr>
        <w:t>&gt;</w:t>
      </w:r>
      <w:r w:rsidR="00E42774" w:rsidRPr="0093540C">
        <w:rPr>
          <w:rFonts w:ascii="Times New Roman" w:hAnsi="Times New Roman" w:cs="Times New Roman"/>
          <w:sz w:val="24"/>
          <w:szCs w:val="24"/>
        </w:rPr>
        <w:t>65 years on the index date (n=1,476) were excluded, as were a few controls match</w:t>
      </w:r>
      <w:r w:rsidR="00F65B90" w:rsidRPr="0093540C">
        <w:rPr>
          <w:rFonts w:ascii="Times New Roman" w:hAnsi="Times New Roman" w:cs="Times New Roman"/>
          <w:sz w:val="24"/>
          <w:szCs w:val="24"/>
        </w:rPr>
        <w:t>ed to more than one case (n=69)</w:t>
      </w:r>
      <w:r w:rsidR="00F26173">
        <w:rPr>
          <w:rFonts w:ascii="Times New Roman" w:hAnsi="Times New Roman" w:cs="Times New Roman"/>
          <w:sz w:val="24"/>
          <w:szCs w:val="24"/>
        </w:rPr>
        <w:t>,</w:t>
      </w:r>
      <w:r w:rsidR="00E42774" w:rsidRPr="0093540C">
        <w:rPr>
          <w:rFonts w:ascii="Times New Roman" w:hAnsi="Times New Roman" w:cs="Times New Roman"/>
          <w:sz w:val="24"/>
          <w:szCs w:val="24"/>
        </w:rPr>
        <w:t xml:space="preserve"> and a few cases and </w:t>
      </w:r>
      <w:r w:rsidR="00F65B90" w:rsidRPr="0093540C">
        <w:rPr>
          <w:rFonts w:ascii="Times New Roman" w:hAnsi="Times New Roman" w:cs="Times New Roman"/>
          <w:sz w:val="24"/>
          <w:szCs w:val="24"/>
        </w:rPr>
        <w:t xml:space="preserve">their </w:t>
      </w:r>
      <w:r w:rsidR="00E42774" w:rsidRPr="0093540C">
        <w:rPr>
          <w:rFonts w:ascii="Times New Roman" w:hAnsi="Times New Roman" w:cs="Times New Roman"/>
          <w:sz w:val="24"/>
          <w:szCs w:val="24"/>
        </w:rPr>
        <w:t>matched controls</w:t>
      </w:r>
      <w:r w:rsidR="00F65B90" w:rsidRPr="0093540C">
        <w:rPr>
          <w:rFonts w:ascii="Times New Roman" w:hAnsi="Times New Roman" w:cs="Times New Roman"/>
          <w:sz w:val="24"/>
          <w:szCs w:val="24"/>
        </w:rPr>
        <w:t xml:space="preserve"> where</w:t>
      </w:r>
      <w:r w:rsidR="00E42774" w:rsidRPr="0093540C">
        <w:rPr>
          <w:rFonts w:ascii="Times New Roman" w:hAnsi="Times New Roman" w:cs="Times New Roman"/>
          <w:sz w:val="24"/>
          <w:szCs w:val="24"/>
        </w:rPr>
        <w:t xml:space="preserve"> </w:t>
      </w:r>
      <w:r w:rsidR="00F65B90" w:rsidRPr="0093540C">
        <w:rPr>
          <w:rFonts w:ascii="Times New Roman" w:hAnsi="Times New Roman" w:cs="Times New Roman"/>
          <w:sz w:val="24"/>
          <w:szCs w:val="24"/>
        </w:rPr>
        <w:t>the</w:t>
      </w:r>
      <w:r w:rsidR="00E42774" w:rsidRPr="0093540C">
        <w:rPr>
          <w:rFonts w:ascii="Times New Roman" w:hAnsi="Times New Roman" w:cs="Times New Roman"/>
          <w:sz w:val="24"/>
          <w:szCs w:val="24"/>
        </w:rPr>
        <w:t xml:space="preserve"> </w:t>
      </w:r>
      <w:r w:rsidR="00F65B90" w:rsidRPr="0093540C">
        <w:rPr>
          <w:rFonts w:ascii="Times New Roman" w:hAnsi="Times New Roman" w:cs="Times New Roman"/>
          <w:sz w:val="24"/>
          <w:szCs w:val="24"/>
        </w:rPr>
        <w:t xml:space="preserve">underlying </w:t>
      </w:r>
      <w:r w:rsidR="00E42774" w:rsidRPr="0093540C">
        <w:rPr>
          <w:rFonts w:ascii="Times New Roman" w:hAnsi="Times New Roman" w:cs="Times New Roman"/>
          <w:sz w:val="24"/>
          <w:szCs w:val="24"/>
        </w:rPr>
        <w:t xml:space="preserve">injury was </w:t>
      </w:r>
      <w:r w:rsidR="00F65B90" w:rsidRPr="0093540C">
        <w:rPr>
          <w:rFonts w:ascii="Times New Roman" w:hAnsi="Times New Roman" w:cs="Times New Roman"/>
          <w:sz w:val="24"/>
          <w:szCs w:val="24"/>
        </w:rPr>
        <w:t>found</w:t>
      </w:r>
      <w:r w:rsidR="00E42774" w:rsidRPr="0093540C">
        <w:rPr>
          <w:rFonts w:ascii="Times New Roman" w:hAnsi="Times New Roman" w:cs="Times New Roman"/>
          <w:sz w:val="24"/>
          <w:szCs w:val="24"/>
        </w:rPr>
        <w:t xml:space="preserve"> to be non-accidental (e.g. assault at work) (n=67). Thus, analy</w:t>
      </w:r>
      <w:r w:rsidR="00F65B90" w:rsidRPr="0093540C">
        <w:rPr>
          <w:rFonts w:ascii="Times New Roman" w:hAnsi="Times New Roman" w:cs="Times New Roman"/>
          <w:sz w:val="24"/>
          <w:szCs w:val="24"/>
        </w:rPr>
        <w:t>sis was based on 8,000 subjects</w:t>
      </w:r>
      <w:r w:rsidR="00B6555E" w:rsidRPr="0093540C">
        <w:rPr>
          <w:rFonts w:ascii="Times New Roman" w:hAnsi="Times New Roman" w:cs="Times New Roman"/>
          <w:sz w:val="24"/>
          <w:szCs w:val="24"/>
        </w:rPr>
        <w:t>,</w:t>
      </w:r>
      <w:r w:rsidR="00E42774" w:rsidRPr="0093540C">
        <w:rPr>
          <w:rFonts w:ascii="Times New Roman" w:hAnsi="Times New Roman" w:cs="Times New Roman"/>
          <w:sz w:val="24"/>
          <w:szCs w:val="24"/>
        </w:rPr>
        <w:t xml:space="preserve"> comprising</w:t>
      </w:r>
      <w:r w:rsidR="00CD4231" w:rsidRPr="0093540C">
        <w:rPr>
          <w:rFonts w:ascii="Times New Roman" w:hAnsi="Times New Roman" w:cs="Times New Roman"/>
          <w:sz w:val="24"/>
          <w:szCs w:val="24"/>
        </w:rPr>
        <w:t xml:space="preserve"> 1,348 cases and 6,652 controls</w:t>
      </w:r>
      <w:r w:rsidR="00F65B90" w:rsidRPr="0093540C">
        <w:rPr>
          <w:rFonts w:ascii="Times New Roman" w:hAnsi="Times New Roman" w:cs="Times New Roman"/>
          <w:sz w:val="24"/>
          <w:szCs w:val="24"/>
        </w:rPr>
        <w:t xml:space="preserve">, </w:t>
      </w:r>
      <w:r w:rsidR="00F26173">
        <w:rPr>
          <w:rFonts w:ascii="Times New Roman" w:hAnsi="Times New Roman" w:cs="Times New Roman"/>
          <w:sz w:val="24"/>
          <w:szCs w:val="24"/>
        </w:rPr>
        <w:t>and</w:t>
      </w:r>
      <w:r w:rsidR="00CD4231" w:rsidRPr="0093540C">
        <w:rPr>
          <w:rFonts w:ascii="Times New Roman" w:hAnsi="Times New Roman" w:cs="Times New Roman"/>
          <w:sz w:val="24"/>
          <w:szCs w:val="24"/>
        </w:rPr>
        <w:t xml:space="preserve"> exposures</w:t>
      </w:r>
      <w:r w:rsidR="00B6555E" w:rsidRPr="0093540C">
        <w:rPr>
          <w:rFonts w:ascii="Times New Roman" w:hAnsi="Times New Roman" w:cs="Times New Roman"/>
          <w:sz w:val="24"/>
          <w:szCs w:val="24"/>
        </w:rPr>
        <w:t xml:space="preserve"> of interest</w:t>
      </w:r>
      <w:r w:rsidR="00CD4231" w:rsidRPr="0093540C">
        <w:rPr>
          <w:rFonts w:ascii="Times New Roman" w:hAnsi="Times New Roman" w:cs="Times New Roman"/>
          <w:sz w:val="24"/>
          <w:szCs w:val="24"/>
        </w:rPr>
        <w:t xml:space="preserve"> (illness</w:t>
      </w:r>
      <w:r w:rsidR="00B6555E" w:rsidRPr="0093540C">
        <w:rPr>
          <w:rFonts w:ascii="Times New Roman" w:hAnsi="Times New Roman" w:cs="Times New Roman"/>
          <w:sz w:val="24"/>
          <w:szCs w:val="24"/>
        </w:rPr>
        <w:t>es</w:t>
      </w:r>
      <w:r w:rsidR="00CD4231" w:rsidRPr="0093540C">
        <w:rPr>
          <w:rFonts w:ascii="Times New Roman" w:hAnsi="Times New Roman" w:cs="Times New Roman"/>
          <w:sz w:val="24"/>
          <w:szCs w:val="24"/>
        </w:rPr>
        <w:t>, treatment</w:t>
      </w:r>
      <w:r w:rsidR="00B6555E" w:rsidRPr="0093540C">
        <w:rPr>
          <w:rFonts w:ascii="Times New Roman" w:hAnsi="Times New Roman" w:cs="Times New Roman"/>
          <w:sz w:val="24"/>
          <w:szCs w:val="24"/>
        </w:rPr>
        <w:t>s</w:t>
      </w:r>
      <w:r w:rsidR="00CD4231" w:rsidRPr="0093540C">
        <w:rPr>
          <w:rFonts w:ascii="Times New Roman" w:hAnsi="Times New Roman" w:cs="Times New Roman"/>
          <w:sz w:val="24"/>
          <w:szCs w:val="24"/>
        </w:rPr>
        <w:t xml:space="preserve">) </w:t>
      </w:r>
      <w:r w:rsidR="00F65B90" w:rsidRPr="0093540C">
        <w:rPr>
          <w:rFonts w:ascii="Times New Roman" w:hAnsi="Times New Roman" w:cs="Times New Roman"/>
          <w:sz w:val="24"/>
          <w:szCs w:val="24"/>
        </w:rPr>
        <w:t>were counted only if prior to</w:t>
      </w:r>
      <w:r w:rsidR="00CD4231" w:rsidRPr="0093540C">
        <w:rPr>
          <w:rFonts w:ascii="Times New Roman" w:hAnsi="Times New Roman" w:cs="Times New Roman"/>
          <w:i/>
          <w:sz w:val="24"/>
          <w:szCs w:val="24"/>
        </w:rPr>
        <w:t xml:space="preserve"> </w:t>
      </w:r>
      <w:r w:rsidR="00CD4231" w:rsidRPr="0093540C">
        <w:rPr>
          <w:rFonts w:ascii="Times New Roman" w:hAnsi="Times New Roman" w:cs="Times New Roman"/>
          <w:sz w:val="24"/>
          <w:szCs w:val="24"/>
        </w:rPr>
        <w:t>the index date.</w:t>
      </w:r>
    </w:p>
    <w:p w:rsidR="00E42774" w:rsidRPr="0093540C" w:rsidRDefault="00E42774" w:rsidP="00B2041F">
      <w:pPr>
        <w:widowControl w:val="0"/>
        <w:rPr>
          <w:rFonts w:ascii="Times New Roman" w:hAnsi="Times New Roman" w:cs="Times New Roman"/>
          <w:sz w:val="24"/>
          <w:szCs w:val="24"/>
        </w:rPr>
      </w:pPr>
    </w:p>
    <w:p w:rsidR="00F65B90" w:rsidRPr="0093540C" w:rsidRDefault="00F65B90" w:rsidP="00F65B90">
      <w:pPr>
        <w:autoSpaceDE w:val="0"/>
        <w:autoSpaceDN w:val="0"/>
        <w:adjustRightInd w:val="0"/>
        <w:rPr>
          <w:rFonts w:ascii="Times New Roman" w:hAnsi="Times New Roman" w:cs="Times New Roman"/>
          <w:sz w:val="24"/>
          <w:szCs w:val="24"/>
        </w:rPr>
      </w:pPr>
      <w:r w:rsidRPr="0093540C">
        <w:rPr>
          <w:rFonts w:ascii="Times New Roman" w:hAnsi="Times New Roman" w:cs="Times New Roman"/>
          <w:sz w:val="24"/>
          <w:szCs w:val="24"/>
        </w:rPr>
        <w:t xml:space="preserve">Diagnostic codes for psychiatric illness, based upon the </w:t>
      </w:r>
      <w:r w:rsidR="00B072FE" w:rsidRPr="0093540C">
        <w:rPr>
          <w:rFonts w:ascii="Times New Roman" w:hAnsi="Times New Roman" w:cs="Times New Roman"/>
          <w:sz w:val="24"/>
          <w:szCs w:val="24"/>
        </w:rPr>
        <w:t>Read</w:t>
      </w:r>
      <w:r w:rsidRPr="0093540C">
        <w:rPr>
          <w:rFonts w:ascii="Times New Roman" w:hAnsi="Times New Roman" w:cs="Times New Roman"/>
          <w:sz w:val="24"/>
          <w:szCs w:val="24"/>
        </w:rPr>
        <w:t xml:space="preserve"> system, were supplied by the first author of a report for the Home Office which had employed </w:t>
      </w:r>
      <w:r w:rsidR="00B072FE" w:rsidRPr="0093540C">
        <w:rPr>
          <w:rFonts w:ascii="Times New Roman" w:hAnsi="Times New Roman" w:cs="Times New Roman"/>
          <w:sz w:val="24"/>
          <w:szCs w:val="24"/>
        </w:rPr>
        <w:t>C</w:t>
      </w:r>
      <w:r w:rsidRPr="0093540C">
        <w:rPr>
          <w:rFonts w:ascii="Times New Roman" w:hAnsi="Times New Roman" w:cs="Times New Roman"/>
          <w:sz w:val="24"/>
          <w:szCs w:val="24"/>
        </w:rPr>
        <w:t xml:space="preserve">PRD data to investigate mental health problems [28] (with kind permission of Frisher </w:t>
      </w:r>
      <w:r w:rsidRPr="0093540C">
        <w:rPr>
          <w:rFonts w:ascii="Times New Roman" w:hAnsi="Times New Roman" w:cs="Times New Roman"/>
          <w:i/>
          <w:sz w:val="24"/>
          <w:szCs w:val="24"/>
        </w:rPr>
        <w:t>et al</w:t>
      </w:r>
      <w:r w:rsidRPr="0093540C">
        <w:rPr>
          <w:rFonts w:ascii="Times New Roman" w:hAnsi="Times New Roman" w:cs="Times New Roman"/>
          <w:sz w:val="24"/>
          <w:szCs w:val="24"/>
        </w:rPr>
        <w:t xml:space="preserve">). The 1,328 codes had originally been grouped into six diagnostic categories: (a) neurosis, (b) psychoses, (c) paranoia, (d) schizophrenia, (e) personality disorders, and (f) other disorders (which includes ‘‘insomnia not otherwise  specified’’, ‘‘behaviour problems’’, ‘‘hallucinations’’, ‘‘hallucinations auditory’’, ‘‘behaviour antisocial’’, and </w:t>
      </w:r>
      <w:r w:rsidRPr="00CE6766">
        <w:rPr>
          <w:rFonts w:ascii="Times New Roman" w:hAnsi="Times New Roman" w:cs="Times New Roman"/>
          <w:sz w:val="24"/>
          <w:szCs w:val="24"/>
        </w:rPr>
        <w:t>‘‘disorder behaviour’’</w:t>
      </w:r>
      <w:r w:rsidRPr="0093540C">
        <w:rPr>
          <w:rFonts w:ascii="Times New Roman" w:hAnsi="Times New Roman" w:cs="Times New Roman"/>
          <w:sz w:val="24"/>
          <w:szCs w:val="24"/>
        </w:rPr>
        <w:t>). For the purposes of this analysis, the 416 codes</w:t>
      </w:r>
      <w:r w:rsidR="00B072FE" w:rsidRPr="0093540C">
        <w:rPr>
          <w:rFonts w:ascii="Times New Roman" w:hAnsi="Times New Roman" w:cs="Times New Roman"/>
          <w:sz w:val="24"/>
          <w:szCs w:val="24"/>
        </w:rPr>
        <w:t xml:space="preserve"> recorded</w:t>
      </w:r>
      <w:r w:rsidRPr="0093540C">
        <w:rPr>
          <w:rFonts w:ascii="Times New Roman" w:hAnsi="Times New Roman" w:cs="Times New Roman"/>
          <w:sz w:val="24"/>
          <w:szCs w:val="24"/>
        </w:rPr>
        <w:t xml:space="preserve"> in</w:t>
      </w:r>
      <w:r w:rsidR="00B072FE" w:rsidRPr="0093540C">
        <w:rPr>
          <w:rFonts w:ascii="Times New Roman" w:hAnsi="Times New Roman" w:cs="Times New Roman"/>
          <w:sz w:val="24"/>
          <w:szCs w:val="24"/>
        </w:rPr>
        <w:t xml:space="preserve"> our</w:t>
      </w:r>
      <w:r w:rsidRPr="0093540C">
        <w:rPr>
          <w:rFonts w:ascii="Times New Roman" w:hAnsi="Times New Roman" w:cs="Times New Roman"/>
          <w:sz w:val="24"/>
          <w:szCs w:val="24"/>
        </w:rPr>
        <w:t xml:space="preserve"> study subjects (Appendix </w:t>
      </w:r>
      <w:r w:rsidR="00B072FE" w:rsidRPr="0093540C">
        <w:rPr>
          <w:rFonts w:ascii="Times New Roman" w:hAnsi="Times New Roman" w:cs="Times New Roman"/>
          <w:sz w:val="24"/>
          <w:szCs w:val="24"/>
        </w:rPr>
        <w:t xml:space="preserve">2, </w:t>
      </w:r>
      <w:r w:rsidR="00B072FE" w:rsidRPr="0093540C">
        <w:rPr>
          <w:rFonts w:ascii="Times New Roman" w:hAnsi="Times New Roman" w:cs="Times New Roman"/>
          <w:i/>
          <w:sz w:val="24"/>
          <w:szCs w:val="24"/>
        </w:rPr>
        <w:t>proposed as on online supplement</w:t>
      </w:r>
      <w:r w:rsidRPr="0093540C">
        <w:rPr>
          <w:rFonts w:ascii="Times New Roman" w:hAnsi="Times New Roman" w:cs="Times New Roman"/>
          <w:sz w:val="24"/>
          <w:szCs w:val="24"/>
        </w:rPr>
        <w:t>) were aggregated similarly, although category (c) was later omitted, there being no subjects with the diagnosis before the index date. All subjects were coded as having</w:t>
      </w:r>
      <w:r w:rsidR="00797277" w:rsidRPr="0093540C">
        <w:rPr>
          <w:rFonts w:ascii="Times New Roman" w:hAnsi="Times New Roman" w:cs="Times New Roman"/>
          <w:sz w:val="24"/>
          <w:szCs w:val="24"/>
        </w:rPr>
        <w:t xml:space="preserve"> </w:t>
      </w:r>
      <w:r w:rsidR="0093540C">
        <w:rPr>
          <w:rFonts w:ascii="Times New Roman" w:hAnsi="Times New Roman" w:cs="Times New Roman"/>
          <w:sz w:val="24"/>
          <w:szCs w:val="24"/>
        </w:rPr>
        <w:t>(</w:t>
      </w:r>
      <w:r w:rsidR="00797277" w:rsidRPr="0093540C">
        <w:rPr>
          <w:rFonts w:ascii="Times New Roman" w:hAnsi="Times New Roman" w:cs="Times New Roman"/>
          <w:sz w:val="24"/>
          <w:szCs w:val="24"/>
        </w:rPr>
        <w:t>or not having</w:t>
      </w:r>
      <w:r w:rsidR="0093540C">
        <w:rPr>
          <w:rFonts w:ascii="Times New Roman" w:hAnsi="Times New Roman" w:cs="Times New Roman"/>
          <w:sz w:val="24"/>
          <w:szCs w:val="24"/>
        </w:rPr>
        <w:t>)</w:t>
      </w:r>
      <w:r w:rsidRPr="0093540C">
        <w:rPr>
          <w:rFonts w:ascii="Times New Roman" w:hAnsi="Times New Roman" w:cs="Times New Roman"/>
          <w:sz w:val="24"/>
          <w:szCs w:val="24"/>
        </w:rPr>
        <w:t xml:space="preserve"> one or more of these mental health problems at any time before</w:t>
      </w:r>
      <w:r w:rsidR="00797277" w:rsidRPr="0093540C">
        <w:rPr>
          <w:rFonts w:ascii="Times New Roman" w:hAnsi="Times New Roman" w:cs="Times New Roman"/>
          <w:sz w:val="24"/>
          <w:szCs w:val="24"/>
        </w:rPr>
        <w:t xml:space="preserve"> the index date</w:t>
      </w:r>
      <w:r w:rsidR="00B072FE" w:rsidRPr="0093540C">
        <w:rPr>
          <w:rFonts w:ascii="Times New Roman" w:hAnsi="Times New Roman" w:cs="Times New Roman"/>
          <w:sz w:val="24"/>
          <w:szCs w:val="24"/>
        </w:rPr>
        <w:t xml:space="preserve"> and </w:t>
      </w:r>
      <w:r w:rsidRPr="0093540C">
        <w:rPr>
          <w:rFonts w:ascii="Times New Roman" w:hAnsi="Times New Roman" w:cs="Times New Roman"/>
          <w:sz w:val="24"/>
          <w:szCs w:val="24"/>
        </w:rPr>
        <w:t>at least 12 months before the index date.</w:t>
      </w:r>
    </w:p>
    <w:p w:rsidR="00F65B90" w:rsidRPr="0093540C" w:rsidRDefault="00F65B90" w:rsidP="00F65B90">
      <w:pPr>
        <w:autoSpaceDE w:val="0"/>
        <w:autoSpaceDN w:val="0"/>
        <w:adjustRightInd w:val="0"/>
        <w:rPr>
          <w:rFonts w:ascii="Times New Roman" w:hAnsi="Times New Roman" w:cs="Times New Roman"/>
          <w:sz w:val="24"/>
          <w:szCs w:val="24"/>
        </w:rPr>
      </w:pPr>
    </w:p>
    <w:p w:rsidR="00F65B90" w:rsidRPr="0093540C" w:rsidRDefault="00797277" w:rsidP="00F65B90">
      <w:pPr>
        <w:autoSpaceDE w:val="0"/>
        <w:autoSpaceDN w:val="0"/>
        <w:adjustRightInd w:val="0"/>
        <w:rPr>
          <w:rFonts w:ascii="Times New Roman" w:hAnsi="Times New Roman" w:cs="Times New Roman"/>
          <w:sz w:val="24"/>
          <w:szCs w:val="24"/>
        </w:rPr>
      </w:pPr>
      <w:r w:rsidRPr="0093540C">
        <w:rPr>
          <w:rFonts w:ascii="Times New Roman" w:hAnsi="Times New Roman" w:cs="Times New Roman"/>
          <w:sz w:val="24"/>
          <w:szCs w:val="24"/>
        </w:rPr>
        <w:lastRenderedPageBreak/>
        <w:t>P</w:t>
      </w:r>
      <w:r w:rsidR="00F65B90" w:rsidRPr="0093540C">
        <w:rPr>
          <w:rFonts w:ascii="Times New Roman" w:hAnsi="Times New Roman" w:cs="Times New Roman"/>
          <w:sz w:val="24"/>
          <w:szCs w:val="24"/>
        </w:rPr>
        <w:t>rescription</w:t>
      </w:r>
      <w:r w:rsidR="00B072FE" w:rsidRPr="0093540C">
        <w:rPr>
          <w:rFonts w:ascii="Times New Roman" w:hAnsi="Times New Roman" w:cs="Times New Roman"/>
          <w:sz w:val="24"/>
          <w:szCs w:val="24"/>
        </w:rPr>
        <w:t>s</w:t>
      </w:r>
      <w:r w:rsidR="00F65B90" w:rsidRPr="0093540C">
        <w:rPr>
          <w:rFonts w:ascii="Times New Roman" w:hAnsi="Times New Roman" w:cs="Times New Roman"/>
          <w:sz w:val="24"/>
          <w:szCs w:val="24"/>
        </w:rPr>
        <w:t xml:space="preserve"> with psychotropic or hypnotic effects </w:t>
      </w:r>
      <w:r w:rsidR="00B072FE" w:rsidRPr="0093540C">
        <w:rPr>
          <w:rFonts w:ascii="Times New Roman" w:hAnsi="Times New Roman" w:cs="Times New Roman"/>
          <w:sz w:val="24"/>
          <w:szCs w:val="24"/>
        </w:rPr>
        <w:t>were ascertained</w:t>
      </w:r>
      <w:r w:rsidR="00F65B90" w:rsidRPr="0093540C">
        <w:rPr>
          <w:rFonts w:ascii="Times New Roman" w:hAnsi="Times New Roman" w:cs="Times New Roman"/>
          <w:sz w:val="24"/>
          <w:szCs w:val="24"/>
        </w:rPr>
        <w:t xml:space="preserve"> using the British National Formulary codes for hypnotics (code *04010100*), anxiolytics (*04010200*), barbiturates (*04030100* or *04030200* or *04030300* or *04030400*) and antidepressants (*04010300*). The </w:t>
      </w:r>
      <w:r w:rsidRPr="0093540C">
        <w:rPr>
          <w:rFonts w:ascii="Times New Roman" w:hAnsi="Times New Roman" w:cs="Times New Roman"/>
          <w:sz w:val="24"/>
          <w:szCs w:val="24"/>
        </w:rPr>
        <w:t>full</w:t>
      </w:r>
      <w:r w:rsidR="00F65B90" w:rsidRPr="0093540C">
        <w:rPr>
          <w:rFonts w:ascii="Times New Roman" w:hAnsi="Times New Roman" w:cs="Times New Roman"/>
          <w:sz w:val="24"/>
          <w:szCs w:val="24"/>
        </w:rPr>
        <w:t xml:space="preserve"> list include</w:t>
      </w:r>
      <w:r w:rsidR="00B072FE" w:rsidRPr="0093540C">
        <w:rPr>
          <w:rFonts w:ascii="Times New Roman" w:hAnsi="Times New Roman" w:cs="Times New Roman"/>
          <w:sz w:val="24"/>
          <w:szCs w:val="24"/>
        </w:rPr>
        <w:t>d</w:t>
      </w:r>
      <w:r w:rsidR="00F65B90" w:rsidRPr="0093540C">
        <w:rPr>
          <w:rFonts w:ascii="Times New Roman" w:hAnsi="Times New Roman" w:cs="Times New Roman"/>
          <w:sz w:val="24"/>
          <w:szCs w:val="24"/>
        </w:rPr>
        <w:t xml:space="preserve"> sedative antihistamines and all the commonly prescribed categories of antidepressant</w:t>
      </w:r>
      <w:r w:rsidR="00B072FE" w:rsidRPr="0093540C">
        <w:rPr>
          <w:rFonts w:ascii="Times New Roman" w:hAnsi="Times New Roman" w:cs="Times New Roman"/>
          <w:sz w:val="24"/>
          <w:szCs w:val="24"/>
        </w:rPr>
        <w:t>,</w:t>
      </w:r>
      <w:r w:rsidR="00F65B90" w:rsidRPr="0093540C">
        <w:rPr>
          <w:rFonts w:ascii="Times New Roman" w:hAnsi="Times New Roman" w:cs="Times New Roman"/>
          <w:sz w:val="24"/>
          <w:szCs w:val="24"/>
        </w:rPr>
        <w:t xml:space="preserve"> as well as drugs </w:t>
      </w:r>
      <w:r w:rsidRPr="0093540C">
        <w:rPr>
          <w:rFonts w:ascii="Times New Roman" w:hAnsi="Times New Roman" w:cs="Times New Roman"/>
          <w:sz w:val="24"/>
          <w:szCs w:val="24"/>
        </w:rPr>
        <w:t xml:space="preserve">with potential to cause sedation but sometimes </w:t>
      </w:r>
      <w:r w:rsidR="00F65B90" w:rsidRPr="0093540C">
        <w:rPr>
          <w:rFonts w:ascii="Times New Roman" w:hAnsi="Times New Roman" w:cs="Times New Roman"/>
          <w:sz w:val="24"/>
          <w:szCs w:val="24"/>
        </w:rPr>
        <w:t xml:space="preserve">used for other purposes (e.g. control of </w:t>
      </w:r>
      <w:r w:rsidR="008F0E14">
        <w:rPr>
          <w:rFonts w:ascii="Times New Roman" w:hAnsi="Times New Roman" w:cs="Times New Roman"/>
          <w:sz w:val="24"/>
          <w:szCs w:val="24"/>
        </w:rPr>
        <w:t>in</w:t>
      </w:r>
      <w:r w:rsidR="00F65B90" w:rsidRPr="0093540C">
        <w:rPr>
          <w:rFonts w:ascii="Times New Roman" w:hAnsi="Times New Roman" w:cs="Times New Roman"/>
          <w:sz w:val="24"/>
          <w:szCs w:val="24"/>
        </w:rPr>
        <w:t xml:space="preserve">continence). Appendix </w:t>
      </w:r>
      <w:r w:rsidR="00B072FE" w:rsidRPr="0093540C">
        <w:rPr>
          <w:rFonts w:ascii="Times New Roman" w:hAnsi="Times New Roman" w:cs="Times New Roman"/>
          <w:sz w:val="24"/>
          <w:szCs w:val="24"/>
        </w:rPr>
        <w:t>3 (</w:t>
      </w:r>
      <w:r w:rsidR="00B072FE" w:rsidRPr="0093540C">
        <w:rPr>
          <w:rFonts w:ascii="Times New Roman" w:hAnsi="Times New Roman" w:cs="Times New Roman"/>
          <w:i/>
          <w:sz w:val="24"/>
          <w:szCs w:val="24"/>
        </w:rPr>
        <w:t>proposed as on online supplement</w:t>
      </w:r>
      <w:r w:rsidR="00B072FE" w:rsidRPr="0093540C">
        <w:rPr>
          <w:rFonts w:ascii="Times New Roman" w:hAnsi="Times New Roman" w:cs="Times New Roman"/>
          <w:sz w:val="24"/>
          <w:szCs w:val="24"/>
        </w:rPr>
        <w:t>) list</w:t>
      </w:r>
      <w:r w:rsidR="004035CA">
        <w:rPr>
          <w:rFonts w:ascii="Times New Roman" w:hAnsi="Times New Roman" w:cs="Times New Roman"/>
          <w:sz w:val="24"/>
          <w:szCs w:val="24"/>
        </w:rPr>
        <w:t>s</w:t>
      </w:r>
      <w:r w:rsidR="00B072FE" w:rsidRPr="0093540C">
        <w:rPr>
          <w:rFonts w:ascii="Times New Roman" w:hAnsi="Times New Roman" w:cs="Times New Roman"/>
          <w:sz w:val="24"/>
          <w:szCs w:val="24"/>
        </w:rPr>
        <w:t xml:space="preserve"> all the medicines and codes.</w:t>
      </w:r>
      <w:r w:rsidR="00295B5F" w:rsidRPr="0093540C">
        <w:rPr>
          <w:rFonts w:ascii="Times New Roman" w:hAnsi="Times New Roman" w:cs="Times New Roman"/>
          <w:sz w:val="24"/>
          <w:szCs w:val="24"/>
        </w:rPr>
        <w:t xml:space="preserve"> Subjects were coded as being or not being prescribed one or more of these drugs at any time before the index date and during the 12 months before the index date.</w:t>
      </w:r>
    </w:p>
    <w:p w:rsidR="00F65B90" w:rsidRPr="0093540C" w:rsidRDefault="00F65B90" w:rsidP="00F65B90">
      <w:pPr>
        <w:autoSpaceDE w:val="0"/>
        <w:autoSpaceDN w:val="0"/>
        <w:adjustRightInd w:val="0"/>
        <w:rPr>
          <w:rFonts w:ascii="Times New Roman" w:hAnsi="Times New Roman" w:cs="Times New Roman"/>
          <w:sz w:val="24"/>
          <w:szCs w:val="24"/>
        </w:rPr>
      </w:pPr>
    </w:p>
    <w:p w:rsidR="00B072FE" w:rsidRPr="0093540C" w:rsidRDefault="00B072FE" w:rsidP="00F65B90">
      <w:pPr>
        <w:widowControl w:val="0"/>
        <w:rPr>
          <w:rFonts w:ascii="Times New Roman" w:hAnsi="Times New Roman" w:cs="Times New Roman"/>
          <w:sz w:val="24"/>
          <w:szCs w:val="24"/>
        </w:rPr>
      </w:pPr>
      <w:r w:rsidRPr="0093540C">
        <w:rPr>
          <w:rFonts w:ascii="Times New Roman" w:hAnsi="Times New Roman" w:cs="Times New Roman"/>
          <w:sz w:val="24"/>
          <w:szCs w:val="24"/>
        </w:rPr>
        <w:t>A</w:t>
      </w:r>
      <w:r w:rsidR="00F65B90" w:rsidRPr="0093540C">
        <w:rPr>
          <w:rFonts w:ascii="Times New Roman" w:hAnsi="Times New Roman" w:cs="Times New Roman"/>
          <w:sz w:val="24"/>
          <w:szCs w:val="24"/>
        </w:rPr>
        <w:t>ssociation</w:t>
      </w:r>
      <w:r w:rsidRPr="0093540C">
        <w:rPr>
          <w:rFonts w:ascii="Times New Roman" w:hAnsi="Times New Roman" w:cs="Times New Roman"/>
          <w:sz w:val="24"/>
          <w:szCs w:val="24"/>
        </w:rPr>
        <w:t>s</w:t>
      </w:r>
      <w:r w:rsidR="00F65B90" w:rsidRPr="0093540C">
        <w:rPr>
          <w:rFonts w:ascii="Times New Roman" w:hAnsi="Times New Roman" w:cs="Times New Roman"/>
          <w:sz w:val="24"/>
          <w:szCs w:val="24"/>
        </w:rPr>
        <w:t xml:space="preserve"> between injury consultation </w:t>
      </w:r>
      <w:r w:rsidRPr="0093540C">
        <w:rPr>
          <w:rFonts w:ascii="Times New Roman" w:hAnsi="Times New Roman" w:cs="Times New Roman"/>
          <w:sz w:val="24"/>
          <w:szCs w:val="24"/>
        </w:rPr>
        <w:t>and</w:t>
      </w:r>
      <w:r w:rsidR="00F65B90" w:rsidRPr="0093540C">
        <w:rPr>
          <w:rFonts w:ascii="Times New Roman" w:hAnsi="Times New Roman" w:cs="Times New Roman"/>
          <w:sz w:val="24"/>
          <w:szCs w:val="24"/>
        </w:rPr>
        <w:t xml:space="preserve"> prior mental </w:t>
      </w:r>
      <w:r w:rsidRPr="0093540C">
        <w:rPr>
          <w:rFonts w:ascii="Times New Roman" w:hAnsi="Times New Roman" w:cs="Times New Roman"/>
          <w:sz w:val="24"/>
          <w:szCs w:val="24"/>
        </w:rPr>
        <w:t>illness</w:t>
      </w:r>
      <w:r w:rsidR="00F65B90" w:rsidRPr="0093540C">
        <w:rPr>
          <w:rFonts w:ascii="Times New Roman" w:hAnsi="Times New Roman" w:cs="Times New Roman"/>
          <w:sz w:val="24"/>
          <w:szCs w:val="24"/>
        </w:rPr>
        <w:t xml:space="preserve"> or psychoactive </w:t>
      </w:r>
      <w:r w:rsidR="00797277" w:rsidRPr="0093540C">
        <w:rPr>
          <w:rFonts w:ascii="Times New Roman" w:hAnsi="Times New Roman" w:cs="Times New Roman"/>
          <w:sz w:val="24"/>
          <w:szCs w:val="24"/>
        </w:rPr>
        <w:t>treatment</w:t>
      </w:r>
      <w:r w:rsidR="00F65B90" w:rsidRPr="0093540C">
        <w:rPr>
          <w:rFonts w:ascii="Times New Roman" w:hAnsi="Times New Roman" w:cs="Times New Roman"/>
          <w:sz w:val="24"/>
          <w:szCs w:val="24"/>
        </w:rPr>
        <w:t xml:space="preserve"> </w:t>
      </w:r>
      <w:r w:rsidRPr="0093540C">
        <w:rPr>
          <w:rFonts w:ascii="Times New Roman" w:hAnsi="Times New Roman" w:cs="Times New Roman"/>
          <w:sz w:val="24"/>
          <w:szCs w:val="24"/>
        </w:rPr>
        <w:t xml:space="preserve">were assessed </w:t>
      </w:r>
      <w:r w:rsidR="00F65B90" w:rsidRPr="0093540C">
        <w:rPr>
          <w:rFonts w:ascii="Times New Roman" w:hAnsi="Times New Roman" w:cs="Times New Roman"/>
          <w:sz w:val="24"/>
          <w:szCs w:val="24"/>
        </w:rPr>
        <w:t xml:space="preserve">using conditional logistic regression, with findings expressed as </w:t>
      </w:r>
      <w:r w:rsidRPr="0093540C">
        <w:rPr>
          <w:rFonts w:ascii="Times New Roman" w:hAnsi="Times New Roman" w:cs="Times New Roman"/>
          <w:sz w:val="24"/>
          <w:szCs w:val="24"/>
        </w:rPr>
        <w:t>odds ratios (</w:t>
      </w:r>
      <w:r w:rsidR="00F65B90" w:rsidRPr="0093540C">
        <w:rPr>
          <w:rFonts w:ascii="Times New Roman" w:hAnsi="Times New Roman" w:cs="Times New Roman"/>
          <w:sz w:val="24"/>
          <w:szCs w:val="24"/>
        </w:rPr>
        <w:t>ORs</w:t>
      </w:r>
      <w:r w:rsidRPr="0093540C">
        <w:rPr>
          <w:rFonts w:ascii="Times New Roman" w:hAnsi="Times New Roman" w:cs="Times New Roman"/>
          <w:sz w:val="24"/>
          <w:szCs w:val="24"/>
        </w:rPr>
        <w:t>)</w:t>
      </w:r>
      <w:r w:rsidR="00F65B90" w:rsidRPr="0093540C">
        <w:rPr>
          <w:rFonts w:ascii="Times New Roman" w:hAnsi="Times New Roman" w:cs="Times New Roman"/>
          <w:sz w:val="24"/>
          <w:szCs w:val="24"/>
        </w:rPr>
        <w:t xml:space="preserve"> </w:t>
      </w:r>
      <w:r w:rsidRPr="0093540C">
        <w:rPr>
          <w:rFonts w:ascii="Times New Roman" w:hAnsi="Times New Roman" w:cs="Times New Roman"/>
          <w:sz w:val="24"/>
          <w:szCs w:val="24"/>
        </w:rPr>
        <w:t>with</w:t>
      </w:r>
      <w:r w:rsidR="00F65B90" w:rsidRPr="0093540C">
        <w:rPr>
          <w:rFonts w:ascii="Times New Roman" w:hAnsi="Times New Roman" w:cs="Times New Roman"/>
          <w:sz w:val="24"/>
          <w:szCs w:val="24"/>
        </w:rPr>
        <w:t xml:space="preserve"> associated </w:t>
      </w:r>
      <w:r w:rsidRPr="0093540C">
        <w:rPr>
          <w:rFonts w:ascii="Times New Roman" w:hAnsi="Times New Roman" w:cs="Times New Roman"/>
          <w:sz w:val="24"/>
          <w:szCs w:val="24"/>
        </w:rPr>
        <w:t>95% confidence intervals (</w:t>
      </w:r>
      <w:r w:rsidR="00F65B90" w:rsidRPr="0093540C">
        <w:rPr>
          <w:rFonts w:ascii="Times New Roman" w:hAnsi="Times New Roman" w:cs="Times New Roman"/>
          <w:sz w:val="24"/>
          <w:szCs w:val="24"/>
        </w:rPr>
        <w:t>95% CI</w:t>
      </w:r>
      <w:r w:rsidRPr="0093540C">
        <w:rPr>
          <w:rFonts w:ascii="Times New Roman" w:hAnsi="Times New Roman" w:cs="Times New Roman"/>
          <w:sz w:val="24"/>
          <w:szCs w:val="24"/>
        </w:rPr>
        <w:t>)</w:t>
      </w:r>
      <w:r w:rsidR="00F65B90" w:rsidRPr="0093540C">
        <w:rPr>
          <w:rFonts w:ascii="Times New Roman" w:hAnsi="Times New Roman" w:cs="Times New Roman"/>
          <w:sz w:val="24"/>
          <w:szCs w:val="24"/>
        </w:rPr>
        <w:t xml:space="preserve">. </w:t>
      </w:r>
      <w:r w:rsidR="00797277" w:rsidRPr="006C0B0E">
        <w:rPr>
          <w:rFonts w:ascii="Times New Roman" w:hAnsi="Times New Roman" w:cs="Times New Roman"/>
          <w:sz w:val="24"/>
          <w:szCs w:val="24"/>
        </w:rPr>
        <w:t xml:space="preserve">Analysis </w:t>
      </w:r>
      <w:r w:rsidR="002537EB" w:rsidRPr="006C0B0E">
        <w:rPr>
          <w:rFonts w:ascii="Times New Roman" w:hAnsi="Times New Roman" w:cs="Times New Roman"/>
          <w:sz w:val="24"/>
          <w:szCs w:val="24"/>
        </w:rPr>
        <w:t>adjusted</w:t>
      </w:r>
      <w:r w:rsidRPr="006C0B0E">
        <w:rPr>
          <w:rFonts w:ascii="Times New Roman" w:hAnsi="Times New Roman" w:cs="Times New Roman"/>
          <w:sz w:val="24"/>
          <w:szCs w:val="24"/>
        </w:rPr>
        <w:t xml:space="preserve"> for a history of problem drinking (identified through a search for codes relating to alcohol misuse</w:t>
      </w:r>
      <w:r w:rsidR="00B6555E" w:rsidRPr="006C0B0E">
        <w:rPr>
          <w:rFonts w:ascii="Times New Roman" w:hAnsi="Times New Roman" w:cs="Times New Roman"/>
          <w:sz w:val="24"/>
          <w:szCs w:val="24"/>
        </w:rPr>
        <w:t xml:space="preserve">, alcoholic medical complications and high weekly </w:t>
      </w:r>
      <w:r w:rsidRPr="006C0B0E">
        <w:rPr>
          <w:rFonts w:ascii="Times New Roman" w:hAnsi="Times New Roman" w:cs="Times New Roman"/>
          <w:sz w:val="24"/>
          <w:szCs w:val="24"/>
        </w:rPr>
        <w:t xml:space="preserve">intake </w:t>
      </w:r>
      <w:r w:rsidR="00B6555E" w:rsidRPr="006C0B0E">
        <w:rPr>
          <w:rFonts w:ascii="Times New Roman" w:hAnsi="Times New Roman" w:cs="Times New Roman"/>
          <w:sz w:val="24"/>
          <w:szCs w:val="24"/>
        </w:rPr>
        <w:t>– details available on request</w:t>
      </w:r>
      <w:r w:rsidRPr="006C0B0E">
        <w:rPr>
          <w:rFonts w:ascii="Times New Roman" w:hAnsi="Times New Roman" w:cs="Times New Roman"/>
          <w:sz w:val="24"/>
          <w:szCs w:val="24"/>
        </w:rPr>
        <w:t>).</w:t>
      </w:r>
    </w:p>
    <w:p w:rsidR="00B072FE" w:rsidRPr="0093540C" w:rsidRDefault="00B072FE" w:rsidP="00F65B90">
      <w:pPr>
        <w:widowControl w:val="0"/>
        <w:rPr>
          <w:rFonts w:ascii="Times New Roman" w:hAnsi="Times New Roman" w:cs="Times New Roman"/>
          <w:sz w:val="24"/>
          <w:szCs w:val="24"/>
        </w:rPr>
      </w:pPr>
    </w:p>
    <w:p w:rsidR="00F65B90" w:rsidRDefault="000A3CFF" w:rsidP="00F65B90">
      <w:pPr>
        <w:widowControl w:val="0"/>
        <w:rPr>
          <w:rFonts w:ascii="Times New Roman" w:hAnsi="Times New Roman" w:cs="Times New Roman"/>
          <w:sz w:val="24"/>
          <w:szCs w:val="24"/>
        </w:rPr>
      </w:pPr>
      <w:r>
        <w:rPr>
          <w:rFonts w:ascii="Times New Roman" w:hAnsi="Times New Roman" w:cs="Times New Roman"/>
          <w:sz w:val="24"/>
          <w:szCs w:val="24"/>
        </w:rPr>
        <w:t>W</w:t>
      </w:r>
      <w:r w:rsidR="00797277" w:rsidRPr="0093540C">
        <w:rPr>
          <w:rFonts w:ascii="Times New Roman" w:hAnsi="Times New Roman" w:cs="Times New Roman"/>
          <w:sz w:val="24"/>
          <w:szCs w:val="24"/>
        </w:rPr>
        <w:t>here</w:t>
      </w:r>
      <w:r w:rsidR="00F65B90" w:rsidRPr="0093540C">
        <w:rPr>
          <w:rFonts w:ascii="Times New Roman" w:hAnsi="Times New Roman" w:cs="Times New Roman"/>
          <w:sz w:val="24"/>
          <w:szCs w:val="24"/>
        </w:rPr>
        <w:t xml:space="preserve"> </w:t>
      </w:r>
      <w:r w:rsidR="00797277" w:rsidRPr="0093540C">
        <w:rPr>
          <w:rFonts w:ascii="Times New Roman" w:hAnsi="Times New Roman" w:cs="Times New Roman"/>
          <w:sz w:val="24"/>
          <w:szCs w:val="24"/>
        </w:rPr>
        <w:t xml:space="preserve">risks were </w:t>
      </w:r>
      <w:r w:rsidR="00B6555E" w:rsidRPr="0093540C">
        <w:rPr>
          <w:rFonts w:ascii="Times New Roman" w:hAnsi="Times New Roman" w:cs="Times New Roman"/>
          <w:sz w:val="24"/>
          <w:szCs w:val="24"/>
        </w:rPr>
        <w:t>significantly elevated</w:t>
      </w:r>
      <w:r w:rsidR="00F65B90" w:rsidRPr="0093540C">
        <w:rPr>
          <w:rFonts w:ascii="Times New Roman" w:hAnsi="Times New Roman" w:cs="Times New Roman"/>
          <w:sz w:val="24"/>
          <w:szCs w:val="24"/>
        </w:rPr>
        <w:t xml:space="preserve">, we calculated the </w:t>
      </w:r>
      <w:r w:rsidR="004035CA">
        <w:rPr>
          <w:rFonts w:ascii="Times New Roman" w:hAnsi="Times New Roman" w:cs="Times New Roman"/>
          <w:sz w:val="24"/>
          <w:szCs w:val="24"/>
        </w:rPr>
        <w:t>a</w:t>
      </w:r>
      <w:r w:rsidR="00F65B90" w:rsidRPr="0093540C">
        <w:rPr>
          <w:rFonts w:ascii="Times New Roman" w:hAnsi="Times New Roman" w:cs="Times New Roman"/>
          <w:sz w:val="24"/>
          <w:szCs w:val="24"/>
        </w:rPr>
        <w:t xml:space="preserve">ttributable </w:t>
      </w:r>
      <w:r w:rsidR="004035CA">
        <w:rPr>
          <w:rFonts w:ascii="Times New Roman" w:hAnsi="Times New Roman" w:cs="Times New Roman"/>
          <w:sz w:val="24"/>
          <w:szCs w:val="24"/>
        </w:rPr>
        <w:t>f</w:t>
      </w:r>
      <w:r w:rsidR="00F65B90" w:rsidRPr="0093540C">
        <w:rPr>
          <w:rFonts w:ascii="Times New Roman" w:hAnsi="Times New Roman" w:cs="Times New Roman"/>
          <w:sz w:val="24"/>
          <w:szCs w:val="24"/>
        </w:rPr>
        <w:t xml:space="preserve">raction in the exposed using the standard formula (RR-1)/RR, and the </w:t>
      </w:r>
      <w:r w:rsidR="004035CA">
        <w:rPr>
          <w:rFonts w:ascii="Times New Roman" w:hAnsi="Times New Roman" w:cs="Times New Roman"/>
          <w:sz w:val="24"/>
          <w:szCs w:val="24"/>
        </w:rPr>
        <w:t>p</w:t>
      </w:r>
      <w:r w:rsidR="00F65B90" w:rsidRPr="0093540C">
        <w:rPr>
          <w:rFonts w:ascii="Times New Roman" w:hAnsi="Times New Roman" w:cs="Times New Roman"/>
          <w:sz w:val="24"/>
          <w:szCs w:val="24"/>
        </w:rPr>
        <w:t xml:space="preserve">opulation </w:t>
      </w:r>
      <w:r w:rsidR="004035CA">
        <w:rPr>
          <w:rFonts w:ascii="Times New Roman" w:hAnsi="Times New Roman" w:cs="Times New Roman"/>
          <w:sz w:val="24"/>
          <w:szCs w:val="24"/>
        </w:rPr>
        <w:t>a</w:t>
      </w:r>
      <w:r w:rsidR="00F65B90" w:rsidRPr="0093540C">
        <w:rPr>
          <w:rFonts w:ascii="Times New Roman" w:hAnsi="Times New Roman" w:cs="Times New Roman"/>
          <w:sz w:val="24"/>
          <w:szCs w:val="24"/>
        </w:rPr>
        <w:t xml:space="preserve">ttributable </w:t>
      </w:r>
      <w:r w:rsidR="004035CA">
        <w:rPr>
          <w:rFonts w:ascii="Times New Roman" w:hAnsi="Times New Roman" w:cs="Times New Roman"/>
          <w:sz w:val="24"/>
          <w:szCs w:val="24"/>
        </w:rPr>
        <w:t>f</w:t>
      </w:r>
      <w:r w:rsidR="00B3156D">
        <w:rPr>
          <w:rFonts w:ascii="Times New Roman" w:hAnsi="Times New Roman" w:cs="Times New Roman"/>
          <w:sz w:val="24"/>
          <w:szCs w:val="24"/>
        </w:rPr>
        <w:t>raction by the formula Pe*((RR-1</w:t>
      </w:r>
      <w:r w:rsidR="00F65B90" w:rsidRPr="0093540C">
        <w:rPr>
          <w:rFonts w:ascii="Times New Roman" w:hAnsi="Times New Roman" w:cs="Times New Roman"/>
          <w:sz w:val="24"/>
          <w:szCs w:val="24"/>
        </w:rPr>
        <w:t>)/RR</w:t>
      </w:r>
      <w:r w:rsidR="00B3156D">
        <w:rPr>
          <w:rFonts w:ascii="Times New Roman" w:hAnsi="Times New Roman" w:cs="Times New Roman"/>
          <w:sz w:val="24"/>
          <w:szCs w:val="24"/>
        </w:rPr>
        <w:t>)</w:t>
      </w:r>
      <w:r w:rsidR="00F65B90" w:rsidRPr="0093540C">
        <w:rPr>
          <w:rFonts w:ascii="Times New Roman" w:hAnsi="Times New Roman" w:cs="Times New Roman"/>
          <w:sz w:val="24"/>
          <w:szCs w:val="24"/>
        </w:rPr>
        <w:t xml:space="preserve">, where Pe represents the proportion of exposed </w:t>
      </w:r>
      <w:r w:rsidR="00B6555E" w:rsidRPr="0093540C">
        <w:rPr>
          <w:rFonts w:ascii="Times New Roman" w:hAnsi="Times New Roman" w:cs="Times New Roman"/>
          <w:sz w:val="24"/>
          <w:szCs w:val="24"/>
        </w:rPr>
        <w:t xml:space="preserve">injury </w:t>
      </w:r>
      <w:r w:rsidR="00F65B90" w:rsidRPr="0093540C">
        <w:rPr>
          <w:rFonts w:ascii="Times New Roman" w:hAnsi="Times New Roman" w:cs="Times New Roman"/>
          <w:sz w:val="24"/>
          <w:szCs w:val="24"/>
        </w:rPr>
        <w:t>cases. These ratios</w:t>
      </w:r>
      <w:r w:rsidR="00B6555E" w:rsidRPr="0093540C">
        <w:rPr>
          <w:rFonts w:ascii="Times New Roman" w:hAnsi="Times New Roman" w:cs="Times New Roman"/>
          <w:sz w:val="24"/>
          <w:szCs w:val="24"/>
        </w:rPr>
        <w:t xml:space="preserve"> </w:t>
      </w:r>
      <w:r w:rsidR="00F65B90" w:rsidRPr="0093540C">
        <w:rPr>
          <w:rFonts w:ascii="Times New Roman" w:hAnsi="Times New Roman" w:cs="Times New Roman"/>
          <w:sz w:val="24"/>
          <w:szCs w:val="24"/>
        </w:rPr>
        <w:t xml:space="preserve">can be interpreted as the </w:t>
      </w:r>
      <w:r w:rsidR="004035CA">
        <w:rPr>
          <w:rFonts w:ascii="Times New Roman" w:hAnsi="Times New Roman" w:cs="Times New Roman"/>
          <w:sz w:val="24"/>
          <w:szCs w:val="24"/>
        </w:rPr>
        <w:t>attributable</w:t>
      </w:r>
      <w:r w:rsidR="00F65B90" w:rsidRPr="0093540C">
        <w:rPr>
          <w:rFonts w:ascii="Times New Roman" w:hAnsi="Times New Roman" w:cs="Times New Roman"/>
          <w:sz w:val="24"/>
          <w:szCs w:val="24"/>
        </w:rPr>
        <w:t xml:space="preserve"> fraction</w:t>
      </w:r>
      <w:r w:rsidR="00BB542E">
        <w:rPr>
          <w:rFonts w:ascii="Times New Roman" w:hAnsi="Times New Roman" w:cs="Times New Roman"/>
          <w:sz w:val="24"/>
          <w:szCs w:val="24"/>
        </w:rPr>
        <w:t>s</w:t>
      </w:r>
      <w:r w:rsidR="00F65B90" w:rsidRPr="0093540C">
        <w:rPr>
          <w:rFonts w:ascii="Times New Roman" w:hAnsi="Times New Roman" w:cs="Times New Roman"/>
          <w:sz w:val="24"/>
          <w:szCs w:val="24"/>
        </w:rPr>
        <w:t xml:space="preserve"> of injury consultations in </w:t>
      </w:r>
      <w:r w:rsidR="00B23600">
        <w:rPr>
          <w:rFonts w:ascii="Times New Roman" w:hAnsi="Times New Roman" w:cs="Times New Roman"/>
          <w:sz w:val="24"/>
          <w:szCs w:val="24"/>
        </w:rPr>
        <w:t>exposed</w:t>
      </w:r>
      <w:r w:rsidR="00B23600" w:rsidRPr="0093540C">
        <w:rPr>
          <w:rFonts w:ascii="Times New Roman" w:hAnsi="Times New Roman" w:cs="Times New Roman"/>
          <w:sz w:val="24"/>
          <w:szCs w:val="24"/>
        </w:rPr>
        <w:t xml:space="preserve"> </w:t>
      </w:r>
      <w:r w:rsidR="00B23600">
        <w:rPr>
          <w:rFonts w:ascii="Times New Roman" w:hAnsi="Times New Roman" w:cs="Times New Roman"/>
          <w:sz w:val="24"/>
          <w:szCs w:val="24"/>
        </w:rPr>
        <w:t>persons</w:t>
      </w:r>
      <w:r w:rsidR="00B23600" w:rsidRPr="0093540C">
        <w:rPr>
          <w:rFonts w:ascii="Times New Roman" w:hAnsi="Times New Roman" w:cs="Times New Roman"/>
          <w:sz w:val="24"/>
          <w:szCs w:val="24"/>
        </w:rPr>
        <w:t xml:space="preserve"> </w:t>
      </w:r>
      <w:r w:rsidR="00F65B90" w:rsidRPr="0093540C">
        <w:rPr>
          <w:rFonts w:ascii="Times New Roman" w:hAnsi="Times New Roman" w:cs="Times New Roman"/>
          <w:sz w:val="24"/>
          <w:szCs w:val="24"/>
        </w:rPr>
        <w:t xml:space="preserve">and the </w:t>
      </w:r>
      <w:r w:rsidR="00B23600">
        <w:rPr>
          <w:rFonts w:ascii="Times New Roman" w:hAnsi="Times New Roman" w:cs="Times New Roman"/>
          <w:sz w:val="24"/>
          <w:szCs w:val="24"/>
        </w:rPr>
        <w:t xml:space="preserve">total </w:t>
      </w:r>
      <w:r w:rsidR="00F65B90" w:rsidRPr="0093540C">
        <w:rPr>
          <w:rFonts w:ascii="Times New Roman" w:hAnsi="Times New Roman" w:cs="Times New Roman"/>
          <w:sz w:val="24"/>
          <w:szCs w:val="24"/>
        </w:rPr>
        <w:t xml:space="preserve">population respectively, </w:t>
      </w:r>
      <w:r w:rsidR="00B6555E" w:rsidRPr="0093540C">
        <w:rPr>
          <w:rFonts w:ascii="Times New Roman" w:hAnsi="Times New Roman" w:cs="Times New Roman"/>
          <w:sz w:val="24"/>
          <w:szCs w:val="24"/>
        </w:rPr>
        <w:t>assuming</w:t>
      </w:r>
      <w:r w:rsidR="00F65B90" w:rsidRPr="0093540C">
        <w:rPr>
          <w:rFonts w:ascii="Times New Roman" w:hAnsi="Times New Roman" w:cs="Times New Roman"/>
          <w:sz w:val="24"/>
          <w:szCs w:val="24"/>
        </w:rPr>
        <w:t xml:space="preserve"> that measured associations </w:t>
      </w:r>
      <w:r w:rsidR="00B6555E" w:rsidRPr="0093540C">
        <w:rPr>
          <w:rFonts w:ascii="Times New Roman" w:hAnsi="Times New Roman" w:cs="Times New Roman"/>
          <w:sz w:val="24"/>
          <w:szCs w:val="24"/>
        </w:rPr>
        <w:t>were</w:t>
      </w:r>
      <w:r w:rsidR="00F65B90" w:rsidRPr="0093540C">
        <w:rPr>
          <w:rFonts w:ascii="Times New Roman" w:hAnsi="Times New Roman" w:cs="Times New Roman"/>
          <w:sz w:val="24"/>
          <w:szCs w:val="24"/>
        </w:rPr>
        <w:t xml:space="preserve"> causal. </w:t>
      </w:r>
    </w:p>
    <w:p w:rsidR="000A3CFF" w:rsidRDefault="000A3CFF" w:rsidP="00F65B90">
      <w:pPr>
        <w:widowControl w:val="0"/>
        <w:rPr>
          <w:rFonts w:ascii="Times New Roman" w:hAnsi="Times New Roman" w:cs="Times New Roman"/>
          <w:sz w:val="24"/>
          <w:szCs w:val="24"/>
        </w:rPr>
      </w:pPr>
    </w:p>
    <w:p w:rsidR="000A3CFF" w:rsidRPr="0093540C" w:rsidRDefault="000A3CFF" w:rsidP="00F65B90">
      <w:pPr>
        <w:widowControl w:val="0"/>
        <w:rPr>
          <w:rFonts w:ascii="Times New Roman" w:hAnsi="Times New Roman" w:cs="Times New Roman"/>
          <w:sz w:val="24"/>
          <w:szCs w:val="24"/>
        </w:rPr>
      </w:pPr>
      <w:r>
        <w:rPr>
          <w:rFonts w:ascii="Times New Roman" w:hAnsi="Times New Roman" w:cs="Times New Roman"/>
          <w:sz w:val="24"/>
          <w:szCs w:val="24"/>
        </w:rPr>
        <w:t xml:space="preserve">Finally, in a sensitivity analysis, we explored associations according to the type of occupational injury and the </w:t>
      </w:r>
      <w:r w:rsidR="008F0E14">
        <w:rPr>
          <w:rFonts w:ascii="Times New Roman" w:hAnsi="Times New Roman" w:cs="Times New Roman"/>
          <w:sz w:val="24"/>
          <w:szCs w:val="24"/>
        </w:rPr>
        <w:t>external cause</w:t>
      </w:r>
      <w:r>
        <w:rPr>
          <w:rFonts w:ascii="Times New Roman" w:hAnsi="Times New Roman" w:cs="Times New Roman"/>
          <w:sz w:val="24"/>
          <w:szCs w:val="24"/>
        </w:rPr>
        <w:t>, and assessed risks in relation to ‘severe’ injuries, defined as those involving any of: fracture, traumatic amputation, or hospital attendance.</w:t>
      </w:r>
    </w:p>
    <w:p w:rsidR="00B6555E" w:rsidRPr="0093540C" w:rsidRDefault="00B6555E" w:rsidP="00F65B90">
      <w:pPr>
        <w:widowControl w:val="0"/>
        <w:rPr>
          <w:rFonts w:ascii="Times New Roman" w:hAnsi="Times New Roman" w:cs="Times New Roman"/>
          <w:sz w:val="24"/>
          <w:szCs w:val="24"/>
        </w:rPr>
      </w:pPr>
    </w:p>
    <w:p w:rsidR="00B6555E" w:rsidRPr="0093540C" w:rsidRDefault="00797277" w:rsidP="00F65B90">
      <w:pPr>
        <w:widowControl w:val="0"/>
        <w:rPr>
          <w:rFonts w:ascii="Times New Roman" w:hAnsi="Times New Roman" w:cs="Times New Roman"/>
          <w:b/>
          <w:sz w:val="24"/>
          <w:szCs w:val="24"/>
        </w:rPr>
      </w:pPr>
      <w:r w:rsidRPr="0093540C">
        <w:rPr>
          <w:rFonts w:ascii="Times New Roman" w:hAnsi="Times New Roman" w:cs="Times New Roman"/>
          <w:b/>
          <w:sz w:val="24"/>
          <w:szCs w:val="24"/>
        </w:rPr>
        <w:t>Results</w:t>
      </w:r>
    </w:p>
    <w:p w:rsidR="00797277" w:rsidRPr="0093540C" w:rsidRDefault="00797277" w:rsidP="00797277">
      <w:pPr>
        <w:widowControl w:val="0"/>
        <w:rPr>
          <w:rFonts w:ascii="Times New Roman" w:hAnsi="Times New Roman" w:cs="Times New Roman"/>
          <w:sz w:val="24"/>
          <w:szCs w:val="24"/>
        </w:rPr>
      </w:pPr>
      <w:r w:rsidRPr="0093540C">
        <w:rPr>
          <w:rFonts w:ascii="Times New Roman" w:hAnsi="Times New Roman" w:cs="Times New Roman"/>
          <w:sz w:val="24"/>
          <w:szCs w:val="24"/>
        </w:rPr>
        <w:t xml:space="preserve">The final sample had a mean age of 39.9 (SD 12.7) years and included 5,915 men. Among the cases, </w:t>
      </w:r>
      <w:r w:rsidR="002537EB" w:rsidRPr="0093540C">
        <w:rPr>
          <w:rFonts w:ascii="Times New Roman" w:hAnsi="Times New Roman" w:cs="Times New Roman"/>
          <w:sz w:val="24"/>
          <w:szCs w:val="24"/>
        </w:rPr>
        <w:t>details on the circumstances and nature of the injury were commonly missing, but</w:t>
      </w:r>
      <w:r w:rsidR="0093540C">
        <w:rPr>
          <w:rFonts w:ascii="Times New Roman" w:hAnsi="Times New Roman" w:cs="Times New Roman"/>
          <w:sz w:val="24"/>
          <w:szCs w:val="24"/>
        </w:rPr>
        <w:t>, where recorded,</w:t>
      </w:r>
      <w:r w:rsidR="002537EB" w:rsidRPr="0093540C">
        <w:rPr>
          <w:rFonts w:ascii="Times New Roman" w:hAnsi="Times New Roman" w:cs="Times New Roman"/>
          <w:sz w:val="24"/>
          <w:szCs w:val="24"/>
        </w:rPr>
        <w:t xml:space="preserve"> </w:t>
      </w:r>
      <w:r w:rsidRPr="0093540C">
        <w:rPr>
          <w:rFonts w:ascii="Times New Roman" w:hAnsi="Times New Roman" w:cs="Times New Roman"/>
          <w:sz w:val="24"/>
          <w:szCs w:val="24"/>
        </w:rPr>
        <w:t xml:space="preserve">injuries </w:t>
      </w:r>
      <w:r w:rsidR="002537EB" w:rsidRPr="0093540C">
        <w:rPr>
          <w:rFonts w:ascii="Times New Roman" w:hAnsi="Times New Roman" w:cs="Times New Roman"/>
          <w:sz w:val="24"/>
          <w:szCs w:val="24"/>
        </w:rPr>
        <w:t>often</w:t>
      </w:r>
      <w:r w:rsidRPr="0093540C">
        <w:rPr>
          <w:rFonts w:ascii="Times New Roman" w:hAnsi="Times New Roman" w:cs="Times New Roman"/>
          <w:sz w:val="24"/>
          <w:szCs w:val="24"/>
        </w:rPr>
        <w:t xml:space="preserve"> involved power tools, machinery, burns </w:t>
      </w:r>
      <w:r w:rsidR="00BB542E">
        <w:rPr>
          <w:rFonts w:ascii="Times New Roman" w:hAnsi="Times New Roman" w:cs="Times New Roman"/>
          <w:sz w:val="24"/>
          <w:szCs w:val="24"/>
        </w:rPr>
        <w:t>or</w:t>
      </w:r>
      <w:r w:rsidR="00BB542E" w:rsidRPr="0093540C">
        <w:rPr>
          <w:rFonts w:ascii="Times New Roman" w:hAnsi="Times New Roman" w:cs="Times New Roman"/>
          <w:sz w:val="24"/>
          <w:szCs w:val="24"/>
        </w:rPr>
        <w:t xml:space="preserve"> </w:t>
      </w:r>
      <w:r w:rsidRPr="0093540C">
        <w:rPr>
          <w:rFonts w:ascii="Times New Roman" w:hAnsi="Times New Roman" w:cs="Times New Roman"/>
          <w:sz w:val="24"/>
          <w:szCs w:val="24"/>
        </w:rPr>
        <w:t>poisonings, and quite often resulted in sprains, soft tissue injuries</w:t>
      </w:r>
      <w:r w:rsidR="00BB542E">
        <w:rPr>
          <w:rFonts w:ascii="Times New Roman" w:hAnsi="Times New Roman" w:cs="Times New Roman"/>
          <w:sz w:val="24"/>
          <w:szCs w:val="24"/>
        </w:rPr>
        <w:t>,</w:t>
      </w:r>
      <w:r w:rsidRPr="0093540C">
        <w:rPr>
          <w:rFonts w:ascii="Times New Roman" w:hAnsi="Times New Roman" w:cs="Times New Roman"/>
          <w:sz w:val="24"/>
          <w:szCs w:val="24"/>
        </w:rPr>
        <w:t xml:space="preserve"> </w:t>
      </w:r>
      <w:r w:rsidR="00BB542E">
        <w:rPr>
          <w:rFonts w:ascii="Times New Roman" w:hAnsi="Times New Roman" w:cs="Times New Roman"/>
          <w:sz w:val="24"/>
          <w:szCs w:val="24"/>
        </w:rPr>
        <w:t>or</w:t>
      </w:r>
      <w:r w:rsidR="00BB542E" w:rsidRPr="0093540C">
        <w:rPr>
          <w:rFonts w:ascii="Times New Roman" w:hAnsi="Times New Roman" w:cs="Times New Roman"/>
          <w:sz w:val="24"/>
          <w:szCs w:val="24"/>
        </w:rPr>
        <w:t xml:space="preserve"> </w:t>
      </w:r>
      <w:r w:rsidRPr="0093540C">
        <w:rPr>
          <w:rFonts w:ascii="Times New Roman" w:hAnsi="Times New Roman" w:cs="Times New Roman"/>
          <w:sz w:val="24"/>
          <w:szCs w:val="24"/>
        </w:rPr>
        <w:t xml:space="preserve">lacerations </w:t>
      </w:r>
      <w:r w:rsidR="0093540C">
        <w:rPr>
          <w:rFonts w:ascii="Times New Roman" w:hAnsi="Times New Roman" w:cs="Times New Roman"/>
          <w:sz w:val="24"/>
          <w:szCs w:val="24"/>
        </w:rPr>
        <w:t>and</w:t>
      </w:r>
      <w:r w:rsidRPr="0093540C">
        <w:rPr>
          <w:rFonts w:ascii="Times New Roman" w:hAnsi="Times New Roman" w:cs="Times New Roman"/>
          <w:sz w:val="24"/>
          <w:szCs w:val="24"/>
        </w:rPr>
        <w:t xml:space="preserve"> open wounds (</w:t>
      </w:r>
      <w:r w:rsidRPr="0093540C">
        <w:rPr>
          <w:rFonts w:ascii="Times New Roman" w:hAnsi="Times New Roman" w:cs="Times New Roman"/>
          <w:i/>
          <w:sz w:val="24"/>
          <w:szCs w:val="24"/>
        </w:rPr>
        <w:t>Table 1</w:t>
      </w:r>
      <w:r w:rsidRPr="0093540C">
        <w:rPr>
          <w:rFonts w:ascii="Times New Roman" w:hAnsi="Times New Roman" w:cs="Times New Roman"/>
          <w:sz w:val="24"/>
          <w:szCs w:val="24"/>
        </w:rPr>
        <w:t>).</w:t>
      </w:r>
      <w:r w:rsidR="0079309B" w:rsidRPr="0093540C">
        <w:rPr>
          <w:rFonts w:ascii="Times New Roman" w:hAnsi="Times New Roman" w:cs="Times New Roman"/>
          <w:sz w:val="24"/>
          <w:szCs w:val="24"/>
        </w:rPr>
        <w:t xml:space="preserve"> </w:t>
      </w:r>
      <w:r w:rsidR="002537EB" w:rsidRPr="0093540C">
        <w:rPr>
          <w:rFonts w:ascii="Times New Roman" w:hAnsi="Times New Roman" w:cs="Times New Roman"/>
          <w:sz w:val="24"/>
          <w:szCs w:val="24"/>
        </w:rPr>
        <w:t>In all,</w:t>
      </w:r>
      <w:r w:rsidR="0079309B" w:rsidRPr="0093540C">
        <w:rPr>
          <w:rFonts w:ascii="Times New Roman" w:hAnsi="Times New Roman" w:cs="Times New Roman"/>
          <w:sz w:val="24"/>
          <w:szCs w:val="24"/>
        </w:rPr>
        <w:t xml:space="preserve"> 159 cases (12%) </w:t>
      </w:r>
      <w:r w:rsidR="0093540C">
        <w:rPr>
          <w:rFonts w:ascii="Times New Roman" w:hAnsi="Times New Roman" w:cs="Times New Roman"/>
          <w:sz w:val="24"/>
          <w:szCs w:val="24"/>
        </w:rPr>
        <w:t xml:space="preserve">had </w:t>
      </w:r>
      <w:r w:rsidR="0079309B" w:rsidRPr="0093540C">
        <w:rPr>
          <w:rFonts w:ascii="Times New Roman" w:hAnsi="Times New Roman" w:cs="Times New Roman"/>
          <w:sz w:val="24"/>
          <w:szCs w:val="24"/>
        </w:rPr>
        <w:t xml:space="preserve">attended hospital, while 230 cases (17%) </w:t>
      </w:r>
      <w:r w:rsidR="0093540C">
        <w:rPr>
          <w:rFonts w:ascii="Times New Roman" w:hAnsi="Times New Roman" w:cs="Times New Roman"/>
          <w:sz w:val="24"/>
          <w:szCs w:val="24"/>
        </w:rPr>
        <w:t>had been</w:t>
      </w:r>
      <w:r w:rsidR="0079309B" w:rsidRPr="0093540C">
        <w:rPr>
          <w:rFonts w:ascii="Times New Roman" w:hAnsi="Times New Roman" w:cs="Times New Roman"/>
          <w:sz w:val="24"/>
          <w:szCs w:val="24"/>
        </w:rPr>
        <w:t xml:space="preserve"> issued with a medical certificate </w:t>
      </w:r>
      <w:r w:rsidR="002537EB" w:rsidRPr="0093540C">
        <w:rPr>
          <w:rFonts w:ascii="Times New Roman" w:hAnsi="Times New Roman" w:cs="Times New Roman"/>
          <w:sz w:val="24"/>
          <w:szCs w:val="24"/>
        </w:rPr>
        <w:t xml:space="preserve">to </w:t>
      </w:r>
      <w:r w:rsidR="0079309B" w:rsidRPr="0093540C">
        <w:rPr>
          <w:rFonts w:ascii="Times New Roman" w:hAnsi="Times New Roman" w:cs="Times New Roman"/>
          <w:sz w:val="24"/>
          <w:szCs w:val="24"/>
        </w:rPr>
        <w:t>cov</w:t>
      </w:r>
      <w:r w:rsidR="002537EB" w:rsidRPr="0093540C">
        <w:rPr>
          <w:rFonts w:ascii="Times New Roman" w:hAnsi="Times New Roman" w:cs="Times New Roman"/>
          <w:sz w:val="24"/>
          <w:szCs w:val="24"/>
        </w:rPr>
        <w:t>er</w:t>
      </w:r>
      <w:r w:rsidR="0079309B" w:rsidRPr="0093540C">
        <w:rPr>
          <w:rFonts w:ascii="Times New Roman" w:hAnsi="Times New Roman" w:cs="Times New Roman"/>
          <w:sz w:val="24"/>
          <w:szCs w:val="24"/>
        </w:rPr>
        <w:t xml:space="preserve"> </w:t>
      </w:r>
      <w:r w:rsidR="002537EB" w:rsidRPr="0093540C">
        <w:rPr>
          <w:rFonts w:ascii="Times New Roman" w:hAnsi="Times New Roman" w:cs="Times New Roman"/>
          <w:sz w:val="24"/>
          <w:szCs w:val="24"/>
        </w:rPr>
        <w:t>absence</w:t>
      </w:r>
      <w:r w:rsidR="0079309B" w:rsidRPr="0093540C">
        <w:rPr>
          <w:rFonts w:ascii="Times New Roman" w:hAnsi="Times New Roman" w:cs="Times New Roman"/>
          <w:sz w:val="24"/>
          <w:szCs w:val="24"/>
        </w:rPr>
        <w:t xml:space="preserve"> from work. </w:t>
      </w:r>
    </w:p>
    <w:p w:rsidR="002537EB" w:rsidRPr="0093540C" w:rsidRDefault="002537EB" w:rsidP="00797277">
      <w:pPr>
        <w:widowControl w:val="0"/>
        <w:rPr>
          <w:rFonts w:ascii="Times New Roman" w:hAnsi="Times New Roman" w:cs="Times New Roman"/>
          <w:sz w:val="24"/>
          <w:szCs w:val="24"/>
        </w:rPr>
      </w:pPr>
    </w:p>
    <w:p w:rsidR="00797277" w:rsidRPr="0093540C" w:rsidRDefault="00F118F7" w:rsidP="00797277">
      <w:pPr>
        <w:widowControl w:val="0"/>
        <w:rPr>
          <w:rFonts w:ascii="Times New Roman" w:hAnsi="Times New Roman" w:cs="Times New Roman"/>
          <w:sz w:val="24"/>
          <w:szCs w:val="24"/>
        </w:rPr>
      </w:pPr>
      <w:r>
        <w:rPr>
          <w:rFonts w:ascii="Times New Roman" w:hAnsi="Times New Roman" w:cs="Times New Roman"/>
          <w:sz w:val="24"/>
          <w:szCs w:val="24"/>
        </w:rPr>
        <w:t>P</w:t>
      </w:r>
      <w:r w:rsidR="002537EB" w:rsidRPr="0093540C">
        <w:rPr>
          <w:rFonts w:ascii="Times New Roman" w:hAnsi="Times New Roman" w:cs="Times New Roman"/>
          <w:sz w:val="24"/>
          <w:szCs w:val="24"/>
        </w:rPr>
        <w:t>rior to the index date</w:t>
      </w:r>
      <w:r>
        <w:rPr>
          <w:rFonts w:ascii="Times New Roman" w:hAnsi="Times New Roman" w:cs="Times New Roman"/>
          <w:sz w:val="24"/>
          <w:szCs w:val="24"/>
        </w:rPr>
        <w:t>, a</w:t>
      </w:r>
      <w:r w:rsidR="002537EB" w:rsidRPr="0093540C">
        <w:rPr>
          <w:rFonts w:ascii="Times New Roman" w:hAnsi="Times New Roman" w:cs="Times New Roman"/>
          <w:sz w:val="24"/>
          <w:szCs w:val="24"/>
        </w:rPr>
        <w:t xml:space="preserve">t least one consultation for psychiatric illness had occurred in 1,846 (23%) </w:t>
      </w:r>
      <w:r w:rsidR="002537EB" w:rsidRPr="0093540C">
        <w:rPr>
          <w:rFonts w:ascii="Times New Roman" w:hAnsi="Times New Roman" w:cs="Times New Roman"/>
          <w:sz w:val="24"/>
          <w:szCs w:val="24"/>
        </w:rPr>
        <w:lastRenderedPageBreak/>
        <w:t>of the 8,000 subjects, and 1,682 subjects (21%) had been prescribed a</w:t>
      </w:r>
      <w:r w:rsidR="00C0645F" w:rsidRPr="0093540C">
        <w:rPr>
          <w:rFonts w:ascii="Times New Roman" w:hAnsi="Times New Roman" w:cs="Times New Roman"/>
          <w:sz w:val="24"/>
          <w:szCs w:val="24"/>
        </w:rPr>
        <w:t>t least one</w:t>
      </w:r>
      <w:r w:rsidR="002537EB" w:rsidRPr="0093540C">
        <w:rPr>
          <w:rFonts w:ascii="Times New Roman" w:hAnsi="Times New Roman" w:cs="Times New Roman"/>
          <w:sz w:val="24"/>
          <w:szCs w:val="24"/>
        </w:rPr>
        <w:t xml:space="preserve"> </w:t>
      </w:r>
      <w:r w:rsidR="00B63ED2" w:rsidRPr="0093540C">
        <w:rPr>
          <w:rFonts w:ascii="Times New Roman" w:hAnsi="Times New Roman" w:cs="Times New Roman"/>
          <w:sz w:val="24"/>
          <w:szCs w:val="24"/>
        </w:rPr>
        <w:t>psychot</w:t>
      </w:r>
      <w:r w:rsidR="00B63ED2">
        <w:rPr>
          <w:rFonts w:ascii="Times New Roman" w:hAnsi="Times New Roman" w:cs="Times New Roman"/>
          <w:sz w:val="24"/>
          <w:szCs w:val="24"/>
        </w:rPr>
        <w:t>rop</w:t>
      </w:r>
      <w:r w:rsidR="00B63ED2" w:rsidRPr="0093540C">
        <w:rPr>
          <w:rFonts w:ascii="Times New Roman" w:hAnsi="Times New Roman" w:cs="Times New Roman"/>
          <w:sz w:val="24"/>
          <w:szCs w:val="24"/>
        </w:rPr>
        <w:t>ic</w:t>
      </w:r>
      <w:r w:rsidR="002537EB" w:rsidRPr="0093540C">
        <w:rPr>
          <w:rFonts w:ascii="Times New Roman" w:hAnsi="Times New Roman" w:cs="Times New Roman"/>
          <w:sz w:val="24"/>
          <w:szCs w:val="24"/>
        </w:rPr>
        <w:t xml:space="preserve"> medicine. The most common reason for consultation was neurosis (1,437 subjects), followed by psychosis (651 subjects), while </w:t>
      </w:r>
      <w:r w:rsidR="0093540C">
        <w:rPr>
          <w:rFonts w:ascii="Times New Roman" w:hAnsi="Times New Roman" w:cs="Times New Roman"/>
          <w:sz w:val="24"/>
          <w:szCs w:val="24"/>
        </w:rPr>
        <w:t>hypnotics, anxiolytics and</w:t>
      </w:r>
      <w:r w:rsidR="00C0645F" w:rsidRPr="0093540C">
        <w:rPr>
          <w:rFonts w:ascii="Times New Roman" w:hAnsi="Times New Roman" w:cs="Times New Roman"/>
          <w:sz w:val="24"/>
          <w:szCs w:val="24"/>
        </w:rPr>
        <w:t xml:space="preserve"> antidepressants were commonly prescribed</w:t>
      </w:r>
      <w:r w:rsidR="0093540C">
        <w:rPr>
          <w:rFonts w:ascii="Times New Roman" w:hAnsi="Times New Roman" w:cs="Times New Roman"/>
          <w:sz w:val="24"/>
          <w:szCs w:val="24"/>
        </w:rPr>
        <w:t xml:space="preserve"> treatments</w:t>
      </w:r>
      <w:r w:rsidR="002537EB" w:rsidRPr="0093540C">
        <w:rPr>
          <w:rFonts w:ascii="Times New Roman" w:hAnsi="Times New Roman" w:cs="Times New Roman"/>
          <w:sz w:val="24"/>
          <w:szCs w:val="24"/>
        </w:rPr>
        <w:t xml:space="preserve">. </w:t>
      </w:r>
      <w:r w:rsidR="00C0645F" w:rsidRPr="0093540C">
        <w:rPr>
          <w:rFonts w:ascii="Times New Roman" w:hAnsi="Times New Roman" w:cs="Times New Roman"/>
          <w:sz w:val="24"/>
          <w:szCs w:val="24"/>
        </w:rPr>
        <w:t xml:space="preserve"> </w:t>
      </w:r>
      <w:r w:rsidR="00797277" w:rsidRPr="0093540C">
        <w:rPr>
          <w:rFonts w:ascii="Times New Roman" w:hAnsi="Times New Roman" w:cs="Times New Roman"/>
          <w:sz w:val="24"/>
          <w:szCs w:val="24"/>
        </w:rPr>
        <w:t xml:space="preserve">The median time from first </w:t>
      </w:r>
      <w:r w:rsidR="004035CA">
        <w:rPr>
          <w:rFonts w:ascii="Times New Roman" w:hAnsi="Times New Roman" w:cs="Times New Roman"/>
          <w:sz w:val="24"/>
          <w:szCs w:val="24"/>
        </w:rPr>
        <w:t xml:space="preserve">mental health </w:t>
      </w:r>
      <w:r w:rsidR="00797277" w:rsidRPr="0093540C">
        <w:rPr>
          <w:rFonts w:ascii="Times New Roman" w:hAnsi="Times New Roman" w:cs="Times New Roman"/>
          <w:sz w:val="24"/>
          <w:szCs w:val="24"/>
        </w:rPr>
        <w:t>diagnosis to</w:t>
      </w:r>
      <w:r w:rsidR="0093540C">
        <w:rPr>
          <w:rFonts w:ascii="Times New Roman" w:hAnsi="Times New Roman" w:cs="Times New Roman"/>
          <w:sz w:val="24"/>
          <w:szCs w:val="24"/>
        </w:rPr>
        <w:t xml:space="preserve"> the</w:t>
      </w:r>
      <w:r w:rsidR="00797277" w:rsidRPr="0093540C">
        <w:rPr>
          <w:rFonts w:ascii="Times New Roman" w:hAnsi="Times New Roman" w:cs="Times New Roman"/>
          <w:sz w:val="24"/>
          <w:szCs w:val="24"/>
        </w:rPr>
        <w:t xml:space="preserve"> index date (duration of illness) was 5.3 years, IQR 2.2 to 11.6 years.</w:t>
      </w:r>
    </w:p>
    <w:p w:rsidR="0079309B" w:rsidRPr="0093540C" w:rsidRDefault="0079309B" w:rsidP="0079309B">
      <w:pPr>
        <w:rPr>
          <w:rFonts w:ascii="Times New Roman" w:hAnsi="Times New Roman" w:cs="Times New Roman"/>
          <w:sz w:val="24"/>
          <w:szCs w:val="24"/>
        </w:rPr>
      </w:pPr>
    </w:p>
    <w:p w:rsidR="00C74CB8" w:rsidRPr="0093540C" w:rsidRDefault="00797277" w:rsidP="0079309B">
      <w:pPr>
        <w:rPr>
          <w:rFonts w:ascii="Times New Roman" w:hAnsi="Times New Roman" w:cs="Times New Roman"/>
          <w:sz w:val="24"/>
          <w:szCs w:val="24"/>
        </w:rPr>
      </w:pPr>
      <w:r w:rsidRPr="0093540C">
        <w:rPr>
          <w:rFonts w:ascii="Times New Roman" w:hAnsi="Times New Roman" w:cs="Times New Roman"/>
          <w:sz w:val="24"/>
          <w:szCs w:val="24"/>
        </w:rPr>
        <w:t xml:space="preserve">Table </w:t>
      </w:r>
      <w:r w:rsidR="00C74CB8" w:rsidRPr="0093540C">
        <w:rPr>
          <w:rFonts w:ascii="Times New Roman" w:hAnsi="Times New Roman" w:cs="Times New Roman"/>
          <w:sz w:val="24"/>
          <w:szCs w:val="24"/>
        </w:rPr>
        <w:t>2</w:t>
      </w:r>
      <w:r w:rsidRPr="0093540C">
        <w:rPr>
          <w:rFonts w:ascii="Times New Roman" w:hAnsi="Times New Roman" w:cs="Times New Roman"/>
          <w:sz w:val="24"/>
          <w:szCs w:val="24"/>
        </w:rPr>
        <w:t xml:space="preserve"> </w:t>
      </w:r>
      <w:r w:rsidR="00C0645F" w:rsidRPr="0093540C">
        <w:rPr>
          <w:rFonts w:ascii="Times New Roman" w:hAnsi="Times New Roman" w:cs="Times New Roman"/>
          <w:sz w:val="24"/>
          <w:szCs w:val="24"/>
        </w:rPr>
        <w:t>presents</w:t>
      </w:r>
      <w:r w:rsidR="0093540C" w:rsidRPr="0093540C">
        <w:rPr>
          <w:rFonts w:ascii="Times New Roman" w:hAnsi="Times New Roman" w:cs="Times New Roman"/>
          <w:sz w:val="24"/>
          <w:szCs w:val="24"/>
        </w:rPr>
        <w:t xml:space="preserve"> associations</w:t>
      </w:r>
      <w:r w:rsidRPr="0093540C">
        <w:rPr>
          <w:rFonts w:ascii="Times New Roman" w:hAnsi="Times New Roman" w:cs="Times New Roman"/>
          <w:sz w:val="24"/>
          <w:szCs w:val="24"/>
        </w:rPr>
        <w:t xml:space="preserve"> </w:t>
      </w:r>
      <w:r w:rsidR="008F0E14">
        <w:rPr>
          <w:rFonts w:ascii="Times New Roman" w:hAnsi="Times New Roman" w:cs="Times New Roman"/>
          <w:sz w:val="24"/>
          <w:szCs w:val="24"/>
        </w:rPr>
        <w:t>of</w:t>
      </w:r>
      <w:r w:rsidRPr="0093540C">
        <w:rPr>
          <w:rFonts w:ascii="Times New Roman" w:hAnsi="Times New Roman" w:cs="Times New Roman"/>
          <w:sz w:val="24"/>
          <w:szCs w:val="24"/>
        </w:rPr>
        <w:t xml:space="preserve"> o</w:t>
      </w:r>
      <w:r w:rsidR="00B63ED2">
        <w:rPr>
          <w:rFonts w:ascii="Times New Roman" w:hAnsi="Times New Roman" w:cs="Times New Roman"/>
          <w:sz w:val="24"/>
          <w:szCs w:val="24"/>
        </w:rPr>
        <w:t xml:space="preserve">ccupational injury </w:t>
      </w:r>
      <w:r w:rsidR="008F0E14">
        <w:rPr>
          <w:rFonts w:ascii="Times New Roman" w:hAnsi="Times New Roman" w:cs="Times New Roman"/>
          <w:sz w:val="24"/>
          <w:szCs w:val="24"/>
        </w:rPr>
        <w:t>with</w:t>
      </w:r>
      <w:r w:rsidR="00B63ED2">
        <w:rPr>
          <w:rFonts w:ascii="Times New Roman" w:hAnsi="Times New Roman" w:cs="Times New Roman"/>
          <w:sz w:val="24"/>
          <w:szCs w:val="24"/>
        </w:rPr>
        <w:t xml:space="preserve"> ever having</w:t>
      </w:r>
      <w:r w:rsidRPr="0093540C">
        <w:rPr>
          <w:rFonts w:ascii="Times New Roman" w:hAnsi="Times New Roman" w:cs="Times New Roman"/>
          <w:sz w:val="24"/>
          <w:szCs w:val="24"/>
        </w:rPr>
        <w:t xml:space="preserve"> consulted with a mental health p</w:t>
      </w:r>
      <w:r w:rsidR="00C74CB8" w:rsidRPr="0093540C">
        <w:rPr>
          <w:rFonts w:ascii="Times New Roman" w:hAnsi="Times New Roman" w:cs="Times New Roman"/>
          <w:sz w:val="24"/>
          <w:szCs w:val="24"/>
        </w:rPr>
        <w:t>roblem prior to the index date</w:t>
      </w:r>
      <w:r w:rsidR="008F0E14">
        <w:rPr>
          <w:rFonts w:ascii="Times New Roman" w:hAnsi="Times New Roman" w:cs="Times New Roman"/>
          <w:sz w:val="24"/>
          <w:szCs w:val="24"/>
        </w:rPr>
        <w:t xml:space="preserve"> and with specific categories of psychiatric illness</w:t>
      </w:r>
      <w:r w:rsidR="00C74CB8" w:rsidRPr="0093540C">
        <w:rPr>
          <w:rFonts w:ascii="Times New Roman" w:hAnsi="Times New Roman" w:cs="Times New Roman"/>
          <w:sz w:val="24"/>
          <w:szCs w:val="24"/>
        </w:rPr>
        <w:t xml:space="preserve">. </w:t>
      </w:r>
      <w:r w:rsidRPr="0093540C">
        <w:rPr>
          <w:rFonts w:ascii="Times New Roman" w:hAnsi="Times New Roman" w:cs="Times New Roman"/>
          <w:sz w:val="24"/>
          <w:szCs w:val="24"/>
        </w:rPr>
        <w:t>A statistically significant association was found</w:t>
      </w:r>
      <w:r w:rsidR="008F0E14">
        <w:rPr>
          <w:rFonts w:ascii="Times New Roman" w:hAnsi="Times New Roman" w:cs="Times New Roman"/>
          <w:sz w:val="24"/>
          <w:szCs w:val="24"/>
        </w:rPr>
        <w:t xml:space="preserve"> for mental health problems overall</w:t>
      </w:r>
      <w:r w:rsidRPr="0093540C">
        <w:rPr>
          <w:rFonts w:ascii="Times New Roman" w:hAnsi="Times New Roman" w:cs="Times New Roman"/>
          <w:sz w:val="24"/>
          <w:szCs w:val="24"/>
        </w:rPr>
        <w:t>, the odds of injury being raised</w:t>
      </w:r>
      <w:r w:rsidR="0093540C">
        <w:rPr>
          <w:rFonts w:ascii="Times New Roman" w:hAnsi="Times New Roman" w:cs="Times New Roman"/>
          <w:sz w:val="24"/>
          <w:szCs w:val="24"/>
        </w:rPr>
        <w:t xml:space="preserve"> some</w:t>
      </w:r>
      <w:r w:rsidRPr="0093540C">
        <w:rPr>
          <w:rFonts w:ascii="Times New Roman" w:hAnsi="Times New Roman" w:cs="Times New Roman"/>
          <w:sz w:val="24"/>
          <w:szCs w:val="24"/>
        </w:rPr>
        <w:t xml:space="preserve"> 4</w:t>
      </w:r>
      <w:r w:rsidR="000B4865">
        <w:rPr>
          <w:rFonts w:ascii="Times New Roman" w:hAnsi="Times New Roman" w:cs="Times New Roman"/>
          <w:sz w:val="24"/>
          <w:szCs w:val="24"/>
        </w:rPr>
        <w:t>4</w:t>
      </w:r>
      <w:r w:rsidRPr="0093540C">
        <w:rPr>
          <w:rFonts w:ascii="Times New Roman" w:hAnsi="Times New Roman" w:cs="Times New Roman"/>
          <w:sz w:val="24"/>
          <w:szCs w:val="24"/>
        </w:rPr>
        <w:t xml:space="preserve">% (P&lt;0.001). Statistically significant associations were also found with consultations related </w:t>
      </w:r>
      <w:r w:rsidR="00BB542E">
        <w:rPr>
          <w:rFonts w:ascii="Times New Roman" w:hAnsi="Times New Roman" w:cs="Times New Roman"/>
          <w:sz w:val="24"/>
          <w:szCs w:val="24"/>
        </w:rPr>
        <w:t xml:space="preserve">specifically </w:t>
      </w:r>
      <w:r w:rsidRPr="0093540C">
        <w:rPr>
          <w:rFonts w:ascii="Times New Roman" w:hAnsi="Times New Roman" w:cs="Times New Roman"/>
          <w:sz w:val="24"/>
          <w:szCs w:val="24"/>
        </w:rPr>
        <w:t>to psychosis (OR 1.</w:t>
      </w:r>
      <w:r w:rsidR="000B4865">
        <w:rPr>
          <w:rFonts w:ascii="Times New Roman" w:hAnsi="Times New Roman" w:cs="Times New Roman"/>
          <w:sz w:val="24"/>
          <w:szCs w:val="24"/>
        </w:rPr>
        <w:t>29</w:t>
      </w:r>
      <w:r w:rsidRPr="0093540C">
        <w:rPr>
          <w:rFonts w:ascii="Times New Roman" w:hAnsi="Times New Roman" w:cs="Times New Roman"/>
          <w:sz w:val="24"/>
          <w:szCs w:val="24"/>
        </w:rPr>
        <w:t>, P=0.01</w:t>
      </w:r>
      <w:r w:rsidR="000B4865">
        <w:rPr>
          <w:rFonts w:ascii="Times New Roman" w:hAnsi="Times New Roman" w:cs="Times New Roman"/>
          <w:sz w:val="24"/>
          <w:szCs w:val="24"/>
        </w:rPr>
        <w:t>6</w:t>
      </w:r>
      <w:r w:rsidRPr="0093540C">
        <w:rPr>
          <w:rFonts w:ascii="Times New Roman" w:hAnsi="Times New Roman" w:cs="Times New Roman"/>
          <w:sz w:val="24"/>
          <w:szCs w:val="24"/>
        </w:rPr>
        <w:t>), neurosis (OR 1.4</w:t>
      </w:r>
      <w:r w:rsidR="000B4865">
        <w:rPr>
          <w:rFonts w:ascii="Times New Roman" w:hAnsi="Times New Roman" w:cs="Times New Roman"/>
          <w:sz w:val="24"/>
          <w:szCs w:val="24"/>
        </w:rPr>
        <w:t>1</w:t>
      </w:r>
      <w:r w:rsidRPr="0093540C">
        <w:rPr>
          <w:rFonts w:ascii="Times New Roman" w:hAnsi="Times New Roman" w:cs="Times New Roman"/>
          <w:sz w:val="24"/>
          <w:szCs w:val="24"/>
        </w:rPr>
        <w:t>, P&lt;0.001) and certain other mental health conditions (OR 1.5</w:t>
      </w:r>
      <w:r w:rsidR="000B4865">
        <w:rPr>
          <w:rFonts w:ascii="Times New Roman" w:hAnsi="Times New Roman" w:cs="Times New Roman"/>
          <w:sz w:val="24"/>
          <w:szCs w:val="24"/>
        </w:rPr>
        <w:t>3</w:t>
      </w:r>
      <w:r w:rsidRPr="0093540C">
        <w:rPr>
          <w:rFonts w:ascii="Times New Roman" w:hAnsi="Times New Roman" w:cs="Times New Roman"/>
          <w:sz w:val="24"/>
          <w:szCs w:val="24"/>
        </w:rPr>
        <w:t>, P=0.01</w:t>
      </w:r>
      <w:r w:rsidR="000B4865">
        <w:rPr>
          <w:rFonts w:ascii="Times New Roman" w:hAnsi="Times New Roman" w:cs="Times New Roman"/>
          <w:sz w:val="24"/>
          <w:szCs w:val="24"/>
        </w:rPr>
        <w:t>2</w:t>
      </w:r>
      <w:r w:rsidRPr="0093540C">
        <w:rPr>
          <w:rFonts w:ascii="Times New Roman" w:hAnsi="Times New Roman" w:cs="Times New Roman"/>
          <w:sz w:val="24"/>
          <w:szCs w:val="24"/>
        </w:rPr>
        <w:t xml:space="preserve">). </w:t>
      </w:r>
      <w:r w:rsidR="00C74CB8" w:rsidRPr="0093540C">
        <w:rPr>
          <w:rFonts w:ascii="Times New Roman" w:hAnsi="Times New Roman" w:cs="Times New Roman"/>
          <w:sz w:val="24"/>
          <w:szCs w:val="24"/>
        </w:rPr>
        <w:t>A</w:t>
      </w:r>
      <w:r w:rsidRPr="0093540C">
        <w:rPr>
          <w:rFonts w:ascii="Times New Roman" w:hAnsi="Times New Roman" w:cs="Times New Roman"/>
          <w:sz w:val="24"/>
          <w:szCs w:val="24"/>
        </w:rPr>
        <w:t xml:space="preserve">ssociations </w:t>
      </w:r>
      <w:r w:rsidR="00C74CB8" w:rsidRPr="0093540C">
        <w:rPr>
          <w:rFonts w:ascii="Times New Roman" w:hAnsi="Times New Roman" w:cs="Times New Roman"/>
          <w:sz w:val="24"/>
          <w:szCs w:val="24"/>
        </w:rPr>
        <w:t>with</w:t>
      </w:r>
      <w:r w:rsidRPr="0093540C">
        <w:rPr>
          <w:rFonts w:ascii="Times New Roman" w:hAnsi="Times New Roman" w:cs="Times New Roman"/>
          <w:sz w:val="24"/>
          <w:szCs w:val="24"/>
        </w:rPr>
        <w:t xml:space="preserve"> mental health consultations more than 12 months before the index date</w:t>
      </w:r>
      <w:r w:rsidR="00C74CB8" w:rsidRPr="0093540C">
        <w:rPr>
          <w:rFonts w:ascii="Times New Roman" w:hAnsi="Times New Roman" w:cs="Times New Roman"/>
          <w:sz w:val="24"/>
          <w:szCs w:val="24"/>
        </w:rPr>
        <w:t xml:space="preserve"> were broadly similar (</w:t>
      </w:r>
      <w:r w:rsidR="00295B5F" w:rsidRPr="0093540C">
        <w:rPr>
          <w:rFonts w:ascii="Times New Roman" w:hAnsi="Times New Roman" w:cs="Times New Roman"/>
          <w:i/>
          <w:sz w:val="24"/>
          <w:szCs w:val="24"/>
        </w:rPr>
        <w:t xml:space="preserve">online supplementary Table </w:t>
      </w:r>
      <w:r w:rsidR="006C0B0E">
        <w:rPr>
          <w:rFonts w:ascii="Times New Roman" w:hAnsi="Times New Roman" w:cs="Times New Roman"/>
          <w:i/>
          <w:sz w:val="24"/>
          <w:szCs w:val="24"/>
        </w:rPr>
        <w:t>S</w:t>
      </w:r>
      <w:r w:rsidR="00F118F7">
        <w:rPr>
          <w:rFonts w:ascii="Times New Roman" w:hAnsi="Times New Roman" w:cs="Times New Roman"/>
          <w:i/>
          <w:sz w:val="24"/>
          <w:szCs w:val="24"/>
        </w:rPr>
        <w:t>1</w:t>
      </w:r>
      <w:r w:rsidR="000A3CFF">
        <w:rPr>
          <w:rFonts w:ascii="Times New Roman" w:hAnsi="Times New Roman" w:cs="Times New Roman"/>
          <w:sz w:val="24"/>
          <w:szCs w:val="24"/>
        </w:rPr>
        <w:t>).</w:t>
      </w:r>
      <w:r w:rsidR="00C74CB8" w:rsidRPr="0093540C">
        <w:rPr>
          <w:rFonts w:ascii="Times New Roman" w:hAnsi="Times New Roman" w:cs="Times New Roman"/>
          <w:sz w:val="24"/>
          <w:szCs w:val="24"/>
        </w:rPr>
        <w:t xml:space="preserve"> The </w:t>
      </w:r>
      <w:r w:rsidR="00BB542E">
        <w:rPr>
          <w:rFonts w:ascii="Times New Roman" w:hAnsi="Times New Roman" w:cs="Times New Roman"/>
          <w:sz w:val="24"/>
          <w:szCs w:val="24"/>
        </w:rPr>
        <w:t xml:space="preserve">overall </w:t>
      </w:r>
      <w:r w:rsidR="004035CA">
        <w:rPr>
          <w:rFonts w:ascii="Times New Roman" w:hAnsi="Times New Roman" w:cs="Times New Roman"/>
          <w:sz w:val="24"/>
          <w:szCs w:val="24"/>
        </w:rPr>
        <w:t>a</w:t>
      </w:r>
      <w:r w:rsidR="00C74CB8" w:rsidRPr="0093540C">
        <w:rPr>
          <w:rFonts w:ascii="Times New Roman" w:hAnsi="Times New Roman" w:cs="Times New Roman"/>
          <w:sz w:val="24"/>
          <w:szCs w:val="24"/>
        </w:rPr>
        <w:t xml:space="preserve">ttributable </w:t>
      </w:r>
      <w:r w:rsidR="004035CA">
        <w:rPr>
          <w:rFonts w:ascii="Times New Roman" w:hAnsi="Times New Roman" w:cs="Times New Roman"/>
          <w:sz w:val="24"/>
          <w:szCs w:val="24"/>
        </w:rPr>
        <w:t>f</w:t>
      </w:r>
      <w:r w:rsidR="000B4865">
        <w:rPr>
          <w:rFonts w:ascii="Times New Roman" w:hAnsi="Times New Roman" w:cs="Times New Roman"/>
          <w:sz w:val="24"/>
          <w:szCs w:val="24"/>
        </w:rPr>
        <w:t xml:space="preserve">raction </w:t>
      </w:r>
      <w:r w:rsidR="00BB542E">
        <w:rPr>
          <w:rFonts w:ascii="Times New Roman" w:hAnsi="Times New Roman" w:cs="Times New Roman"/>
          <w:sz w:val="24"/>
          <w:szCs w:val="24"/>
        </w:rPr>
        <w:t xml:space="preserve">among </w:t>
      </w:r>
      <w:r w:rsidR="00B23600">
        <w:rPr>
          <w:rFonts w:ascii="Times New Roman" w:hAnsi="Times New Roman" w:cs="Times New Roman"/>
          <w:sz w:val="24"/>
          <w:szCs w:val="24"/>
        </w:rPr>
        <w:t>exposed persons</w:t>
      </w:r>
      <w:r w:rsidR="00BB542E">
        <w:rPr>
          <w:rFonts w:ascii="Times New Roman" w:hAnsi="Times New Roman" w:cs="Times New Roman"/>
          <w:sz w:val="24"/>
          <w:szCs w:val="24"/>
        </w:rPr>
        <w:t xml:space="preserve"> </w:t>
      </w:r>
      <w:r w:rsidR="000B4865">
        <w:rPr>
          <w:rFonts w:ascii="Times New Roman" w:hAnsi="Times New Roman" w:cs="Times New Roman"/>
          <w:sz w:val="24"/>
          <w:szCs w:val="24"/>
        </w:rPr>
        <w:t>was 30</w:t>
      </w:r>
      <w:r w:rsidR="00C74CB8" w:rsidRPr="0093540C">
        <w:rPr>
          <w:rFonts w:ascii="Times New Roman" w:hAnsi="Times New Roman" w:cs="Times New Roman"/>
          <w:sz w:val="24"/>
          <w:szCs w:val="24"/>
        </w:rPr>
        <w:t>.5%</w:t>
      </w:r>
      <w:r w:rsidR="00295B5F" w:rsidRPr="0093540C">
        <w:rPr>
          <w:rFonts w:ascii="Times New Roman" w:hAnsi="Times New Roman" w:cs="Times New Roman"/>
          <w:sz w:val="24"/>
          <w:szCs w:val="24"/>
        </w:rPr>
        <w:t xml:space="preserve"> and </w:t>
      </w:r>
      <w:r w:rsidR="00BB542E">
        <w:rPr>
          <w:rFonts w:ascii="Times New Roman" w:hAnsi="Times New Roman" w:cs="Times New Roman"/>
          <w:sz w:val="24"/>
          <w:szCs w:val="24"/>
        </w:rPr>
        <w:t xml:space="preserve">the </w:t>
      </w:r>
      <w:r w:rsidR="00295B5F" w:rsidRPr="0093540C">
        <w:rPr>
          <w:rFonts w:ascii="Times New Roman" w:hAnsi="Times New Roman" w:cs="Times New Roman"/>
          <w:sz w:val="24"/>
          <w:szCs w:val="24"/>
        </w:rPr>
        <w:t xml:space="preserve">corresponding </w:t>
      </w:r>
      <w:r w:rsidR="004035CA">
        <w:rPr>
          <w:rFonts w:ascii="Times New Roman" w:hAnsi="Times New Roman" w:cs="Times New Roman"/>
          <w:sz w:val="24"/>
          <w:szCs w:val="24"/>
        </w:rPr>
        <w:t>p</w:t>
      </w:r>
      <w:r w:rsidR="00295B5F" w:rsidRPr="0093540C">
        <w:rPr>
          <w:rFonts w:ascii="Times New Roman" w:hAnsi="Times New Roman" w:cs="Times New Roman"/>
          <w:sz w:val="24"/>
          <w:szCs w:val="24"/>
        </w:rPr>
        <w:t xml:space="preserve">opulation </w:t>
      </w:r>
      <w:r w:rsidR="004035CA">
        <w:rPr>
          <w:rFonts w:ascii="Times New Roman" w:hAnsi="Times New Roman" w:cs="Times New Roman"/>
          <w:sz w:val="24"/>
          <w:szCs w:val="24"/>
        </w:rPr>
        <w:t>a</w:t>
      </w:r>
      <w:r w:rsidR="00295B5F" w:rsidRPr="0093540C">
        <w:rPr>
          <w:rFonts w:ascii="Times New Roman" w:hAnsi="Times New Roman" w:cs="Times New Roman"/>
          <w:sz w:val="24"/>
          <w:szCs w:val="24"/>
        </w:rPr>
        <w:t xml:space="preserve">ttributable </w:t>
      </w:r>
      <w:r w:rsidR="004035CA">
        <w:rPr>
          <w:rFonts w:ascii="Times New Roman" w:hAnsi="Times New Roman" w:cs="Times New Roman"/>
          <w:sz w:val="24"/>
          <w:szCs w:val="24"/>
        </w:rPr>
        <w:t>f</w:t>
      </w:r>
      <w:r w:rsidR="00295B5F" w:rsidRPr="0093540C">
        <w:rPr>
          <w:rFonts w:ascii="Times New Roman" w:hAnsi="Times New Roman" w:cs="Times New Roman"/>
          <w:sz w:val="24"/>
          <w:szCs w:val="24"/>
        </w:rPr>
        <w:t>raction was</w:t>
      </w:r>
      <w:r w:rsidR="000B4865">
        <w:rPr>
          <w:rFonts w:ascii="Times New Roman" w:hAnsi="Times New Roman" w:cs="Times New Roman"/>
          <w:sz w:val="24"/>
          <w:szCs w:val="24"/>
        </w:rPr>
        <w:t xml:space="preserve"> 8.6</w:t>
      </w:r>
      <w:r w:rsidR="00295B5F" w:rsidRPr="0093540C">
        <w:rPr>
          <w:rFonts w:ascii="Times New Roman" w:hAnsi="Times New Roman" w:cs="Times New Roman"/>
          <w:sz w:val="24"/>
          <w:szCs w:val="24"/>
        </w:rPr>
        <w:t>%</w:t>
      </w:r>
      <w:r w:rsidR="000A3CFF">
        <w:rPr>
          <w:rFonts w:ascii="Times New Roman" w:hAnsi="Times New Roman" w:cs="Times New Roman"/>
          <w:sz w:val="24"/>
          <w:szCs w:val="24"/>
        </w:rPr>
        <w:t>.</w:t>
      </w:r>
    </w:p>
    <w:p w:rsidR="00797277" w:rsidRPr="0093540C" w:rsidRDefault="00797277" w:rsidP="00797277">
      <w:pPr>
        <w:widowControl w:val="0"/>
        <w:rPr>
          <w:rFonts w:ascii="Times New Roman" w:hAnsi="Times New Roman" w:cs="Times New Roman"/>
          <w:sz w:val="24"/>
          <w:szCs w:val="24"/>
        </w:rPr>
      </w:pPr>
    </w:p>
    <w:p w:rsidR="00797277" w:rsidRPr="0093540C" w:rsidRDefault="00797277" w:rsidP="00797277">
      <w:pPr>
        <w:rPr>
          <w:rFonts w:ascii="Times New Roman" w:hAnsi="Times New Roman" w:cs="Times New Roman"/>
          <w:sz w:val="24"/>
          <w:szCs w:val="24"/>
        </w:rPr>
      </w:pPr>
      <w:r w:rsidRPr="0093540C">
        <w:rPr>
          <w:rFonts w:ascii="Times New Roman" w:hAnsi="Times New Roman" w:cs="Times New Roman"/>
          <w:sz w:val="24"/>
          <w:szCs w:val="24"/>
        </w:rPr>
        <w:t>Table 3 show</w:t>
      </w:r>
      <w:r w:rsidR="00BB542E">
        <w:rPr>
          <w:rFonts w:ascii="Times New Roman" w:hAnsi="Times New Roman" w:cs="Times New Roman"/>
          <w:sz w:val="24"/>
          <w:szCs w:val="24"/>
        </w:rPr>
        <w:t>s</w:t>
      </w:r>
      <w:r w:rsidRPr="0093540C">
        <w:rPr>
          <w:rFonts w:ascii="Times New Roman" w:hAnsi="Times New Roman" w:cs="Times New Roman"/>
          <w:sz w:val="24"/>
          <w:szCs w:val="24"/>
        </w:rPr>
        <w:t xml:space="preserve"> associations </w:t>
      </w:r>
      <w:r w:rsidR="004035CA">
        <w:rPr>
          <w:rFonts w:ascii="Times New Roman" w:hAnsi="Times New Roman" w:cs="Times New Roman"/>
          <w:sz w:val="24"/>
          <w:szCs w:val="24"/>
        </w:rPr>
        <w:t>between</w:t>
      </w:r>
      <w:r w:rsidRPr="0093540C">
        <w:rPr>
          <w:rFonts w:ascii="Times New Roman" w:hAnsi="Times New Roman" w:cs="Times New Roman"/>
          <w:sz w:val="24"/>
          <w:szCs w:val="24"/>
        </w:rPr>
        <w:t xml:space="preserve"> occupational injury consultation and being prescribed </w:t>
      </w:r>
      <w:r w:rsidR="00295B5F" w:rsidRPr="0093540C">
        <w:rPr>
          <w:rFonts w:ascii="Times New Roman" w:hAnsi="Times New Roman" w:cs="Times New Roman"/>
          <w:sz w:val="24"/>
          <w:szCs w:val="24"/>
        </w:rPr>
        <w:t>psychotropic</w:t>
      </w:r>
      <w:r w:rsidRPr="0093540C">
        <w:rPr>
          <w:rFonts w:ascii="Times New Roman" w:hAnsi="Times New Roman" w:cs="Times New Roman"/>
          <w:sz w:val="24"/>
          <w:szCs w:val="24"/>
        </w:rPr>
        <w:t xml:space="preserve"> drugs before the index date</w:t>
      </w:r>
      <w:r w:rsidR="00295B5F" w:rsidRPr="0093540C">
        <w:rPr>
          <w:rFonts w:ascii="Times New Roman" w:hAnsi="Times New Roman" w:cs="Times New Roman"/>
          <w:sz w:val="24"/>
          <w:szCs w:val="24"/>
        </w:rPr>
        <w:t xml:space="preserve">. </w:t>
      </w:r>
      <w:r w:rsidRPr="0093540C">
        <w:rPr>
          <w:rFonts w:ascii="Times New Roman" w:hAnsi="Times New Roman" w:cs="Times New Roman"/>
          <w:sz w:val="24"/>
          <w:szCs w:val="24"/>
        </w:rPr>
        <w:t>The odds of injury consultation were raised 5</w:t>
      </w:r>
      <w:r w:rsidR="000B4865">
        <w:rPr>
          <w:rFonts w:ascii="Times New Roman" w:hAnsi="Times New Roman" w:cs="Times New Roman"/>
          <w:sz w:val="24"/>
          <w:szCs w:val="24"/>
        </w:rPr>
        <w:t>7</w:t>
      </w:r>
      <w:r w:rsidRPr="0093540C">
        <w:rPr>
          <w:rFonts w:ascii="Times New Roman" w:hAnsi="Times New Roman" w:cs="Times New Roman"/>
          <w:sz w:val="24"/>
          <w:szCs w:val="24"/>
        </w:rPr>
        <w:t>% for patients prescribed any of the drugs in comparison with subjects who had never had such a prescription</w:t>
      </w:r>
      <w:r w:rsidR="0093540C">
        <w:rPr>
          <w:rFonts w:ascii="Times New Roman" w:hAnsi="Times New Roman" w:cs="Times New Roman"/>
          <w:sz w:val="24"/>
          <w:szCs w:val="24"/>
        </w:rPr>
        <w:t>,</w:t>
      </w:r>
      <w:r w:rsidRPr="0093540C">
        <w:rPr>
          <w:rFonts w:ascii="Times New Roman" w:hAnsi="Times New Roman" w:cs="Times New Roman"/>
          <w:sz w:val="24"/>
          <w:szCs w:val="24"/>
        </w:rPr>
        <w:t xml:space="preserve"> </w:t>
      </w:r>
      <w:r w:rsidR="00295B5F" w:rsidRPr="0093540C">
        <w:rPr>
          <w:rFonts w:ascii="Times New Roman" w:hAnsi="Times New Roman" w:cs="Times New Roman"/>
          <w:sz w:val="24"/>
          <w:szCs w:val="24"/>
        </w:rPr>
        <w:t>and r</w:t>
      </w:r>
      <w:r w:rsidRPr="0093540C">
        <w:rPr>
          <w:rFonts w:ascii="Times New Roman" w:hAnsi="Times New Roman" w:cs="Times New Roman"/>
          <w:sz w:val="24"/>
          <w:szCs w:val="24"/>
        </w:rPr>
        <w:t>isks were even higher in relation to hypnotics (OR 1.6</w:t>
      </w:r>
      <w:r w:rsidR="000B4865">
        <w:rPr>
          <w:rFonts w:ascii="Times New Roman" w:hAnsi="Times New Roman" w:cs="Times New Roman"/>
          <w:sz w:val="24"/>
          <w:szCs w:val="24"/>
        </w:rPr>
        <w:t>3</w:t>
      </w:r>
      <w:r w:rsidRPr="0093540C">
        <w:rPr>
          <w:rFonts w:ascii="Times New Roman" w:hAnsi="Times New Roman" w:cs="Times New Roman"/>
          <w:sz w:val="24"/>
          <w:szCs w:val="24"/>
        </w:rPr>
        <w:t>) and anxiolytics (OR 1.7</w:t>
      </w:r>
      <w:r w:rsidR="000B4865">
        <w:rPr>
          <w:rFonts w:ascii="Times New Roman" w:hAnsi="Times New Roman" w:cs="Times New Roman"/>
          <w:sz w:val="24"/>
          <w:szCs w:val="24"/>
        </w:rPr>
        <w:t>4</w:t>
      </w:r>
      <w:r w:rsidRPr="0093540C">
        <w:rPr>
          <w:rFonts w:ascii="Times New Roman" w:hAnsi="Times New Roman" w:cs="Times New Roman"/>
          <w:sz w:val="24"/>
          <w:szCs w:val="24"/>
        </w:rPr>
        <w:t xml:space="preserve">). All findings were highly significant statistically (P&lt;0.001). </w:t>
      </w:r>
      <w:r w:rsidR="00295B5F" w:rsidRPr="0093540C">
        <w:rPr>
          <w:rFonts w:ascii="Times New Roman" w:hAnsi="Times New Roman" w:cs="Times New Roman"/>
          <w:sz w:val="24"/>
          <w:szCs w:val="24"/>
        </w:rPr>
        <w:t>Associations with prescription in the previous 12 months were similar, although analyses were based on smaller numbers (</w:t>
      </w:r>
      <w:r w:rsidR="00295B5F" w:rsidRPr="0093540C">
        <w:rPr>
          <w:rFonts w:ascii="Times New Roman" w:hAnsi="Times New Roman" w:cs="Times New Roman"/>
          <w:i/>
          <w:sz w:val="24"/>
          <w:szCs w:val="24"/>
        </w:rPr>
        <w:t xml:space="preserve">online supplementary Table </w:t>
      </w:r>
      <w:r w:rsidR="00F118F7">
        <w:rPr>
          <w:rFonts w:ascii="Times New Roman" w:hAnsi="Times New Roman" w:cs="Times New Roman"/>
          <w:i/>
          <w:sz w:val="24"/>
          <w:szCs w:val="24"/>
        </w:rPr>
        <w:t>S2</w:t>
      </w:r>
      <w:r w:rsidR="00295B5F" w:rsidRPr="0093540C">
        <w:rPr>
          <w:rFonts w:ascii="Times New Roman" w:hAnsi="Times New Roman" w:cs="Times New Roman"/>
          <w:sz w:val="24"/>
          <w:szCs w:val="24"/>
        </w:rPr>
        <w:t>).</w:t>
      </w:r>
    </w:p>
    <w:p w:rsidR="00797277" w:rsidRPr="0093540C" w:rsidRDefault="00797277" w:rsidP="00797277">
      <w:pPr>
        <w:rPr>
          <w:rFonts w:ascii="Times New Roman" w:hAnsi="Times New Roman" w:cs="Times New Roman"/>
          <w:sz w:val="24"/>
          <w:szCs w:val="24"/>
        </w:rPr>
      </w:pPr>
    </w:p>
    <w:p w:rsidR="008C089E" w:rsidRPr="0093540C" w:rsidRDefault="008C089E" w:rsidP="008C089E">
      <w:pPr>
        <w:widowControl w:val="0"/>
        <w:rPr>
          <w:rFonts w:ascii="Times New Roman" w:hAnsi="Times New Roman" w:cs="Times New Roman"/>
          <w:sz w:val="24"/>
          <w:szCs w:val="24"/>
        </w:rPr>
      </w:pPr>
      <w:r w:rsidRPr="0093540C">
        <w:rPr>
          <w:rFonts w:ascii="Times New Roman" w:hAnsi="Times New Roman" w:cs="Times New Roman"/>
          <w:sz w:val="24"/>
          <w:szCs w:val="24"/>
        </w:rPr>
        <w:t xml:space="preserve">For antidepressants it proved possible to distinguish </w:t>
      </w:r>
      <w:r w:rsidR="0083336D">
        <w:rPr>
          <w:rFonts w:ascii="Times New Roman" w:hAnsi="Times New Roman" w:cs="Times New Roman"/>
          <w:sz w:val="24"/>
          <w:szCs w:val="24"/>
        </w:rPr>
        <w:t xml:space="preserve">risks by </w:t>
      </w:r>
      <w:r w:rsidRPr="0093540C">
        <w:rPr>
          <w:rFonts w:ascii="Times New Roman" w:hAnsi="Times New Roman" w:cs="Times New Roman"/>
          <w:sz w:val="24"/>
          <w:szCs w:val="24"/>
        </w:rPr>
        <w:t xml:space="preserve">some major sub-categories of treatment. </w:t>
      </w:r>
      <w:r w:rsidR="0093540C">
        <w:rPr>
          <w:rFonts w:ascii="Times New Roman" w:hAnsi="Times New Roman" w:cs="Times New Roman"/>
          <w:sz w:val="24"/>
          <w:szCs w:val="24"/>
        </w:rPr>
        <w:t>A total of</w:t>
      </w:r>
      <w:r w:rsidRPr="0093540C">
        <w:rPr>
          <w:rFonts w:ascii="Times New Roman" w:hAnsi="Times New Roman" w:cs="Times New Roman"/>
          <w:sz w:val="24"/>
          <w:szCs w:val="24"/>
        </w:rPr>
        <w:t xml:space="preserve"> 711 subjects had taken a tricyclic antidepressant and 700 subjects a </w:t>
      </w:r>
      <w:r w:rsidR="00BB542E">
        <w:rPr>
          <w:rFonts w:ascii="Times New Roman" w:hAnsi="Times New Roman" w:cs="Times New Roman"/>
          <w:sz w:val="24"/>
          <w:szCs w:val="24"/>
        </w:rPr>
        <w:t>s</w:t>
      </w:r>
      <w:r w:rsidR="00BB542E" w:rsidRPr="0093540C">
        <w:rPr>
          <w:rFonts w:ascii="Times New Roman" w:hAnsi="Times New Roman" w:cs="Times New Roman"/>
          <w:sz w:val="24"/>
          <w:szCs w:val="24"/>
        </w:rPr>
        <w:t xml:space="preserve">elective </w:t>
      </w:r>
      <w:r w:rsidR="00BB542E">
        <w:rPr>
          <w:rFonts w:ascii="Times New Roman" w:hAnsi="Times New Roman" w:cs="Times New Roman"/>
          <w:sz w:val="24"/>
          <w:szCs w:val="24"/>
        </w:rPr>
        <w:t>s</w:t>
      </w:r>
      <w:r w:rsidR="00BB542E" w:rsidRPr="0093540C">
        <w:rPr>
          <w:rFonts w:ascii="Times New Roman" w:hAnsi="Times New Roman" w:cs="Times New Roman"/>
          <w:sz w:val="24"/>
          <w:szCs w:val="24"/>
        </w:rPr>
        <w:t xml:space="preserve">erotonin </w:t>
      </w:r>
      <w:r w:rsidR="00BB542E">
        <w:rPr>
          <w:rFonts w:ascii="Times New Roman" w:hAnsi="Times New Roman" w:cs="Times New Roman"/>
          <w:sz w:val="24"/>
          <w:szCs w:val="24"/>
        </w:rPr>
        <w:t>r</w:t>
      </w:r>
      <w:r w:rsidR="00BB542E" w:rsidRPr="0093540C">
        <w:rPr>
          <w:rFonts w:ascii="Times New Roman" w:hAnsi="Times New Roman" w:cs="Times New Roman"/>
          <w:sz w:val="24"/>
          <w:szCs w:val="24"/>
        </w:rPr>
        <w:t>e</w:t>
      </w:r>
      <w:r w:rsidRPr="0093540C">
        <w:rPr>
          <w:rFonts w:ascii="Times New Roman" w:hAnsi="Times New Roman" w:cs="Times New Roman"/>
          <w:sz w:val="24"/>
          <w:szCs w:val="24"/>
        </w:rPr>
        <w:t xml:space="preserve">-uptake </w:t>
      </w:r>
      <w:r w:rsidR="00BB542E">
        <w:rPr>
          <w:rFonts w:ascii="Times New Roman" w:hAnsi="Times New Roman" w:cs="Times New Roman"/>
          <w:sz w:val="24"/>
          <w:szCs w:val="24"/>
        </w:rPr>
        <w:t>i</w:t>
      </w:r>
      <w:r w:rsidR="00BB542E" w:rsidRPr="0093540C">
        <w:rPr>
          <w:rFonts w:ascii="Times New Roman" w:hAnsi="Times New Roman" w:cs="Times New Roman"/>
          <w:sz w:val="24"/>
          <w:szCs w:val="24"/>
        </w:rPr>
        <w:t xml:space="preserve">nhibitor </w:t>
      </w:r>
      <w:r w:rsidRPr="0093540C">
        <w:rPr>
          <w:rFonts w:ascii="Times New Roman" w:hAnsi="Times New Roman" w:cs="Times New Roman"/>
          <w:sz w:val="24"/>
          <w:szCs w:val="24"/>
        </w:rPr>
        <w:t>(SSRI) before the index date; however, monamine oxidase inhibitors and ‘other’ antidepressant drugs were taken too infrequently to warrant further consideration.  Risks of injury consultation were significantly el</w:t>
      </w:r>
      <w:r w:rsidR="00ED48AE">
        <w:rPr>
          <w:rFonts w:ascii="Times New Roman" w:hAnsi="Times New Roman" w:cs="Times New Roman"/>
          <w:sz w:val="24"/>
          <w:szCs w:val="24"/>
        </w:rPr>
        <w:t>evated, and to a similar extent</w:t>
      </w:r>
      <w:r w:rsidRPr="0093540C">
        <w:rPr>
          <w:rFonts w:ascii="Times New Roman" w:hAnsi="Times New Roman" w:cs="Times New Roman"/>
          <w:sz w:val="24"/>
          <w:szCs w:val="24"/>
        </w:rPr>
        <w:t xml:space="preserve">, for both of the main classes of antidepressant: OR for tricyclic antidepressants, </w:t>
      </w:r>
      <w:r w:rsidR="000B4865" w:rsidRPr="0093540C">
        <w:rPr>
          <w:rFonts w:ascii="Times New Roman" w:hAnsi="Times New Roman" w:cs="Times New Roman"/>
          <w:sz w:val="24"/>
          <w:szCs w:val="24"/>
        </w:rPr>
        <w:t>1.</w:t>
      </w:r>
      <w:r w:rsidR="000B4865">
        <w:rPr>
          <w:rFonts w:ascii="Times New Roman" w:hAnsi="Times New Roman" w:cs="Times New Roman"/>
          <w:sz w:val="24"/>
          <w:szCs w:val="24"/>
        </w:rPr>
        <w:t>39</w:t>
      </w:r>
      <w:r w:rsidR="000B4865" w:rsidRPr="0093540C">
        <w:rPr>
          <w:rFonts w:ascii="Times New Roman" w:hAnsi="Times New Roman" w:cs="Times New Roman"/>
          <w:sz w:val="24"/>
          <w:szCs w:val="24"/>
        </w:rPr>
        <w:t xml:space="preserve"> (95%CI </w:t>
      </w:r>
      <w:r w:rsidR="000B4865">
        <w:rPr>
          <w:rFonts w:ascii="Times New Roman" w:hAnsi="Times New Roman" w:cs="Times New Roman"/>
          <w:sz w:val="24"/>
          <w:szCs w:val="24"/>
        </w:rPr>
        <w:t>1.14-1.69</w:t>
      </w:r>
      <w:r w:rsidR="000B4865" w:rsidRPr="0093540C">
        <w:rPr>
          <w:rFonts w:ascii="Times New Roman" w:hAnsi="Times New Roman" w:cs="Times New Roman"/>
          <w:sz w:val="24"/>
          <w:szCs w:val="24"/>
        </w:rPr>
        <w:t>), P=0.001</w:t>
      </w:r>
      <w:r w:rsidRPr="0093540C">
        <w:rPr>
          <w:rFonts w:ascii="Times New Roman" w:hAnsi="Times New Roman" w:cs="Times New Roman"/>
          <w:sz w:val="24"/>
          <w:szCs w:val="24"/>
        </w:rPr>
        <w:t xml:space="preserve">; OR for SSRIs, </w:t>
      </w:r>
      <w:r w:rsidR="000B4865" w:rsidRPr="0093540C">
        <w:rPr>
          <w:rFonts w:ascii="Times New Roman" w:hAnsi="Times New Roman" w:cs="Times New Roman"/>
          <w:sz w:val="24"/>
          <w:szCs w:val="24"/>
        </w:rPr>
        <w:t>1.3</w:t>
      </w:r>
      <w:r w:rsidR="000B4865">
        <w:rPr>
          <w:rFonts w:ascii="Times New Roman" w:hAnsi="Times New Roman" w:cs="Times New Roman"/>
          <w:sz w:val="24"/>
          <w:szCs w:val="24"/>
        </w:rPr>
        <w:t>4</w:t>
      </w:r>
      <w:r w:rsidR="000B4865" w:rsidRPr="0093540C">
        <w:rPr>
          <w:rFonts w:ascii="Times New Roman" w:hAnsi="Times New Roman" w:cs="Times New Roman"/>
          <w:sz w:val="24"/>
          <w:szCs w:val="24"/>
        </w:rPr>
        <w:t xml:space="preserve"> (95%CI </w:t>
      </w:r>
      <w:r w:rsidR="000B4865">
        <w:rPr>
          <w:rFonts w:ascii="Times New Roman" w:hAnsi="Times New Roman" w:cs="Times New Roman"/>
          <w:sz w:val="24"/>
          <w:szCs w:val="24"/>
        </w:rPr>
        <w:t>1.09-1.65</w:t>
      </w:r>
      <w:r w:rsidR="000B4865" w:rsidRPr="0093540C">
        <w:rPr>
          <w:rFonts w:ascii="Times New Roman" w:hAnsi="Times New Roman" w:cs="Times New Roman"/>
          <w:sz w:val="24"/>
          <w:szCs w:val="24"/>
        </w:rPr>
        <w:t>), P=0.00</w:t>
      </w:r>
      <w:r w:rsidR="000B4865">
        <w:rPr>
          <w:rFonts w:ascii="Times New Roman" w:hAnsi="Times New Roman" w:cs="Times New Roman"/>
          <w:sz w:val="24"/>
          <w:szCs w:val="24"/>
        </w:rPr>
        <w:t>5</w:t>
      </w:r>
      <w:r w:rsidR="00C21FDD" w:rsidRPr="0093540C">
        <w:rPr>
          <w:rFonts w:ascii="Times New Roman" w:hAnsi="Times New Roman" w:cs="Times New Roman"/>
          <w:sz w:val="24"/>
          <w:szCs w:val="24"/>
        </w:rPr>
        <w:t xml:space="preserve">. </w:t>
      </w:r>
      <w:r w:rsidRPr="0093540C">
        <w:rPr>
          <w:rFonts w:ascii="Times New Roman" w:hAnsi="Times New Roman" w:cs="Times New Roman"/>
          <w:sz w:val="24"/>
          <w:szCs w:val="24"/>
        </w:rPr>
        <w:t xml:space="preserve">Attributable </w:t>
      </w:r>
      <w:r w:rsidR="00BB542E">
        <w:rPr>
          <w:rFonts w:ascii="Times New Roman" w:hAnsi="Times New Roman" w:cs="Times New Roman"/>
          <w:sz w:val="24"/>
          <w:szCs w:val="24"/>
        </w:rPr>
        <w:t>f</w:t>
      </w:r>
      <w:r w:rsidR="00BB542E" w:rsidRPr="0093540C">
        <w:rPr>
          <w:rFonts w:ascii="Times New Roman" w:hAnsi="Times New Roman" w:cs="Times New Roman"/>
          <w:sz w:val="24"/>
          <w:szCs w:val="24"/>
        </w:rPr>
        <w:t xml:space="preserve">ractions </w:t>
      </w:r>
      <w:r w:rsidRPr="0093540C">
        <w:rPr>
          <w:rFonts w:ascii="Times New Roman" w:hAnsi="Times New Roman" w:cs="Times New Roman"/>
          <w:sz w:val="24"/>
          <w:szCs w:val="24"/>
        </w:rPr>
        <w:t>in exposed subjects ranged from 2</w:t>
      </w:r>
      <w:r w:rsidR="000B4865">
        <w:rPr>
          <w:rFonts w:ascii="Times New Roman" w:hAnsi="Times New Roman" w:cs="Times New Roman"/>
          <w:sz w:val="24"/>
          <w:szCs w:val="24"/>
        </w:rPr>
        <w:t>7</w:t>
      </w:r>
      <w:r w:rsidRPr="0093540C">
        <w:rPr>
          <w:rFonts w:ascii="Times New Roman" w:hAnsi="Times New Roman" w:cs="Times New Roman"/>
          <w:sz w:val="24"/>
          <w:szCs w:val="24"/>
        </w:rPr>
        <w:t>% (antidepressants) to 4</w:t>
      </w:r>
      <w:r w:rsidR="000B4865">
        <w:rPr>
          <w:rFonts w:ascii="Times New Roman" w:hAnsi="Times New Roman" w:cs="Times New Roman"/>
          <w:sz w:val="24"/>
          <w:szCs w:val="24"/>
        </w:rPr>
        <w:t>2.5</w:t>
      </w:r>
      <w:r w:rsidRPr="0093540C">
        <w:rPr>
          <w:rFonts w:ascii="Times New Roman" w:hAnsi="Times New Roman" w:cs="Times New Roman"/>
          <w:sz w:val="24"/>
          <w:szCs w:val="24"/>
        </w:rPr>
        <w:t xml:space="preserve">% (anxiolytics). The corresponding </w:t>
      </w:r>
      <w:r w:rsidR="00B23600">
        <w:rPr>
          <w:rFonts w:ascii="Times New Roman" w:hAnsi="Times New Roman" w:cs="Times New Roman"/>
          <w:sz w:val="24"/>
          <w:szCs w:val="24"/>
        </w:rPr>
        <w:t>p</w:t>
      </w:r>
      <w:r w:rsidR="00B23600" w:rsidRPr="0093540C">
        <w:rPr>
          <w:rFonts w:ascii="Times New Roman" w:hAnsi="Times New Roman" w:cs="Times New Roman"/>
          <w:sz w:val="24"/>
          <w:szCs w:val="24"/>
        </w:rPr>
        <w:t xml:space="preserve">opulation </w:t>
      </w:r>
      <w:r w:rsidR="00B23600">
        <w:rPr>
          <w:rFonts w:ascii="Times New Roman" w:hAnsi="Times New Roman" w:cs="Times New Roman"/>
          <w:sz w:val="24"/>
          <w:szCs w:val="24"/>
        </w:rPr>
        <w:t>a</w:t>
      </w:r>
      <w:r w:rsidR="00B23600" w:rsidRPr="0093540C">
        <w:rPr>
          <w:rFonts w:ascii="Times New Roman" w:hAnsi="Times New Roman" w:cs="Times New Roman"/>
          <w:sz w:val="24"/>
          <w:szCs w:val="24"/>
        </w:rPr>
        <w:t xml:space="preserve">ttributable </w:t>
      </w:r>
      <w:r w:rsidR="00B23600">
        <w:rPr>
          <w:rFonts w:ascii="Times New Roman" w:hAnsi="Times New Roman" w:cs="Times New Roman"/>
          <w:sz w:val="24"/>
          <w:szCs w:val="24"/>
        </w:rPr>
        <w:t>f</w:t>
      </w:r>
      <w:r w:rsidR="00B23600" w:rsidRPr="0093540C">
        <w:rPr>
          <w:rFonts w:ascii="Times New Roman" w:hAnsi="Times New Roman" w:cs="Times New Roman"/>
          <w:sz w:val="24"/>
          <w:szCs w:val="24"/>
        </w:rPr>
        <w:t xml:space="preserve">raction </w:t>
      </w:r>
      <w:r w:rsidRPr="0093540C">
        <w:rPr>
          <w:rFonts w:ascii="Times New Roman" w:hAnsi="Times New Roman" w:cs="Times New Roman"/>
          <w:sz w:val="24"/>
          <w:szCs w:val="24"/>
        </w:rPr>
        <w:t xml:space="preserve">for taking a psychotropic drug ever before the index event was </w:t>
      </w:r>
      <w:r w:rsidR="000B4865">
        <w:rPr>
          <w:rFonts w:ascii="Times New Roman" w:hAnsi="Times New Roman" w:cs="Times New Roman"/>
          <w:sz w:val="24"/>
          <w:szCs w:val="24"/>
        </w:rPr>
        <w:t>9.9</w:t>
      </w:r>
      <w:r w:rsidRPr="0093540C">
        <w:rPr>
          <w:rFonts w:ascii="Times New Roman" w:hAnsi="Times New Roman" w:cs="Times New Roman"/>
          <w:sz w:val="24"/>
          <w:szCs w:val="24"/>
        </w:rPr>
        <w:t xml:space="preserve">%. </w:t>
      </w:r>
    </w:p>
    <w:p w:rsidR="008C089E" w:rsidRPr="0093540C" w:rsidRDefault="008C089E" w:rsidP="008C089E">
      <w:pPr>
        <w:rPr>
          <w:rFonts w:ascii="Times New Roman" w:hAnsi="Times New Roman" w:cs="Times New Roman"/>
          <w:sz w:val="24"/>
          <w:szCs w:val="24"/>
        </w:rPr>
      </w:pPr>
    </w:p>
    <w:p w:rsidR="008C089E" w:rsidRDefault="008C089E" w:rsidP="008C089E">
      <w:pPr>
        <w:rPr>
          <w:rFonts w:ascii="Times New Roman" w:hAnsi="Times New Roman" w:cs="Times New Roman"/>
          <w:sz w:val="24"/>
          <w:szCs w:val="24"/>
        </w:rPr>
      </w:pPr>
      <w:r w:rsidRPr="0093540C">
        <w:rPr>
          <w:rFonts w:ascii="Times New Roman" w:hAnsi="Times New Roman" w:cs="Times New Roman"/>
          <w:sz w:val="24"/>
          <w:szCs w:val="24"/>
        </w:rPr>
        <w:lastRenderedPageBreak/>
        <w:t xml:space="preserve">As patients with mental health problems are </w:t>
      </w:r>
      <w:r w:rsidR="0093540C">
        <w:rPr>
          <w:rFonts w:ascii="Times New Roman" w:hAnsi="Times New Roman" w:cs="Times New Roman"/>
          <w:sz w:val="24"/>
          <w:szCs w:val="24"/>
        </w:rPr>
        <w:t>common</w:t>
      </w:r>
      <w:r w:rsidRPr="0093540C">
        <w:rPr>
          <w:rFonts w:ascii="Times New Roman" w:hAnsi="Times New Roman" w:cs="Times New Roman"/>
          <w:sz w:val="24"/>
          <w:szCs w:val="24"/>
        </w:rPr>
        <w:t xml:space="preserve">ly treated with psychotropic drugs, and psychotropic drugs are mostly prescribed for mental </w:t>
      </w:r>
      <w:r w:rsidR="00C21FDD" w:rsidRPr="0093540C">
        <w:rPr>
          <w:rFonts w:ascii="Times New Roman" w:hAnsi="Times New Roman" w:cs="Times New Roman"/>
          <w:sz w:val="24"/>
          <w:szCs w:val="24"/>
        </w:rPr>
        <w:t>illness</w:t>
      </w:r>
      <w:r w:rsidRPr="0093540C">
        <w:rPr>
          <w:rFonts w:ascii="Times New Roman" w:hAnsi="Times New Roman" w:cs="Times New Roman"/>
          <w:sz w:val="24"/>
          <w:szCs w:val="24"/>
        </w:rPr>
        <w:t xml:space="preserve">, the relative contribution of each to risk of injury </w:t>
      </w:r>
      <w:r w:rsidR="006E73DE">
        <w:rPr>
          <w:rFonts w:ascii="Times New Roman" w:hAnsi="Times New Roman" w:cs="Times New Roman"/>
          <w:sz w:val="24"/>
          <w:szCs w:val="24"/>
        </w:rPr>
        <w:t>bears clarification</w:t>
      </w:r>
      <w:r w:rsidRPr="0093540C">
        <w:rPr>
          <w:rFonts w:ascii="Times New Roman" w:hAnsi="Times New Roman" w:cs="Times New Roman"/>
          <w:sz w:val="24"/>
          <w:szCs w:val="24"/>
        </w:rPr>
        <w:t xml:space="preserve">. </w:t>
      </w:r>
      <w:r w:rsidR="00E01608" w:rsidRPr="00E47DCD">
        <w:rPr>
          <w:rFonts w:ascii="Times New Roman" w:hAnsi="Times New Roman" w:cs="Times New Roman"/>
          <w:sz w:val="24"/>
          <w:szCs w:val="24"/>
        </w:rPr>
        <w:t>W</w:t>
      </w:r>
      <w:r w:rsidRPr="00E47DCD">
        <w:rPr>
          <w:rFonts w:ascii="Times New Roman" w:hAnsi="Times New Roman" w:cs="Times New Roman"/>
          <w:sz w:val="24"/>
          <w:szCs w:val="24"/>
        </w:rPr>
        <w:t>e</w:t>
      </w:r>
      <w:r w:rsidR="00E01608" w:rsidRPr="00E47DCD">
        <w:rPr>
          <w:rFonts w:ascii="Times New Roman" w:hAnsi="Times New Roman" w:cs="Times New Roman"/>
          <w:sz w:val="24"/>
          <w:szCs w:val="24"/>
        </w:rPr>
        <w:t xml:space="preserve"> </w:t>
      </w:r>
      <w:r w:rsidR="00A50EFD" w:rsidRPr="00E47DCD">
        <w:rPr>
          <w:rFonts w:ascii="Times New Roman" w:hAnsi="Times New Roman" w:cs="Times New Roman"/>
          <w:sz w:val="24"/>
          <w:szCs w:val="24"/>
        </w:rPr>
        <w:t>therefore</w:t>
      </w:r>
      <w:r w:rsidRPr="00E47DCD">
        <w:rPr>
          <w:rFonts w:ascii="Times New Roman" w:hAnsi="Times New Roman" w:cs="Times New Roman"/>
          <w:sz w:val="24"/>
          <w:szCs w:val="24"/>
        </w:rPr>
        <w:t xml:space="preserve"> </w:t>
      </w:r>
      <w:r w:rsidR="00B23600" w:rsidRPr="00E47DCD">
        <w:rPr>
          <w:rFonts w:ascii="Times New Roman" w:hAnsi="Times New Roman" w:cs="Times New Roman"/>
          <w:sz w:val="24"/>
          <w:szCs w:val="24"/>
        </w:rPr>
        <w:t xml:space="preserve">compared </w:t>
      </w:r>
      <w:r w:rsidRPr="00E47DCD">
        <w:rPr>
          <w:rFonts w:ascii="Times New Roman" w:hAnsi="Times New Roman" w:cs="Times New Roman"/>
          <w:sz w:val="24"/>
          <w:szCs w:val="24"/>
        </w:rPr>
        <w:t xml:space="preserve">risks </w:t>
      </w:r>
      <w:r w:rsidR="00B23600" w:rsidRPr="00E47DCD">
        <w:rPr>
          <w:rFonts w:ascii="Times New Roman" w:hAnsi="Times New Roman" w:cs="Times New Roman"/>
          <w:sz w:val="24"/>
          <w:szCs w:val="24"/>
        </w:rPr>
        <w:t>in</w:t>
      </w:r>
      <w:r w:rsidR="00E73246" w:rsidRPr="00E47DCD">
        <w:rPr>
          <w:rFonts w:ascii="Times New Roman" w:hAnsi="Times New Roman" w:cs="Times New Roman"/>
          <w:sz w:val="24"/>
          <w:szCs w:val="24"/>
        </w:rPr>
        <w:t xml:space="preserve"> subjects with a mental health diagnosis but no prior psychotropic</w:t>
      </w:r>
      <w:r w:rsidR="003442EF" w:rsidRPr="00E47DCD">
        <w:rPr>
          <w:rFonts w:ascii="Times New Roman" w:hAnsi="Times New Roman" w:cs="Times New Roman"/>
          <w:sz w:val="24"/>
          <w:szCs w:val="24"/>
        </w:rPr>
        <w:t xml:space="preserve"> drug</w:t>
      </w:r>
      <w:r w:rsidR="00E73246" w:rsidRPr="00E47DCD">
        <w:rPr>
          <w:rFonts w:ascii="Times New Roman" w:hAnsi="Times New Roman" w:cs="Times New Roman"/>
          <w:sz w:val="24"/>
          <w:szCs w:val="24"/>
        </w:rPr>
        <w:t xml:space="preserve"> treatment, </w:t>
      </w:r>
      <w:r w:rsidR="00B23600" w:rsidRPr="00E47DCD">
        <w:rPr>
          <w:rFonts w:ascii="Times New Roman" w:hAnsi="Times New Roman" w:cs="Times New Roman"/>
          <w:sz w:val="24"/>
          <w:szCs w:val="24"/>
        </w:rPr>
        <w:t xml:space="preserve">and those </w:t>
      </w:r>
      <w:r w:rsidR="00E73246" w:rsidRPr="00E47DCD">
        <w:rPr>
          <w:rFonts w:ascii="Times New Roman" w:hAnsi="Times New Roman" w:cs="Times New Roman"/>
          <w:sz w:val="24"/>
          <w:szCs w:val="24"/>
        </w:rPr>
        <w:t xml:space="preserve">with a mental health diagnosis who </w:t>
      </w:r>
      <w:r w:rsidR="00B23600" w:rsidRPr="00E47DCD">
        <w:rPr>
          <w:rFonts w:ascii="Times New Roman" w:hAnsi="Times New Roman" w:cs="Times New Roman"/>
          <w:sz w:val="24"/>
          <w:szCs w:val="24"/>
        </w:rPr>
        <w:t xml:space="preserve">did </w:t>
      </w:r>
      <w:r w:rsidR="00E73246" w:rsidRPr="00E47DCD">
        <w:rPr>
          <w:rFonts w:ascii="Times New Roman" w:hAnsi="Times New Roman" w:cs="Times New Roman"/>
          <w:sz w:val="24"/>
          <w:szCs w:val="24"/>
        </w:rPr>
        <w:t>receive</w:t>
      </w:r>
      <w:r w:rsidR="003442EF" w:rsidRPr="00E47DCD">
        <w:rPr>
          <w:rFonts w:ascii="Times New Roman" w:hAnsi="Times New Roman" w:cs="Times New Roman"/>
          <w:sz w:val="24"/>
          <w:szCs w:val="24"/>
        </w:rPr>
        <w:t xml:space="preserve"> a psychotropic drug, </w:t>
      </w:r>
      <w:r w:rsidR="00B23600" w:rsidRPr="00E47DCD">
        <w:rPr>
          <w:rFonts w:ascii="Times New Roman" w:hAnsi="Times New Roman" w:cs="Times New Roman"/>
          <w:sz w:val="24"/>
          <w:szCs w:val="24"/>
        </w:rPr>
        <w:t>taking as a reference</w:t>
      </w:r>
      <w:r w:rsidR="003442EF" w:rsidRPr="00E47DCD">
        <w:rPr>
          <w:rFonts w:ascii="Times New Roman" w:hAnsi="Times New Roman" w:cs="Times New Roman"/>
          <w:sz w:val="24"/>
          <w:szCs w:val="24"/>
        </w:rPr>
        <w:t xml:space="preserve"> subjects</w:t>
      </w:r>
      <w:r w:rsidR="00E73246" w:rsidRPr="00E47DCD">
        <w:rPr>
          <w:rFonts w:ascii="Times New Roman" w:hAnsi="Times New Roman" w:cs="Times New Roman"/>
          <w:sz w:val="24"/>
          <w:szCs w:val="24"/>
        </w:rPr>
        <w:t xml:space="preserve"> </w:t>
      </w:r>
      <w:r w:rsidR="003442EF" w:rsidRPr="00E47DCD">
        <w:rPr>
          <w:rFonts w:ascii="Times New Roman" w:hAnsi="Times New Roman" w:cs="Times New Roman"/>
          <w:sz w:val="24"/>
          <w:szCs w:val="24"/>
        </w:rPr>
        <w:t>with</w:t>
      </w:r>
      <w:r w:rsidR="00E73246" w:rsidRPr="00E47DCD">
        <w:rPr>
          <w:rFonts w:ascii="Times New Roman" w:hAnsi="Times New Roman" w:cs="Times New Roman"/>
          <w:sz w:val="24"/>
          <w:szCs w:val="24"/>
        </w:rPr>
        <w:t xml:space="preserve"> neither </w:t>
      </w:r>
      <w:r w:rsidR="00B23600" w:rsidRPr="00E47DCD">
        <w:rPr>
          <w:rFonts w:ascii="Times New Roman" w:hAnsi="Times New Roman" w:cs="Times New Roman"/>
          <w:sz w:val="24"/>
          <w:szCs w:val="24"/>
        </w:rPr>
        <w:t>consultation for mental illness nor prescription of psychotropic medication</w:t>
      </w:r>
      <w:r w:rsidR="00E73246" w:rsidRPr="00E47DCD">
        <w:rPr>
          <w:rFonts w:ascii="Times New Roman" w:hAnsi="Times New Roman" w:cs="Times New Roman"/>
          <w:sz w:val="24"/>
          <w:szCs w:val="24"/>
        </w:rPr>
        <w:t xml:space="preserve"> (Table 4).  </w:t>
      </w:r>
      <w:r w:rsidRPr="00E47DCD">
        <w:rPr>
          <w:rFonts w:ascii="Times New Roman" w:hAnsi="Times New Roman" w:cs="Times New Roman"/>
          <w:sz w:val="24"/>
          <w:szCs w:val="24"/>
        </w:rPr>
        <w:t>(</w:t>
      </w:r>
      <w:r w:rsidR="00E73246" w:rsidRPr="00E47DCD">
        <w:rPr>
          <w:rFonts w:ascii="Times New Roman" w:hAnsi="Times New Roman" w:cs="Times New Roman"/>
          <w:sz w:val="24"/>
          <w:szCs w:val="24"/>
        </w:rPr>
        <w:t>The</w:t>
      </w:r>
      <w:r w:rsidRPr="00E47DCD">
        <w:rPr>
          <w:rFonts w:ascii="Times New Roman" w:hAnsi="Times New Roman" w:cs="Times New Roman"/>
          <w:sz w:val="24"/>
          <w:szCs w:val="24"/>
        </w:rPr>
        <w:t xml:space="preserve"> </w:t>
      </w:r>
      <w:r w:rsidR="00E73246" w:rsidRPr="00E47DCD">
        <w:rPr>
          <w:rFonts w:ascii="Times New Roman" w:hAnsi="Times New Roman" w:cs="Times New Roman"/>
          <w:sz w:val="24"/>
          <w:szCs w:val="24"/>
        </w:rPr>
        <w:t>permutation</w:t>
      </w:r>
      <w:r w:rsidR="003442EF" w:rsidRPr="00E47DCD">
        <w:rPr>
          <w:rFonts w:ascii="Times New Roman" w:hAnsi="Times New Roman" w:cs="Times New Roman"/>
          <w:sz w:val="24"/>
          <w:szCs w:val="24"/>
        </w:rPr>
        <w:t>, “</w:t>
      </w:r>
      <w:r w:rsidR="00E73246" w:rsidRPr="00E47DCD">
        <w:rPr>
          <w:rFonts w:ascii="Times New Roman" w:hAnsi="Times New Roman" w:cs="Times New Roman"/>
          <w:sz w:val="24"/>
          <w:szCs w:val="24"/>
        </w:rPr>
        <w:t>drug treatment without mental health diagnosis</w:t>
      </w:r>
      <w:r w:rsidR="003442EF" w:rsidRPr="00E47DCD">
        <w:rPr>
          <w:rFonts w:ascii="Times New Roman" w:hAnsi="Times New Roman" w:cs="Times New Roman"/>
          <w:sz w:val="24"/>
          <w:szCs w:val="24"/>
        </w:rPr>
        <w:t>”</w:t>
      </w:r>
      <w:r w:rsidR="00E73246" w:rsidRPr="00E47DCD">
        <w:rPr>
          <w:rFonts w:ascii="Times New Roman" w:hAnsi="Times New Roman" w:cs="Times New Roman"/>
          <w:sz w:val="24"/>
          <w:szCs w:val="24"/>
        </w:rPr>
        <w:t xml:space="preserve"> was not considered informative, as the 1</w:t>
      </w:r>
      <w:r w:rsidR="003442EF" w:rsidRPr="00E47DCD">
        <w:rPr>
          <w:rFonts w:ascii="Times New Roman" w:hAnsi="Times New Roman" w:cs="Times New Roman"/>
          <w:sz w:val="24"/>
          <w:szCs w:val="24"/>
        </w:rPr>
        <w:t>,</w:t>
      </w:r>
      <w:r w:rsidR="00E73246" w:rsidRPr="00E47DCD">
        <w:rPr>
          <w:rFonts w:ascii="Times New Roman" w:hAnsi="Times New Roman" w:cs="Times New Roman"/>
          <w:sz w:val="24"/>
          <w:szCs w:val="24"/>
        </w:rPr>
        <w:t xml:space="preserve">328 codes used to identify mental health problems will not have perfectly captured every </w:t>
      </w:r>
      <w:r w:rsidR="003442EF" w:rsidRPr="00E47DCD">
        <w:rPr>
          <w:rFonts w:ascii="Times New Roman" w:hAnsi="Times New Roman" w:cs="Times New Roman"/>
          <w:sz w:val="24"/>
          <w:szCs w:val="24"/>
        </w:rPr>
        <w:t xml:space="preserve">mental health </w:t>
      </w:r>
      <w:r w:rsidR="00E73246" w:rsidRPr="00E47DCD">
        <w:rPr>
          <w:rFonts w:ascii="Times New Roman" w:hAnsi="Times New Roman" w:cs="Times New Roman"/>
          <w:sz w:val="24"/>
          <w:szCs w:val="24"/>
        </w:rPr>
        <w:t>case</w:t>
      </w:r>
      <w:r w:rsidR="003442EF" w:rsidRPr="00E47DCD">
        <w:rPr>
          <w:rFonts w:ascii="Times New Roman" w:hAnsi="Times New Roman" w:cs="Times New Roman"/>
          <w:sz w:val="24"/>
          <w:szCs w:val="24"/>
        </w:rPr>
        <w:t>. F</w:t>
      </w:r>
      <w:r w:rsidR="00E73246" w:rsidRPr="00E47DCD">
        <w:rPr>
          <w:rFonts w:ascii="Times New Roman" w:hAnsi="Times New Roman" w:cs="Times New Roman"/>
          <w:sz w:val="24"/>
          <w:szCs w:val="24"/>
        </w:rPr>
        <w:t>or example, “tiredness”, which was not included, would be indeterminate, having physical as well as psychological causes</w:t>
      </w:r>
      <w:r w:rsidR="003442EF" w:rsidRPr="00E47DCD">
        <w:rPr>
          <w:rFonts w:ascii="Times New Roman" w:hAnsi="Times New Roman" w:cs="Times New Roman"/>
          <w:sz w:val="24"/>
          <w:szCs w:val="24"/>
        </w:rPr>
        <w:t>.</w:t>
      </w:r>
      <w:r w:rsidR="006E73DE" w:rsidRPr="00E47DCD">
        <w:rPr>
          <w:rFonts w:ascii="Times New Roman" w:hAnsi="Times New Roman" w:cs="Times New Roman"/>
          <w:sz w:val="24"/>
          <w:szCs w:val="24"/>
        </w:rPr>
        <w:t>)</w:t>
      </w:r>
      <w:r w:rsidRPr="00E47DCD">
        <w:rPr>
          <w:rFonts w:ascii="Times New Roman" w:hAnsi="Times New Roman" w:cs="Times New Roman"/>
          <w:sz w:val="24"/>
          <w:szCs w:val="24"/>
        </w:rPr>
        <w:t xml:space="preserve"> Risks were significantly elevated, </w:t>
      </w:r>
      <w:r w:rsidR="003442EF" w:rsidRPr="00E47DCD">
        <w:rPr>
          <w:rFonts w:ascii="Times New Roman" w:hAnsi="Times New Roman" w:cs="Times New Roman"/>
          <w:sz w:val="24"/>
          <w:szCs w:val="24"/>
        </w:rPr>
        <w:t>even</w:t>
      </w:r>
      <w:r w:rsidRPr="00E47DCD">
        <w:rPr>
          <w:rFonts w:ascii="Times New Roman" w:hAnsi="Times New Roman" w:cs="Times New Roman"/>
          <w:sz w:val="24"/>
          <w:szCs w:val="24"/>
        </w:rPr>
        <w:t xml:space="preserve"> in subjects who had a mental health consultation </w:t>
      </w:r>
      <w:r w:rsidR="003442EF" w:rsidRPr="00E47DCD">
        <w:rPr>
          <w:rFonts w:ascii="Times New Roman" w:hAnsi="Times New Roman" w:cs="Times New Roman"/>
          <w:sz w:val="24"/>
          <w:szCs w:val="24"/>
        </w:rPr>
        <w:t>but no</w:t>
      </w:r>
      <w:r w:rsidRPr="00E47DCD">
        <w:rPr>
          <w:rFonts w:ascii="Times New Roman" w:hAnsi="Times New Roman" w:cs="Times New Roman"/>
          <w:sz w:val="24"/>
          <w:szCs w:val="24"/>
        </w:rPr>
        <w:t xml:space="preserve"> psychotropic drug prescription</w:t>
      </w:r>
      <w:r w:rsidR="003442EF" w:rsidRPr="00E47DCD">
        <w:rPr>
          <w:rFonts w:ascii="Times New Roman" w:hAnsi="Times New Roman" w:cs="Times New Roman"/>
          <w:sz w:val="24"/>
          <w:szCs w:val="24"/>
        </w:rPr>
        <w:t xml:space="preserve"> prior to the injury consultation</w:t>
      </w:r>
      <w:r w:rsidRPr="00E47DCD">
        <w:rPr>
          <w:rFonts w:ascii="Times New Roman" w:hAnsi="Times New Roman" w:cs="Times New Roman"/>
          <w:sz w:val="24"/>
          <w:szCs w:val="24"/>
        </w:rPr>
        <w:t xml:space="preserve"> (OR 1.4</w:t>
      </w:r>
      <w:r w:rsidR="000B4865" w:rsidRPr="00E47DCD">
        <w:rPr>
          <w:rFonts w:ascii="Times New Roman" w:hAnsi="Times New Roman" w:cs="Times New Roman"/>
          <w:sz w:val="24"/>
          <w:szCs w:val="24"/>
        </w:rPr>
        <w:t>1</w:t>
      </w:r>
      <w:r w:rsidRPr="00E47DCD">
        <w:rPr>
          <w:rFonts w:ascii="Times New Roman" w:hAnsi="Times New Roman" w:cs="Times New Roman"/>
          <w:sz w:val="24"/>
          <w:szCs w:val="24"/>
        </w:rPr>
        <w:t xml:space="preserve">, </w:t>
      </w:r>
      <w:r w:rsidR="000B4865" w:rsidRPr="00E47DCD">
        <w:rPr>
          <w:rFonts w:ascii="Times New Roman" w:hAnsi="Times New Roman" w:cs="Times New Roman"/>
          <w:sz w:val="24"/>
          <w:szCs w:val="24"/>
        </w:rPr>
        <w:t>P=0.001)</w:t>
      </w:r>
      <w:r w:rsidRPr="00E47DCD">
        <w:rPr>
          <w:rFonts w:ascii="Times New Roman" w:hAnsi="Times New Roman" w:cs="Times New Roman"/>
          <w:sz w:val="24"/>
          <w:szCs w:val="24"/>
        </w:rPr>
        <w:t xml:space="preserve">. </w:t>
      </w:r>
    </w:p>
    <w:p w:rsidR="0073221B" w:rsidRDefault="0073221B" w:rsidP="008C089E">
      <w:pPr>
        <w:rPr>
          <w:rFonts w:ascii="Times New Roman" w:hAnsi="Times New Roman" w:cs="Times New Roman"/>
          <w:sz w:val="24"/>
          <w:szCs w:val="24"/>
        </w:rPr>
      </w:pPr>
    </w:p>
    <w:p w:rsidR="000A3CFF" w:rsidRDefault="000A3CFF" w:rsidP="008C089E">
      <w:pPr>
        <w:rPr>
          <w:rFonts w:ascii="Times New Roman" w:hAnsi="Times New Roman" w:cs="Times New Roman"/>
          <w:sz w:val="24"/>
          <w:szCs w:val="24"/>
        </w:rPr>
      </w:pPr>
      <w:r>
        <w:rPr>
          <w:rFonts w:ascii="Times New Roman" w:hAnsi="Times New Roman" w:cs="Times New Roman"/>
          <w:sz w:val="24"/>
          <w:szCs w:val="24"/>
        </w:rPr>
        <w:t xml:space="preserve">Risks varied little according to the </w:t>
      </w:r>
      <w:r w:rsidR="00E822CD">
        <w:rPr>
          <w:rFonts w:ascii="Times New Roman" w:hAnsi="Times New Roman" w:cs="Times New Roman"/>
          <w:sz w:val="24"/>
          <w:szCs w:val="24"/>
        </w:rPr>
        <w:t xml:space="preserve">type or </w:t>
      </w:r>
      <w:r w:rsidR="008F0E14">
        <w:rPr>
          <w:rFonts w:ascii="Times New Roman" w:hAnsi="Times New Roman" w:cs="Times New Roman"/>
          <w:sz w:val="24"/>
          <w:szCs w:val="24"/>
        </w:rPr>
        <w:t xml:space="preserve">external </w:t>
      </w:r>
      <w:r w:rsidR="00E822CD">
        <w:rPr>
          <w:rFonts w:ascii="Times New Roman" w:hAnsi="Times New Roman" w:cs="Times New Roman"/>
          <w:sz w:val="24"/>
          <w:szCs w:val="24"/>
        </w:rPr>
        <w:t>cause of injury (online supplementary Table S</w:t>
      </w:r>
      <w:r w:rsidR="00F118F7">
        <w:rPr>
          <w:rFonts w:ascii="Times New Roman" w:hAnsi="Times New Roman" w:cs="Times New Roman"/>
          <w:sz w:val="24"/>
          <w:szCs w:val="24"/>
        </w:rPr>
        <w:t>3</w:t>
      </w:r>
      <w:r w:rsidR="00E822CD">
        <w:rPr>
          <w:rFonts w:ascii="Times New Roman" w:hAnsi="Times New Roman" w:cs="Times New Roman"/>
          <w:sz w:val="24"/>
          <w:szCs w:val="24"/>
        </w:rPr>
        <w:t>)</w:t>
      </w:r>
      <w:r w:rsidR="00593A04">
        <w:rPr>
          <w:rFonts w:ascii="Times New Roman" w:hAnsi="Times New Roman" w:cs="Times New Roman"/>
          <w:sz w:val="24"/>
          <w:szCs w:val="24"/>
        </w:rPr>
        <w:t xml:space="preserve">. They were significantly elevated, also, among </w:t>
      </w:r>
      <w:r w:rsidR="00120A05">
        <w:rPr>
          <w:rFonts w:ascii="Times New Roman" w:hAnsi="Times New Roman" w:cs="Times New Roman"/>
          <w:sz w:val="24"/>
          <w:szCs w:val="24"/>
        </w:rPr>
        <w:t>severe</w:t>
      </w:r>
      <w:r w:rsidR="00593A04">
        <w:rPr>
          <w:rFonts w:ascii="Times New Roman" w:hAnsi="Times New Roman" w:cs="Times New Roman"/>
          <w:sz w:val="24"/>
          <w:szCs w:val="24"/>
        </w:rPr>
        <w:t xml:space="preserve"> cases (those involving fracture or amputation or hospital attendance) when assessed separately: OR 1.45, 95% 1.00-2.10 for previous psychiatric consultation and 1.55, 95%CI 1.07-2.26 for previous prescription of a psychotropic drug.</w:t>
      </w:r>
      <w:r w:rsidR="00120A05">
        <w:rPr>
          <w:rFonts w:ascii="Times New Roman" w:hAnsi="Times New Roman" w:cs="Times New Roman"/>
          <w:sz w:val="24"/>
          <w:szCs w:val="24"/>
        </w:rPr>
        <w:t xml:space="preserve"> Risks overall differed only marginally when analyses </w:t>
      </w:r>
      <w:r w:rsidR="008F0E14">
        <w:rPr>
          <w:rFonts w:ascii="Times New Roman" w:hAnsi="Times New Roman" w:cs="Times New Roman"/>
          <w:sz w:val="24"/>
          <w:szCs w:val="24"/>
        </w:rPr>
        <w:t>carried out separately for men and women</w:t>
      </w:r>
      <w:r w:rsidR="00120A05">
        <w:rPr>
          <w:rFonts w:ascii="Times New Roman" w:hAnsi="Times New Roman" w:cs="Times New Roman"/>
          <w:sz w:val="24"/>
          <w:szCs w:val="24"/>
        </w:rPr>
        <w:t xml:space="preserve"> (data available on request). </w:t>
      </w:r>
    </w:p>
    <w:p w:rsidR="00F65B90" w:rsidRPr="0093540C" w:rsidRDefault="00F65B90" w:rsidP="00F65B90">
      <w:pPr>
        <w:widowControl w:val="0"/>
        <w:rPr>
          <w:rFonts w:ascii="Times New Roman" w:hAnsi="Times New Roman" w:cs="Times New Roman"/>
          <w:sz w:val="24"/>
          <w:szCs w:val="24"/>
        </w:rPr>
      </w:pPr>
    </w:p>
    <w:p w:rsidR="00C21FDD" w:rsidRPr="0093540C" w:rsidRDefault="00C21FDD" w:rsidP="00C21FDD">
      <w:pPr>
        <w:widowControl w:val="0"/>
        <w:rPr>
          <w:rFonts w:ascii="Times New Roman" w:hAnsi="Times New Roman" w:cs="Times New Roman"/>
          <w:b/>
          <w:sz w:val="24"/>
          <w:szCs w:val="24"/>
        </w:rPr>
      </w:pPr>
      <w:r w:rsidRPr="0093540C">
        <w:rPr>
          <w:rFonts w:ascii="Times New Roman" w:hAnsi="Times New Roman" w:cs="Times New Roman"/>
          <w:b/>
          <w:sz w:val="24"/>
          <w:szCs w:val="24"/>
        </w:rPr>
        <w:t>Discussion</w:t>
      </w:r>
    </w:p>
    <w:p w:rsidR="00C21FDD" w:rsidRDefault="00C21FDD" w:rsidP="00C21FDD">
      <w:pPr>
        <w:widowControl w:val="0"/>
        <w:rPr>
          <w:rFonts w:ascii="Times New Roman" w:hAnsi="Times New Roman" w:cs="Times New Roman"/>
          <w:sz w:val="24"/>
          <w:szCs w:val="24"/>
        </w:rPr>
      </w:pPr>
      <w:r w:rsidRPr="0093540C">
        <w:rPr>
          <w:rFonts w:ascii="Times New Roman" w:hAnsi="Times New Roman" w:cs="Times New Roman"/>
          <w:sz w:val="24"/>
          <w:szCs w:val="24"/>
        </w:rPr>
        <w:t xml:space="preserve">These data support </w:t>
      </w:r>
      <w:r w:rsidR="00BA7495">
        <w:rPr>
          <w:rFonts w:ascii="Times New Roman" w:hAnsi="Times New Roman" w:cs="Times New Roman"/>
          <w:sz w:val="24"/>
          <w:szCs w:val="24"/>
        </w:rPr>
        <w:t xml:space="preserve">the </w:t>
      </w:r>
      <w:r w:rsidR="006E73DE">
        <w:rPr>
          <w:rFonts w:ascii="Times New Roman" w:hAnsi="Times New Roman" w:cs="Times New Roman"/>
          <w:sz w:val="24"/>
          <w:szCs w:val="24"/>
        </w:rPr>
        <w:t>conclusion of</w:t>
      </w:r>
      <w:r w:rsidR="006E73DE" w:rsidRPr="0093540C">
        <w:rPr>
          <w:rFonts w:ascii="Times New Roman" w:hAnsi="Times New Roman" w:cs="Times New Roman"/>
          <w:sz w:val="24"/>
          <w:szCs w:val="24"/>
        </w:rPr>
        <w:t xml:space="preserve"> </w:t>
      </w:r>
      <w:r w:rsidRPr="0093540C">
        <w:rPr>
          <w:rFonts w:ascii="Times New Roman" w:hAnsi="Times New Roman" w:cs="Times New Roman"/>
          <w:sz w:val="24"/>
          <w:szCs w:val="24"/>
        </w:rPr>
        <w:t>our previous review</w:t>
      </w:r>
      <w:r w:rsidR="000456B8">
        <w:rPr>
          <w:rFonts w:ascii="Times New Roman" w:hAnsi="Times New Roman" w:cs="Times New Roman"/>
          <w:sz w:val="24"/>
          <w:szCs w:val="24"/>
        </w:rPr>
        <w:t xml:space="preserve"> [1]</w:t>
      </w:r>
      <w:r w:rsidRPr="0093540C">
        <w:rPr>
          <w:rFonts w:ascii="Times New Roman" w:hAnsi="Times New Roman" w:cs="Times New Roman"/>
          <w:sz w:val="24"/>
          <w:szCs w:val="24"/>
        </w:rPr>
        <w:t xml:space="preserve">, that mental </w:t>
      </w:r>
      <w:r w:rsidR="0019469D">
        <w:rPr>
          <w:rFonts w:ascii="Times New Roman" w:hAnsi="Times New Roman" w:cs="Times New Roman"/>
          <w:sz w:val="24"/>
          <w:szCs w:val="24"/>
        </w:rPr>
        <w:t>illnesses</w:t>
      </w:r>
      <w:r w:rsidRPr="0093540C">
        <w:rPr>
          <w:rFonts w:ascii="Times New Roman" w:hAnsi="Times New Roman" w:cs="Times New Roman"/>
          <w:sz w:val="24"/>
          <w:szCs w:val="24"/>
        </w:rPr>
        <w:t xml:space="preserve"> and prescribed psychotropic treatments moderately increase the risks of occupationa</w:t>
      </w:r>
      <w:r w:rsidR="000B4865">
        <w:rPr>
          <w:rFonts w:ascii="Times New Roman" w:hAnsi="Times New Roman" w:cs="Times New Roman"/>
          <w:sz w:val="24"/>
          <w:szCs w:val="24"/>
        </w:rPr>
        <w:t>l injury. Risks were elevated 44</w:t>
      </w:r>
      <w:r w:rsidRPr="0093540C">
        <w:rPr>
          <w:rFonts w:ascii="Times New Roman" w:hAnsi="Times New Roman" w:cs="Times New Roman"/>
          <w:sz w:val="24"/>
          <w:szCs w:val="24"/>
        </w:rPr>
        <w:t xml:space="preserve">% overall in relation </w:t>
      </w:r>
      <w:r w:rsidR="000B4865">
        <w:rPr>
          <w:rFonts w:ascii="Times New Roman" w:hAnsi="Times New Roman" w:cs="Times New Roman"/>
          <w:sz w:val="24"/>
          <w:szCs w:val="24"/>
        </w:rPr>
        <w:t>to mental health problems and 57</w:t>
      </w:r>
      <w:r w:rsidRPr="0093540C">
        <w:rPr>
          <w:rFonts w:ascii="Times New Roman" w:hAnsi="Times New Roman" w:cs="Times New Roman"/>
          <w:sz w:val="24"/>
          <w:szCs w:val="24"/>
        </w:rPr>
        <w:t xml:space="preserve">% overall in relation to psychotropic drug </w:t>
      </w:r>
      <w:r w:rsidRPr="00186CCB">
        <w:rPr>
          <w:rFonts w:ascii="Times New Roman" w:hAnsi="Times New Roman" w:cs="Times New Roman"/>
          <w:sz w:val="24"/>
          <w:szCs w:val="24"/>
        </w:rPr>
        <w:t>treatments</w:t>
      </w:r>
      <w:r w:rsidR="00186CCB" w:rsidRPr="00186CCB">
        <w:rPr>
          <w:rFonts w:ascii="Times New Roman" w:hAnsi="Times New Roman" w:cs="Times New Roman"/>
          <w:sz w:val="24"/>
          <w:szCs w:val="24"/>
        </w:rPr>
        <w:t>.</w:t>
      </w:r>
      <w:r w:rsidRPr="0093540C">
        <w:rPr>
          <w:rFonts w:ascii="Times New Roman" w:hAnsi="Times New Roman" w:cs="Times New Roman"/>
          <w:sz w:val="24"/>
          <w:szCs w:val="24"/>
        </w:rPr>
        <w:t xml:space="preserve">  </w:t>
      </w:r>
      <w:r w:rsidRPr="00E47DCD">
        <w:rPr>
          <w:rFonts w:ascii="Times New Roman" w:hAnsi="Times New Roman" w:cs="Times New Roman"/>
          <w:sz w:val="24"/>
          <w:szCs w:val="24"/>
        </w:rPr>
        <w:t xml:space="preserve">There was evidence that the effects of </w:t>
      </w:r>
      <w:r w:rsidR="003442EF" w:rsidRPr="00E47DCD">
        <w:rPr>
          <w:rFonts w:ascii="Times New Roman" w:hAnsi="Times New Roman" w:cs="Times New Roman"/>
          <w:sz w:val="24"/>
          <w:szCs w:val="24"/>
        </w:rPr>
        <w:t xml:space="preserve">having a mental health condition </w:t>
      </w:r>
      <w:r w:rsidR="00BA7495" w:rsidRPr="00E47DCD">
        <w:rPr>
          <w:rFonts w:ascii="Times New Roman" w:hAnsi="Times New Roman" w:cs="Times New Roman"/>
          <w:sz w:val="24"/>
          <w:szCs w:val="24"/>
        </w:rPr>
        <w:t>are not solely a consequence of</w:t>
      </w:r>
      <w:r w:rsidR="003442EF" w:rsidRPr="00E47DCD">
        <w:rPr>
          <w:rFonts w:ascii="Times New Roman" w:hAnsi="Times New Roman" w:cs="Times New Roman"/>
          <w:sz w:val="24"/>
          <w:szCs w:val="24"/>
        </w:rPr>
        <w:t xml:space="preserve"> </w:t>
      </w:r>
      <w:r w:rsidRPr="00E47DCD">
        <w:rPr>
          <w:rFonts w:ascii="Times New Roman" w:hAnsi="Times New Roman" w:cs="Times New Roman"/>
          <w:sz w:val="24"/>
          <w:szCs w:val="24"/>
        </w:rPr>
        <w:t>psychotropic medication.</w:t>
      </w:r>
      <w:r w:rsidRPr="0093540C">
        <w:rPr>
          <w:rFonts w:ascii="Times New Roman" w:hAnsi="Times New Roman" w:cs="Times New Roman"/>
          <w:sz w:val="24"/>
          <w:szCs w:val="24"/>
        </w:rPr>
        <w:t xml:space="preserve"> For patients taking common classes of antidepressants we estimate that risks of injury are raised about 35-40%</w:t>
      </w:r>
      <w:r w:rsidR="0019469D">
        <w:rPr>
          <w:rFonts w:ascii="Times New Roman" w:hAnsi="Times New Roman" w:cs="Times New Roman"/>
          <w:sz w:val="24"/>
          <w:szCs w:val="24"/>
        </w:rPr>
        <w:t>.</w:t>
      </w:r>
      <w:r w:rsidRPr="0093540C">
        <w:rPr>
          <w:rFonts w:ascii="Times New Roman" w:hAnsi="Times New Roman" w:cs="Times New Roman"/>
          <w:sz w:val="24"/>
          <w:szCs w:val="24"/>
        </w:rPr>
        <w:t xml:space="preserve"> The data further indicate that </w:t>
      </w:r>
      <w:r w:rsidR="00BA7495">
        <w:rPr>
          <w:rFonts w:ascii="Times New Roman" w:hAnsi="Times New Roman" w:cs="Times New Roman"/>
          <w:sz w:val="24"/>
          <w:szCs w:val="24"/>
        </w:rPr>
        <w:t>approximately</w:t>
      </w:r>
      <w:r w:rsidR="00BA7495" w:rsidRPr="0093540C">
        <w:rPr>
          <w:rFonts w:ascii="Times New Roman" w:hAnsi="Times New Roman" w:cs="Times New Roman"/>
          <w:sz w:val="24"/>
          <w:szCs w:val="24"/>
        </w:rPr>
        <w:t xml:space="preserve"> </w:t>
      </w:r>
      <w:r w:rsidRPr="0093540C">
        <w:rPr>
          <w:rFonts w:ascii="Times New Roman" w:hAnsi="Times New Roman" w:cs="Times New Roman"/>
          <w:sz w:val="24"/>
          <w:szCs w:val="24"/>
        </w:rPr>
        <w:t xml:space="preserve">1 in 10 of all workplace injuries </w:t>
      </w:r>
      <w:r w:rsidR="00BA7495">
        <w:rPr>
          <w:rFonts w:ascii="Times New Roman" w:hAnsi="Times New Roman" w:cs="Times New Roman"/>
          <w:sz w:val="24"/>
          <w:szCs w:val="24"/>
        </w:rPr>
        <w:t>may be</w:t>
      </w:r>
      <w:r w:rsidR="00BA7495" w:rsidRPr="0093540C">
        <w:rPr>
          <w:rFonts w:ascii="Times New Roman" w:hAnsi="Times New Roman" w:cs="Times New Roman"/>
          <w:sz w:val="24"/>
          <w:szCs w:val="24"/>
        </w:rPr>
        <w:t xml:space="preserve"> </w:t>
      </w:r>
      <w:r w:rsidRPr="0093540C">
        <w:rPr>
          <w:rFonts w:ascii="Times New Roman" w:hAnsi="Times New Roman" w:cs="Times New Roman"/>
          <w:sz w:val="24"/>
          <w:szCs w:val="24"/>
        </w:rPr>
        <w:t xml:space="preserve">attributable to mental health conditions or psychotropic medication, the potentially avoidable </w:t>
      </w:r>
      <w:r w:rsidR="0019469D">
        <w:rPr>
          <w:rFonts w:ascii="Times New Roman" w:hAnsi="Times New Roman" w:cs="Times New Roman"/>
          <w:sz w:val="24"/>
          <w:szCs w:val="24"/>
        </w:rPr>
        <w:t xml:space="preserve">fraction being higher (about 30% to </w:t>
      </w:r>
      <w:r w:rsidRPr="0093540C">
        <w:rPr>
          <w:rFonts w:ascii="Times New Roman" w:hAnsi="Times New Roman" w:cs="Times New Roman"/>
          <w:sz w:val="24"/>
          <w:szCs w:val="24"/>
        </w:rPr>
        <w:t>40%) among individuals with such health problems or taking such prescribed treatments.</w:t>
      </w:r>
    </w:p>
    <w:p w:rsidR="00567188" w:rsidRDefault="00567188" w:rsidP="00C21FDD">
      <w:pPr>
        <w:widowControl w:val="0"/>
        <w:rPr>
          <w:rFonts w:ascii="Times New Roman" w:hAnsi="Times New Roman" w:cs="Times New Roman"/>
          <w:sz w:val="24"/>
          <w:szCs w:val="24"/>
        </w:rPr>
      </w:pPr>
    </w:p>
    <w:p w:rsidR="00567188" w:rsidRDefault="0019469D" w:rsidP="00567188">
      <w:pPr>
        <w:widowControl w:val="0"/>
        <w:rPr>
          <w:rFonts w:ascii="Times New Roman" w:hAnsi="Times New Roman" w:cs="Times New Roman"/>
          <w:sz w:val="24"/>
          <w:szCs w:val="24"/>
        </w:rPr>
      </w:pPr>
      <w:r>
        <w:rPr>
          <w:rFonts w:ascii="Times New Roman" w:hAnsi="Times New Roman" w:cs="Times New Roman"/>
          <w:sz w:val="24"/>
          <w:szCs w:val="24"/>
        </w:rPr>
        <w:t>Our study</w:t>
      </w:r>
      <w:r w:rsidR="00567188">
        <w:rPr>
          <w:rFonts w:ascii="Times New Roman" w:hAnsi="Times New Roman" w:cs="Times New Roman"/>
          <w:sz w:val="24"/>
          <w:szCs w:val="24"/>
        </w:rPr>
        <w:t xml:space="preserve"> </w:t>
      </w:r>
      <w:r w:rsidR="00BA7495">
        <w:rPr>
          <w:rFonts w:ascii="Times New Roman" w:hAnsi="Times New Roman" w:cs="Times New Roman"/>
          <w:sz w:val="24"/>
          <w:szCs w:val="24"/>
        </w:rPr>
        <w:t xml:space="preserve">had </w:t>
      </w:r>
      <w:r w:rsidR="00567188">
        <w:rPr>
          <w:rFonts w:ascii="Times New Roman" w:hAnsi="Times New Roman" w:cs="Times New Roman"/>
          <w:sz w:val="24"/>
          <w:szCs w:val="24"/>
        </w:rPr>
        <w:t>several str</w:t>
      </w:r>
      <w:r>
        <w:rPr>
          <w:rFonts w:ascii="Times New Roman" w:hAnsi="Times New Roman" w:cs="Times New Roman"/>
          <w:sz w:val="24"/>
          <w:szCs w:val="24"/>
        </w:rPr>
        <w:t>engths and a few limitations. The database</w:t>
      </w:r>
      <w:r w:rsidR="00567188">
        <w:rPr>
          <w:rFonts w:ascii="Times New Roman" w:hAnsi="Times New Roman" w:cs="Times New Roman"/>
          <w:sz w:val="24"/>
          <w:szCs w:val="24"/>
        </w:rPr>
        <w:t xml:space="preserve"> allowed us to identify a large sample of occupational injuries across Britain, together with a selection of age</w:t>
      </w:r>
      <w:r w:rsidR="00BA7495">
        <w:rPr>
          <w:rFonts w:ascii="Times New Roman" w:hAnsi="Times New Roman" w:cs="Times New Roman"/>
          <w:sz w:val="24"/>
          <w:szCs w:val="24"/>
        </w:rPr>
        <w:t>-</w:t>
      </w:r>
      <w:r w:rsidR="00567188">
        <w:rPr>
          <w:rFonts w:ascii="Times New Roman" w:hAnsi="Times New Roman" w:cs="Times New Roman"/>
          <w:sz w:val="24"/>
          <w:szCs w:val="24"/>
        </w:rPr>
        <w:t>, sex</w:t>
      </w:r>
      <w:r w:rsidR="00BA7495">
        <w:rPr>
          <w:rFonts w:ascii="Times New Roman" w:hAnsi="Times New Roman" w:cs="Times New Roman"/>
          <w:sz w:val="24"/>
          <w:szCs w:val="24"/>
        </w:rPr>
        <w:t>-</w:t>
      </w:r>
      <w:r w:rsidR="00567188">
        <w:rPr>
          <w:rFonts w:ascii="Times New Roman" w:hAnsi="Times New Roman" w:cs="Times New Roman"/>
          <w:sz w:val="24"/>
          <w:szCs w:val="24"/>
        </w:rPr>
        <w:t xml:space="preserve"> and location</w:t>
      </w:r>
      <w:r w:rsidR="00BA7495">
        <w:rPr>
          <w:rFonts w:ascii="Times New Roman" w:hAnsi="Times New Roman" w:cs="Times New Roman"/>
          <w:sz w:val="24"/>
          <w:szCs w:val="24"/>
        </w:rPr>
        <w:t>-</w:t>
      </w:r>
      <w:r w:rsidR="00567188">
        <w:rPr>
          <w:rFonts w:ascii="Times New Roman" w:hAnsi="Times New Roman" w:cs="Times New Roman"/>
          <w:sz w:val="24"/>
          <w:szCs w:val="24"/>
        </w:rPr>
        <w:t xml:space="preserve">matched controls. Almost everyone in Britain registers with a family doctor for services that can be freely accessed at the point of delivery. Thus, general practice </w:t>
      </w:r>
      <w:r w:rsidR="005A5DB8">
        <w:rPr>
          <w:rFonts w:ascii="Times New Roman" w:hAnsi="Times New Roman" w:cs="Times New Roman"/>
          <w:sz w:val="24"/>
          <w:szCs w:val="24"/>
        </w:rPr>
        <w:t xml:space="preserve">patient lists </w:t>
      </w:r>
      <w:r w:rsidR="00567188">
        <w:rPr>
          <w:rFonts w:ascii="Times New Roman" w:hAnsi="Times New Roman" w:cs="Times New Roman"/>
          <w:sz w:val="24"/>
          <w:szCs w:val="24"/>
        </w:rPr>
        <w:t xml:space="preserve">offer a sampling frame </w:t>
      </w:r>
      <w:r w:rsidR="00567188">
        <w:rPr>
          <w:rFonts w:ascii="Times New Roman" w:hAnsi="Times New Roman" w:cs="Times New Roman"/>
          <w:sz w:val="24"/>
          <w:szCs w:val="24"/>
        </w:rPr>
        <w:lastRenderedPageBreak/>
        <w:t xml:space="preserve">that is </w:t>
      </w:r>
      <w:r w:rsidR="00BA7495">
        <w:rPr>
          <w:rFonts w:ascii="Times New Roman" w:hAnsi="Times New Roman" w:cs="Times New Roman"/>
          <w:sz w:val="24"/>
          <w:szCs w:val="24"/>
        </w:rPr>
        <w:t xml:space="preserve">generally </w:t>
      </w:r>
      <w:r w:rsidR="00567188">
        <w:rPr>
          <w:rFonts w:ascii="Times New Roman" w:hAnsi="Times New Roman" w:cs="Times New Roman"/>
          <w:sz w:val="24"/>
          <w:szCs w:val="24"/>
        </w:rPr>
        <w:t xml:space="preserve">representative of the </w:t>
      </w:r>
      <w:r w:rsidR="00E01608">
        <w:rPr>
          <w:rFonts w:ascii="Times New Roman" w:hAnsi="Times New Roman" w:cs="Times New Roman"/>
          <w:sz w:val="24"/>
          <w:szCs w:val="24"/>
        </w:rPr>
        <w:t>total</w:t>
      </w:r>
      <w:r w:rsidR="00567188">
        <w:rPr>
          <w:rFonts w:ascii="Times New Roman" w:hAnsi="Times New Roman" w:cs="Times New Roman"/>
          <w:sz w:val="24"/>
          <w:szCs w:val="24"/>
        </w:rPr>
        <w:t xml:space="preserve"> population</w:t>
      </w:r>
      <w:r w:rsidR="003D4553">
        <w:rPr>
          <w:rFonts w:ascii="Times New Roman" w:hAnsi="Times New Roman" w:cs="Times New Roman"/>
          <w:sz w:val="24"/>
          <w:szCs w:val="24"/>
        </w:rPr>
        <w:t xml:space="preserve">. </w:t>
      </w:r>
      <w:r w:rsidR="00567188">
        <w:rPr>
          <w:rFonts w:ascii="Times New Roman" w:hAnsi="Times New Roman" w:cs="Times New Roman"/>
          <w:sz w:val="24"/>
          <w:szCs w:val="24"/>
        </w:rPr>
        <w:t xml:space="preserve"> </w:t>
      </w:r>
      <w:r w:rsidR="005A5DB8">
        <w:rPr>
          <w:rFonts w:ascii="Times New Roman" w:hAnsi="Times New Roman" w:cs="Times New Roman"/>
          <w:sz w:val="24"/>
          <w:szCs w:val="24"/>
        </w:rPr>
        <w:t>Moreover, t</w:t>
      </w:r>
      <w:r w:rsidR="00567188">
        <w:rPr>
          <w:rFonts w:ascii="Times New Roman" w:hAnsi="Times New Roman" w:cs="Times New Roman"/>
          <w:sz w:val="24"/>
          <w:szCs w:val="24"/>
        </w:rPr>
        <w:t>he CPRD database</w:t>
      </w:r>
      <w:r w:rsidR="005A5DB8">
        <w:rPr>
          <w:rFonts w:ascii="Times New Roman" w:hAnsi="Times New Roman" w:cs="Times New Roman"/>
          <w:sz w:val="24"/>
          <w:szCs w:val="24"/>
        </w:rPr>
        <w:t>, which</w:t>
      </w:r>
      <w:r w:rsidR="00567188">
        <w:rPr>
          <w:rFonts w:ascii="Times New Roman" w:hAnsi="Times New Roman" w:cs="Times New Roman"/>
          <w:sz w:val="24"/>
          <w:szCs w:val="24"/>
        </w:rPr>
        <w:t xml:space="preserve"> has been shown empirically to have a high degree of completeness (&gt;97%) and validity</w:t>
      </w:r>
      <w:r w:rsidR="00E1488C">
        <w:rPr>
          <w:rFonts w:ascii="Times New Roman" w:hAnsi="Times New Roman" w:cs="Times New Roman"/>
          <w:sz w:val="24"/>
          <w:szCs w:val="24"/>
        </w:rPr>
        <w:t xml:space="preserve"> </w:t>
      </w:r>
      <w:r w:rsidR="00BA7495">
        <w:rPr>
          <w:rFonts w:ascii="Times New Roman" w:hAnsi="Times New Roman" w:cs="Times New Roman"/>
          <w:sz w:val="24"/>
          <w:szCs w:val="24"/>
        </w:rPr>
        <w:t xml:space="preserve">for </w:t>
      </w:r>
      <w:r w:rsidR="00E1488C">
        <w:rPr>
          <w:rFonts w:ascii="Times New Roman" w:hAnsi="Times New Roman" w:cs="Times New Roman"/>
          <w:sz w:val="24"/>
          <w:szCs w:val="24"/>
        </w:rPr>
        <w:t xml:space="preserve">many </w:t>
      </w:r>
      <w:r w:rsidR="00BA7495">
        <w:rPr>
          <w:rFonts w:ascii="Times New Roman" w:hAnsi="Times New Roman" w:cs="Times New Roman"/>
          <w:sz w:val="24"/>
          <w:szCs w:val="24"/>
        </w:rPr>
        <w:t xml:space="preserve">measures </w:t>
      </w:r>
      <w:r w:rsidR="00567188">
        <w:rPr>
          <w:rFonts w:ascii="Times New Roman" w:hAnsi="Times New Roman" w:cs="Times New Roman"/>
          <w:sz w:val="24"/>
          <w:szCs w:val="24"/>
        </w:rPr>
        <w:t>[</w:t>
      </w:r>
      <w:r w:rsidR="00C95318">
        <w:rPr>
          <w:rFonts w:ascii="Times New Roman" w:hAnsi="Times New Roman" w:cs="Times New Roman"/>
          <w:sz w:val="24"/>
          <w:szCs w:val="24"/>
        </w:rPr>
        <w:t>29,30</w:t>
      </w:r>
      <w:r w:rsidR="00567188">
        <w:rPr>
          <w:rFonts w:ascii="Times New Roman" w:hAnsi="Times New Roman" w:cs="Times New Roman"/>
          <w:sz w:val="24"/>
          <w:szCs w:val="24"/>
        </w:rPr>
        <w:t>]</w:t>
      </w:r>
      <w:r w:rsidR="005A5DB8">
        <w:rPr>
          <w:rFonts w:ascii="Times New Roman" w:hAnsi="Times New Roman" w:cs="Times New Roman"/>
          <w:sz w:val="24"/>
          <w:szCs w:val="24"/>
        </w:rPr>
        <w:t>,</w:t>
      </w:r>
      <w:r w:rsidR="003D4553">
        <w:rPr>
          <w:rFonts w:ascii="Times New Roman" w:hAnsi="Times New Roman" w:cs="Times New Roman"/>
          <w:sz w:val="24"/>
          <w:szCs w:val="24"/>
        </w:rPr>
        <w:t xml:space="preserve"> is likely to capture </w:t>
      </w:r>
      <w:r w:rsidR="005A5DB8">
        <w:rPr>
          <w:rFonts w:ascii="Times New Roman" w:hAnsi="Times New Roman" w:cs="Times New Roman"/>
          <w:sz w:val="24"/>
          <w:szCs w:val="24"/>
        </w:rPr>
        <w:t>a very high proportion of</w:t>
      </w:r>
      <w:r w:rsidR="003D4553">
        <w:rPr>
          <w:rFonts w:ascii="Times New Roman" w:hAnsi="Times New Roman" w:cs="Times New Roman"/>
          <w:sz w:val="24"/>
          <w:szCs w:val="24"/>
        </w:rPr>
        <w:t xml:space="preserve"> acute injuries presenting to </w:t>
      </w:r>
      <w:r w:rsidR="005A5DB8">
        <w:rPr>
          <w:rFonts w:ascii="Times New Roman" w:hAnsi="Times New Roman" w:cs="Times New Roman"/>
          <w:sz w:val="24"/>
          <w:szCs w:val="24"/>
        </w:rPr>
        <w:t>medical services (</w:t>
      </w:r>
      <w:r w:rsidR="003D4553">
        <w:rPr>
          <w:rFonts w:ascii="Times New Roman" w:hAnsi="Times New Roman" w:cs="Times New Roman"/>
          <w:sz w:val="24"/>
          <w:szCs w:val="24"/>
        </w:rPr>
        <w:t>hospital attendances</w:t>
      </w:r>
      <w:r w:rsidR="008F0E14">
        <w:rPr>
          <w:rFonts w:ascii="Times New Roman" w:hAnsi="Times New Roman" w:cs="Times New Roman"/>
          <w:sz w:val="24"/>
          <w:szCs w:val="24"/>
        </w:rPr>
        <w:t>, which</w:t>
      </w:r>
      <w:r w:rsidR="003D4553">
        <w:rPr>
          <w:rFonts w:ascii="Times New Roman" w:hAnsi="Times New Roman" w:cs="Times New Roman"/>
          <w:sz w:val="24"/>
          <w:szCs w:val="24"/>
        </w:rPr>
        <w:t xml:space="preserve"> </w:t>
      </w:r>
      <w:r w:rsidR="008F0E14">
        <w:rPr>
          <w:rFonts w:ascii="Times New Roman" w:hAnsi="Times New Roman" w:cs="Times New Roman"/>
          <w:sz w:val="24"/>
          <w:szCs w:val="24"/>
        </w:rPr>
        <w:t xml:space="preserve">are logged within the database, </w:t>
      </w:r>
      <w:r w:rsidR="003D4553">
        <w:rPr>
          <w:rFonts w:ascii="Times New Roman" w:hAnsi="Times New Roman" w:cs="Times New Roman"/>
          <w:sz w:val="24"/>
          <w:szCs w:val="24"/>
        </w:rPr>
        <w:t>are also free at the point of care,</w:t>
      </w:r>
      <w:r w:rsidR="008F0E14">
        <w:rPr>
          <w:rFonts w:ascii="Times New Roman" w:hAnsi="Times New Roman" w:cs="Times New Roman"/>
          <w:sz w:val="24"/>
          <w:szCs w:val="24"/>
        </w:rPr>
        <w:t xml:space="preserve"> while accidents are</w:t>
      </w:r>
      <w:r w:rsidR="003D4553">
        <w:rPr>
          <w:rFonts w:ascii="Times New Roman" w:hAnsi="Times New Roman" w:cs="Times New Roman"/>
          <w:sz w:val="24"/>
          <w:szCs w:val="24"/>
        </w:rPr>
        <w:t xml:space="preserve"> </w:t>
      </w:r>
      <w:r w:rsidR="005A5DB8">
        <w:rPr>
          <w:rFonts w:ascii="Times New Roman" w:hAnsi="Times New Roman" w:cs="Times New Roman"/>
          <w:sz w:val="24"/>
          <w:szCs w:val="24"/>
        </w:rPr>
        <w:t>rarely</w:t>
      </w:r>
      <w:r w:rsidR="003D4553">
        <w:rPr>
          <w:rFonts w:ascii="Times New Roman" w:hAnsi="Times New Roman" w:cs="Times New Roman"/>
          <w:sz w:val="24"/>
          <w:szCs w:val="24"/>
        </w:rPr>
        <w:t xml:space="preserve"> treated privately</w:t>
      </w:r>
      <w:r w:rsidR="005A5DB8">
        <w:rPr>
          <w:rFonts w:ascii="Times New Roman" w:hAnsi="Times New Roman" w:cs="Times New Roman"/>
          <w:sz w:val="24"/>
          <w:szCs w:val="24"/>
        </w:rPr>
        <w:t>)</w:t>
      </w:r>
      <w:r w:rsidR="003D4553">
        <w:rPr>
          <w:rFonts w:ascii="Times New Roman" w:hAnsi="Times New Roman" w:cs="Times New Roman"/>
          <w:sz w:val="24"/>
          <w:szCs w:val="24"/>
        </w:rPr>
        <w:t xml:space="preserve">. </w:t>
      </w:r>
      <w:r w:rsidR="00567188">
        <w:rPr>
          <w:rFonts w:ascii="Times New Roman" w:hAnsi="Times New Roman" w:cs="Times New Roman"/>
          <w:sz w:val="24"/>
          <w:szCs w:val="24"/>
        </w:rPr>
        <w:t xml:space="preserve">Set against this, we could </w:t>
      </w:r>
      <w:r w:rsidR="005A5DB8">
        <w:rPr>
          <w:rFonts w:ascii="Times New Roman" w:hAnsi="Times New Roman" w:cs="Times New Roman"/>
          <w:sz w:val="24"/>
          <w:szCs w:val="24"/>
        </w:rPr>
        <w:t xml:space="preserve">not </w:t>
      </w:r>
      <w:r w:rsidR="00E1488C">
        <w:rPr>
          <w:rFonts w:ascii="Times New Roman" w:hAnsi="Times New Roman" w:cs="Times New Roman"/>
          <w:sz w:val="24"/>
          <w:szCs w:val="24"/>
        </w:rPr>
        <w:t>investigate</w:t>
      </w:r>
      <w:r w:rsidR="00567188">
        <w:rPr>
          <w:rFonts w:ascii="Times New Roman" w:hAnsi="Times New Roman" w:cs="Times New Roman"/>
          <w:sz w:val="24"/>
          <w:szCs w:val="24"/>
        </w:rPr>
        <w:t xml:space="preserve"> inj</w:t>
      </w:r>
      <w:r w:rsidR="00E1488C">
        <w:rPr>
          <w:rFonts w:ascii="Times New Roman" w:hAnsi="Times New Roman" w:cs="Times New Roman"/>
          <w:sz w:val="24"/>
          <w:szCs w:val="24"/>
        </w:rPr>
        <w:t xml:space="preserve">uries </w:t>
      </w:r>
      <w:r w:rsidR="00567188">
        <w:rPr>
          <w:rFonts w:ascii="Times New Roman" w:hAnsi="Times New Roman" w:cs="Times New Roman"/>
          <w:sz w:val="24"/>
          <w:szCs w:val="24"/>
        </w:rPr>
        <w:t xml:space="preserve">that </w:t>
      </w:r>
      <w:r w:rsidR="005A5DB8">
        <w:rPr>
          <w:rFonts w:ascii="Times New Roman" w:hAnsi="Times New Roman" w:cs="Times New Roman"/>
          <w:sz w:val="24"/>
          <w:szCs w:val="24"/>
        </w:rPr>
        <w:t>were</w:t>
      </w:r>
      <w:r w:rsidR="00567188">
        <w:rPr>
          <w:rFonts w:ascii="Times New Roman" w:hAnsi="Times New Roman" w:cs="Times New Roman"/>
          <w:sz w:val="24"/>
          <w:szCs w:val="24"/>
        </w:rPr>
        <w:t xml:space="preserve"> </w:t>
      </w:r>
      <w:r w:rsidR="00B3074C">
        <w:rPr>
          <w:rFonts w:ascii="Times New Roman" w:hAnsi="Times New Roman" w:cs="Times New Roman"/>
          <w:sz w:val="24"/>
          <w:szCs w:val="24"/>
        </w:rPr>
        <w:t xml:space="preserve">only </w:t>
      </w:r>
      <w:r w:rsidR="00567188">
        <w:rPr>
          <w:rFonts w:ascii="Times New Roman" w:hAnsi="Times New Roman" w:cs="Times New Roman"/>
          <w:sz w:val="24"/>
          <w:szCs w:val="24"/>
        </w:rPr>
        <w:t>self-treated</w:t>
      </w:r>
      <w:r w:rsidR="005A5DB8">
        <w:rPr>
          <w:rFonts w:ascii="Times New Roman" w:hAnsi="Times New Roman" w:cs="Times New Roman"/>
          <w:sz w:val="24"/>
          <w:szCs w:val="24"/>
        </w:rPr>
        <w:t>,</w:t>
      </w:r>
      <w:r w:rsidR="00567188">
        <w:rPr>
          <w:rFonts w:ascii="Times New Roman" w:hAnsi="Times New Roman" w:cs="Times New Roman"/>
          <w:sz w:val="24"/>
          <w:szCs w:val="24"/>
        </w:rPr>
        <w:t xml:space="preserve"> or mishaps resulting</w:t>
      </w:r>
      <w:r w:rsidR="00E01608">
        <w:rPr>
          <w:rFonts w:ascii="Times New Roman" w:hAnsi="Times New Roman" w:cs="Times New Roman"/>
          <w:sz w:val="24"/>
          <w:szCs w:val="24"/>
        </w:rPr>
        <w:t xml:space="preserve"> only</w:t>
      </w:r>
      <w:r w:rsidR="00567188">
        <w:rPr>
          <w:rFonts w:ascii="Times New Roman" w:hAnsi="Times New Roman" w:cs="Times New Roman"/>
          <w:sz w:val="24"/>
          <w:szCs w:val="24"/>
        </w:rPr>
        <w:t xml:space="preserve"> in </w:t>
      </w:r>
      <w:r w:rsidR="00E01608">
        <w:rPr>
          <w:rFonts w:ascii="Times New Roman" w:hAnsi="Times New Roman" w:cs="Times New Roman"/>
          <w:sz w:val="24"/>
          <w:szCs w:val="24"/>
        </w:rPr>
        <w:t xml:space="preserve">damage to </w:t>
      </w:r>
      <w:r w:rsidR="00567188">
        <w:rPr>
          <w:rFonts w:ascii="Times New Roman" w:hAnsi="Times New Roman" w:cs="Times New Roman"/>
          <w:sz w:val="24"/>
          <w:szCs w:val="24"/>
        </w:rPr>
        <w:t>property or near miss</w:t>
      </w:r>
      <w:r w:rsidR="00863A02">
        <w:rPr>
          <w:rFonts w:ascii="Times New Roman" w:hAnsi="Times New Roman" w:cs="Times New Roman"/>
          <w:sz w:val="24"/>
          <w:szCs w:val="24"/>
        </w:rPr>
        <w:t xml:space="preserve"> events</w:t>
      </w:r>
      <w:r w:rsidR="00567188">
        <w:rPr>
          <w:rFonts w:ascii="Times New Roman" w:hAnsi="Times New Roman" w:cs="Times New Roman"/>
          <w:sz w:val="24"/>
          <w:szCs w:val="24"/>
        </w:rPr>
        <w:t xml:space="preserve">. The </w:t>
      </w:r>
      <w:r w:rsidR="00567188" w:rsidRPr="00E47DCD">
        <w:rPr>
          <w:rFonts w:ascii="Times New Roman" w:hAnsi="Times New Roman" w:cs="Times New Roman"/>
          <w:sz w:val="24"/>
          <w:szCs w:val="24"/>
        </w:rPr>
        <w:t xml:space="preserve">complexity of the coding system </w:t>
      </w:r>
      <w:r w:rsidR="00BA7495" w:rsidRPr="00E47DCD">
        <w:rPr>
          <w:rFonts w:ascii="Times New Roman" w:hAnsi="Times New Roman" w:cs="Times New Roman"/>
          <w:sz w:val="24"/>
          <w:szCs w:val="24"/>
        </w:rPr>
        <w:t xml:space="preserve">was </w:t>
      </w:r>
      <w:r w:rsidR="003442EF" w:rsidRPr="00E47DCD">
        <w:rPr>
          <w:rFonts w:ascii="Times New Roman" w:hAnsi="Times New Roman" w:cs="Times New Roman"/>
          <w:sz w:val="24"/>
          <w:szCs w:val="24"/>
        </w:rPr>
        <w:t>such</w:t>
      </w:r>
      <w:r w:rsidR="00567188" w:rsidRPr="00E47DCD">
        <w:rPr>
          <w:rFonts w:ascii="Times New Roman" w:hAnsi="Times New Roman" w:cs="Times New Roman"/>
          <w:sz w:val="24"/>
          <w:szCs w:val="24"/>
        </w:rPr>
        <w:t xml:space="preserve"> that we </w:t>
      </w:r>
      <w:r w:rsidR="003442EF" w:rsidRPr="00E47DCD">
        <w:rPr>
          <w:rFonts w:ascii="Times New Roman" w:hAnsi="Times New Roman" w:cs="Times New Roman"/>
          <w:sz w:val="24"/>
          <w:szCs w:val="24"/>
        </w:rPr>
        <w:t>may</w:t>
      </w:r>
      <w:r w:rsidR="00567188" w:rsidRPr="00E47DCD">
        <w:rPr>
          <w:rFonts w:ascii="Times New Roman" w:hAnsi="Times New Roman" w:cs="Times New Roman"/>
          <w:sz w:val="24"/>
          <w:szCs w:val="24"/>
        </w:rPr>
        <w:t xml:space="preserve"> not have discovered every case of occupational injury</w:t>
      </w:r>
      <w:r w:rsidR="003442EF" w:rsidRPr="00E47DCD">
        <w:rPr>
          <w:rFonts w:ascii="Times New Roman" w:hAnsi="Times New Roman" w:cs="Times New Roman"/>
          <w:sz w:val="24"/>
          <w:szCs w:val="24"/>
        </w:rPr>
        <w:t xml:space="preserve"> or mental illness</w:t>
      </w:r>
      <w:r w:rsidR="00567188" w:rsidRPr="00E47DCD">
        <w:rPr>
          <w:rFonts w:ascii="Times New Roman" w:hAnsi="Times New Roman" w:cs="Times New Roman"/>
          <w:sz w:val="24"/>
          <w:szCs w:val="24"/>
        </w:rPr>
        <w:t xml:space="preserve"> within</w:t>
      </w:r>
      <w:r w:rsidR="00567188">
        <w:rPr>
          <w:rFonts w:ascii="Times New Roman" w:hAnsi="Times New Roman" w:cs="Times New Roman"/>
          <w:sz w:val="24"/>
          <w:szCs w:val="24"/>
        </w:rPr>
        <w:t xml:space="preserve"> the sampling frame. However, errors of omission would be unlikely to cause bias, </w:t>
      </w:r>
      <w:r w:rsidR="00863A02">
        <w:rPr>
          <w:rFonts w:ascii="Times New Roman" w:hAnsi="Times New Roman" w:cs="Times New Roman"/>
          <w:sz w:val="24"/>
          <w:szCs w:val="24"/>
        </w:rPr>
        <w:t>since</w:t>
      </w:r>
      <w:r w:rsidR="00567188">
        <w:rPr>
          <w:rFonts w:ascii="Times New Roman" w:hAnsi="Times New Roman" w:cs="Times New Roman"/>
          <w:sz w:val="24"/>
          <w:szCs w:val="24"/>
        </w:rPr>
        <w:t xml:space="preserve"> the process of case ascertainment was independent of the exposures of interest.</w:t>
      </w:r>
    </w:p>
    <w:p w:rsidR="00567188" w:rsidRDefault="00567188" w:rsidP="00567188">
      <w:pPr>
        <w:widowControl w:val="0"/>
        <w:rPr>
          <w:rFonts w:ascii="Times New Roman" w:hAnsi="Times New Roman" w:cs="Times New Roman"/>
          <w:sz w:val="24"/>
          <w:szCs w:val="24"/>
        </w:rPr>
      </w:pPr>
    </w:p>
    <w:p w:rsidR="00863A02" w:rsidRDefault="00863A02" w:rsidP="00863A02">
      <w:pPr>
        <w:widowControl w:val="0"/>
        <w:rPr>
          <w:rFonts w:ascii="Times New Roman" w:eastAsia="Calibri" w:hAnsi="Times New Roman" w:cs="Times New Roman"/>
          <w:sz w:val="24"/>
          <w:szCs w:val="24"/>
        </w:rPr>
      </w:pPr>
      <w:r>
        <w:rPr>
          <w:rFonts w:ascii="Times New Roman" w:hAnsi="Times New Roman" w:cs="Times New Roman"/>
          <w:sz w:val="24"/>
          <w:szCs w:val="24"/>
        </w:rPr>
        <w:t>A more significant limitation of the CPRD is that it does not maintain a reliable record of patients’ occupations.  Thus, while c</w:t>
      </w:r>
      <w:r w:rsidRPr="00BB4864">
        <w:rPr>
          <w:rFonts w:ascii="Times New Roman" w:eastAsia="Calibri" w:hAnsi="Times New Roman" w:cs="Times New Roman"/>
          <w:sz w:val="24"/>
          <w:szCs w:val="24"/>
        </w:rPr>
        <w:t>ases w</w:t>
      </w:r>
      <w:r w:rsidR="00E1488C">
        <w:rPr>
          <w:rFonts w:ascii="Times New Roman" w:eastAsia="Calibri" w:hAnsi="Times New Roman" w:cs="Times New Roman"/>
          <w:sz w:val="24"/>
          <w:szCs w:val="24"/>
        </w:rPr>
        <w:t>ould</w:t>
      </w:r>
      <w:r>
        <w:rPr>
          <w:rFonts w:ascii="Times New Roman" w:hAnsi="Times New Roman" w:cs="Times New Roman"/>
          <w:sz w:val="24"/>
          <w:szCs w:val="24"/>
        </w:rPr>
        <w:t xml:space="preserve"> have</w:t>
      </w:r>
      <w:r w:rsidRPr="00BB4864">
        <w:rPr>
          <w:rFonts w:ascii="Times New Roman" w:eastAsia="Calibri" w:hAnsi="Times New Roman" w:cs="Times New Roman"/>
          <w:sz w:val="24"/>
          <w:szCs w:val="24"/>
        </w:rPr>
        <w:t xml:space="preserve"> be</w:t>
      </w:r>
      <w:r>
        <w:rPr>
          <w:rFonts w:ascii="Times New Roman" w:hAnsi="Times New Roman" w:cs="Times New Roman"/>
          <w:sz w:val="24"/>
          <w:szCs w:val="24"/>
        </w:rPr>
        <w:t>en</w:t>
      </w:r>
      <w:r w:rsidRPr="00BB4864">
        <w:rPr>
          <w:rFonts w:ascii="Times New Roman" w:eastAsia="Calibri" w:hAnsi="Times New Roman" w:cs="Times New Roman"/>
          <w:sz w:val="24"/>
          <w:szCs w:val="24"/>
        </w:rPr>
        <w:t xml:space="preserve"> selected from those </w:t>
      </w:r>
      <w:r>
        <w:rPr>
          <w:rFonts w:ascii="Times New Roman" w:hAnsi="Times New Roman" w:cs="Times New Roman"/>
          <w:sz w:val="24"/>
          <w:szCs w:val="24"/>
        </w:rPr>
        <w:t>in</w:t>
      </w:r>
      <w:r w:rsidRPr="00BB4864">
        <w:rPr>
          <w:rFonts w:ascii="Times New Roman" w:eastAsia="Calibri" w:hAnsi="Times New Roman" w:cs="Times New Roman"/>
          <w:sz w:val="24"/>
          <w:szCs w:val="24"/>
        </w:rPr>
        <w:t xml:space="preserve"> work, some controls may</w:t>
      </w:r>
      <w:r>
        <w:rPr>
          <w:rFonts w:ascii="Times New Roman" w:hAnsi="Times New Roman" w:cs="Times New Roman"/>
          <w:sz w:val="24"/>
          <w:szCs w:val="24"/>
        </w:rPr>
        <w:t xml:space="preserve"> have</w:t>
      </w:r>
      <w:r w:rsidRPr="00BB4864">
        <w:rPr>
          <w:rFonts w:ascii="Times New Roman" w:eastAsia="Calibri" w:hAnsi="Times New Roman" w:cs="Times New Roman"/>
          <w:sz w:val="24"/>
          <w:szCs w:val="24"/>
        </w:rPr>
        <w:t xml:space="preserve"> be</w:t>
      </w:r>
      <w:r>
        <w:rPr>
          <w:rFonts w:ascii="Times New Roman" w:hAnsi="Times New Roman" w:cs="Times New Roman"/>
          <w:sz w:val="24"/>
          <w:szCs w:val="24"/>
        </w:rPr>
        <w:t>en</w:t>
      </w:r>
      <w:r w:rsidRPr="00BB4864">
        <w:rPr>
          <w:rFonts w:ascii="Times New Roman" w:eastAsia="Calibri" w:hAnsi="Times New Roman" w:cs="Times New Roman"/>
          <w:sz w:val="24"/>
          <w:szCs w:val="24"/>
        </w:rPr>
        <w:t xml:space="preserve"> unemployed</w:t>
      </w:r>
      <w:r>
        <w:rPr>
          <w:rFonts w:ascii="Times New Roman" w:hAnsi="Times New Roman" w:cs="Times New Roman"/>
          <w:sz w:val="24"/>
          <w:szCs w:val="24"/>
        </w:rPr>
        <w:t>; c</w:t>
      </w:r>
      <w:r w:rsidRPr="00BB4864">
        <w:rPr>
          <w:rFonts w:ascii="Times New Roman" w:eastAsia="Calibri" w:hAnsi="Times New Roman" w:cs="Times New Roman"/>
          <w:sz w:val="24"/>
          <w:szCs w:val="24"/>
        </w:rPr>
        <w:t xml:space="preserve">ases may also </w:t>
      </w:r>
      <w:r>
        <w:rPr>
          <w:rFonts w:ascii="Times New Roman" w:eastAsia="Calibri" w:hAnsi="Times New Roman" w:cs="Times New Roman"/>
          <w:sz w:val="24"/>
          <w:szCs w:val="24"/>
        </w:rPr>
        <w:t xml:space="preserve">have </w:t>
      </w:r>
      <w:r w:rsidRPr="00BB4864">
        <w:rPr>
          <w:rFonts w:ascii="Times New Roman" w:eastAsia="Calibri" w:hAnsi="Times New Roman" w:cs="Times New Roman"/>
          <w:sz w:val="24"/>
          <w:szCs w:val="24"/>
        </w:rPr>
        <w:t>be</w:t>
      </w:r>
      <w:r>
        <w:rPr>
          <w:rFonts w:ascii="Times New Roman" w:eastAsia="Calibri" w:hAnsi="Times New Roman" w:cs="Times New Roman"/>
          <w:sz w:val="24"/>
          <w:szCs w:val="24"/>
        </w:rPr>
        <w:t>en</w:t>
      </w:r>
      <w:r w:rsidRPr="00BB4864">
        <w:rPr>
          <w:rFonts w:ascii="Times New Roman" w:eastAsia="Calibri" w:hAnsi="Times New Roman" w:cs="Times New Roman"/>
          <w:sz w:val="24"/>
          <w:szCs w:val="24"/>
        </w:rPr>
        <w:t xml:space="preserve"> drawn more often from m</w:t>
      </w:r>
      <w:r>
        <w:rPr>
          <w:rFonts w:ascii="Times New Roman" w:hAnsi="Times New Roman" w:cs="Times New Roman"/>
          <w:sz w:val="24"/>
          <w:szCs w:val="24"/>
        </w:rPr>
        <w:t>anual occupations than controls</w:t>
      </w:r>
      <w:r w:rsidRPr="00BB4864">
        <w:rPr>
          <w:rFonts w:ascii="Times New Roman" w:eastAsia="Calibri" w:hAnsi="Times New Roman" w:cs="Times New Roman"/>
          <w:sz w:val="24"/>
          <w:szCs w:val="24"/>
        </w:rPr>
        <w:t xml:space="preserve">.  </w:t>
      </w:r>
      <w:r>
        <w:rPr>
          <w:rFonts w:ascii="Times New Roman" w:hAnsi="Times New Roman" w:cs="Times New Roman"/>
          <w:sz w:val="24"/>
          <w:szCs w:val="24"/>
        </w:rPr>
        <w:t>B</w:t>
      </w:r>
      <w:r w:rsidRPr="00BB4864">
        <w:rPr>
          <w:rFonts w:ascii="Times New Roman" w:eastAsia="Calibri" w:hAnsi="Times New Roman" w:cs="Times New Roman"/>
          <w:sz w:val="24"/>
          <w:szCs w:val="24"/>
        </w:rPr>
        <w:t xml:space="preserve">ias </w:t>
      </w:r>
      <w:r>
        <w:rPr>
          <w:rFonts w:ascii="Times New Roman" w:eastAsia="Calibri" w:hAnsi="Times New Roman" w:cs="Times New Roman"/>
          <w:sz w:val="24"/>
          <w:szCs w:val="24"/>
        </w:rPr>
        <w:t>might</w:t>
      </w:r>
      <w:r w:rsidRPr="00BB4864">
        <w:rPr>
          <w:rFonts w:ascii="Times New Roman" w:eastAsia="Calibri" w:hAnsi="Times New Roman" w:cs="Times New Roman"/>
          <w:sz w:val="24"/>
          <w:szCs w:val="24"/>
        </w:rPr>
        <w:t xml:space="preserve"> arise if controls over-represented the prevalence of </w:t>
      </w:r>
      <w:r w:rsidR="00E01608">
        <w:rPr>
          <w:rFonts w:ascii="Times New Roman" w:eastAsia="Calibri" w:hAnsi="Times New Roman" w:cs="Times New Roman"/>
          <w:sz w:val="24"/>
          <w:szCs w:val="24"/>
        </w:rPr>
        <w:t>mental illnesses</w:t>
      </w:r>
      <w:r w:rsidRPr="00BB4864">
        <w:rPr>
          <w:rFonts w:ascii="Times New Roman" w:eastAsia="Calibri" w:hAnsi="Times New Roman" w:cs="Times New Roman"/>
          <w:sz w:val="24"/>
          <w:szCs w:val="24"/>
        </w:rPr>
        <w:t xml:space="preserve"> or treatments </w:t>
      </w:r>
      <w:r w:rsidR="00E01608">
        <w:rPr>
          <w:rFonts w:ascii="Times New Roman" w:eastAsia="Calibri" w:hAnsi="Times New Roman" w:cs="Times New Roman"/>
          <w:sz w:val="24"/>
          <w:szCs w:val="24"/>
        </w:rPr>
        <w:t xml:space="preserve">for disorders </w:t>
      </w:r>
      <w:r w:rsidRPr="00BB4864">
        <w:rPr>
          <w:rFonts w:ascii="Times New Roman" w:eastAsia="Calibri" w:hAnsi="Times New Roman" w:cs="Times New Roman"/>
          <w:sz w:val="24"/>
          <w:szCs w:val="24"/>
        </w:rPr>
        <w:t>that prevent work</w:t>
      </w:r>
      <w:r w:rsidR="00E01608">
        <w:rPr>
          <w:rFonts w:ascii="Times New Roman" w:hAnsi="Times New Roman" w:cs="Times New Roman"/>
          <w:sz w:val="24"/>
          <w:szCs w:val="24"/>
        </w:rPr>
        <w:t xml:space="preserve">, </w:t>
      </w:r>
      <w:r w:rsidRPr="00BB4864">
        <w:rPr>
          <w:rFonts w:ascii="Times New Roman" w:eastAsia="Calibri" w:hAnsi="Times New Roman" w:cs="Times New Roman"/>
          <w:sz w:val="24"/>
          <w:szCs w:val="24"/>
        </w:rPr>
        <w:t>or</w:t>
      </w:r>
      <w:r w:rsidR="00186246">
        <w:rPr>
          <w:rFonts w:ascii="Times New Roman" w:eastAsia="Calibri" w:hAnsi="Times New Roman" w:cs="Times New Roman"/>
          <w:sz w:val="24"/>
          <w:szCs w:val="24"/>
        </w:rPr>
        <w:t xml:space="preserve"> if </w:t>
      </w:r>
      <w:r w:rsidRPr="00BB4864">
        <w:rPr>
          <w:rFonts w:ascii="Times New Roman" w:eastAsia="Calibri" w:hAnsi="Times New Roman" w:cs="Times New Roman"/>
          <w:sz w:val="24"/>
          <w:szCs w:val="24"/>
        </w:rPr>
        <w:t xml:space="preserve">these were more common in manual jobs. </w:t>
      </w:r>
      <w:r>
        <w:rPr>
          <w:rFonts w:ascii="Times New Roman" w:hAnsi="Times New Roman" w:cs="Times New Roman"/>
          <w:sz w:val="24"/>
          <w:szCs w:val="24"/>
        </w:rPr>
        <w:t>However,</w:t>
      </w:r>
      <w:r w:rsidR="00E1488C" w:rsidRPr="00E1488C">
        <w:rPr>
          <w:rFonts w:ascii="Times New Roman" w:hAnsi="Times New Roman" w:cs="Times New Roman"/>
          <w:sz w:val="24"/>
          <w:szCs w:val="24"/>
        </w:rPr>
        <w:t xml:space="preserve"> </w:t>
      </w:r>
      <w:r w:rsidR="00E1488C">
        <w:rPr>
          <w:rFonts w:ascii="Times New Roman" w:hAnsi="Times New Roman" w:cs="Times New Roman"/>
          <w:sz w:val="24"/>
          <w:szCs w:val="24"/>
        </w:rPr>
        <w:t>as we have demonstrated elsewhere [31]</w:t>
      </w:r>
      <w:r w:rsidR="005E534B">
        <w:rPr>
          <w:rFonts w:ascii="Times New Roman" w:hAnsi="Times New Roman" w:cs="Times New Roman"/>
          <w:sz w:val="24"/>
          <w:szCs w:val="24"/>
        </w:rPr>
        <w:t>,</w:t>
      </w:r>
      <w:r>
        <w:rPr>
          <w:rFonts w:ascii="Times New Roman" w:hAnsi="Times New Roman" w:cs="Times New Roman"/>
          <w:sz w:val="24"/>
          <w:szCs w:val="24"/>
        </w:rPr>
        <w:t xml:space="preserve"> </w:t>
      </w:r>
      <w:r w:rsidRPr="00BB4864">
        <w:rPr>
          <w:rFonts w:ascii="Times New Roman" w:eastAsia="Calibri" w:hAnsi="Times New Roman" w:cs="Times New Roman"/>
          <w:sz w:val="24"/>
          <w:szCs w:val="24"/>
        </w:rPr>
        <w:t xml:space="preserve">the </w:t>
      </w:r>
      <w:r w:rsidR="00186246">
        <w:rPr>
          <w:rFonts w:ascii="Times New Roman" w:eastAsia="Calibri" w:hAnsi="Times New Roman" w:cs="Times New Roman"/>
          <w:sz w:val="24"/>
          <w:szCs w:val="24"/>
        </w:rPr>
        <w:t xml:space="preserve">resultant </w:t>
      </w:r>
      <w:r w:rsidRPr="00BB4864">
        <w:rPr>
          <w:rFonts w:ascii="Times New Roman" w:eastAsia="Calibri" w:hAnsi="Times New Roman" w:cs="Times New Roman"/>
          <w:sz w:val="24"/>
          <w:szCs w:val="24"/>
        </w:rPr>
        <w:t>bias is likely to be small</w:t>
      </w:r>
      <w:r>
        <w:rPr>
          <w:rFonts w:ascii="Times New Roman" w:eastAsia="Calibri" w:hAnsi="Times New Roman" w:cs="Times New Roman"/>
          <w:sz w:val="24"/>
          <w:szCs w:val="24"/>
        </w:rPr>
        <w:t xml:space="preserve"> i</w:t>
      </w:r>
      <w:r w:rsidRPr="00BB4864">
        <w:rPr>
          <w:rFonts w:ascii="Times New Roman" w:eastAsia="Calibri" w:hAnsi="Times New Roman" w:cs="Times New Roman"/>
          <w:sz w:val="24"/>
          <w:szCs w:val="24"/>
        </w:rPr>
        <w:t xml:space="preserve">n practice. </w:t>
      </w:r>
      <w:r w:rsidR="00186246">
        <w:rPr>
          <w:rFonts w:ascii="Times New Roman" w:eastAsia="Calibri" w:hAnsi="Times New Roman" w:cs="Times New Roman"/>
          <w:sz w:val="24"/>
          <w:szCs w:val="24"/>
        </w:rPr>
        <w:t>(</w:t>
      </w:r>
      <w:r w:rsidRPr="00BB4864">
        <w:rPr>
          <w:rFonts w:ascii="Times New Roman" w:eastAsia="Calibri" w:hAnsi="Times New Roman" w:cs="Times New Roman"/>
          <w:sz w:val="24"/>
          <w:szCs w:val="24"/>
        </w:rPr>
        <w:t xml:space="preserve">This </w:t>
      </w:r>
      <w:r w:rsidR="00BA7495">
        <w:rPr>
          <w:rFonts w:ascii="Times New Roman" w:eastAsia="Calibri" w:hAnsi="Times New Roman" w:cs="Times New Roman"/>
          <w:sz w:val="24"/>
          <w:szCs w:val="24"/>
        </w:rPr>
        <w:t>is because</w:t>
      </w:r>
      <w:r w:rsidRPr="00BB4864">
        <w:rPr>
          <w:rFonts w:ascii="Times New Roman" w:eastAsia="Calibri" w:hAnsi="Times New Roman" w:cs="Times New Roman"/>
          <w:sz w:val="24"/>
          <w:szCs w:val="24"/>
        </w:rPr>
        <w:t xml:space="preserve"> the excess prevalence in controls </w:t>
      </w:r>
      <w:r w:rsidRPr="00186246">
        <w:rPr>
          <w:rFonts w:ascii="Times New Roman" w:eastAsia="Calibri" w:hAnsi="Times New Roman" w:cs="Times New Roman"/>
          <w:sz w:val="24"/>
          <w:szCs w:val="24"/>
        </w:rPr>
        <w:t>would reflect</w:t>
      </w:r>
      <w:r w:rsidRPr="00BB4864">
        <w:rPr>
          <w:rFonts w:ascii="Times New Roman" w:eastAsia="Calibri" w:hAnsi="Times New Roman" w:cs="Times New Roman"/>
          <w:sz w:val="24"/>
          <w:szCs w:val="24"/>
        </w:rPr>
        <w:t xml:space="preserve"> the weighted</w:t>
      </w:r>
      <w:r w:rsidR="00186246">
        <w:rPr>
          <w:rFonts w:ascii="Times New Roman" w:eastAsia="Calibri" w:hAnsi="Times New Roman" w:cs="Times New Roman"/>
          <w:sz w:val="24"/>
          <w:szCs w:val="24"/>
        </w:rPr>
        <w:t xml:space="preserve"> average of risks in subgroups, </w:t>
      </w:r>
      <w:r w:rsidRPr="00186246">
        <w:rPr>
          <w:rFonts w:ascii="Times New Roman" w:eastAsia="Calibri" w:hAnsi="Times New Roman" w:cs="Times New Roman"/>
          <w:sz w:val="24"/>
          <w:szCs w:val="24"/>
        </w:rPr>
        <w:t>and be</w:t>
      </w:r>
      <w:r w:rsidRPr="00BB4864">
        <w:rPr>
          <w:rFonts w:ascii="Times New Roman" w:eastAsia="Calibri" w:hAnsi="Times New Roman" w:cs="Times New Roman"/>
          <w:sz w:val="24"/>
          <w:szCs w:val="24"/>
        </w:rPr>
        <w:t xml:space="preserve"> diluted on the one hand by</w:t>
      </w:r>
      <w:r>
        <w:rPr>
          <w:rFonts w:ascii="Times New Roman" w:eastAsia="Calibri" w:hAnsi="Times New Roman" w:cs="Times New Roman"/>
          <w:sz w:val="24"/>
          <w:szCs w:val="24"/>
        </w:rPr>
        <w:t xml:space="preserve"> a</w:t>
      </w:r>
      <w:r w:rsidRPr="00BB4864">
        <w:rPr>
          <w:rFonts w:ascii="Times New Roman" w:eastAsia="Calibri" w:hAnsi="Times New Roman" w:cs="Times New Roman"/>
          <w:sz w:val="24"/>
          <w:szCs w:val="24"/>
        </w:rPr>
        <w:t xml:space="preserve"> </w:t>
      </w:r>
      <w:r>
        <w:rPr>
          <w:rFonts w:ascii="Times New Roman" w:eastAsia="Calibri" w:hAnsi="Times New Roman" w:cs="Times New Roman"/>
          <w:sz w:val="24"/>
          <w:szCs w:val="24"/>
        </w:rPr>
        <w:t>low</w:t>
      </w:r>
      <w:r w:rsidR="00186246">
        <w:rPr>
          <w:rFonts w:ascii="Times New Roman" w:eastAsia="Calibri" w:hAnsi="Times New Roman" w:cs="Times New Roman"/>
          <w:sz w:val="24"/>
          <w:szCs w:val="24"/>
        </w:rPr>
        <w:t xml:space="preserve"> background</w:t>
      </w:r>
      <w:r>
        <w:rPr>
          <w:rFonts w:ascii="Times New Roman" w:eastAsia="Calibri" w:hAnsi="Times New Roman" w:cs="Times New Roman"/>
          <w:sz w:val="24"/>
          <w:szCs w:val="24"/>
        </w:rPr>
        <w:t xml:space="preserve"> rate of unemployment</w:t>
      </w:r>
      <w:r w:rsidRPr="00BB4864">
        <w:rPr>
          <w:rFonts w:ascii="Times New Roman" w:eastAsia="Calibri" w:hAnsi="Times New Roman" w:cs="Times New Roman"/>
          <w:sz w:val="24"/>
          <w:szCs w:val="24"/>
        </w:rPr>
        <w:t xml:space="preserve"> and on the other by the </w:t>
      </w:r>
      <w:r w:rsidR="00E01608">
        <w:rPr>
          <w:rFonts w:ascii="Times New Roman" w:eastAsia="Calibri" w:hAnsi="Times New Roman" w:cs="Times New Roman"/>
          <w:sz w:val="24"/>
          <w:szCs w:val="24"/>
        </w:rPr>
        <w:t>small difference</w:t>
      </w:r>
      <w:r w:rsidRPr="00186246">
        <w:rPr>
          <w:rFonts w:ascii="Times New Roman" w:eastAsia="Calibri" w:hAnsi="Times New Roman" w:cs="Times New Roman"/>
          <w:sz w:val="24"/>
          <w:szCs w:val="24"/>
        </w:rPr>
        <w:t xml:space="preserve"> </w:t>
      </w:r>
      <w:r w:rsidR="00E01608">
        <w:rPr>
          <w:rFonts w:ascii="Times New Roman" w:eastAsia="Calibri" w:hAnsi="Times New Roman" w:cs="Times New Roman"/>
          <w:sz w:val="24"/>
          <w:szCs w:val="24"/>
        </w:rPr>
        <w:t>in</w:t>
      </w:r>
      <w:r w:rsidRPr="00186246">
        <w:rPr>
          <w:rFonts w:ascii="Times New Roman" w:eastAsia="Calibri" w:hAnsi="Times New Roman" w:cs="Times New Roman"/>
          <w:sz w:val="24"/>
          <w:szCs w:val="24"/>
        </w:rPr>
        <w:t xml:space="preserve"> risk</w:t>
      </w:r>
      <w:r w:rsidRPr="00BB4864">
        <w:rPr>
          <w:rFonts w:ascii="Times New Roman" w:eastAsia="Calibri" w:hAnsi="Times New Roman" w:cs="Times New Roman"/>
          <w:sz w:val="24"/>
          <w:szCs w:val="24"/>
        </w:rPr>
        <w:t xml:space="preserve"> between manual and non-manual occupations.</w:t>
      </w:r>
      <w:r w:rsidR="00186246">
        <w:rPr>
          <w:rFonts w:ascii="Times New Roman" w:eastAsia="Calibri" w:hAnsi="Times New Roman" w:cs="Times New Roman"/>
          <w:sz w:val="24"/>
          <w:szCs w:val="24"/>
        </w:rPr>
        <w:t xml:space="preserve">  Moreover, </w:t>
      </w:r>
      <w:r w:rsidR="00186246" w:rsidRPr="00186246">
        <w:rPr>
          <w:rFonts w:ascii="Times New Roman" w:eastAsia="Calibri" w:hAnsi="Times New Roman" w:cs="Times New Roman"/>
          <w:sz w:val="24"/>
          <w:szCs w:val="24"/>
        </w:rPr>
        <w:t>potential biases</w:t>
      </w:r>
      <w:r w:rsidR="00186246">
        <w:rPr>
          <w:rFonts w:ascii="Times New Roman" w:eastAsia="Calibri" w:hAnsi="Times New Roman" w:cs="Times New Roman"/>
          <w:sz w:val="24"/>
          <w:szCs w:val="24"/>
        </w:rPr>
        <w:t xml:space="preserve"> would</w:t>
      </w:r>
      <w:r w:rsidR="00186246" w:rsidRPr="00186246">
        <w:rPr>
          <w:rFonts w:ascii="Times New Roman" w:eastAsia="Calibri" w:hAnsi="Times New Roman" w:cs="Times New Roman"/>
          <w:sz w:val="24"/>
          <w:szCs w:val="24"/>
        </w:rPr>
        <w:t xml:space="preserve"> act in opposite directions</w:t>
      </w:r>
      <w:r w:rsidR="00186246">
        <w:rPr>
          <w:rFonts w:ascii="Times New Roman" w:eastAsia="Calibri" w:hAnsi="Times New Roman" w:cs="Times New Roman"/>
          <w:sz w:val="24"/>
          <w:szCs w:val="24"/>
        </w:rPr>
        <w:t>.</w:t>
      </w:r>
      <w:r>
        <w:rPr>
          <w:rFonts w:ascii="Times New Roman" w:eastAsia="Calibri" w:hAnsi="Times New Roman" w:cs="Times New Roman"/>
          <w:sz w:val="24"/>
          <w:szCs w:val="24"/>
        </w:rPr>
        <w:t>)</w:t>
      </w:r>
    </w:p>
    <w:p w:rsidR="00186246" w:rsidRDefault="00186246" w:rsidP="00863A02">
      <w:pPr>
        <w:widowControl w:val="0"/>
        <w:rPr>
          <w:rFonts w:ascii="Times New Roman" w:eastAsia="Calibri" w:hAnsi="Times New Roman" w:cs="Times New Roman"/>
          <w:sz w:val="24"/>
          <w:szCs w:val="24"/>
        </w:rPr>
      </w:pPr>
    </w:p>
    <w:p w:rsidR="00D702D4" w:rsidRDefault="00186246" w:rsidP="00863A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5E534B">
        <w:rPr>
          <w:rFonts w:ascii="Times New Roman" w:eastAsia="Calibri" w:hAnsi="Times New Roman" w:cs="Times New Roman"/>
          <w:sz w:val="24"/>
          <w:szCs w:val="24"/>
        </w:rPr>
        <w:t>CPRD</w:t>
      </w:r>
      <w:r>
        <w:rPr>
          <w:rFonts w:ascii="Times New Roman" w:eastAsia="Calibri" w:hAnsi="Times New Roman" w:cs="Times New Roman"/>
          <w:sz w:val="24"/>
          <w:szCs w:val="24"/>
        </w:rPr>
        <w:t xml:space="preserve"> record </w:t>
      </w:r>
      <w:r w:rsidR="00186CCB">
        <w:rPr>
          <w:rFonts w:ascii="Times New Roman" w:eastAsia="Calibri" w:hAnsi="Times New Roman" w:cs="Times New Roman"/>
          <w:sz w:val="24"/>
          <w:szCs w:val="24"/>
        </w:rPr>
        <w:t>tend</w:t>
      </w:r>
      <w:r w:rsidR="00D702D4">
        <w:rPr>
          <w:rFonts w:ascii="Times New Roman" w:eastAsia="Calibri" w:hAnsi="Times New Roman" w:cs="Times New Roman"/>
          <w:sz w:val="24"/>
          <w:szCs w:val="24"/>
        </w:rPr>
        <w:t xml:space="preserve">s </w:t>
      </w:r>
      <w:r w:rsidR="00186CCB">
        <w:rPr>
          <w:rFonts w:ascii="Times New Roman" w:eastAsia="Calibri" w:hAnsi="Times New Roman" w:cs="Times New Roman"/>
          <w:sz w:val="24"/>
          <w:szCs w:val="24"/>
        </w:rPr>
        <w:t>to</w:t>
      </w:r>
      <w:r>
        <w:rPr>
          <w:rFonts w:ascii="Times New Roman" w:eastAsia="Calibri" w:hAnsi="Times New Roman" w:cs="Times New Roman"/>
          <w:sz w:val="24"/>
          <w:szCs w:val="24"/>
        </w:rPr>
        <w:t xml:space="preserve"> lack </w:t>
      </w:r>
      <w:r w:rsidR="000C4C7D">
        <w:rPr>
          <w:rFonts w:ascii="Times New Roman" w:eastAsia="Calibri" w:hAnsi="Times New Roman" w:cs="Times New Roman"/>
          <w:sz w:val="24"/>
          <w:szCs w:val="24"/>
        </w:rPr>
        <w:t>information</w:t>
      </w:r>
      <w:r>
        <w:rPr>
          <w:rFonts w:ascii="Times New Roman" w:eastAsia="Calibri" w:hAnsi="Times New Roman" w:cs="Times New Roman"/>
          <w:sz w:val="24"/>
          <w:szCs w:val="24"/>
        </w:rPr>
        <w:t xml:space="preserve"> on the circumstances of</w:t>
      </w:r>
      <w:r w:rsidR="005E534B">
        <w:rPr>
          <w:rFonts w:ascii="Times New Roman" w:eastAsia="Calibri" w:hAnsi="Times New Roman" w:cs="Times New Roman"/>
          <w:sz w:val="24"/>
          <w:szCs w:val="24"/>
        </w:rPr>
        <w:t xml:space="preserve"> occupational</w:t>
      </w:r>
      <w:r>
        <w:rPr>
          <w:rFonts w:ascii="Times New Roman" w:eastAsia="Calibri" w:hAnsi="Times New Roman" w:cs="Times New Roman"/>
          <w:sz w:val="24"/>
          <w:szCs w:val="24"/>
        </w:rPr>
        <w:t xml:space="preserve"> injury</w:t>
      </w:r>
      <w:r w:rsidR="00DE39D6">
        <w:rPr>
          <w:rFonts w:ascii="Times New Roman" w:eastAsia="Calibri" w:hAnsi="Times New Roman" w:cs="Times New Roman"/>
          <w:sz w:val="24"/>
          <w:szCs w:val="24"/>
        </w:rPr>
        <w:t xml:space="preserve"> and</w:t>
      </w:r>
      <w:r w:rsidR="00D702D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some </w:t>
      </w:r>
      <w:r w:rsidRPr="00186246">
        <w:rPr>
          <w:rFonts w:ascii="Times New Roman" w:eastAsia="Calibri" w:hAnsi="Times New Roman" w:cs="Times New Roman"/>
          <w:sz w:val="24"/>
          <w:szCs w:val="24"/>
        </w:rPr>
        <w:t>cases</w:t>
      </w:r>
      <w:r>
        <w:rPr>
          <w:rFonts w:ascii="Times New Roman" w:eastAsia="Calibri" w:hAnsi="Times New Roman" w:cs="Times New Roman"/>
          <w:sz w:val="24"/>
          <w:szCs w:val="24"/>
        </w:rPr>
        <w:t xml:space="preserve"> </w:t>
      </w:r>
      <w:r w:rsidR="00D702D4">
        <w:rPr>
          <w:rFonts w:ascii="Times New Roman" w:eastAsia="Calibri" w:hAnsi="Times New Roman" w:cs="Times New Roman"/>
          <w:sz w:val="24"/>
          <w:szCs w:val="24"/>
        </w:rPr>
        <w:t>could have been</w:t>
      </w:r>
      <w:r w:rsidRPr="00186246">
        <w:rPr>
          <w:rFonts w:ascii="Times New Roman" w:eastAsia="Calibri" w:hAnsi="Times New Roman" w:cs="Times New Roman"/>
          <w:sz w:val="24"/>
          <w:szCs w:val="24"/>
        </w:rPr>
        <w:t xml:space="preserve"> injured through</w:t>
      </w:r>
      <w:r w:rsidR="00F865F1">
        <w:rPr>
          <w:rFonts w:ascii="Times New Roman" w:eastAsia="Calibri" w:hAnsi="Times New Roman" w:cs="Times New Roman"/>
          <w:sz w:val="24"/>
          <w:szCs w:val="24"/>
        </w:rPr>
        <w:t xml:space="preserve"> the fault of</w:t>
      </w:r>
      <w:r w:rsidRPr="00186246">
        <w:rPr>
          <w:rFonts w:ascii="Times New Roman" w:eastAsia="Calibri" w:hAnsi="Times New Roman" w:cs="Times New Roman"/>
          <w:sz w:val="24"/>
          <w:szCs w:val="24"/>
        </w:rPr>
        <w:t xml:space="preserve"> </w:t>
      </w:r>
      <w:r w:rsidR="00F865F1">
        <w:rPr>
          <w:rFonts w:ascii="Times New Roman" w:eastAsia="Calibri" w:hAnsi="Times New Roman" w:cs="Times New Roman"/>
          <w:sz w:val="24"/>
          <w:szCs w:val="24"/>
        </w:rPr>
        <w:t>third parties</w:t>
      </w:r>
      <w:r>
        <w:rPr>
          <w:rFonts w:ascii="Times New Roman" w:eastAsia="Calibri" w:hAnsi="Times New Roman" w:cs="Times New Roman"/>
          <w:sz w:val="24"/>
          <w:szCs w:val="24"/>
        </w:rPr>
        <w:t xml:space="preserve"> </w:t>
      </w:r>
      <w:r w:rsidR="00186CCB">
        <w:rPr>
          <w:rFonts w:ascii="Times New Roman" w:eastAsia="Calibri" w:hAnsi="Times New Roman" w:cs="Times New Roman"/>
          <w:sz w:val="24"/>
          <w:szCs w:val="24"/>
        </w:rPr>
        <w:t>rather than</w:t>
      </w:r>
      <w:r w:rsidR="000C4C7D">
        <w:rPr>
          <w:rFonts w:ascii="Times New Roman" w:eastAsia="Calibri" w:hAnsi="Times New Roman" w:cs="Times New Roman"/>
          <w:sz w:val="24"/>
          <w:szCs w:val="24"/>
        </w:rPr>
        <w:t xml:space="preserve"> </w:t>
      </w:r>
      <w:r w:rsidR="00A01114">
        <w:rPr>
          <w:rFonts w:ascii="Times New Roman" w:eastAsia="Calibri" w:hAnsi="Times New Roman" w:cs="Times New Roman"/>
          <w:sz w:val="24"/>
          <w:szCs w:val="24"/>
        </w:rPr>
        <w:t>themselves</w:t>
      </w:r>
      <w:r w:rsidRPr="00186246">
        <w:rPr>
          <w:rFonts w:ascii="Times New Roman" w:eastAsia="Calibri" w:hAnsi="Times New Roman" w:cs="Times New Roman"/>
          <w:sz w:val="24"/>
          <w:szCs w:val="24"/>
        </w:rPr>
        <w:t xml:space="preserve">. </w:t>
      </w:r>
      <w:r w:rsidR="001D71E5" w:rsidRPr="00DE39D6">
        <w:rPr>
          <w:rFonts w:ascii="Times New Roman" w:eastAsia="Calibri" w:hAnsi="Times New Roman" w:cs="Times New Roman"/>
          <w:sz w:val="24"/>
          <w:szCs w:val="24"/>
        </w:rPr>
        <w:t xml:space="preserve">Furthermore, some codes were ambiguous as to occupational causation (such that 15% of cases were possibly, but not probably occupational, as judged independently by two of us (KTP and ECH) blinded to exposure status). </w:t>
      </w:r>
      <w:r w:rsidR="00536DFE" w:rsidRPr="00DE39D6">
        <w:rPr>
          <w:rFonts w:ascii="Times New Roman" w:eastAsia="Calibri" w:hAnsi="Times New Roman" w:cs="Times New Roman"/>
          <w:sz w:val="24"/>
          <w:szCs w:val="24"/>
        </w:rPr>
        <w:t>S</w:t>
      </w:r>
      <w:r w:rsidR="000C4C7D" w:rsidRPr="00DE39D6">
        <w:rPr>
          <w:rFonts w:ascii="Times New Roman" w:eastAsia="Calibri" w:hAnsi="Times New Roman" w:cs="Times New Roman"/>
          <w:sz w:val="24"/>
          <w:szCs w:val="24"/>
        </w:rPr>
        <w:t>uch error</w:t>
      </w:r>
      <w:r w:rsidR="001D71E5" w:rsidRPr="00DE39D6">
        <w:rPr>
          <w:rFonts w:ascii="Times New Roman" w:eastAsia="Calibri" w:hAnsi="Times New Roman" w:cs="Times New Roman"/>
          <w:sz w:val="24"/>
          <w:szCs w:val="24"/>
        </w:rPr>
        <w:t>s</w:t>
      </w:r>
      <w:r w:rsidR="00D702D4" w:rsidRPr="00D702D4">
        <w:rPr>
          <w:rFonts w:ascii="Times New Roman" w:eastAsia="Calibri" w:hAnsi="Times New Roman" w:cs="Times New Roman"/>
          <w:sz w:val="24"/>
          <w:szCs w:val="24"/>
        </w:rPr>
        <w:t xml:space="preserve"> </w:t>
      </w:r>
      <w:r w:rsidR="00D702D4">
        <w:rPr>
          <w:rFonts w:ascii="Times New Roman" w:eastAsia="Calibri" w:hAnsi="Times New Roman" w:cs="Times New Roman"/>
          <w:sz w:val="24"/>
          <w:szCs w:val="24"/>
        </w:rPr>
        <w:t>would, if anything,</w:t>
      </w:r>
      <w:r w:rsidR="005E534B">
        <w:rPr>
          <w:rFonts w:ascii="Times New Roman" w:eastAsia="Calibri" w:hAnsi="Times New Roman" w:cs="Times New Roman"/>
          <w:sz w:val="24"/>
          <w:szCs w:val="24"/>
        </w:rPr>
        <w:t xml:space="preserve"> </w:t>
      </w:r>
      <w:r w:rsidR="000C4C7D">
        <w:rPr>
          <w:rFonts w:ascii="Times New Roman" w:eastAsia="Calibri" w:hAnsi="Times New Roman" w:cs="Times New Roman"/>
          <w:sz w:val="24"/>
          <w:szCs w:val="24"/>
        </w:rPr>
        <w:t>bias</w:t>
      </w:r>
      <w:r w:rsidR="00186CCB">
        <w:rPr>
          <w:rFonts w:ascii="Times New Roman" w:eastAsia="Calibri" w:hAnsi="Times New Roman" w:cs="Times New Roman"/>
          <w:sz w:val="24"/>
          <w:szCs w:val="24"/>
        </w:rPr>
        <w:t xml:space="preserve"> risk</w:t>
      </w:r>
      <w:r w:rsidR="005E534B">
        <w:rPr>
          <w:rFonts w:ascii="Times New Roman" w:eastAsia="Calibri" w:hAnsi="Times New Roman" w:cs="Times New Roman"/>
          <w:sz w:val="24"/>
          <w:szCs w:val="24"/>
        </w:rPr>
        <w:t xml:space="preserve"> estimates</w:t>
      </w:r>
      <w:r w:rsidR="00186CCB">
        <w:rPr>
          <w:rFonts w:ascii="Times New Roman" w:eastAsia="Calibri" w:hAnsi="Times New Roman" w:cs="Times New Roman"/>
          <w:sz w:val="24"/>
          <w:szCs w:val="24"/>
        </w:rPr>
        <w:t xml:space="preserve"> </w:t>
      </w:r>
      <w:r w:rsidR="000C4C7D">
        <w:rPr>
          <w:rFonts w:ascii="Times New Roman" w:eastAsia="Calibri" w:hAnsi="Times New Roman" w:cs="Times New Roman"/>
          <w:sz w:val="24"/>
          <w:szCs w:val="24"/>
        </w:rPr>
        <w:t xml:space="preserve">towards the null and </w:t>
      </w:r>
      <w:r w:rsidR="00536DFE">
        <w:rPr>
          <w:rFonts w:ascii="Times New Roman" w:eastAsia="Calibri" w:hAnsi="Times New Roman" w:cs="Times New Roman"/>
          <w:sz w:val="24"/>
          <w:szCs w:val="24"/>
        </w:rPr>
        <w:t>cannot</w:t>
      </w:r>
      <w:r w:rsidR="000C4C7D">
        <w:rPr>
          <w:rFonts w:ascii="Times New Roman" w:eastAsia="Calibri" w:hAnsi="Times New Roman" w:cs="Times New Roman"/>
          <w:sz w:val="24"/>
          <w:szCs w:val="24"/>
        </w:rPr>
        <w:t xml:space="preserve"> explain the </w:t>
      </w:r>
      <w:r w:rsidR="00186CCB">
        <w:rPr>
          <w:rFonts w:ascii="Times New Roman" w:eastAsia="Calibri" w:hAnsi="Times New Roman" w:cs="Times New Roman"/>
          <w:sz w:val="24"/>
          <w:szCs w:val="24"/>
        </w:rPr>
        <w:t>elevation in risks</w:t>
      </w:r>
      <w:r w:rsidR="000C4C7D">
        <w:rPr>
          <w:rFonts w:ascii="Times New Roman" w:eastAsia="Calibri" w:hAnsi="Times New Roman" w:cs="Times New Roman"/>
          <w:sz w:val="24"/>
          <w:szCs w:val="24"/>
        </w:rPr>
        <w:t xml:space="preserve"> </w:t>
      </w:r>
      <w:r w:rsidR="005E534B">
        <w:rPr>
          <w:rFonts w:ascii="Times New Roman" w:eastAsia="Calibri" w:hAnsi="Times New Roman" w:cs="Times New Roman"/>
          <w:sz w:val="24"/>
          <w:szCs w:val="24"/>
        </w:rPr>
        <w:t xml:space="preserve">that </w:t>
      </w:r>
      <w:r w:rsidR="000C4C7D">
        <w:rPr>
          <w:rFonts w:ascii="Times New Roman" w:eastAsia="Calibri" w:hAnsi="Times New Roman" w:cs="Times New Roman"/>
          <w:sz w:val="24"/>
          <w:szCs w:val="24"/>
        </w:rPr>
        <w:t xml:space="preserve">we </w:t>
      </w:r>
      <w:r w:rsidR="005E534B">
        <w:rPr>
          <w:rFonts w:ascii="Times New Roman" w:eastAsia="Calibri" w:hAnsi="Times New Roman" w:cs="Times New Roman"/>
          <w:sz w:val="24"/>
          <w:szCs w:val="24"/>
        </w:rPr>
        <w:t>observed</w:t>
      </w:r>
      <w:r w:rsidR="000C4C7D">
        <w:rPr>
          <w:rFonts w:ascii="Times New Roman" w:eastAsia="Calibri" w:hAnsi="Times New Roman" w:cs="Times New Roman"/>
          <w:sz w:val="24"/>
          <w:szCs w:val="24"/>
        </w:rPr>
        <w:t xml:space="preserve">. Risks of workplace injury </w:t>
      </w:r>
      <w:r w:rsidR="00536DFE">
        <w:rPr>
          <w:rFonts w:ascii="Times New Roman" w:eastAsia="Calibri" w:hAnsi="Times New Roman" w:cs="Times New Roman"/>
          <w:sz w:val="24"/>
          <w:szCs w:val="24"/>
        </w:rPr>
        <w:t>could</w:t>
      </w:r>
      <w:r w:rsidR="000C4C7D">
        <w:rPr>
          <w:rFonts w:ascii="Times New Roman" w:eastAsia="Calibri" w:hAnsi="Times New Roman" w:cs="Times New Roman"/>
          <w:sz w:val="24"/>
          <w:szCs w:val="24"/>
        </w:rPr>
        <w:t xml:space="preserve"> also have been </w:t>
      </w:r>
      <w:r w:rsidR="005E534B">
        <w:rPr>
          <w:rFonts w:ascii="Times New Roman" w:eastAsia="Calibri" w:hAnsi="Times New Roman" w:cs="Times New Roman"/>
          <w:sz w:val="24"/>
          <w:szCs w:val="24"/>
        </w:rPr>
        <w:t>reduced</w:t>
      </w:r>
      <w:r w:rsidR="00536DFE">
        <w:rPr>
          <w:rFonts w:ascii="Times New Roman" w:eastAsia="Calibri" w:hAnsi="Times New Roman" w:cs="Times New Roman"/>
          <w:sz w:val="24"/>
          <w:szCs w:val="24"/>
        </w:rPr>
        <w:t xml:space="preserve"> </w:t>
      </w:r>
      <w:r w:rsidR="000C4C7D">
        <w:rPr>
          <w:rFonts w:ascii="Times New Roman" w:eastAsia="Calibri" w:hAnsi="Times New Roman" w:cs="Times New Roman"/>
          <w:sz w:val="24"/>
          <w:szCs w:val="24"/>
        </w:rPr>
        <w:t xml:space="preserve">by </w:t>
      </w:r>
      <w:r w:rsidR="00186CCB">
        <w:rPr>
          <w:rFonts w:ascii="Times New Roman" w:eastAsia="Calibri" w:hAnsi="Times New Roman" w:cs="Times New Roman"/>
          <w:sz w:val="24"/>
          <w:szCs w:val="24"/>
        </w:rPr>
        <w:t>health</w:t>
      </w:r>
      <w:r w:rsidR="000456B8">
        <w:rPr>
          <w:rFonts w:ascii="Times New Roman" w:eastAsia="Calibri" w:hAnsi="Times New Roman" w:cs="Times New Roman"/>
          <w:sz w:val="24"/>
          <w:szCs w:val="24"/>
        </w:rPr>
        <w:t>y worker</w:t>
      </w:r>
      <w:r w:rsidR="00186CCB">
        <w:rPr>
          <w:rFonts w:ascii="Times New Roman" w:eastAsia="Calibri" w:hAnsi="Times New Roman" w:cs="Times New Roman"/>
          <w:sz w:val="24"/>
          <w:szCs w:val="24"/>
        </w:rPr>
        <w:t xml:space="preserve"> </w:t>
      </w:r>
      <w:r w:rsidR="000C4C7D">
        <w:rPr>
          <w:rFonts w:ascii="Times New Roman" w:eastAsia="Calibri" w:hAnsi="Times New Roman" w:cs="Times New Roman"/>
          <w:sz w:val="24"/>
          <w:szCs w:val="24"/>
        </w:rPr>
        <w:t>selection</w:t>
      </w:r>
      <w:r w:rsidR="000456B8">
        <w:rPr>
          <w:rFonts w:ascii="Times New Roman" w:eastAsia="Calibri" w:hAnsi="Times New Roman" w:cs="Times New Roman"/>
          <w:sz w:val="24"/>
          <w:szCs w:val="24"/>
        </w:rPr>
        <w:t xml:space="preserve"> effects</w:t>
      </w:r>
      <w:r w:rsidR="00536DFE">
        <w:rPr>
          <w:rFonts w:ascii="Times New Roman" w:eastAsia="Calibri" w:hAnsi="Times New Roman" w:cs="Times New Roman"/>
          <w:sz w:val="24"/>
          <w:szCs w:val="24"/>
        </w:rPr>
        <w:t xml:space="preserve"> </w:t>
      </w:r>
      <w:r w:rsidR="00A01114">
        <w:rPr>
          <w:rFonts w:ascii="Times New Roman" w:eastAsia="Calibri" w:hAnsi="Times New Roman" w:cs="Times New Roman"/>
          <w:sz w:val="24"/>
          <w:szCs w:val="24"/>
        </w:rPr>
        <w:t>in</w:t>
      </w:r>
      <w:r w:rsidR="00536DFE">
        <w:rPr>
          <w:rFonts w:ascii="Times New Roman" w:eastAsia="Calibri" w:hAnsi="Times New Roman" w:cs="Times New Roman"/>
          <w:sz w:val="24"/>
          <w:szCs w:val="24"/>
        </w:rPr>
        <w:t xml:space="preserve"> the study population</w:t>
      </w:r>
      <w:r w:rsidR="005E534B">
        <w:rPr>
          <w:rFonts w:ascii="Times New Roman" w:eastAsia="Calibri" w:hAnsi="Times New Roman" w:cs="Times New Roman"/>
          <w:sz w:val="24"/>
          <w:szCs w:val="24"/>
        </w:rPr>
        <w:t xml:space="preserve"> –</w:t>
      </w:r>
      <w:r w:rsidR="00186CCB">
        <w:rPr>
          <w:rFonts w:ascii="Times New Roman" w:eastAsia="Calibri" w:hAnsi="Times New Roman" w:cs="Times New Roman"/>
          <w:sz w:val="24"/>
          <w:szCs w:val="24"/>
        </w:rPr>
        <w:t xml:space="preserve"> for example,</w:t>
      </w:r>
      <w:r w:rsidR="000C4C7D">
        <w:rPr>
          <w:rFonts w:ascii="Times New Roman" w:eastAsia="Calibri" w:hAnsi="Times New Roman" w:cs="Times New Roman"/>
          <w:sz w:val="24"/>
          <w:szCs w:val="24"/>
        </w:rPr>
        <w:t xml:space="preserve"> subjects</w:t>
      </w:r>
      <w:r w:rsidR="000C4C7D" w:rsidRPr="000C4C7D">
        <w:rPr>
          <w:rFonts w:ascii="Times New Roman" w:eastAsia="Calibri" w:hAnsi="Times New Roman" w:cs="Times New Roman"/>
          <w:sz w:val="24"/>
          <w:szCs w:val="24"/>
        </w:rPr>
        <w:t xml:space="preserve"> with health problems </w:t>
      </w:r>
      <w:r w:rsidR="005E534B">
        <w:rPr>
          <w:rFonts w:ascii="Times New Roman" w:eastAsia="Calibri" w:hAnsi="Times New Roman" w:cs="Times New Roman"/>
          <w:sz w:val="24"/>
          <w:szCs w:val="24"/>
        </w:rPr>
        <w:t>opting</w:t>
      </w:r>
      <w:r w:rsidR="000C4C7D">
        <w:rPr>
          <w:rFonts w:ascii="Times New Roman" w:eastAsia="Calibri" w:hAnsi="Times New Roman" w:cs="Times New Roman"/>
          <w:sz w:val="24"/>
          <w:szCs w:val="24"/>
        </w:rPr>
        <w:t xml:space="preserve"> for</w:t>
      </w:r>
      <w:r w:rsidR="000C4C7D" w:rsidRPr="000C4C7D">
        <w:rPr>
          <w:rFonts w:ascii="Times New Roman" w:eastAsia="Calibri" w:hAnsi="Times New Roman" w:cs="Times New Roman"/>
          <w:sz w:val="24"/>
          <w:szCs w:val="24"/>
        </w:rPr>
        <w:t xml:space="preserve"> </w:t>
      </w:r>
      <w:r w:rsidR="000C4C7D">
        <w:rPr>
          <w:rFonts w:ascii="Times New Roman" w:eastAsia="Calibri" w:hAnsi="Times New Roman" w:cs="Times New Roman"/>
          <w:sz w:val="24"/>
          <w:szCs w:val="24"/>
        </w:rPr>
        <w:t>work with less injury potential</w:t>
      </w:r>
      <w:r w:rsidR="000C4C7D" w:rsidRPr="000C4C7D">
        <w:rPr>
          <w:rFonts w:ascii="Times New Roman" w:eastAsia="Calibri" w:hAnsi="Times New Roman" w:cs="Times New Roman"/>
          <w:sz w:val="24"/>
          <w:szCs w:val="24"/>
        </w:rPr>
        <w:t xml:space="preserve"> or</w:t>
      </w:r>
      <w:r w:rsidR="000C4C7D">
        <w:rPr>
          <w:rFonts w:ascii="Times New Roman" w:eastAsia="Calibri" w:hAnsi="Times New Roman" w:cs="Times New Roman"/>
          <w:sz w:val="24"/>
          <w:szCs w:val="24"/>
        </w:rPr>
        <w:t xml:space="preserve"> </w:t>
      </w:r>
      <w:r w:rsidR="005E534B">
        <w:rPr>
          <w:rFonts w:ascii="Times New Roman" w:eastAsia="Calibri" w:hAnsi="Times New Roman" w:cs="Times New Roman"/>
          <w:sz w:val="24"/>
          <w:szCs w:val="24"/>
        </w:rPr>
        <w:t>being</w:t>
      </w:r>
      <w:r w:rsidR="00536DFE">
        <w:rPr>
          <w:rFonts w:ascii="Times New Roman" w:eastAsia="Calibri" w:hAnsi="Times New Roman" w:cs="Times New Roman"/>
          <w:sz w:val="24"/>
          <w:szCs w:val="24"/>
        </w:rPr>
        <w:t xml:space="preserve"> screened out of hazardous work</w:t>
      </w:r>
      <w:r w:rsidR="00A01114">
        <w:rPr>
          <w:rFonts w:ascii="Times New Roman" w:eastAsia="Calibri" w:hAnsi="Times New Roman" w:cs="Times New Roman"/>
          <w:sz w:val="24"/>
          <w:szCs w:val="24"/>
        </w:rPr>
        <w:t xml:space="preserve">. This well-known effect would not </w:t>
      </w:r>
      <w:r w:rsidR="003F1052">
        <w:rPr>
          <w:rFonts w:ascii="Times New Roman" w:eastAsia="Calibri" w:hAnsi="Times New Roman" w:cs="Times New Roman"/>
          <w:sz w:val="24"/>
          <w:szCs w:val="24"/>
        </w:rPr>
        <w:t xml:space="preserve">compromise </w:t>
      </w:r>
      <w:r w:rsidR="00D702D4">
        <w:rPr>
          <w:rFonts w:ascii="Times New Roman" w:eastAsia="Calibri" w:hAnsi="Times New Roman" w:cs="Times New Roman"/>
          <w:sz w:val="24"/>
          <w:szCs w:val="24"/>
        </w:rPr>
        <w:t>the internal validity of our study</w:t>
      </w:r>
      <w:r w:rsidR="00A01114">
        <w:rPr>
          <w:rFonts w:ascii="Times New Roman" w:eastAsia="Calibri" w:hAnsi="Times New Roman" w:cs="Times New Roman"/>
          <w:sz w:val="24"/>
          <w:szCs w:val="24"/>
        </w:rPr>
        <w:t xml:space="preserve"> (</w:t>
      </w:r>
      <w:r w:rsidR="00D702D4">
        <w:rPr>
          <w:rFonts w:ascii="Times New Roman" w:eastAsia="Calibri" w:hAnsi="Times New Roman" w:cs="Times New Roman"/>
          <w:sz w:val="24"/>
          <w:szCs w:val="24"/>
        </w:rPr>
        <w:t xml:space="preserve">as </w:t>
      </w:r>
      <w:r w:rsidR="00536DFE">
        <w:rPr>
          <w:rFonts w:ascii="Times New Roman" w:eastAsia="Calibri" w:hAnsi="Times New Roman" w:cs="Times New Roman"/>
          <w:sz w:val="24"/>
          <w:szCs w:val="24"/>
        </w:rPr>
        <w:t>risks in workplaces</w:t>
      </w:r>
      <w:r w:rsidR="00536DFE" w:rsidRPr="00536DFE">
        <w:rPr>
          <w:rFonts w:ascii="Times New Roman" w:eastAsia="Calibri" w:hAnsi="Times New Roman" w:cs="Times New Roman"/>
          <w:sz w:val="24"/>
          <w:szCs w:val="24"/>
        </w:rPr>
        <w:t xml:space="preserve"> </w:t>
      </w:r>
      <w:r w:rsidR="00D702D4">
        <w:rPr>
          <w:rFonts w:ascii="Times New Roman" w:eastAsia="Calibri" w:hAnsi="Times New Roman" w:cs="Times New Roman"/>
          <w:sz w:val="24"/>
          <w:szCs w:val="24"/>
        </w:rPr>
        <w:t xml:space="preserve">would </w:t>
      </w:r>
      <w:r w:rsidR="00536DFE">
        <w:rPr>
          <w:rFonts w:ascii="Times New Roman" w:eastAsia="Calibri" w:hAnsi="Times New Roman" w:cs="Times New Roman"/>
          <w:sz w:val="24"/>
          <w:szCs w:val="24"/>
        </w:rPr>
        <w:t>truly</w:t>
      </w:r>
      <w:r w:rsidR="00D702D4">
        <w:rPr>
          <w:rFonts w:ascii="Times New Roman" w:eastAsia="Calibri" w:hAnsi="Times New Roman" w:cs="Times New Roman"/>
          <w:sz w:val="24"/>
          <w:szCs w:val="24"/>
        </w:rPr>
        <w:t xml:space="preserve"> be</w:t>
      </w:r>
      <w:r w:rsidR="00536DFE">
        <w:rPr>
          <w:rFonts w:ascii="Times New Roman" w:eastAsia="Calibri" w:hAnsi="Times New Roman" w:cs="Times New Roman"/>
          <w:sz w:val="24"/>
          <w:szCs w:val="24"/>
        </w:rPr>
        <w:t xml:space="preserve"> </w:t>
      </w:r>
      <w:r w:rsidR="00A01114">
        <w:rPr>
          <w:rFonts w:ascii="Times New Roman" w:eastAsia="Calibri" w:hAnsi="Times New Roman" w:cs="Times New Roman"/>
          <w:sz w:val="24"/>
          <w:szCs w:val="24"/>
        </w:rPr>
        <w:t>lower),</w:t>
      </w:r>
      <w:r w:rsidR="00536DFE">
        <w:rPr>
          <w:rFonts w:ascii="Times New Roman" w:eastAsia="Calibri" w:hAnsi="Times New Roman" w:cs="Times New Roman"/>
          <w:sz w:val="24"/>
          <w:szCs w:val="24"/>
        </w:rPr>
        <w:t xml:space="preserve"> but </w:t>
      </w:r>
      <w:r w:rsidR="00D702D4">
        <w:rPr>
          <w:rFonts w:ascii="Times New Roman" w:eastAsia="Calibri" w:hAnsi="Times New Roman" w:cs="Times New Roman"/>
          <w:sz w:val="24"/>
          <w:szCs w:val="24"/>
        </w:rPr>
        <w:t>is a threat to external validity, as simple extrapolation to unselected workforces could lead to an underestimation of risks.</w:t>
      </w:r>
      <w:r w:rsidR="00020814">
        <w:rPr>
          <w:rFonts w:ascii="Times New Roman" w:eastAsia="Calibri" w:hAnsi="Times New Roman" w:cs="Times New Roman"/>
          <w:sz w:val="24"/>
          <w:szCs w:val="24"/>
        </w:rPr>
        <w:t xml:space="preserve"> </w:t>
      </w:r>
    </w:p>
    <w:p w:rsidR="00536DFE" w:rsidRDefault="00536DFE" w:rsidP="00863A02">
      <w:pPr>
        <w:widowControl w:val="0"/>
        <w:rPr>
          <w:rFonts w:ascii="Times New Roman" w:eastAsia="Calibri" w:hAnsi="Times New Roman" w:cs="Times New Roman"/>
          <w:sz w:val="24"/>
          <w:szCs w:val="24"/>
        </w:rPr>
      </w:pPr>
    </w:p>
    <w:p w:rsidR="00012E88" w:rsidRDefault="00863A02" w:rsidP="00C21FDD">
      <w:pPr>
        <w:widowControl w:val="0"/>
        <w:rPr>
          <w:rFonts w:ascii="Times New Roman" w:hAnsi="Times New Roman" w:cs="Times New Roman"/>
          <w:sz w:val="24"/>
          <w:szCs w:val="24"/>
        </w:rPr>
      </w:pPr>
      <w:r>
        <w:rPr>
          <w:rFonts w:ascii="Times New Roman" w:hAnsi="Times New Roman" w:cs="Times New Roman"/>
          <w:sz w:val="24"/>
          <w:szCs w:val="24"/>
        </w:rPr>
        <w:lastRenderedPageBreak/>
        <w:t xml:space="preserve">A notable strength of the </w:t>
      </w:r>
      <w:r w:rsidR="00186246">
        <w:rPr>
          <w:rFonts w:ascii="Times New Roman" w:hAnsi="Times New Roman" w:cs="Times New Roman"/>
          <w:sz w:val="24"/>
          <w:szCs w:val="24"/>
        </w:rPr>
        <w:t>CPRD</w:t>
      </w:r>
      <w:r>
        <w:rPr>
          <w:rFonts w:ascii="Times New Roman" w:hAnsi="Times New Roman" w:cs="Times New Roman"/>
          <w:sz w:val="24"/>
          <w:szCs w:val="24"/>
        </w:rPr>
        <w:t xml:space="preserve"> </w:t>
      </w:r>
      <w:r w:rsidR="00186CCB">
        <w:rPr>
          <w:rFonts w:ascii="Times New Roman" w:hAnsi="Times New Roman" w:cs="Times New Roman"/>
          <w:sz w:val="24"/>
          <w:szCs w:val="24"/>
        </w:rPr>
        <w:t>i</w:t>
      </w:r>
      <w:r>
        <w:rPr>
          <w:rFonts w:ascii="Times New Roman" w:hAnsi="Times New Roman" w:cs="Times New Roman"/>
          <w:sz w:val="24"/>
          <w:szCs w:val="24"/>
        </w:rPr>
        <w:t>s that for</w:t>
      </w:r>
      <w:r w:rsidRPr="00863A02">
        <w:rPr>
          <w:rFonts w:ascii="Times New Roman" w:hAnsi="Times New Roman" w:cs="Times New Roman"/>
          <w:sz w:val="24"/>
          <w:szCs w:val="24"/>
        </w:rPr>
        <w:t xml:space="preserve"> </w:t>
      </w:r>
      <w:r>
        <w:rPr>
          <w:rFonts w:ascii="Times New Roman" w:hAnsi="Times New Roman" w:cs="Times New Roman"/>
          <w:sz w:val="24"/>
          <w:szCs w:val="24"/>
        </w:rPr>
        <w:t>each subject we could access a hugely detailed medical record, in which mental health diagnoses and treatments had been contemporaneously logged, independent</w:t>
      </w:r>
      <w:r w:rsidR="003F1052">
        <w:rPr>
          <w:rFonts w:ascii="Times New Roman" w:hAnsi="Times New Roman" w:cs="Times New Roman"/>
          <w:sz w:val="24"/>
          <w:szCs w:val="24"/>
        </w:rPr>
        <w:t>ly</w:t>
      </w:r>
      <w:r>
        <w:rPr>
          <w:rFonts w:ascii="Times New Roman" w:hAnsi="Times New Roman" w:cs="Times New Roman"/>
          <w:sz w:val="24"/>
          <w:szCs w:val="24"/>
        </w:rPr>
        <w:t xml:space="preserve"> of the injury consultation</w:t>
      </w:r>
      <w:r w:rsidR="003F1052">
        <w:rPr>
          <w:rFonts w:ascii="Times New Roman" w:hAnsi="Times New Roman" w:cs="Times New Roman"/>
          <w:sz w:val="24"/>
          <w:szCs w:val="24"/>
        </w:rPr>
        <w:t>,</w:t>
      </w:r>
      <w:r>
        <w:rPr>
          <w:rFonts w:ascii="Times New Roman" w:hAnsi="Times New Roman" w:cs="Times New Roman"/>
          <w:sz w:val="24"/>
          <w:szCs w:val="24"/>
        </w:rPr>
        <w:t xml:space="preserve"> and with full </w:t>
      </w:r>
      <w:r w:rsidR="003F1052">
        <w:rPr>
          <w:rFonts w:ascii="Times New Roman" w:hAnsi="Times New Roman" w:cs="Times New Roman"/>
          <w:sz w:val="24"/>
          <w:szCs w:val="24"/>
        </w:rPr>
        <w:t xml:space="preserve">information on </w:t>
      </w:r>
      <w:r>
        <w:rPr>
          <w:rFonts w:ascii="Times New Roman" w:hAnsi="Times New Roman" w:cs="Times New Roman"/>
          <w:sz w:val="24"/>
          <w:szCs w:val="24"/>
        </w:rPr>
        <w:t>date</w:t>
      </w:r>
      <w:r w:rsidR="003F1052">
        <w:rPr>
          <w:rFonts w:ascii="Times New Roman" w:hAnsi="Times New Roman" w:cs="Times New Roman"/>
          <w:sz w:val="24"/>
          <w:szCs w:val="24"/>
        </w:rPr>
        <w:t>s</w:t>
      </w:r>
      <w:r>
        <w:rPr>
          <w:rFonts w:ascii="Times New Roman" w:hAnsi="Times New Roman" w:cs="Times New Roman"/>
          <w:sz w:val="24"/>
          <w:szCs w:val="24"/>
        </w:rPr>
        <w:t xml:space="preserve"> of event</w:t>
      </w:r>
      <w:r w:rsidR="003F1052">
        <w:rPr>
          <w:rFonts w:ascii="Times New Roman" w:hAnsi="Times New Roman" w:cs="Times New Roman"/>
          <w:sz w:val="24"/>
          <w:szCs w:val="24"/>
        </w:rPr>
        <w:t>s</w:t>
      </w:r>
      <w:r>
        <w:rPr>
          <w:rFonts w:ascii="Times New Roman" w:hAnsi="Times New Roman" w:cs="Times New Roman"/>
          <w:sz w:val="24"/>
          <w:szCs w:val="24"/>
        </w:rPr>
        <w:t xml:space="preserve">. The </w:t>
      </w:r>
      <w:r w:rsidR="003F1052">
        <w:rPr>
          <w:rFonts w:ascii="Times New Roman" w:hAnsi="Times New Roman" w:cs="Times New Roman"/>
          <w:sz w:val="24"/>
          <w:szCs w:val="24"/>
        </w:rPr>
        <w:t xml:space="preserve">relative </w:t>
      </w:r>
      <w:r w:rsidR="00E01608">
        <w:rPr>
          <w:rFonts w:ascii="Times New Roman" w:hAnsi="Times New Roman" w:cs="Times New Roman"/>
          <w:sz w:val="24"/>
          <w:szCs w:val="24"/>
        </w:rPr>
        <w:t>timing</w:t>
      </w:r>
      <w:r>
        <w:rPr>
          <w:rFonts w:ascii="Times New Roman" w:hAnsi="Times New Roman" w:cs="Times New Roman"/>
          <w:sz w:val="24"/>
          <w:szCs w:val="24"/>
        </w:rPr>
        <w:t xml:space="preserve"> of events was thus </w:t>
      </w:r>
      <w:r w:rsidR="00E01608">
        <w:rPr>
          <w:rFonts w:ascii="Times New Roman" w:hAnsi="Times New Roman" w:cs="Times New Roman"/>
          <w:sz w:val="24"/>
          <w:szCs w:val="24"/>
        </w:rPr>
        <w:t>established</w:t>
      </w:r>
      <w:r>
        <w:rPr>
          <w:rFonts w:ascii="Times New Roman" w:hAnsi="Times New Roman" w:cs="Times New Roman"/>
          <w:sz w:val="24"/>
          <w:szCs w:val="24"/>
        </w:rPr>
        <w:t>, although</w:t>
      </w:r>
      <w:r w:rsidR="00186246">
        <w:rPr>
          <w:rFonts w:ascii="Times New Roman" w:hAnsi="Times New Roman" w:cs="Times New Roman"/>
          <w:sz w:val="24"/>
          <w:szCs w:val="24"/>
        </w:rPr>
        <w:t>, as a further safeguard against the</w:t>
      </w:r>
      <w:r w:rsidR="00186246" w:rsidRPr="00E07A0F">
        <w:rPr>
          <w:rFonts w:ascii="Times New Roman" w:hAnsi="Times New Roman" w:cs="Times New Roman"/>
          <w:sz w:val="24"/>
          <w:szCs w:val="24"/>
        </w:rPr>
        <w:t xml:space="preserve"> </w:t>
      </w:r>
      <w:r w:rsidR="00186246" w:rsidRPr="0093540C">
        <w:rPr>
          <w:rFonts w:ascii="Times New Roman" w:hAnsi="Times New Roman" w:cs="Times New Roman"/>
          <w:sz w:val="24"/>
          <w:szCs w:val="24"/>
        </w:rPr>
        <w:t xml:space="preserve">possibility that errors </w:t>
      </w:r>
      <w:r w:rsidR="003F1052">
        <w:rPr>
          <w:rFonts w:ascii="Times New Roman" w:hAnsi="Times New Roman" w:cs="Times New Roman"/>
          <w:sz w:val="24"/>
          <w:szCs w:val="24"/>
        </w:rPr>
        <w:t xml:space="preserve">in the coding </w:t>
      </w:r>
      <w:r w:rsidR="00186246">
        <w:rPr>
          <w:rFonts w:ascii="Times New Roman" w:hAnsi="Times New Roman" w:cs="Times New Roman"/>
          <w:sz w:val="24"/>
          <w:szCs w:val="24"/>
        </w:rPr>
        <w:t>of</w:t>
      </w:r>
      <w:r w:rsidR="00186246" w:rsidRPr="0093540C">
        <w:rPr>
          <w:rFonts w:ascii="Times New Roman" w:hAnsi="Times New Roman" w:cs="Times New Roman"/>
          <w:sz w:val="24"/>
          <w:szCs w:val="24"/>
        </w:rPr>
        <w:t xml:space="preserve"> date</w:t>
      </w:r>
      <w:r w:rsidR="003F1052">
        <w:rPr>
          <w:rFonts w:ascii="Times New Roman" w:hAnsi="Times New Roman" w:cs="Times New Roman"/>
          <w:sz w:val="24"/>
          <w:szCs w:val="24"/>
        </w:rPr>
        <w:t>s</w:t>
      </w:r>
      <w:r w:rsidR="00186246" w:rsidRPr="0093540C">
        <w:rPr>
          <w:rFonts w:ascii="Times New Roman" w:hAnsi="Times New Roman" w:cs="Times New Roman"/>
          <w:sz w:val="24"/>
          <w:szCs w:val="24"/>
        </w:rPr>
        <w:t xml:space="preserve"> </w:t>
      </w:r>
      <w:r w:rsidR="003F1052">
        <w:rPr>
          <w:rFonts w:ascii="Times New Roman" w:hAnsi="Times New Roman" w:cs="Times New Roman"/>
          <w:sz w:val="24"/>
          <w:szCs w:val="24"/>
        </w:rPr>
        <w:t>masked</w:t>
      </w:r>
      <w:r w:rsidR="00186246" w:rsidRPr="0093540C">
        <w:rPr>
          <w:rFonts w:ascii="Times New Roman" w:hAnsi="Times New Roman" w:cs="Times New Roman"/>
          <w:sz w:val="24"/>
          <w:szCs w:val="24"/>
        </w:rPr>
        <w:t xml:space="preserve"> </w:t>
      </w:r>
      <w:r w:rsidR="003F1052">
        <w:rPr>
          <w:rFonts w:ascii="Times New Roman" w:hAnsi="Times New Roman" w:cs="Times New Roman"/>
          <w:sz w:val="24"/>
          <w:szCs w:val="24"/>
        </w:rPr>
        <w:t xml:space="preserve">an element of </w:t>
      </w:r>
      <w:r w:rsidR="00186246" w:rsidRPr="0093540C">
        <w:rPr>
          <w:rFonts w:ascii="Times New Roman" w:hAnsi="Times New Roman" w:cs="Times New Roman"/>
          <w:sz w:val="24"/>
          <w:szCs w:val="24"/>
        </w:rPr>
        <w:t>reverse causation</w:t>
      </w:r>
      <w:r w:rsidR="00E01608">
        <w:rPr>
          <w:rFonts w:ascii="Times New Roman" w:hAnsi="Times New Roman" w:cs="Times New Roman"/>
          <w:sz w:val="24"/>
          <w:szCs w:val="24"/>
        </w:rPr>
        <w:t>,</w:t>
      </w:r>
      <w:r>
        <w:rPr>
          <w:rFonts w:ascii="Times New Roman" w:hAnsi="Times New Roman" w:cs="Times New Roman"/>
          <w:sz w:val="24"/>
          <w:szCs w:val="24"/>
        </w:rPr>
        <w:t xml:space="preserve"> </w:t>
      </w:r>
      <w:r w:rsidR="00186246">
        <w:rPr>
          <w:rFonts w:ascii="Times New Roman" w:hAnsi="Times New Roman" w:cs="Times New Roman"/>
          <w:sz w:val="24"/>
          <w:szCs w:val="24"/>
        </w:rPr>
        <w:t xml:space="preserve">we explored associations with diagnoses made </w:t>
      </w:r>
      <w:r w:rsidR="00186246" w:rsidRPr="0093540C">
        <w:rPr>
          <w:rFonts w:ascii="Times New Roman" w:hAnsi="Times New Roman" w:cs="Times New Roman"/>
          <w:sz w:val="24"/>
          <w:szCs w:val="24"/>
        </w:rPr>
        <w:t>at least 12 months</w:t>
      </w:r>
      <w:r w:rsidR="00186246">
        <w:rPr>
          <w:rFonts w:ascii="Times New Roman" w:hAnsi="Times New Roman" w:cs="Times New Roman"/>
          <w:sz w:val="24"/>
          <w:szCs w:val="24"/>
        </w:rPr>
        <w:t xml:space="preserve"> before the injury consultation </w:t>
      </w:r>
      <w:r>
        <w:rPr>
          <w:rFonts w:ascii="Times New Roman" w:hAnsi="Times New Roman" w:cs="Times New Roman"/>
          <w:sz w:val="24"/>
          <w:szCs w:val="24"/>
        </w:rPr>
        <w:t>in</w:t>
      </w:r>
      <w:r w:rsidR="00186246">
        <w:rPr>
          <w:rFonts w:ascii="Times New Roman" w:hAnsi="Times New Roman" w:cs="Times New Roman"/>
          <w:sz w:val="24"/>
          <w:szCs w:val="24"/>
        </w:rPr>
        <w:t xml:space="preserve"> a</w:t>
      </w:r>
      <w:r>
        <w:rPr>
          <w:rFonts w:ascii="Times New Roman" w:hAnsi="Times New Roman" w:cs="Times New Roman"/>
          <w:sz w:val="24"/>
          <w:szCs w:val="24"/>
        </w:rPr>
        <w:t xml:space="preserve"> sensitivity analysi</w:t>
      </w:r>
      <w:r w:rsidRPr="0093540C">
        <w:rPr>
          <w:rFonts w:ascii="Times New Roman" w:hAnsi="Times New Roman" w:cs="Times New Roman"/>
          <w:sz w:val="24"/>
          <w:szCs w:val="24"/>
        </w:rPr>
        <w:t>s</w:t>
      </w:r>
      <w:r>
        <w:rPr>
          <w:rFonts w:ascii="Times New Roman" w:hAnsi="Times New Roman" w:cs="Times New Roman"/>
          <w:sz w:val="24"/>
          <w:szCs w:val="24"/>
        </w:rPr>
        <w:t xml:space="preserve">: risk estimates </w:t>
      </w:r>
      <w:r w:rsidRPr="0093540C">
        <w:rPr>
          <w:rFonts w:ascii="Times New Roman" w:hAnsi="Times New Roman" w:cs="Times New Roman"/>
          <w:sz w:val="24"/>
          <w:szCs w:val="24"/>
        </w:rPr>
        <w:t>were</w:t>
      </w:r>
      <w:r>
        <w:rPr>
          <w:rFonts w:ascii="Times New Roman" w:hAnsi="Times New Roman" w:cs="Times New Roman"/>
          <w:sz w:val="24"/>
          <w:szCs w:val="24"/>
        </w:rPr>
        <w:t xml:space="preserve"> unchanged.</w:t>
      </w:r>
    </w:p>
    <w:p w:rsidR="00186CCB" w:rsidRDefault="00186CCB" w:rsidP="00C21FDD">
      <w:pPr>
        <w:widowControl w:val="0"/>
        <w:rPr>
          <w:rFonts w:ascii="Times New Roman" w:hAnsi="Times New Roman" w:cs="Times New Roman"/>
          <w:sz w:val="24"/>
          <w:szCs w:val="24"/>
        </w:rPr>
      </w:pPr>
    </w:p>
    <w:p w:rsidR="00020814" w:rsidRDefault="00020814" w:rsidP="00020814">
      <w:pPr>
        <w:widowControl w:val="0"/>
        <w:rPr>
          <w:rFonts w:ascii="Times New Roman" w:eastAsia="Calibri" w:hAnsi="Times New Roman" w:cs="Times New Roman"/>
          <w:sz w:val="24"/>
          <w:szCs w:val="24"/>
        </w:rPr>
      </w:pPr>
      <w:r>
        <w:rPr>
          <w:rFonts w:ascii="Times New Roman" w:hAnsi="Times New Roman" w:cs="Times New Roman"/>
          <w:sz w:val="24"/>
          <w:szCs w:val="24"/>
        </w:rPr>
        <w:t>A further sensitivity analysis explored risks</w:t>
      </w:r>
      <w:r w:rsidRPr="0002081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by nature and by </w:t>
      </w:r>
      <w:r w:rsidR="00B3074C">
        <w:rPr>
          <w:rFonts w:ascii="Times New Roman" w:eastAsia="Calibri" w:hAnsi="Times New Roman" w:cs="Times New Roman"/>
          <w:sz w:val="24"/>
          <w:szCs w:val="24"/>
        </w:rPr>
        <w:t xml:space="preserve">external </w:t>
      </w:r>
      <w:r>
        <w:rPr>
          <w:rFonts w:ascii="Times New Roman" w:eastAsia="Calibri" w:hAnsi="Times New Roman" w:cs="Times New Roman"/>
          <w:sz w:val="24"/>
          <w:szCs w:val="24"/>
        </w:rPr>
        <w:t>cause of injury, and found them to be broadly and generally elevated (</w:t>
      </w:r>
      <w:r w:rsidRPr="00020814">
        <w:rPr>
          <w:rFonts w:ascii="Times New Roman" w:eastAsia="Calibri" w:hAnsi="Times New Roman" w:cs="Times New Roman"/>
          <w:i/>
          <w:sz w:val="24"/>
          <w:szCs w:val="24"/>
        </w:rPr>
        <w:t xml:space="preserve">supplementary Table </w:t>
      </w:r>
      <w:r w:rsidRPr="009972A0">
        <w:rPr>
          <w:rFonts w:ascii="Times New Roman" w:eastAsia="Calibri" w:hAnsi="Times New Roman" w:cs="Times New Roman"/>
          <w:sz w:val="24"/>
          <w:szCs w:val="24"/>
        </w:rPr>
        <w:t>S</w:t>
      </w:r>
      <w:r w:rsidR="00F118F7">
        <w:rPr>
          <w:rFonts w:ascii="Times New Roman" w:eastAsia="Calibri" w:hAnsi="Times New Roman" w:cs="Times New Roman"/>
          <w:sz w:val="24"/>
          <w:szCs w:val="24"/>
        </w:rPr>
        <w:t>3</w:t>
      </w:r>
      <w:r w:rsidR="009972A0">
        <w:rPr>
          <w:rFonts w:ascii="Times New Roman" w:eastAsia="Calibri" w:hAnsi="Times New Roman" w:cs="Times New Roman"/>
          <w:sz w:val="24"/>
          <w:szCs w:val="24"/>
        </w:rPr>
        <w:t xml:space="preserve">). </w:t>
      </w:r>
      <w:r w:rsidR="009972A0" w:rsidRPr="009972A0">
        <w:rPr>
          <w:rFonts w:ascii="Times New Roman" w:eastAsia="Calibri" w:hAnsi="Times New Roman" w:cs="Times New Roman"/>
          <w:sz w:val="24"/>
          <w:szCs w:val="24"/>
        </w:rPr>
        <w:t>N</w:t>
      </w:r>
      <w:r w:rsidRPr="009972A0">
        <w:rPr>
          <w:rFonts w:ascii="Times New Roman" w:eastAsia="Calibri" w:hAnsi="Times New Roman" w:cs="Times New Roman"/>
          <w:sz w:val="24"/>
          <w:szCs w:val="24"/>
        </w:rPr>
        <w:t>on</w:t>
      </w:r>
      <w:r>
        <w:rPr>
          <w:rFonts w:ascii="Times New Roman" w:eastAsia="Calibri" w:hAnsi="Times New Roman" w:cs="Times New Roman"/>
          <w:sz w:val="24"/>
          <w:szCs w:val="24"/>
        </w:rPr>
        <w:t xml:space="preserve">-specificity of effect raises </w:t>
      </w:r>
      <w:r w:rsidR="00B3074C">
        <w:rPr>
          <w:rFonts w:ascii="Times New Roman" w:eastAsia="Calibri" w:hAnsi="Times New Roman" w:cs="Times New Roman"/>
          <w:sz w:val="24"/>
          <w:szCs w:val="24"/>
        </w:rPr>
        <w:t>a</w:t>
      </w:r>
      <w:r>
        <w:rPr>
          <w:rFonts w:ascii="Times New Roman" w:eastAsia="Calibri" w:hAnsi="Times New Roman" w:cs="Times New Roman"/>
          <w:sz w:val="24"/>
          <w:szCs w:val="24"/>
        </w:rPr>
        <w:t xml:space="preserve"> concern that risk estimates may have been inflated by an overall propensity among cases to consult a family doctor (which is a requirement both of case definition and of qualifying exposures); but a similar significant magnitude of effect among severe cases (those seen in hospitals and those with fractures and amputations) tends to argue against important bias arising in this </w:t>
      </w:r>
      <w:r w:rsidR="009972A0">
        <w:rPr>
          <w:rFonts w:ascii="Times New Roman" w:eastAsia="Calibri" w:hAnsi="Times New Roman" w:cs="Times New Roman"/>
          <w:sz w:val="24"/>
          <w:szCs w:val="24"/>
        </w:rPr>
        <w:t>fashion</w:t>
      </w:r>
      <w:r>
        <w:rPr>
          <w:rFonts w:ascii="Times New Roman" w:eastAsia="Calibri" w:hAnsi="Times New Roman" w:cs="Times New Roman"/>
          <w:sz w:val="24"/>
          <w:szCs w:val="24"/>
        </w:rPr>
        <w:t>.</w:t>
      </w:r>
    </w:p>
    <w:p w:rsidR="00020814" w:rsidRDefault="00020814" w:rsidP="00C21FDD">
      <w:pPr>
        <w:widowControl w:val="0"/>
        <w:rPr>
          <w:rFonts w:ascii="Times New Roman" w:hAnsi="Times New Roman" w:cs="Times New Roman"/>
          <w:sz w:val="24"/>
          <w:szCs w:val="24"/>
        </w:rPr>
      </w:pPr>
    </w:p>
    <w:p w:rsidR="00FE4F89" w:rsidRDefault="00017118" w:rsidP="00C21FDD">
      <w:pPr>
        <w:widowControl w:val="0"/>
        <w:rPr>
          <w:rFonts w:ascii="Times New Roman" w:hAnsi="Times New Roman" w:cs="Times New Roman"/>
          <w:sz w:val="24"/>
          <w:szCs w:val="24"/>
        </w:rPr>
      </w:pPr>
      <w:r>
        <w:rPr>
          <w:rFonts w:ascii="Times New Roman" w:hAnsi="Times New Roman" w:cs="Times New Roman"/>
          <w:sz w:val="24"/>
          <w:szCs w:val="24"/>
        </w:rPr>
        <w:t>The</w:t>
      </w:r>
      <w:r w:rsidR="00186CCB">
        <w:rPr>
          <w:rFonts w:ascii="Times New Roman" w:hAnsi="Times New Roman" w:cs="Times New Roman"/>
          <w:sz w:val="24"/>
          <w:szCs w:val="24"/>
        </w:rPr>
        <w:t xml:space="preserve"> </w:t>
      </w:r>
      <w:r>
        <w:rPr>
          <w:rFonts w:ascii="Times New Roman" w:hAnsi="Times New Roman" w:cs="Times New Roman"/>
          <w:sz w:val="24"/>
          <w:szCs w:val="24"/>
        </w:rPr>
        <w:t>findings</w:t>
      </w:r>
      <w:r w:rsidR="00186CCB">
        <w:rPr>
          <w:rFonts w:ascii="Times New Roman" w:hAnsi="Times New Roman" w:cs="Times New Roman"/>
          <w:sz w:val="24"/>
          <w:szCs w:val="24"/>
        </w:rPr>
        <w:t xml:space="preserve"> </w:t>
      </w:r>
      <w:r>
        <w:rPr>
          <w:rFonts w:ascii="Times New Roman" w:hAnsi="Times New Roman" w:cs="Times New Roman"/>
          <w:sz w:val="24"/>
          <w:szCs w:val="24"/>
        </w:rPr>
        <w:t>from this study</w:t>
      </w:r>
      <w:r w:rsidR="00186CCB" w:rsidRPr="00C95318">
        <w:rPr>
          <w:rFonts w:ascii="Times New Roman" w:hAnsi="Times New Roman" w:cs="Times New Roman"/>
          <w:sz w:val="24"/>
          <w:szCs w:val="24"/>
        </w:rPr>
        <w:t xml:space="preserve"> are broadly compatible with other published data</w:t>
      </w:r>
      <w:r w:rsidR="00FE4F89">
        <w:rPr>
          <w:rFonts w:ascii="Times New Roman" w:hAnsi="Times New Roman" w:cs="Times New Roman"/>
          <w:sz w:val="24"/>
          <w:szCs w:val="24"/>
        </w:rPr>
        <w:t xml:space="preserve"> on mental </w:t>
      </w:r>
      <w:r w:rsidR="0070545D">
        <w:rPr>
          <w:rFonts w:ascii="Times New Roman" w:hAnsi="Times New Roman" w:cs="Times New Roman"/>
          <w:sz w:val="24"/>
          <w:szCs w:val="24"/>
        </w:rPr>
        <w:t>illness</w:t>
      </w:r>
      <w:r w:rsidR="00FE4F89">
        <w:rPr>
          <w:rFonts w:ascii="Times New Roman" w:hAnsi="Times New Roman" w:cs="Times New Roman"/>
          <w:sz w:val="24"/>
          <w:szCs w:val="24"/>
        </w:rPr>
        <w:t xml:space="preserve"> and accident risk</w:t>
      </w:r>
      <w:r w:rsidR="00186CCB" w:rsidRPr="00C95318">
        <w:rPr>
          <w:rFonts w:ascii="Times New Roman" w:hAnsi="Times New Roman" w:cs="Times New Roman"/>
          <w:sz w:val="24"/>
          <w:szCs w:val="24"/>
        </w:rPr>
        <w:t>. Thus</w:t>
      </w:r>
      <w:r>
        <w:rPr>
          <w:rFonts w:ascii="Times New Roman" w:hAnsi="Times New Roman" w:cs="Times New Roman"/>
          <w:sz w:val="24"/>
          <w:szCs w:val="24"/>
        </w:rPr>
        <w:t xml:space="preserve">, in our previous review [1], </w:t>
      </w:r>
      <w:r w:rsidR="00445A11">
        <w:rPr>
          <w:rFonts w:ascii="Times New Roman" w:hAnsi="Times New Roman" w:cs="Times New Roman"/>
          <w:sz w:val="24"/>
          <w:szCs w:val="24"/>
        </w:rPr>
        <w:t>21</w:t>
      </w:r>
      <w:r>
        <w:rPr>
          <w:rFonts w:ascii="Times New Roman" w:hAnsi="Times New Roman" w:cs="Times New Roman"/>
          <w:sz w:val="24"/>
          <w:szCs w:val="24"/>
        </w:rPr>
        <w:t xml:space="preserve"> of </w:t>
      </w:r>
      <w:r w:rsidR="00445A11">
        <w:rPr>
          <w:rFonts w:ascii="Times New Roman" w:hAnsi="Times New Roman" w:cs="Times New Roman"/>
          <w:sz w:val="24"/>
          <w:szCs w:val="24"/>
        </w:rPr>
        <w:t>22</w:t>
      </w:r>
      <w:r>
        <w:rPr>
          <w:rFonts w:ascii="Times New Roman" w:hAnsi="Times New Roman" w:cs="Times New Roman"/>
          <w:sz w:val="24"/>
          <w:szCs w:val="24"/>
        </w:rPr>
        <w:t xml:space="preserve"> risk estimates</w:t>
      </w:r>
      <w:r w:rsidR="00445A11">
        <w:rPr>
          <w:rFonts w:ascii="Times New Roman" w:hAnsi="Times New Roman" w:cs="Times New Roman"/>
          <w:sz w:val="24"/>
          <w:szCs w:val="24"/>
        </w:rPr>
        <w:t xml:space="preserve"> across 11 studies</w:t>
      </w:r>
      <w:r>
        <w:rPr>
          <w:rFonts w:ascii="Times New Roman" w:hAnsi="Times New Roman" w:cs="Times New Roman"/>
          <w:sz w:val="24"/>
          <w:szCs w:val="24"/>
        </w:rPr>
        <w:t xml:space="preserve"> were elevated, </w:t>
      </w:r>
      <w:r w:rsidR="00445A11">
        <w:rPr>
          <w:rFonts w:ascii="Times New Roman" w:hAnsi="Times New Roman" w:cs="Times New Roman"/>
          <w:sz w:val="24"/>
          <w:szCs w:val="24"/>
        </w:rPr>
        <w:t>60% of them</w:t>
      </w:r>
      <w:r>
        <w:rPr>
          <w:rFonts w:ascii="Times New Roman" w:hAnsi="Times New Roman" w:cs="Times New Roman"/>
          <w:sz w:val="24"/>
          <w:szCs w:val="24"/>
        </w:rPr>
        <w:t xml:space="preserve"> significantly</w:t>
      </w:r>
      <w:r w:rsidR="00C72ADA">
        <w:rPr>
          <w:rFonts w:ascii="Times New Roman" w:hAnsi="Times New Roman" w:cs="Times New Roman"/>
          <w:sz w:val="24"/>
          <w:szCs w:val="24"/>
        </w:rPr>
        <w:t xml:space="preserve"> so</w:t>
      </w:r>
      <w:r>
        <w:rPr>
          <w:rFonts w:ascii="Times New Roman" w:hAnsi="Times New Roman" w:cs="Times New Roman"/>
          <w:sz w:val="24"/>
          <w:szCs w:val="24"/>
        </w:rPr>
        <w:t xml:space="preserve"> at the 5% level, </w:t>
      </w:r>
      <w:r w:rsidR="0070545D">
        <w:rPr>
          <w:rFonts w:ascii="Times New Roman" w:hAnsi="Times New Roman" w:cs="Times New Roman"/>
          <w:sz w:val="24"/>
          <w:szCs w:val="24"/>
        </w:rPr>
        <w:t xml:space="preserve">and </w:t>
      </w:r>
      <w:r>
        <w:rPr>
          <w:rFonts w:ascii="Times New Roman" w:hAnsi="Times New Roman" w:cs="Times New Roman"/>
          <w:sz w:val="24"/>
          <w:szCs w:val="24"/>
        </w:rPr>
        <w:t>with a median RR</w:t>
      </w:r>
      <w:r w:rsidR="00445A11">
        <w:rPr>
          <w:rFonts w:ascii="Times New Roman" w:hAnsi="Times New Roman" w:cs="Times New Roman"/>
          <w:sz w:val="24"/>
          <w:szCs w:val="24"/>
        </w:rPr>
        <w:t xml:space="preserve"> of 1.5</w:t>
      </w:r>
      <w:r w:rsidR="0070545D">
        <w:rPr>
          <w:rFonts w:ascii="Times New Roman" w:hAnsi="Times New Roman" w:cs="Times New Roman"/>
          <w:sz w:val="24"/>
          <w:szCs w:val="24"/>
        </w:rPr>
        <w:t>. T</w:t>
      </w:r>
      <w:r w:rsidR="00FE4F89">
        <w:rPr>
          <w:rFonts w:ascii="Times New Roman" w:hAnsi="Times New Roman" w:cs="Times New Roman"/>
          <w:sz w:val="24"/>
          <w:szCs w:val="24"/>
        </w:rPr>
        <w:t>he four largest studies (&gt;1</w:t>
      </w:r>
      <w:r w:rsidR="0070545D">
        <w:rPr>
          <w:rFonts w:ascii="Times New Roman" w:hAnsi="Times New Roman" w:cs="Times New Roman"/>
          <w:sz w:val="24"/>
          <w:szCs w:val="24"/>
        </w:rPr>
        <w:t>,</w:t>
      </w:r>
      <w:r w:rsidR="00FE4F89">
        <w:rPr>
          <w:rFonts w:ascii="Times New Roman" w:hAnsi="Times New Roman" w:cs="Times New Roman"/>
          <w:sz w:val="24"/>
          <w:szCs w:val="24"/>
        </w:rPr>
        <w:t>400 subjects analysed [</w:t>
      </w:r>
      <w:r w:rsidR="006C0417">
        <w:rPr>
          <w:rFonts w:ascii="Times New Roman" w:hAnsi="Times New Roman" w:cs="Times New Roman"/>
          <w:sz w:val="24"/>
          <w:szCs w:val="24"/>
        </w:rPr>
        <w:t>5,7,14,16</w:t>
      </w:r>
      <w:r w:rsidR="00FE4F89">
        <w:rPr>
          <w:rFonts w:ascii="Times New Roman" w:hAnsi="Times New Roman" w:cs="Times New Roman"/>
          <w:sz w:val="24"/>
          <w:szCs w:val="24"/>
        </w:rPr>
        <w:t>]), including a large multi-stage probability sample from the US Health and Retirement Study cohort [</w:t>
      </w:r>
      <w:r w:rsidR="006C0417">
        <w:rPr>
          <w:rFonts w:ascii="Times New Roman" w:hAnsi="Times New Roman" w:cs="Times New Roman"/>
          <w:sz w:val="24"/>
          <w:szCs w:val="24"/>
        </w:rPr>
        <w:t>16</w:t>
      </w:r>
      <w:r w:rsidR="00FE4F89">
        <w:rPr>
          <w:rFonts w:ascii="Times New Roman" w:hAnsi="Times New Roman" w:cs="Times New Roman"/>
          <w:sz w:val="24"/>
          <w:szCs w:val="24"/>
        </w:rPr>
        <w:t>], provided risk estimates ranging from 1.07 to 1.4</w:t>
      </w:r>
      <w:r w:rsidR="0070545D">
        <w:rPr>
          <w:rFonts w:ascii="Times New Roman" w:hAnsi="Times New Roman" w:cs="Times New Roman"/>
          <w:sz w:val="24"/>
          <w:szCs w:val="24"/>
        </w:rPr>
        <w:t>7. However, studies mostly took</w:t>
      </w:r>
      <w:r w:rsidR="00FE4F89">
        <w:rPr>
          <w:rFonts w:ascii="Times New Roman" w:hAnsi="Times New Roman" w:cs="Times New Roman"/>
          <w:sz w:val="24"/>
          <w:szCs w:val="24"/>
        </w:rPr>
        <w:t xml:space="preserve"> self-reported low mood on </w:t>
      </w:r>
      <w:r w:rsidR="0070545D">
        <w:rPr>
          <w:rFonts w:ascii="Times New Roman" w:hAnsi="Times New Roman" w:cs="Times New Roman"/>
          <w:sz w:val="24"/>
          <w:szCs w:val="24"/>
        </w:rPr>
        <w:t xml:space="preserve">a </w:t>
      </w:r>
      <w:r w:rsidR="00FE4F89">
        <w:rPr>
          <w:rFonts w:ascii="Times New Roman" w:hAnsi="Times New Roman" w:cs="Times New Roman"/>
          <w:sz w:val="24"/>
          <w:szCs w:val="24"/>
        </w:rPr>
        <w:t>screening questionnaire</w:t>
      </w:r>
      <w:r w:rsidR="0070545D">
        <w:rPr>
          <w:rFonts w:ascii="Times New Roman" w:hAnsi="Times New Roman" w:cs="Times New Roman"/>
          <w:sz w:val="24"/>
          <w:szCs w:val="24"/>
        </w:rPr>
        <w:t xml:space="preserve"> as the basis for exposure definition, and only six of the 22 effect estimates were based on a physician’s diagnosis of mental illness</w:t>
      </w:r>
      <w:r w:rsidR="00FE4F89">
        <w:rPr>
          <w:rFonts w:ascii="Times New Roman" w:hAnsi="Times New Roman" w:cs="Times New Roman"/>
          <w:sz w:val="24"/>
          <w:szCs w:val="24"/>
        </w:rPr>
        <w:t>.</w:t>
      </w:r>
    </w:p>
    <w:p w:rsidR="00FE4F89" w:rsidRDefault="00FE4F89" w:rsidP="00C21FDD">
      <w:pPr>
        <w:widowControl w:val="0"/>
        <w:rPr>
          <w:rFonts w:ascii="Times New Roman" w:hAnsi="Times New Roman" w:cs="Times New Roman"/>
          <w:sz w:val="24"/>
          <w:szCs w:val="24"/>
        </w:rPr>
      </w:pPr>
    </w:p>
    <w:p w:rsidR="0070545D" w:rsidRDefault="0070545D" w:rsidP="00A73AF7">
      <w:pPr>
        <w:rPr>
          <w:rFonts w:ascii="Times New Roman" w:hAnsi="Times New Roman" w:cs="Times New Roman"/>
          <w:sz w:val="24"/>
          <w:szCs w:val="24"/>
        </w:rPr>
      </w:pPr>
      <w:r>
        <w:rPr>
          <w:rFonts w:ascii="Times New Roman" w:hAnsi="Times New Roman" w:cs="Times New Roman"/>
          <w:sz w:val="24"/>
          <w:szCs w:val="24"/>
        </w:rPr>
        <w:t>Earlier f</w:t>
      </w:r>
      <w:r w:rsidR="00FE4F89" w:rsidRPr="00A73AF7">
        <w:rPr>
          <w:rFonts w:ascii="Times New Roman" w:hAnsi="Times New Roman" w:cs="Times New Roman"/>
          <w:sz w:val="24"/>
          <w:szCs w:val="24"/>
        </w:rPr>
        <w:t>indings on psychotropic drugs and occupational injury risk have been more mixed</w:t>
      </w:r>
      <w:r w:rsidR="00A73AF7" w:rsidRPr="00A73AF7">
        <w:rPr>
          <w:rFonts w:ascii="Times New Roman" w:hAnsi="Times New Roman" w:cs="Times New Roman"/>
          <w:sz w:val="24"/>
          <w:szCs w:val="24"/>
        </w:rPr>
        <w:t>. In</w:t>
      </w:r>
      <w:r w:rsidR="00FE4F89" w:rsidRPr="00A73AF7">
        <w:rPr>
          <w:rFonts w:ascii="Times New Roman" w:hAnsi="Times New Roman" w:cs="Times New Roman"/>
          <w:sz w:val="24"/>
          <w:szCs w:val="24"/>
        </w:rPr>
        <w:t xml:space="preserve"> our review [1]</w:t>
      </w:r>
      <w:r w:rsidR="00A73AF7" w:rsidRPr="00A73AF7">
        <w:rPr>
          <w:rFonts w:ascii="Times New Roman" w:hAnsi="Times New Roman" w:cs="Times New Roman"/>
          <w:sz w:val="24"/>
          <w:szCs w:val="24"/>
        </w:rPr>
        <w:t>,</w:t>
      </w:r>
      <w:r w:rsidR="00FE4F89" w:rsidRPr="00A73AF7">
        <w:rPr>
          <w:rFonts w:ascii="Times New Roman" w:hAnsi="Times New Roman" w:cs="Times New Roman"/>
          <w:sz w:val="24"/>
          <w:szCs w:val="24"/>
        </w:rPr>
        <w:t xml:space="preserve"> </w:t>
      </w:r>
      <w:r w:rsidR="00017118" w:rsidRPr="00A73AF7">
        <w:rPr>
          <w:rFonts w:ascii="Times New Roman" w:hAnsi="Times New Roman" w:cs="Times New Roman"/>
          <w:sz w:val="24"/>
          <w:szCs w:val="24"/>
        </w:rPr>
        <w:t xml:space="preserve">13 of </w:t>
      </w:r>
      <w:r w:rsidR="00C72ADA" w:rsidRPr="00A73AF7">
        <w:rPr>
          <w:rFonts w:ascii="Times New Roman" w:hAnsi="Times New Roman" w:cs="Times New Roman"/>
          <w:sz w:val="24"/>
          <w:szCs w:val="24"/>
        </w:rPr>
        <w:t>25</w:t>
      </w:r>
      <w:r w:rsidR="00017118" w:rsidRPr="00A73AF7">
        <w:rPr>
          <w:rFonts w:ascii="Times New Roman" w:hAnsi="Times New Roman" w:cs="Times New Roman"/>
          <w:sz w:val="24"/>
          <w:szCs w:val="24"/>
        </w:rPr>
        <w:t xml:space="preserve"> </w:t>
      </w:r>
      <w:r w:rsidR="00FE4F89" w:rsidRPr="00A73AF7">
        <w:rPr>
          <w:rFonts w:ascii="Times New Roman" w:hAnsi="Times New Roman" w:cs="Times New Roman"/>
          <w:sz w:val="24"/>
          <w:szCs w:val="24"/>
        </w:rPr>
        <w:t xml:space="preserve">risk </w:t>
      </w:r>
      <w:r w:rsidR="00017118" w:rsidRPr="00A73AF7">
        <w:rPr>
          <w:rFonts w:ascii="Times New Roman" w:hAnsi="Times New Roman" w:cs="Times New Roman"/>
          <w:sz w:val="24"/>
          <w:szCs w:val="24"/>
        </w:rPr>
        <w:t xml:space="preserve">estimates </w:t>
      </w:r>
      <w:r w:rsidR="00FE4F89" w:rsidRPr="00A73AF7">
        <w:rPr>
          <w:rFonts w:ascii="Times New Roman" w:hAnsi="Times New Roman" w:cs="Times New Roman"/>
          <w:sz w:val="24"/>
          <w:szCs w:val="24"/>
        </w:rPr>
        <w:t>(</w:t>
      </w:r>
      <w:r w:rsidR="00C72ADA" w:rsidRPr="00A73AF7">
        <w:rPr>
          <w:rFonts w:ascii="Times New Roman" w:hAnsi="Times New Roman" w:cs="Times New Roman"/>
          <w:sz w:val="24"/>
          <w:szCs w:val="24"/>
        </w:rPr>
        <w:t>from nine studies</w:t>
      </w:r>
      <w:r w:rsidR="00FE4F89" w:rsidRPr="00A73AF7">
        <w:rPr>
          <w:rFonts w:ascii="Times New Roman" w:hAnsi="Times New Roman" w:cs="Times New Roman"/>
          <w:sz w:val="24"/>
          <w:szCs w:val="24"/>
        </w:rPr>
        <w:t>)</w:t>
      </w:r>
      <w:r w:rsidR="00C72ADA" w:rsidRPr="00A73AF7">
        <w:rPr>
          <w:rFonts w:ascii="Times New Roman" w:hAnsi="Times New Roman" w:cs="Times New Roman"/>
          <w:sz w:val="24"/>
          <w:szCs w:val="24"/>
        </w:rPr>
        <w:t xml:space="preserve"> </w:t>
      </w:r>
      <w:r w:rsidR="00FE4F89" w:rsidRPr="00A73AF7">
        <w:rPr>
          <w:rFonts w:ascii="Times New Roman" w:hAnsi="Times New Roman" w:cs="Times New Roman"/>
          <w:sz w:val="24"/>
          <w:szCs w:val="24"/>
        </w:rPr>
        <w:t xml:space="preserve">were increased, </w:t>
      </w:r>
      <w:r w:rsidR="00C72ADA" w:rsidRPr="00A73AF7">
        <w:rPr>
          <w:rFonts w:ascii="Times New Roman" w:hAnsi="Times New Roman" w:cs="Times New Roman"/>
          <w:sz w:val="24"/>
          <w:szCs w:val="24"/>
        </w:rPr>
        <w:t>five</w:t>
      </w:r>
      <w:r w:rsidR="00FE4F89" w:rsidRPr="00A73AF7">
        <w:rPr>
          <w:rFonts w:ascii="Times New Roman" w:hAnsi="Times New Roman" w:cs="Times New Roman"/>
          <w:sz w:val="24"/>
          <w:szCs w:val="24"/>
        </w:rPr>
        <w:t xml:space="preserve"> </w:t>
      </w:r>
      <w:r w:rsidR="00A73AF7">
        <w:rPr>
          <w:rFonts w:ascii="Times New Roman" w:hAnsi="Times New Roman" w:cs="Times New Roman"/>
          <w:sz w:val="24"/>
          <w:szCs w:val="24"/>
        </w:rPr>
        <w:t xml:space="preserve">of them </w:t>
      </w:r>
      <w:r w:rsidR="00FE4F89" w:rsidRPr="00A73AF7">
        <w:rPr>
          <w:rFonts w:ascii="Times New Roman" w:hAnsi="Times New Roman" w:cs="Times New Roman"/>
          <w:sz w:val="24"/>
          <w:szCs w:val="24"/>
        </w:rPr>
        <w:t>significantly</w:t>
      </w:r>
      <w:r w:rsidR="00017118" w:rsidRPr="00A73AF7">
        <w:rPr>
          <w:rFonts w:ascii="Times New Roman" w:hAnsi="Times New Roman" w:cs="Times New Roman"/>
          <w:sz w:val="24"/>
          <w:szCs w:val="24"/>
        </w:rPr>
        <w:t xml:space="preserve">, </w:t>
      </w:r>
      <w:r w:rsidR="00A73AF7">
        <w:rPr>
          <w:rFonts w:ascii="Times New Roman" w:hAnsi="Times New Roman" w:cs="Times New Roman"/>
          <w:sz w:val="24"/>
          <w:szCs w:val="24"/>
        </w:rPr>
        <w:t>the</w:t>
      </w:r>
      <w:r w:rsidR="00017118" w:rsidRPr="00A73AF7">
        <w:rPr>
          <w:rFonts w:ascii="Times New Roman" w:hAnsi="Times New Roman" w:cs="Times New Roman"/>
          <w:sz w:val="24"/>
          <w:szCs w:val="24"/>
        </w:rPr>
        <w:t xml:space="preserve"> median RR </w:t>
      </w:r>
      <w:r w:rsidR="00A73AF7">
        <w:rPr>
          <w:rFonts w:ascii="Times New Roman" w:hAnsi="Times New Roman" w:cs="Times New Roman"/>
          <w:sz w:val="24"/>
          <w:szCs w:val="24"/>
        </w:rPr>
        <w:t>being</w:t>
      </w:r>
      <w:r w:rsidR="00C72ADA" w:rsidRPr="00A73AF7">
        <w:rPr>
          <w:rFonts w:ascii="Times New Roman" w:hAnsi="Times New Roman" w:cs="Times New Roman"/>
          <w:sz w:val="24"/>
          <w:szCs w:val="24"/>
        </w:rPr>
        <w:t xml:space="preserve"> 1.2</w:t>
      </w:r>
      <w:r w:rsidR="003F1052">
        <w:rPr>
          <w:rFonts w:ascii="Times New Roman" w:hAnsi="Times New Roman" w:cs="Times New Roman"/>
          <w:sz w:val="24"/>
          <w:szCs w:val="24"/>
        </w:rPr>
        <w:t>. However,</w:t>
      </w:r>
      <w:r w:rsidR="00A73AF7">
        <w:rPr>
          <w:rFonts w:ascii="Times New Roman" w:hAnsi="Times New Roman" w:cs="Times New Roman"/>
          <w:sz w:val="24"/>
          <w:szCs w:val="24"/>
        </w:rPr>
        <w:t xml:space="preserve"> the spread of risk estimates was wider</w:t>
      </w:r>
      <w:r>
        <w:rPr>
          <w:rFonts w:ascii="Times New Roman" w:hAnsi="Times New Roman" w:cs="Times New Roman"/>
          <w:sz w:val="24"/>
          <w:szCs w:val="24"/>
        </w:rPr>
        <w:t xml:space="preserve"> than for mental illness</w:t>
      </w:r>
      <w:r w:rsidR="00A73AF7">
        <w:rPr>
          <w:rFonts w:ascii="Times New Roman" w:hAnsi="Times New Roman" w:cs="Times New Roman"/>
          <w:sz w:val="24"/>
          <w:szCs w:val="24"/>
        </w:rPr>
        <w:t>, and t</w:t>
      </w:r>
      <w:r w:rsidR="00A73AF7" w:rsidRPr="00A73AF7">
        <w:rPr>
          <w:rFonts w:ascii="Times New Roman" w:hAnsi="Times New Roman" w:cs="Times New Roman"/>
          <w:sz w:val="24"/>
          <w:szCs w:val="24"/>
        </w:rPr>
        <w:t>wo high quality case-control studies with date of event information (to limit scope for reverse causation) reached different conclusions</w:t>
      </w:r>
      <w:r w:rsidR="00A73AF7">
        <w:rPr>
          <w:rFonts w:ascii="Times New Roman" w:hAnsi="Times New Roman" w:cs="Times New Roman"/>
          <w:sz w:val="24"/>
          <w:szCs w:val="24"/>
        </w:rPr>
        <w:t xml:space="preserve">. </w:t>
      </w:r>
      <w:r w:rsidR="00A73AF7" w:rsidRPr="00A73AF7">
        <w:rPr>
          <w:rFonts w:ascii="Times New Roman" w:hAnsi="Times New Roman" w:cs="Times New Roman"/>
          <w:sz w:val="24"/>
          <w:szCs w:val="24"/>
        </w:rPr>
        <w:t xml:space="preserve">Voaklander </w:t>
      </w:r>
      <w:r w:rsidR="00A73AF7" w:rsidRPr="00A73AF7">
        <w:rPr>
          <w:rFonts w:ascii="Times New Roman" w:hAnsi="Times New Roman" w:cs="Times New Roman"/>
          <w:i/>
          <w:iCs/>
          <w:sz w:val="24"/>
          <w:szCs w:val="24"/>
        </w:rPr>
        <w:t xml:space="preserve">et al </w:t>
      </w:r>
      <w:r w:rsidR="00A73AF7" w:rsidRPr="00A73AF7">
        <w:rPr>
          <w:rFonts w:ascii="Times New Roman" w:hAnsi="Times New Roman" w:cs="Times New Roman"/>
          <w:sz w:val="24"/>
          <w:szCs w:val="24"/>
        </w:rPr>
        <w:t>[1</w:t>
      </w:r>
      <w:r w:rsidR="006C0417">
        <w:rPr>
          <w:rFonts w:ascii="Times New Roman" w:hAnsi="Times New Roman" w:cs="Times New Roman"/>
          <w:sz w:val="24"/>
          <w:szCs w:val="24"/>
        </w:rPr>
        <w:t>4</w:t>
      </w:r>
      <w:r w:rsidR="00A73AF7" w:rsidRPr="00A73AF7">
        <w:rPr>
          <w:rFonts w:ascii="Times New Roman" w:hAnsi="Times New Roman" w:cs="Times New Roman"/>
          <w:sz w:val="24"/>
          <w:szCs w:val="24"/>
        </w:rPr>
        <w:t>] reported that prescription of anxiolytics, sedatives, or hypnotics in the preceding 30 days was associated with a three-fold increase in odds of hospital attenda</w:t>
      </w:r>
      <w:r w:rsidR="00A73AF7">
        <w:rPr>
          <w:rFonts w:ascii="Times New Roman" w:hAnsi="Times New Roman" w:cs="Times New Roman"/>
          <w:sz w:val="24"/>
          <w:szCs w:val="24"/>
        </w:rPr>
        <w:t>nce with work-related injury,</w:t>
      </w:r>
      <w:r w:rsidR="00A73AF7" w:rsidRPr="00A73AF7">
        <w:rPr>
          <w:rFonts w:ascii="Times New Roman" w:hAnsi="Times New Roman" w:cs="Times New Roman"/>
          <w:sz w:val="24"/>
          <w:szCs w:val="24"/>
        </w:rPr>
        <w:t xml:space="preserve"> whereas Gilmore </w:t>
      </w:r>
      <w:r w:rsidR="00A73AF7" w:rsidRPr="00A73AF7">
        <w:rPr>
          <w:rFonts w:ascii="Times New Roman" w:hAnsi="Times New Roman" w:cs="Times New Roman"/>
          <w:i/>
          <w:sz w:val="24"/>
          <w:szCs w:val="24"/>
        </w:rPr>
        <w:t>et al</w:t>
      </w:r>
      <w:r w:rsidR="00A73AF7" w:rsidRPr="00A73AF7">
        <w:rPr>
          <w:rFonts w:ascii="Times New Roman" w:hAnsi="Times New Roman" w:cs="Times New Roman"/>
          <w:sz w:val="24"/>
          <w:szCs w:val="24"/>
          <w:vertAlign w:val="superscript"/>
        </w:rPr>
        <w:t xml:space="preserve"> </w:t>
      </w:r>
      <w:r w:rsidR="00A73AF7" w:rsidRPr="00A73AF7">
        <w:rPr>
          <w:rFonts w:ascii="Times New Roman" w:hAnsi="Times New Roman" w:cs="Times New Roman"/>
          <w:sz w:val="24"/>
          <w:szCs w:val="24"/>
        </w:rPr>
        <w:t>[</w:t>
      </w:r>
      <w:r w:rsidR="006C0417">
        <w:rPr>
          <w:rFonts w:ascii="Times New Roman" w:hAnsi="Times New Roman" w:cs="Times New Roman"/>
          <w:sz w:val="24"/>
          <w:szCs w:val="24"/>
        </w:rPr>
        <w:t>20</w:t>
      </w:r>
      <w:r w:rsidR="00A73AF7" w:rsidRPr="00A73AF7">
        <w:rPr>
          <w:rFonts w:ascii="Times New Roman" w:hAnsi="Times New Roman" w:cs="Times New Roman"/>
          <w:sz w:val="24"/>
          <w:szCs w:val="24"/>
        </w:rPr>
        <w:t>], in a study of similar design, found much lower</w:t>
      </w:r>
      <w:r w:rsidR="00A73AF7">
        <w:rPr>
          <w:rFonts w:ascii="Times New Roman" w:hAnsi="Times New Roman" w:cs="Times New Roman"/>
          <w:sz w:val="24"/>
          <w:szCs w:val="24"/>
        </w:rPr>
        <w:t xml:space="preserve"> RRs</w:t>
      </w:r>
      <w:r w:rsidR="00A73AF7" w:rsidRPr="00A73AF7">
        <w:rPr>
          <w:rFonts w:ascii="Times New Roman" w:hAnsi="Times New Roman" w:cs="Times New Roman"/>
          <w:sz w:val="24"/>
          <w:szCs w:val="24"/>
        </w:rPr>
        <w:t xml:space="preserve"> (0.8 in men and 1.5 in women).  Two other studies favoured a more than doubling of risk from medication [17,18] although both had the potential for inflationary bias through reverse causation – in Wadsworth </w:t>
      </w:r>
      <w:r w:rsidR="00A73AF7" w:rsidRPr="00A73AF7">
        <w:rPr>
          <w:rFonts w:ascii="Times New Roman" w:hAnsi="Times New Roman" w:cs="Times New Roman"/>
          <w:i/>
          <w:sz w:val="24"/>
          <w:szCs w:val="24"/>
        </w:rPr>
        <w:t>et al</w:t>
      </w:r>
      <w:r w:rsidR="00A73AF7" w:rsidRPr="00A73AF7">
        <w:rPr>
          <w:rFonts w:ascii="Times New Roman" w:hAnsi="Times New Roman" w:cs="Times New Roman"/>
          <w:sz w:val="24"/>
          <w:szCs w:val="24"/>
        </w:rPr>
        <w:t xml:space="preserve"> [1</w:t>
      </w:r>
      <w:r w:rsidR="006C0417">
        <w:rPr>
          <w:rFonts w:ascii="Times New Roman" w:hAnsi="Times New Roman" w:cs="Times New Roman"/>
          <w:sz w:val="24"/>
          <w:szCs w:val="24"/>
        </w:rPr>
        <w:t>8</w:t>
      </w:r>
      <w:r w:rsidR="00A73AF7" w:rsidRPr="00A73AF7">
        <w:rPr>
          <w:rFonts w:ascii="Times New Roman" w:hAnsi="Times New Roman" w:cs="Times New Roman"/>
          <w:sz w:val="24"/>
          <w:szCs w:val="24"/>
        </w:rPr>
        <w:t>]</w:t>
      </w:r>
      <w:r w:rsidR="00A73AF7">
        <w:rPr>
          <w:rFonts w:ascii="Times New Roman" w:hAnsi="Times New Roman" w:cs="Times New Roman"/>
          <w:sz w:val="24"/>
          <w:szCs w:val="24"/>
        </w:rPr>
        <w:t>,</w:t>
      </w:r>
      <w:r w:rsidR="00A73AF7" w:rsidRPr="00A73AF7">
        <w:rPr>
          <w:rFonts w:ascii="Times New Roman" w:hAnsi="Times New Roman" w:cs="Times New Roman"/>
          <w:sz w:val="24"/>
          <w:szCs w:val="24"/>
        </w:rPr>
        <w:t xml:space="preserve"> for example, the taking of </w:t>
      </w:r>
      <w:r w:rsidR="00A73AF7" w:rsidRPr="00A73AF7">
        <w:rPr>
          <w:rFonts w:ascii="Times New Roman" w:hAnsi="Times New Roman" w:cs="Times New Roman"/>
          <w:sz w:val="24"/>
          <w:szCs w:val="24"/>
        </w:rPr>
        <w:lastRenderedPageBreak/>
        <w:t>sleeping pills related to the 14 days pri</w:t>
      </w:r>
      <w:r w:rsidR="00A73AF7">
        <w:rPr>
          <w:rFonts w:ascii="Times New Roman" w:hAnsi="Times New Roman" w:cs="Times New Roman"/>
          <w:sz w:val="24"/>
          <w:szCs w:val="24"/>
        </w:rPr>
        <w:t>or to questioning</w:t>
      </w:r>
      <w:r w:rsidR="00A73AF7" w:rsidRPr="00A73AF7">
        <w:rPr>
          <w:rFonts w:ascii="Times New Roman" w:hAnsi="Times New Roman" w:cs="Times New Roman"/>
          <w:sz w:val="24"/>
          <w:szCs w:val="24"/>
        </w:rPr>
        <w:t xml:space="preserve"> whereas injuries might have occurred up to a year beforehand.  </w:t>
      </w:r>
      <w:r w:rsidR="00D45694">
        <w:rPr>
          <w:rFonts w:ascii="Times New Roman" w:hAnsi="Times New Roman" w:cs="Times New Roman"/>
          <w:sz w:val="24"/>
          <w:szCs w:val="24"/>
        </w:rPr>
        <w:t>Studies</w:t>
      </w:r>
      <w:r>
        <w:rPr>
          <w:rFonts w:ascii="Times New Roman" w:hAnsi="Times New Roman" w:cs="Times New Roman"/>
          <w:sz w:val="24"/>
          <w:szCs w:val="24"/>
        </w:rPr>
        <w:t xml:space="preserve"> mostly </w:t>
      </w:r>
      <w:r w:rsidR="00D45694">
        <w:rPr>
          <w:rFonts w:ascii="Times New Roman" w:hAnsi="Times New Roman" w:cs="Times New Roman"/>
          <w:sz w:val="24"/>
          <w:szCs w:val="24"/>
        </w:rPr>
        <w:t xml:space="preserve">evaluated </w:t>
      </w:r>
      <w:r>
        <w:rPr>
          <w:rFonts w:ascii="Times New Roman" w:hAnsi="Times New Roman" w:cs="Times New Roman"/>
          <w:sz w:val="24"/>
          <w:szCs w:val="24"/>
        </w:rPr>
        <w:t xml:space="preserve">risks from hypnotics, anxiolytics and sedatives (or did not specify the class of agent), there being relatively few </w:t>
      </w:r>
      <w:r w:rsidR="00D45694">
        <w:rPr>
          <w:rFonts w:ascii="Times New Roman" w:hAnsi="Times New Roman" w:cs="Times New Roman"/>
          <w:sz w:val="24"/>
          <w:szCs w:val="24"/>
        </w:rPr>
        <w:t>investigations of injury risk from</w:t>
      </w:r>
      <w:r>
        <w:rPr>
          <w:rFonts w:ascii="Times New Roman" w:hAnsi="Times New Roman" w:cs="Times New Roman"/>
          <w:sz w:val="24"/>
          <w:szCs w:val="24"/>
        </w:rPr>
        <w:t xml:space="preserve"> antidepressants and antipsychotics, and</w:t>
      </w:r>
      <w:r w:rsidR="00D45694">
        <w:rPr>
          <w:rFonts w:ascii="Times New Roman" w:hAnsi="Times New Roman" w:cs="Times New Roman"/>
          <w:sz w:val="24"/>
          <w:szCs w:val="24"/>
        </w:rPr>
        <w:t xml:space="preserve">, </w:t>
      </w:r>
      <w:r>
        <w:rPr>
          <w:rFonts w:ascii="Times New Roman" w:hAnsi="Times New Roman" w:cs="Times New Roman"/>
          <w:sz w:val="24"/>
          <w:szCs w:val="24"/>
        </w:rPr>
        <w:t xml:space="preserve"> </w:t>
      </w:r>
      <w:r w:rsidR="00D45694">
        <w:rPr>
          <w:rFonts w:ascii="Times New Roman" w:hAnsi="Times New Roman" w:cs="Times New Roman"/>
          <w:sz w:val="24"/>
          <w:szCs w:val="24"/>
        </w:rPr>
        <w:t xml:space="preserve">in contrast to this report, </w:t>
      </w:r>
      <w:r>
        <w:rPr>
          <w:rFonts w:ascii="Times New Roman" w:hAnsi="Times New Roman" w:cs="Times New Roman"/>
          <w:sz w:val="24"/>
          <w:szCs w:val="24"/>
        </w:rPr>
        <w:t xml:space="preserve">none that estimated risks by major classes of antidepressant.  </w:t>
      </w:r>
      <w:r w:rsidR="00D45694">
        <w:rPr>
          <w:rFonts w:ascii="Times New Roman" w:hAnsi="Times New Roman" w:cs="Times New Roman"/>
          <w:sz w:val="24"/>
          <w:szCs w:val="24"/>
        </w:rPr>
        <w:t xml:space="preserve">Hence, our findings, as well as providing estimates of risk based on accurate date of event information, provide a greater depth of information on specific agents. </w:t>
      </w:r>
    </w:p>
    <w:p w:rsidR="00017118" w:rsidRPr="00A73AF7" w:rsidRDefault="00017118" w:rsidP="00C21FDD">
      <w:pPr>
        <w:widowControl w:val="0"/>
        <w:rPr>
          <w:rFonts w:ascii="Times New Roman" w:hAnsi="Times New Roman" w:cs="Times New Roman"/>
          <w:sz w:val="24"/>
          <w:szCs w:val="24"/>
        </w:rPr>
      </w:pPr>
    </w:p>
    <w:p w:rsidR="00C21FDD" w:rsidRPr="00DE39D6" w:rsidRDefault="00017118" w:rsidP="00C21FDD">
      <w:pPr>
        <w:widowControl w:val="0"/>
        <w:rPr>
          <w:rFonts w:ascii="Times New Roman" w:hAnsi="Times New Roman" w:cs="Times New Roman"/>
          <w:sz w:val="24"/>
          <w:szCs w:val="24"/>
        </w:rPr>
      </w:pPr>
      <w:r w:rsidRPr="00A73AF7">
        <w:rPr>
          <w:rFonts w:ascii="Times New Roman" w:hAnsi="Times New Roman" w:cs="Times New Roman"/>
          <w:sz w:val="24"/>
          <w:szCs w:val="24"/>
        </w:rPr>
        <w:t>On balance, we</w:t>
      </w:r>
      <w:r w:rsidR="00C21FDD" w:rsidRPr="00A73AF7">
        <w:rPr>
          <w:rFonts w:ascii="Times New Roman" w:hAnsi="Times New Roman" w:cs="Times New Roman"/>
          <w:sz w:val="24"/>
          <w:szCs w:val="24"/>
        </w:rPr>
        <w:t xml:space="preserve"> conclude that</w:t>
      </w:r>
      <w:r w:rsidRPr="00A73AF7">
        <w:rPr>
          <w:rFonts w:ascii="Times New Roman" w:hAnsi="Times New Roman" w:cs="Times New Roman"/>
          <w:sz w:val="24"/>
          <w:szCs w:val="24"/>
        </w:rPr>
        <w:t xml:space="preserve"> </w:t>
      </w:r>
      <w:r w:rsidR="00D702D4">
        <w:rPr>
          <w:rFonts w:ascii="Times New Roman" w:hAnsi="Times New Roman" w:cs="Times New Roman"/>
          <w:sz w:val="24"/>
          <w:szCs w:val="24"/>
        </w:rPr>
        <w:t xml:space="preserve">a range of common </w:t>
      </w:r>
      <w:r w:rsidR="00C21FDD" w:rsidRPr="00A73AF7">
        <w:rPr>
          <w:rFonts w:ascii="Times New Roman" w:hAnsi="Times New Roman" w:cs="Times New Roman"/>
          <w:sz w:val="24"/>
          <w:szCs w:val="24"/>
        </w:rPr>
        <w:t xml:space="preserve">mental health </w:t>
      </w:r>
      <w:r w:rsidRPr="00A73AF7">
        <w:rPr>
          <w:rFonts w:ascii="Times New Roman" w:hAnsi="Times New Roman" w:cs="Times New Roman"/>
          <w:sz w:val="24"/>
          <w:szCs w:val="24"/>
        </w:rPr>
        <w:t>illness</w:t>
      </w:r>
      <w:r w:rsidR="00D702D4">
        <w:rPr>
          <w:rFonts w:ascii="Times New Roman" w:hAnsi="Times New Roman" w:cs="Times New Roman"/>
          <w:sz w:val="24"/>
          <w:szCs w:val="24"/>
        </w:rPr>
        <w:t>es</w:t>
      </w:r>
      <w:r w:rsidR="00C21FDD" w:rsidRPr="00A73AF7">
        <w:rPr>
          <w:rFonts w:ascii="Times New Roman" w:hAnsi="Times New Roman" w:cs="Times New Roman"/>
          <w:sz w:val="24"/>
          <w:szCs w:val="24"/>
        </w:rPr>
        <w:t xml:space="preserve"> and </w:t>
      </w:r>
      <w:r w:rsidR="00D702D4">
        <w:rPr>
          <w:rFonts w:ascii="Times New Roman" w:hAnsi="Times New Roman" w:cs="Times New Roman"/>
          <w:sz w:val="24"/>
          <w:szCs w:val="24"/>
        </w:rPr>
        <w:t>classes of psychotropic treatment</w:t>
      </w:r>
      <w:r w:rsidR="00186CCB" w:rsidRPr="00A73AF7">
        <w:rPr>
          <w:rFonts w:ascii="Times New Roman" w:hAnsi="Times New Roman" w:cs="Times New Roman"/>
          <w:sz w:val="24"/>
          <w:szCs w:val="24"/>
        </w:rPr>
        <w:t xml:space="preserve"> </w:t>
      </w:r>
      <w:r w:rsidR="00D702D4">
        <w:rPr>
          <w:rFonts w:ascii="Times New Roman" w:hAnsi="Times New Roman" w:cs="Times New Roman"/>
          <w:sz w:val="24"/>
          <w:szCs w:val="24"/>
        </w:rPr>
        <w:t>contribute to</w:t>
      </w:r>
      <w:r w:rsidR="00C21FDD" w:rsidRPr="00A73AF7">
        <w:rPr>
          <w:rFonts w:ascii="Times New Roman" w:hAnsi="Times New Roman" w:cs="Times New Roman"/>
          <w:sz w:val="24"/>
          <w:szCs w:val="24"/>
        </w:rPr>
        <w:t xml:space="preserve"> an important</w:t>
      </w:r>
      <w:r w:rsidR="006C0417">
        <w:rPr>
          <w:rFonts w:ascii="Times New Roman" w:hAnsi="Times New Roman" w:cs="Times New Roman"/>
          <w:sz w:val="24"/>
          <w:szCs w:val="24"/>
        </w:rPr>
        <w:t>,</w:t>
      </w:r>
      <w:r w:rsidR="00C21FDD" w:rsidRPr="00A73AF7">
        <w:rPr>
          <w:rFonts w:ascii="Times New Roman" w:hAnsi="Times New Roman" w:cs="Times New Roman"/>
          <w:sz w:val="24"/>
          <w:szCs w:val="24"/>
        </w:rPr>
        <w:t xml:space="preserve"> minority of workplace injury events.</w:t>
      </w:r>
      <w:r w:rsidR="00E01608">
        <w:rPr>
          <w:rFonts w:ascii="Times New Roman" w:hAnsi="Times New Roman" w:cs="Times New Roman"/>
          <w:sz w:val="24"/>
          <w:szCs w:val="24"/>
        </w:rPr>
        <w:t xml:space="preserve"> </w:t>
      </w:r>
      <w:r w:rsidR="00DE39D6">
        <w:rPr>
          <w:rFonts w:ascii="Times New Roman" w:hAnsi="Times New Roman" w:cs="Times New Roman"/>
          <w:sz w:val="24"/>
          <w:szCs w:val="24"/>
        </w:rPr>
        <w:t>Absolute</w:t>
      </w:r>
      <w:r w:rsidR="00A145F9" w:rsidRPr="00DE39D6">
        <w:rPr>
          <w:rFonts w:ascii="Times New Roman" w:hAnsi="Times New Roman" w:cs="Times New Roman"/>
          <w:sz w:val="24"/>
          <w:szCs w:val="24"/>
        </w:rPr>
        <w:t xml:space="preserve"> risks do not </w:t>
      </w:r>
      <w:r w:rsidR="00DE39D6">
        <w:rPr>
          <w:rFonts w:ascii="Times New Roman" w:hAnsi="Times New Roman" w:cs="Times New Roman"/>
          <w:sz w:val="24"/>
          <w:szCs w:val="24"/>
        </w:rPr>
        <w:t>justify exclusion of</w:t>
      </w:r>
      <w:r w:rsidR="00A145F9" w:rsidRPr="00DE39D6">
        <w:rPr>
          <w:rFonts w:ascii="Times New Roman" w:hAnsi="Times New Roman" w:cs="Times New Roman"/>
          <w:sz w:val="24"/>
          <w:szCs w:val="24"/>
        </w:rPr>
        <w:t xml:space="preserve"> </w:t>
      </w:r>
      <w:r w:rsidR="00DE39D6" w:rsidRPr="00DE39D6">
        <w:rPr>
          <w:rFonts w:ascii="Times New Roman" w:hAnsi="Times New Roman" w:cs="Times New Roman"/>
          <w:sz w:val="24"/>
          <w:szCs w:val="24"/>
        </w:rPr>
        <w:t>individual</w:t>
      </w:r>
      <w:r w:rsidR="00DE39D6">
        <w:rPr>
          <w:rFonts w:ascii="Times New Roman" w:hAnsi="Times New Roman" w:cs="Times New Roman"/>
          <w:sz w:val="24"/>
          <w:szCs w:val="24"/>
        </w:rPr>
        <w:t>s from</w:t>
      </w:r>
      <w:r w:rsidR="00DE39D6" w:rsidRPr="00DE39D6">
        <w:rPr>
          <w:rFonts w:ascii="Times New Roman" w:hAnsi="Times New Roman" w:cs="Times New Roman"/>
          <w:sz w:val="24"/>
          <w:szCs w:val="24"/>
        </w:rPr>
        <w:t xml:space="preserve"> </w:t>
      </w:r>
      <w:r w:rsidR="00A145F9" w:rsidRPr="00DE39D6">
        <w:rPr>
          <w:rFonts w:ascii="Times New Roman" w:hAnsi="Times New Roman" w:cs="Times New Roman"/>
          <w:sz w:val="24"/>
          <w:szCs w:val="24"/>
        </w:rPr>
        <w:t>employment, especially as individualised assessment may reveal factors that mitigate the risk of injury or its impact. However, the data suggest a need to exercise caution in the occupational placement of individuals with such problems, especially in relation to work that carries an unusual degree of risk or special responsibility for the safety of others.</w:t>
      </w:r>
    </w:p>
    <w:p w:rsidR="00976837" w:rsidRDefault="00976837" w:rsidP="00C21FDD">
      <w:pPr>
        <w:widowControl w:val="0"/>
        <w:rPr>
          <w:rFonts w:ascii="Times New Roman" w:hAnsi="Times New Roman" w:cs="Times New Roman"/>
          <w:sz w:val="24"/>
          <w:szCs w:val="24"/>
        </w:rPr>
      </w:pPr>
    </w:p>
    <w:p w:rsidR="00186CCB" w:rsidRPr="00A50EFD" w:rsidRDefault="00976837" w:rsidP="00A50EFD">
      <w:pPr>
        <w:widowControl w:val="0"/>
        <w:rPr>
          <w:rFonts w:ascii="Times New Roman" w:hAnsi="Times New Roman" w:cs="Times New Roman"/>
          <w:i/>
          <w:sz w:val="24"/>
          <w:szCs w:val="24"/>
        </w:rPr>
      </w:pPr>
      <w:r w:rsidRPr="00976837">
        <w:rPr>
          <w:rFonts w:ascii="Times New Roman" w:hAnsi="Times New Roman" w:cs="Times New Roman"/>
          <w:b/>
          <w:i/>
          <w:sz w:val="24"/>
          <w:szCs w:val="24"/>
        </w:rPr>
        <w:t>Acknowledgements:</w:t>
      </w:r>
      <w:r w:rsidRPr="00976837">
        <w:rPr>
          <w:rFonts w:ascii="Times New Roman" w:hAnsi="Times New Roman" w:cs="Times New Roman"/>
          <w:i/>
          <w:sz w:val="24"/>
          <w:szCs w:val="24"/>
        </w:rPr>
        <w:t xml:space="preserve"> This study was support by a grant from the Institution of Occupational Safety and Health (IOSH) and by programme funding from the Medical R</w:t>
      </w:r>
      <w:r w:rsidR="00A50EFD">
        <w:rPr>
          <w:rFonts w:ascii="Times New Roman" w:hAnsi="Times New Roman" w:cs="Times New Roman"/>
          <w:i/>
          <w:sz w:val="24"/>
          <w:szCs w:val="24"/>
        </w:rPr>
        <w:t>esearch Council. Access to the C</w:t>
      </w:r>
      <w:r w:rsidRPr="00976837">
        <w:rPr>
          <w:rFonts w:ascii="Times New Roman" w:hAnsi="Times New Roman" w:cs="Times New Roman"/>
          <w:i/>
          <w:sz w:val="24"/>
          <w:szCs w:val="24"/>
        </w:rPr>
        <w:t>PRD data was granted under an MRC licence. We wish to thank staff members of the MHRA, including Professor Tj</w:t>
      </w:r>
      <w:r w:rsidR="00E01608">
        <w:rPr>
          <w:rFonts w:ascii="Times New Roman" w:hAnsi="Times New Roman" w:cs="Times New Roman"/>
          <w:i/>
          <w:sz w:val="24"/>
          <w:szCs w:val="24"/>
        </w:rPr>
        <w:t>e</w:t>
      </w:r>
      <w:r w:rsidR="00B63ED2">
        <w:rPr>
          <w:rFonts w:ascii="Times New Roman" w:hAnsi="Times New Roman" w:cs="Times New Roman"/>
          <w:i/>
          <w:sz w:val="24"/>
          <w:szCs w:val="24"/>
        </w:rPr>
        <w:t>e</w:t>
      </w:r>
      <w:r w:rsidR="00E01608">
        <w:rPr>
          <w:rFonts w:ascii="Times New Roman" w:hAnsi="Times New Roman" w:cs="Times New Roman"/>
          <w:i/>
          <w:sz w:val="24"/>
          <w:szCs w:val="24"/>
        </w:rPr>
        <w:t xml:space="preserve">rd Van Staa, for their support </w:t>
      </w:r>
      <w:r w:rsidR="00E01608" w:rsidRPr="00DE39D6">
        <w:rPr>
          <w:rFonts w:ascii="Times New Roman" w:hAnsi="Times New Roman" w:cs="Times New Roman"/>
          <w:i/>
          <w:sz w:val="24"/>
          <w:szCs w:val="24"/>
        </w:rPr>
        <w:t xml:space="preserve">and Dr </w:t>
      </w:r>
      <w:r w:rsidR="00CE6766" w:rsidRPr="00DE39D6">
        <w:rPr>
          <w:rFonts w:ascii="Times New Roman" w:hAnsi="Times New Roman" w:cs="Times New Roman"/>
          <w:i/>
          <w:sz w:val="24"/>
          <w:szCs w:val="24"/>
        </w:rPr>
        <w:t xml:space="preserve">Martin </w:t>
      </w:r>
      <w:r w:rsidR="00E01608" w:rsidRPr="00DE39D6">
        <w:rPr>
          <w:rFonts w:ascii="Times New Roman" w:hAnsi="Times New Roman" w:cs="Times New Roman"/>
          <w:i/>
          <w:sz w:val="24"/>
          <w:szCs w:val="24"/>
        </w:rPr>
        <w:t>Frisher for supplying us the list of Read codes used to identify cases of mental illness within the CPRD database</w:t>
      </w:r>
      <w:r w:rsidR="00E01608" w:rsidRPr="00E01608">
        <w:rPr>
          <w:rFonts w:ascii="Times New Roman" w:hAnsi="Times New Roman" w:cs="Times New Roman"/>
          <w:i/>
          <w:sz w:val="24"/>
          <w:szCs w:val="24"/>
        </w:rPr>
        <w:t>.</w:t>
      </w:r>
      <w:r w:rsidR="00186CCB">
        <w:rPr>
          <w:rFonts w:ascii="Times New Roman" w:hAnsi="Times New Roman" w:cs="Times New Roman"/>
          <w:b/>
        </w:rPr>
        <w:br w:type="page"/>
      </w:r>
    </w:p>
    <w:p w:rsidR="00F65B90" w:rsidRPr="00DE39D6" w:rsidRDefault="00F65B90" w:rsidP="00F65B90">
      <w:pPr>
        <w:autoSpaceDE w:val="0"/>
        <w:autoSpaceDN w:val="0"/>
        <w:adjustRightInd w:val="0"/>
        <w:rPr>
          <w:rFonts w:ascii="Times New Roman" w:hAnsi="Times New Roman" w:cs="Times New Roman"/>
          <w:b/>
          <w:sz w:val="24"/>
          <w:szCs w:val="24"/>
        </w:rPr>
      </w:pPr>
      <w:r w:rsidRPr="00DE39D6">
        <w:rPr>
          <w:rFonts w:ascii="Times New Roman" w:hAnsi="Times New Roman" w:cs="Times New Roman"/>
          <w:b/>
          <w:sz w:val="24"/>
          <w:szCs w:val="24"/>
        </w:rPr>
        <w:lastRenderedPageBreak/>
        <w:t>References</w:t>
      </w:r>
    </w:p>
    <w:p w:rsidR="00F65B90" w:rsidRPr="00DE39D6" w:rsidRDefault="00F65B90" w:rsidP="00F65B90">
      <w:pPr>
        <w:pStyle w:val="ListParagraph"/>
        <w:numPr>
          <w:ilvl w:val="0"/>
          <w:numId w:val="12"/>
        </w:numPr>
        <w:rPr>
          <w:rFonts w:ascii="Times New Roman" w:hAnsi="Times New Roman" w:cs="Times New Roman"/>
          <w:sz w:val="24"/>
          <w:szCs w:val="24"/>
        </w:rPr>
      </w:pPr>
      <w:r w:rsidRPr="00DE39D6">
        <w:rPr>
          <w:rFonts w:ascii="Times New Roman" w:hAnsi="Times New Roman" w:cs="Times New Roman"/>
          <w:sz w:val="24"/>
          <w:szCs w:val="24"/>
        </w:rPr>
        <w:t>Palmer KT, Harris EC, Coggon D. Chronic health problems and risk of accidental injury in the workplace: A systematic literature review. Occup Environ Med 2008; 65: 757-764.</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 xml:space="preserve">da Silva MC, Fassa AG, Kriebel D. Minor psychiatric disorders among Brazilian ragpickers: a cross-sectional study.  Environ Health </w:t>
      </w:r>
      <w:r w:rsidRPr="00DE39D6">
        <w:rPr>
          <w:rStyle w:val="ti"/>
          <w:rFonts w:ascii="Times New Roman" w:hAnsi="Times New Roman" w:cs="Times New Roman"/>
          <w:sz w:val="24"/>
          <w:szCs w:val="24"/>
        </w:rPr>
        <w:t>2006;5:17.</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Edlund MJ, Conrad C, Morris P.  Accidents among schizophrenic outpatients.  Compr Psychiatry 1989;30:522-526.</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 xml:space="preserve">Frone MR.  Predictors of work injuries among employed adolescents.  J Appl Psychol 1998;83:565-576.  </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Nakata A, Ikeda T, Takahashi M, Haratani T, Hojou M, Fujioka Y, Swanson NG, Araki S.  Impact of psychosocial job stress on non-fatal occupational injuries in small and medium-sized manufacturing enterprises.  Am J Ind Med 2006;49:658-669.</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Zwerling C, Sprince NL, Wallace RB, Davis CS, Whitten PS, Heeringa SG.  Occupational injuries among agricultural workers 51 to 61 years old: A national study.  J Agr Saf Health 1995;1:273-281.</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Zwerling C, Sprince NL, Wallace RB, Davis CS, Whitten PS, Heeringa SG.  Risk factors for occupational injuries among older workers: an analysis of the Health and Retirement Study.  Am J Public Health 1996;86:1306-1309.</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Ghosh AK, Bhattacherjee A, Chau N.  Relationships of working conditions and individual characteristics to occupational injuries: a case-control study in coal miners.  J Occup Health 2004;46:470-478.</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Peele PB, Tollerud DJ.  Depression and occupational injury: results of a pilot investigation.  J Occup Environ Med 2005;47:424-427.</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 xml:space="preserve">Sprince NL, Park H, Zwerling C, Lynch CF, Whitten PA, Thu K, Gillette PP, Burmeister LF, Alavanja MC.  </w:t>
      </w:r>
      <w:r w:rsidRPr="00DE39D6">
        <w:rPr>
          <w:rFonts w:ascii="Times New Roman" w:hAnsi="Times New Roman" w:cs="Times New Roman"/>
          <w:sz w:val="24"/>
          <w:szCs w:val="24"/>
        </w:rPr>
        <w:t>Risk factors for machinery-related injury among Iowa farmers: a case-control study nested in the Agricultural Health Study.  Int J Occup Environ Health 2002;8:332-338.</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Sprince NL, Zwerling C, Lynch CF, Whitten PS, Thu K, Logsden-Sackett N, Burmeister LF, Sandler DP, Alavanja MC.  Risk factors for agricultural injury: a case-control analysis of Iowa Farmers in the Agricultural Health Study.  J Agric Saf Health 2003;9:5-18.</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lastRenderedPageBreak/>
        <w:t>Sprince NL, Park H, Zwerling C, Lynch CF, Whitten PS, Thu K, Burmeister LF, Gillette PP,  Alavanja MC.  Risk factors for animal-related injury among Iowa large-livestock farmers: a case-control study nested in the Agricultural Health Study.  J Rural Health 2003;19:165-173.</w:t>
      </w:r>
    </w:p>
    <w:p w:rsidR="00F65B90" w:rsidRPr="00DE39D6" w:rsidRDefault="00F65B90" w:rsidP="00F65B90">
      <w:pPr>
        <w:numPr>
          <w:ilvl w:val="0"/>
          <w:numId w:val="12"/>
        </w:numPr>
        <w:tabs>
          <w:tab w:val="right" w:pos="360"/>
          <w:tab w:val="left" w:pos="540"/>
        </w:tabs>
        <w:autoSpaceDE w:val="0"/>
        <w:autoSpaceDN w:val="0"/>
        <w:adjustRightInd w:val="0"/>
        <w:spacing w:before="120"/>
        <w:rPr>
          <w:rFonts w:ascii="Times New Roman" w:hAnsi="Times New Roman" w:cs="Times New Roman"/>
          <w:sz w:val="24"/>
          <w:szCs w:val="24"/>
          <w:lang w:val="en-US"/>
        </w:rPr>
      </w:pPr>
      <w:r w:rsidRPr="00DE39D6">
        <w:rPr>
          <w:rFonts w:ascii="Times New Roman" w:hAnsi="Times New Roman" w:cs="Times New Roman"/>
          <w:sz w:val="24"/>
          <w:szCs w:val="24"/>
          <w:lang w:val="en-US"/>
        </w:rPr>
        <w:t>Sprince NL, Zwerling C, Lynch CF, Whitten PS, Thu K, Gillette PP</w:t>
      </w:r>
      <w:r w:rsidRPr="00DE39D6">
        <w:rPr>
          <w:rFonts w:ascii="Times New Roman" w:hAnsi="Times New Roman" w:cs="Times New Roman"/>
          <w:i/>
          <w:iCs/>
          <w:sz w:val="24"/>
          <w:szCs w:val="24"/>
          <w:lang w:val="en-US"/>
        </w:rPr>
        <w:t xml:space="preserve"> et al</w:t>
      </w:r>
      <w:r w:rsidRPr="00DE39D6">
        <w:rPr>
          <w:rFonts w:ascii="Times New Roman" w:hAnsi="Times New Roman" w:cs="Times New Roman"/>
          <w:sz w:val="24"/>
          <w:szCs w:val="24"/>
          <w:lang w:val="en-US"/>
        </w:rPr>
        <w:t>. Risk factors for falls among Iowa farmers: a case-control study nested in the Agricultural Health Study. American Journal of Industrial Medicine 2003;44(3):265-272.</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 xml:space="preserve">Voaklander DC, Kelly KD, Rowe BH, Schopflocher DP, Svenson L, Yiannakoulias N, Pickett W.  Pain, medication, and injury in older farmers.  Am J Ind Med 2006;49:374-382.  </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 xml:space="preserve">Park H, Sprince NL, Lewis MQ, Burmeister LF, Whitten PS, Zwerling C.  Risk factors for work-related injury among male farmers in Iowa: a prospective cohort study.  J Occup Environ Med 2001;43:542-547.  </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Zwerling C, Sprince NL, Davis CS, Whitten PS, Wallace RR, Heeringa SG.  Occupational injuries among older workers with disabilities: a prospective cohort study of the Health and Retirement Survey, 1992 to 1994.  Am J Public Health 1998;88:1691-1695.</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Proctor RC. Prescription medication in the workplace: Occupational absenteeism, accidents, and performance when using non-psychoactive and psychoactive medication. N C Med J 1981;42:545-547.</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 xml:space="preserve">Wadsworth EJ, Moss SC, Simpson SA, Smith AP.  Preliminary investigation of the association between psychotropic medication use and accidents, minor injuries and cognitive failures.  Hum Psychopharmacol 2003;18:535-540.  </w:t>
      </w:r>
    </w:p>
    <w:p w:rsidR="00F65B90" w:rsidRPr="00DE39D6" w:rsidRDefault="00F65B90" w:rsidP="00F65B90">
      <w:pPr>
        <w:numPr>
          <w:ilvl w:val="0"/>
          <w:numId w:val="12"/>
        </w:numPr>
        <w:spacing w:before="120"/>
        <w:rPr>
          <w:rFonts w:ascii="Times New Roman" w:hAnsi="Times New Roman" w:cs="Times New Roman"/>
          <w:sz w:val="24"/>
          <w:szCs w:val="24"/>
        </w:rPr>
      </w:pPr>
      <w:r w:rsidRPr="00DE39D6">
        <w:rPr>
          <w:rStyle w:val="ti2"/>
          <w:rFonts w:ascii="Times New Roman" w:hAnsi="Times New Roman" w:cs="Times New Roman"/>
          <w:sz w:val="24"/>
          <w:szCs w:val="24"/>
        </w:rPr>
        <w:t>Chau N, Mur JM, Benamghar L, Siegfried C, Dangelzer JL, Français M, Jacquin R, Sourdot A.  Relationships between certain individual characteristics and occupational injuries for various jobs in the construction industry: a case-control study.  Am J Ind Med 2004;45:84-92.</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Gilmore TM, Alexander BH, Mueller BA, Rivara FP.  Occupational injuries and medication use.  Am J Ind Med 1996;30:234-239.</w:t>
      </w:r>
    </w:p>
    <w:p w:rsidR="00F65B90" w:rsidRPr="00DE39D6" w:rsidRDefault="00F65B90" w:rsidP="00F65B90">
      <w:pPr>
        <w:numPr>
          <w:ilvl w:val="0"/>
          <w:numId w:val="12"/>
        </w:numPr>
        <w:spacing w:before="120"/>
        <w:rPr>
          <w:rStyle w:val="ti2"/>
          <w:rFonts w:ascii="Times New Roman" w:hAnsi="Times New Roman" w:cs="Times New Roman"/>
          <w:sz w:val="24"/>
          <w:szCs w:val="24"/>
        </w:rPr>
      </w:pPr>
      <w:r w:rsidRPr="00DE39D6">
        <w:rPr>
          <w:rStyle w:val="ti2"/>
          <w:rFonts w:ascii="Times New Roman" w:hAnsi="Times New Roman" w:cs="Times New Roman"/>
          <w:sz w:val="24"/>
          <w:szCs w:val="24"/>
        </w:rPr>
        <w:t>Moll van Charante AW, Mulder PG.  Perceptual acuity and the risk of industrial accidents.  Am J Epidemiol 1990;131:652-663.</w:t>
      </w:r>
    </w:p>
    <w:p w:rsidR="00F65B90" w:rsidRPr="00DE39D6" w:rsidRDefault="00F65B90" w:rsidP="00F65B90">
      <w:pPr>
        <w:numPr>
          <w:ilvl w:val="0"/>
          <w:numId w:val="12"/>
        </w:numPr>
        <w:tabs>
          <w:tab w:val="right" w:pos="360"/>
          <w:tab w:val="left" w:pos="540"/>
        </w:tabs>
        <w:autoSpaceDE w:val="0"/>
        <w:autoSpaceDN w:val="0"/>
        <w:adjustRightInd w:val="0"/>
        <w:spacing w:before="120"/>
        <w:rPr>
          <w:rFonts w:ascii="Times New Roman" w:hAnsi="Times New Roman" w:cs="Times New Roman"/>
          <w:sz w:val="24"/>
          <w:szCs w:val="24"/>
          <w:lang w:val="en-US"/>
        </w:rPr>
      </w:pPr>
      <w:r w:rsidRPr="00DE39D6">
        <w:rPr>
          <w:rFonts w:ascii="Times New Roman" w:hAnsi="Times New Roman" w:cs="Times New Roman"/>
          <w:sz w:val="24"/>
          <w:szCs w:val="24"/>
          <w:lang w:val="en-US"/>
        </w:rPr>
        <w:t>Montastruc JL, Charlet JP. Use of benzodiazepines and industrial injuries. Service Medical Interentreprises de Toulouse, France. European Journal of Clinical Pharmacolog 1992;42(5):553-554.</w:t>
      </w:r>
    </w:p>
    <w:p w:rsidR="00F65B90" w:rsidRPr="00DE39D6" w:rsidRDefault="00F65B90" w:rsidP="00F65B90">
      <w:pPr>
        <w:numPr>
          <w:ilvl w:val="0"/>
          <w:numId w:val="12"/>
        </w:numPr>
        <w:tabs>
          <w:tab w:val="right" w:pos="360"/>
          <w:tab w:val="left" w:pos="540"/>
        </w:tabs>
        <w:autoSpaceDE w:val="0"/>
        <w:autoSpaceDN w:val="0"/>
        <w:adjustRightInd w:val="0"/>
        <w:spacing w:before="120"/>
        <w:rPr>
          <w:rStyle w:val="ti2"/>
          <w:rFonts w:ascii="Times New Roman" w:hAnsi="Times New Roman" w:cs="Times New Roman"/>
          <w:sz w:val="24"/>
          <w:szCs w:val="24"/>
          <w:lang w:val="en-US"/>
        </w:rPr>
      </w:pPr>
      <w:r w:rsidRPr="00DE39D6">
        <w:rPr>
          <w:rFonts w:ascii="Times New Roman" w:hAnsi="Times New Roman" w:cs="Times New Roman"/>
          <w:sz w:val="24"/>
          <w:szCs w:val="24"/>
          <w:lang w:val="en-US"/>
        </w:rPr>
        <w:lastRenderedPageBreak/>
        <w:t>Pickett W, Chipman ML, Brison RJ, Holness DL. Medications as risk factors for farm injury. Accident Analysis &amp; Prevention 1996;28:453-462.</w:t>
      </w:r>
      <w:r w:rsidRPr="00DE39D6">
        <w:rPr>
          <w:rStyle w:val="ti2"/>
          <w:rFonts w:ascii="Times New Roman" w:hAnsi="Times New Roman" w:cs="Times New Roman"/>
          <w:sz w:val="24"/>
          <w:szCs w:val="24"/>
        </w:rPr>
        <w:t xml:space="preserve"> </w:t>
      </w:r>
    </w:p>
    <w:p w:rsidR="00F65B90" w:rsidRPr="00DE39D6" w:rsidRDefault="00F65B90" w:rsidP="00F65B90">
      <w:pPr>
        <w:numPr>
          <w:ilvl w:val="0"/>
          <w:numId w:val="12"/>
        </w:numPr>
        <w:spacing w:before="120"/>
        <w:rPr>
          <w:rFonts w:ascii="Times New Roman" w:hAnsi="Times New Roman" w:cs="Times New Roman"/>
          <w:sz w:val="24"/>
          <w:szCs w:val="24"/>
        </w:rPr>
      </w:pPr>
      <w:r w:rsidRPr="00DE39D6">
        <w:rPr>
          <w:rFonts w:ascii="Times New Roman" w:hAnsi="Times New Roman" w:cs="Times New Roman"/>
          <w:sz w:val="24"/>
          <w:szCs w:val="24"/>
        </w:rPr>
        <w:t>Bhattacherjee A, Chau N, Sierra CO, Legras B, Benamghar L, Michaely JP, Ghosh AK, Guillemin F, Ravaud JF, Mur JM and Lorhandicap Group.  Relationships of job and some individual characteristics to occupational injuries in employed people: a community-based study.  J Occup Health 2003;45:382-391.</w:t>
      </w:r>
    </w:p>
    <w:p w:rsidR="00F65B90" w:rsidRPr="00DE39D6" w:rsidRDefault="00F65B90" w:rsidP="00F65B90">
      <w:pPr>
        <w:numPr>
          <w:ilvl w:val="0"/>
          <w:numId w:val="12"/>
        </w:numPr>
        <w:spacing w:before="120"/>
        <w:rPr>
          <w:rFonts w:ascii="Times New Roman" w:hAnsi="Times New Roman" w:cs="Times New Roman"/>
          <w:sz w:val="24"/>
          <w:szCs w:val="24"/>
        </w:rPr>
      </w:pPr>
      <w:r w:rsidRPr="00DE39D6">
        <w:rPr>
          <w:rFonts w:ascii="Times New Roman" w:hAnsi="Times New Roman" w:cs="Times New Roman"/>
          <w:sz w:val="24"/>
          <w:szCs w:val="24"/>
        </w:rPr>
        <w:t>Tiesman HM, Peek-Asa C, Whitten P, Sprince NL, Stromquist A, Zwerling C. Depressive symptoms as a risk factor for unintentional injury: a cohort study in a rural county. Injury Prevention 2006; 12: 172-177.</w:t>
      </w:r>
    </w:p>
    <w:p w:rsidR="00F65B90" w:rsidRPr="00DE39D6" w:rsidRDefault="00F65B90" w:rsidP="00F65B90">
      <w:pPr>
        <w:numPr>
          <w:ilvl w:val="0"/>
          <w:numId w:val="12"/>
        </w:numPr>
        <w:spacing w:before="120"/>
        <w:rPr>
          <w:rFonts w:ascii="Times New Roman" w:hAnsi="Times New Roman" w:cs="Times New Roman"/>
          <w:sz w:val="24"/>
          <w:szCs w:val="24"/>
        </w:rPr>
      </w:pPr>
      <w:r w:rsidRPr="00DE39D6">
        <w:rPr>
          <w:rFonts w:ascii="Times New Roman" w:hAnsi="Times New Roman" w:cs="Times New Roman"/>
          <w:sz w:val="24"/>
          <w:szCs w:val="24"/>
        </w:rPr>
        <w:t>Cherry N, Burstyn I, Beach J. Mental ill-health and second claims for work-related injury. Occup Med 2012; 62: 462-465.</w:t>
      </w:r>
    </w:p>
    <w:p w:rsidR="00C95318" w:rsidRPr="00DE39D6" w:rsidRDefault="00C95318" w:rsidP="00F65B90">
      <w:pPr>
        <w:numPr>
          <w:ilvl w:val="0"/>
          <w:numId w:val="12"/>
        </w:numPr>
        <w:spacing w:before="120"/>
        <w:rPr>
          <w:rFonts w:ascii="Times New Roman" w:hAnsi="Times New Roman" w:cs="Times New Roman"/>
          <w:sz w:val="24"/>
          <w:szCs w:val="24"/>
        </w:rPr>
      </w:pPr>
      <w:r w:rsidRPr="00DE39D6">
        <w:rPr>
          <w:rFonts w:ascii="Times New Roman" w:hAnsi="Times New Roman" w:cs="Times New Roman"/>
          <w:sz w:val="24"/>
          <w:szCs w:val="24"/>
        </w:rPr>
        <w:t>Wally T, Mantgani A. The UK General Practice Research Database. Lancet 1997; 350: 1097-9.</w:t>
      </w:r>
    </w:p>
    <w:p w:rsidR="00F65B90" w:rsidRPr="00DE39D6" w:rsidRDefault="00F65B90" w:rsidP="00F65B90">
      <w:pPr>
        <w:numPr>
          <w:ilvl w:val="0"/>
          <w:numId w:val="12"/>
        </w:numPr>
        <w:spacing w:before="120"/>
        <w:rPr>
          <w:rFonts w:ascii="Times New Roman" w:hAnsi="Times New Roman" w:cs="Times New Roman"/>
          <w:sz w:val="24"/>
          <w:szCs w:val="24"/>
        </w:rPr>
      </w:pPr>
      <w:r w:rsidRPr="00DE39D6">
        <w:rPr>
          <w:rFonts w:ascii="Times New Roman" w:hAnsi="Times New Roman" w:cs="Times New Roman"/>
          <w:sz w:val="24"/>
          <w:szCs w:val="24"/>
        </w:rPr>
        <w:t>Frisher M, Crome I, Macleod J, Millson M, Croft P. Substance misuse and psychiatric illness: prospective observational study using the general practice research database. J Epidemiol Community Health 2005;59:847–850.</w:t>
      </w:r>
    </w:p>
    <w:p w:rsidR="00C95318" w:rsidRPr="00DE39D6" w:rsidRDefault="00C95318" w:rsidP="00F65B90">
      <w:pPr>
        <w:numPr>
          <w:ilvl w:val="0"/>
          <w:numId w:val="12"/>
        </w:numPr>
        <w:spacing w:before="120"/>
        <w:rPr>
          <w:rFonts w:ascii="Times New Roman" w:hAnsi="Times New Roman" w:cs="Times New Roman"/>
          <w:sz w:val="24"/>
          <w:szCs w:val="24"/>
        </w:rPr>
      </w:pPr>
      <w:r w:rsidRPr="00DE39D6">
        <w:rPr>
          <w:rFonts w:ascii="Times New Roman" w:hAnsi="Times New Roman" w:cs="Times New Roman"/>
          <w:sz w:val="24"/>
          <w:szCs w:val="24"/>
        </w:rPr>
        <w:t>Jick H, Jick SS, Derby LE. Validation of information recorded on general practitioner based computerised data resource in the United Kingdom. BMJ 1991; 302: 766-768.</w:t>
      </w:r>
    </w:p>
    <w:p w:rsidR="00C95318" w:rsidRPr="00DE39D6" w:rsidRDefault="00C95318" w:rsidP="00F65B90">
      <w:pPr>
        <w:numPr>
          <w:ilvl w:val="0"/>
          <w:numId w:val="12"/>
        </w:numPr>
        <w:spacing w:before="120"/>
        <w:rPr>
          <w:rFonts w:ascii="Times New Roman" w:hAnsi="Times New Roman" w:cs="Times New Roman"/>
          <w:sz w:val="24"/>
          <w:szCs w:val="24"/>
        </w:rPr>
      </w:pPr>
      <w:r w:rsidRPr="00DE39D6">
        <w:rPr>
          <w:rFonts w:ascii="Times New Roman" w:hAnsi="Times New Roman" w:cs="Times New Roman"/>
          <w:sz w:val="24"/>
          <w:szCs w:val="24"/>
        </w:rPr>
        <w:t>Hollowell J. General Practice Research Database (GPRD): Scope and Quality of Data. London: Office of Population Censuses and Statistics, 1994.</w:t>
      </w:r>
    </w:p>
    <w:p w:rsidR="00C95318" w:rsidRPr="00304582" w:rsidRDefault="00C95318" w:rsidP="00F65B90">
      <w:pPr>
        <w:numPr>
          <w:ilvl w:val="0"/>
          <w:numId w:val="12"/>
        </w:numPr>
        <w:spacing w:before="120"/>
        <w:rPr>
          <w:rFonts w:ascii="Times New Roman" w:hAnsi="Times New Roman" w:cs="Times New Roman"/>
        </w:rPr>
      </w:pPr>
      <w:r w:rsidRPr="00DE39D6">
        <w:rPr>
          <w:rFonts w:ascii="Times New Roman" w:hAnsi="Times New Roman" w:cs="Times New Roman"/>
          <w:sz w:val="24"/>
          <w:szCs w:val="24"/>
        </w:rPr>
        <w:t>Palmer KT, Kim M, Coggon D.  Bypassing the selection rule in choosing controls for a case-control study.  Occup Environ Med 2010;67:872-7.</w:t>
      </w:r>
      <w:r w:rsidRPr="00C95318">
        <w:rPr>
          <w:rFonts w:ascii="Times New Roman" w:hAnsi="Times New Roman" w:cs="Times New Roman"/>
        </w:rPr>
        <w:t xml:space="preserve">  </w:t>
      </w:r>
    </w:p>
    <w:p w:rsidR="00733979" w:rsidRPr="001620B7" w:rsidRDefault="00733979" w:rsidP="00337079">
      <w:pPr>
        <w:widowControl w:val="0"/>
        <w:rPr>
          <w:rFonts w:ascii="Times New Roman" w:hAnsi="Times New Roman" w:cs="Times New Roman"/>
        </w:rPr>
      </w:pPr>
    </w:p>
    <w:p w:rsidR="003322C6" w:rsidRDefault="003322C6" w:rsidP="003322C6">
      <w:pPr>
        <w:rPr>
          <w:rFonts w:ascii="Times New Roman" w:hAnsi="Times New Roman" w:cs="Times New Roman"/>
          <w:b/>
        </w:rPr>
        <w:sectPr w:rsidR="003322C6" w:rsidSect="003322C6">
          <w:footerReference w:type="default" r:id="rId10"/>
          <w:pgSz w:w="11906" w:h="16838"/>
          <w:pgMar w:top="1440" w:right="1080" w:bottom="1440" w:left="1080" w:header="708" w:footer="708" w:gutter="0"/>
          <w:cols w:space="708"/>
          <w:docGrid w:linePitch="360"/>
        </w:sectPr>
      </w:pPr>
    </w:p>
    <w:p w:rsidR="003322C6" w:rsidRDefault="003322C6" w:rsidP="003322C6">
      <w:pPr>
        <w:rPr>
          <w:rFonts w:ascii="Times New Roman" w:hAnsi="Times New Roman" w:cs="Times New Roman"/>
          <w:b/>
        </w:rPr>
      </w:pPr>
      <w:r>
        <w:rPr>
          <w:rFonts w:ascii="Times New Roman" w:hAnsi="Times New Roman" w:cs="Times New Roman"/>
          <w:b/>
        </w:rPr>
        <w:lastRenderedPageBreak/>
        <w:t xml:space="preserve">Table 1: </w:t>
      </w:r>
      <w:r w:rsidRPr="00C23D45">
        <w:rPr>
          <w:rFonts w:ascii="Times New Roman" w:hAnsi="Times New Roman" w:cs="Times New Roman"/>
          <w:b/>
        </w:rPr>
        <w:t xml:space="preserve">Nature </w:t>
      </w:r>
      <w:r>
        <w:rPr>
          <w:rFonts w:ascii="Times New Roman" w:hAnsi="Times New Roman" w:cs="Times New Roman"/>
          <w:b/>
        </w:rPr>
        <w:t>and c</w:t>
      </w:r>
      <w:r w:rsidRPr="00C23D45">
        <w:rPr>
          <w:rFonts w:ascii="Times New Roman" w:hAnsi="Times New Roman" w:cs="Times New Roman"/>
          <w:b/>
        </w:rPr>
        <w:t>ircumstances of the injuries</w:t>
      </w:r>
      <w:r>
        <w:rPr>
          <w:rFonts w:ascii="Times New Roman" w:hAnsi="Times New Roman" w:cs="Times New Roman"/>
          <w:b/>
        </w:rPr>
        <w:t xml:space="preserve"> in</w:t>
      </w:r>
      <w:r w:rsidRPr="00C23D45">
        <w:rPr>
          <w:rFonts w:ascii="Times New Roman" w:hAnsi="Times New Roman" w:cs="Times New Roman"/>
          <w:b/>
        </w:rPr>
        <w:t xml:space="preserve"> cases</w:t>
      </w:r>
    </w:p>
    <w:p w:rsidR="003322C6" w:rsidRPr="00C23D45" w:rsidRDefault="003322C6" w:rsidP="003322C6">
      <w:pPr>
        <w:rPr>
          <w:rFonts w:ascii="Times New Roman" w:hAnsi="Times New Roman" w:cs="Times New Roman"/>
          <w:b/>
        </w:rPr>
      </w:pPr>
    </w:p>
    <w:tbl>
      <w:tblPr>
        <w:tblW w:w="11432" w:type="dxa"/>
        <w:tblInd w:w="97" w:type="dxa"/>
        <w:tblLook w:val="04A0" w:firstRow="1" w:lastRow="0" w:firstColumn="1" w:lastColumn="0" w:noHBand="0" w:noVBand="1"/>
      </w:tblPr>
      <w:tblGrid>
        <w:gridCol w:w="3839"/>
        <w:gridCol w:w="895"/>
        <w:gridCol w:w="239"/>
        <w:gridCol w:w="5670"/>
        <w:gridCol w:w="789"/>
      </w:tblGrid>
      <w:tr w:rsidR="003322C6" w:rsidRPr="00C23D45" w:rsidTr="000D36A3">
        <w:trPr>
          <w:trHeight w:val="300"/>
        </w:trPr>
        <w:tc>
          <w:tcPr>
            <w:tcW w:w="3839" w:type="dxa"/>
            <w:tcBorders>
              <w:top w:val="single" w:sz="4" w:space="0" w:color="auto"/>
              <w:bottom w:val="single" w:sz="4" w:space="0" w:color="auto"/>
            </w:tcBorders>
            <w:shd w:val="clear" w:color="auto" w:fill="auto"/>
            <w:noWrap/>
            <w:vAlign w:val="center"/>
            <w:hideMark/>
          </w:tcPr>
          <w:p w:rsidR="003322C6" w:rsidRPr="00C23D45" w:rsidRDefault="003322C6" w:rsidP="000D36A3">
            <w:pPr>
              <w:spacing w:line="240" w:lineRule="auto"/>
              <w:rPr>
                <w:rFonts w:ascii="Times New Roman" w:eastAsia="Times New Roman" w:hAnsi="Times New Roman" w:cs="Times New Roman"/>
                <w:lang w:eastAsia="en-GB"/>
              </w:rPr>
            </w:pPr>
            <w:r w:rsidRPr="00C23D45">
              <w:rPr>
                <w:rFonts w:ascii="Times New Roman" w:eastAsia="Times New Roman" w:hAnsi="Times New Roman" w:cs="Times New Roman"/>
                <w:lang w:eastAsia="en-GB"/>
              </w:rPr>
              <w:t>Injury</w:t>
            </w:r>
          </w:p>
        </w:tc>
        <w:tc>
          <w:tcPr>
            <w:tcW w:w="895" w:type="dxa"/>
            <w:tcBorders>
              <w:top w:val="single" w:sz="4" w:space="0" w:color="auto"/>
              <w:bottom w:val="single" w:sz="4" w:space="0" w:color="auto"/>
            </w:tcBorders>
            <w:vAlign w:val="bottom"/>
          </w:tcPr>
          <w:p w:rsidR="003322C6" w:rsidRPr="00C23D45" w:rsidRDefault="003322C6" w:rsidP="000D36A3">
            <w:pPr>
              <w:spacing w:line="240" w:lineRule="auto"/>
              <w:jc w:val="center"/>
              <w:rPr>
                <w:rFonts w:ascii="Times New Roman" w:hAnsi="Times New Roman" w:cs="Times New Roman"/>
                <w:color w:val="000000"/>
              </w:rPr>
            </w:pPr>
            <w:r w:rsidRPr="00C23D45">
              <w:rPr>
                <w:rFonts w:ascii="Times New Roman" w:hAnsi="Times New Roman" w:cs="Times New Roman"/>
                <w:color w:val="000000"/>
              </w:rPr>
              <w:t>No. of cases</w:t>
            </w:r>
          </w:p>
        </w:tc>
        <w:tc>
          <w:tcPr>
            <w:tcW w:w="239" w:type="dxa"/>
            <w:tcBorders>
              <w:top w:val="single" w:sz="4" w:space="0" w:color="auto"/>
              <w:bottom w:val="single" w:sz="4" w:space="0" w:color="auto"/>
            </w:tcBorders>
          </w:tcPr>
          <w:p w:rsidR="003322C6" w:rsidRPr="00431C2B" w:rsidRDefault="003322C6" w:rsidP="000D36A3">
            <w:pPr>
              <w:spacing w:line="240" w:lineRule="auto"/>
              <w:jc w:val="center"/>
              <w:rPr>
                <w:rFonts w:ascii="Times New Roman" w:hAnsi="Times New Roman" w:cs="Times New Roman"/>
                <w:color w:val="000000"/>
                <w:highlight w:val="yellow"/>
              </w:rPr>
            </w:pPr>
          </w:p>
        </w:tc>
        <w:tc>
          <w:tcPr>
            <w:tcW w:w="5670" w:type="dxa"/>
            <w:tcBorders>
              <w:top w:val="single" w:sz="4" w:space="0" w:color="auto"/>
              <w:bottom w:val="single" w:sz="4" w:space="0" w:color="auto"/>
            </w:tcBorders>
            <w:vAlign w:val="center"/>
          </w:tcPr>
          <w:p w:rsidR="003322C6" w:rsidRPr="00431C2B" w:rsidRDefault="003322C6" w:rsidP="000D36A3">
            <w:pPr>
              <w:spacing w:line="240" w:lineRule="auto"/>
              <w:rPr>
                <w:rFonts w:ascii="Times New Roman" w:hAnsi="Times New Roman" w:cs="Times New Roman"/>
                <w:color w:val="000000"/>
                <w:highlight w:val="yellow"/>
              </w:rPr>
            </w:pPr>
            <w:r w:rsidRPr="00C23D45">
              <w:rPr>
                <w:rFonts w:ascii="Times New Roman" w:eastAsia="Times New Roman" w:hAnsi="Times New Roman" w:cs="Times New Roman"/>
                <w:color w:val="000000"/>
                <w:lang w:eastAsia="en-GB"/>
              </w:rPr>
              <w:t>Causal agent/type of event</w:t>
            </w:r>
          </w:p>
        </w:tc>
        <w:tc>
          <w:tcPr>
            <w:tcW w:w="789" w:type="dxa"/>
            <w:tcBorders>
              <w:top w:val="single" w:sz="4" w:space="0" w:color="auto"/>
              <w:bottom w:val="single" w:sz="4" w:space="0" w:color="auto"/>
            </w:tcBorders>
          </w:tcPr>
          <w:p w:rsidR="003322C6" w:rsidRPr="00C23D45" w:rsidRDefault="003322C6" w:rsidP="000D36A3">
            <w:pPr>
              <w:spacing w:line="240" w:lineRule="auto"/>
              <w:jc w:val="center"/>
              <w:rPr>
                <w:rFonts w:ascii="Times New Roman" w:hAnsi="Times New Roman" w:cs="Times New Roman"/>
                <w:color w:val="000000"/>
              </w:rPr>
            </w:pPr>
            <w:r w:rsidRPr="00C23D45">
              <w:rPr>
                <w:rFonts w:ascii="Times New Roman" w:hAnsi="Times New Roman" w:cs="Times New Roman"/>
                <w:color w:val="000000"/>
              </w:rPr>
              <w:t>No. of cases</w:t>
            </w:r>
          </w:p>
        </w:tc>
      </w:tr>
      <w:tr w:rsidR="00925734" w:rsidRPr="00C23D45" w:rsidTr="000D36A3">
        <w:trPr>
          <w:trHeight w:val="300"/>
        </w:trPr>
        <w:tc>
          <w:tcPr>
            <w:tcW w:w="3839" w:type="dxa"/>
            <w:tcBorders>
              <w:top w:val="single" w:sz="4" w:space="0" w:color="auto"/>
            </w:tcBorders>
            <w:shd w:val="clear" w:color="auto" w:fill="auto"/>
            <w:noWrap/>
            <w:vAlign w:val="bottom"/>
            <w:hideMark/>
          </w:tcPr>
          <w:p w:rsidR="00925734" w:rsidRPr="00C23D45" w:rsidRDefault="00925734" w:rsidP="000D36A3">
            <w:pPr>
              <w:spacing w:line="240" w:lineRule="auto"/>
              <w:rPr>
                <w:rFonts w:ascii="Times New Roman" w:eastAsia="Times New Roman" w:hAnsi="Times New Roman" w:cs="Times New Roman"/>
                <w:lang w:eastAsia="en-GB"/>
              </w:rPr>
            </w:pPr>
            <w:r w:rsidRPr="00C23D45">
              <w:rPr>
                <w:rFonts w:ascii="Times New Roman" w:eastAsia="Times New Roman" w:hAnsi="Times New Roman" w:cs="Times New Roman"/>
                <w:lang w:eastAsia="en-GB"/>
              </w:rPr>
              <w:t>Sprains or soft tissue injuries</w:t>
            </w:r>
          </w:p>
        </w:tc>
        <w:tc>
          <w:tcPr>
            <w:tcW w:w="895" w:type="dxa"/>
            <w:tcBorders>
              <w:top w:val="single" w:sz="4" w:space="0" w:color="auto"/>
            </w:tcBorders>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280</w:t>
            </w:r>
          </w:p>
        </w:tc>
        <w:tc>
          <w:tcPr>
            <w:tcW w:w="239" w:type="dxa"/>
            <w:tcBorders>
              <w:top w:val="single" w:sz="4" w:space="0" w:color="auto"/>
            </w:tcBorders>
          </w:tcPr>
          <w:p w:rsidR="00925734" w:rsidRPr="00431C2B" w:rsidRDefault="00925734" w:rsidP="000D36A3">
            <w:pPr>
              <w:spacing w:line="240" w:lineRule="auto"/>
              <w:jc w:val="center"/>
              <w:rPr>
                <w:rFonts w:ascii="Times New Roman" w:hAnsi="Times New Roman" w:cs="Times New Roman"/>
                <w:color w:val="000000"/>
                <w:highlight w:val="yellow"/>
              </w:rPr>
            </w:pPr>
          </w:p>
        </w:tc>
        <w:tc>
          <w:tcPr>
            <w:tcW w:w="5670" w:type="dxa"/>
            <w:tcBorders>
              <w:top w:val="single" w:sz="4" w:space="0" w:color="auto"/>
            </w:tcBorders>
            <w:vAlign w:val="bottom"/>
          </w:tcPr>
          <w:p w:rsidR="00925734" w:rsidRPr="00C23D45" w:rsidRDefault="00925734" w:rsidP="000D36A3">
            <w:pPr>
              <w:spacing w:line="240" w:lineRule="auto"/>
              <w:rPr>
                <w:rFonts w:ascii="Times New Roman" w:eastAsia="Times New Roman" w:hAnsi="Times New Roman" w:cs="Times New Roman"/>
                <w:color w:val="000000"/>
                <w:lang w:eastAsia="en-GB"/>
              </w:rPr>
            </w:pPr>
            <w:r w:rsidRPr="00C23D45">
              <w:rPr>
                <w:rFonts w:ascii="Times New Roman" w:eastAsia="Times New Roman" w:hAnsi="Times New Roman" w:cs="Times New Roman"/>
                <w:color w:val="000000"/>
                <w:lang w:eastAsia="en-GB"/>
              </w:rPr>
              <w:t>Accident</w:t>
            </w:r>
            <w:r>
              <w:rPr>
                <w:rFonts w:ascii="Times New Roman" w:eastAsia="Times New Roman" w:hAnsi="Times New Roman" w:cs="Times New Roman"/>
                <w:color w:val="000000"/>
                <w:lang w:eastAsia="en-GB"/>
              </w:rPr>
              <w:t>s</w:t>
            </w:r>
            <w:r w:rsidRPr="00C23D45">
              <w:rPr>
                <w:rFonts w:ascii="Times New Roman" w:eastAsia="Times New Roman" w:hAnsi="Times New Roman" w:cs="Times New Roman"/>
                <w:color w:val="000000"/>
                <w:lang w:eastAsia="en-GB"/>
              </w:rPr>
              <w:t xml:space="preserve"> involving a power tool or machinery </w:t>
            </w:r>
          </w:p>
        </w:tc>
        <w:tc>
          <w:tcPr>
            <w:tcW w:w="789" w:type="dxa"/>
            <w:tcBorders>
              <w:top w:val="single" w:sz="4" w:space="0" w:color="auto"/>
            </w:tcBorders>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192</w:t>
            </w:r>
          </w:p>
        </w:tc>
      </w:tr>
      <w:tr w:rsidR="00925734" w:rsidRPr="00C23D45" w:rsidTr="000D36A3">
        <w:trPr>
          <w:trHeight w:val="300"/>
        </w:trPr>
        <w:tc>
          <w:tcPr>
            <w:tcW w:w="3839" w:type="dxa"/>
            <w:shd w:val="clear" w:color="auto" w:fill="auto"/>
            <w:noWrap/>
            <w:vAlign w:val="bottom"/>
            <w:hideMark/>
          </w:tcPr>
          <w:p w:rsidR="00925734" w:rsidRPr="00C23D45" w:rsidRDefault="00925734" w:rsidP="000D36A3">
            <w:pPr>
              <w:spacing w:line="240" w:lineRule="auto"/>
              <w:rPr>
                <w:rFonts w:ascii="Times New Roman" w:eastAsia="Times New Roman" w:hAnsi="Times New Roman" w:cs="Times New Roman"/>
                <w:lang w:eastAsia="en-GB"/>
              </w:rPr>
            </w:pPr>
            <w:r w:rsidRPr="00C23D45">
              <w:rPr>
                <w:rFonts w:ascii="Times New Roman" w:eastAsia="Times New Roman" w:hAnsi="Times New Roman" w:cs="Times New Roman"/>
                <w:lang w:eastAsia="en-GB"/>
              </w:rPr>
              <w:t>Haematoma, contusion</w:t>
            </w:r>
            <w:r>
              <w:rPr>
                <w:rFonts w:ascii="Times New Roman" w:eastAsia="Times New Roman" w:hAnsi="Times New Roman" w:cs="Times New Roman"/>
                <w:lang w:eastAsia="en-GB"/>
              </w:rPr>
              <w:t>s</w:t>
            </w:r>
            <w:r w:rsidRPr="00C23D45">
              <w:rPr>
                <w:rFonts w:ascii="Times New Roman" w:eastAsia="Times New Roman" w:hAnsi="Times New Roman" w:cs="Times New Roman"/>
                <w:lang w:eastAsia="en-GB"/>
              </w:rPr>
              <w:t xml:space="preserve"> or crush</w:t>
            </w:r>
            <w:r>
              <w:rPr>
                <w:rFonts w:ascii="Times New Roman" w:eastAsia="Times New Roman" w:hAnsi="Times New Roman" w:cs="Times New Roman"/>
                <w:lang w:eastAsia="en-GB"/>
              </w:rPr>
              <w:t xml:space="preserve"> injuries</w:t>
            </w:r>
          </w:p>
        </w:tc>
        <w:tc>
          <w:tcPr>
            <w:tcW w:w="0" w:type="auto"/>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78</w:t>
            </w:r>
          </w:p>
        </w:tc>
        <w:tc>
          <w:tcPr>
            <w:tcW w:w="239" w:type="dxa"/>
          </w:tcPr>
          <w:p w:rsidR="00925734" w:rsidRPr="00431C2B" w:rsidRDefault="00925734" w:rsidP="000D36A3">
            <w:pPr>
              <w:spacing w:line="240" w:lineRule="auto"/>
              <w:jc w:val="center"/>
              <w:rPr>
                <w:rFonts w:ascii="Times New Roman" w:hAnsi="Times New Roman" w:cs="Times New Roman"/>
                <w:color w:val="000000"/>
                <w:highlight w:val="yellow"/>
              </w:rPr>
            </w:pPr>
          </w:p>
        </w:tc>
        <w:tc>
          <w:tcPr>
            <w:tcW w:w="5670" w:type="dxa"/>
            <w:vAlign w:val="bottom"/>
          </w:tcPr>
          <w:p w:rsidR="00925734" w:rsidRPr="00C23D45" w:rsidRDefault="00925734" w:rsidP="000D36A3">
            <w:pPr>
              <w:spacing w:line="240" w:lineRule="auto"/>
              <w:rPr>
                <w:rFonts w:ascii="Times New Roman" w:eastAsia="Times New Roman" w:hAnsi="Times New Roman" w:cs="Times New Roman"/>
                <w:color w:val="000000"/>
                <w:lang w:eastAsia="en-GB"/>
              </w:rPr>
            </w:pPr>
            <w:r w:rsidRPr="00C23D45">
              <w:rPr>
                <w:rFonts w:ascii="Times New Roman" w:eastAsia="Times New Roman" w:hAnsi="Times New Roman" w:cs="Times New Roman"/>
                <w:color w:val="000000"/>
                <w:lang w:eastAsia="en-GB"/>
              </w:rPr>
              <w:t>Accident</w:t>
            </w:r>
            <w:r>
              <w:rPr>
                <w:rFonts w:ascii="Times New Roman" w:eastAsia="Times New Roman" w:hAnsi="Times New Roman" w:cs="Times New Roman"/>
                <w:color w:val="000000"/>
                <w:lang w:eastAsia="en-GB"/>
              </w:rPr>
              <w:t>s</w:t>
            </w:r>
            <w:r w:rsidRPr="00C23D45">
              <w:rPr>
                <w:rFonts w:ascii="Times New Roman" w:eastAsia="Times New Roman" w:hAnsi="Times New Roman" w:cs="Times New Roman"/>
                <w:color w:val="000000"/>
                <w:lang w:eastAsia="en-GB"/>
              </w:rPr>
              <w:t xml:space="preserve"> involving a non-powered tool or item of equipment</w:t>
            </w:r>
          </w:p>
        </w:tc>
        <w:tc>
          <w:tcPr>
            <w:tcW w:w="0" w:type="auto"/>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59</w:t>
            </w:r>
          </w:p>
        </w:tc>
      </w:tr>
      <w:tr w:rsidR="00925734" w:rsidRPr="00C23D45" w:rsidTr="000D36A3">
        <w:trPr>
          <w:trHeight w:val="300"/>
        </w:trPr>
        <w:tc>
          <w:tcPr>
            <w:tcW w:w="3839" w:type="dxa"/>
            <w:shd w:val="clear" w:color="auto" w:fill="auto"/>
            <w:noWrap/>
            <w:vAlign w:val="bottom"/>
            <w:hideMark/>
          </w:tcPr>
          <w:p w:rsidR="00925734" w:rsidRPr="00C23D45" w:rsidRDefault="00925734" w:rsidP="000D36A3">
            <w:pPr>
              <w:spacing w:line="240" w:lineRule="auto"/>
              <w:rPr>
                <w:rFonts w:ascii="Times New Roman" w:eastAsia="Times New Roman" w:hAnsi="Times New Roman" w:cs="Times New Roman"/>
                <w:color w:val="000000"/>
                <w:lang w:eastAsia="en-GB"/>
              </w:rPr>
            </w:pPr>
            <w:r w:rsidRPr="00C23D45">
              <w:rPr>
                <w:rFonts w:ascii="Times New Roman" w:eastAsia="Times New Roman" w:hAnsi="Times New Roman" w:cs="Times New Roman"/>
                <w:color w:val="000000"/>
                <w:lang w:eastAsia="en-GB"/>
              </w:rPr>
              <w:t>Laceration</w:t>
            </w:r>
            <w:r>
              <w:rPr>
                <w:rFonts w:ascii="Times New Roman" w:eastAsia="Times New Roman" w:hAnsi="Times New Roman" w:cs="Times New Roman"/>
                <w:color w:val="000000"/>
                <w:lang w:eastAsia="en-GB"/>
              </w:rPr>
              <w:t>s</w:t>
            </w:r>
            <w:r w:rsidRPr="00C23D45">
              <w:rPr>
                <w:rFonts w:ascii="Times New Roman" w:eastAsia="Times New Roman" w:hAnsi="Times New Roman" w:cs="Times New Roman"/>
                <w:color w:val="000000"/>
                <w:lang w:eastAsia="en-GB"/>
              </w:rPr>
              <w:t xml:space="preserve"> or open wound</w:t>
            </w:r>
            <w:r>
              <w:rPr>
                <w:rFonts w:ascii="Times New Roman" w:eastAsia="Times New Roman" w:hAnsi="Times New Roman" w:cs="Times New Roman"/>
                <w:color w:val="000000"/>
                <w:lang w:eastAsia="en-GB"/>
              </w:rPr>
              <w:t>s</w:t>
            </w:r>
          </w:p>
        </w:tc>
        <w:tc>
          <w:tcPr>
            <w:tcW w:w="0" w:type="auto"/>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123</w:t>
            </w:r>
          </w:p>
        </w:tc>
        <w:tc>
          <w:tcPr>
            <w:tcW w:w="239" w:type="dxa"/>
          </w:tcPr>
          <w:p w:rsidR="00925734" w:rsidRPr="00431C2B" w:rsidRDefault="00925734" w:rsidP="000D36A3">
            <w:pPr>
              <w:spacing w:line="240" w:lineRule="auto"/>
              <w:jc w:val="center"/>
              <w:rPr>
                <w:rFonts w:ascii="Times New Roman" w:hAnsi="Times New Roman" w:cs="Times New Roman"/>
                <w:color w:val="000000"/>
                <w:highlight w:val="yellow"/>
              </w:rPr>
            </w:pPr>
          </w:p>
        </w:tc>
        <w:tc>
          <w:tcPr>
            <w:tcW w:w="5670" w:type="dxa"/>
            <w:vAlign w:val="bottom"/>
          </w:tcPr>
          <w:p w:rsidR="00925734" w:rsidRPr="00C23D45" w:rsidRDefault="00925734" w:rsidP="000D36A3">
            <w:pPr>
              <w:spacing w:line="240" w:lineRule="auto"/>
              <w:rPr>
                <w:rFonts w:ascii="Times New Roman" w:eastAsia="Times New Roman" w:hAnsi="Times New Roman" w:cs="Times New Roman"/>
                <w:color w:val="000000"/>
                <w:lang w:eastAsia="en-GB"/>
              </w:rPr>
            </w:pPr>
            <w:r w:rsidRPr="00C23D45">
              <w:rPr>
                <w:rFonts w:ascii="Times New Roman" w:eastAsia="Times New Roman" w:hAnsi="Times New Roman" w:cs="Times New Roman"/>
                <w:color w:val="000000"/>
                <w:lang w:eastAsia="en-GB"/>
              </w:rPr>
              <w:t>Accident</w:t>
            </w:r>
            <w:r>
              <w:rPr>
                <w:rFonts w:ascii="Times New Roman" w:eastAsia="Times New Roman" w:hAnsi="Times New Roman" w:cs="Times New Roman"/>
                <w:color w:val="000000"/>
                <w:lang w:eastAsia="en-GB"/>
              </w:rPr>
              <w:t>s</w:t>
            </w:r>
            <w:r w:rsidRPr="00C23D45">
              <w:rPr>
                <w:rFonts w:ascii="Times New Roman" w:eastAsia="Times New Roman" w:hAnsi="Times New Roman" w:cs="Times New Roman"/>
                <w:color w:val="000000"/>
                <w:lang w:eastAsia="en-GB"/>
              </w:rPr>
              <w:t xml:space="preserve"> involving a motor vehicle</w:t>
            </w:r>
          </w:p>
        </w:tc>
        <w:tc>
          <w:tcPr>
            <w:tcW w:w="0" w:type="auto"/>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56</w:t>
            </w:r>
          </w:p>
        </w:tc>
      </w:tr>
      <w:tr w:rsidR="00925734" w:rsidRPr="00C23D45" w:rsidTr="000D36A3">
        <w:trPr>
          <w:trHeight w:val="300"/>
        </w:trPr>
        <w:tc>
          <w:tcPr>
            <w:tcW w:w="3839" w:type="dxa"/>
            <w:shd w:val="clear" w:color="auto" w:fill="auto"/>
            <w:noWrap/>
            <w:vAlign w:val="bottom"/>
            <w:hideMark/>
          </w:tcPr>
          <w:p w:rsidR="00925734" w:rsidRPr="00C23D45" w:rsidRDefault="00925734" w:rsidP="000D36A3">
            <w:pPr>
              <w:spacing w:line="240" w:lineRule="auto"/>
              <w:rPr>
                <w:rFonts w:ascii="Times New Roman" w:eastAsia="Times New Roman" w:hAnsi="Times New Roman" w:cs="Times New Roman"/>
                <w:lang w:eastAsia="en-GB"/>
              </w:rPr>
            </w:pPr>
            <w:r w:rsidRPr="00C23D45">
              <w:rPr>
                <w:rFonts w:ascii="Times New Roman" w:eastAsia="Times New Roman" w:hAnsi="Times New Roman" w:cs="Times New Roman"/>
                <w:lang w:eastAsia="en-GB"/>
              </w:rPr>
              <w:t>Fracture</w:t>
            </w:r>
            <w:r>
              <w:rPr>
                <w:rFonts w:ascii="Times New Roman" w:eastAsia="Times New Roman" w:hAnsi="Times New Roman" w:cs="Times New Roman"/>
                <w:lang w:eastAsia="en-GB"/>
              </w:rPr>
              <w:t>s</w:t>
            </w:r>
          </w:p>
        </w:tc>
        <w:tc>
          <w:tcPr>
            <w:tcW w:w="0" w:type="auto"/>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50</w:t>
            </w:r>
          </w:p>
        </w:tc>
        <w:tc>
          <w:tcPr>
            <w:tcW w:w="239" w:type="dxa"/>
          </w:tcPr>
          <w:p w:rsidR="00925734" w:rsidRPr="00431C2B" w:rsidRDefault="00925734" w:rsidP="000D36A3">
            <w:pPr>
              <w:spacing w:line="240" w:lineRule="auto"/>
              <w:jc w:val="center"/>
              <w:rPr>
                <w:rFonts w:ascii="Times New Roman" w:hAnsi="Times New Roman" w:cs="Times New Roman"/>
                <w:highlight w:val="yellow"/>
              </w:rPr>
            </w:pPr>
          </w:p>
        </w:tc>
        <w:tc>
          <w:tcPr>
            <w:tcW w:w="5670" w:type="dxa"/>
            <w:vAlign w:val="bottom"/>
          </w:tcPr>
          <w:p w:rsidR="00925734" w:rsidRPr="00C23D45" w:rsidRDefault="00925734" w:rsidP="000D36A3">
            <w:pPr>
              <w:spacing w:line="240" w:lineRule="auto"/>
              <w:rPr>
                <w:rFonts w:ascii="Times New Roman" w:eastAsia="Times New Roman" w:hAnsi="Times New Roman" w:cs="Times New Roman"/>
                <w:color w:val="000000"/>
                <w:lang w:eastAsia="en-GB"/>
              </w:rPr>
            </w:pPr>
            <w:r w:rsidRPr="00C23D45">
              <w:rPr>
                <w:rFonts w:ascii="Times New Roman" w:eastAsia="Times New Roman" w:hAnsi="Times New Roman" w:cs="Times New Roman"/>
                <w:color w:val="000000"/>
                <w:lang w:eastAsia="en-GB"/>
              </w:rPr>
              <w:t>Chemical  or other burns</w:t>
            </w:r>
          </w:p>
        </w:tc>
        <w:tc>
          <w:tcPr>
            <w:tcW w:w="0" w:type="auto"/>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154</w:t>
            </w:r>
          </w:p>
        </w:tc>
      </w:tr>
      <w:tr w:rsidR="00925734" w:rsidRPr="00C23D45" w:rsidTr="000D36A3">
        <w:trPr>
          <w:trHeight w:val="300"/>
        </w:trPr>
        <w:tc>
          <w:tcPr>
            <w:tcW w:w="3839" w:type="dxa"/>
            <w:shd w:val="clear" w:color="auto" w:fill="auto"/>
            <w:noWrap/>
            <w:vAlign w:val="bottom"/>
            <w:hideMark/>
          </w:tcPr>
          <w:p w:rsidR="00925734" w:rsidRPr="00C23D45" w:rsidRDefault="00925734" w:rsidP="000D36A3">
            <w:pPr>
              <w:spacing w:line="240" w:lineRule="auto"/>
              <w:rPr>
                <w:rFonts w:ascii="Times New Roman" w:eastAsia="Times New Roman" w:hAnsi="Times New Roman" w:cs="Times New Roman"/>
                <w:color w:val="000000"/>
                <w:lang w:eastAsia="en-GB"/>
              </w:rPr>
            </w:pPr>
          </w:p>
        </w:tc>
        <w:tc>
          <w:tcPr>
            <w:tcW w:w="0" w:type="auto"/>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p>
        </w:tc>
        <w:tc>
          <w:tcPr>
            <w:tcW w:w="239" w:type="dxa"/>
          </w:tcPr>
          <w:p w:rsidR="00925734" w:rsidRPr="00431C2B" w:rsidRDefault="00925734" w:rsidP="000D36A3">
            <w:pPr>
              <w:spacing w:line="240" w:lineRule="auto"/>
              <w:jc w:val="center"/>
              <w:rPr>
                <w:rFonts w:ascii="Times New Roman" w:hAnsi="Times New Roman" w:cs="Times New Roman"/>
                <w:color w:val="000000"/>
                <w:highlight w:val="yellow"/>
              </w:rPr>
            </w:pPr>
          </w:p>
        </w:tc>
        <w:tc>
          <w:tcPr>
            <w:tcW w:w="5670" w:type="dxa"/>
            <w:vAlign w:val="bottom"/>
          </w:tcPr>
          <w:p w:rsidR="00925734" w:rsidRPr="00C23D45" w:rsidRDefault="00925734" w:rsidP="000D36A3">
            <w:pPr>
              <w:spacing w:line="240" w:lineRule="auto"/>
              <w:rPr>
                <w:rFonts w:ascii="Times New Roman" w:eastAsia="Times New Roman" w:hAnsi="Times New Roman" w:cs="Times New Roman"/>
                <w:color w:val="000000"/>
                <w:lang w:eastAsia="en-GB"/>
              </w:rPr>
            </w:pPr>
            <w:r w:rsidRPr="00C23D45">
              <w:rPr>
                <w:rFonts w:ascii="Times New Roman" w:eastAsia="Times New Roman" w:hAnsi="Times New Roman" w:cs="Times New Roman"/>
                <w:color w:val="000000"/>
                <w:lang w:eastAsia="en-GB"/>
              </w:rPr>
              <w:t>Chemical poisoning</w:t>
            </w:r>
            <w:r>
              <w:rPr>
                <w:rFonts w:ascii="Times New Roman" w:eastAsia="Times New Roman" w:hAnsi="Times New Roman" w:cs="Times New Roman"/>
                <w:color w:val="000000"/>
                <w:lang w:eastAsia="en-GB"/>
              </w:rPr>
              <w:t>s or inhalation injuries</w:t>
            </w:r>
          </w:p>
        </w:tc>
        <w:tc>
          <w:tcPr>
            <w:tcW w:w="0" w:type="auto"/>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146</w:t>
            </w:r>
          </w:p>
        </w:tc>
      </w:tr>
      <w:tr w:rsidR="00925734" w:rsidRPr="00C23D45" w:rsidTr="000D36A3">
        <w:trPr>
          <w:trHeight w:val="300"/>
        </w:trPr>
        <w:tc>
          <w:tcPr>
            <w:tcW w:w="3839" w:type="dxa"/>
            <w:shd w:val="clear" w:color="auto" w:fill="auto"/>
            <w:noWrap/>
            <w:vAlign w:val="bottom"/>
            <w:hideMark/>
          </w:tcPr>
          <w:p w:rsidR="00925734" w:rsidRPr="00C23D45" w:rsidRDefault="00925734" w:rsidP="000D36A3">
            <w:pPr>
              <w:spacing w:line="240" w:lineRule="auto"/>
              <w:rPr>
                <w:rFonts w:ascii="Times New Roman" w:eastAsia="Times New Roman" w:hAnsi="Times New Roman" w:cs="Times New Roman"/>
                <w:color w:val="000000"/>
                <w:lang w:eastAsia="en-GB"/>
              </w:rPr>
            </w:pPr>
            <w:r w:rsidRPr="00C23D45">
              <w:rPr>
                <w:rFonts w:ascii="Times New Roman" w:eastAsia="Times New Roman" w:hAnsi="Times New Roman" w:cs="Times New Roman"/>
                <w:color w:val="000000"/>
                <w:lang w:eastAsia="en-GB"/>
              </w:rPr>
              <w:t>Other (specified)</w:t>
            </w:r>
          </w:p>
        </w:tc>
        <w:tc>
          <w:tcPr>
            <w:tcW w:w="0" w:type="auto"/>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50</w:t>
            </w:r>
          </w:p>
        </w:tc>
        <w:tc>
          <w:tcPr>
            <w:tcW w:w="239" w:type="dxa"/>
          </w:tcPr>
          <w:p w:rsidR="00925734" w:rsidRPr="00431C2B" w:rsidRDefault="00925734" w:rsidP="000D36A3">
            <w:pPr>
              <w:spacing w:line="240" w:lineRule="auto"/>
              <w:jc w:val="center"/>
              <w:rPr>
                <w:rFonts w:ascii="Times New Roman" w:hAnsi="Times New Roman" w:cs="Times New Roman"/>
                <w:color w:val="000000"/>
                <w:highlight w:val="yellow"/>
              </w:rPr>
            </w:pPr>
          </w:p>
        </w:tc>
        <w:tc>
          <w:tcPr>
            <w:tcW w:w="5670" w:type="dxa"/>
            <w:vAlign w:val="bottom"/>
          </w:tcPr>
          <w:p w:rsidR="00925734" w:rsidRPr="00C23D45" w:rsidRDefault="00925734" w:rsidP="000D36A3">
            <w:pPr>
              <w:spacing w:line="240" w:lineRule="auto"/>
              <w:rPr>
                <w:rFonts w:ascii="Times New Roman" w:eastAsia="Times New Roman" w:hAnsi="Times New Roman" w:cs="Times New Roman"/>
                <w:color w:val="000000"/>
                <w:lang w:eastAsia="en-GB"/>
              </w:rPr>
            </w:pPr>
            <w:r w:rsidRPr="00C23D45">
              <w:rPr>
                <w:rFonts w:ascii="Times New Roman" w:eastAsia="Times New Roman" w:hAnsi="Times New Roman" w:cs="Times New Roman"/>
                <w:color w:val="000000"/>
                <w:lang w:eastAsia="en-GB"/>
              </w:rPr>
              <w:t>Other (specified)</w:t>
            </w:r>
          </w:p>
        </w:tc>
        <w:tc>
          <w:tcPr>
            <w:tcW w:w="0" w:type="auto"/>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59</w:t>
            </w:r>
          </w:p>
        </w:tc>
      </w:tr>
      <w:tr w:rsidR="00925734" w:rsidRPr="00C23D45" w:rsidTr="000D36A3">
        <w:trPr>
          <w:trHeight w:val="300"/>
        </w:trPr>
        <w:tc>
          <w:tcPr>
            <w:tcW w:w="3839" w:type="dxa"/>
            <w:tcBorders>
              <w:bottom w:val="single" w:sz="4" w:space="0" w:color="auto"/>
            </w:tcBorders>
            <w:shd w:val="clear" w:color="auto" w:fill="auto"/>
            <w:noWrap/>
            <w:vAlign w:val="bottom"/>
            <w:hideMark/>
          </w:tcPr>
          <w:p w:rsidR="00925734" w:rsidRPr="00C23D45" w:rsidRDefault="00925734" w:rsidP="000D36A3">
            <w:pPr>
              <w:spacing w:line="240" w:lineRule="auto"/>
              <w:rPr>
                <w:rFonts w:ascii="Times New Roman" w:eastAsia="Times New Roman" w:hAnsi="Times New Roman" w:cs="Times New Roman"/>
                <w:color w:val="000000"/>
                <w:lang w:eastAsia="en-GB"/>
              </w:rPr>
            </w:pPr>
            <w:r w:rsidRPr="00C23D45">
              <w:rPr>
                <w:rFonts w:ascii="Times New Roman" w:eastAsia="Times New Roman" w:hAnsi="Times New Roman" w:cs="Times New Roman"/>
                <w:color w:val="000000"/>
                <w:lang w:eastAsia="en-GB"/>
              </w:rPr>
              <w:t>Missing</w:t>
            </w:r>
          </w:p>
        </w:tc>
        <w:tc>
          <w:tcPr>
            <w:tcW w:w="0" w:type="auto"/>
            <w:tcBorders>
              <w:bottom w:val="single" w:sz="4" w:space="0" w:color="auto"/>
            </w:tcBorders>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805</w:t>
            </w:r>
          </w:p>
        </w:tc>
        <w:tc>
          <w:tcPr>
            <w:tcW w:w="239" w:type="dxa"/>
            <w:tcBorders>
              <w:bottom w:val="single" w:sz="4" w:space="0" w:color="auto"/>
            </w:tcBorders>
          </w:tcPr>
          <w:p w:rsidR="00925734" w:rsidRPr="00431C2B" w:rsidRDefault="00925734" w:rsidP="000D36A3">
            <w:pPr>
              <w:spacing w:line="240" w:lineRule="auto"/>
              <w:jc w:val="center"/>
              <w:rPr>
                <w:rFonts w:ascii="Times New Roman" w:hAnsi="Times New Roman" w:cs="Times New Roman"/>
                <w:color w:val="000000"/>
                <w:highlight w:val="yellow"/>
              </w:rPr>
            </w:pPr>
          </w:p>
        </w:tc>
        <w:tc>
          <w:tcPr>
            <w:tcW w:w="5670" w:type="dxa"/>
            <w:tcBorders>
              <w:bottom w:val="single" w:sz="4" w:space="0" w:color="auto"/>
            </w:tcBorders>
            <w:vAlign w:val="bottom"/>
          </w:tcPr>
          <w:p w:rsidR="00925734" w:rsidRPr="00C23D45" w:rsidRDefault="00925734" w:rsidP="000D36A3">
            <w:pPr>
              <w:spacing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M</w:t>
            </w:r>
            <w:r w:rsidRPr="00C23D45">
              <w:rPr>
                <w:rFonts w:ascii="Times New Roman" w:eastAsia="Times New Roman" w:hAnsi="Times New Roman" w:cs="Times New Roman"/>
                <w:color w:val="000000"/>
                <w:lang w:eastAsia="en-GB"/>
              </w:rPr>
              <w:t>issing</w:t>
            </w:r>
          </w:p>
        </w:tc>
        <w:tc>
          <w:tcPr>
            <w:tcW w:w="0" w:type="auto"/>
            <w:tcBorders>
              <w:bottom w:val="single" w:sz="4" w:space="0" w:color="auto"/>
            </w:tcBorders>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683</w:t>
            </w:r>
          </w:p>
        </w:tc>
      </w:tr>
      <w:tr w:rsidR="00925734" w:rsidRPr="0079309B" w:rsidTr="00CD7BCA">
        <w:trPr>
          <w:trHeight w:val="300"/>
        </w:trPr>
        <w:tc>
          <w:tcPr>
            <w:tcW w:w="3839" w:type="dxa"/>
            <w:tcBorders>
              <w:bottom w:val="single" w:sz="4" w:space="0" w:color="auto"/>
            </w:tcBorders>
            <w:shd w:val="clear" w:color="auto" w:fill="auto"/>
            <w:noWrap/>
            <w:vAlign w:val="center"/>
            <w:hideMark/>
          </w:tcPr>
          <w:p w:rsidR="00925734" w:rsidRPr="0079309B" w:rsidRDefault="00925734" w:rsidP="000D36A3">
            <w:pPr>
              <w:spacing w:line="240" w:lineRule="auto"/>
              <w:rPr>
                <w:rFonts w:ascii="Times New Roman" w:eastAsia="Times New Roman" w:hAnsi="Times New Roman" w:cs="Times New Roman"/>
                <w:color w:val="000000"/>
                <w:lang w:eastAsia="en-GB"/>
              </w:rPr>
            </w:pPr>
            <w:r w:rsidRPr="0079309B">
              <w:rPr>
                <w:rFonts w:ascii="Times New Roman" w:eastAsia="Times New Roman" w:hAnsi="Times New Roman" w:cs="Times New Roman"/>
                <w:color w:val="000000"/>
                <w:lang w:eastAsia="en-GB"/>
              </w:rPr>
              <w:t>All*</w:t>
            </w:r>
          </w:p>
        </w:tc>
        <w:tc>
          <w:tcPr>
            <w:tcW w:w="0" w:type="auto"/>
            <w:tcBorders>
              <w:bottom w:val="single" w:sz="4" w:space="0" w:color="auto"/>
            </w:tcBorders>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1386</w:t>
            </w:r>
          </w:p>
        </w:tc>
        <w:tc>
          <w:tcPr>
            <w:tcW w:w="239" w:type="dxa"/>
            <w:tcBorders>
              <w:bottom w:val="single" w:sz="4" w:space="0" w:color="auto"/>
            </w:tcBorders>
            <w:vAlign w:val="center"/>
          </w:tcPr>
          <w:p w:rsidR="00925734" w:rsidRPr="0079309B" w:rsidRDefault="00925734" w:rsidP="000D36A3">
            <w:pPr>
              <w:spacing w:line="240" w:lineRule="auto"/>
              <w:rPr>
                <w:rFonts w:ascii="Times New Roman" w:hAnsi="Times New Roman" w:cs="Times New Roman"/>
                <w:color w:val="000000"/>
                <w:highlight w:val="yellow"/>
              </w:rPr>
            </w:pPr>
          </w:p>
        </w:tc>
        <w:tc>
          <w:tcPr>
            <w:tcW w:w="5670" w:type="dxa"/>
            <w:tcBorders>
              <w:bottom w:val="single" w:sz="4" w:space="0" w:color="auto"/>
            </w:tcBorders>
            <w:vAlign w:val="center"/>
          </w:tcPr>
          <w:p w:rsidR="00925734" w:rsidRPr="0079309B" w:rsidRDefault="00925734" w:rsidP="000D36A3">
            <w:pPr>
              <w:spacing w:line="240" w:lineRule="auto"/>
              <w:rPr>
                <w:rFonts w:ascii="Times New Roman" w:eastAsia="Times New Roman" w:hAnsi="Times New Roman" w:cs="Times New Roman"/>
                <w:color w:val="000000"/>
                <w:lang w:eastAsia="en-GB"/>
              </w:rPr>
            </w:pPr>
            <w:r w:rsidRPr="0079309B">
              <w:rPr>
                <w:rFonts w:ascii="Times New Roman" w:eastAsia="Times New Roman" w:hAnsi="Times New Roman" w:cs="Times New Roman"/>
                <w:color w:val="000000"/>
                <w:lang w:eastAsia="en-GB"/>
              </w:rPr>
              <w:t>All*</w:t>
            </w:r>
          </w:p>
        </w:tc>
        <w:tc>
          <w:tcPr>
            <w:tcW w:w="0" w:type="auto"/>
            <w:tcBorders>
              <w:bottom w:val="single" w:sz="4" w:space="0" w:color="auto"/>
            </w:tcBorders>
            <w:vAlign w:val="bottom"/>
          </w:tcPr>
          <w:p w:rsidR="00925734" w:rsidRPr="00455BD7" w:rsidRDefault="00925734" w:rsidP="000D36A3">
            <w:pPr>
              <w:spacing w:line="240" w:lineRule="auto"/>
              <w:jc w:val="center"/>
              <w:rPr>
                <w:rFonts w:ascii="Times New Roman" w:eastAsia="Times New Roman" w:hAnsi="Times New Roman" w:cs="Times New Roman"/>
                <w:color w:val="000000"/>
                <w:lang w:eastAsia="en-GB"/>
              </w:rPr>
            </w:pPr>
            <w:r w:rsidRPr="00455BD7">
              <w:rPr>
                <w:rFonts w:ascii="Times New Roman" w:eastAsia="Times New Roman" w:hAnsi="Times New Roman" w:cs="Times New Roman"/>
                <w:color w:val="000000"/>
                <w:lang w:eastAsia="en-GB"/>
              </w:rPr>
              <w:t>1349</w:t>
            </w:r>
          </w:p>
        </w:tc>
      </w:tr>
    </w:tbl>
    <w:p w:rsidR="003322C6" w:rsidRDefault="003322C6" w:rsidP="003322C6">
      <w:pPr>
        <w:rPr>
          <w:rFonts w:ascii="Times New Roman" w:hAnsi="Times New Roman" w:cs="Times New Roman"/>
          <w:i/>
        </w:rPr>
      </w:pPr>
    </w:p>
    <w:p w:rsidR="003322C6" w:rsidRDefault="003322C6" w:rsidP="003322C6">
      <w:pPr>
        <w:rPr>
          <w:rFonts w:ascii="Times New Roman" w:hAnsi="Times New Roman" w:cs="Times New Roman"/>
          <w:i/>
        </w:rPr>
      </w:pPr>
      <w:r w:rsidRPr="00676D6D">
        <w:rPr>
          <w:rFonts w:ascii="Times New Roman" w:hAnsi="Times New Roman" w:cs="Times New Roman"/>
          <w:i/>
        </w:rPr>
        <w:t>*</w:t>
      </w:r>
      <w:r>
        <w:rPr>
          <w:rFonts w:ascii="Times New Roman" w:hAnsi="Times New Roman" w:cs="Times New Roman"/>
          <w:i/>
        </w:rPr>
        <w:t>T</w:t>
      </w:r>
      <w:r w:rsidRPr="00676D6D">
        <w:rPr>
          <w:rFonts w:ascii="Times New Roman" w:hAnsi="Times New Roman" w:cs="Times New Roman"/>
          <w:i/>
        </w:rPr>
        <w:t>otal</w:t>
      </w:r>
      <w:r>
        <w:rPr>
          <w:rFonts w:ascii="Times New Roman" w:hAnsi="Times New Roman" w:cs="Times New Roman"/>
          <w:i/>
        </w:rPr>
        <w:t>s exceed</w:t>
      </w:r>
      <w:r w:rsidRPr="00676D6D">
        <w:rPr>
          <w:rFonts w:ascii="Times New Roman" w:hAnsi="Times New Roman" w:cs="Times New Roman"/>
          <w:i/>
        </w:rPr>
        <w:t xml:space="preserve"> the </w:t>
      </w:r>
      <w:r>
        <w:rPr>
          <w:rFonts w:ascii="Times New Roman" w:hAnsi="Times New Roman" w:cs="Times New Roman"/>
          <w:i/>
        </w:rPr>
        <w:t>number of cases (1348) as</w:t>
      </w:r>
      <w:r w:rsidRPr="00676D6D">
        <w:rPr>
          <w:rFonts w:ascii="Times New Roman" w:hAnsi="Times New Roman" w:cs="Times New Roman"/>
          <w:i/>
        </w:rPr>
        <w:t xml:space="preserve"> several subjects </w:t>
      </w:r>
      <w:r w:rsidR="0023380B">
        <w:rPr>
          <w:rFonts w:ascii="Times New Roman" w:hAnsi="Times New Roman" w:cs="Times New Roman"/>
          <w:i/>
        </w:rPr>
        <w:t>sustained</w:t>
      </w:r>
      <w:r w:rsidRPr="00676D6D">
        <w:rPr>
          <w:rFonts w:ascii="Times New Roman" w:hAnsi="Times New Roman" w:cs="Times New Roman"/>
          <w:i/>
        </w:rPr>
        <w:t xml:space="preserve"> &gt;1 injury</w:t>
      </w:r>
      <w:r w:rsidR="0023380B">
        <w:rPr>
          <w:rFonts w:ascii="Times New Roman" w:hAnsi="Times New Roman" w:cs="Times New Roman"/>
          <w:i/>
        </w:rPr>
        <w:t xml:space="preserve"> within the same episode and one had </w:t>
      </w:r>
      <w:r w:rsidR="001D4F4A">
        <w:rPr>
          <w:rFonts w:ascii="Times New Roman" w:hAnsi="Times New Roman" w:cs="Times New Roman"/>
          <w:i/>
        </w:rPr>
        <w:t>two</w:t>
      </w:r>
      <w:r w:rsidR="0023380B">
        <w:rPr>
          <w:rFonts w:ascii="Times New Roman" w:hAnsi="Times New Roman" w:cs="Times New Roman"/>
          <w:i/>
        </w:rPr>
        <w:t xml:space="preserve"> </w:t>
      </w:r>
      <w:r w:rsidR="00B3074C">
        <w:rPr>
          <w:rFonts w:ascii="Times New Roman" w:hAnsi="Times New Roman" w:cs="Times New Roman"/>
          <w:i/>
        </w:rPr>
        <w:t>external causes</w:t>
      </w:r>
    </w:p>
    <w:p w:rsidR="00C46081" w:rsidRDefault="00C46081" w:rsidP="0000283E">
      <w:pPr>
        <w:spacing w:line="240" w:lineRule="auto"/>
        <w:rPr>
          <w:rFonts w:ascii="Times New Roman" w:hAnsi="Times New Roman" w:cs="Times New Roman"/>
          <w:b/>
        </w:rPr>
        <w:sectPr w:rsidR="00C46081" w:rsidSect="003322C6">
          <w:pgSz w:w="16838" w:h="11906" w:orient="landscape"/>
          <w:pgMar w:top="1080" w:right="1440" w:bottom="1080" w:left="1440" w:header="708" w:footer="708" w:gutter="0"/>
          <w:cols w:space="708"/>
          <w:docGrid w:linePitch="360"/>
        </w:sectPr>
      </w:pPr>
    </w:p>
    <w:p w:rsidR="001620B7" w:rsidRDefault="001620B7" w:rsidP="0000283E">
      <w:pPr>
        <w:spacing w:line="240" w:lineRule="auto"/>
        <w:rPr>
          <w:rFonts w:ascii="Times New Roman" w:hAnsi="Times New Roman" w:cs="Times New Roman"/>
          <w:b/>
        </w:rPr>
      </w:pPr>
      <w:r>
        <w:rPr>
          <w:rFonts w:ascii="Times New Roman" w:hAnsi="Times New Roman" w:cs="Times New Roman"/>
          <w:b/>
        </w:rPr>
        <w:lastRenderedPageBreak/>
        <w:t xml:space="preserve">Table </w:t>
      </w:r>
      <w:r w:rsidR="00C21FDD">
        <w:rPr>
          <w:rFonts w:ascii="Times New Roman" w:hAnsi="Times New Roman" w:cs="Times New Roman"/>
          <w:b/>
        </w:rPr>
        <w:t>2</w:t>
      </w:r>
      <w:r>
        <w:rPr>
          <w:rFonts w:ascii="Times New Roman" w:hAnsi="Times New Roman" w:cs="Times New Roman"/>
          <w:b/>
        </w:rPr>
        <w:t>:</w:t>
      </w:r>
      <w:r w:rsidRPr="001620B7">
        <w:rPr>
          <w:rFonts w:ascii="Times New Roman" w:hAnsi="Times New Roman" w:cs="Times New Roman"/>
          <w:b/>
        </w:rPr>
        <w:t xml:space="preserve"> </w:t>
      </w:r>
      <w:r w:rsidRPr="00713F55">
        <w:rPr>
          <w:rFonts w:ascii="Times New Roman" w:hAnsi="Times New Roman" w:cs="Times New Roman"/>
          <w:b/>
        </w:rPr>
        <w:t xml:space="preserve">Relation between consulting with an occupational injury and </w:t>
      </w:r>
      <w:r>
        <w:rPr>
          <w:rFonts w:ascii="Times New Roman" w:hAnsi="Times New Roman" w:cs="Times New Roman"/>
          <w:b/>
        </w:rPr>
        <w:t xml:space="preserve">consulting with a </w:t>
      </w:r>
      <w:r w:rsidR="0000283E">
        <w:rPr>
          <w:rFonts w:ascii="Times New Roman" w:hAnsi="Times New Roman" w:cs="Times New Roman"/>
          <w:b/>
        </w:rPr>
        <w:t>mental health problem</w:t>
      </w:r>
    </w:p>
    <w:p w:rsidR="0000283E" w:rsidRDefault="0000283E" w:rsidP="0000283E">
      <w:pPr>
        <w:spacing w:line="240" w:lineRule="auto"/>
        <w:rPr>
          <w:rFonts w:ascii="Times New Roman" w:hAnsi="Times New Roman" w:cs="Times New Roman"/>
          <w:b/>
        </w:rPr>
      </w:pPr>
    </w:p>
    <w:tbl>
      <w:tblPr>
        <w:tblW w:w="13340" w:type="dxa"/>
        <w:tblInd w:w="93" w:type="dxa"/>
        <w:tblLook w:val="04A0" w:firstRow="1" w:lastRow="0" w:firstColumn="1" w:lastColumn="0" w:noHBand="0" w:noVBand="1"/>
      </w:tblPr>
      <w:tblGrid>
        <w:gridCol w:w="3701"/>
        <w:gridCol w:w="1818"/>
        <w:gridCol w:w="1701"/>
        <w:gridCol w:w="940"/>
        <w:gridCol w:w="1500"/>
        <w:gridCol w:w="1500"/>
        <w:gridCol w:w="2180"/>
      </w:tblGrid>
      <w:tr w:rsidR="00225A88" w:rsidRPr="00E00DBA" w:rsidTr="00FA619B">
        <w:trPr>
          <w:trHeight w:val="610"/>
        </w:trPr>
        <w:tc>
          <w:tcPr>
            <w:tcW w:w="3701" w:type="dxa"/>
            <w:tcBorders>
              <w:top w:val="single" w:sz="4" w:space="0" w:color="auto"/>
              <w:bottom w:val="single" w:sz="4" w:space="0" w:color="auto"/>
            </w:tcBorders>
            <w:shd w:val="clear" w:color="auto" w:fill="auto"/>
            <w:noWrap/>
            <w:vAlign w:val="bottom"/>
            <w:hideMark/>
          </w:tcPr>
          <w:p w:rsidR="00225A88" w:rsidRPr="004B3515" w:rsidRDefault="00225A88" w:rsidP="0000283E">
            <w:pPr>
              <w:spacing w:line="240" w:lineRule="auto"/>
              <w:rPr>
                <w:rFonts w:ascii="Times New Roman" w:eastAsia="Times New Roman" w:hAnsi="Times New Roman" w:cs="Times New Roman"/>
                <w:bCs/>
                <w:color w:val="000000"/>
                <w:lang w:eastAsia="en-GB"/>
              </w:rPr>
            </w:pPr>
            <w:r w:rsidRPr="004B3515">
              <w:rPr>
                <w:rFonts w:ascii="Times New Roman" w:eastAsia="Times New Roman" w:hAnsi="Times New Roman" w:cs="Times New Roman"/>
                <w:bCs/>
                <w:color w:val="000000"/>
                <w:lang w:eastAsia="en-GB"/>
              </w:rPr>
              <w:t xml:space="preserve"> Before the </w:t>
            </w:r>
            <w:r>
              <w:rPr>
                <w:rFonts w:ascii="Times New Roman" w:eastAsia="Times New Roman" w:hAnsi="Times New Roman" w:cs="Times New Roman"/>
                <w:bCs/>
                <w:color w:val="000000"/>
                <w:lang w:eastAsia="en-GB"/>
              </w:rPr>
              <w:t>index date</w:t>
            </w:r>
          </w:p>
          <w:p w:rsidR="00225A88" w:rsidRPr="0000283E" w:rsidRDefault="00225A88" w:rsidP="0000283E">
            <w:pPr>
              <w:spacing w:line="240" w:lineRule="auto"/>
              <w:rPr>
                <w:rFonts w:ascii="Times New Roman" w:eastAsia="Times New Roman" w:hAnsi="Times New Roman" w:cs="Times New Roman"/>
                <w:b/>
                <w:bCs/>
                <w:color w:val="000000"/>
                <w:lang w:eastAsia="en-GB"/>
              </w:rPr>
            </w:pPr>
            <w:r w:rsidRPr="0000283E">
              <w:rPr>
                <w:rFonts w:ascii="Times New Roman" w:eastAsia="Times New Roman" w:hAnsi="Times New Roman" w:cs="Times New Roman"/>
                <w:color w:val="000000"/>
                <w:lang w:eastAsia="en-GB"/>
              </w:rPr>
              <w:t> </w:t>
            </w:r>
          </w:p>
        </w:tc>
        <w:tc>
          <w:tcPr>
            <w:tcW w:w="1818" w:type="dxa"/>
            <w:tcBorders>
              <w:top w:val="single" w:sz="4" w:space="0" w:color="auto"/>
              <w:bottom w:val="single" w:sz="4" w:space="0" w:color="auto"/>
            </w:tcBorders>
            <w:shd w:val="clear" w:color="auto" w:fill="auto"/>
            <w:noWrap/>
            <w:vAlign w:val="center"/>
            <w:hideMark/>
          </w:tcPr>
          <w:p w:rsidR="00225A88" w:rsidRPr="004B3515" w:rsidRDefault="00225A88" w:rsidP="0000283E">
            <w:pPr>
              <w:spacing w:line="240" w:lineRule="auto"/>
              <w:jc w:val="center"/>
              <w:rPr>
                <w:rFonts w:ascii="Times New Roman" w:eastAsia="Times New Roman" w:hAnsi="Times New Roman" w:cs="Times New Roman"/>
                <w:bCs/>
                <w:color w:val="000000"/>
                <w:lang w:eastAsia="en-GB"/>
              </w:rPr>
            </w:pPr>
            <w:r w:rsidRPr="004B3515">
              <w:rPr>
                <w:rFonts w:ascii="Times New Roman" w:eastAsia="Times New Roman" w:hAnsi="Times New Roman" w:cs="Times New Roman"/>
                <w:bCs/>
                <w:color w:val="000000"/>
                <w:lang w:eastAsia="en-GB"/>
              </w:rPr>
              <w:t>Cases</w:t>
            </w:r>
          </w:p>
          <w:p w:rsidR="00225A88" w:rsidRPr="004B3515" w:rsidRDefault="00225A88" w:rsidP="0000283E">
            <w:pPr>
              <w:spacing w:line="240" w:lineRule="auto"/>
              <w:jc w:val="center"/>
              <w:rPr>
                <w:rFonts w:ascii="Times New Roman" w:eastAsia="Times New Roman" w:hAnsi="Times New Roman" w:cs="Times New Roman"/>
                <w:bCs/>
                <w:color w:val="000000"/>
                <w:lang w:eastAsia="en-GB"/>
              </w:rPr>
            </w:pPr>
            <w:r w:rsidRPr="004B3515">
              <w:rPr>
                <w:rFonts w:ascii="Times New Roman" w:eastAsia="Times New Roman" w:hAnsi="Times New Roman" w:cs="Times New Roman"/>
                <w:lang w:eastAsia="en-GB"/>
              </w:rPr>
              <w:t>N (%)</w:t>
            </w:r>
          </w:p>
        </w:tc>
        <w:tc>
          <w:tcPr>
            <w:tcW w:w="1701" w:type="dxa"/>
            <w:tcBorders>
              <w:top w:val="single" w:sz="4" w:space="0" w:color="auto"/>
              <w:bottom w:val="single" w:sz="4" w:space="0" w:color="auto"/>
            </w:tcBorders>
            <w:shd w:val="clear" w:color="auto" w:fill="auto"/>
            <w:noWrap/>
            <w:vAlign w:val="center"/>
            <w:hideMark/>
          </w:tcPr>
          <w:p w:rsidR="00225A88" w:rsidRPr="004B3515" w:rsidRDefault="00225A88" w:rsidP="0000283E">
            <w:pPr>
              <w:spacing w:line="240" w:lineRule="auto"/>
              <w:jc w:val="center"/>
              <w:rPr>
                <w:rFonts w:ascii="Times New Roman" w:eastAsia="Times New Roman" w:hAnsi="Times New Roman" w:cs="Times New Roman"/>
                <w:bCs/>
                <w:color w:val="000000"/>
                <w:lang w:eastAsia="en-GB"/>
              </w:rPr>
            </w:pPr>
            <w:r w:rsidRPr="004B3515">
              <w:rPr>
                <w:rFonts w:ascii="Times New Roman" w:eastAsia="Times New Roman" w:hAnsi="Times New Roman" w:cs="Times New Roman"/>
                <w:bCs/>
                <w:color w:val="000000"/>
                <w:lang w:eastAsia="en-GB"/>
              </w:rPr>
              <w:t>Controls</w:t>
            </w:r>
          </w:p>
          <w:p w:rsidR="00225A88" w:rsidRPr="004B3515" w:rsidRDefault="00225A88" w:rsidP="0000283E">
            <w:pPr>
              <w:spacing w:line="240" w:lineRule="auto"/>
              <w:jc w:val="center"/>
              <w:rPr>
                <w:rFonts w:ascii="Times New Roman" w:eastAsia="Times New Roman" w:hAnsi="Times New Roman" w:cs="Times New Roman"/>
                <w:bCs/>
                <w:color w:val="000000"/>
                <w:lang w:eastAsia="en-GB"/>
              </w:rPr>
            </w:pPr>
            <w:r w:rsidRPr="004B3515">
              <w:rPr>
                <w:rFonts w:ascii="Times New Roman" w:eastAsia="Times New Roman" w:hAnsi="Times New Roman" w:cs="Times New Roman"/>
                <w:lang w:eastAsia="en-GB"/>
              </w:rPr>
              <w:t>N (%)</w:t>
            </w:r>
          </w:p>
        </w:tc>
        <w:tc>
          <w:tcPr>
            <w:tcW w:w="940" w:type="dxa"/>
            <w:tcBorders>
              <w:top w:val="single" w:sz="4" w:space="0" w:color="auto"/>
              <w:bottom w:val="single" w:sz="4" w:space="0" w:color="auto"/>
            </w:tcBorders>
            <w:shd w:val="clear" w:color="auto" w:fill="auto"/>
            <w:noWrap/>
            <w:vAlign w:val="center"/>
            <w:hideMark/>
          </w:tcPr>
          <w:p w:rsidR="00225A88" w:rsidRPr="004B3515" w:rsidRDefault="00225A88" w:rsidP="0000283E">
            <w:pPr>
              <w:spacing w:line="240" w:lineRule="auto"/>
              <w:jc w:val="center"/>
              <w:rPr>
                <w:rFonts w:ascii="Times New Roman" w:eastAsia="Times New Roman" w:hAnsi="Times New Roman" w:cs="Times New Roman"/>
                <w:bCs/>
                <w:color w:val="000000"/>
                <w:lang w:eastAsia="en-GB"/>
              </w:rPr>
            </w:pPr>
            <w:r w:rsidRPr="004B3515">
              <w:rPr>
                <w:rFonts w:ascii="Times New Roman" w:eastAsia="Times New Roman" w:hAnsi="Times New Roman" w:cs="Times New Roman"/>
                <w:bCs/>
                <w:color w:val="000000"/>
                <w:lang w:eastAsia="en-GB"/>
              </w:rPr>
              <w:t>OR</w:t>
            </w:r>
            <w:r w:rsidR="00FA619B">
              <w:rPr>
                <w:rFonts w:ascii="Times New Roman" w:eastAsia="Times New Roman" w:hAnsi="Times New Roman" w:cs="Times New Roman"/>
                <w:bCs/>
                <w:color w:val="000000"/>
                <w:lang w:eastAsia="en-GB"/>
              </w:rPr>
              <w:t>*</w:t>
            </w:r>
          </w:p>
        </w:tc>
        <w:tc>
          <w:tcPr>
            <w:tcW w:w="1500" w:type="dxa"/>
            <w:tcBorders>
              <w:top w:val="single" w:sz="4" w:space="0" w:color="auto"/>
              <w:bottom w:val="single" w:sz="4" w:space="0" w:color="auto"/>
            </w:tcBorders>
            <w:shd w:val="clear" w:color="auto" w:fill="auto"/>
            <w:noWrap/>
            <w:vAlign w:val="center"/>
            <w:hideMark/>
          </w:tcPr>
          <w:p w:rsidR="00225A88" w:rsidRPr="004B3515" w:rsidRDefault="00225A88" w:rsidP="00FA619B">
            <w:pPr>
              <w:spacing w:line="240" w:lineRule="auto"/>
              <w:jc w:val="center"/>
              <w:rPr>
                <w:rFonts w:ascii="Times New Roman" w:eastAsia="Times New Roman" w:hAnsi="Times New Roman" w:cs="Times New Roman"/>
                <w:bCs/>
                <w:color w:val="000000"/>
                <w:lang w:eastAsia="en-GB"/>
              </w:rPr>
            </w:pPr>
            <w:r w:rsidRPr="004B3515">
              <w:rPr>
                <w:rFonts w:ascii="Times New Roman" w:eastAsia="Times New Roman" w:hAnsi="Times New Roman" w:cs="Times New Roman"/>
                <w:bCs/>
                <w:color w:val="000000"/>
                <w:lang w:eastAsia="en-GB"/>
              </w:rPr>
              <w:t>95 % CI</w:t>
            </w:r>
          </w:p>
        </w:tc>
        <w:tc>
          <w:tcPr>
            <w:tcW w:w="1500" w:type="dxa"/>
            <w:tcBorders>
              <w:top w:val="single" w:sz="4" w:space="0" w:color="auto"/>
              <w:bottom w:val="single" w:sz="4" w:space="0" w:color="auto"/>
            </w:tcBorders>
            <w:vAlign w:val="center"/>
          </w:tcPr>
          <w:p w:rsidR="00225A88" w:rsidRPr="004B3515" w:rsidRDefault="00225A88" w:rsidP="0000283E">
            <w:pPr>
              <w:spacing w:line="240" w:lineRule="auto"/>
              <w:jc w:val="center"/>
              <w:rPr>
                <w:rFonts w:ascii="Times New Roman" w:eastAsia="Times New Roman" w:hAnsi="Times New Roman" w:cs="Times New Roman"/>
                <w:bCs/>
                <w:color w:val="000000"/>
                <w:lang w:eastAsia="en-GB"/>
              </w:rPr>
            </w:pPr>
            <w:r w:rsidRPr="004B3515">
              <w:rPr>
                <w:rFonts w:ascii="Times New Roman" w:eastAsia="Times New Roman" w:hAnsi="Times New Roman" w:cs="Times New Roman"/>
                <w:bCs/>
                <w:color w:val="000000"/>
                <w:lang w:eastAsia="en-GB"/>
              </w:rPr>
              <w:t>P-value</w:t>
            </w:r>
          </w:p>
        </w:tc>
        <w:tc>
          <w:tcPr>
            <w:tcW w:w="2180" w:type="dxa"/>
            <w:tcBorders>
              <w:top w:val="single" w:sz="4" w:space="0" w:color="auto"/>
              <w:bottom w:val="single" w:sz="4" w:space="0" w:color="auto"/>
            </w:tcBorders>
          </w:tcPr>
          <w:p w:rsidR="00225A88" w:rsidRPr="004B3515" w:rsidRDefault="00225A88" w:rsidP="00225A88">
            <w:pPr>
              <w:spacing w:line="240" w:lineRule="auto"/>
              <w:jc w:val="center"/>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Attributable fraction in the exposed</w:t>
            </w:r>
          </w:p>
        </w:tc>
      </w:tr>
      <w:tr w:rsidR="00225A88" w:rsidRPr="00E00DBA" w:rsidTr="00225A88">
        <w:trPr>
          <w:trHeight w:val="300"/>
        </w:trPr>
        <w:tc>
          <w:tcPr>
            <w:tcW w:w="3701" w:type="dxa"/>
            <w:tcBorders>
              <w:top w:val="single" w:sz="4" w:space="0" w:color="auto"/>
              <w:bottom w:val="nil"/>
            </w:tcBorders>
            <w:shd w:val="clear" w:color="auto" w:fill="auto"/>
            <w:noWrap/>
            <w:vAlign w:val="bottom"/>
            <w:hideMark/>
          </w:tcPr>
          <w:p w:rsidR="00225A88" w:rsidRPr="0000283E" w:rsidRDefault="00225A88" w:rsidP="0000283E">
            <w:pPr>
              <w:spacing w:line="240" w:lineRule="auto"/>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No mental health consultation</w:t>
            </w:r>
          </w:p>
        </w:tc>
        <w:tc>
          <w:tcPr>
            <w:tcW w:w="1818" w:type="dxa"/>
            <w:tcBorders>
              <w:top w:val="single" w:sz="4" w:space="0" w:color="auto"/>
              <w:bottom w:val="nil"/>
            </w:tcBorders>
            <w:shd w:val="clear" w:color="auto" w:fill="auto"/>
            <w:noWrap/>
            <w:vAlign w:val="bottom"/>
            <w:hideMark/>
          </w:tcPr>
          <w:p w:rsidR="00225A88" w:rsidRPr="0000283E" w:rsidRDefault="00225A88"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966 (71.7)</w:t>
            </w:r>
          </w:p>
        </w:tc>
        <w:tc>
          <w:tcPr>
            <w:tcW w:w="1701" w:type="dxa"/>
            <w:tcBorders>
              <w:top w:val="single" w:sz="4" w:space="0" w:color="auto"/>
              <w:bottom w:val="nil"/>
            </w:tcBorders>
            <w:shd w:val="clear" w:color="auto" w:fill="auto"/>
            <w:noWrap/>
            <w:vAlign w:val="bottom"/>
            <w:hideMark/>
          </w:tcPr>
          <w:p w:rsidR="00225A88" w:rsidRPr="0000283E" w:rsidRDefault="00225A88"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5188 (78.0)</w:t>
            </w:r>
          </w:p>
        </w:tc>
        <w:tc>
          <w:tcPr>
            <w:tcW w:w="940" w:type="dxa"/>
            <w:tcBorders>
              <w:top w:val="single" w:sz="4" w:space="0" w:color="auto"/>
              <w:bottom w:val="nil"/>
            </w:tcBorders>
            <w:shd w:val="clear" w:color="auto" w:fill="auto"/>
            <w:noWrap/>
            <w:vAlign w:val="bottom"/>
            <w:hideMark/>
          </w:tcPr>
          <w:p w:rsidR="00225A88" w:rsidRPr="0000283E" w:rsidRDefault="00225A88" w:rsidP="0000283E">
            <w:pPr>
              <w:spacing w:line="240" w:lineRule="auto"/>
              <w:jc w:val="center"/>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1</w:t>
            </w:r>
          </w:p>
        </w:tc>
        <w:tc>
          <w:tcPr>
            <w:tcW w:w="1500" w:type="dxa"/>
            <w:tcBorders>
              <w:top w:val="single" w:sz="4" w:space="0" w:color="auto"/>
              <w:bottom w:val="nil"/>
            </w:tcBorders>
            <w:shd w:val="clear" w:color="auto" w:fill="auto"/>
            <w:noWrap/>
            <w:vAlign w:val="bottom"/>
            <w:hideMark/>
          </w:tcPr>
          <w:p w:rsidR="00225A88" w:rsidRPr="0000283E" w:rsidRDefault="00225A88" w:rsidP="0000283E">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(reference)</w:t>
            </w:r>
            <w:r w:rsidRPr="0000283E">
              <w:rPr>
                <w:rFonts w:ascii="Times New Roman" w:eastAsia="Times New Roman" w:hAnsi="Times New Roman" w:cs="Times New Roman"/>
                <w:color w:val="000000"/>
                <w:lang w:eastAsia="en-GB"/>
              </w:rPr>
              <w:t> </w:t>
            </w:r>
          </w:p>
        </w:tc>
        <w:tc>
          <w:tcPr>
            <w:tcW w:w="1500" w:type="dxa"/>
            <w:tcBorders>
              <w:top w:val="single" w:sz="4" w:space="0" w:color="auto"/>
              <w:bottom w:val="nil"/>
            </w:tcBorders>
            <w:vAlign w:val="bottom"/>
          </w:tcPr>
          <w:p w:rsidR="00225A88" w:rsidRPr="0000283E" w:rsidRDefault="00225A88" w:rsidP="0000283E">
            <w:pPr>
              <w:spacing w:line="240" w:lineRule="auto"/>
              <w:jc w:val="center"/>
              <w:rPr>
                <w:rFonts w:ascii="Times New Roman" w:eastAsia="Times New Roman" w:hAnsi="Times New Roman" w:cs="Times New Roman"/>
                <w:color w:val="000000"/>
                <w:lang w:eastAsia="en-GB"/>
              </w:rPr>
            </w:pPr>
          </w:p>
        </w:tc>
        <w:tc>
          <w:tcPr>
            <w:tcW w:w="2180" w:type="dxa"/>
            <w:tcBorders>
              <w:top w:val="single" w:sz="4" w:space="0" w:color="auto"/>
              <w:bottom w:val="nil"/>
            </w:tcBorders>
          </w:tcPr>
          <w:p w:rsidR="00225A88" w:rsidRPr="0000283E" w:rsidRDefault="00225A88" w:rsidP="00225A88">
            <w:pPr>
              <w:spacing w:line="240" w:lineRule="auto"/>
              <w:jc w:val="center"/>
              <w:rPr>
                <w:rFonts w:ascii="Times New Roman" w:eastAsia="Times New Roman" w:hAnsi="Times New Roman" w:cs="Times New Roman"/>
                <w:color w:val="000000"/>
                <w:lang w:eastAsia="en-GB"/>
              </w:rPr>
            </w:pPr>
          </w:p>
        </w:tc>
      </w:tr>
      <w:tr w:rsidR="00225A88" w:rsidRPr="00E00DBA" w:rsidTr="00225A88">
        <w:trPr>
          <w:trHeight w:val="300"/>
        </w:trPr>
        <w:tc>
          <w:tcPr>
            <w:tcW w:w="3701" w:type="dxa"/>
            <w:tcBorders>
              <w:top w:val="nil"/>
              <w:bottom w:val="nil"/>
            </w:tcBorders>
            <w:shd w:val="clear" w:color="auto" w:fill="auto"/>
            <w:noWrap/>
            <w:vAlign w:val="bottom"/>
            <w:hideMark/>
          </w:tcPr>
          <w:p w:rsidR="00225A88" w:rsidRPr="0000283E" w:rsidRDefault="00225A88" w:rsidP="0000283E">
            <w:pPr>
              <w:spacing w:line="240" w:lineRule="auto"/>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Consultation with:</w:t>
            </w:r>
          </w:p>
        </w:tc>
        <w:tc>
          <w:tcPr>
            <w:tcW w:w="1818" w:type="dxa"/>
            <w:tcBorders>
              <w:top w:val="nil"/>
              <w:bottom w:val="nil"/>
            </w:tcBorders>
            <w:shd w:val="clear" w:color="auto" w:fill="auto"/>
            <w:noWrap/>
            <w:vAlign w:val="bottom"/>
            <w:hideMark/>
          </w:tcPr>
          <w:p w:rsidR="00225A88" w:rsidRPr="0000283E" w:rsidRDefault="00225A88" w:rsidP="0000283E">
            <w:pPr>
              <w:spacing w:line="240" w:lineRule="auto"/>
              <w:jc w:val="center"/>
              <w:rPr>
                <w:rFonts w:ascii="Times New Roman" w:hAnsi="Times New Roman" w:cs="Times New Roman"/>
                <w:color w:val="000000"/>
              </w:rPr>
            </w:pPr>
          </w:p>
        </w:tc>
        <w:tc>
          <w:tcPr>
            <w:tcW w:w="1701" w:type="dxa"/>
            <w:tcBorders>
              <w:top w:val="nil"/>
              <w:bottom w:val="nil"/>
            </w:tcBorders>
            <w:shd w:val="clear" w:color="auto" w:fill="auto"/>
            <w:noWrap/>
            <w:vAlign w:val="bottom"/>
            <w:hideMark/>
          </w:tcPr>
          <w:p w:rsidR="00225A88" w:rsidRPr="0000283E" w:rsidRDefault="00225A88" w:rsidP="0000283E">
            <w:pPr>
              <w:spacing w:line="240" w:lineRule="auto"/>
              <w:jc w:val="center"/>
              <w:rPr>
                <w:rFonts w:ascii="Times New Roman" w:hAnsi="Times New Roman" w:cs="Times New Roman"/>
                <w:color w:val="000000"/>
              </w:rPr>
            </w:pPr>
          </w:p>
        </w:tc>
        <w:tc>
          <w:tcPr>
            <w:tcW w:w="940" w:type="dxa"/>
            <w:tcBorders>
              <w:top w:val="nil"/>
              <w:bottom w:val="nil"/>
            </w:tcBorders>
            <w:shd w:val="clear" w:color="auto" w:fill="auto"/>
            <w:noWrap/>
            <w:vAlign w:val="bottom"/>
            <w:hideMark/>
          </w:tcPr>
          <w:p w:rsidR="00225A88" w:rsidRPr="0000283E" w:rsidRDefault="00225A88" w:rsidP="0000283E">
            <w:pPr>
              <w:spacing w:line="240" w:lineRule="auto"/>
              <w:jc w:val="center"/>
              <w:rPr>
                <w:rFonts w:ascii="Times New Roman" w:eastAsia="Times New Roman" w:hAnsi="Times New Roman" w:cs="Times New Roman"/>
                <w:color w:val="000000" w:themeColor="text1"/>
                <w:lang w:eastAsia="en-GB"/>
              </w:rPr>
            </w:pPr>
          </w:p>
        </w:tc>
        <w:tc>
          <w:tcPr>
            <w:tcW w:w="1500" w:type="dxa"/>
            <w:tcBorders>
              <w:top w:val="nil"/>
              <w:bottom w:val="nil"/>
            </w:tcBorders>
            <w:shd w:val="clear" w:color="auto" w:fill="auto"/>
            <w:noWrap/>
            <w:vAlign w:val="bottom"/>
            <w:hideMark/>
          </w:tcPr>
          <w:p w:rsidR="00225A88" w:rsidRPr="0000283E" w:rsidRDefault="00225A88" w:rsidP="0000283E">
            <w:pPr>
              <w:spacing w:line="240" w:lineRule="auto"/>
              <w:jc w:val="center"/>
              <w:rPr>
                <w:rFonts w:ascii="Times New Roman" w:eastAsia="Times New Roman" w:hAnsi="Times New Roman" w:cs="Times New Roman"/>
                <w:color w:val="000000"/>
                <w:lang w:eastAsia="en-GB"/>
              </w:rPr>
            </w:pPr>
          </w:p>
        </w:tc>
        <w:tc>
          <w:tcPr>
            <w:tcW w:w="1500" w:type="dxa"/>
            <w:tcBorders>
              <w:top w:val="nil"/>
              <w:bottom w:val="nil"/>
            </w:tcBorders>
            <w:vAlign w:val="bottom"/>
          </w:tcPr>
          <w:p w:rsidR="00225A88" w:rsidRPr="0000283E" w:rsidRDefault="00225A88" w:rsidP="0000283E">
            <w:pPr>
              <w:spacing w:line="240" w:lineRule="auto"/>
              <w:jc w:val="center"/>
              <w:rPr>
                <w:rFonts w:ascii="Times New Roman" w:eastAsia="Times New Roman" w:hAnsi="Times New Roman" w:cs="Times New Roman"/>
                <w:color w:val="000000"/>
                <w:lang w:eastAsia="en-GB"/>
              </w:rPr>
            </w:pPr>
          </w:p>
        </w:tc>
        <w:tc>
          <w:tcPr>
            <w:tcW w:w="2180" w:type="dxa"/>
            <w:tcBorders>
              <w:top w:val="nil"/>
              <w:bottom w:val="nil"/>
            </w:tcBorders>
          </w:tcPr>
          <w:p w:rsidR="00225A88" w:rsidRPr="0000283E" w:rsidRDefault="00225A88" w:rsidP="00225A88">
            <w:pPr>
              <w:spacing w:line="240" w:lineRule="auto"/>
              <w:jc w:val="center"/>
              <w:rPr>
                <w:rFonts w:ascii="Times New Roman" w:eastAsia="Times New Roman" w:hAnsi="Times New Roman" w:cs="Times New Roman"/>
                <w:color w:val="000000"/>
                <w:lang w:eastAsia="en-GB"/>
              </w:rPr>
            </w:pPr>
          </w:p>
        </w:tc>
      </w:tr>
      <w:tr w:rsidR="00FA619B" w:rsidRPr="00E00DBA" w:rsidTr="00225A88">
        <w:trPr>
          <w:trHeight w:val="300"/>
        </w:trPr>
        <w:tc>
          <w:tcPr>
            <w:tcW w:w="3701" w:type="dxa"/>
            <w:tcBorders>
              <w:top w:val="nil"/>
              <w:bottom w:val="nil"/>
            </w:tcBorders>
            <w:shd w:val="clear" w:color="auto" w:fill="auto"/>
            <w:noWrap/>
            <w:vAlign w:val="bottom"/>
            <w:hideMark/>
          </w:tcPr>
          <w:p w:rsidR="00FA619B" w:rsidRPr="0000283E" w:rsidRDefault="00FA619B" w:rsidP="0000283E">
            <w:pPr>
              <w:spacing w:line="240" w:lineRule="auto"/>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 xml:space="preserve">Any psychiatric condition </w:t>
            </w:r>
          </w:p>
        </w:tc>
        <w:tc>
          <w:tcPr>
            <w:tcW w:w="1818" w:type="dxa"/>
            <w:tcBorders>
              <w:top w:val="nil"/>
              <w:bottom w:val="nil"/>
            </w:tcBorders>
            <w:shd w:val="clear" w:color="auto" w:fill="auto"/>
            <w:noWrap/>
            <w:vAlign w:val="bottom"/>
            <w:hideMark/>
          </w:tcPr>
          <w:p w:rsidR="00FA619B" w:rsidRPr="0000283E" w:rsidRDefault="00FA619B"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382 (28.3)</w:t>
            </w:r>
          </w:p>
        </w:tc>
        <w:tc>
          <w:tcPr>
            <w:tcW w:w="1701" w:type="dxa"/>
            <w:tcBorders>
              <w:top w:val="nil"/>
              <w:bottom w:val="nil"/>
            </w:tcBorders>
            <w:shd w:val="clear" w:color="auto" w:fill="auto"/>
            <w:noWrap/>
            <w:vAlign w:val="bottom"/>
            <w:hideMark/>
          </w:tcPr>
          <w:p w:rsidR="00FA619B" w:rsidRPr="0000283E" w:rsidRDefault="00FA619B"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1464 (22.0)</w:t>
            </w:r>
          </w:p>
        </w:tc>
        <w:tc>
          <w:tcPr>
            <w:tcW w:w="940" w:type="dxa"/>
            <w:tcBorders>
              <w:top w:val="nil"/>
              <w:bottom w:val="nil"/>
            </w:tcBorders>
            <w:shd w:val="clear" w:color="auto" w:fill="auto"/>
            <w:noWrap/>
            <w:vAlign w:val="bottom"/>
            <w:hideMark/>
          </w:tcPr>
          <w:p w:rsidR="00FA619B" w:rsidRPr="0000283E" w:rsidRDefault="00FA619B" w:rsidP="00E73246">
            <w:pPr>
              <w:spacing w:line="240" w:lineRule="auto"/>
              <w:jc w:val="cente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1.44</w:t>
            </w:r>
          </w:p>
        </w:tc>
        <w:tc>
          <w:tcPr>
            <w:tcW w:w="1500" w:type="dxa"/>
            <w:tcBorders>
              <w:top w:val="nil"/>
              <w:bottom w:val="nil"/>
            </w:tcBorders>
            <w:shd w:val="clear" w:color="auto" w:fill="auto"/>
            <w:noWrap/>
            <w:vAlign w:val="bottom"/>
            <w:hideMark/>
          </w:tcPr>
          <w:p w:rsidR="00FA619B" w:rsidRPr="0000283E" w:rsidRDefault="00FA619B" w:rsidP="00E73246">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(1.25-1.65)</w:t>
            </w:r>
          </w:p>
        </w:tc>
        <w:tc>
          <w:tcPr>
            <w:tcW w:w="1500" w:type="dxa"/>
            <w:tcBorders>
              <w:top w:val="nil"/>
              <w:bottom w:val="nil"/>
            </w:tcBorders>
            <w:vAlign w:val="bottom"/>
          </w:tcPr>
          <w:p w:rsidR="00FA619B" w:rsidRPr="0000283E" w:rsidRDefault="00FA619B" w:rsidP="0000283E">
            <w:pPr>
              <w:spacing w:line="240" w:lineRule="auto"/>
              <w:jc w:val="center"/>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&lt;0.001</w:t>
            </w:r>
          </w:p>
        </w:tc>
        <w:tc>
          <w:tcPr>
            <w:tcW w:w="2180" w:type="dxa"/>
            <w:tcBorders>
              <w:top w:val="nil"/>
              <w:bottom w:val="nil"/>
            </w:tcBorders>
          </w:tcPr>
          <w:p w:rsidR="00FA619B" w:rsidRPr="0000283E" w:rsidRDefault="00FA619B" w:rsidP="00FA619B">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30.5%</w:t>
            </w:r>
          </w:p>
        </w:tc>
      </w:tr>
      <w:tr w:rsidR="00FA619B" w:rsidRPr="00E00DBA" w:rsidTr="00225A88">
        <w:trPr>
          <w:trHeight w:val="300"/>
        </w:trPr>
        <w:tc>
          <w:tcPr>
            <w:tcW w:w="3701" w:type="dxa"/>
            <w:tcBorders>
              <w:top w:val="nil"/>
              <w:bottom w:val="nil"/>
            </w:tcBorders>
            <w:shd w:val="clear" w:color="auto" w:fill="auto"/>
            <w:noWrap/>
            <w:vAlign w:val="bottom"/>
            <w:hideMark/>
          </w:tcPr>
          <w:p w:rsidR="00FA619B" w:rsidRPr="0000283E" w:rsidRDefault="00FA619B" w:rsidP="0000283E">
            <w:pPr>
              <w:spacing w:line="240" w:lineRule="auto"/>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Psychosis</w:t>
            </w:r>
          </w:p>
        </w:tc>
        <w:tc>
          <w:tcPr>
            <w:tcW w:w="1818" w:type="dxa"/>
            <w:tcBorders>
              <w:top w:val="nil"/>
              <w:bottom w:val="nil"/>
            </w:tcBorders>
            <w:shd w:val="clear" w:color="auto" w:fill="auto"/>
            <w:noWrap/>
            <w:vAlign w:val="bottom"/>
            <w:hideMark/>
          </w:tcPr>
          <w:p w:rsidR="00FA619B" w:rsidRPr="0000283E" w:rsidRDefault="00FA619B"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132 (9.8)</w:t>
            </w:r>
          </w:p>
        </w:tc>
        <w:tc>
          <w:tcPr>
            <w:tcW w:w="1701" w:type="dxa"/>
            <w:tcBorders>
              <w:top w:val="nil"/>
              <w:bottom w:val="nil"/>
            </w:tcBorders>
            <w:shd w:val="clear" w:color="auto" w:fill="auto"/>
            <w:noWrap/>
            <w:vAlign w:val="bottom"/>
            <w:hideMark/>
          </w:tcPr>
          <w:p w:rsidR="00FA619B" w:rsidRPr="0000283E" w:rsidRDefault="00FA619B"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519 (7.8)</w:t>
            </w:r>
          </w:p>
        </w:tc>
        <w:tc>
          <w:tcPr>
            <w:tcW w:w="940" w:type="dxa"/>
            <w:tcBorders>
              <w:top w:val="nil"/>
              <w:bottom w:val="nil"/>
            </w:tcBorders>
            <w:shd w:val="clear" w:color="auto" w:fill="auto"/>
            <w:noWrap/>
            <w:vAlign w:val="bottom"/>
            <w:hideMark/>
          </w:tcPr>
          <w:p w:rsidR="00FA619B" w:rsidRPr="0000283E" w:rsidRDefault="00FA619B" w:rsidP="00E73246">
            <w:pPr>
              <w:spacing w:line="240" w:lineRule="auto"/>
              <w:jc w:val="cente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1.29</w:t>
            </w:r>
          </w:p>
        </w:tc>
        <w:tc>
          <w:tcPr>
            <w:tcW w:w="1500" w:type="dxa"/>
            <w:tcBorders>
              <w:top w:val="nil"/>
              <w:bottom w:val="nil"/>
            </w:tcBorders>
            <w:shd w:val="clear" w:color="auto" w:fill="auto"/>
            <w:noWrap/>
            <w:vAlign w:val="bottom"/>
            <w:hideMark/>
          </w:tcPr>
          <w:p w:rsidR="00FA619B" w:rsidRPr="0000283E" w:rsidRDefault="00FA619B" w:rsidP="00E73246">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(1.05-1.59)</w:t>
            </w:r>
          </w:p>
        </w:tc>
        <w:tc>
          <w:tcPr>
            <w:tcW w:w="1500" w:type="dxa"/>
            <w:tcBorders>
              <w:top w:val="nil"/>
              <w:bottom w:val="nil"/>
            </w:tcBorders>
            <w:vAlign w:val="bottom"/>
          </w:tcPr>
          <w:p w:rsidR="00FA619B" w:rsidRPr="0000283E" w:rsidRDefault="00FA619B" w:rsidP="00FA619B">
            <w:pPr>
              <w:spacing w:line="240" w:lineRule="auto"/>
              <w:jc w:val="center"/>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0.01</w:t>
            </w:r>
            <w:r>
              <w:rPr>
                <w:rFonts w:ascii="Times New Roman" w:eastAsia="Times New Roman" w:hAnsi="Times New Roman" w:cs="Times New Roman"/>
                <w:color w:val="000000"/>
                <w:lang w:eastAsia="en-GB"/>
              </w:rPr>
              <w:t>6</w:t>
            </w:r>
          </w:p>
        </w:tc>
        <w:tc>
          <w:tcPr>
            <w:tcW w:w="2180" w:type="dxa"/>
            <w:tcBorders>
              <w:top w:val="nil"/>
              <w:bottom w:val="nil"/>
            </w:tcBorders>
          </w:tcPr>
          <w:p w:rsidR="00FA619B" w:rsidRPr="0000283E" w:rsidRDefault="00FA619B" w:rsidP="00225A88">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22.5%</w:t>
            </w:r>
          </w:p>
        </w:tc>
      </w:tr>
      <w:tr w:rsidR="00FA619B" w:rsidRPr="00E00DBA" w:rsidTr="00225A88">
        <w:trPr>
          <w:trHeight w:val="300"/>
        </w:trPr>
        <w:tc>
          <w:tcPr>
            <w:tcW w:w="3701" w:type="dxa"/>
            <w:tcBorders>
              <w:top w:val="nil"/>
              <w:bottom w:val="nil"/>
            </w:tcBorders>
            <w:shd w:val="clear" w:color="auto" w:fill="auto"/>
            <w:noWrap/>
            <w:vAlign w:val="bottom"/>
            <w:hideMark/>
          </w:tcPr>
          <w:p w:rsidR="00FA619B" w:rsidRPr="0000283E" w:rsidRDefault="00FA619B" w:rsidP="0000283E">
            <w:pPr>
              <w:spacing w:line="240" w:lineRule="auto"/>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Schizophrenia</w:t>
            </w:r>
          </w:p>
        </w:tc>
        <w:tc>
          <w:tcPr>
            <w:tcW w:w="1818" w:type="dxa"/>
            <w:tcBorders>
              <w:top w:val="nil"/>
              <w:bottom w:val="nil"/>
            </w:tcBorders>
            <w:shd w:val="clear" w:color="auto" w:fill="auto"/>
            <w:noWrap/>
            <w:vAlign w:val="bottom"/>
            <w:hideMark/>
          </w:tcPr>
          <w:p w:rsidR="00FA619B" w:rsidRPr="0000283E" w:rsidRDefault="00FA619B"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3 (0.2)</w:t>
            </w:r>
          </w:p>
        </w:tc>
        <w:tc>
          <w:tcPr>
            <w:tcW w:w="1701" w:type="dxa"/>
            <w:tcBorders>
              <w:top w:val="nil"/>
              <w:bottom w:val="nil"/>
            </w:tcBorders>
            <w:shd w:val="clear" w:color="auto" w:fill="auto"/>
            <w:noWrap/>
            <w:vAlign w:val="bottom"/>
            <w:hideMark/>
          </w:tcPr>
          <w:p w:rsidR="00FA619B" w:rsidRPr="0000283E" w:rsidRDefault="00FA619B"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19 (0.3)</w:t>
            </w:r>
          </w:p>
        </w:tc>
        <w:tc>
          <w:tcPr>
            <w:tcW w:w="940" w:type="dxa"/>
            <w:tcBorders>
              <w:top w:val="nil"/>
              <w:bottom w:val="nil"/>
            </w:tcBorders>
            <w:shd w:val="clear" w:color="auto" w:fill="auto"/>
            <w:noWrap/>
            <w:vAlign w:val="bottom"/>
            <w:hideMark/>
          </w:tcPr>
          <w:p w:rsidR="00FA619B" w:rsidRPr="0000283E" w:rsidRDefault="00FA619B" w:rsidP="00E73246">
            <w:pPr>
              <w:spacing w:line="240" w:lineRule="auto"/>
              <w:jc w:val="cente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0.74</w:t>
            </w:r>
          </w:p>
        </w:tc>
        <w:tc>
          <w:tcPr>
            <w:tcW w:w="1500" w:type="dxa"/>
            <w:tcBorders>
              <w:top w:val="nil"/>
              <w:bottom w:val="nil"/>
            </w:tcBorders>
            <w:shd w:val="clear" w:color="auto" w:fill="auto"/>
            <w:noWrap/>
            <w:vAlign w:val="bottom"/>
            <w:hideMark/>
          </w:tcPr>
          <w:p w:rsidR="00FA619B" w:rsidRPr="0000283E" w:rsidRDefault="00FA619B" w:rsidP="00E73246">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(0.22-2.50)</w:t>
            </w:r>
          </w:p>
        </w:tc>
        <w:tc>
          <w:tcPr>
            <w:tcW w:w="1500" w:type="dxa"/>
            <w:tcBorders>
              <w:top w:val="nil"/>
              <w:bottom w:val="nil"/>
            </w:tcBorders>
            <w:vAlign w:val="bottom"/>
          </w:tcPr>
          <w:p w:rsidR="00FA619B" w:rsidRPr="0000283E" w:rsidRDefault="00FA619B" w:rsidP="00FA619B">
            <w:pPr>
              <w:spacing w:line="240" w:lineRule="auto"/>
              <w:jc w:val="center"/>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0.6</w:t>
            </w:r>
            <w:r>
              <w:rPr>
                <w:rFonts w:ascii="Times New Roman" w:eastAsia="Times New Roman" w:hAnsi="Times New Roman" w:cs="Times New Roman"/>
                <w:color w:val="000000"/>
                <w:lang w:eastAsia="en-GB"/>
              </w:rPr>
              <w:t>3</w:t>
            </w:r>
          </w:p>
        </w:tc>
        <w:tc>
          <w:tcPr>
            <w:tcW w:w="2180" w:type="dxa"/>
            <w:tcBorders>
              <w:top w:val="nil"/>
              <w:bottom w:val="nil"/>
            </w:tcBorders>
          </w:tcPr>
          <w:p w:rsidR="00FA619B" w:rsidRPr="0000283E" w:rsidRDefault="00FA619B" w:rsidP="00225A88">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FA619B" w:rsidRPr="00E00DBA" w:rsidTr="00225A88">
        <w:trPr>
          <w:trHeight w:val="300"/>
        </w:trPr>
        <w:tc>
          <w:tcPr>
            <w:tcW w:w="3701" w:type="dxa"/>
            <w:tcBorders>
              <w:top w:val="nil"/>
              <w:bottom w:val="nil"/>
            </w:tcBorders>
            <w:shd w:val="clear" w:color="auto" w:fill="auto"/>
            <w:noWrap/>
            <w:vAlign w:val="bottom"/>
            <w:hideMark/>
          </w:tcPr>
          <w:p w:rsidR="00FA619B" w:rsidRPr="0000283E" w:rsidRDefault="00FA619B" w:rsidP="0000283E">
            <w:pPr>
              <w:spacing w:line="240" w:lineRule="auto"/>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Neurosis</w:t>
            </w:r>
          </w:p>
        </w:tc>
        <w:tc>
          <w:tcPr>
            <w:tcW w:w="1818" w:type="dxa"/>
            <w:tcBorders>
              <w:top w:val="nil"/>
              <w:bottom w:val="nil"/>
            </w:tcBorders>
            <w:shd w:val="clear" w:color="auto" w:fill="auto"/>
            <w:noWrap/>
            <w:vAlign w:val="bottom"/>
            <w:hideMark/>
          </w:tcPr>
          <w:p w:rsidR="00FA619B" w:rsidRPr="0000283E" w:rsidRDefault="00FA619B"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298 (22.1)</w:t>
            </w:r>
          </w:p>
        </w:tc>
        <w:tc>
          <w:tcPr>
            <w:tcW w:w="1701" w:type="dxa"/>
            <w:tcBorders>
              <w:top w:val="nil"/>
              <w:bottom w:val="nil"/>
            </w:tcBorders>
            <w:shd w:val="clear" w:color="auto" w:fill="auto"/>
            <w:noWrap/>
            <w:vAlign w:val="bottom"/>
            <w:hideMark/>
          </w:tcPr>
          <w:p w:rsidR="00FA619B" w:rsidRPr="0000283E" w:rsidRDefault="00FA619B"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1139 (17.1)</w:t>
            </w:r>
          </w:p>
        </w:tc>
        <w:tc>
          <w:tcPr>
            <w:tcW w:w="940" w:type="dxa"/>
            <w:tcBorders>
              <w:top w:val="nil"/>
              <w:bottom w:val="nil"/>
            </w:tcBorders>
            <w:shd w:val="clear" w:color="auto" w:fill="auto"/>
            <w:noWrap/>
            <w:vAlign w:val="bottom"/>
            <w:hideMark/>
          </w:tcPr>
          <w:p w:rsidR="00FA619B" w:rsidRPr="0000283E" w:rsidRDefault="00FA619B" w:rsidP="00E73246">
            <w:pPr>
              <w:spacing w:line="240" w:lineRule="auto"/>
              <w:jc w:val="cente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1.41</w:t>
            </w:r>
          </w:p>
        </w:tc>
        <w:tc>
          <w:tcPr>
            <w:tcW w:w="1500" w:type="dxa"/>
            <w:tcBorders>
              <w:top w:val="nil"/>
              <w:bottom w:val="nil"/>
            </w:tcBorders>
            <w:shd w:val="clear" w:color="auto" w:fill="auto"/>
            <w:noWrap/>
            <w:vAlign w:val="bottom"/>
            <w:hideMark/>
          </w:tcPr>
          <w:p w:rsidR="00FA619B" w:rsidRPr="0000283E" w:rsidRDefault="00FA619B" w:rsidP="00E73246">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(1.21-1.64)</w:t>
            </w:r>
          </w:p>
        </w:tc>
        <w:tc>
          <w:tcPr>
            <w:tcW w:w="1500" w:type="dxa"/>
            <w:tcBorders>
              <w:top w:val="nil"/>
              <w:bottom w:val="nil"/>
            </w:tcBorders>
            <w:vAlign w:val="bottom"/>
          </w:tcPr>
          <w:p w:rsidR="00FA619B" w:rsidRPr="0000283E" w:rsidRDefault="00FA619B" w:rsidP="0000283E">
            <w:pPr>
              <w:spacing w:line="240" w:lineRule="auto"/>
              <w:jc w:val="center"/>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&lt;0.001</w:t>
            </w:r>
          </w:p>
        </w:tc>
        <w:tc>
          <w:tcPr>
            <w:tcW w:w="2180" w:type="dxa"/>
            <w:tcBorders>
              <w:top w:val="nil"/>
              <w:bottom w:val="nil"/>
            </w:tcBorders>
          </w:tcPr>
          <w:p w:rsidR="00FA619B" w:rsidRPr="0000283E" w:rsidRDefault="00FA619B" w:rsidP="00225A88">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29.0%</w:t>
            </w:r>
          </w:p>
        </w:tc>
      </w:tr>
      <w:tr w:rsidR="00FA619B" w:rsidRPr="00E00DBA" w:rsidTr="00225A88">
        <w:trPr>
          <w:trHeight w:val="300"/>
        </w:trPr>
        <w:tc>
          <w:tcPr>
            <w:tcW w:w="3701" w:type="dxa"/>
            <w:tcBorders>
              <w:top w:val="nil"/>
            </w:tcBorders>
            <w:shd w:val="clear" w:color="auto" w:fill="auto"/>
            <w:noWrap/>
            <w:vAlign w:val="bottom"/>
            <w:hideMark/>
          </w:tcPr>
          <w:p w:rsidR="00FA619B" w:rsidRPr="0000283E" w:rsidRDefault="00FA619B" w:rsidP="0000283E">
            <w:pPr>
              <w:spacing w:line="240" w:lineRule="auto"/>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Personality problem</w:t>
            </w:r>
          </w:p>
        </w:tc>
        <w:tc>
          <w:tcPr>
            <w:tcW w:w="1818" w:type="dxa"/>
            <w:tcBorders>
              <w:top w:val="nil"/>
            </w:tcBorders>
            <w:shd w:val="clear" w:color="auto" w:fill="auto"/>
            <w:noWrap/>
            <w:vAlign w:val="bottom"/>
            <w:hideMark/>
          </w:tcPr>
          <w:p w:rsidR="00FA619B" w:rsidRPr="0000283E" w:rsidRDefault="00FA619B"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34 (2.5)</w:t>
            </w:r>
          </w:p>
        </w:tc>
        <w:tc>
          <w:tcPr>
            <w:tcW w:w="1701" w:type="dxa"/>
            <w:tcBorders>
              <w:top w:val="nil"/>
            </w:tcBorders>
            <w:shd w:val="clear" w:color="auto" w:fill="auto"/>
            <w:noWrap/>
            <w:vAlign w:val="bottom"/>
            <w:hideMark/>
          </w:tcPr>
          <w:p w:rsidR="00FA619B" w:rsidRPr="0000283E" w:rsidRDefault="00FA619B" w:rsidP="0000283E">
            <w:pPr>
              <w:spacing w:line="240" w:lineRule="auto"/>
              <w:jc w:val="center"/>
              <w:rPr>
                <w:rFonts w:ascii="Times New Roman" w:hAnsi="Times New Roman" w:cs="Times New Roman"/>
                <w:color w:val="000000"/>
              </w:rPr>
            </w:pPr>
            <w:r w:rsidRPr="0000283E">
              <w:rPr>
                <w:rFonts w:ascii="Times New Roman" w:hAnsi="Times New Roman" w:cs="Times New Roman"/>
                <w:color w:val="000000"/>
              </w:rPr>
              <w:t>137 (2.1)</w:t>
            </w:r>
          </w:p>
        </w:tc>
        <w:tc>
          <w:tcPr>
            <w:tcW w:w="940" w:type="dxa"/>
            <w:tcBorders>
              <w:top w:val="nil"/>
            </w:tcBorders>
            <w:shd w:val="clear" w:color="auto" w:fill="auto"/>
            <w:noWrap/>
            <w:vAlign w:val="bottom"/>
            <w:hideMark/>
          </w:tcPr>
          <w:p w:rsidR="00FA619B" w:rsidRPr="0000283E" w:rsidRDefault="00FA619B" w:rsidP="00E73246">
            <w:pPr>
              <w:spacing w:line="240" w:lineRule="auto"/>
              <w:jc w:val="cente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1.20</w:t>
            </w:r>
          </w:p>
        </w:tc>
        <w:tc>
          <w:tcPr>
            <w:tcW w:w="1500" w:type="dxa"/>
            <w:tcBorders>
              <w:top w:val="nil"/>
            </w:tcBorders>
            <w:shd w:val="clear" w:color="auto" w:fill="auto"/>
            <w:noWrap/>
            <w:vAlign w:val="bottom"/>
            <w:hideMark/>
          </w:tcPr>
          <w:p w:rsidR="00FA619B" w:rsidRPr="0000283E" w:rsidRDefault="00FA619B" w:rsidP="00E73246">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(0.82-1.76)</w:t>
            </w:r>
          </w:p>
        </w:tc>
        <w:tc>
          <w:tcPr>
            <w:tcW w:w="1500" w:type="dxa"/>
            <w:tcBorders>
              <w:top w:val="nil"/>
            </w:tcBorders>
            <w:vAlign w:val="bottom"/>
          </w:tcPr>
          <w:p w:rsidR="00FA619B" w:rsidRPr="0000283E" w:rsidRDefault="00FA619B" w:rsidP="00FA619B">
            <w:pPr>
              <w:spacing w:line="240" w:lineRule="auto"/>
              <w:jc w:val="center"/>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35</w:t>
            </w:r>
          </w:p>
        </w:tc>
        <w:tc>
          <w:tcPr>
            <w:tcW w:w="2180" w:type="dxa"/>
            <w:tcBorders>
              <w:top w:val="nil"/>
            </w:tcBorders>
          </w:tcPr>
          <w:p w:rsidR="00FA619B" w:rsidRPr="0000283E" w:rsidRDefault="00FA619B" w:rsidP="00225A88">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16.7%</w:t>
            </w:r>
          </w:p>
        </w:tc>
      </w:tr>
      <w:tr w:rsidR="00FA619B" w:rsidRPr="00E00DBA" w:rsidTr="00225A88">
        <w:trPr>
          <w:trHeight w:val="300"/>
        </w:trPr>
        <w:tc>
          <w:tcPr>
            <w:tcW w:w="3701" w:type="dxa"/>
            <w:tcBorders>
              <w:top w:val="nil"/>
              <w:bottom w:val="single" w:sz="4" w:space="0" w:color="auto"/>
            </w:tcBorders>
            <w:shd w:val="clear" w:color="auto" w:fill="auto"/>
            <w:noWrap/>
            <w:vAlign w:val="bottom"/>
            <w:hideMark/>
          </w:tcPr>
          <w:p w:rsidR="00FA619B" w:rsidRPr="0000283E" w:rsidRDefault="00FA619B" w:rsidP="00C74CB8">
            <w:pPr>
              <w:spacing w:after="120" w:line="240" w:lineRule="auto"/>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 xml:space="preserve">Other mental health condition </w:t>
            </w:r>
          </w:p>
        </w:tc>
        <w:tc>
          <w:tcPr>
            <w:tcW w:w="1818" w:type="dxa"/>
            <w:tcBorders>
              <w:top w:val="nil"/>
              <w:bottom w:val="single" w:sz="4" w:space="0" w:color="auto"/>
            </w:tcBorders>
            <w:shd w:val="clear" w:color="auto" w:fill="auto"/>
            <w:noWrap/>
            <w:vAlign w:val="bottom"/>
            <w:hideMark/>
          </w:tcPr>
          <w:p w:rsidR="00FA619B" w:rsidRPr="0000283E" w:rsidRDefault="00FA619B" w:rsidP="00C74CB8">
            <w:pPr>
              <w:spacing w:after="120" w:line="240" w:lineRule="auto"/>
              <w:jc w:val="center"/>
              <w:rPr>
                <w:rFonts w:ascii="Times New Roman" w:hAnsi="Times New Roman" w:cs="Times New Roman"/>
                <w:color w:val="000000"/>
              </w:rPr>
            </w:pPr>
            <w:r w:rsidRPr="0000283E">
              <w:rPr>
                <w:rFonts w:ascii="Times New Roman" w:hAnsi="Times New Roman" w:cs="Times New Roman"/>
                <w:color w:val="000000"/>
              </w:rPr>
              <w:t>50 (3.7)</w:t>
            </w:r>
          </w:p>
        </w:tc>
        <w:tc>
          <w:tcPr>
            <w:tcW w:w="1701" w:type="dxa"/>
            <w:tcBorders>
              <w:top w:val="nil"/>
              <w:bottom w:val="single" w:sz="4" w:space="0" w:color="auto"/>
            </w:tcBorders>
            <w:shd w:val="clear" w:color="auto" w:fill="auto"/>
            <w:noWrap/>
            <w:vAlign w:val="bottom"/>
            <w:hideMark/>
          </w:tcPr>
          <w:p w:rsidR="00FA619B" w:rsidRPr="0000283E" w:rsidRDefault="00FA619B" w:rsidP="00C74CB8">
            <w:pPr>
              <w:spacing w:after="120" w:line="240" w:lineRule="auto"/>
              <w:jc w:val="center"/>
              <w:rPr>
                <w:rFonts w:ascii="Times New Roman" w:hAnsi="Times New Roman" w:cs="Times New Roman"/>
                <w:color w:val="000000"/>
              </w:rPr>
            </w:pPr>
            <w:r w:rsidRPr="0000283E">
              <w:rPr>
                <w:rFonts w:ascii="Times New Roman" w:hAnsi="Times New Roman" w:cs="Times New Roman"/>
                <w:color w:val="000000"/>
              </w:rPr>
              <w:t>166 (2.5)</w:t>
            </w:r>
          </w:p>
        </w:tc>
        <w:tc>
          <w:tcPr>
            <w:tcW w:w="940" w:type="dxa"/>
            <w:tcBorders>
              <w:top w:val="nil"/>
              <w:bottom w:val="single" w:sz="4" w:space="0" w:color="auto"/>
            </w:tcBorders>
            <w:shd w:val="clear" w:color="auto" w:fill="auto"/>
            <w:noWrap/>
            <w:vAlign w:val="bottom"/>
            <w:hideMark/>
          </w:tcPr>
          <w:p w:rsidR="00FA619B" w:rsidRPr="0000283E" w:rsidRDefault="00FA619B" w:rsidP="00E73246">
            <w:pPr>
              <w:spacing w:after="120" w:line="240" w:lineRule="auto"/>
              <w:jc w:val="cente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1.53</w:t>
            </w:r>
          </w:p>
        </w:tc>
        <w:tc>
          <w:tcPr>
            <w:tcW w:w="1500" w:type="dxa"/>
            <w:tcBorders>
              <w:top w:val="nil"/>
              <w:bottom w:val="single" w:sz="4" w:space="0" w:color="auto"/>
            </w:tcBorders>
            <w:shd w:val="clear" w:color="auto" w:fill="auto"/>
            <w:noWrap/>
            <w:vAlign w:val="bottom"/>
            <w:hideMark/>
          </w:tcPr>
          <w:p w:rsidR="00FA619B" w:rsidRPr="0000283E" w:rsidRDefault="00FA619B" w:rsidP="00E73246">
            <w:pPr>
              <w:spacing w:after="12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(1.10-2.14)</w:t>
            </w:r>
          </w:p>
        </w:tc>
        <w:tc>
          <w:tcPr>
            <w:tcW w:w="1500" w:type="dxa"/>
            <w:tcBorders>
              <w:top w:val="nil"/>
              <w:bottom w:val="single" w:sz="4" w:space="0" w:color="auto"/>
            </w:tcBorders>
            <w:vAlign w:val="bottom"/>
          </w:tcPr>
          <w:p w:rsidR="00FA619B" w:rsidRPr="0000283E" w:rsidRDefault="00FA619B" w:rsidP="00FA619B">
            <w:pPr>
              <w:spacing w:after="120" w:line="240" w:lineRule="auto"/>
              <w:jc w:val="center"/>
              <w:rPr>
                <w:rFonts w:ascii="Times New Roman" w:eastAsia="Times New Roman" w:hAnsi="Times New Roman" w:cs="Times New Roman"/>
                <w:color w:val="000000"/>
                <w:lang w:eastAsia="en-GB"/>
              </w:rPr>
            </w:pPr>
            <w:r w:rsidRPr="0000283E">
              <w:rPr>
                <w:rFonts w:ascii="Times New Roman" w:eastAsia="Times New Roman" w:hAnsi="Times New Roman" w:cs="Times New Roman"/>
                <w:color w:val="000000"/>
                <w:lang w:eastAsia="en-GB"/>
              </w:rPr>
              <w:t>0.01</w:t>
            </w:r>
            <w:r>
              <w:rPr>
                <w:rFonts w:ascii="Times New Roman" w:eastAsia="Times New Roman" w:hAnsi="Times New Roman" w:cs="Times New Roman"/>
                <w:color w:val="000000"/>
                <w:lang w:eastAsia="en-GB"/>
              </w:rPr>
              <w:t>2</w:t>
            </w:r>
          </w:p>
        </w:tc>
        <w:tc>
          <w:tcPr>
            <w:tcW w:w="2180" w:type="dxa"/>
            <w:tcBorders>
              <w:top w:val="nil"/>
              <w:bottom w:val="single" w:sz="4" w:space="0" w:color="auto"/>
            </w:tcBorders>
          </w:tcPr>
          <w:p w:rsidR="00FA619B" w:rsidRPr="009958F2" w:rsidRDefault="00FA619B" w:rsidP="00FA619B">
            <w:pPr>
              <w:spacing w:after="1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34.6%</w:t>
            </w:r>
          </w:p>
        </w:tc>
      </w:tr>
    </w:tbl>
    <w:p w:rsidR="0000283E" w:rsidRDefault="0000283E" w:rsidP="0000283E">
      <w:pPr>
        <w:spacing w:line="240" w:lineRule="auto"/>
        <w:rPr>
          <w:rFonts w:ascii="Times New Roman" w:hAnsi="Times New Roman" w:cs="Times New Roman"/>
          <w:b/>
        </w:rPr>
      </w:pPr>
    </w:p>
    <w:p w:rsidR="003322C6" w:rsidRDefault="00FA619B" w:rsidP="003322C6">
      <w:pPr>
        <w:rPr>
          <w:rFonts w:ascii="Times New Roman" w:hAnsi="Times New Roman" w:cs="Times New Roman"/>
        </w:rPr>
      </w:pPr>
      <w:r w:rsidRPr="00FA619B">
        <w:rPr>
          <w:rFonts w:ascii="Times New Roman" w:hAnsi="Times New Roman" w:cs="Times New Roman"/>
        </w:rPr>
        <w:t>* Adjusted for problem drinking</w:t>
      </w:r>
    </w:p>
    <w:p w:rsidR="003322C6" w:rsidRDefault="003322C6" w:rsidP="003322C6">
      <w:pPr>
        <w:rPr>
          <w:rFonts w:ascii="Times New Roman" w:hAnsi="Times New Roman" w:cs="Times New Roman"/>
          <w:i/>
        </w:rPr>
      </w:pPr>
      <w:r>
        <w:rPr>
          <w:rFonts w:ascii="Times New Roman" w:hAnsi="Times New Roman" w:cs="Times New Roman"/>
        </w:rPr>
        <w:t>S</w:t>
      </w:r>
      <w:r>
        <w:rPr>
          <w:rFonts w:ascii="Times New Roman" w:hAnsi="Times New Roman" w:cs="Times New Roman"/>
          <w:i/>
        </w:rPr>
        <w:t xml:space="preserve">ome </w:t>
      </w:r>
      <w:r w:rsidRPr="00676D6D">
        <w:rPr>
          <w:rFonts w:ascii="Times New Roman" w:hAnsi="Times New Roman" w:cs="Times New Roman"/>
          <w:i/>
        </w:rPr>
        <w:t xml:space="preserve">subjects had </w:t>
      </w:r>
      <w:r>
        <w:rPr>
          <w:rFonts w:ascii="Times New Roman" w:hAnsi="Times New Roman" w:cs="Times New Roman"/>
          <w:i/>
        </w:rPr>
        <w:t>more than one</w:t>
      </w:r>
      <w:r w:rsidRPr="00676D6D">
        <w:rPr>
          <w:rFonts w:ascii="Times New Roman" w:hAnsi="Times New Roman" w:cs="Times New Roman"/>
          <w:i/>
        </w:rPr>
        <w:t xml:space="preserve"> </w:t>
      </w:r>
      <w:r>
        <w:rPr>
          <w:rFonts w:ascii="Times New Roman" w:hAnsi="Times New Roman" w:cs="Times New Roman"/>
          <w:i/>
        </w:rPr>
        <w:t>diagnosis</w:t>
      </w:r>
    </w:p>
    <w:p w:rsidR="00C46081" w:rsidRPr="00FA619B" w:rsidRDefault="00C46081">
      <w:pPr>
        <w:rPr>
          <w:rFonts w:ascii="Times New Roman" w:hAnsi="Times New Roman" w:cs="Times New Roman"/>
        </w:rPr>
      </w:pPr>
      <w:r w:rsidRPr="00FA619B">
        <w:rPr>
          <w:rFonts w:ascii="Times New Roman" w:hAnsi="Times New Roman" w:cs="Times New Roman"/>
        </w:rPr>
        <w:br w:type="page"/>
      </w:r>
    </w:p>
    <w:p w:rsidR="00C74CB8" w:rsidRDefault="00C74CB8" w:rsidP="00C74CB8">
      <w:pPr>
        <w:spacing w:line="240" w:lineRule="auto"/>
        <w:rPr>
          <w:rFonts w:ascii="Times New Roman" w:hAnsi="Times New Roman" w:cs="Times New Roman"/>
          <w:b/>
        </w:rPr>
      </w:pPr>
      <w:r>
        <w:rPr>
          <w:rFonts w:ascii="Times New Roman" w:hAnsi="Times New Roman" w:cs="Times New Roman"/>
          <w:b/>
        </w:rPr>
        <w:lastRenderedPageBreak/>
        <w:t xml:space="preserve">Table </w:t>
      </w:r>
      <w:r w:rsidR="00C21FDD">
        <w:rPr>
          <w:rFonts w:ascii="Times New Roman" w:hAnsi="Times New Roman" w:cs="Times New Roman"/>
          <w:b/>
        </w:rPr>
        <w:t>3</w:t>
      </w:r>
      <w:r>
        <w:rPr>
          <w:rFonts w:ascii="Times New Roman" w:hAnsi="Times New Roman" w:cs="Times New Roman"/>
          <w:b/>
        </w:rPr>
        <w:t xml:space="preserve"> </w:t>
      </w:r>
      <w:r w:rsidRPr="00713F55">
        <w:rPr>
          <w:rFonts w:ascii="Times New Roman" w:hAnsi="Times New Roman" w:cs="Times New Roman"/>
          <w:b/>
        </w:rPr>
        <w:t xml:space="preserve">Relation between consulting with an occupational injury and </w:t>
      </w:r>
      <w:r>
        <w:rPr>
          <w:rFonts w:ascii="Times New Roman" w:hAnsi="Times New Roman" w:cs="Times New Roman"/>
          <w:b/>
        </w:rPr>
        <w:t>being prescribed a hypnotic, anxiolytic or antidepressant drug</w:t>
      </w:r>
    </w:p>
    <w:p w:rsidR="00C74CB8" w:rsidRDefault="00C74CB8" w:rsidP="00C74CB8">
      <w:pPr>
        <w:spacing w:line="240" w:lineRule="auto"/>
        <w:rPr>
          <w:rFonts w:ascii="Times New Roman" w:hAnsi="Times New Roman" w:cs="Times New Roman"/>
          <w:b/>
        </w:rPr>
      </w:pPr>
    </w:p>
    <w:tbl>
      <w:tblPr>
        <w:tblW w:w="12029" w:type="dxa"/>
        <w:tblInd w:w="97" w:type="dxa"/>
        <w:tblLook w:val="04A0" w:firstRow="1" w:lastRow="0" w:firstColumn="1" w:lastColumn="0" w:noHBand="0" w:noVBand="1"/>
      </w:tblPr>
      <w:tblGrid>
        <w:gridCol w:w="4312"/>
        <w:gridCol w:w="1369"/>
        <w:gridCol w:w="1335"/>
        <w:gridCol w:w="960"/>
        <w:gridCol w:w="1693"/>
        <w:gridCol w:w="1080"/>
        <w:gridCol w:w="1280"/>
      </w:tblGrid>
      <w:tr w:rsidR="00C74CB8" w:rsidRPr="002812D1" w:rsidTr="00FA619B">
        <w:trPr>
          <w:trHeight w:val="600"/>
        </w:trPr>
        <w:tc>
          <w:tcPr>
            <w:tcW w:w="4312" w:type="dxa"/>
            <w:tcBorders>
              <w:top w:val="single" w:sz="4" w:space="0" w:color="auto"/>
              <w:bottom w:val="single" w:sz="4" w:space="0" w:color="auto"/>
            </w:tcBorders>
            <w:shd w:val="clear" w:color="auto" w:fill="auto"/>
            <w:noWrap/>
            <w:vAlign w:val="center"/>
            <w:hideMark/>
          </w:tcPr>
          <w:p w:rsidR="00C74CB8" w:rsidRPr="002812D1" w:rsidRDefault="00C74CB8" w:rsidP="0093540C">
            <w:pPr>
              <w:spacing w:line="240" w:lineRule="auto"/>
              <w:rPr>
                <w:rFonts w:ascii="Times New Roman" w:eastAsia="Times New Roman" w:hAnsi="Times New Roman" w:cs="Times New Roman"/>
                <w:b/>
                <w:bCs/>
                <w:color w:val="000000"/>
                <w:lang w:eastAsia="en-GB"/>
              </w:rPr>
            </w:pPr>
            <w:r w:rsidRPr="002812D1">
              <w:rPr>
                <w:rFonts w:ascii="Times New Roman" w:eastAsia="Times New Roman" w:hAnsi="Times New Roman" w:cs="Times New Roman"/>
                <w:b/>
                <w:bCs/>
                <w:color w:val="000000"/>
                <w:lang w:eastAsia="en-GB"/>
              </w:rPr>
              <w:t> </w:t>
            </w:r>
            <w:r w:rsidRPr="00B60A29">
              <w:rPr>
                <w:rFonts w:ascii="Times New Roman" w:eastAsia="Times New Roman" w:hAnsi="Times New Roman" w:cs="Times New Roman"/>
                <w:bCs/>
                <w:color w:val="000000"/>
                <w:lang w:eastAsia="en-GB"/>
              </w:rPr>
              <w:t>Before the index date</w:t>
            </w:r>
          </w:p>
        </w:tc>
        <w:tc>
          <w:tcPr>
            <w:tcW w:w="1369" w:type="dxa"/>
            <w:tcBorders>
              <w:top w:val="single" w:sz="4" w:space="0" w:color="auto"/>
              <w:bottom w:val="single" w:sz="4" w:space="0" w:color="auto"/>
            </w:tcBorders>
            <w:shd w:val="clear" w:color="auto" w:fill="auto"/>
            <w:vAlign w:val="bottom"/>
            <w:hideMark/>
          </w:tcPr>
          <w:p w:rsidR="00C74CB8" w:rsidRDefault="00C74CB8" w:rsidP="0093540C">
            <w:pPr>
              <w:spacing w:line="240" w:lineRule="auto"/>
              <w:jc w:val="center"/>
              <w:rPr>
                <w:rFonts w:ascii="Times New Roman" w:eastAsia="Times New Roman" w:hAnsi="Times New Roman" w:cs="Times New Roman"/>
                <w:lang w:eastAsia="en-GB"/>
              </w:rPr>
            </w:pPr>
            <w:r w:rsidRPr="004B3515">
              <w:rPr>
                <w:rFonts w:ascii="Times New Roman" w:eastAsia="Times New Roman" w:hAnsi="Times New Roman" w:cs="Times New Roman"/>
                <w:bCs/>
                <w:color w:val="000000"/>
                <w:lang w:eastAsia="en-GB"/>
              </w:rPr>
              <w:t>Cases</w:t>
            </w:r>
            <w:r w:rsidRPr="002812D1">
              <w:rPr>
                <w:rFonts w:ascii="Times New Roman" w:eastAsia="Times New Roman" w:hAnsi="Times New Roman" w:cs="Times New Roman"/>
                <w:bCs/>
                <w:color w:val="000000"/>
                <w:lang w:eastAsia="en-GB"/>
              </w:rPr>
              <w:t xml:space="preserve"> (n=1348)</w:t>
            </w:r>
            <w:r w:rsidRPr="002812D1">
              <w:rPr>
                <w:rFonts w:ascii="Times New Roman" w:eastAsia="Times New Roman" w:hAnsi="Times New Roman" w:cs="Times New Roman"/>
                <w:lang w:eastAsia="en-GB"/>
              </w:rPr>
              <w:t xml:space="preserve"> </w:t>
            </w:r>
          </w:p>
          <w:p w:rsidR="00C74CB8" w:rsidRPr="002812D1" w:rsidRDefault="00C74CB8" w:rsidP="0093540C">
            <w:pPr>
              <w:spacing w:line="240" w:lineRule="auto"/>
              <w:jc w:val="center"/>
              <w:rPr>
                <w:rFonts w:ascii="Times New Roman" w:eastAsia="Times New Roman" w:hAnsi="Times New Roman" w:cs="Times New Roman"/>
                <w:bCs/>
                <w:color w:val="000000"/>
                <w:lang w:eastAsia="en-GB"/>
              </w:rPr>
            </w:pPr>
            <w:r w:rsidRPr="002812D1">
              <w:rPr>
                <w:rFonts w:ascii="Times New Roman" w:eastAsia="Times New Roman" w:hAnsi="Times New Roman" w:cs="Times New Roman"/>
                <w:lang w:eastAsia="en-GB"/>
              </w:rPr>
              <w:t>N (%)</w:t>
            </w:r>
          </w:p>
        </w:tc>
        <w:tc>
          <w:tcPr>
            <w:tcW w:w="1335" w:type="dxa"/>
            <w:tcBorders>
              <w:top w:val="single" w:sz="4" w:space="0" w:color="auto"/>
              <w:bottom w:val="single" w:sz="4" w:space="0" w:color="auto"/>
            </w:tcBorders>
            <w:shd w:val="clear" w:color="auto" w:fill="auto"/>
            <w:vAlign w:val="bottom"/>
            <w:hideMark/>
          </w:tcPr>
          <w:p w:rsidR="00C74CB8" w:rsidRDefault="00C74CB8" w:rsidP="0093540C">
            <w:pPr>
              <w:spacing w:line="240" w:lineRule="auto"/>
              <w:jc w:val="center"/>
              <w:rPr>
                <w:rFonts w:ascii="Times New Roman" w:eastAsia="Times New Roman" w:hAnsi="Times New Roman" w:cs="Times New Roman"/>
                <w:lang w:eastAsia="en-GB"/>
              </w:rPr>
            </w:pPr>
            <w:r w:rsidRPr="004B3515">
              <w:rPr>
                <w:rFonts w:ascii="Times New Roman" w:eastAsia="Times New Roman" w:hAnsi="Times New Roman" w:cs="Times New Roman"/>
                <w:bCs/>
                <w:color w:val="000000"/>
                <w:lang w:eastAsia="en-GB"/>
              </w:rPr>
              <w:t xml:space="preserve">Controls </w:t>
            </w:r>
            <w:r w:rsidRPr="002812D1">
              <w:rPr>
                <w:rFonts w:ascii="Times New Roman" w:eastAsia="Times New Roman" w:hAnsi="Times New Roman" w:cs="Times New Roman"/>
                <w:bCs/>
                <w:color w:val="000000"/>
                <w:lang w:eastAsia="en-GB"/>
              </w:rPr>
              <w:t xml:space="preserve">            (n=6652)</w:t>
            </w:r>
            <w:r w:rsidRPr="002812D1">
              <w:rPr>
                <w:rFonts w:ascii="Times New Roman" w:eastAsia="Times New Roman" w:hAnsi="Times New Roman" w:cs="Times New Roman"/>
                <w:lang w:eastAsia="en-GB"/>
              </w:rPr>
              <w:t xml:space="preserve"> </w:t>
            </w:r>
          </w:p>
          <w:p w:rsidR="00C74CB8" w:rsidRPr="002812D1" w:rsidRDefault="00C74CB8" w:rsidP="0093540C">
            <w:pPr>
              <w:spacing w:line="240" w:lineRule="auto"/>
              <w:jc w:val="center"/>
              <w:rPr>
                <w:rFonts w:ascii="Times New Roman" w:eastAsia="Times New Roman" w:hAnsi="Times New Roman" w:cs="Times New Roman"/>
                <w:bCs/>
                <w:color w:val="000000"/>
                <w:lang w:eastAsia="en-GB"/>
              </w:rPr>
            </w:pPr>
            <w:r w:rsidRPr="002812D1">
              <w:rPr>
                <w:rFonts w:ascii="Times New Roman" w:eastAsia="Times New Roman" w:hAnsi="Times New Roman" w:cs="Times New Roman"/>
                <w:lang w:eastAsia="en-GB"/>
              </w:rPr>
              <w:t>N (%)</w:t>
            </w:r>
          </w:p>
        </w:tc>
        <w:tc>
          <w:tcPr>
            <w:tcW w:w="960" w:type="dxa"/>
            <w:tcBorders>
              <w:top w:val="single" w:sz="4" w:space="0" w:color="auto"/>
              <w:bottom w:val="single" w:sz="4" w:space="0" w:color="auto"/>
            </w:tcBorders>
            <w:shd w:val="clear" w:color="auto" w:fill="auto"/>
            <w:noWrap/>
            <w:vAlign w:val="center"/>
            <w:hideMark/>
          </w:tcPr>
          <w:p w:rsidR="00C74CB8" w:rsidRPr="002812D1" w:rsidRDefault="00C74CB8" w:rsidP="0093540C">
            <w:pPr>
              <w:spacing w:line="240" w:lineRule="auto"/>
              <w:jc w:val="center"/>
              <w:rPr>
                <w:rFonts w:ascii="Times New Roman" w:eastAsia="Times New Roman" w:hAnsi="Times New Roman" w:cs="Times New Roman"/>
                <w:bCs/>
                <w:color w:val="000000"/>
                <w:lang w:eastAsia="en-GB"/>
              </w:rPr>
            </w:pPr>
            <w:r w:rsidRPr="002812D1">
              <w:rPr>
                <w:rFonts w:ascii="Times New Roman" w:eastAsia="Times New Roman" w:hAnsi="Times New Roman" w:cs="Times New Roman"/>
                <w:bCs/>
                <w:color w:val="000000"/>
                <w:lang w:eastAsia="en-GB"/>
              </w:rPr>
              <w:t>OR</w:t>
            </w:r>
            <w:r w:rsidR="00FA619B">
              <w:rPr>
                <w:rFonts w:ascii="Times New Roman" w:eastAsia="Times New Roman" w:hAnsi="Times New Roman" w:cs="Times New Roman"/>
                <w:bCs/>
                <w:color w:val="000000"/>
                <w:lang w:eastAsia="en-GB"/>
              </w:rPr>
              <w:t>*</w:t>
            </w:r>
          </w:p>
        </w:tc>
        <w:tc>
          <w:tcPr>
            <w:tcW w:w="1693" w:type="dxa"/>
            <w:tcBorders>
              <w:top w:val="single" w:sz="4" w:space="0" w:color="auto"/>
              <w:bottom w:val="single" w:sz="4" w:space="0" w:color="auto"/>
            </w:tcBorders>
            <w:shd w:val="clear" w:color="auto" w:fill="auto"/>
            <w:noWrap/>
            <w:vAlign w:val="center"/>
            <w:hideMark/>
          </w:tcPr>
          <w:p w:rsidR="00C74CB8" w:rsidRPr="002812D1" w:rsidRDefault="00C74CB8" w:rsidP="0093540C">
            <w:pPr>
              <w:spacing w:line="240" w:lineRule="auto"/>
              <w:jc w:val="center"/>
              <w:rPr>
                <w:rFonts w:ascii="Times New Roman" w:eastAsia="Times New Roman" w:hAnsi="Times New Roman" w:cs="Times New Roman"/>
                <w:bCs/>
                <w:color w:val="000000"/>
                <w:lang w:eastAsia="en-GB"/>
              </w:rPr>
            </w:pPr>
            <w:r w:rsidRPr="002812D1">
              <w:rPr>
                <w:rFonts w:ascii="Times New Roman" w:eastAsia="Times New Roman" w:hAnsi="Times New Roman" w:cs="Times New Roman"/>
                <w:bCs/>
                <w:color w:val="000000"/>
                <w:lang w:eastAsia="en-GB"/>
              </w:rPr>
              <w:t>95 % CI</w:t>
            </w:r>
          </w:p>
        </w:tc>
        <w:tc>
          <w:tcPr>
            <w:tcW w:w="1080" w:type="dxa"/>
            <w:tcBorders>
              <w:top w:val="single" w:sz="4" w:space="0" w:color="auto"/>
              <w:bottom w:val="single" w:sz="4" w:space="0" w:color="auto"/>
            </w:tcBorders>
            <w:shd w:val="clear" w:color="auto" w:fill="auto"/>
            <w:noWrap/>
            <w:vAlign w:val="center"/>
            <w:hideMark/>
          </w:tcPr>
          <w:p w:rsidR="00C74CB8" w:rsidRPr="002812D1" w:rsidRDefault="00C74CB8" w:rsidP="0093540C">
            <w:pPr>
              <w:spacing w:line="240" w:lineRule="auto"/>
              <w:jc w:val="center"/>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P</w:t>
            </w:r>
            <w:r w:rsidRPr="002812D1">
              <w:rPr>
                <w:rFonts w:ascii="Times New Roman" w:eastAsia="Times New Roman" w:hAnsi="Times New Roman" w:cs="Times New Roman"/>
                <w:bCs/>
                <w:color w:val="000000"/>
                <w:lang w:eastAsia="en-GB"/>
              </w:rPr>
              <w:t>-value</w:t>
            </w:r>
          </w:p>
        </w:tc>
        <w:tc>
          <w:tcPr>
            <w:tcW w:w="1280" w:type="dxa"/>
            <w:tcBorders>
              <w:top w:val="single" w:sz="4" w:space="0" w:color="auto"/>
              <w:bottom w:val="single" w:sz="4" w:space="0" w:color="auto"/>
            </w:tcBorders>
          </w:tcPr>
          <w:p w:rsidR="00C74CB8" w:rsidRDefault="00C74CB8" w:rsidP="0093540C">
            <w:pPr>
              <w:spacing w:line="240" w:lineRule="auto"/>
              <w:jc w:val="center"/>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Attributable fraction in the exposed</w:t>
            </w:r>
          </w:p>
        </w:tc>
      </w:tr>
      <w:tr w:rsidR="00C74CB8" w:rsidRPr="002812D1" w:rsidTr="00FA619B">
        <w:trPr>
          <w:trHeight w:val="300"/>
        </w:trPr>
        <w:tc>
          <w:tcPr>
            <w:tcW w:w="4312" w:type="dxa"/>
            <w:shd w:val="clear" w:color="auto" w:fill="auto"/>
            <w:noWrap/>
            <w:vAlign w:val="bottom"/>
            <w:hideMark/>
          </w:tcPr>
          <w:p w:rsidR="00C74CB8" w:rsidRPr="002812D1" w:rsidRDefault="00C74CB8" w:rsidP="0093540C">
            <w:pPr>
              <w:spacing w:line="240" w:lineRule="auto"/>
              <w:rPr>
                <w:rFonts w:ascii="Times New Roman" w:eastAsia="Times New Roman" w:hAnsi="Times New Roman" w:cs="Times New Roman"/>
                <w:color w:val="000000"/>
                <w:lang w:eastAsia="en-GB"/>
              </w:rPr>
            </w:pPr>
            <w:r w:rsidRPr="002812D1">
              <w:rPr>
                <w:rFonts w:ascii="Times New Roman" w:eastAsia="Times New Roman" w:hAnsi="Times New Roman" w:cs="Times New Roman"/>
                <w:color w:val="000000"/>
                <w:lang w:eastAsia="en-GB"/>
              </w:rPr>
              <w:t xml:space="preserve">Never </w:t>
            </w:r>
            <w:r>
              <w:rPr>
                <w:rFonts w:ascii="Times New Roman" w:eastAsia="Times New Roman" w:hAnsi="Times New Roman" w:cs="Times New Roman"/>
                <w:color w:val="000000"/>
                <w:lang w:eastAsia="en-GB"/>
              </w:rPr>
              <w:t>prescribed any of these drugs</w:t>
            </w:r>
          </w:p>
        </w:tc>
        <w:tc>
          <w:tcPr>
            <w:tcW w:w="1369"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982 (72.8)</w:t>
            </w:r>
          </w:p>
        </w:tc>
        <w:tc>
          <w:tcPr>
            <w:tcW w:w="1335"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5336 (80.2)</w:t>
            </w:r>
          </w:p>
        </w:tc>
        <w:tc>
          <w:tcPr>
            <w:tcW w:w="960"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1</w:t>
            </w:r>
          </w:p>
        </w:tc>
        <w:tc>
          <w:tcPr>
            <w:tcW w:w="1693"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 </w:t>
            </w:r>
          </w:p>
        </w:tc>
        <w:tc>
          <w:tcPr>
            <w:tcW w:w="1080"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p>
        </w:tc>
        <w:tc>
          <w:tcPr>
            <w:tcW w:w="1280" w:type="dxa"/>
          </w:tcPr>
          <w:p w:rsidR="00C74CB8" w:rsidRPr="002812D1" w:rsidRDefault="00C74CB8" w:rsidP="0093540C">
            <w:pPr>
              <w:spacing w:line="240" w:lineRule="auto"/>
              <w:jc w:val="center"/>
              <w:rPr>
                <w:rFonts w:ascii="Times New Roman" w:eastAsia="Times New Roman" w:hAnsi="Times New Roman" w:cs="Times New Roman"/>
                <w:lang w:eastAsia="en-GB"/>
              </w:rPr>
            </w:pPr>
          </w:p>
        </w:tc>
      </w:tr>
      <w:tr w:rsidR="00C74CB8" w:rsidRPr="002812D1" w:rsidTr="00FA619B">
        <w:trPr>
          <w:trHeight w:val="300"/>
        </w:trPr>
        <w:tc>
          <w:tcPr>
            <w:tcW w:w="4312" w:type="dxa"/>
            <w:shd w:val="clear" w:color="auto" w:fill="auto"/>
            <w:noWrap/>
            <w:vAlign w:val="bottom"/>
            <w:hideMark/>
          </w:tcPr>
          <w:p w:rsidR="00C74CB8" w:rsidRPr="002812D1" w:rsidRDefault="00C74CB8" w:rsidP="0093540C">
            <w:pPr>
              <w:spacing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Prescribed one or more of these drugs</w:t>
            </w:r>
          </w:p>
        </w:tc>
        <w:tc>
          <w:tcPr>
            <w:tcW w:w="1369"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366 (27.2)</w:t>
            </w:r>
          </w:p>
        </w:tc>
        <w:tc>
          <w:tcPr>
            <w:tcW w:w="1335"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1316 (19.8)</w:t>
            </w:r>
          </w:p>
        </w:tc>
        <w:tc>
          <w:tcPr>
            <w:tcW w:w="960" w:type="dxa"/>
            <w:shd w:val="clear" w:color="auto" w:fill="auto"/>
            <w:noWrap/>
            <w:vAlign w:val="bottom"/>
            <w:hideMark/>
          </w:tcPr>
          <w:p w:rsidR="00C74CB8" w:rsidRPr="002812D1" w:rsidRDefault="00C74CB8" w:rsidP="00C204EA">
            <w:pPr>
              <w:spacing w:line="240" w:lineRule="auto"/>
              <w:jc w:val="center"/>
              <w:rPr>
                <w:rFonts w:ascii="Times New Roman" w:eastAsia="Times New Roman" w:hAnsi="Times New Roman" w:cs="Times New Roman"/>
                <w:color w:val="000000" w:themeColor="text1"/>
                <w:lang w:eastAsia="en-GB"/>
              </w:rPr>
            </w:pPr>
            <w:r w:rsidRPr="002812D1">
              <w:rPr>
                <w:rFonts w:ascii="Times New Roman" w:eastAsia="Times New Roman" w:hAnsi="Times New Roman" w:cs="Times New Roman"/>
                <w:color w:val="000000" w:themeColor="text1"/>
                <w:lang w:eastAsia="en-GB"/>
              </w:rPr>
              <w:t>1.5</w:t>
            </w:r>
            <w:r w:rsidR="00C204EA">
              <w:rPr>
                <w:rFonts w:ascii="Times New Roman" w:eastAsia="Times New Roman" w:hAnsi="Times New Roman" w:cs="Times New Roman"/>
                <w:color w:val="000000" w:themeColor="text1"/>
                <w:lang w:eastAsia="en-GB"/>
              </w:rPr>
              <w:t>7</w:t>
            </w:r>
          </w:p>
        </w:tc>
        <w:tc>
          <w:tcPr>
            <w:tcW w:w="1693" w:type="dxa"/>
            <w:shd w:val="clear" w:color="auto" w:fill="auto"/>
            <w:noWrap/>
            <w:vAlign w:val="bottom"/>
            <w:hideMark/>
          </w:tcPr>
          <w:p w:rsidR="00C74CB8" w:rsidRPr="002812D1" w:rsidRDefault="00FA619B" w:rsidP="0093540C">
            <w:pPr>
              <w:spacing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(1.36-1.81)</w:t>
            </w:r>
          </w:p>
        </w:tc>
        <w:tc>
          <w:tcPr>
            <w:tcW w:w="1080"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&lt;0.001</w:t>
            </w:r>
          </w:p>
        </w:tc>
        <w:tc>
          <w:tcPr>
            <w:tcW w:w="1280" w:type="dxa"/>
          </w:tcPr>
          <w:p w:rsidR="00C74CB8" w:rsidRDefault="00FA619B" w:rsidP="0093540C">
            <w:pPr>
              <w:spacing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36.3</w:t>
            </w:r>
            <w:r w:rsidR="00C74CB8">
              <w:rPr>
                <w:rFonts w:ascii="Times New Roman" w:eastAsia="Times New Roman" w:hAnsi="Times New Roman" w:cs="Times New Roman"/>
                <w:lang w:eastAsia="en-GB"/>
              </w:rPr>
              <w:t>%</w:t>
            </w:r>
          </w:p>
        </w:tc>
      </w:tr>
      <w:tr w:rsidR="00C74CB8" w:rsidRPr="002812D1" w:rsidTr="00FA619B">
        <w:trPr>
          <w:trHeight w:val="300"/>
        </w:trPr>
        <w:tc>
          <w:tcPr>
            <w:tcW w:w="4312" w:type="dxa"/>
            <w:shd w:val="clear" w:color="auto" w:fill="auto"/>
            <w:noWrap/>
            <w:vAlign w:val="bottom"/>
            <w:hideMark/>
          </w:tcPr>
          <w:p w:rsidR="00C74CB8" w:rsidRPr="002812D1" w:rsidRDefault="00C74CB8" w:rsidP="0093540C">
            <w:pPr>
              <w:spacing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Prescribed</w:t>
            </w:r>
          </w:p>
        </w:tc>
        <w:tc>
          <w:tcPr>
            <w:tcW w:w="1369"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p>
        </w:tc>
        <w:tc>
          <w:tcPr>
            <w:tcW w:w="1335"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p>
        </w:tc>
        <w:tc>
          <w:tcPr>
            <w:tcW w:w="960"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color w:val="000000" w:themeColor="text1"/>
                <w:lang w:eastAsia="en-GB"/>
              </w:rPr>
            </w:pPr>
          </w:p>
        </w:tc>
        <w:tc>
          <w:tcPr>
            <w:tcW w:w="1693"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p>
        </w:tc>
        <w:tc>
          <w:tcPr>
            <w:tcW w:w="1080" w:type="dxa"/>
            <w:shd w:val="clear" w:color="auto" w:fill="auto"/>
            <w:noWrap/>
            <w:vAlign w:val="bottom"/>
            <w:hideMark/>
          </w:tcPr>
          <w:p w:rsidR="00C74CB8" w:rsidRPr="002812D1" w:rsidRDefault="00C74CB8" w:rsidP="0093540C">
            <w:pPr>
              <w:spacing w:line="240" w:lineRule="auto"/>
              <w:jc w:val="center"/>
              <w:rPr>
                <w:rFonts w:ascii="Times New Roman" w:eastAsia="Times New Roman" w:hAnsi="Times New Roman" w:cs="Times New Roman"/>
                <w:lang w:eastAsia="en-GB"/>
              </w:rPr>
            </w:pPr>
          </w:p>
        </w:tc>
        <w:tc>
          <w:tcPr>
            <w:tcW w:w="1280" w:type="dxa"/>
          </w:tcPr>
          <w:p w:rsidR="00C74CB8" w:rsidRPr="002812D1" w:rsidRDefault="00C74CB8" w:rsidP="0093540C">
            <w:pPr>
              <w:spacing w:line="240" w:lineRule="auto"/>
              <w:jc w:val="center"/>
              <w:rPr>
                <w:rFonts w:ascii="Times New Roman" w:eastAsia="Times New Roman" w:hAnsi="Times New Roman" w:cs="Times New Roman"/>
                <w:lang w:eastAsia="en-GB"/>
              </w:rPr>
            </w:pPr>
          </w:p>
        </w:tc>
      </w:tr>
      <w:tr w:rsidR="00FA619B" w:rsidRPr="002812D1" w:rsidTr="00FA619B">
        <w:trPr>
          <w:trHeight w:val="300"/>
        </w:trPr>
        <w:tc>
          <w:tcPr>
            <w:tcW w:w="4312" w:type="dxa"/>
            <w:shd w:val="clear" w:color="auto" w:fill="auto"/>
            <w:noWrap/>
            <w:vAlign w:val="bottom"/>
            <w:hideMark/>
          </w:tcPr>
          <w:p w:rsidR="00FA619B" w:rsidRPr="00B60A29" w:rsidRDefault="00FA619B" w:rsidP="0093540C">
            <w:pPr>
              <w:pStyle w:val="ListParagraph"/>
              <w:numPr>
                <w:ilvl w:val="0"/>
                <w:numId w:val="15"/>
              </w:numPr>
              <w:spacing w:line="240" w:lineRule="auto"/>
              <w:rPr>
                <w:rFonts w:ascii="Times New Roman" w:eastAsia="Times New Roman" w:hAnsi="Times New Roman" w:cs="Times New Roman"/>
                <w:color w:val="000000"/>
                <w:lang w:eastAsia="en-GB"/>
              </w:rPr>
            </w:pPr>
            <w:r w:rsidRPr="00B60A29">
              <w:rPr>
                <w:rFonts w:ascii="Times New Roman" w:eastAsia="Times New Roman" w:hAnsi="Times New Roman" w:cs="Times New Roman"/>
                <w:color w:val="000000"/>
                <w:lang w:eastAsia="en-GB"/>
              </w:rPr>
              <w:t>Antidepressant</w:t>
            </w:r>
            <w:r>
              <w:rPr>
                <w:rFonts w:ascii="Times New Roman" w:eastAsia="Times New Roman" w:hAnsi="Times New Roman" w:cs="Times New Roman"/>
                <w:color w:val="000000"/>
                <w:lang w:eastAsia="en-GB"/>
              </w:rPr>
              <w:t>s</w:t>
            </w:r>
          </w:p>
        </w:tc>
        <w:tc>
          <w:tcPr>
            <w:tcW w:w="1369" w:type="dxa"/>
            <w:shd w:val="clear" w:color="auto" w:fill="auto"/>
            <w:noWrap/>
            <w:vAlign w:val="bottom"/>
            <w:hideMark/>
          </w:tcPr>
          <w:p w:rsidR="00FA619B" w:rsidRPr="002812D1" w:rsidRDefault="00FA619B" w:rsidP="0093540C">
            <w:pPr>
              <w:spacing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244 (18.1)</w:t>
            </w:r>
          </w:p>
        </w:tc>
        <w:tc>
          <w:tcPr>
            <w:tcW w:w="1335" w:type="dxa"/>
            <w:shd w:val="clear" w:color="auto" w:fill="auto"/>
            <w:noWrap/>
            <w:vAlign w:val="bottom"/>
            <w:hideMark/>
          </w:tcPr>
          <w:p w:rsidR="00FA619B" w:rsidRPr="002812D1" w:rsidRDefault="00FA619B" w:rsidP="0093540C">
            <w:pPr>
              <w:spacing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945 (14.2)</w:t>
            </w:r>
          </w:p>
        </w:tc>
        <w:tc>
          <w:tcPr>
            <w:tcW w:w="960" w:type="dxa"/>
            <w:shd w:val="clear" w:color="auto" w:fill="auto"/>
            <w:noWrap/>
            <w:vAlign w:val="bottom"/>
            <w:hideMark/>
          </w:tcPr>
          <w:p w:rsidR="00FA619B" w:rsidRPr="002812D1" w:rsidRDefault="00FA619B" w:rsidP="00FA619B">
            <w:pPr>
              <w:spacing w:line="240" w:lineRule="auto"/>
              <w:jc w:val="center"/>
              <w:rPr>
                <w:rFonts w:ascii="Times New Roman" w:eastAsia="Times New Roman" w:hAnsi="Times New Roman" w:cs="Times New Roman"/>
                <w:color w:val="000000" w:themeColor="text1"/>
                <w:lang w:eastAsia="en-GB"/>
              </w:rPr>
            </w:pPr>
            <w:r w:rsidRPr="002812D1">
              <w:rPr>
                <w:rFonts w:ascii="Times New Roman" w:eastAsia="Times New Roman" w:hAnsi="Times New Roman" w:cs="Times New Roman"/>
                <w:color w:val="000000" w:themeColor="text1"/>
                <w:lang w:eastAsia="en-GB"/>
              </w:rPr>
              <w:t>1.3</w:t>
            </w:r>
            <w:r>
              <w:rPr>
                <w:rFonts w:ascii="Times New Roman" w:eastAsia="Times New Roman" w:hAnsi="Times New Roman" w:cs="Times New Roman"/>
                <w:color w:val="000000" w:themeColor="text1"/>
                <w:lang w:eastAsia="en-GB"/>
              </w:rPr>
              <w:t>7</w:t>
            </w:r>
          </w:p>
        </w:tc>
        <w:tc>
          <w:tcPr>
            <w:tcW w:w="1693" w:type="dxa"/>
            <w:shd w:val="clear" w:color="auto" w:fill="auto"/>
            <w:noWrap/>
            <w:vAlign w:val="bottom"/>
            <w:hideMark/>
          </w:tcPr>
          <w:p w:rsidR="00FA619B" w:rsidRPr="002812D1" w:rsidRDefault="00FA619B" w:rsidP="00E73246">
            <w:pPr>
              <w:spacing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(1.17-1.62)</w:t>
            </w:r>
          </w:p>
        </w:tc>
        <w:tc>
          <w:tcPr>
            <w:tcW w:w="1080" w:type="dxa"/>
            <w:shd w:val="clear" w:color="auto" w:fill="auto"/>
            <w:noWrap/>
            <w:vAlign w:val="bottom"/>
            <w:hideMark/>
          </w:tcPr>
          <w:p w:rsidR="00FA619B" w:rsidRPr="002812D1" w:rsidRDefault="00FA619B" w:rsidP="0093540C">
            <w:pPr>
              <w:spacing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&lt;0.001</w:t>
            </w:r>
          </w:p>
        </w:tc>
        <w:tc>
          <w:tcPr>
            <w:tcW w:w="1280" w:type="dxa"/>
          </w:tcPr>
          <w:p w:rsidR="00FA619B" w:rsidRDefault="00FA619B" w:rsidP="00E73246">
            <w:pPr>
              <w:spacing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27.0%</w:t>
            </w:r>
          </w:p>
        </w:tc>
      </w:tr>
      <w:tr w:rsidR="00FA619B" w:rsidRPr="002812D1" w:rsidTr="00FA619B">
        <w:trPr>
          <w:trHeight w:val="300"/>
        </w:trPr>
        <w:tc>
          <w:tcPr>
            <w:tcW w:w="4312" w:type="dxa"/>
            <w:shd w:val="clear" w:color="auto" w:fill="auto"/>
            <w:noWrap/>
            <w:vAlign w:val="bottom"/>
            <w:hideMark/>
          </w:tcPr>
          <w:p w:rsidR="00FA619B" w:rsidRPr="00B60A29" w:rsidRDefault="00FA619B" w:rsidP="0093540C">
            <w:pPr>
              <w:pStyle w:val="ListParagraph"/>
              <w:numPr>
                <w:ilvl w:val="0"/>
                <w:numId w:val="15"/>
              </w:numPr>
              <w:spacing w:line="240" w:lineRule="auto"/>
              <w:rPr>
                <w:rFonts w:ascii="Times New Roman" w:eastAsia="Times New Roman" w:hAnsi="Times New Roman" w:cs="Times New Roman"/>
                <w:color w:val="000000"/>
                <w:lang w:eastAsia="en-GB"/>
              </w:rPr>
            </w:pPr>
            <w:r w:rsidRPr="00B60A29">
              <w:rPr>
                <w:rFonts w:ascii="Times New Roman" w:eastAsia="Times New Roman" w:hAnsi="Times New Roman" w:cs="Times New Roman"/>
                <w:color w:val="000000"/>
                <w:lang w:eastAsia="en-GB"/>
              </w:rPr>
              <w:t>Hypnotic</w:t>
            </w:r>
            <w:r>
              <w:rPr>
                <w:rFonts w:ascii="Times New Roman" w:eastAsia="Times New Roman" w:hAnsi="Times New Roman" w:cs="Times New Roman"/>
                <w:color w:val="000000"/>
                <w:lang w:eastAsia="en-GB"/>
              </w:rPr>
              <w:t>s</w:t>
            </w:r>
          </w:p>
        </w:tc>
        <w:tc>
          <w:tcPr>
            <w:tcW w:w="1369" w:type="dxa"/>
            <w:shd w:val="clear" w:color="auto" w:fill="auto"/>
            <w:noWrap/>
            <w:vAlign w:val="bottom"/>
            <w:hideMark/>
          </w:tcPr>
          <w:p w:rsidR="00FA619B" w:rsidRPr="002812D1" w:rsidRDefault="00FA619B" w:rsidP="0093540C">
            <w:pPr>
              <w:spacing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201 (14.9)</w:t>
            </w:r>
          </w:p>
        </w:tc>
        <w:tc>
          <w:tcPr>
            <w:tcW w:w="1335" w:type="dxa"/>
            <w:shd w:val="clear" w:color="auto" w:fill="auto"/>
            <w:noWrap/>
            <w:vAlign w:val="bottom"/>
            <w:hideMark/>
          </w:tcPr>
          <w:p w:rsidR="00FA619B" w:rsidRPr="002812D1" w:rsidRDefault="00FA619B" w:rsidP="0093540C">
            <w:pPr>
              <w:spacing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659 (9.9)</w:t>
            </w:r>
          </w:p>
        </w:tc>
        <w:tc>
          <w:tcPr>
            <w:tcW w:w="960" w:type="dxa"/>
            <w:shd w:val="clear" w:color="auto" w:fill="auto"/>
            <w:noWrap/>
            <w:vAlign w:val="bottom"/>
            <w:hideMark/>
          </w:tcPr>
          <w:p w:rsidR="00FA619B" w:rsidRPr="002812D1" w:rsidRDefault="00FA619B" w:rsidP="00FA619B">
            <w:pPr>
              <w:spacing w:line="240" w:lineRule="auto"/>
              <w:jc w:val="center"/>
              <w:rPr>
                <w:rFonts w:ascii="Times New Roman" w:eastAsia="Times New Roman" w:hAnsi="Times New Roman" w:cs="Times New Roman"/>
                <w:color w:val="000000" w:themeColor="text1"/>
                <w:lang w:eastAsia="en-GB"/>
              </w:rPr>
            </w:pPr>
            <w:r w:rsidRPr="002812D1">
              <w:rPr>
                <w:rFonts w:ascii="Times New Roman" w:eastAsia="Times New Roman" w:hAnsi="Times New Roman" w:cs="Times New Roman"/>
                <w:color w:val="000000" w:themeColor="text1"/>
                <w:lang w:eastAsia="en-GB"/>
              </w:rPr>
              <w:t>1.6</w:t>
            </w:r>
            <w:r>
              <w:rPr>
                <w:rFonts w:ascii="Times New Roman" w:eastAsia="Times New Roman" w:hAnsi="Times New Roman" w:cs="Times New Roman"/>
                <w:color w:val="000000" w:themeColor="text1"/>
                <w:lang w:eastAsia="en-GB"/>
              </w:rPr>
              <w:t>3</w:t>
            </w:r>
          </w:p>
        </w:tc>
        <w:tc>
          <w:tcPr>
            <w:tcW w:w="1693" w:type="dxa"/>
            <w:shd w:val="clear" w:color="auto" w:fill="auto"/>
            <w:noWrap/>
            <w:vAlign w:val="bottom"/>
            <w:hideMark/>
          </w:tcPr>
          <w:p w:rsidR="00FA619B" w:rsidRPr="002812D1" w:rsidRDefault="00FA619B" w:rsidP="00E73246">
            <w:pPr>
              <w:spacing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(1.37-1.94)</w:t>
            </w:r>
          </w:p>
        </w:tc>
        <w:tc>
          <w:tcPr>
            <w:tcW w:w="1080" w:type="dxa"/>
            <w:shd w:val="clear" w:color="auto" w:fill="auto"/>
            <w:noWrap/>
            <w:vAlign w:val="bottom"/>
            <w:hideMark/>
          </w:tcPr>
          <w:p w:rsidR="00FA619B" w:rsidRPr="002812D1" w:rsidRDefault="00FA619B" w:rsidP="0093540C">
            <w:pPr>
              <w:spacing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&lt;0.001</w:t>
            </w:r>
          </w:p>
        </w:tc>
        <w:tc>
          <w:tcPr>
            <w:tcW w:w="1280" w:type="dxa"/>
          </w:tcPr>
          <w:p w:rsidR="00FA619B" w:rsidRDefault="00FA619B" w:rsidP="00E73246">
            <w:pPr>
              <w:spacing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38.7%</w:t>
            </w:r>
          </w:p>
        </w:tc>
      </w:tr>
      <w:tr w:rsidR="00FA619B" w:rsidRPr="002812D1" w:rsidTr="00FA619B">
        <w:trPr>
          <w:trHeight w:val="300"/>
        </w:trPr>
        <w:tc>
          <w:tcPr>
            <w:tcW w:w="4312" w:type="dxa"/>
            <w:tcBorders>
              <w:bottom w:val="single" w:sz="4" w:space="0" w:color="auto"/>
            </w:tcBorders>
            <w:shd w:val="clear" w:color="auto" w:fill="auto"/>
            <w:noWrap/>
            <w:vAlign w:val="bottom"/>
            <w:hideMark/>
          </w:tcPr>
          <w:p w:rsidR="00FA619B" w:rsidRPr="00B60A29" w:rsidRDefault="00FA619B" w:rsidP="0093540C">
            <w:pPr>
              <w:pStyle w:val="ListParagraph"/>
              <w:numPr>
                <w:ilvl w:val="0"/>
                <w:numId w:val="15"/>
              </w:numPr>
              <w:spacing w:after="120" w:line="240" w:lineRule="auto"/>
              <w:rPr>
                <w:rFonts w:ascii="Times New Roman" w:eastAsia="Times New Roman" w:hAnsi="Times New Roman" w:cs="Times New Roman"/>
                <w:color w:val="000000"/>
                <w:lang w:eastAsia="en-GB"/>
              </w:rPr>
            </w:pPr>
            <w:r w:rsidRPr="00B60A29">
              <w:rPr>
                <w:rFonts w:ascii="Times New Roman" w:eastAsia="Times New Roman" w:hAnsi="Times New Roman" w:cs="Times New Roman"/>
                <w:color w:val="000000"/>
                <w:lang w:eastAsia="en-GB"/>
              </w:rPr>
              <w:t>Anxiolytic</w:t>
            </w:r>
            <w:r>
              <w:rPr>
                <w:rFonts w:ascii="Times New Roman" w:eastAsia="Times New Roman" w:hAnsi="Times New Roman" w:cs="Times New Roman"/>
                <w:color w:val="000000"/>
                <w:lang w:eastAsia="en-GB"/>
              </w:rPr>
              <w:t>s</w:t>
            </w:r>
          </w:p>
        </w:tc>
        <w:tc>
          <w:tcPr>
            <w:tcW w:w="1369" w:type="dxa"/>
            <w:tcBorders>
              <w:bottom w:val="single" w:sz="4" w:space="0" w:color="auto"/>
            </w:tcBorders>
            <w:shd w:val="clear" w:color="auto" w:fill="auto"/>
            <w:noWrap/>
            <w:vAlign w:val="bottom"/>
            <w:hideMark/>
          </w:tcPr>
          <w:p w:rsidR="00FA619B" w:rsidRPr="002812D1" w:rsidRDefault="00FA619B" w:rsidP="0093540C">
            <w:pPr>
              <w:spacing w:after="120"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147 (10.9)</w:t>
            </w:r>
          </w:p>
        </w:tc>
        <w:tc>
          <w:tcPr>
            <w:tcW w:w="1335" w:type="dxa"/>
            <w:tcBorders>
              <w:bottom w:val="single" w:sz="4" w:space="0" w:color="auto"/>
            </w:tcBorders>
            <w:shd w:val="clear" w:color="auto" w:fill="auto"/>
            <w:noWrap/>
            <w:vAlign w:val="bottom"/>
            <w:hideMark/>
          </w:tcPr>
          <w:p w:rsidR="00FA619B" w:rsidRPr="002812D1" w:rsidRDefault="00FA619B" w:rsidP="0093540C">
            <w:pPr>
              <w:spacing w:after="120" w:line="240" w:lineRule="auto"/>
              <w:jc w:val="center"/>
              <w:rPr>
                <w:rFonts w:ascii="Times New Roman" w:eastAsia="Times New Roman" w:hAnsi="Times New Roman" w:cs="Times New Roman"/>
                <w:lang w:eastAsia="en-GB"/>
              </w:rPr>
            </w:pPr>
            <w:r w:rsidRPr="002812D1">
              <w:rPr>
                <w:rFonts w:ascii="Times New Roman" w:eastAsia="Times New Roman" w:hAnsi="Times New Roman" w:cs="Times New Roman"/>
                <w:lang w:eastAsia="en-GB"/>
              </w:rPr>
              <w:t>443 (6.7)</w:t>
            </w:r>
          </w:p>
        </w:tc>
        <w:tc>
          <w:tcPr>
            <w:tcW w:w="960" w:type="dxa"/>
            <w:tcBorders>
              <w:bottom w:val="single" w:sz="4" w:space="0" w:color="auto"/>
            </w:tcBorders>
            <w:shd w:val="clear" w:color="auto" w:fill="auto"/>
            <w:noWrap/>
            <w:vAlign w:val="bottom"/>
            <w:hideMark/>
          </w:tcPr>
          <w:p w:rsidR="00FA619B" w:rsidRPr="002812D1" w:rsidRDefault="00FA619B" w:rsidP="00FA619B">
            <w:pPr>
              <w:spacing w:after="120" w:line="240" w:lineRule="auto"/>
              <w:jc w:val="center"/>
              <w:rPr>
                <w:rFonts w:ascii="Times New Roman" w:eastAsia="Times New Roman" w:hAnsi="Times New Roman" w:cs="Times New Roman"/>
                <w:color w:val="000000" w:themeColor="text1"/>
                <w:lang w:eastAsia="en-GB"/>
              </w:rPr>
            </w:pPr>
            <w:r w:rsidRPr="002812D1">
              <w:rPr>
                <w:rFonts w:ascii="Times New Roman" w:eastAsia="Times New Roman" w:hAnsi="Times New Roman" w:cs="Times New Roman"/>
                <w:color w:val="000000" w:themeColor="text1"/>
                <w:lang w:eastAsia="en-GB"/>
              </w:rPr>
              <w:t>1.7</w:t>
            </w:r>
            <w:r>
              <w:rPr>
                <w:rFonts w:ascii="Times New Roman" w:eastAsia="Times New Roman" w:hAnsi="Times New Roman" w:cs="Times New Roman"/>
                <w:color w:val="000000" w:themeColor="text1"/>
                <w:lang w:eastAsia="en-GB"/>
              </w:rPr>
              <w:t>4</w:t>
            </w:r>
          </w:p>
        </w:tc>
        <w:tc>
          <w:tcPr>
            <w:tcW w:w="1693" w:type="dxa"/>
            <w:tcBorders>
              <w:bottom w:val="single" w:sz="4" w:space="0" w:color="auto"/>
            </w:tcBorders>
            <w:shd w:val="clear" w:color="auto" w:fill="auto"/>
            <w:noWrap/>
            <w:vAlign w:val="bottom"/>
            <w:hideMark/>
          </w:tcPr>
          <w:p w:rsidR="00FA619B" w:rsidRPr="002812D1" w:rsidRDefault="00FA619B" w:rsidP="00E73246">
            <w:pPr>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(1.42-2.12)</w:t>
            </w:r>
          </w:p>
        </w:tc>
        <w:tc>
          <w:tcPr>
            <w:tcW w:w="1080" w:type="dxa"/>
            <w:tcBorders>
              <w:bottom w:val="single" w:sz="4" w:space="0" w:color="auto"/>
            </w:tcBorders>
            <w:shd w:val="clear" w:color="auto" w:fill="auto"/>
            <w:noWrap/>
            <w:vAlign w:val="bottom"/>
            <w:hideMark/>
          </w:tcPr>
          <w:p w:rsidR="00FA619B" w:rsidRPr="002812D1" w:rsidRDefault="00FA619B" w:rsidP="0093540C">
            <w:pPr>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&lt;0.001</w:t>
            </w:r>
          </w:p>
        </w:tc>
        <w:tc>
          <w:tcPr>
            <w:tcW w:w="1280" w:type="dxa"/>
            <w:tcBorders>
              <w:bottom w:val="single" w:sz="4" w:space="0" w:color="auto"/>
            </w:tcBorders>
          </w:tcPr>
          <w:p w:rsidR="00FA619B" w:rsidRDefault="00FA619B" w:rsidP="00E73246">
            <w:pPr>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42.5%</w:t>
            </w:r>
          </w:p>
        </w:tc>
      </w:tr>
    </w:tbl>
    <w:p w:rsidR="00C74CB8" w:rsidRDefault="00C74CB8" w:rsidP="00C74CB8">
      <w:pPr>
        <w:spacing w:line="240" w:lineRule="auto"/>
        <w:rPr>
          <w:rFonts w:ascii="Times New Roman" w:hAnsi="Times New Roman" w:cs="Times New Roman"/>
          <w:b/>
        </w:rPr>
      </w:pPr>
    </w:p>
    <w:p w:rsidR="004B3515" w:rsidRDefault="00FA619B" w:rsidP="00FA619B">
      <w:pPr>
        <w:spacing w:line="240" w:lineRule="auto"/>
        <w:rPr>
          <w:rFonts w:ascii="Times New Roman" w:hAnsi="Times New Roman" w:cs="Times New Roman"/>
        </w:rPr>
      </w:pPr>
      <w:r w:rsidRPr="00FA619B">
        <w:rPr>
          <w:rFonts w:ascii="Times New Roman" w:hAnsi="Times New Roman" w:cs="Times New Roman"/>
        </w:rPr>
        <w:t>* Adjusted for problem drinking</w:t>
      </w:r>
    </w:p>
    <w:p w:rsidR="003322C6" w:rsidRDefault="003322C6" w:rsidP="003322C6">
      <w:pPr>
        <w:rPr>
          <w:rFonts w:ascii="Times New Roman" w:hAnsi="Times New Roman" w:cs="Times New Roman"/>
          <w:i/>
        </w:rPr>
      </w:pPr>
      <w:r>
        <w:rPr>
          <w:rFonts w:ascii="Times New Roman" w:hAnsi="Times New Roman" w:cs="Times New Roman"/>
        </w:rPr>
        <w:t>S</w:t>
      </w:r>
      <w:r>
        <w:rPr>
          <w:rFonts w:ascii="Times New Roman" w:hAnsi="Times New Roman" w:cs="Times New Roman"/>
          <w:i/>
        </w:rPr>
        <w:t xml:space="preserve">ome </w:t>
      </w:r>
      <w:r w:rsidRPr="00676D6D">
        <w:rPr>
          <w:rFonts w:ascii="Times New Roman" w:hAnsi="Times New Roman" w:cs="Times New Roman"/>
          <w:i/>
        </w:rPr>
        <w:t xml:space="preserve">subjects had </w:t>
      </w:r>
      <w:r>
        <w:rPr>
          <w:rFonts w:ascii="Times New Roman" w:hAnsi="Times New Roman" w:cs="Times New Roman"/>
          <w:i/>
        </w:rPr>
        <w:t>more than one</w:t>
      </w:r>
      <w:r w:rsidRPr="00676D6D">
        <w:rPr>
          <w:rFonts w:ascii="Times New Roman" w:hAnsi="Times New Roman" w:cs="Times New Roman"/>
          <w:i/>
        </w:rPr>
        <w:t xml:space="preserve"> </w:t>
      </w:r>
      <w:r>
        <w:rPr>
          <w:rFonts w:ascii="Times New Roman" w:hAnsi="Times New Roman" w:cs="Times New Roman"/>
          <w:i/>
        </w:rPr>
        <w:t>treatment</w:t>
      </w:r>
    </w:p>
    <w:p w:rsidR="003322C6" w:rsidRDefault="003322C6" w:rsidP="00FA619B">
      <w:pPr>
        <w:spacing w:line="240" w:lineRule="auto"/>
        <w:rPr>
          <w:rFonts w:ascii="Times New Roman" w:hAnsi="Times New Roman" w:cs="Times New Roman"/>
          <w:b/>
        </w:rPr>
        <w:sectPr w:rsidR="003322C6" w:rsidSect="00C46081">
          <w:pgSz w:w="16838" w:h="11906" w:orient="landscape"/>
          <w:pgMar w:top="1080" w:right="1440" w:bottom="1080" w:left="1440" w:header="708" w:footer="708" w:gutter="0"/>
          <w:cols w:space="708"/>
          <w:docGrid w:linePitch="360"/>
        </w:sectPr>
      </w:pPr>
    </w:p>
    <w:p w:rsidR="000974DE" w:rsidRPr="00426496" w:rsidRDefault="007C482F" w:rsidP="00337079">
      <w:pPr>
        <w:widowControl w:val="0"/>
        <w:rPr>
          <w:rFonts w:ascii="Times New Roman" w:hAnsi="Times New Roman" w:cs="Times New Roman"/>
          <w:b/>
        </w:rPr>
      </w:pPr>
      <w:r w:rsidRPr="00426496">
        <w:rPr>
          <w:rFonts w:ascii="Times New Roman" w:hAnsi="Times New Roman" w:cs="Times New Roman"/>
          <w:b/>
        </w:rPr>
        <w:lastRenderedPageBreak/>
        <w:t xml:space="preserve">Table </w:t>
      </w:r>
      <w:r w:rsidR="00C21FDD">
        <w:rPr>
          <w:rFonts w:ascii="Times New Roman" w:hAnsi="Times New Roman" w:cs="Times New Roman"/>
          <w:b/>
        </w:rPr>
        <w:t>4</w:t>
      </w:r>
      <w:r w:rsidRPr="00426496">
        <w:rPr>
          <w:rFonts w:ascii="Times New Roman" w:hAnsi="Times New Roman" w:cs="Times New Roman"/>
          <w:b/>
        </w:rPr>
        <w:t>: The overlap betw</w:t>
      </w:r>
      <w:r w:rsidR="00AC4C33">
        <w:rPr>
          <w:rFonts w:ascii="Times New Roman" w:hAnsi="Times New Roman" w:cs="Times New Roman"/>
          <w:b/>
        </w:rPr>
        <w:t>een mental health problems</w:t>
      </w:r>
      <w:r w:rsidRPr="00426496">
        <w:rPr>
          <w:rFonts w:ascii="Times New Roman" w:hAnsi="Times New Roman" w:cs="Times New Roman"/>
          <w:b/>
        </w:rPr>
        <w:t xml:space="preserve"> and </w:t>
      </w:r>
      <w:r w:rsidR="00426496" w:rsidRPr="00426496">
        <w:rPr>
          <w:rFonts w:ascii="Times New Roman" w:hAnsi="Times New Roman" w:cs="Times New Roman"/>
          <w:b/>
        </w:rPr>
        <w:t>psychotropic prescriptions and their relation to consulting with an occupational injury</w:t>
      </w:r>
    </w:p>
    <w:p w:rsidR="007C482F" w:rsidRPr="000974DE" w:rsidRDefault="007C482F" w:rsidP="00337079">
      <w:pPr>
        <w:widowControl w:val="0"/>
        <w:rPr>
          <w:rFonts w:ascii="Times New Roman" w:hAnsi="Times New Roman" w:cs="Times New Roman"/>
        </w:rPr>
      </w:pPr>
    </w:p>
    <w:tbl>
      <w:tblPr>
        <w:tblW w:w="8237" w:type="dxa"/>
        <w:tblInd w:w="97" w:type="dxa"/>
        <w:tblLook w:val="04A0" w:firstRow="1" w:lastRow="0" w:firstColumn="1" w:lastColumn="0" w:noHBand="0" w:noVBand="1"/>
      </w:tblPr>
      <w:tblGrid>
        <w:gridCol w:w="2988"/>
        <w:gridCol w:w="1294"/>
        <w:gridCol w:w="1276"/>
        <w:gridCol w:w="601"/>
        <w:gridCol w:w="1242"/>
        <w:gridCol w:w="946"/>
      </w:tblGrid>
      <w:tr w:rsidR="000974DE" w:rsidRPr="000974DE" w:rsidTr="00E73246">
        <w:trPr>
          <w:trHeight w:val="600"/>
        </w:trPr>
        <w:tc>
          <w:tcPr>
            <w:tcW w:w="2988" w:type="dxa"/>
            <w:tcBorders>
              <w:top w:val="single" w:sz="4" w:space="0" w:color="auto"/>
              <w:bottom w:val="single" w:sz="4" w:space="0" w:color="auto"/>
            </w:tcBorders>
            <w:shd w:val="clear" w:color="auto" w:fill="auto"/>
            <w:noWrap/>
            <w:vAlign w:val="center"/>
            <w:hideMark/>
          </w:tcPr>
          <w:p w:rsidR="000974DE" w:rsidRPr="000974DE" w:rsidRDefault="000974DE" w:rsidP="00426496">
            <w:pPr>
              <w:spacing w:line="240" w:lineRule="auto"/>
              <w:rPr>
                <w:rFonts w:ascii="Times New Roman" w:eastAsia="Times New Roman" w:hAnsi="Times New Roman" w:cs="Times New Roman"/>
                <w:bCs/>
                <w:lang w:eastAsia="en-GB"/>
              </w:rPr>
            </w:pPr>
            <w:r w:rsidRPr="000974DE">
              <w:rPr>
                <w:rFonts w:ascii="Times New Roman" w:eastAsia="Times New Roman" w:hAnsi="Times New Roman" w:cs="Times New Roman"/>
                <w:bCs/>
                <w:lang w:eastAsia="en-GB"/>
              </w:rPr>
              <w:t> </w:t>
            </w:r>
            <w:r w:rsidR="00426496">
              <w:rPr>
                <w:rFonts w:ascii="Times New Roman" w:eastAsia="Times New Roman" w:hAnsi="Times New Roman" w:cs="Times New Roman"/>
                <w:bCs/>
                <w:lang w:eastAsia="en-GB"/>
              </w:rPr>
              <w:t>Before the index date</w:t>
            </w:r>
          </w:p>
        </w:tc>
        <w:tc>
          <w:tcPr>
            <w:tcW w:w="1294" w:type="dxa"/>
            <w:tcBorders>
              <w:top w:val="single" w:sz="4" w:space="0" w:color="auto"/>
              <w:bottom w:val="single" w:sz="4" w:space="0" w:color="auto"/>
            </w:tcBorders>
            <w:shd w:val="clear" w:color="auto" w:fill="auto"/>
            <w:vAlign w:val="bottom"/>
            <w:hideMark/>
          </w:tcPr>
          <w:p w:rsidR="000974DE" w:rsidRDefault="000974DE" w:rsidP="000974DE">
            <w:pPr>
              <w:spacing w:line="240" w:lineRule="auto"/>
              <w:jc w:val="center"/>
              <w:rPr>
                <w:rFonts w:ascii="Times New Roman" w:eastAsia="Times New Roman" w:hAnsi="Times New Roman" w:cs="Times New Roman"/>
                <w:lang w:eastAsia="en-GB"/>
              </w:rPr>
            </w:pPr>
            <w:r>
              <w:rPr>
                <w:rFonts w:ascii="Times New Roman" w:eastAsia="Times New Roman" w:hAnsi="Times New Roman" w:cs="Times New Roman"/>
                <w:bCs/>
                <w:lang w:eastAsia="en-GB"/>
              </w:rPr>
              <w:t>Cases</w:t>
            </w:r>
            <w:r w:rsidRPr="000974DE">
              <w:rPr>
                <w:rFonts w:ascii="Times New Roman" w:eastAsia="Times New Roman" w:hAnsi="Times New Roman" w:cs="Times New Roman"/>
                <w:bCs/>
                <w:lang w:eastAsia="en-GB"/>
              </w:rPr>
              <w:t xml:space="preserve">         (n=1348)</w:t>
            </w:r>
            <w:r w:rsidRPr="000974DE">
              <w:rPr>
                <w:rFonts w:ascii="Times New Roman" w:eastAsia="Times New Roman" w:hAnsi="Times New Roman" w:cs="Times New Roman"/>
                <w:lang w:eastAsia="en-GB"/>
              </w:rPr>
              <w:t xml:space="preserve"> </w:t>
            </w:r>
          </w:p>
          <w:p w:rsidR="000974DE" w:rsidRPr="000974DE" w:rsidRDefault="000974DE" w:rsidP="000974DE">
            <w:pPr>
              <w:spacing w:line="240" w:lineRule="auto"/>
              <w:jc w:val="center"/>
              <w:rPr>
                <w:rFonts w:ascii="Times New Roman" w:eastAsia="Times New Roman" w:hAnsi="Times New Roman" w:cs="Times New Roman"/>
                <w:bCs/>
                <w:lang w:eastAsia="en-GB"/>
              </w:rPr>
            </w:pPr>
            <w:r w:rsidRPr="000974DE">
              <w:rPr>
                <w:rFonts w:ascii="Times New Roman" w:eastAsia="Times New Roman" w:hAnsi="Times New Roman" w:cs="Times New Roman"/>
                <w:lang w:eastAsia="en-GB"/>
              </w:rPr>
              <w:t>N (%)</w:t>
            </w:r>
          </w:p>
        </w:tc>
        <w:tc>
          <w:tcPr>
            <w:tcW w:w="1276" w:type="dxa"/>
            <w:tcBorders>
              <w:top w:val="single" w:sz="4" w:space="0" w:color="auto"/>
              <w:bottom w:val="single" w:sz="4" w:space="0" w:color="auto"/>
            </w:tcBorders>
            <w:shd w:val="clear" w:color="auto" w:fill="auto"/>
            <w:vAlign w:val="bottom"/>
            <w:hideMark/>
          </w:tcPr>
          <w:p w:rsidR="000974DE" w:rsidRPr="000974DE" w:rsidRDefault="000974DE" w:rsidP="000974DE">
            <w:pPr>
              <w:spacing w:line="240" w:lineRule="auto"/>
              <w:jc w:val="center"/>
              <w:rPr>
                <w:rFonts w:ascii="Times New Roman" w:eastAsia="Times New Roman" w:hAnsi="Times New Roman" w:cs="Times New Roman"/>
                <w:bCs/>
                <w:lang w:eastAsia="en-GB"/>
              </w:rPr>
            </w:pPr>
            <w:r w:rsidRPr="000974DE">
              <w:rPr>
                <w:rFonts w:ascii="Times New Roman" w:eastAsia="Times New Roman" w:hAnsi="Times New Roman" w:cs="Times New Roman"/>
                <w:bCs/>
                <w:lang w:eastAsia="en-GB"/>
              </w:rPr>
              <w:t>Controls                        (n=6652)</w:t>
            </w:r>
            <w:r w:rsidRPr="000974DE">
              <w:rPr>
                <w:rFonts w:ascii="Times New Roman" w:eastAsia="Times New Roman" w:hAnsi="Times New Roman" w:cs="Times New Roman"/>
                <w:lang w:eastAsia="en-GB"/>
              </w:rPr>
              <w:t xml:space="preserve"> N (%)</w:t>
            </w:r>
          </w:p>
        </w:tc>
        <w:tc>
          <w:tcPr>
            <w:tcW w:w="601" w:type="dxa"/>
            <w:tcBorders>
              <w:top w:val="single" w:sz="4" w:space="0" w:color="auto"/>
              <w:bottom w:val="single" w:sz="4" w:space="0" w:color="auto"/>
            </w:tcBorders>
            <w:shd w:val="clear" w:color="auto" w:fill="auto"/>
            <w:noWrap/>
            <w:vAlign w:val="center"/>
            <w:hideMark/>
          </w:tcPr>
          <w:p w:rsidR="000974DE" w:rsidRPr="000974DE" w:rsidRDefault="000974DE" w:rsidP="000974DE">
            <w:pPr>
              <w:spacing w:line="240" w:lineRule="auto"/>
              <w:jc w:val="center"/>
              <w:rPr>
                <w:rFonts w:ascii="Times New Roman" w:eastAsia="Times New Roman" w:hAnsi="Times New Roman" w:cs="Times New Roman"/>
                <w:bCs/>
                <w:lang w:eastAsia="en-GB"/>
              </w:rPr>
            </w:pPr>
            <w:r w:rsidRPr="000974DE">
              <w:rPr>
                <w:rFonts w:ascii="Times New Roman" w:eastAsia="Times New Roman" w:hAnsi="Times New Roman" w:cs="Times New Roman"/>
                <w:bCs/>
                <w:lang w:eastAsia="en-GB"/>
              </w:rPr>
              <w:t>OR</w:t>
            </w:r>
          </w:p>
        </w:tc>
        <w:tc>
          <w:tcPr>
            <w:tcW w:w="1242" w:type="dxa"/>
            <w:tcBorders>
              <w:top w:val="single" w:sz="4" w:space="0" w:color="auto"/>
              <w:bottom w:val="single" w:sz="4" w:space="0" w:color="auto"/>
            </w:tcBorders>
            <w:shd w:val="clear" w:color="auto" w:fill="auto"/>
            <w:noWrap/>
            <w:vAlign w:val="center"/>
            <w:hideMark/>
          </w:tcPr>
          <w:p w:rsidR="000974DE" w:rsidRPr="000974DE" w:rsidRDefault="000974DE" w:rsidP="000974DE">
            <w:pPr>
              <w:spacing w:line="240" w:lineRule="auto"/>
              <w:jc w:val="center"/>
              <w:rPr>
                <w:rFonts w:ascii="Times New Roman" w:eastAsia="Times New Roman" w:hAnsi="Times New Roman" w:cs="Times New Roman"/>
                <w:bCs/>
                <w:lang w:eastAsia="en-GB"/>
              </w:rPr>
            </w:pPr>
            <w:r w:rsidRPr="000974DE">
              <w:rPr>
                <w:rFonts w:ascii="Times New Roman" w:eastAsia="Times New Roman" w:hAnsi="Times New Roman" w:cs="Times New Roman"/>
                <w:bCs/>
                <w:lang w:eastAsia="en-GB"/>
              </w:rPr>
              <w:t>95 % CI</w:t>
            </w:r>
          </w:p>
        </w:tc>
        <w:tc>
          <w:tcPr>
            <w:tcW w:w="836" w:type="dxa"/>
            <w:tcBorders>
              <w:top w:val="single" w:sz="4" w:space="0" w:color="auto"/>
              <w:bottom w:val="single" w:sz="4" w:space="0" w:color="auto"/>
            </w:tcBorders>
            <w:shd w:val="clear" w:color="auto" w:fill="auto"/>
            <w:noWrap/>
            <w:vAlign w:val="center"/>
            <w:hideMark/>
          </w:tcPr>
          <w:p w:rsidR="000974DE" w:rsidRPr="000974DE" w:rsidRDefault="000974DE" w:rsidP="000974DE">
            <w:pPr>
              <w:spacing w:line="240" w:lineRule="auto"/>
              <w:jc w:val="center"/>
              <w:rPr>
                <w:rFonts w:ascii="Times New Roman" w:eastAsia="Times New Roman" w:hAnsi="Times New Roman" w:cs="Times New Roman"/>
                <w:bCs/>
                <w:lang w:eastAsia="en-GB"/>
              </w:rPr>
            </w:pPr>
            <w:r w:rsidRPr="000974DE">
              <w:rPr>
                <w:rFonts w:ascii="Times New Roman" w:eastAsia="Times New Roman" w:hAnsi="Times New Roman" w:cs="Times New Roman"/>
                <w:bCs/>
                <w:lang w:eastAsia="en-GB"/>
              </w:rPr>
              <w:t>P-value</w:t>
            </w:r>
          </w:p>
        </w:tc>
      </w:tr>
      <w:tr w:rsidR="000974DE" w:rsidRPr="000974DE" w:rsidTr="00E73246">
        <w:trPr>
          <w:trHeight w:val="420"/>
        </w:trPr>
        <w:tc>
          <w:tcPr>
            <w:tcW w:w="2988" w:type="dxa"/>
            <w:tcBorders>
              <w:top w:val="single" w:sz="4" w:space="0" w:color="auto"/>
            </w:tcBorders>
            <w:shd w:val="clear" w:color="auto" w:fill="auto"/>
            <w:noWrap/>
            <w:vAlign w:val="bottom"/>
            <w:hideMark/>
          </w:tcPr>
          <w:p w:rsidR="000974DE" w:rsidRPr="000974DE" w:rsidRDefault="000974DE" w:rsidP="000974DE">
            <w:pPr>
              <w:spacing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No prescription or MHP</w:t>
            </w:r>
          </w:p>
        </w:tc>
        <w:tc>
          <w:tcPr>
            <w:tcW w:w="1294" w:type="dxa"/>
            <w:tcBorders>
              <w:top w:val="single" w:sz="4" w:space="0" w:color="auto"/>
            </w:tcBorders>
            <w:shd w:val="clear" w:color="auto" w:fill="auto"/>
            <w:noWrap/>
            <w:vAlign w:val="bottom"/>
            <w:hideMark/>
          </w:tcPr>
          <w:p w:rsidR="000974DE" w:rsidRPr="000974DE" w:rsidRDefault="000974DE" w:rsidP="000974DE">
            <w:pPr>
              <w:spacing w:line="240" w:lineRule="auto"/>
              <w:jc w:val="center"/>
              <w:rPr>
                <w:rFonts w:ascii="Times New Roman" w:eastAsia="Times New Roman" w:hAnsi="Times New Roman" w:cs="Times New Roman"/>
                <w:lang w:eastAsia="en-GB"/>
              </w:rPr>
            </w:pPr>
            <w:r w:rsidRPr="000974DE">
              <w:rPr>
                <w:rFonts w:ascii="Times New Roman" w:eastAsia="Times New Roman" w:hAnsi="Times New Roman" w:cs="Times New Roman"/>
                <w:lang w:eastAsia="en-GB"/>
              </w:rPr>
              <w:t>854 (63.4)</w:t>
            </w:r>
          </w:p>
        </w:tc>
        <w:tc>
          <w:tcPr>
            <w:tcW w:w="1276" w:type="dxa"/>
            <w:tcBorders>
              <w:top w:val="single" w:sz="4" w:space="0" w:color="auto"/>
            </w:tcBorders>
            <w:shd w:val="clear" w:color="auto" w:fill="auto"/>
            <w:noWrap/>
            <w:vAlign w:val="bottom"/>
            <w:hideMark/>
          </w:tcPr>
          <w:p w:rsidR="000974DE" w:rsidRPr="000974DE" w:rsidRDefault="000974DE" w:rsidP="000974DE">
            <w:pPr>
              <w:spacing w:line="240" w:lineRule="auto"/>
              <w:jc w:val="center"/>
              <w:rPr>
                <w:rFonts w:ascii="Times New Roman" w:eastAsia="Times New Roman" w:hAnsi="Times New Roman" w:cs="Times New Roman"/>
                <w:lang w:eastAsia="en-GB"/>
              </w:rPr>
            </w:pPr>
            <w:r w:rsidRPr="000974DE">
              <w:rPr>
                <w:rFonts w:ascii="Times New Roman" w:eastAsia="Times New Roman" w:hAnsi="Times New Roman" w:cs="Times New Roman"/>
                <w:lang w:eastAsia="en-GB"/>
              </w:rPr>
              <w:t>4814 (72.3)</w:t>
            </w:r>
          </w:p>
        </w:tc>
        <w:tc>
          <w:tcPr>
            <w:tcW w:w="601" w:type="dxa"/>
            <w:tcBorders>
              <w:top w:val="single" w:sz="4" w:space="0" w:color="auto"/>
            </w:tcBorders>
            <w:shd w:val="clear" w:color="auto" w:fill="auto"/>
            <w:noWrap/>
            <w:vAlign w:val="bottom"/>
            <w:hideMark/>
          </w:tcPr>
          <w:p w:rsidR="000974DE" w:rsidRPr="000974DE" w:rsidRDefault="000974DE" w:rsidP="000974DE">
            <w:pPr>
              <w:spacing w:line="240" w:lineRule="auto"/>
              <w:jc w:val="center"/>
              <w:rPr>
                <w:rFonts w:ascii="Times New Roman" w:eastAsia="Times New Roman" w:hAnsi="Times New Roman" w:cs="Times New Roman"/>
                <w:lang w:eastAsia="en-GB"/>
              </w:rPr>
            </w:pPr>
            <w:r w:rsidRPr="000974DE">
              <w:rPr>
                <w:rFonts w:ascii="Times New Roman" w:eastAsia="Times New Roman" w:hAnsi="Times New Roman" w:cs="Times New Roman"/>
                <w:lang w:eastAsia="en-GB"/>
              </w:rPr>
              <w:t>1</w:t>
            </w:r>
          </w:p>
        </w:tc>
        <w:tc>
          <w:tcPr>
            <w:tcW w:w="1242" w:type="dxa"/>
            <w:tcBorders>
              <w:top w:val="single" w:sz="4" w:space="0" w:color="auto"/>
            </w:tcBorders>
            <w:shd w:val="clear" w:color="auto" w:fill="auto"/>
            <w:noWrap/>
            <w:vAlign w:val="bottom"/>
            <w:hideMark/>
          </w:tcPr>
          <w:p w:rsidR="000974DE" w:rsidRPr="000974DE" w:rsidRDefault="000974DE" w:rsidP="000974DE">
            <w:pPr>
              <w:spacing w:line="240" w:lineRule="auto"/>
              <w:rPr>
                <w:rFonts w:ascii="Times New Roman" w:eastAsia="Times New Roman" w:hAnsi="Times New Roman" w:cs="Times New Roman"/>
                <w:lang w:eastAsia="en-GB"/>
              </w:rPr>
            </w:pPr>
            <w:r w:rsidRPr="000974DE">
              <w:rPr>
                <w:rFonts w:ascii="Times New Roman" w:eastAsia="Times New Roman" w:hAnsi="Times New Roman" w:cs="Times New Roman"/>
                <w:lang w:eastAsia="en-GB"/>
              </w:rPr>
              <w:t> </w:t>
            </w:r>
          </w:p>
        </w:tc>
        <w:tc>
          <w:tcPr>
            <w:tcW w:w="836" w:type="dxa"/>
            <w:tcBorders>
              <w:top w:val="single" w:sz="4" w:space="0" w:color="auto"/>
            </w:tcBorders>
            <w:shd w:val="clear" w:color="auto" w:fill="auto"/>
            <w:noWrap/>
            <w:vAlign w:val="bottom"/>
            <w:hideMark/>
          </w:tcPr>
          <w:p w:rsidR="000974DE" w:rsidRPr="000974DE" w:rsidRDefault="000974DE" w:rsidP="000974DE">
            <w:pPr>
              <w:spacing w:line="240" w:lineRule="auto"/>
              <w:rPr>
                <w:rFonts w:ascii="Times New Roman" w:eastAsia="Times New Roman" w:hAnsi="Times New Roman" w:cs="Times New Roman"/>
                <w:lang w:eastAsia="en-GB"/>
              </w:rPr>
            </w:pPr>
          </w:p>
        </w:tc>
      </w:tr>
      <w:tr w:rsidR="000974DE" w:rsidRPr="000974DE" w:rsidTr="00E73246">
        <w:trPr>
          <w:trHeight w:val="420"/>
        </w:trPr>
        <w:tc>
          <w:tcPr>
            <w:tcW w:w="2988" w:type="dxa"/>
            <w:shd w:val="clear" w:color="auto" w:fill="auto"/>
            <w:noWrap/>
            <w:vAlign w:val="bottom"/>
            <w:hideMark/>
          </w:tcPr>
          <w:p w:rsidR="000974DE" w:rsidRPr="000974DE" w:rsidRDefault="000974DE" w:rsidP="000974DE">
            <w:pPr>
              <w:spacing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MHP but no prescription</w:t>
            </w:r>
          </w:p>
        </w:tc>
        <w:tc>
          <w:tcPr>
            <w:tcW w:w="1294" w:type="dxa"/>
            <w:shd w:val="clear" w:color="auto" w:fill="auto"/>
            <w:noWrap/>
            <w:vAlign w:val="bottom"/>
            <w:hideMark/>
          </w:tcPr>
          <w:p w:rsidR="000974DE" w:rsidRPr="000974DE" w:rsidRDefault="000974DE" w:rsidP="000974DE">
            <w:pPr>
              <w:spacing w:line="240" w:lineRule="auto"/>
              <w:jc w:val="center"/>
              <w:rPr>
                <w:rFonts w:ascii="Times New Roman" w:eastAsia="Times New Roman" w:hAnsi="Times New Roman" w:cs="Times New Roman"/>
                <w:lang w:eastAsia="en-GB"/>
              </w:rPr>
            </w:pPr>
            <w:r w:rsidRPr="000974DE">
              <w:rPr>
                <w:rFonts w:ascii="Times New Roman" w:eastAsia="Times New Roman" w:hAnsi="Times New Roman" w:cs="Times New Roman"/>
                <w:lang w:eastAsia="en-GB"/>
              </w:rPr>
              <w:t>128 (9.5)</w:t>
            </w:r>
          </w:p>
        </w:tc>
        <w:tc>
          <w:tcPr>
            <w:tcW w:w="1276" w:type="dxa"/>
            <w:shd w:val="clear" w:color="auto" w:fill="auto"/>
            <w:noWrap/>
            <w:vAlign w:val="bottom"/>
            <w:hideMark/>
          </w:tcPr>
          <w:p w:rsidR="000974DE" w:rsidRPr="000974DE" w:rsidRDefault="000974DE" w:rsidP="000974DE">
            <w:pPr>
              <w:spacing w:line="240" w:lineRule="auto"/>
              <w:jc w:val="center"/>
              <w:rPr>
                <w:rFonts w:ascii="Times New Roman" w:eastAsia="Times New Roman" w:hAnsi="Times New Roman" w:cs="Times New Roman"/>
                <w:lang w:eastAsia="en-GB"/>
              </w:rPr>
            </w:pPr>
            <w:r w:rsidRPr="000974DE">
              <w:rPr>
                <w:rFonts w:ascii="Times New Roman" w:eastAsia="Times New Roman" w:hAnsi="Times New Roman" w:cs="Times New Roman"/>
                <w:lang w:eastAsia="en-GB"/>
              </w:rPr>
              <w:t>522 (7.8)</w:t>
            </w:r>
          </w:p>
        </w:tc>
        <w:tc>
          <w:tcPr>
            <w:tcW w:w="601" w:type="dxa"/>
            <w:shd w:val="clear" w:color="auto" w:fill="auto"/>
            <w:noWrap/>
            <w:vAlign w:val="bottom"/>
            <w:hideMark/>
          </w:tcPr>
          <w:p w:rsidR="000974DE" w:rsidRPr="000974DE" w:rsidRDefault="000974DE" w:rsidP="00FA619B">
            <w:pPr>
              <w:spacing w:line="240" w:lineRule="auto"/>
              <w:jc w:val="center"/>
              <w:rPr>
                <w:rFonts w:ascii="Times New Roman" w:eastAsia="Times New Roman" w:hAnsi="Times New Roman" w:cs="Times New Roman"/>
                <w:lang w:eastAsia="en-GB"/>
              </w:rPr>
            </w:pPr>
            <w:r w:rsidRPr="000974DE">
              <w:rPr>
                <w:rFonts w:ascii="Times New Roman" w:eastAsia="Times New Roman" w:hAnsi="Times New Roman" w:cs="Times New Roman"/>
                <w:lang w:eastAsia="en-GB"/>
              </w:rPr>
              <w:t>1.4</w:t>
            </w:r>
            <w:r w:rsidR="00FA619B">
              <w:rPr>
                <w:rFonts w:ascii="Times New Roman" w:eastAsia="Times New Roman" w:hAnsi="Times New Roman" w:cs="Times New Roman"/>
                <w:lang w:eastAsia="en-GB"/>
              </w:rPr>
              <w:t>1</w:t>
            </w:r>
          </w:p>
        </w:tc>
        <w:tc>
          <w:tcPr>
            <w:tcW w:w="1242" w:type="dxa"/>
            <w:shd w:val="clear" w:color="auto" w:fill="auto"/>
            <w:noWrap/>
            <w:vAlign w:val="bottom"/>
            <w:hideMark/>
          </w:tcPr>
          <w:p w:rsidR="000974DE" w:rsidRPr="000974DE" w:rsidRDefault="00FA619B" w:rsidP="000974DE">
            <w:pPr>
              <w:spacing w:line="240" w:lineRule="auto"/>
              <w:jc w:val="center"/>
              <w:rPr>
                <w:rFonts w:ascii="Times New Roman" w:eastAsia="Times New Roman" w:hAnsi="Times New Roman" w:cs="Times New Roman"/>
                <w:lang w:eastAsia="en-GB"/>
              </w:rPr>
            </w:pPr>
            <w:r w:rsidRPr="005D0E84">
              <w:rPr>
                <w:rFonts w:ascii="Times New Roman" w:eastAsia="Times New Roman" w:hAnsi="Times New Roman" w:cs="Times New Roman"/>
                <w:sz w:val="20"/>
                <w:szCs w:val="20"/>
                <w:lang w:eastAsia="en-GB"/>
              </w:rPr>
              <w:t>(1.15-1.74)</w:t>
            </w:r>
          </w:p>
        </w:tc>
        <w:tc>
          <w:tcPr>
            <w:tcW w:w="836" w:type="dxa"/>
            <w:shd w:val="clear" w:color="auto" w:fill="auto"/>
            <w:noWrap/>
            <w:vAlign w:val="bottom"/>
            <w:hideMark/>
          </w:tcPr>
          <w:p w:rsidR="000974DE" w:rsidRPr="000974DE" w:rsidRDefault="000974DE" w:rsidP="000974DE">
            <w:pPr>
              <w:spacing w:line="240" w:lineRule="auto"/>
              <w:jc w:val="center"/>
              <w:rPr>
                <w:rFonts w:ascii="Times New Roman" w:eastAsia="Times New Roman" w:hAnsi="Times New Roman" w:cs="Times New Roman"/>
                <w:lang w:eastAsia="en-GB"/>
              </w:rPr>
            </w:pPr>
            <w:r w:rsidRPr="000974DE">
              <w:rPr>
                <w:rFonts w:ascii="Times New Roman" w:eastAsia="Times New Roman" w:hAnsi="Times New Roman" w:cs="Times New Roman"/>
                <w:lang w:eastAsia="en-GB"/>
              </w:rPr>
              <w:t>0.001</w:t>
            </w:r>
          </w:p>
        </w:tc>
      </w:tr>
      <w:tr w:rsidR="000974DE" w:rsidRPr="000974DE" w:rsidTr="00E73246">
        <w:trPr>
          <w:trHeight w:val="420"/>
        </w:trPr>
        <w:tc>
          <w:tcPr>
            <w:tcW w:w="2988" w:type="dxa"/>
            <w:tcBorders>
              <w:bottom w:val="single" w:sz="4" w:space="0" w:color="auto"/>
            </w:tcBorders>
            <w:shd w:val="clear" w:color="auto" w:fill="auto"/>
            <w:noWrap/>
            <w:vAlign w:val="bottom"/>
            <w:hideMark/>
          </w:tcPr>
          <w:p w:rsidR="000974DE" w:rsidRPr="000974DE" w:rsidRDefault="000974DE" w:rsidP="00C21FDD">
            <w:pPr>
              <w:spacing w:after="12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Both MHP</w:t>
            </w:r>
            <w:r w:rsidRPr="000974DE">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and a prescription</w:t>
            </w:r>
          </w:p>
        </w:tc>
        <w:tc>
          <w:tcPr>
            <w:tcW w:w="1294" w:type="dxa"/>
            <w:tcBorders>
              <w:bottom w:val="single" w:sz="4" w:space="0" w:color="auto"/>
            </w:tcBorders>
            <w:shd w:val="clear" w:color="auto" w:fill="auto"/>
            <w:noWrap/>
            <w:vAlign w:val="bottom"/>
            <w:hideMark/>
          </w:tcPr>
          <w:p w:rsidR="000974DE" w:rsidRPr="000974DE" w:rsidRDefault="000974DE" w:rsidP="00C21FDD">
            <w:pPr>
              <w:spacing w:after="120" w:line="240" w:lineRule="auto"/>
              <w:jc w:val="center"/>
              <w:rPr>
                <w:rFonts w:ascii="Times New Roman" w:eastAsia="Times New Roman" w:hAnsi="Times New Roman" w:cs="Times New Roman"/>
                <w:lang w:eastAsia="en-GB"/>
              </w:rPr>
            </w:pPr>
            <w:r w:rsidRPr="000974DE">
              <w:rPr>
                <w:rFonts w:ascii="Times New Roman" w:eastAsia="Times New Roman" w:hAnsi="Times New Roman" w:cs="Times New Roman"/>
                <w:lang w:eastAsia="en-GB"/>
              </w:rPr>
              <w:t>254 (18.8)</w:t>
            </w:r>
          </w:p>
        </w:tc>
        <w:tc>
          <w:tcPr>
            <w:tcW w:w="1276" w:type="dxa"/>
            <w:tcBorders>
              <w:bottom w:val="single" w:sz="4" w:space="0" w:color="auto"/>
            </w:tcBorders>
            <w:shd w:val="clear" w:color="auto" w:fill="auto"/>
            <w:noWrap/>
            <w:vAlign w:val="bottom"/>
            <w:hideMark/>
          </w:tcPr>
          <w:p w:rsidR="000974DE" w:rsidRPr="000974DE" w:rsidRDefault="000974DE" w:rsidP="00C21FDD">
            <w:pPr>
              <w:spacing w:after="120" w:line="240" w:lineRule="auto"/>
              <w:jc w:val="center"/>
              <w:rPr>
                <w:rFonts w:ascii="Times New Roman" w:eastAsia="Times New Roman" w:hAnsi="Times New Roman" w:cs="Times New Roman"/>
                <w:lang w:eastAsia="en-GB"/>
              </w:rPr>
            </w:pPr>
            <w:r w:rsidRPr="000974DE">
              <w:rPr>
                <w:rFonts w:ascii="Times New Roman" w:eastAsia="Times New Roman" w:hAnsi="Times New Roman" w:cs="Times New Roman"/>
                <w:lang w:eastAsia="en-GB"/>
              </w:rPr>
              <w:t>942 (14.2)</w:t>
            </w:r>
          </w:p>
        </w:tc>
        <w:tc>
          <w:tcPr>
            <w:tcW w:w="601" w:type="dxa"/>
            <w:tcBorders>
              <w:bottom w:val="single" w:sz="4" w:space="0" w:color="auto"/>
            </w:tcBorders>
            <w:shd w:val="clear" w:color="auto" w:fill="auto"/>
            <w:noWrap/>
            <w:vAlign w:val="bottom"/>
            <w:hideMark/>
          </w:tcPr>
          <w:p w:rsidR="000974DE" w:rsidRPr="000974DE" w:rsidRDefault="000974DE" w:rsidP="00FA619B">
            <w:pPr>
              <w:spacing w:after="120" w:line="240" w:lineRule="auto"/>
              <w:jc w:val="center"/>
              <w:rPr>
                <w:rFonts w:ascii="Times New Roman" w:eastAsia="Times New Roman" w:hAnsi="Times New Roman" w:cs="Times New Roman"/>
                <w:lang w:eastAsia="en-GB"/>
              </w:rPr>
            </w:pPr>
            <w:r w:rsidRPr="000974DE">
              <w:rPr>
                <w:rFonts w:ascii="Times New Roman" w:eastAsia="Times New Roman" w:hAnsi="Times New Roman" w:cs="Times New Roman"/>
                <w:lang w:eastAsia="en-GB"/>
              </w:rPr>
              <w:t>1.6</w:t>
            </w:r>
            <w:r w:rsidR="00FA619B">
              <w:rPr>
                <w:rFonts w:ascii="Times New Roman" w:eastAsia="Times New Roman" w:hAnsi="Times New Roman" w:cs="Times New Roman"/>
                <w:lang w:eastAsia="en-GB"/>
              </w:rPr>
              <w:t>0</w:t>
            </w:r>
          </w:p>
        </w:tc>
        <w:tc>
          <w:tcPr>
            <w:tcW w:w="1242" w:type="dxa"/>
            <w:tcBorders>
              <w:bottom w:val="single" w:sz="4" w:space="0" w:color="auto"/>
            </w:tcBorders>
            <w:shd w:val="clear" w:color="auto" w:fill="auto"/>
            <w:noWrap/>
            <w:vAlign w:val="bottom"/>
            <w:hideMark/>
          </w:tcPr>
          <w:p w:rsidR="000974DE" w:rsidRPr="000974DE" w:rsidRDefault="00FA619B" w:rsidP="00C21FDD">
            <w:pPr>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sz w:val="20"/>
                <w:szCs w:val="20"/>
                <w:lang w:eastAsia="en-GB"/>
              </w:rPr>
              <w:t>(1.36-1.89)</w:t>
            </w:r>
          </w:p>
        </w:tc>
        <w:tc>
          <w:tcPr>
            <w:tcW w:w="836" w:type="dxa"/>
            <w:tcBorders>
              <w:bottom w:val="single" w:sz="4" w:space="0" w:color="auto"/>
            </w:tcBorders>
            <w:shd w:val="clear" w:color="auto" w:fill="auto"/>
            <w:noWrap/>
            <w:vAlign w:val="bottom"/>
            <w:hideMark/>
          </w:tcPr>
          <w:p w:rsidR="000974DE" w:rsidRPr="000974DE" w:rsidRDefault="007C482F" w:rsidP="00C21FDD">
            <w:pPr>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&lt;</w:t>
            </w:r>
            <w:r w:rsidR="000974DE" w:rsidRPr="000974DE">
              <w:rPr>
                <w:rFonts w:ascii="Times New Roman" w:eastAsia="Times New Roman" w:hAnsi="Times New Roman" w:cs="Times New Roman"/>
                <w:lang w:eastAsia="en-GB"/>
              </w:rPr>
              <w:t>0.00</w:t>
            </w:r>
            <w:r w:rsidR="006F077C">
              <w:rPr>
                <w:rFonts w:ascii="Times New Roman" w:eastAsia="Times New Roman" w:hAnsi="Times New Roman" w:cs="Times New Roman"/>
                <w:lang w:eastAsia="en-GB"/>
              </w:rPr>
              <w:t>0</w:t>
            </w:r>
            <w:r>
              <w:rPr>
                <w:rFonts w:ascii="Times New Roman" w:eastAsia="Times New Roman" w:hAnsi="Times New Roman" w:cs="Times New Roman"/>
                <w:lang w:eastAsia="en-GB"/>
              </w:rPr>
              <w:t>1</w:t>
            </w:r>
          </w:p>
        </w:tc>
      </w:tr>
    </w:tbl>
    <w:p w:rsidR="000974DE" w:rsidRDefault="000974DE" w:rsidP="00337079">
      <w:pPr>
        <w:widowControl w:val="0"/>
        <w:rPr>
          <w:rFonts w:ascii="Times New Roman" w:hAnsi="Times New Roman" w:cs="Times New Roman"/>
        </w:rPr>
      </w:pPr>
    </w:p>
    <w:p w:rsidR="00AC4C33" w:rsidRPr="00273F48" w:rsidRDefault="00AC4C33" w:rsidP="00337079">
      <w:pPr>
        <w:widowControl w:val="0"/>
        <w:rPr>
          <w:rFonts w:ascii="Times New Roman" w:hAnsi="Times New Roman" w:cs="Times New Roman"/>
          <w:i/>
        </w:rPr>
      </w:pPr>
      <w:r w:rsidRPr="00273F48">
        <w:rPr>
          <w:rFonts w:ascii="Times New Roman" w:hAnsi="Times New Roman" w:cs="Times New Roman"/>
          <w:i/>
        </w:rPr>
        <w:t xml:space="preserve">MHP – mental health problem, as listed in Table </w:t>
      </w:r>
      <w:r w:rsidR="0083336D" w:rsidRPr="00273F48">
        <w:rPr>
          <w:rFonts w:ascii="Times New Roman" w:hAnsi="Times New Roman" w:cs="Times New Roman"/>
          <w:i/>
        </w:rPr>
        <w:t>2</w:t>
      </w:r>
      <w:r w:rsidRPr="00273F48">
        <w:rPr>
          <w:rFonts w:ascii="Times New Roman" w:hAnsi="Times New Roman" w:cs="Times New Roman"/>
          <w:i/>
        </w:rPr>
        <w:t xml:space="preserve">; ‘Prescription’ – any of the classes of psychotropic drug listed in Table </w:t>
      </w:r>
      <w:r w:rsidR="0083336D" w:rsidRPr="00273F48">
        <w:rPr>
          <w:rFonts w:ascii="Times New Roman" w:hAnsi="Times New Roman" w:cs="Times New Roman"/>
          <w:i/>
        </w:rPr>
        <w:t>3</w:t>
      </w:r>
    </w:p>
    <w:p w:rsidR="00583250" w:rsidRPr="00583250" w:rsidRDefault="00583250" w:rsidP="00F118F7">
      <w:pPr>
        <w:rPr>
          <w:rFonts w:ascii="Times New Roman" w:eastAsia="Times New Roman" w:hAnsi="Times New Roman" w:cs="Times New Roman"/>
          <w:color w:val="000000"/>
          <w:lang w:eastAsia="en-GB"/>
        </w:rPr>
      </w:pPr>
    </w:p>
    <w:sectPr w:rsidR="00583250" w:rsidRPr="00583250" w:rsidSect="00E90AC9">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E3B" w:rsidRDefault="00ED6E3B" w:rsidP="006163FF">
      <w:pPr>
        <w:spacing w:line="240" w:lineRule="auto"/>
      </w:pPr>
      <w:r>
        <w:separator/>
      </w:r>
    </w:p>
  </w:endnote>
  <w:endnote w:type="continuationSeparator" w:id="0">
    <w:p w:rsidR="00ED6E3B" w:rsidRDefault="00ED6E3B" w:rsidP="00616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9063"/>
      <w:docPartObj>
        <w:docPartGallery w:val="Page Numbers (Bottom of Page)"/>
        <w:docPartUnique/>
      </w:docPartObj>
    </w:sdtPr>
    <w:sdtEndPr/>
    <w:sdtContent>
      <w:p w:rsidR="003D4553" w:rsidRDefault="00ED6E3B">
        <w:pPr>
          <w:pStyle w:val="Footer"/>
          <w:jc w:val="right"/>
        </w:pPr>
        <w:r>
          <w:fldChar w:fldCharType="begin"/>
        </w:r>
        <w:r>
          <w:instrText xml:space="preserve"> PAGE   \* MERGEFORMAT </w:instrText>
        </w:r>
        <w:r>
          <w:fldChar w:fldCharType="separate"/>
        </w:r>
        <w:r w:rsidR="00481FB5">
          <w:rPr>
            <w:noProof/>
          </w:rPr>
          <w:t>1</w:t>
        </w:r>
        <w:r>
          <w:rPr>
            <w:noProof/>
          </w:rPr>
          <w:fldChar w:fldCharType="end"/>
        </w:r>
      </w:p>
    </w:sdtContent>
  </w:sdt>
  <w:p w:rsidR="003D4553" w:rsidRDefault="003D4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E3B" w:rsidRDefault="00ED6E3B" w:rsidP="006163FF">
      <w:pPr>
        <w:spacing w:line="240" w:lineRule="auto"/>
      </w:pPr>
      <w:r>
        <w:separator/>
      </w:r>
    </w:p>
  </w:footnote>
  <w:footnote w:type="continuationSeparator" w:id="0">
    <w:p w:rsidR="00ED6E3B" w:rsidRDefault="00ED6E3B" w:rsidP="006163F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3090"/>
    <w:multiLevelType w:val="hybridMultilevel"/>
    <w:tmpl w:val="94C25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0E11AB"/>
    <w:multiLevelType w:val="hybridMultilevel"/>
    <w:tmpl w:val="29D66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132821"/>
    <w:multiLevelType w:val="hybridMultilevel"/>
    <w:tmpl w:val="6C8ED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35120B"/>
    <w:multiLevelType w:val="hybridMultilevel"/>
    <w:tmpl w:val="D88E7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4A08A3"/>
    <w:multiLevelType w:val="hybridMultilevel"/>
    <w:tmpl w:val="C604300A"/>
    <w:lvl w:ilvl="0" w:tplc="81E2455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5">
    <w:nsid w:val="3FA02619"/>
    <w:multiLevelType w:val="hybridMultilevel"/>
    <w:tmpl w:val="34446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215EF6"/>
    <w:multiLevelType w:val="hybridMultilevel"/>
    <w:tmpl w:val="A77496E2"/>
    <w:lvl w:ilvl="0" w:tplc="81E2455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D56DFB"/>
    <w:multiLevelType w:val="hybridMultilevel"/>
    <w:tmpl w:val="02C6E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5E522C"/>
    <w:multiLevelType w:val="hybridMultilevel"/>
    <w:tmpl w:val="A8EA8FE4"/>
    <w:lvl w:ilvl="0" w:tplc="CCBE16F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F33040"/>
    <w:multiLevelType w:val="hybridMultilevel"/>
    <w:tmpl w:val="6EA2B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5046AC"/>
    <w:multiLevelType w:val="hybridMultilevel"/>
    <w:tmpl w:val="EE76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4C1F2F"/>
    <w:multiLevelType w:val="hybridMultilevel"/>
    <w:tmpl w:val="BD2A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14D752C"/>
    <w:multiLevelType w:val="hybridMultilevel"/>
    <w:tmpl w:val="DC566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D54B33"/>
    <w:multiLevelType w:val="hybridMultilevel"/>
    <w:tmpl w:val="64300A3E"/>
    <w:lvl w:ilvl="0" w:tplc="8FECB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904730"/>
    <w:multiLevelType w:val="hybridMultilevel"/>
    <w:tmpl w:val="92A8C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11"/>
  </w:num>
  <w:num w:numId="5">
    <w:abstractNumId w:val="10"/>
  </w:num>
  <w:num w:numId="6">
    <w:abstractNumId w:val="4"/>
  </w:num>
  <w:num w:numId="7">
    <w:abstractNumId w:val="6"/>
  </w:num>
  <w:num w:numId="8">
    <w:abstractNumId w:val="14"/>
  </w:num>
  <w:num w:numId="9">
    <w:abstractNumId w:val="7"/>
  </w:num>
  <w:num w:numId="10">
    <w:abstractNumId w:val="0"/>
  </w:num>
  <w:num w:numId="11">
    <w:abstractNumId w:val="1"/>
  </w:num>
  <w:num w:numId="12">
    <w:abstractNumId w:val="2"/>
  </w:num>
  <w:num w:numId="13">
    <w:abstractNumId w:val="3"/>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A0"/>
    <w:rsid w:val="0000283E"/>
    <w:rsid w:val="00003E6C"/>
    <w:rsid w:val="00006D55"/>
    <w:rsid w:val="00012E88"/>
    <w:rsid w:val="00017118"/>
    <w:rsid w:val="00020814"/>
    <w:rsid w:val="00030675"/>
    <w:rsid w:val="00030AA2"/>
    <w:rsid w:val="000456B8"/>
    <w:rsid w:val="0005229D"/>
    <w:rsid w:val="00053B1F"/>
    <w:rsid w:val="00062A5C"/>
    <w:rsid w:val="00062D4A"/>
    <w:rsid w:val="000719B5"/>
    <w:rsid w:val="0007641F"/>
    <w:rsid w:val="00090FA6"/>
    <w:rsid w:val="000974DE"/>
    <w:rsid w:val="000A3CFF"/>
    <w:rsid w:val="000B4865"/>
    <w:rsid w:val="000C4C7D"/>
    <w:rsid w:val="000C4D6D"/>
    <w:rsid w:val="000D42DD"/>
    <w:rsid w:val="000E24C4"/>
    <w:rsid w:val="000E415B"/>
    <w:rsid w:val="000E586B"/>
    <w:rsid w:val="000F4F75"/>
    <w:rsid w:val="00115EA6"/>
    <w:rsid w:val="00120A05"/>
    <w:rsid w:val="001304D5"/>
    <w:rsid w:val="001355E9"/>
    <w:rsid w:val="0014578C"/>
    <w:rsid w:val="001620B7"/>
    <w:rsid w:val="00165158"/>
    <w:rsid w:val="00186246"/>
    <w:rsid w:val="00186CCB"/>
    <w:rsid w:val="00193603"/>
    <w:rsid w:val="0019469D"/>
    <w:rsid w:val="001A6D6E"/>
    <w:rsid w:val="001C0F7B"/>
    <w:rsid w:val="001C16C6"/>
    <w:rsid w:val="001C63BA"/>
    <w:rsid w:val="001C6D40"/>
    <w:rsid w:val="001D4333"/>
    <w:rsid w:val="001D4F4A"/>
    <w:rsid w:val="001D56FC"/>
    <w:rsid w:val="001D5F99"/>
    <w:rsid w:val="001D71E5"/>
    <w:rsid w:val="001E2ED6"/>
    <w:rsid w:val="001F0B30"/>
    <w:rsid w:val="001F7AF1"/>
    <w:rsid w:val="0020120D"/>
    <w:rsid w:val="002039EF"/>
    <w:rsid w:val="00221C40"/>
    <w:rsid w:val="00225A88"/>
    <w:rsid w:val="00226649"/>
    <w:rsid w:val="0023380B"/>
    <w:rsid w:val="002451BC"/>
    <w:rsid w:val="002537EB"/>
    <w:rsid w:val="00273F48"/>
    <w:rsid w:val="0028065A"/>
    <w:rsid w:val="002812D1"/>
    <w:rsid w:val="0028244F"/>
    <w:rsid w:val="00293DE2"/>
    <w:rsid w:val="00295B5F"/>
    <w:rsid w:val="002975BC"/>
    <w:rsid w:val="00297F8B"/>
    <w:rsid w:val="002A21AA"/>
    <w:rsid w:val="002A25AB"/>
    <w:rsid w:val="002C49D2"/>
    <w:rsid w:val="002E056A"/>
    <w:rsid w:val="002E08EB"/>
    <w:rsid w:val="002E5521"/>
    <w:rsid w:val="002F18D5"/>
    <w:rsid w:val="002F27A0"/>
    <w:rsid w:val="002F5E6D"/>
    <w:rsid w:val="002F73F6"/>
    <w:rsid w:val="0030279F"/>
    <w:rsid w:val="00304582"/>
    <w:rsid w:val="00307E05"/>
    <w:rsid w:val="003159D7"/>
    <w:rsid w:val="00320CE2"/>
    <w:rsid w:val="003228EB"/>
    <w:rsid w:val="00323BBB"/>
    <w:rsid w:val="00331596"/>
    <w:rsid w:val="003322C6"/>
    <w:rsid w:val="00336EE8"/>
    <w:rsid w:val="00337079"/>
    <w:rsid w:val="00337B90"/>
    <w:rsid w:val="00340BDC"/>
    <w:rsid w:val="003442EF"/>
    <w:rsid w:val="00352F8B"/>
    <w:rsid w:val="00362CB2"/>
    <w:rsid w:val="00362DA6"/>
    <w:rsid w:val="0039355A"/>
    <w:rsid w:val="003936DE"/>
    <w:rsid w:val="00394E4A"/>
    <w:rsid w:val="003A4E02"/>
    <w:rsid w:val="003B3503"/>
    <w:rsid w:val="003B4403"/>
    <w:rsid w:val="003B77AF"/>
    <w:rsid w:val="003C600A"/>
    <w:rsid w:val="003D4553"/>
    <w:rsid w:val="003E4B1B"/>
    <w:rsid w:val="003F1052"/>
    <w:rsid w:val="003F71B3"/>
    <w:rsid w:val="00401E3A"/>
    <w:rsid w:val="004035CA"/>
    <w:rsid w:val="004052AD"/>
    <w:rsid w:val="00422DEB"/>
    <w:rsid w:val="00426496"/>
    <w:rsid w:val="00430834"/>
    <w:rsid w:val="00433CC5"/>
    <w:rsid w:val="00434CD6"/>
    <w:rsid w:val="0044399B"/>
    <w:rsid w:val="00445A11"/>
    <w:rsid w:val="004460CB"/>
    <w:rsid w:val="00446D49"/>
    <w:rsid w:val="00446D79"/>
    <w:rsid w:val="00460AB3"/>
    <w:rsid w:val="00465382"/>
    <w:rsid w:val="0047682B"/>
    <w:rsid w:val="00481FB5"/>
    <w:rsid w:val="00485075"/>
    <w:rsid w:val="0049058C"/>
    <w:rsid w:val="00490E29"/>
    <w:rsid w:val="00494085"/>
    <w:rsid w:val="004960F9"/>
    <w:rsid w:val="0049626A"/>
    <w:rsid w:val="00496F2A"/>
    <w:rsid w:val="00497ADC"/>
    <w:rsid w:val="004A0228"/>
    <w:rsid w:val="004A0C20"/>
    <w:rsid w:val="004B3515"/>
    <w:rsid w:val="004C5C9C"/>
    <w:rsid w:val="004E27C7"/>
    <w:rsid w:val="004F3C9C"/>
    <w:rsid w:val="004F4287"/>
    <w:rsid w:val="004F5BC8"/>
    <w:rsid w:val="005060F9"/>
    <w:rsid w:val="005315F1"/>
    <w:rsid w:val="00533B09"/>
    <w:rsid w:val="00536DFE"/>
    <w:rsid w:val="00547A4D"/>
    <w:rsid w:val="0055132D"/>
    <w:rsid w:val="00557A89"/>
    <w:rsid w:val="00567188"/>
    <w:rsid w:val="00577BC7"/>
    <w:rsid w:val="00577DF4"/>
    <w:rsid w:val="00583250"/>
    <w:rsid w:val="00583E8B"/>
    <w:rsid w:val="00593A04"/>
    <w:rsid w:val="005975CF"/>
    <w:rsid w:val="005A2F2E"/>
    <w:rsid w:val="005A5DB8"/>
    <w:rsid w:val="005B2607"/>
    <w:rsid w:val="005B4CFF"/>
    <w:rsid w:val="005B7EA8"/>
    <w:rsid w:val="005D09FA"/>
    <w:rsid w:val="005E534B"/>
    <w:rsid w:val="005E6C5E"/>
    <w:rsid w:val="00606ED0"/>
    <w:rsid w:val="006163FF"/>
    <w:rsid w:val="00645575"/>
    <w:rsid w:val="00676D6D"/>
    <w:rsid w:val="00676E99"/>
    <w:rsid w:val="00685CFE"/>
    <w:rsid w:val="00697125"/>
    <w:rsid w:val="006973B1"/>
    <w:rsid w:val="006C0417"/>
    <w:rsid w:val="006C0B0E"/>
    <w:rsid w:val="006E3C0B"/>
    <w:rsid w:val="006E73DE"/>
    <w:rsid w:val="006E77B5"/>
    <w:rsid w:val="006F077C"/>
    <w:rsid w:val="0070545D"/>
    <w:rsid w:val="00713F55"/>
    <w:rsid w:val="00716F27"/>
    <w:rsid w:val="00726D91"/>
    <w:rsid w:val="0073221B"/>
    <w:rsid w:val="00733979"/>
    <w:rsid w:val="00737298"/>
    <w:rsid w:val="0075313B"/>
    <w:rsid w:val="007540AE"/>
    <w:rsid w:val="00761000"/>
    <w:rsid w:val="00782044"/>
    <w:rsid w:val="00783015"/>
    <w:rsid w:val="0078753B"/>
    <w:rsid w:val="007915F1"/>
    <w:rsid w:val="0079309B"/>
    <w:rsid w:val="007930A2"/>
    <w:rsid w:val="00797277"/>
    <w:rsid w:val="007A34F0"/>
    <w:rsid w:val="007B1C1B"/>
    <w:rsid w:val="007B4A46"/>
    <w:rsid w:val="007C482F"/>
    <w:rsid w:val="007C7753"/>
    <w:rsid w:val="00800549"/>
    <w:rsid w:val="00803EA6"/>
    <w:rsid w:val="00805AC2"/>
    <w:rsid w:val="0081123D"/>
    <w:rsid w:val="0083336D"/>
    <w:rsid w:val="008350F3"/>
    <w:rsid w:val="00842254"/>
    <w:rsid w:val="008430B2"/>
    <w:rsid w:val="00845A5D"/>
    <w:rsid w:val="00852426"/>
    <w:rsid w:val="0085699C"/>
    <w:rsid w:val="00863A02"/>
    <w:rsid w:val="008715D0"/>
    <w:rsid w:val="00874ED0"/>
    <w:rsid w:val="00875D61"/>
    <w:rsid w:val="008773DE"/>
    <w:rsid w:val="00880131"/>
    <w:rsid w:val="00887FD0"/>
    <w:rsid w:val="008907D7"/>
    <w:rsid w:val="008A1270"/>
    <w:rsid w:val="008B65FC"/>
    <w:rsid w:val="008C081F"/>
    <w:rsid w:val="008C089E"/>
    <w:rsid w:val="008C3B47"/>
    <w:rsid w:val="008D6AA7"/>
    <w:rsid w:val="008E1903"/>
    <w:rsid w:val="008F0E14"/>
    <w:rsid w:val="008F6FC5"/>
    <w:rsid w:val="008F7688"/>
    <w:rsid w:val="009043EB"/>
    <w:rsid w:val="009155B3"/>
    <w:rsid w:val="00915E8B"/>
    <w:rsid w:val="00925734"/>
    <w:rsid w:val="0093037A"/>
    <w:rsid w:val="0093540C"/>
    <w:rsid w:val="009440CA"/>
    <w:rsid w:val="00946F67"/>
    <w:rsid w:val="00964CC3"/>
    <w:rsid w:val="00967559"/>
    <w:rsid w:val="00975E47"/>
    <w:rsid w:val="00976837"/>
    <w:rsid w:val="009877F9"/>
    <w:rsid w:val="00994744"/>
    <w:rsid w:val="009972A0"/>
    <w:rsid w:val="009A7B5F"/>
    <w:rsid w:val="009B72DA"/>
    <w:rsid w:val="009B73B8"/>
    <w:rsid w:val="009B751E"/>
    <w:rsid w:val="009C4F16"/>
    <w:rsid w:val="009C6530"/>
    <w:rsid w:val="009C7123"/>
    <w:rsid w:val="009D10B9"/>
    <w:rsid w:val="009E0AC5"/>
    <w:rsid w:val="009E792E"/>
    <w:rsid w:val="009F40B0"/>
    <w:rsid w:val="00A01114"/>
    <w:rsid w:val="00A023CB"/>
    <w:rsid w:val="00A04DFF"/>
    <w:rsid w:val="00A145F9"/>
    <w:rsid w:val="00A3700B"/>
    <w:rsid w:val="00A50EFD"/>
    <w:rsid w:val="00A73AF7"/>
    <w:rsid w:val="00A76B7A"/>
    <w:rsid w:val="00AA0E3E"/>
    <w:rsid w:val="00AA11ED"/>
    <w:rsid w:val="00AB0FFC"/>
    <w:rsid w:val="00AB47A5"/>
    <w:rsid w:val="00AC4C33"/>
    <w:rsid w:val="00AD6108"/>
    <w:rsid w:val="00AE493A"/>
    <w:rsid w:val="00B02002"/>
    <w:rsid w:val="00B06DAE"/>
    <w:rsid w:val="00B0706A"/>
    <w:rsid w:val="00B072FE"/>
    <w:rsid w:val="00B10EBA"/>
    <w:rsid w:val="00B15568"/>
    <w:rsid w:val="00B1630F"/>
    <w:rsid w:val="00B2041F"/>
    <w:rsid w:val="00B23600"/>
    <w:rsid w:val="00B3074C"/>
    <w:rsid w:val="00B3156D"/>
    <w:rsid w:val="00B34C8E"/>
    <w:rsid w:val="00B60A29"/>
    <w:rsid w:val="00B63ED2"/>
    <w:rsid w:val="00B6555E"/>
    <w:rsid w:val="00B82394"/>
    <w:rsid w:val="00B84B4A"/>
    <w:rsid w:val="00B853F5"/>
    <w:rsid w:val="00B97123"/>
    <w:rsid w:val="00BA7495"/>
    <w:rsid w:val="00BB34BB"/>
    <w:rsid w:val="00BB4864"/>
    <w:rsid w:val="00BB542E"/>
    <w:rsid w:val="00BC07B2"/>
    <w:rsid w:val="00BC357B"/>
    <w:rsid w:val="00BC6284"/>
    <w:rsid w:val="00BD3084"/>
    <w:rsid w:val="00BD77FE"/>
    <w:rsid w:val="00BE64E7"/>
    <w:rsid w:val="00BE64E8"/>
    <w:rsid w:val="00BF1373"/>
    <w:rsid w:val="00C018AA"/>
    <w:rsid w:val="00C02390"/>
    <w:rsid w:val="00C034C4"/>
    <w:rsid w:val="00C0645F"/>
    <w:rsid w:val="00C15A34"/>
    <w:rsid w:val="00C204EA"/>
    <w:rsid w:val="00C20804"/>
    <w:rsid w:val="00C21FDD"/>
    <w:rsid w:val="00C22841"/>
    <w:rsid w:val="00C23D45"/>
    <w:rsid w:val="00C27C0B"/>
    <w:rsid w:val="00C46081"/>
    <w:rsid w:val="00C47BDA"/>
    <w:rsid w:val="00C56826"/>
    <w:rsid w:val="00C66354"/>
    <w:rsid w:val="00C72ADA"/>
    <w:rsid w:val="00C74CB8"/>
    <w:rsid w:val="00C95318"/>
    <w:rsid w:val="00C9544D"/>
    <w:rsid w:val="00CB406B"/>
    <w:rsid w:val="00CC1D30"/>
    <w:rsid w:val="00CC692D"/>
    <w:rsid w:val="00CD00D2"/>
    <w:rsid w:val="00CD08B9"/>
    <w:rsid w:val="00CD4231"/>
    <w:rsid w:val="00CE1048"/>
    <w:rsid w:val="00CE547F"/>
    <w:rsid w:val="00CE6766"/>
    <w:rsid w:val="00CF06A3"/>
    <w:rsid w:val="00D1594E"/>
    <w:rsid w:val="00D20C54"/>
    <w:rsid w:val="00D22C94"/>
    <w:rsid w:val="00D33210"/>
    <w:rsid w:val="00D41874"/>
    <w:rsid w:val="00D45694"/>
    <w:rsid w:val="00D45A89"/>
    <w:rsid w:val="00D702D4"/>
    <w:rsid w:val="00D71761"/>
    <w:rsid w:val="00D75747"/>
    <w:rsid w:val="00D800A2"/>
    <w:rsid w:val="00DB070E"/>
    <w:rsid w:val="00DB6336"/>
    <w:rsid w:val="00DC6FEB"/>
    <w:rsid w:val="00DD0B2C"/>
    <w:rsid w:val="00DD2AA1"/>
    <w:rsid w:val="00DD4575"/>
    <w:rsid w:val="00DE39D6"/>
    <w:rsid w:val="00DF6E7E"/>
    <w:rsid w:val="00E01608"/>
    <w:rsid w:val="00E07A0F"/>
    <w:rsid w:val="00E1092A"/>
    <w:rsid w:val="00E1488C"/>
    <w:rsid w:val="00E2437F"/>
    <w:rsid w:val="00E26394"/>
    <w:rsid w:val="00E42098"/>
    <w:rsid w:val="00E42774"/>
    <w:rsid w:val="00E47DCD"/>
    <w:rsid w:val="00E51E3F"/>
    <w:rsid w:val="00E525DE"/>
    <w:rsid w:val="00E52A3C"/>
    <w:rsid w:val="00E537FC"/>
    <w:rsid w:val="00E6518D"/>
    <w:rsid w:val="00E73246"/>
    <w:rsid w:val="00E822CD"/>
    <w:rsid w:val="00E90AC9"/>
    <w:rsid w:val="00EB1B0B"/>
    <w:rsid w:val="00ED48AE"/>
    <w:rsid w:val="00ED6E3B"/>
    <w:rsid w:val="00EE0E93"/>
    <w:rsid w:val="00EE51AB"/>
    <w:rsid w:val="00EF40E7"/>
    <w:rsid w:val="00F00703"/>
    <w:rsid w:val="00F022A0"/>
    <w:rsid w:val="00F04B9D"/>
    <w:rsid w:val="00F05CC0"/>
    <w:rsid w:val="00F105A4"/>
    <w:rsid w:val="00F118F7"/>
    <w:rsid w:val="00F249F2"/>
    <w:rsid w:val="00F25CCF"/>
    <w:rsid w:val="00F26173"/>
    <w:rsid w:val="00F30BBD"/>
    <w:rsid w:val="00F32E6D"/>
    <w:rsid w:val="00F35F20"/>
    <w:rsid w:val="00F559A3"/>
    <w:rsid w:val="00F6321E"/>
    <w:rsid w:val="00F65B90"/>
    <w:rsid w:val="00F80038"/>
    <w:rsid w:val="00F865F1"/>
    <w:rsid w:val="00FA1028"/>
    <w:rsid w:val="00FA619B"/>
    <w:rsid w:val="00FB5341"/>
    <w:rsid w:val="00FE2D23"/>
    <w:rsid w:val="00FE4F89"/>
    <w:rsid w:val="00FF6047"/>
    <w:rsid w:val="00FF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paragraph" w:styleId="Heading2">
    <w:name w:val="heading 2"/>
    <w:basedOn w:val="Normal"/>
    <w:next w:val="Normal"/>
    <w:link w:val="Heading2Char"/>
    <w:uiPriority w:val="9"/>
    <w:semiHidden/>
    <w:unhideWhenUsed/>
    <w:qFormat/>
    <w:rsid w:val="008801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8A1270"/>
    <w:pPr>
      <w:keepNext/>
      <w:spacing w:before="80" w:line="240" w:lineRule="auto"/>
      <w:jc w:val="both"/>
      <w:outlineLvl w:val="3"/>
    </w:pPr>
    <w:rPr>
      <w:rFonts w:ascii="Arial" w:eastAsia="Times New Roman" w:hAnsi="Arial" w:cs="Times New Roman"/>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A1270"/>
    <w:rPr>
      <w:rFonts w:ascii="Arial" w:eastAsia="Times New Roman" w:hAnsi="Arial" w:cs="Times New Roman"/>
      <w:b/>
      <w:bCs/>
      <w:sz w:val="18"/>
      <w:szCs w:val="24"/>
    </w:rPr>
  </w:style>
  <w:style w:type="paragraph" w:styleId="ListParagraph">
    <w:name w:val="List Paragraph"/>
    <w:basedOn w:val="Normal"/>
    <w:uiPriority w:val="34"/>
    <w:qFormat/>
    <w:rsid w:val="002F27A0"/>
    <w:pPr>
      <w:ind w:left="720"/>
      <w:contextualSpacing/>
    </w:pPr>
  </w:style>
  <w:style w:type="paragraph" w:styleId="Header">
    <w:name w:val="header"/>
    <w:basedOn w:val="Normal"/>
    <w:link w:val="HeaderChar"/>
    <w:uiPriority w:val="99"/>
    <w:semiHidden/>
    <w:unhideWhenUsed/>
    <w:rsid w:val="006163F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163FF"/>
  </w:style>
  <w:style w:type="paragraph" w:styleId="Footer">
    <w:name w:val="footer"/>
    <w:basedOn w:val="Normal"/>
    <w:link w:val="FooterChar"/>
    <w:uiPriority w:val="99"/>
    <w:unhideWhenUsed/>
    <w:rsid w:val="006163FF"/>
    <w:pPr>
      <w:tabs>
        <w:tab w:val="center" w:pos="4513"/>
        <w:tab w:val="right" w:pos="9026"/>
      </w:tabs>
      <w:spacing w:line="240" w:lineRule="auto"/>
    </w:pPr>
  </w:style>
  <w:style w:type="character" w:customStyle="1" w:styleId="FooterChar">
    <w:name w:val="Footer Char"/>
    <w:basedOn w:val="DefaultParagraphFont"/>
    <w:link w:val="Footer"/>
    <w:uiPriority w:val="99"/>
    <w:rsid w:val="006163FF"/>
  </w:style>
  <w:style w:type="character" w:styleId="Hyperlink">
    <w:name w:val="Hyperlink"/>
    <w:basedOn w:val="DefaultParagraphFont"/>
    <w:uiPriority w:val="99"/>
    <w:unhideWhenUsed/>
    <w:rsid w:val="00D1594E"/>
    <w:rPr>
      <w:color w:val="0000FF" w:themeColor="hyperlink"/>
      <w:u w:val="single"/>
    </w:rPr>
  </w:style>
  <w:style w:type="character" w:styleId="FollowedHyperlink">
    <w:name w:val="FollowedHyperlink"/>
    <w:basedOn w:val="DefaultParagraphFont"/>
    <w:uiPriority w:val="99"/>
    <w:semiHidden/>
    <w:unhideWhenUsed/>
    <w:rsid w:val="00D1594E"/>
    <w:rPr>
      <w:color w:val="800080" w:themeColor="followedHyperlink"/>
      <w:u w:val="single"/>
    </w:rPr>
  </w:style>
  <w:style w:type="character" w:customStyle="1" w:styleId="ti2">
    <w:name w:val="ti2"/>
    <w:basedOn w:val="DefaultParagraphFont"/>
    <w:rsid w:val="00761000"/>
  </w:style>
  <w:style w:type="paragraph" w:styleId="Caption">
    <w:name w:val="caption"/>
    <w:basedOn w:val="Normal"/>
    <w:next w:val="Normal"/>
    <w:qFormat/>
    <w:rsid w:val="00E90AC9"/>
    <w:pPr>
      <w:spacing w:after="240" w:line="240" w:lineRule="auto"/>
    </w:pPr>
    <w:rPr>
      <w:rFonts w:ascii="Arial" w:eastAsia="Times New Roman" w:hAnsi="Arial" w:cs="Times New Roman"/>
      <w:b/>
      <w:sz w:val="18"/>
      <w:szCs w:val="20"/>
    </w:rPr>
  </w:style>
  <w:style w:type="paragraph" w:styleId="EnvelopeReturn">
    <w:name w:val="envelope return"/>
    <w:basedOn w:val="Normal"/>
    <w:semiHidden/>
    <w:rsid w:val="00E90AC9"/>
    <w:pPr>
      <w:spacing w:line="240" w:lineRule="auto"/>
    </w:pPr>
    <w:rPr>
      <w:rFonts w:ascii="Arial" w:eastAsia="Times New Roman" w:hAnsi="Arial" w:cs="Times New Roman"/>
      <w:sz w:val="20"/>
      <w:szCs w:val="20"/>
    </w:rPr>
  </w:style>
  <w:style w:type="character" w:customStyle="1" w:styleId="ti">
    <w:name w:val="ti"/>
    <w:basedOn w:val="DefaultParagraphFont"/>
    <w:rsid w:val="009C7123"/>
  </w:style>
  <w:style w:type="character" w:styleId="CommentReference">
    <w:name w:val="annotation reference"/>
    <w:basedOn w:val="DefaultParagraphFont"/>
    <w:uiPriority w:val="99"/>
    <w:semiHidden/>
    <w:unhideWhenUsed/>
    <w:rsid w:val="00307E05"/>
    <w:rPr>
      <w:sz w:val="16"/>
      <w:szCs w:val="16"/>
    </w:rPr>
  </w:style>
  <w:style w:type="paragraph" w:styleId="CommentText">
    <w:name w:val="annotation text"/>
    <w:basedOn w:val="Normal"/>
    <w:link w:val="CommentTextChar"/>
    <w:uiPriority w:val="99"/>
    <w:semiHidden/>
    <w:unhideWhenUsed/>
    <w:rsid w:val="00307E05"/>
    <w:pPr>
      <w:spacing w:line="240" w:lineRule="auto"/>
    </w:pPr>
    <w:rPr>
      <w:sz w:val="20"/>
      <w:szCs w:val="20"/>
    </w:rPr>
  </w:style>
  <w:style w:type="character" w:customStyle="1" w:styleId="CommentTextChar">
    <w:name w:val="Comment Text Char"/>
    <w:basedOn w:val="DefaultParagraphFont"/>
    <w:link w:val="CommentText"/>
    <w:uiPriority w:val="99"/>
    <w:semiHidden/>
    <w:rsid w:val="00307E05"/>
    <w:rPr>
      <w:sz w:val="20"/>
      <w:szCs w:val="20"/>
    </w:rPr>
  </w:style>
  <w:style w:type="paragraph" w:styleId="CommentSubject">
    <w:name w:val="annotation subject"/>
    <w:basedOn w:val="CommentText"/>
    <w:next w:val="CommentText"/>
    <w:link w:val="CommentSubjectChar"/>
    <w:uiPriority w:val="99"/>
    <w:semiHidden/>
    <w:unhideWhenUsed/>
    <w:rsid w:val="00307E05"/>
    <w:rPr>
      <w:b/>
      <w:bCs/>
    </w:rPr>
  </w:style>
  <w:style w:type="character" w:customStyle="1" w:styleId="CommentSubjectChar">
    <w:name w:val="Comment Subject Char"/>
    <w:basedOn w:val="CommentTextChar"/>
    <w:link w:val="CommentSubject"/>
    <w:uiPriority w:val="99"/>
    <w:semiHidden/>
    <w:rsid w:val="00307E05"/>
    <w:rPr>
      <w:b/>
      <w:bCs/>
      <w:sz w:val="20"/>
      <w:szCs w:val="20"/>
    </w:rPr>
  </w:style>
  <w:style w:type="paragraph" w:styleId="BalloonText">
    <w:name w:val="Balloon Text"/>
    <w:basedOn w:val="Normal"/>
    <w:link w:val="BalloonTextChar"/>
    <w:uiPriority w:val="99"/>
    <w:semiHidden/>
    <w:unhideWhenUsed/>
    <w:rsid w:val="00307E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E05"/>
    <w:rPr>
      <w:rFonts w:ascii="Tahoma" w:hAnsi="Tahoma" w:cs="Tahoma"/>
      <w:sz w:val="16"/>
      <w:szCs w:val="16"/>
    </w:rPr>
  </w:style>
  <w:style w:type="character" w:customStyle="1" w:styleId="Heading2Char">
    <w:name w:val="Heading 2 Char"/>
    <w:basedOn w:val="DefaultParagraphFont"/>
    <w:link w:val="Heading2"/>
    <w:uiPriority w:val="9"/>
    <w:semiHidden/>
    <w:rsid w:val="0088013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paragraph" w:styleId="Heading2">
    <w:name w:val="heading 2"/>
    <w:basedOn w:val="Normal"/>
    <w:next w:val="Normal"/>
    <w:link w:val="Heading2Char"/>
    <w:uiPriority w:val="9"/>
    <w:semiHidden/>
    <w:unhideWhenUsed/>
    <w:qFormat/>
    <w:rsid w:val="008801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8A1270"/>
    <w:pPr>
      <w:keepNext/>
      <w:spacing w:before="80" w:line="240" w:lineRule="auto"/>
      <w:jc w:val="both"/>
      <w:outlineLvl w:val="3"/>
    </w:pPr>
    <w:rPr>
      <w:rFonts w:ascii="Arial" w:eastAsia="Times New Roman" w:hAnsi="Arial" w:cs="Times New Roman"/>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A1270"/>
    <w:rPr>
      <w:rFonts w:ascii="Arial" w:eastAsia="Times New Roman" w:hAnsi="Arial" w:cs="Times New Roman"/>
      <w:b/>
      <w:bCs/>
      <w:sz w:val="18"/>
      <w:szCs w:val="24"/>
    </w:rPr>
  </w:style>
  <w:style w:type="paragraph" w:styleId="ListParagraph">
    <w:name w:val="List Paragraph"/>
    <w:basedOn w:val="Normal"/>
    <w:uiPriority w:val="34"/>
    <w:qFormat/>
    <w:rsid w:val="002F27A0"/>
    <w:pPr>
      <w:ind w:left="720"/>
      <w:contextualSpacing/>
    </w:pPr>
  </w:style>
  <w:style w:type="paragraph" w:styleId="Header">
    <w:name w:val="header"/>
    <w:basedOn w:val="Normal"/>
    <w:link w:val="HeaderChar"/>
    <w:uiPriority w:val="99"/>
    <w:semiHidden/>
    <w:unhideWhenUsed/>
    <w:rsid w:val="006163F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163FF"/>
  </w:style>
  <w:style w:type="paragraph" w:styleId="Footer">
    <w:name w:val="footer"/>
    <w:basedOn w:val="Normal"/>
    <w:link w:val="FooterChar"/>
    <w:uiPriority w:val="99"/>
    <w:unhideWhenUsed/>
    <w:rsid w:val="006163FF"/>
    <w:pPr>
      <w:tabs>
        <w:tab w:val="center" w:pos="4513"/>
        <w:tab w:val="right" w:pos="9026"/>
      </w:tabs>
      <w:spacing w:line="240" w:lineRule="auto"/>
    </w:pPr>
  </w:style>
  <w:style w:type="character" w:customStyle="1" w:styleId="FooterChar">
    <w:name w:val="Footer Char"/>
    <w:basedOn w:val="DefaultParagraphFont"/>
    <w:link w:val="Footer"/>
    <w:uiPriority w:val="99"/>
    <w:rsid w:val="006163FF"/>
  </w:style>
  <w:style w:type="character" w:styleId="Hyperlink">
    <w:name w:val="Hyperlink"/>
    <w:basedOn w:val="DefaultParagraphFont"/>
    <w:uiPriority w:val="99"/>
    <w:unhideWhenUsed/>
    <w:rsid w:val="00D1594E"/>
    <w:rPr>
      <w:color w:val="0000FF" w:themeColor="hyperlink"/>
      <w:u w:val="single"/>
    </w:rPr>
  </w:style>
  <w:style w:type="character" w:styleId="FollowedHyperlink">
    <w:name w:val="FollowedHyperlink"/>
    <w:basedOn w:val="DefaultParagraphFont"/>
    <w:uiPriority w:val="99"/>
    <w:semiHidden/>
    <w:unhideWhenUsed/>
    <w:rsid w:val="00D1594E"/>
    <w:rPr>
      <w:color w:val="800080" w:themeColor="followedHyperlink"/>
      <w:u w:val="single"/>
    </w:rPr>
  </w:style>
  <w:style w:type="character" w:customStyle="1" w:styleId="ti2">
    <w:name w:val="ti2"/>
    <w:basedOn w:val="DefaultParagraphFont"/>
    <w:rsid w:val="00761000"/>
  </w:style>
  <w:style w:type="paragraph" w:styleId="Caption">
    <w:name w:val="caption"/>
    <w:basedOn w:val="Normal"/>
    <w:next w:val="Normal"/>
    <w:qFormat/>
    <w:rsid w:val="00E90AC9"/>
    <w:pPr>
      <w:spacing w:after="240" w:line="240" w:lineRule="auto"/>
    </w:pPr>
    <w:rPr>
      <w:rFonts w:ascii="Arial" w:eastAsia="Times New Roman" w:hAnsi="Arial" w:cs="Times New Roman"/>
      <w:b/>
      <w:sz w:val="18"/>
      <w:szCs w:val="20"/>
    </w:rPr>
  </w:style>
  <w:style w:type="paragraph" w:styleId="EnvelopeReturn">
    <w:name w:val="envelope return"/>
    <w:basedOn w:val="Normal"/>
    <w:semiHidden/>
    <w:rsid w:val="00E90AC9"/>
    <w:pPr>
      <w:spacing w:line="240" w:lineRule="auto"/>
    </w:pPr>
    <w:rPr>
      <w:rFonts w:ascii="Arial" w:eastAsia="Times New Roman" w:hAnsi="Arial" w:cs="Times New Roman"/>
      <w:sz w:val="20"/>
      <w:szCs w:val="20"/>
    </w:rPr>
  </w:style>
  <w:style w:type="character" w:customStyle="1" w:styleId="ti">
    <w:name w:val="ti"/>
    <w:basedOn w:val="DefaultParagraphFont"/>
    <w:rsid w:val="009C7123"/>
  </w:style>
  <w:style w:type="character" w:styleId="CommentReference">
    <w:name w:val="annotation reference"/>
    <w:basedOn w:val="DefaultParagraphFont"/>
    <w:uiPriority w:val="99"/>
    <w:semiHidden/>
    <w:unhideWhenUsed/>
    <w:rsid w:val="00307E05"/>
    <w:rPr>
      <w:sz w:val="16"/>
      <w:szCs w:val="16"/>
    </w:rPr>
  </w:style>
  <w:style w:type="paragraph" w:styleId="CommentText">
    <w:name w:val="annotation text"/>
    <w:basedOn w:val="Normal"/>
    <w:link w:val="CommentTextChar"/>
    <w:uiPriority w:val="99"/>
    <w:semiHidden/>
    <w:unhideWhenUsed/>
    <w:rsid w:val="00307E05"/>
    <w:pPr>
      <w:spacing w:line="240" w:lineRule="auto"/>
    </w:pPr>
    <w:rPr>
      <w:sz w:val="20"/>
      <w:szCs w:val="20"/>
    </w:rPr>
  </w:style>
  <w:style w:type="character" w:customStyle="1" w:styleId="CommentTextChar">
    <w:name w:val="Comment Text Char"/>
    <w:basedOn w:val="DefaultParagraphFont"/>
    <w:link w:val="CommentText"/>
    <w:uiPriority w:val="99"/>
    <w:semiHidden/>
    <w:rsid w:val="00307E05"/>
    <w:rPr>
      <w:sz w:val="20"/>
      <w:szCs w:val="20"/>
    </w:rPr>
  </w:style>
  <w:style w:type="paragraph" w:styleId="CommentSubject">
    <w:name w:val="annotation subject"/>
    <w:basedOn w:val="CommentText"/>
    <w:next w:val="CommentText"/>
    <w:link w:val="CommentSubjectChar"/>
    <w:uiPriority w:val="99"/>
    <w:semiHidden/>
    <w:unhideWhenUsed/>
    <w:rsid w:val="00307E05"/>
    <w:rPr>
      <w:b/>
      <w:bCs/>
    </w:rPr>
  </w:style>
  <w:style w:type="character" w:customStyle="1" w:styleId="CommentSubjectChar">
    <w:name w:val="Comment Subject Char"/>
    <w:basedOn w:val="CommentTextChar"/>
    <w:link w:val="CommentSubject"/>
    <w:uiPriority w:val="99"/>
    <w:semiHidden/>
    <w:rsid w:val="00307E05"/>
    <w:rPr>
      <w:b/>
      <w:bCs/>
      <w:sz w:val="20"/>
      <w:szCs w:val="20"/>
    </w:rPr>
  </w:style>
  <w:style w:type="paragraph" w:styleId="BalloonText">
    <w:name w:val="Balloon Text"/>
    <w:basedOn w:val="Normal"/>
    <w:link w:val="BalloonTextChar"/>
    <w:uiPriority w:val="99"/>
    <w:semiHidden/>
    <w:unhideWhenUsed/>
    <w:rsid w:val="00307E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E05"/>
    <w:rPr>
      <w:rFonts w:ascii="Tahoma" w:hAnsi="Tahoma" w:cs="Tahoma"/>
      <w:sz w:val="16"/>
      <w:szCs w:val="16"/>
    </w:rPr>
  </w:style>
  <w:style w:type="character" w:customStyle="1" w:styleId="Heading2Char">
    <w:name w:val="Heading 2 Char"/>
    <w:basedOn w:val="DefaultParagraphFont"/>
    <w:link w:val="Heading2"/>
    <w:uiPriority w:val="9"/>
    <w:semiHidden/>
    <w:rsid w:val="0088013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93680">
      <w:bodyDiv w:val="1"/>
      <w:marLeft w:val="0"/>
      <w:marRight w:val="0"/>
      <w:marTop w:val="0"/>
      <w:marBottom w:val="0"/>
      <w:divBdr>
        <w:top w:val="none" w:sz="0" w:space="0" w:color="auto"/>
        <w:left w:val="none" w:sz="0" w:space="0" w:color="auto"/>
        <w:bottom w:val="none" w:sz="0" w:space="0" w:color="auto"/>
        <w:right w:val="none" w:sz="0" w:space="0" w:color="auto"/>
      </w:divBdr>
    </w:div>
    <w:div w:id="500971010">
      <w:bodyDiv w:val="1"/>
      <w:marLeft w:val="0"/>
      <w:marRight w:val="0"/>
      <w:marTop w:val="0"/>
      <w:marBottom w:val="0"/>
      <w:divBdr>
        <w:top w:val="none" w:sz="0" w:space="0" w:color="auto"/>
        <w:left w:val="none" w:sz="0" w:space="0" w:color="auto"/>
        <w:bottom w:val="none" w:sz="0" w:space="0" w:color="auto"/>
        <w:right w:val="none" w:sz="0" w:space="0" w:color="auto"/>
      </w:divBdr>
    </w:div>
    <w:div w:id="504899961">
      <w:bodyDiv w:val="1"/>
      <w:marLeft w:val="0"/>
      <w:marRight w:val="0"/>
      <w:marTop w:val="0"/>
      <w:marBottom w:val="0"/>
      <w:divBdr>
        <w:top w:val="none" w:sz="0" w:space="0" w:color="auto"/>
        <w:left w:val="none" w:sz="0" w:space="0" w:color="auto"/>
        <w:bottom w:val="none" w:sz="0" w:space="0" w:color="auto"/>
        <w:right w:val="none" w:sz="0" w:space="0" w:color="auto"/>
      </w:divBdr>
    </w:div>
    <w:div w:id="754789308">
      <w:bodyDiv w:val="1"/>
      <w:marLeft w:val="0"/>
      <w:marRight w:val="0"/>
      <w:marTop w:val="0"/>
      <w:marBottom w:val="0"/>
      <w:divBdr>
        <w:top w:val="none" w:sz="0" w:space="0" w:color="auto"/>
        <w:left w:val="none" w:sz="0" w:space="0" w:color="auto"/>
        <w:bottom w:val="none" w:sz="0" w:space="0" w:color="auto"/>
        <w:right w:val="none" w:sz="0" w:space="0" w:color="auto"/>
      </w:divBdr>
    </w:div>
    <w:div w:id="818152703">
      <w:bodyDiv w:val="1"/>
      <w:marLeft w:val="0"/>
      <w:marRight w:val="0"/>
      <w:marTop w:val="0"/>
      <w:marBottom w:val="0"/>
      <w:divBdr>
        <w:top w:val="none" w:sz="0" w:space="0" w:color="auto"/>
        <w:left w:val="none" w:sz="0" w:space="0" w:color="auto"/>
        <w:bottom w:val="none" w:sz="0" w:space="0" w:color="auto"/>
        <w:right w:val="none" w:sz="0" w:space="0" w:color="auto"/>
      </w:divBdr>
    </w:div>
    <w:div w:id="831457523">
      <w:bodyDiv w:val="1"/>
      <w:marLeft w:val="0"/>
      <w:marRight w:val="0"/>
      <w:marTop w:val="0"/>
      <w:marBottom w:val="0"/>
      <w:divBdr>
        <w:top w:val="none" w:sz="0" w:space="0" w:color="auto"/>
        <w:left w:val="none" w:sz="0" w:space="0" w:color="auto"/>
        <w:bottom w:val="none" w:sz="0" w:space="0" w:color="auto"/>
        <w:right w:val="none" w:sz="0" w:space="0" w:color="auto"/>
      </w:divBdr>
    </w:div>
    <w:div w:id="848712359">
      <w:bodyDiv w:val="1"/>
      <w:marLeft w:val="0"/>
      <w:marRight w:val="0"/>
      <w:marTop w:val="0"/>
      <w:marBottom w:val="0"/>
      <w:divBdr>
        <w:top w:val="none" w:sz="0" w:space="0" w:color="auto"/>
        <w:left w:val="none" w:sz="0" w:space="0" w:color="auto"/>
        <w:bottom w:val="none" w:sz="0" w:space="0" w:color="auto"/>
        <w:right w:val="none" w:sz="0" w:space="0" w:color="auto"/>
      </w:divBdr>
    </w:div>
    <w:div w:id="874001697">
      <w:bodyDiv w:val="1"/>
      <w:marLeft w:val="0"/>
      <w:marRight w:val="0"/>
      <w:marTop w:val="0"/>
      <w:marBottom w:val="0"/>
      <w:divBdr>
        <w:top w:val="none" w:sz="0" w:space="0" w:color="auto"/>
        <w:left w:val="none" w:sz="0" w:space="0" w:color="auto"/>
        <w:bottom w:val="none" w:sz="0" w:space="0" w:color="auto"/>
        <w:right w:val="none" w:sz="0" w:space="0" w:color="auto"/>
      </w:divBdr>
    </w:div>
    <w:div w:id="1063141063">
      <w:bodyDiv w:val="1"/>
      <w:marLeft w:val="0"/>
      <w:marRight w:val="0"/>
      <w:marTop w:val="0"/>
      <w:marBottom w:val="0"/>
      <w:divBdr>
        <w:top w:val="none" w:sz="0" w:space="0" w:color="auto"/>
        <w:left w:val="none" w:sz="0" w:space="0" w:color="auto"/>
        <w:bottom w:val="none" w:sz="0" w:space="0" w:color="auto"/>
        <w:right w:val="none" w:sz="0" w:space="0" w:color="auto"/>
      </w:divBdr>
    </w:div>
    <w:div w:id="1173032735">
      <w:bodyDiv w:val="1"/>
      <w:marLeft w:val="0"/>
      <w:marRight w:val="0"/>
      <w:marTop w:val="0"/>
      <w:marBottom w:val="0"/>
      <w:divBdr>
        <w:top w:val="none" w:sz="0" w:space="0" w:color="auto"/>
        <w:left w:val="none" w:sz="0" w:space="0" w:color="auto"/>
        <w:bottom w:val="none" w:sz="0" w:space="0" w:color="auto"/>
        <w:right w:val="none" w:sz="0" w:space="0" w:color="auto"/>
      </w:divBdr>
    </w:div>
    <w:div w:id="1224369485">
      <w:bodyDiv w:val="1"/>
      <w:marLeft w:val="0"/>
      <w:marRight w:val="0"/>
      <w:marTop w:val="0"/>
      <w:marBottom w:val="0"/>
      <w:divBdr>
        <w:top w:val="none" w:sz="0" w:space="0" w:color="auto"/>
        <w:left w:val="none" w:sz="0" w:space="0" w:color="auto"/>
        <w:bottom w:val="none" w:sz="0" w:space="0" w:color="auto"/>
        <w:right w:val="none" w:sz="0" w:space="0" w:color="auto"/>
      </w:divBdr>
    </w:div>
    <w:div w:id="1235972056">
      <w:bodyDiv w:val="1"/>
      <w:marLeft w:val="0"/>
      <w:marRight w:val="0"/>
      <w:marTop w:val="0"/>
      <w:marBottom w:val="0"/>
      <w:divBdr>
        <w:top w:val="none" w:sz="0" w:space="0" w:color="auto"/>
        <w:left w:val="none" w:sz="0" w:space="0" w:color="auto"/>
        <w:bottom w:val="none" w:sz="0" w:space="0" w:color="auto"/>
        <w:right w:val="none" w:sz="0" w:space="0" w:color="auto"/>
      </w:divBdr>
    </w:div>
    <w:div w:id="1256400248">
      <w:bodyDiv w:val="1"/>
      <w:marLeft w:val="0"/>
      <w:marRight w:val="0"/>
      <w:marTop w:val="0"/>
      <w:marBottom w:val="0"/>
      <w:divBdr>
        <w:top w:val="none" w:sz="0" w:space="0" w:color="auto"/>
        <w:left w:val="none" w:sz="0" w:space="0" w:color="auto"/>
        <w:bottom w:val="none" w:sz="0" w:space="0" w:color="auto"/>
        <w:right w:val="none" w:sz="0" w:space="0" w:color="auto"/>
      </w:divBdr>
    </w:div>
    <w:div w:id="1571772788">
      <w:bodyDiv w:val="1"/>
      <w:marLeft w:val="0"/>
      <w:marRight w:val="0"/>
      <w:marTop w:val="0"/>
      <w:marBottom w:val="0"/>
      <w:divBdr>
        <w:top w:val="none" w:sz="0" w:space="0" w:color="auto"/>
        <w:left w:val="none" w:sz="0" w:space="0" w:color="auto"/>
        <w:bottom w:val="none" w:sz="0" w:space="0" w:color="auto"/>
        <w:right w:val="none" w:sz="0" w:space="0" w:color="auto"/>
      </w:divBdr>
    </w:div>
    <w:div w:id="1683705804">
      <w:bodyDiv w:val="1"/>
      <w:marLeft w:val="0"/>
      <w:marRight w:val="0"/>
      <w:marTop w:val="0"/>
      <w:marBottom w:val="0"/>
      <w:divBdr>
        <w:top w:val="none" w:sz="0" w:space="0" w:color="auto"/>
        <w:left w:val="none" w:sz="0" w:space="0" w:color="auto"/>
        <w:bottom w:val="none" w:sz="0" w:space="0" w:color="auto"/>
        <w:right w:val="none" w:sz="0" w:space="0" w:color="auto"/>
      </w:divBdr>
    </w:div>
    <w:div w:id="1713269325">
      <w:bodyDiv w:val="1"/>
      <w:marLeft w:val="0"/>
      <w:marRight w:val="0"/>
      <w:marTop w:val="0"/>
      <w:marBottom w:val="0"/>
      <w:divBdr>
        <w:top w:val="none" w:sz="0" w:space="0" w:color="auto"/>
        <w:left w:val="none" w:sz="0" w:space="0" w:color="auto"/>
        <w:bottom w:val="none" w:sz="0" w:space="0" w:color="auto"/>
        <w:right w:val="none" w:sz="0" w:space="0" w:color="auto"/>
      </w:divBdr>
    </w:div>
    <w:div w:id="1726756491">
      <w:bodyDiv w:val="1"/>
      <w:marLeft w:val="0"/>
      <w:marRight w:val="0"/>
      <w:marTop w:val="0"/>
      <w:marBottom w:val="0"/>
      <w:divBdr>
        <w:top w:val="none" w:sz="0" w:space="0" w:color="auto"/>
        <w:left w:val="none" w:sz="0" w:space="0" w:color="auto"/>
        <w:bottom w:val="none" w:sz="0" w:space="0" w:color="auto"/>
        <w:right w:val="none" w:sz="0" w:space="0" w:color="auto"/>
      </w:divBdr>
    </w:div>
    <w:div w:id="1735855065">
      <w:bodyDiv w:val="1"/>
      <w:marLeft w:val="0"/>
      <w:marRight w:val="0"/>
      <w:marTop w:val="0"/>
      <w:marBottom w:val="0"/>
      <w:divBdr>
        <w:top w:val="none" w:sz="0" w:space="0" w:color="auto"/>
        <w:left w:val="none" w:sz="0" w:space="0" w:color="auto"/>
        <w:bottom w:val="none" w:sz="0" w:space="0" w:color="auto"/>
        <w:right w:val="none" w:sz="0" w:space="0" w:color="auto"/>
      </w:divBdr>
    </w:div>
    <w:div w:id="1844322909">
      <w:bodyDiv w:val="1"/>
      <w:marLeft w:val="0"/>
      <w:marRight w:val="0"/>
      <w:marTop w:val="0"/>
      <w:marBottom w:val="0"/>
      <w:divBdr>
        <w:top w:val="none" w:sz="0" w:space="0" w:color="auto"/>
        <w:left w:val="none" w:sz="0" w:space="0" w:color="auto"/>
        <w:bottom w:val="none" w:sz="0" w:space="0" w:color="auto"/>
        <w:right w:val="none" w:sz="0" w:space="0" w:color="auto"/>
      </w:divBdr>
    </w:div>
    <w:div w:id="1892886404">
      <w:bodyDiv w:val="1"/>
      <w:marLeft w:val="0"/>
      <w:marRight w:val="0"/>
      <w:marTop w:val="0"/>
      <w:marBottom w:val="0"/>
      <w:divBdr>
        <w:top w:val="none" w:sz="0" w:space="0" w:color="auto"/>
        <w:left w:val="none" w:sz="0" w:space="0" w:color="auto"/>
        <w:bottom w:val="none" w:sz="0" w:space="0" w:color="auto"/>
        <w:right w:val="none" w:sz="0" w:space="0" w:color="auto"/>
      </w:divBdr>
    </w:div>
    <w:div w:id="2058507621">
      <w:bodyDiv w:val="1"/>
      <w:marLeft w:val="0"/>
      <w:marRight w:val="0"/>
      <w:marTop w:val="0"/>
      <w:marBottom w:val="0"/>
      <w:divBdr>
        <w:top w:val="none" w:sz="0" w:space="0" w:color="auto"/>
        <w:left w:val="none" w:sz="0" w:space="0" w:color="auto"/>
        <w:bottom w:val="none" w:sz="0" w:space="0" w:color="auto"/>
        <w:right w:val="none" w:sz="0" w:space="0" w:color="auto"/>
      </w:divBdr>
    </w:div>
    <w:div w:id="2069843316">
      <w:bodyDiv w:val="1"/>
      <w:marLeft w:val="0"/>
      <w:marRight w:val="0"/>
      <w:marTop w:val="0"/>
      <w:marBottom w:val="0"/>
      <w:divBdr>
        <w:top w:val="none" w:sz="0" w:space="0" w:color="auto"/>
        <w:left w:val="none" w:sz="0" w:space="0" w:color="auto"/>
        <w:bottom w:val="none" w:sz="0" w:space="0" w:color="auto"/>
        <w:right w:val="none" w:sz="0" w:space="0" w:color="auto"/>
      </w:divBdr>
      <w:divsChild>
        <w:div w:id="336274451">
          <w:marLeft w:val="0"/>
          <w:marRight w:val="0"/>
          <w:marTop w:val="0"/>
          <w:marBottom w:val="0"/>
          <w:divBdr>
            <w:top w:val="none" w:sz="0" w:space="0" w:color="auto"/>
            <w:left w:val="none" w:sz="0" w:space="0" w:color="auto"/>
            <w:bottom w:val="none" w:sz="0" w:space="0" w:color="auto"/>
            <w:right w:val="none" w:sz="0" w:space="0" w:color="auto"/>
          </w:divBdr>
          <w:divsChild>
            <w:div w:id="892351883">
              <w:marLeft w:val="0"/>
              <w:marRight w:val="0"/>
              <w:marTop w:val="0"/>
              <w:marBottom w:val="0"/>
              <w:divBdr>
                <w:top w:val="none" w:sz="0" w:space="0" w:color="auto"/>
                <w:left w:val="none" w:sz="0" w:space="0" w:color="auto"/>
                <w:bottom w:val="none" w:sz="0" w:space="0" w:color="auto"/>
                <w:right w:val="none" w:sz="0" w:space="0" w:color="auto"/>
              </w:divBdr>
              <w:divsChild>
                <w:div w:id="608271473">
                  <w:marLeft w:val="0"/>
                  <w:marRight w:val="0"/>
                  <w:marTop w:val="0"/>
                  <w:marBottom w:val="0"/>
                  <w:divBdr>
                    <w:top w:val="single" w:sz="8" w:space="3" w:color="B5C4DF"/>
                    <w:left w:val="none" w:sz="0" w:space="0" w:color="auto"/>
                    <w:bottom w:val="none" w:sz="0" w:space="0" w:color="auto"/>
                    <w:right w:val="none" w:sz="0" w:space="0" w:color="auto"/>
                  </w:divBdr>
                </w:div>
              </w:divsChild>
            </w:div>
            <w:div w:id="550846928">
              <w:marLeft w:val="0"/>
              <w:marRight w:val="0"/>
              <w:marTop w:val="0"/>
              <w:marBottom w:val="0"/>
              <w:divBdr>
                <w:top w:val="none" w:sz="0" w:space="0" w:color="auto"/>
                <w:left w:val="none" w:sz="0" w:space="0" w:color="auto"/>
                <w:bottom w:val="none" w:sz="0" w:space="0" w:color="auto"/>
                <w:right w:val="none" w:sz="0" w:space="0" w:color="auto"/>
              </w:divBdr>
            </w:div>
            <w:div w:id="801267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129915">
                  <w:marLeft w:val="0"/>
                  <w:marRight w:val="0"/>
                  <w:marTop w:val="0"/>
                  <w:marBottom w:val="0"/>
                  <w:divBdr>
                    <w:top w:val="none" w:sz="0" w:space="0" w:color="auto"/>
                    <w:left w:val="none" w:sz="0" w:space="0" w:color="auto"/>
                    <w:bottom w:val="none" w:sz="0" w:space="0" w:color="auto"/>
                    <w:right w:val="none" w:sz="0" w:space="0" w:color="auto"/>
                  </w:divBdr>
                  <w:divsChild>
                    <w:div w:id="1951157811">
                      <w:marLeft w:val="0"/>
                      <w:marRight w:val="0"/>
                      <w:marTop w:val="0"/>
                      <w:marBottom w:val="0"/>
                      <w:divBdr>
                        <w:top w:val="single" w:sz="8" w:space="3" w:color="B5C4DF"/>
                        <w:left w:val="none" w:sz="0" w:space="0" w:color="auto"/>
                        <w:bottom w:val="none" w:sz="0" w:space="0" w:color="auto"/>
                        <w:right w:val="none" w:sz="0" w:space="0" w:color="auto"/>
                      </w:divBdr>
                    </w:div>
                  </w:divsChild>
                </w:div>
                <w:div w:id="564948644">
                  <w:marLeft w:val="0"/>
                  <w:marRight w:val="0"/>
                  <w:marTop w:val="0"/>
                  <w:marBottom w:val="0"/>
                  <w:divBdr>
                    <w:top w:val="none" w:sz="0" w:space="0" w:color="auto"/>
                    <w:left w:val="none" w:sz="0" w:space="0" w:color="auto"/>
                    <w:bottom w:val="none" w:sz="0" w:space="0" w:color="auto"/>
                    <w:right w:val="none" w:sz="0" w:space="0" w:color="auto"/>
                  </w:divBdr>
                  <w:divsChild>
                    <w:div w:id="2008291680">
                      <w:marLeft w:val="0"/>
                      <w:marRight w:val="0"/>
                      <w:marTop w:val="0"/>
                      <w:marBottom w:val="0"/>
                      <w:divBdr>
                        <w:top w:val="none" w:sz="0" w:space="0" w:color="auto"/>
                        <w:left w:val="none" w:sz="0" w:space="0" w:color="auto"/>
                        <w:bottom w:val="none" w:sz="0" w:space="0" w:color="auto"/>
                        <w:right w:val="none" w:sz="0" w:space="0" w:color="auto"/>
                      </w:divBdr>
                    </w:div>
                    <w:div w:id="1738701173">
                      <w:marLeft w:val="0"/>
                      <w:marRight w:val="0"/>
                      <w:marTop w:val="0"/>
                      <w:marBottom w:val="0"/>
                      <w:divBdr>
                        <w:top w:val="none" w:sz="0" w:space="0" w:color="auto"/>
                        <w:left w:val="none" w:sz="0" w:space="0" w:color="auto"/>
                        <w:bottom w:val="none" w:sz="0" w:space="0" w:color="auto"/>
                        <w:right w:val="none" w:sz="0" w:space="0" w:color="auto"/>
                      </w:divBdr>
                      <w:divsChild>
                        <w:div w:id="26470006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tp@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D0222-5544-4BD7-AABA-3A407A14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4957</Words>
  <Characters>28256</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MRC ERC</Company>
  <LinksUpToDate>false</LinksUpToDate>
  <CharactersWithSpaces>33147</CharactersWithSpaces>
  <SharedDoc>false</SharedDoc>
  <HLinks>
    <vt:vector size="6" baseType="variant">
      <vt:variant>
        <vt:i4>3604532</vt:i4>
      </vt:variant>
      <vt:variant>
        <vt:i4>0</vt:i4>
      </vt:variant>
      <vt:variant>
        <vt:i4>0</vt:i4>
      </vt:variant>
      <vt:variant>
        <vt:i4>5</vt:i4>
      </vt:variant>
      <vt:variant>
        <vt:lpwstr>http://www.nhs.uk/Livewell/alcohol/Pages/Effectsofalcohol.aspx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dc:creator>
  <cp:lastModifiedBy>Karen Drake</cp:lastModifiedBy>
  <cp:revision>2</cp:revision>
  <cp:lastPrinted>2014-02-21T13:15:00Z</cp:lastPrinted>
  <dcterms:created xsi:type="dcterms:W3CDTF">2014-07-21T13:54:00Z</dcterms:created>
  <dcterms:modified xsi:type="dcterms:W3CDTF">2014-07-21T13:54:00Z</dcterms:modified>
</cp:coreProperties>
</file>