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E0" w:rsidRDefault="00DB628C" w:rsidP="00141E65">
      <w:pPr>
        <w:spacing w:line="360" w:lineRule="auto"/>
        <w:rPr>
          <w:b/>
        </w:rPr>
      </w:pPr>
      <w:bookmarkStart w:id="0" w:name="_GoBack"/>
      <w:bookmarkEnd w:id="0"/>
      <w:r>
        <w:rPr>
          <w:b/>
        </w:rPr>
        <w:t>What is the effect of a behaviour change intervention on the diets and physical activity levels of women attending Sure Start Children’s Centres in Southampton?</w:t>
      </w:r>
      <w:r w:rsidR="00947B65">
        <w:rPr>
          <w:b/>
        </w:rPr>
        <w:t xml:space="preserve"> </w:t>
      </w:r>
    </w:p>
    <w:p w:rsidR="00ED24AA" w:rsidRPr="00674F87" w:rsidRDefault="00ED24AA" w:rsidP="009F5717">
      <w:pPr>
        <w:spacing w:line="480" w:lineRule="auto"/>
      </w:pPr>
      <w:r w:rsidRPr="00674F87">
        <w:t>Janis Baird</w:t>
      </w:r>
      <w:r w:rsidR="00820F5C">
        <w:t>,</w:t>
      </w:r>
      <w:r w:rsidR="009F5717" w:rsidRPr="009F5717">
        <w:rPr>
          <w:vertAlign w:val="superscript"/>
        </w:rPr>
        <w:t>1</w:t>
      </w:r>
      <w:r w:rsidR="005755C2">
        <w:t xml:space="preserve"> </w:t>
      </w:r>
      <w:r w:rsidRPr="00674F87">
        <w:t>Megan Jarman</w:t>
      </w:r>
      <w:r w:rsidR="005755C2">
        <w:t>,</w:t>
      </w:r>
      <w:r w:rsidR="009F5717" w:rsidRPr="009F5717">
        <w:rPr>
          <w:vertAlign w:val="superscript"/>
        </w:rPr>
        <w:t xml:space="preserve"> 1</w:t>
      </w:r>
      <w:r w:rsidR="000E6FA6">
        <w:rPr>
          <w:vertAlign w:val="superscript"/>
        </w:rPr>
        <w:t>,2</w:t>
      </w:r>
      <w:r w:rsidR="005755C2">
        <w:t xml:space="preserve"> </w:t>
      </w:r>
      <w:r w:rsidRPr="00674F87">
        <w:t>Wendy Lawrence</w:t>
      </w:r>
      <w:r w:rsidR="005755C2">
        <w:t>,</w:t>
      </w:r>
      <w:r w:rsidR="009F5717" w:rsidRPr="009F5717">
        <w:rPr>
          <w:vertAlign w:val="superscript"/>
        </w:rPr>
        <w:t xml:space="preserve"> 1</w:t>
      </w:r>
      <w:r w:rsidR="00E37471">
        <w:rPr>
          <w:vertAlign w:val="superscript"/>
        </w:rPr>
        <w:t>,2</w:t>
      </w:r>
      <w:r w:rsidR="005755C2">
        <w:t xml:space="preserve"> </w:t>
      </w:r>
      <w:r w:rsidRPr="00674F87">
        <w:t>Christina Black</w:t>
      </w:r>
      <w:r w:rsidR="005755C2">
        <w:t>,</w:t>
      </w:r>
      <w:r w:rsidR="009F5717" w:rsidRPr="009F5717">
        <w:rPr>
          <w:vertAlign w:val="superscript"/>
        </w:rPr>
        <w:t xml:space="preserve"> 1</w:t>
      </w:r>
      <w:r w:rsidR="005755C2">
        <w:t xml:space="preserve"> </w:t>
      </w:r>
      <w:r w:rsidR="001B61D2">
        <w:t>Jenny Davies</w:t>
      </w:r>
      <w:r w:rsidR="005755C2">
        <w:t>,</w:t>
      </w:r>
      <w:r w:rsidR="000E6FA6">
        <w:rPr>
          <w:vertAlign w:val="superscript"/>
        </w:rPr>
        <w:t>3</w:t>
      </w:r>
      <w:r w:rsidR="005755C2">
        <w:t xml:space="preserve"> T</w:t>
      </w:r>
      <w:r w:rsidRPr="00674F87">
        <w:t>annaze Tinati</w:t>
      </w:r>
      <w:r w:rsidR="009F5717">
        <w:t>,</w:t>
      </w:r>
      <w:r w:rsidR="009F5717" w:rsidRPr="009F5717">
        <w:rPr>
          <w:vertAlign w:val="superscript"/>
        </w:rPr>
        <w:t>1</w:t>
      </w:r>
      <w:r w:rsidRPr="00674F87">
        <w:t>Rufia Begum</w:t>
      </w:r>
      <w:r w:rsidR="005755C2">
        <w:t>,</w:t>
      </w:r>
      <w:r w:rsidR="009F5717" w:rsidRPr="009F5717">
        <w:rPr>
          <w:vertAlign w:val="superscript"/>
        </w:rPr>
        <w:t xml:space="preserve"> 1</w:t>
      </w:r>
      <w:r w:rsidR="000E6FA6">
        <w:rPr>
          <w:vertAlign w:val="superscript"/>
        </w:rPr>
        <w:t>,2</w:t>
      </w:r>
      <w:r w:rsidR="005755C2">
        <w:t xml:space="preserve"> Andrew Mortimore,</w:t>
      </w:r>
      <w:r w:rsidR="009F5717" w:rsidRPr="009F5717">
        <w:rPr>
          <w:vertAlign w:val="superscript"/>
        </w:rPr>
        <w:t xml:space="preserve"> </w:t>
      </w:r>
      <w:r w:rsidR="000E6FA6">
        <w:rPr>
          <w:vertAlign w:val="superscript"/>
        </w:rPr>
        <w:t>3</w:t>
      </w:r>
      <w:r w:rsidR="005755C2">
        <w:t xml:space="preserve"> </w:t>
      </w:r>
      <w:r w:rsidR="001B61D2">
        <w:t>Sian Robinson</w:t>
      </w:r>
      <w:r w:rsidR="005755C2">
        <w:t>,</w:t>
      </w:r>
      <w:r w:rsidR="009F5717" w:rsidRPr="009F5717">
        <w:rPr>
          <w:vertAlign w:val="superscript"/>
        </w:rPr>
        <w:t xml:space="preserve"> 1</w:t>
      </w:r>
      <w:r w:rsidR="005755C2">
        <w:t xml:space="preserve"> </w:t>
      </w:r>
      <w:r w:rsidRPr="00674F87">
        <w:t>Barrie Margetts</w:t>
      </w:r>
      <w:r w:rsidR="005755C2">
        <w:t>,</w:t>
      </w:r>
      <w:r w:rsidR="009F5717" w:rsidRPr="009F5717">
        <w:rPr>
          <w:vertAlign w:val="superscript"/>
        </w:rPr>
        <w:t xml:space="preserve"> </w:t>
      </w:r>
      <w:r w:rsidR="000E6FA6">
        <w:rPr>
          <w:vertAlign w:val="superscript"/>
        </w:rPr>
        <w:t>4</w:t>
      </w:r>
      <w:r w:rsidR="005755C2">
        <w:t xml:space="preserve"> </w:t>
      </w:r>
      <w:r w:rsidRPr="00674F87">
        <w:t>Cyrus Cooper</w:t>
      </w:r>
      <w:r w:rsidR="009F5717">
        <w:t>,</w:t>
      </w:r>
      <w:r w:rsidR="009F5717" w:rsidRPr="009F5717">
        <w:rPr>
          <w:vertAlign w:val="superscript"/>
        </w:rPr>
        <w:t xml:space="preserve"> 1</w:t>
      </w:r>
      <w:r w:rsidR="000E6FA6">
        <w:rPr>
          <w:vertAlign w:val="superscript"/>
        </w:rPr>
        <w:t>,2</w:t>
      </w:r>
      <w:r w:rsidR="005755C2">
        <w:t>Mary Barker</w:t>
      </w:r>
      <w:r w:rsidR="009F5717" w:rsidRPr="009F5717">
        <w:rPr>
          <w:vertAlign w:val="superscript"/>
        </w:rPr>
        <w:t>1</w:t>
      </w:r>
      <w:r w:rsidR="00DC5AA0">
        <w:rPr>
          <w:vertAlign w:val="superscript"/>
        </w:rPr>
        <w:t xml:space="preserve"> </w:t>
      </w:r>
      <w:r w:rsidR="00DC5AA0" w:rsidRPr="00674F87">
        <w:t>Hazel Inskip</w:t>
      </w:r>
      <w:r w:rsidR="00DC5AA0">
        <w:t>.</w:t>
      </w:r>
      <w:r w:rsidR="00DC5AA0" w:rsidRPr="009F5717">
        <w:rPr>
          <w:vertAlign w:val="superscript"/>
        </w:rPr>
        <w:t xml:space="preserve"> 1</w:t>
      </w:r>
    </w:p>
    <w:p w:rsidR="005755C2" w:rsidRDefault="00A51762" w:rsidP="00141E65">
      <w:pPr>
        <w:spacing w:line="360" w:lineRule="auto"/>
      </w:pPr>
      <w:r w:rsidRPr="00A51762">
        <w:rPr>
          <w:vertAlign w:val="superscript"/>
        </w:rPr>
        <w:t>1</w:t>
      </w:r>
      <w:r>
        <w:t xml:space="preserve"> </w:t>
      </w:r>
      <w:r w:rsidR="005755C2" w:rsidRPr="009F5717">
        <w:t>MRC Lifecourse Epidemiology Unit, University of Southampton, Southampton SO16 6YD</w:t>
      </w:r>
    </w:p>
    <w:p w:rsidR="000E6FA6" w:rsidRPr="009F5717" w:rsidRDefault="000E6FA6" w:rsidP="00141E65">
      <w:pPr>
        <w:spacing w:line="360" w:lineRule="auto"/>
      </w:pPr>
      <w:r w:rsidRPr="000E6FA6">
        <w:rPr>
          <w:vertAlign w:val="superscript"/>
        </w:rPr>
        <w:t>2</w:t>
      </w:r>
      <w:r>
        <w:t xml:space="preserve">NIHR Nutrition Biomedical Research Centre, University of Southampton, Southampton, </w:t>
      </w:r>
      <w:r w:rsidR="00A27F4D">
        <w:t>SO16 6YD</w:t>
      </w:r>
    </w:p>
    <w:p w:rsidR="009F5717" w:rsidRPr="009F5717" w:rsidRDefault="000E6FA6" w:rsidP="00141E65">
      <w:pPr>
        <w:spacing w:line="360" w:lineRule="auto"/>
      </w:pPr>
      <w:r>
        <w:rPr>
          <w:vertAlign w:val="superscript"/>
        </w:rPr>
        <w:t>3</w:t>
      </w:r>
      <w:r w:rsidR="00A51762">
        <w:t xml:space="preserve"> </w:t>
      </w:r>
      <w:r w:rsidR="00FA399A">
        <w:rPr>
          <w:rFonts w:cs="Arial"/>
          <w:lang w:val="en-US"/>
        </w:rPr>
        <w:t>Public Health Team, NHS Southampton City, Civic Centre, Southampton SO14 7LT</w:t>
      </w:r>
      <w:r w:rsidR="00FA399A">
        <w:t>S</w:t>
      </w:r>
    </w:p>
    <w:p w:rsidR="009F5717" w:rsidRDefault="000E6FA6" w:rsidP="009F5717">
      <w:pPr>
        <w:spacing w:line="360" w:lineRule="auto"/>
      </w:pPr>
      <w:r>
        <w:rPr>
          <w:vertAlign w:val="superscript"/>
        </w:rPr>
        <w:t>4</w:t>
      </w:r>
      <w:r w:rsidR="00A51762">
        <w:t xml:space="preserve"> </w:t>
      </w:r>
      <w:r w:rsidR="00FB08B8">
        <w:t>Primary Care and Population Sciences</w:t>
      </w:r>
      <w:r w:rsidR="009F5717" w:rsidRPr="009F5717">
        <w:t>, Faculty of Medicine, University of Southampton, Southampton SO16 6YD</w:t>
      </w:r>
    </w:p>
    <w:p w:rsidR="00BB45E8" w:rsidRDefault="00BB45E8" w:rsidP="00141E65">
      <w:pPr>
        <w:spacing w:line="360" w:lineRule="auto"/>
        <w:rPr>
          <w:b/>
        </w:rPr>
      </w:pPr>
    </w:p>
    <w:p w:rsidR="00BB45E8" w:rsidRDefault="00BB45E8" w:rsidP="00141E65">
      <w:pPr>
        <w:spacing w:line="360" w:lineRule="auto"/>
        <w:rPr>
          <w:b/>
        </w:rPr>
      </w:pPr>
      <w:r>
        <w:rPr>
          <w:b/>
        </w:rPr>
        <w:t>Corresponding author</w:t>
      </w:r>
    </w:p>
    <w:p w:rsidR="00BB45E8" w:rsidRPr="009A178C" w:rsidRDefault="00BB45E8" w:rsidP="00141E65">
      <w:pPr>
        <w:spacing w:line="360" w:lineRule="auto"/>
      </w:pPr>
      <w:r w:rsidRPr="009A178C">
        <w:t>Janis Baird</w:t>
      </w:r>
    </w:p>
    <w:p w:rsidR="009A178C" w:rsidRDefault="000D6ADB" w:rsidP="00141E65">
      <w:pPr>
        <w:spacing w:line="360" w:lineRule="auto"/>
      </w:pPr>
      <w:hyperlink r:id="rId9" w:history="1">
        <w:r w:rsidR="009A178C" w:rsidRPr="0040201D">
          <w:rPr>
            <w:rStyle w:val="Hyperlink"/>
          </w:rPr>
          <w:t>jb@mrc.soton.ac.uk</w:t>
        </w:r>
      </w:hyperlink>
    </w:p>
    <w:p w:rsidR="009A178C" w:rsidRDefault="009A178C" w:rsidP="00141E65">
      <w:pPr>
        <w:spacing w:line="360" w:lineRule="auto"/>
      </w:pPr>
      <w:r>
        <w:t>MRC Lifecourse Epidemiology Unit</w:t>
      </w:r>
    </w:p>
    <w:p w:rsidR="009A178C" w:rsidRDefault="009A178C" w:rsidP="00141E65">
      <w:pPr>
        <w:spacing w:line="360" w:lineRule="auto"/>
      </w:pPr>
      <w:r>
        <w:t>University of Southampton</w:t>
      </w:r>
    </w:p>
    <w:p w:rsidR="009A178C" w:rsidRDefault="009A178C" w:rsidP="00141E65">
      <w:pPr>
        <w:spacing w:line="360" w:lineRule="auto"/>
      </w:pPr>
      <w:r>
        <w:t>SO16 6YD</w:t>
      </w:r>
    </w:p>
    <w:p w:rsidR="00AA00C8" w:rsidRDefault="009A178C" w:rsidP="00AA00C8">
      <w:pPr>
        <w:spacing w:line="360" w:lineRule="auto"/>
        <w:rPr>
          <w:b/>
        </w:rPr>
      </w:pPr>
      <w:r>
        <w:t>02380 777624</w:t>
      </w:r>
      <w:r w:rsidR="00ED24AA">
        <w:rPr>
          <w:b/>
        </w:rPr>
        <w:br w:type="page"/>
      </w:r>
    </w:p>
    <w:p w:rsidR="00060417" w:rsidRDefault="00060417" w:rsidP="00060417">
      <w:pPr>
        <w:spacing w:line="360" w:lineRule="auto"/>
        <w:rPr>
          <w:b/>
        </w:rPr>
      </w:pPr>
      <w:r>
        <w:rPr>
          <w:b/>
        </w:rPr>
        <w:lastRenderedPageBreak/>
        <w:t>Abstract</w:t>
      </w:r>
    </w:p>
    <w:p w:rsidR="00B81831" w:rsidRPr="00DC3EF9" w:rsidRDefault="00937EEA" w:rsidP="00B81831">
      <w:pPr>
        <w:spacing w:line="360" w:lineRule="auto"/>
        <w:rPr>
          <w:b/>
        </w:rPr>
      </w:pPr>
      <w:r>
        <w:rPr>
          <w:b/>
        </w:rPr>
        <w:t>Objectives</w:t>
      </w:r>
    </w:p>
    <w:p w:rsidR="00B81831" w:rsidRDefault="00284069" w:rsidP="00B81831">
      <w:pPr>
        <w:spacing w:line="360" w:lineRule="auto"/>
      </w:pPr>
      <w:r>
        <w:t>T</w:t>
      </w:r>
      <w:r w:rsidR="00B81831">
        <w:t>he UK government</w:t>
      </w:r>
      <w:r w:rsidR="00B67E8C">
        <w:t>’s</w:t>
      </w:r>
      <w:r w:rsidR="00B81831">
        <w:t xml:space="preserve"> response to the obesity epidemic </w:t>
      </w:r>
      <w:r w:rsidR="003B15FC">
        <w:t xml:space="preserve">calls for </w:t>
      </w:r>
      <w:r w:rsidR="00B81831">
        <w:t xml:space="preserve">action in communities to improve people’s health behaviour. This study evaluated </w:t>
      </w:r>
      <w:r w:rsidR="00F83020">
        <w:t xml:space="preserve">the </w:t>
      </w:r>
      <w:r w:rsidR="00B81831">
        <w:t xml:space="preserve">effects of a community </w:t>
      </w:r>
      <w:r w:rsidR="00B81831" w:rsidRPr="00512446">
        <w:t>interve</w:t>
      </w:r>
      <w:r w:rsidR="00B81831">
        <w:t xml:space="preserve">ntion on dietary quality and </w:t>
      </w:r>
      <w:r w:rsidR="00F83020">
        <w:t xml:space="preserve">levels of </w:t>
      </w:r>
      <w:r w:rsidR="00B81831">
        <w:t>physical activity of women from disadvantaged backgrounds.</w:t>
      </w:r>
    </w:p>
    <w:p w:rsidR="00B81831" w:rsidRDefault="00B81831" w:rsidP="00B81831">
      <w:pPr>
        <w:spacing w:line="360" w:lineRule="auto"/>
        <w:rPr>
          <w:b/>
        </w:rPr>
      </w:pPr>
      <w:r>
        <w:rPr>
          <w:b/>
        </w:rPr>
        <w:t>Design</w:t>
      </w:r>
    </w:p>
    <w:p w:rsidR="00B81831" w:rsidRDefault="00937EEA" w:rsidP="00B81831">
      <w:pPr>
        <w:spacing w:line="360" w:lineRule="auto"/>
      </w:pPr>
      <w:r>
        <w:t>N</w:t>
      </w:r>
      <w:r w:rsidR="00A517E0">
        <w:t>on-randomised controlled evaluation</w:t>
      </w:r>
      <w:r w:rsidR="00C00E78">
        <w:t xml:space="preserve"> of a complex public health intervention</w:t>
      </w:r>
      <w:r w:rsidR="00B81831">
        <w:t xml:space="preserve">. </w:t>
      </w:r>
    </w:p>
    <w:p w:rsidR="00B81831" w:rsidRPr="00B81831" w:rsidRDefault="00B81831" w:rsidP="00B81831">
      <w:pPr>
        <w:spacing w:line="360" w:lineRule="auto"/>
        <w:rPr>
          <w:b/>
        </w:rPr>
      </w:pPr>
      <w:r w:rsidRPr="00B81831">
        <w:rPr>
          <w:b/>
        </w:rPr>
        <w:t>Participants</w:t>
      </w:r>
    </w:p>
    <w:p w:rsidR="00937EEA" w:rsidRDefault="00B81831" w:rsidP="00B81831">
      <w:pPr>
        <w:spacing w:line="360" w:lineRule="auto"/>
      </w:pPr>
      <w:r>
        <w:t xml:space="preserve">527 women attending Sure Start Children’s Centres (SSCC) in Southampton (intervention) and 495 women attending </w:t>
      </w:r>
      <w:r w:rsidR="00F83020">
        <w:t>SSCCs</w:t>
      </w:r>
      <w:r>
        <w:t xml:space="preserve"> in Gosport and Havant (control). </w:t>
      </w:r>
    </w:p>
    <w:p w:rsidR="00937EEA" w:rsidRPr="00937EEA" w:rsidRDefault="00937EEA" w:rsidP="00B81831">
      <w:pPr>
        <w:spacing w:line="360" w:lineRule="auto"/>
        <w:rPr>
          <w:b/>
        </w:rPr>
      </w:pPr>
      <w:r w:rsidRPr="00937EEA">
        <w:rPr>
          <w:b/>
        </w:rPr>
        <w:t>Intervention</w:t>
      </w:r>
    </w:p>
    <w:p w:rsidR="00937EEA" w:rsidRDefault="002B799B" w:rsidP="00B81831">
      <w:pPr>
        <w:spacing w:line="360" w:lineRule="auto"/>
      </w:pPr>
      <w:r>
        <w:t>Training SSCC staff</w:t>
      </w:r>
      <w:r w:rsidR="00B81831">
        <w:t xml:space="preserve"> in behaviour change skills</w:t>
      </w:r>
      <w:r w:rsidR="00D27FAB">
        <w:t xml:space="preserve"> that would empower women to change their health behaviours</w:t>
      </w:r>
      <w:r w:rsidR="00B81831">
        <w:t xml:space="preserve">. </w:t>
      </w:r>
    </w:p>
    <w:p w:rsidR="00937EEA" w:rsidRPr="00937EEA" w:rsidRDefault="00937EEA" w:rsidP="00B81831">
      <w:pPr>
        <w:spacing w:line="360" w:lineRule="auto"/>
        <w:rPr>
          <w:b/>
        </w:rPr>
      </w:pPr>
      <w:r w:rsidRPr="00937EEA">
        <w:rPr>
          <w:b/>
        </w:rPr>
        <w:t>Outcomes</w:t>
      </w:r>
    </w:p>
    <w:p w:rsidR="00B81831" w:rsidRDefault="00937EEA" w:rsidP="00B81831">
      <w:pPr>
        <w:spacing w:line="360" w:lineRule="auto"/>
      </w:pPr>
      <w:r>
        <w:t>M</w:t>
      </w:r>
      <w:r w:rsidR="00B81831">
        <w:t>ain outcomes</w:t>
      </w:r>
      <w:r w:rsidR="00284069">
        <w:t>:</w:t>
      </w:r>
      <w:r w:rsidR="00B81831">
        <w:t>dietary quality and physical activity. Intermediate outcomes</w:t>
      </w:r>
      <w:r w:rsidR="00284069">
        <w:t>:</w:t>
      </w:r>
      <w:r w:rsidR="00B81831">
        <w:t xml:space="preserve"> self-efficacy and sense of control. </w:t>
      </w:r>
    </w:p>
    <w:p w:rsidR="00B81831" w:rsidRPr="00DC3EF9" w:rsidRDefault="00B81831" w:rsidP="00B81831">
      <w:pPr>
        <w:spacing w:line="360" w:lineRule="auto"/>
        <w:rPr>
          <w:b/>
        </w:rPr>
      </w:pPr>
      <w:r w:rsidRPr="00DC3EF9">
        <w:rPr>
          <w:b/>
        </w:rPr>
        <w:t>Results</w:t>
      </w:r>
    </w:p>
    <w:p w:rsidR="00B81831" w:rsidRDefault="00B81831" w:rsidP="00B81831">
      <w:pPr>
        <w:spacing w:line="360" w:lineRule="auto"/>
      </w:pPr>
      <w:r>
        <w:t>One year p</w:t>
      </w:r>
      <w:r w:rsidR="002B799B">
        <w:t xml:space="preserve">ost-training, intervention </w:t>
      </w:r>
      <w:r>
        <w:t xml:space="preserve">staff used skills to support behaviour change significantly more </w:t>
      </w:r>
      <w:r w:rsidR="00D27FAB">
        <w:t>than control staff</w:t>
      </w:r>
      <w:r>
        <w:t xml:space="preserve">. There were </w:t>
      </w:r>
      <w:r w:rsidR="00F83020">
        <w:t xml:space="preserve">statistically </w:t>
      </w:r>
      <w:r w:rsidRPr="00F714B1">
        <w:t>significant reduction</w:t>
      </w:r>
      <w:r>
        <w:t>s of 0.1 SD</w:t>
      </w:r>
      <w:r w:rsidRPr="00F714B1">
        <w:t xml:space="preserve"> in</w:t>
      </w:r>
      <w:r>
        <w:t xml:space="preserve"> </w:t>
      </w:r>
      <w:r w:rsidR="00E73C8B">
        <w:t xml:space="preserve">the </w:t>
      </w:r>
      <w:r>
        <w:t xml:space="preserve">dietary quality of </w:t>
      </w:r>
      <w:r w:rsidR="003B15FC">
        <w:t xml:space="preserve">all </w:t>
      </w:r>
      <w:r>
        <w:t>women between baseline and follow-</w:t>
      </w:r>
      <w:r w:rsidRPr="00F714B1">
        <w:t>up</w:t>
      </w:r>
      <w:r>
        <w:t xml:space="preserve"> and reductions in self-efficacy and sense of control. The decline in self-efficacy and control was significant</w:t>
      </w:r>
      <w:r w:rsidR="00D27FAB">
        <w:t>ly smaller</w:t>
      </w:r>
      <w:r w:rsidR="00D27FAB" w:rsidRPr="00D27FAB">
        <w:t xml:space="preserve"> </w:t>
      </w:r>
      <w:r w:rsidR="00D27FAB">
        <w:t xml:space="preserve">in intervention than control group women (adjusted differences in </w:t>
      </w:r>
      <w:r w:rsidR="00280051">
        <w:t>self-efficacy</w:t>
      </w:r>
      <w:r w:rsidR="00D27FAB">
        <w:t xml:space="preserve"> and control respectively 0.26 (95% CI 0.001</w:t>
      </w:r>
      <w:r w:rsidR="002A7D83">
        <w:t xml:space="preserve"> to</w:t>
      </w:r>
      <w:r w:rsidR="00D27FAB">
        <w:t xml:space="preserve"> 0.50) and 0.35 (0.05</w:t>
      </w:r>
      <w:r w:rsidR="002A7D83">
        <w:t xml:space="preserve"> to</w:t>
      </w:r>
      <w:r w:rsidR="00D27FAB">
        <w:t xml:space="preserve">0.65)). </w:t>
      </w:r>
      <w:r w:rsidR="00937EEA">
        <w:t xml:space="preserve"> Lower decline in</w:t>
      </w:r>
      <w:r>
        <w:t xml:space="preserve"> control was associated with higher levels of exposure in women in the intervention group. There was a statistically significant improvement in physical ac</w:t>
      </w:r>
      <w:r w:rsidR="002B799B">
        <w:t>tivity</w:t>
      </w:r>
      <w:r>
        <w:t xml:space="preserve"> in the intervention group; 22.9% of women reporting highest level of physical activity compared with 12.4% at baseline, and smaller improvement in the control group. The difference in change in physical activity level between the groups was not statistically significant</w:t>
      </w:r>
      <w:r w:rsidR="00D27FAB">
        <w:t xml:space="preserve"> (adjusted difference 1.02 (0.74</w:t>
      </w:r>
      <w:r w:rsidR="002A7D83">
        <w:t xml:space="preserve"> to</w:t>
      </w:r>
      <w:r w:rsidR="00D27FAB">
        <w:t xml:space="preserve"> 1.41))</w:t>
      </w:r>
      <w:r>
        <w:t xml:space="preserve">. </w:t>
      </w:r>
    </w:p>
    <w:p w:rsidR="00B81831" w:rsidRPr="00DC3EF9" w:rsidRDefault="00B81831" w:rsidP="00B81831">
      <w:pPr>
        <w:spacing w:line="360" w:lineRule="auto"/>
        <w:rPr>
          <w:b/>
        </w:rPr>
      </w:pPr>
      <w:r w:rsidRPr="00DC3EF9">
        <w:rPr>
          <w:b/>
        </w:rPr>
        <w:lastRenderedPageBreak/>
        <w:t>Conclusion</w:t>
      </w:r>
    </w:p>
    <w:p w:rsidR="00B81831" w:rsidRDefault="00B81831" w:rsidP="00B81831">
      <w:pPr>
        <w:spacing w:line="360" w:lineRule="auto"/>
      </w:pPr>
      <w:r>
        <w:t xml:space="preserve">While the intervention did not improve women’s diets and physical activity levels, it had a protective effect on </w:t>
      </w:r>
      <w:r w:rsidR="00937EEA">
        <w:t xml:space="preserve">intermediate factors - </w:t>
      </w:r>
      <w:r>
        <w:t>control and self</w:t>
      </w:r>
      <w:r w:rsidR="00F83020">
        <w:t>-</w:t>
      </w:r>
      <w:r>
        <w:t>efficacy, suggesting more prolonged exposure to the intervention m</w:t>
      </w:r>
      <w:r w:rsidR="00F83020">
        <w:t>ight</w:t>
      </w:r>
      <w:r>
        <w:t xml:space="preserve"> improve health behaviour</w:t>
      </w:r>
      <w:r w:rsidR="003B15FC">
        <w:t>. F</w:t>
      </w:r>
      <w:r>
        <w:t>urther evaluation in a more controlled setting is justified.</w:t>
      </w:r>
    </w:p>
    <w:p w:rsidR="00DC3EF9" w:rsidRPr="00E237B2" w:rsidRDefault="00E237B2" w:rsidP="00DC3EF9">
      <w:pPr>
        <w:rPr>
          <w:b/>
        </w:rPr>
      </w:pPr>
      <w:r w:rsidRPr="00E237B2">
        <w:rPr>
          <w:b/>
        </w:rPr>
        <w:t>Keywords</w:t>
      </w:r>
    </w:p>
    <w:p w:rsidR="00A61FD9" w:rsidRDefault="00A61FD9" w:rsidP="00DC3EF9">
      <w:r>
        <w:t>Complex public health intervention</w:t>
      </w:r>
    </w:p>
    <w:p w:rsidR="00E237B2" w:rsidRDefault="00B20023" w:rsidP="00DC3EF9">
      <w:r>
        <w:t>B</w:t>
      </w:r>
      <w:r w:rsidR="00E237B2">
        <w:t>ehaviour</w:t>
      </w:r>
      <w:r>
        <w:t xml:space="preserve"> change</w:t>
      </w:r>
    </w:p>
    <w:p w:rsidR="00E237B2" w:rsidRDefault="00E237B2" w:rsidP="00DC3EF9">
      <w:r>
        <w:t>Diet</w:t>
      </w:r>
    </w:p>
    <w:p w:rsidR="00E237B2" w:rsidRDefault="00E237B2" w:rsidP="00DC3EF9">
      <w:r>
        <w:t>Physical activity</w:t>
      </w:r>
    </w:p>
    <w:p w:rsidR="00E237B2" w:rsidRDefault="00E237B2" w:rsidP="00DC3EF9">
      <w:r>
        <w:t>Self-efficacy</w:t>
      </w:r>
    </w:p>
    <w:p w:rsidR="00C42CA7" w:rsidRDefault="00C42CA7" w:rsidP="00DC3EF9">
      <w:r>
        <w:t>Sense of control</w:t>
      </w:r>
    </w:p>
    <w:p w:rsidR="00E237B2" w:rsidRDefault="00E237B2" w:rsidP="00DC3EF9">
      <w:r>
        <w:t>Women</w:t>
      </w:r>
    </w:p>
    <w:p w:rsidR="00DC3EF9" w:rsidRPr="00512446" w:rsidRDefault="00DC3EF9" w:rsidP="00391B25"/>
    <w:p w:rsidR="00CC0EE0" w:rsidRDefault="00CC0EE0" w:rsidP="00141E65">
      <w:pPr>
        <w:spacing w:line="360" w:lineRule="auto"/>
        <w:rPr>
          <w:b/>
        </w:rPr>
      </w:pPr>
    </w:p>
    <w:p w:rsidR="00CC0EE0" w:rsidRDefault="00CC0EE0">
      <w:pPr>
        <w:rPr>
          <w:b/>
        </w:rPr>
      </w:pPr>
      <w:r>
        <w:rPr>
          <w:b/>
        </w:rPr>
        <w:br w:type="page"/>
      </w:r>
    </w:p>
    <w:p w:rsidR="006424D1" w:rsidRDefault="000D6ADB">
      <w:pPr>
        <w:rPr>
          <w:b/>
        </w:rPr>
      </w:pPr>
      <w:r>
        <w:rPr>
          <w:b/>
          <w:noProof/>
        </w:rPr>
        <w:lastRenderedPageBreak/>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5080</wp:posOffset>
                </wp:positionV>
                <wp:extent cx="5972175" cy="3020060"/>
                <wp:effectExtent l="0" t="0" r="28575" b="285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020060"/>
                        </a:xfrm>
                        <a:prstGeom prst="rect">
                          <a:avLst/>
                        </a:prstGeom>
                        <a:solidFill>
                          <a:srgbClr val="FFFFFF"/>
                        </a:solidFill>
                        <a:ln w="9525">
                          <a:solidFill>
                            <a:srgbClr val="000000"/>
                          </a:solidFill>
                          <a:miter lim="800000"/>
                          <a:headEnd/>
                          <a:tailEnd/>
                        </a:ln>
                      </wps:spPr>
                      <wps:txbx>
                        <w:txbxContent>
                          <w:p w:rsidR="006E5BC2" w:rsidRPr="00512446" w:rsidRDefault="006E5BC2" w:rsidP="00B81831">
                            <w:pPr>
                              <w:rPr>
                                <w:b/>
                              </w:rPr>
                            </w:pPr>
                            <w:r>
                              <w:rPr>
                                <w:b/>
                              </w:rPr>
                              <w:t>Strengths and limitations of this study</w:t>
                            </w:r>
                          </w:p>
                          <w:p w:rsidR="006E5BC2" w:rsidRDefault="006E5BC2" w:rsidP="00B81831">
                            <w:r>
                              <w:t>This complex public health intervention was delivered within existing health and social care services. This approach to delivery in the real world meant that the intervention was sustainable and could be continued after the study was completed.</w:t>
                            </w:r>
                          </w:p>
                          <w:p w:rsidR="006E5BC2" w:rsidRDefault="006E5BC2" w:rsidP="00B81831">
                            <w:r>
                              <w:t>Data collected during interviews with women meant that important confounding factors and effect modifiers could be considered in analyses.</w:t>
                            </w:r>
                          </w:p>
                          <w:p w:rsidR="006E5BC2" w:rsidRDefault="006E5BC2" w:rsidP="00B81831">
                            <w:r w:rsidRPr="00F714B1">
                              <w:t xml:space="preserve">Randomisation at the level of </w:t>
                            </w:r>
                            <w:r>
                              <w:t>SSCC</w:t>
                            </w:r>
                            <w:r w:rsidRPr="00F714B1">
                              <w:t xml:space="preserve"> was not feasible because</w:t>
                            </w:r>
                            <w:r>
                              <w:t xml:space="preserve"> of </w:t>
                            </w:r>
                            <w:r w:rsidRPr="00F714B1">
                              <w:t xml:space="preserve">the frequent movement of staff between centres </w:t>
                            </w:r>
                            <w:r>
                              <w:t xml:space="preserve">which </w:t>
                            </w:r>
                            <w:r w:rsidRPr="00F714B1">
                              <w:t xml:space="preserve">would have led to contamination of control Centres. </w:t>
                            </w:r>
                          </w:p>
                          <w:p w:rsidR="006E5BC2" w:rsidRDefault="006E5BC2" w:rsidP="00B81831">
                            <w:r w:rsidRPr="00F4764E">
                              <w:t>A cluster randomised controlled trial was considered but the need for many clusters</w:t>
                            </w:r>
                            <w:r>
                              <w:t>,</w:t>
                            </w:r>
                            <w:r w:rsidRPr="00F4764E">
                              <w:t xml:space="preserve"> each being an entire local authority area</w:t>
                            </w:r>
                            <w:r>
                              <w:t>,</w:t>
                            </w:r>
                            <w:r w:rsidRPr="00F4764E">
                              <w:t xml:space="preserve"> </w:t>
                            </w:r>
                            <w:r>
                              <w:t>was considered unfeasible by an</w:t>
                            </w:r>
                            <w:r w:rsidRPr="00F4764E">
                              <w:t xml:space="preserve"> independent advisory group of experts.</w:t>
                            </w:r>
                          </w:p>
                          <w:p w:rsidR="006E5BC2" w:rsidRDefault="006E5BC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4pt;width:470.25pt;height:237.8pt;z-index:25166745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">
                <v:textbox style="mso-fit-shape-to-text:t">
                  <w:txbxContent>
                    <w:p w:rsidR="006E5BC2" w:rsidRPr="00512446" w:rsidRDefault="006E5BC2" w:rsidP="00B81831">
                      <w:pPr>
                        <w:rPr>
                          <w:b/>
                        </w:rPr>
                      </w:pPr>
                      <w:r>
                        <w:rPr>
                          <w:b/>
                        </w:rPr>
                        <w:t>Strengths and limitations of this study</w:t>
                      </w:r>
                    </w:p>
                    <w:p w:rsidR="006E5BC2" w:rsidRDefault="006E5BC2" w:rsidP="00B81831">
                      <w:r>
                        <w:t>This complex public health intervention was delivered within existing health and social care services. This approach to delivery in the real world meant that the intervention was sustainable and could be continued after the study was completed.</w:t>
                      </w:r>
                    </w:p>
                    <w:p w:rsidR="006E5BC2" w:rsidRDefault="006E5BC2" w:rsidP="00B81831">
                      <w:r>
                        <w:t>Data collected during interviews with women meant that important confounding factors and effect modifiers could be considered in analyses.</w:t>
                      </w:r>
                    </w:p>
                    <w:p w:rsidR="006E5BC2" w:rsidRDefault="006E5BC2" w:rsidP="00B81831">
                      <w:r w:rsidRPr="00F714B1">
                        <w:t xml:space="preserve">Randomisation at the level of </w:t>
                      </w:r>
                      <w:r>
                        <w:t>SSCC</w:t>
                      </w:r>
                      <w:r w:rsidRPr="00F714B1">
                        <w:t xml:space="preserve"> was not feasible because</w:t>
                      </w:r>
                      <w:r>
                        <w:t xml:space="preserve"> of </w:t>
                      </w:r>
                      <w:r w:rsidRPr="00F714B1">
                        <w:t xml:space="preserve">the frequent movement of staff between centres </w:t>
                      </w:r>
                      <w:r>
                        <w:t xml:space="preserve">which </w:t>
                      </w:r>
                      <w:r w:rsidRPr="00F714B1">
                        <w:t xml:space="preserve">would have led to contamination of control Centres. </w:t>
                      </w:r>
                    </w:p>
                    <w:p w:rsidR="006E5BC2" w:rsidRDefault="006E5BC2" w:rsidP="00B81831">
                      <w:r w:rsidRPr="00F4764E">
                        <w:t>A cluster randomised controlled trial was considered but the need for many clusters</w:t>
                      </w:r>
                      <w:r>
                        <w:t>,</w:t>
                      </w:r>
                      <w:r w:rsidRPr="00F4764E">
                        <w:t xml:space="preserve"> each being an entire local authority area</w:t>
                      </w:r>
                      <w:r>
                        <w:t>,</w:t>
                      </w:r>
                      <w:r w:rsidRPr="00F4764E">
                        <w:t xml:space="preserve"> </w:t>
                      </w:r>
                      <w:r>
                        <w:t>was considered unfeasible by an</w:t>
                      </w:r>
                      <w:r w:rsidRPr="00F4764E">
                        <w:t xml:space="preserve"> independent advisory group of experts.</w:t>
                      </w:r>
                    </w:p>
                    <w:p w:rsidR="006E5BC2" w:rsidRDefault="006E5BC2"/>
                  </w:txbxContent>
                </v:textbox>
              </v:shape>
            </w:pict>
          </mc:Fallback>
        </mc:AlternateContent>
      </w:r>
      <w:r w:rsidR="006424D1">
        <w:rPr>
          <w:b/>
        </w:rPr>
        <w:br w:type="page"/>
      </w:r>
    </w:p>
    <w:p w:rsidR="00DB628C" w:rsidRPr="004A2FA9" w:rsidRDefault="00DB628C" w:rsidP="00141E65">
      <w:pPr>
        <w:spacing w:line="360" w:lineRule="auto"/>
        <w:rPr>
          <w:b/>
        </w:rPr>
      </w:pPr>
      <w:r>
        <w:rPr>
          <w:b/>
        </w:rPr>
        <w:lastRenderedPageBreak/>
        <w:t>Introduction</w:t>
      </w:r>
    </w:p>
    <w:p w:rsidR="00A21DB3" w:rsidRDefault="00A51762" w:rsidP="00141E65">
      <w:pPr>
        <w:spacing w:line="360" w:lineRule="auto"/>
        <w:rPr>
          <w:szCs w:val="20"/>
        </w:rPr>
      </w:pPr>
      <w:r>
        <w:rPr>
          <w:szCs w:val="20"/>
        </w:rPr>
        <w:t>In response to the current</w:t>
      </w:r>
      <w:r w:rsidR="001E2217">
        <w:rPr>
          <w:szCs w:val="20"/>
        </w:rPr>
        <w:t xml:space="preserve"> epidemic of obesity</w:t>
      </w:r>
      <w:r w:rsidR="009346EE">
        <w:rPr>
          <w:szCs w:val="20"/>
        </w:rPr>
        <w:t xml:space="preserve"> and chronic disease</w:t>
      </w:r>
      <w:r w:rsidR="001E2217">
        <w:rPr>
          <w:szCs w:val="20"/>
        </w:rPr>
        <w:t xml:space="preserve">, the Foresight committee </w:t>
      </w:r>
      <w:r>
        <w:rPr>
          <w:szCs w:val="20"/>
        </w:rPr>
        <w:t xml:space="preserve">has </w:t>
      </w:r>
      <w:r w:rsidR="001E2217">
        <w:rPr>
          <w:szCs w:val="20"/>
        </w:rPr>
        <w:t>recommended change at many levels – personal</w:t>
      </w:r>
      <w:r w:rsidR="00092B85">
        <w:rPr>
          <w:szCs w:val="20"/>
        </w:rPr>
        <w:t>,</w:t>
      </w:r>
      <w:r w:rsidR="001E2217">
        <w:rPr>
          <w:szCs w:val="20"/>
        </w:rPr>
        <w:t xml:space="preserve"> family</w:t>
      </w:r>
      <w:r w:rsidR="00092B85">
        <w:rPr>
          <w:szCs w:val="20"/>
        </w:rPr>
        <w:t>,</w:t>
      </w:r>
      <w:r w:rsidR="001E2217">
        <w:rPr>
          <w:szCs w:val="20"/>
        </w:rPr>
        <w:t xml:space="preserve"> environmental and national.</w:t>
      </w:r>
      <w:r w:rsidR="00E6108A" w:rsidRPr="00E6108A">
        <w:rPr>
          <w:szCs w:val="20"/>
          <w:vertAlign w:val="superscript"/>
        </w:rPr>
        <w:t>1</w:t>
      </w:r>
      <w:r w:rsidR="001E2217">
        <w:rPr>
          <w:szCs w:val="20"/>
        </w:rPr>
        <w:t xml:space="preserve"> </w:t>
      </w:r>
      <w:r w:rsidR="00B71114">
        <w:rPr>
          <w:szCs w:val="20"/>
        </w:rPr>
        <w:t>T</w:t>
      </w:r>
      <w:r>
        <w:rPr>
          <w:szCs w:val="20"/>
        </w:rPr>
        <w:t>he government response</w:t>
      </w:r>
      <w:r w:rsidR="00B71114">
        <w:rPr>
          <w:szCs w:val="20"/>
        </w:rPr>
        <w:t xml:space="preserve">, outlined in </w:t>
      </w:r>
      <w:r w:rsidR="001203D4" w:rsidRPr="001203D4">
        <w:rPr>
          <w:i/>
          <w:szCs w:val="20"/>
        </w:rPr>
        <w:t>Healthy Lives, Healthy People</w:t>
      </w:r>
      <w:r w:rsidR="00B71114">
        <w:rPr>
          <w:szCs w:val="20"/>
        </w:rPr>
        <w:t xml:space="preserve"> emphasises the need to empower individuals to make healthy choices</w:t>
      </w:r>
      <w:r w:rsidR="00CC0EE0">
        <w:rPr>
          <w:szCs w:val="20"/>
        </w:rPr>
        <w:t>,</w:t>
      </w:r>
      <w:r w:rsidR="00B71114">
        <w:rPr>
          <w:szCs w:val="20"/>
        </w:rPr>
        <w:t xml:space="preserve"> recognising that</w:t>
      </w:r>
      <w:r w:rsidR="009346EE">
        <w:rPr>
          <w:szCs w:val="20"/>
        </w:rPr>
        <w:t xml:space="preserve"> reduction in obesity will only be achieved if </w:t>
      </w:r>
      <w:r>
        <w:rPr>
          <w:szCs w:val="20"/>
        </w:rPr>
        <w:t>t</w:t>
      </w:r>
      <w:r w:rsidR="009346EE">
        <w:rPr>
          <w:szCs w:val="20"/>
        </w:rPr>
        <w:t>he dietary and physical activity behaviour of the population</w:t>
      </w:r>
      <w:r>
        <w:rPr>
          <w:szCs w:val="20"/>
        </w:rPr>
        <w:t xml:space="preserve"> improve</w:t>
      </w:r>
      <w:r w:rsidR="00F83020">
        <w:rPr>
          <w:szCs w:val="20"/>
        </w:rPr>
        <w:t>s</w:t>
      </w:r>
      <w:r w:rsidR="009346EE">
        <w:rPr>
          <w:szCs w:val="20"/>
        </w:rPr>
        <w:t>.</w:t>
      </w:r>
      <w:r w:rsidR="00E6108A" w:rsidRPr="00E6108A">
        <w:rPr>
          <w:szCs w:val="20"/>
          <w:vertAlign w:val="superscript"/>
        </w:rPr>
        <w:t xml:space="preserve"> </w:t>
      </w:r>
      <w:r w:rsidR="00AC5C30">
        <w:rPr>
          <w:szCs w:val="20"/>
          <w:vertAlign w:val="superscript"/>
        </w:rPr>
        <w:t>2</w:t>
      </w:r>
      <w:r w:rsidR="0014420C">
        <w:rPr>
          <w:szCs w:val="20"/>
        </w:rPr>
        <w:t xml:space="preserve"> </w:t>
      </w:r>
      <w:r w:rsidR="009346EE">
        <w:rPr>
          <w:szCs w:val="20"/>
        </w:rPr>
        <w:t xml:space="preserve">A recent review of evidence has demonstrated that government policy has led to reduction in unhealthy behaviours but that these reductions have mainly been among </w:t>
      </w:r>
      <w:r w:rsidR="001A3E7D">
        <w:rPr>
          <w:szCs w:val="20"/>
        </w:rPr>
        <w:t xml:space="preserve">groups of </w:t>
      </w:r>
      <w:r w:rsidR="009346EE">
        <w:rPr>
          <w:szCs w:val="20"/>
        </w:rPr>
        <w:t>higher socio</w:t>
      </w:r>
      <w:r w:rsidR="001A3E7D">
        <w:rPr>
          <w:szCs w:val="20"/>
        </w:rPr>
        <w:t>-economic status and educational attainment</w:t>
      </w:r>
      <w:r w:rsidR="009346EE">
        <w:rPr>
          <w:szCs w:val="20"/>
        </w:rPr>
        <w:t>.</w:t>
      </w:r>
      <w:r w:rsidR="00E6108A" w:rsidRPr="00E6108A">
        <w:rPr>
          <w:szCs w:val="20"/>
          <w:vertAlign w:val="superscript"/>
        </w:rPr>
        <w:t xml:space="preserve"> </w:t>
      </w:r>
      <w:r w:rsidR="00AC5C30">
        <w:rPr>
          <w:szCs w:val="20"/>
          <w:vertAlign w:val="superscript"/>
        </w:rPr>
        <w:t>3</w:t>
      </w:r>
      <w:r w:rsidR="009346EE">
        <w:rPr>
          <w:szCs w:val="20"/>
        </w:rPr>
        <w:t xml:space="preserve"> Mothers have a strong influence on the health behaviour of their families, particularly in relation to diet</w:t>
      </w:r>
      <w:r w:rsidR="00CC0EE0">
        <w:rPr>
          <w:szCs w:val="20"/>
        </w:rPr>
        <w:t>,</w:t>
      </w:r>
      <w:r w:rsidR="00063DD8">
        <w:rPr>
          <w:szCs w:val="20"/>
        </w:rPr>
        <w:t xml:space="preserve"> since they have considerable influence over food</w:t>
      </w:r>
      <w:r w:rsidR="00F83020">
        <w:rPr>
          <w:szCs w:val="20"/>
        </w:rPr>
        <w:t>-</w:t>
      </w:r>
      <w:r w:rsidR="00063DD8">
        <w:rPr>
          <w:szCs w:val="20"/>
        </w:rPr>
        <w:t>related decisions within the family</w:t>
      </w:r>
      <w:r w:rsidR="009346EE">
        <w:rPr>
          <w:szCs w:val="20"/>
        </w:rPr>
        <w:t>.</w:t>
      </w:r>
      <w:r w:rsidR="00591F7B" w:rsidRPr="00591F7B">
        <w:rPr>
          <w:szCs w:val="20"/>
          <w:vertAlign w:val="superscript"/>
        </w:rPr>
        <w:t>4</w:t>
      </w:r>
      <w:r w:rsidR="009346EE">
        <w:rPr>
          <w:szCs w:val="20"/>
        </w:rPr>
        <w:t xml:space="preserve"> </w:t>
      </w:r>
      <w:r w:rsidR="003012A0">
        <w:rPr>
          <w:szCs w:val="20"/>
        </w:rPr>
        <w:t>The</w:t>
      </w:r>
      <w:r w:rsidR="00DB0B25">
        <w:rPr>
          <w:szCs w:val="20"/>
        </w:rPr>
        <w:t xml:space="preserve"> nutritional status and health</w:t>
      </w:r>
      <w:r w:rsidR="003012A0">
        <w:rPr>
          <w:szCs w:val="20"/>
        </w:rPr>
        <w:t xml:space="preserve"> of mothers</w:t>
      </w:r>
      <w:r w:rsidR="009346EE">
        <w:rPr>
          <w:szCs w:val="20"/>
        </w:rPr>
        <w:t xml:space="preserve"> also</w:t>
      </w:r>
      <w:r w:rsidR="00DB0B25">
        <w:rPr>
          <w:szCs w:val="20"/>
        </w:rPr>
        <w:t xml:space="preserve"> influence the growth and development of infants during pregnancy and in postnatal life</w:t>
      </w:r>
      <w:r w:rsidR="00F83020">
        <w:rPr>
          <w:szCs w:val="20"/>
        </w:rPr>
        <w:t>. G</w:t>
      </w:r>
      <w:r w:rsidR="00DB0B25">
        <w:rPr>
          <w:szCs w:val="20"/>
        </w:rPr>
        <w:t>rowth an</w:t>
      </w:r>
      <w:r w:rsidR="00FE5894">
        <w:rPr>
          <w:szCs w:val="20"/>
        </w:rPr>
        <w:t>d development at these stages of</w:t>
      </w:r>
      <w:r w:rsidR="00DB0B25">
        <w:rPr>
          <w:szCs w:val="20"/>
        </w:rPr>
        <w:t xml:space="preserve"> the life course will influence risk of chronic conditions such as cardiovascular disease and obesity in adulthood.</w:t>
      </w:r>
      <w:r w:rsidR="00E6108A" w:rsidRPr="00E6108A">
        <w:rPr>
          <w:szCs w:val="20"/>
          <w:vertAlign w:val="superscript"/>
        </w:rPr>
        <w:t xml:space="preserve"> </w:t>
      </w:r>
      <w:r w:rsidR="00591F7B">
        <w:rPr>
          <w:szCs w:val="20"/>
          <w:vertAlign w:val="superscript"/>
        </w:rPr>
        <w:t>5</w:t>
      </w:r>
      <w:r w:rsidR="00F82A30">
        <w:rPr>
          <w:szCs w:val="20"/>
        </w:rPr>
        <w:t xml:space="preserve"> </w:t>
      </w:r>
    </w:p>
    <w:p w:rsidR="00DB0B25" w:rsidRDefault="00735666" w:rsidP="00141E65">
      <w:pPr>
        <w:spacing w:line="360" w:lineRule="auto"/>
        <w:rPr>
          <w:szCs w:val="20"/>
        </w:rPr>
      </w:pPr>
      <w:r>
        <w:rPr>
          <w:szCs w:val="20"/>
        </w:rPr>
        <w:t>W</w:t>
      </w:r>
      <w:r w:rsidR="00DB0B25">
        <w:rPr>
          <w:szCs w:val="20"/>
        </w:rPr>
        <w:t xml:space="preserve">omen of childbearing age from disadvantaged backgrounds are more likely to have </w:t>
      </w:r>
      <w:r w:rsidR="00F83020">
        <w:rPr>
          <w:szCs w:val="20"/>
        </w:rPr>
        <w:t xml:space="preserve">poor quality </w:t>
      </w:r>
      <w:r w:rsidR="00DB0B25">
        <w:rPr>
          <w:szCs w:val="20"/>
        </w:rPr>
        <w:t>diets and are less likely to take part in regular physical activity</w:t>
      </w:r>
      <w:r w:rsidR="00B20023">
        <w:rPr>
          <w:szCs w:val="20"/>
        </w:rPr>
        <w:t>, both of which are</w:t>
      </w:r>
      <w:r w:rsidR="00FE5894">
        <w:rPr>
          <w:szCs w:val="20"/>
        </w:rPr>
        <w:t xml:space="preserve"> detrimental to their own health and to the growth and development of their children</w:t>
      </w:r>
      <w:r w:rsidR="004C4D54">
        <w:rPr>
          <w:szCs w:val="20"/>
        </w:rPr>
        <w:t xml:space="preserve">. </w:t>
      </w:r>
      <w:r w:rsidR="00B71114">
        <w:rPr>
          <w:szCs w:val="20"/>
        </w:rPr>
        <w:t>The</w:t>
      </w:r>
      <w:r w:rsidR="00FE5894">
        <w:rPr>
          <w:szCs w:val="20"/>
        </w:rPr>
        <w:t xml:space="preserve"> Southampton Women’s Survey</w:t>
      </w:r>
      <w:r w:rsidR="00E649FC">
        <w:rPr>
          <w:szCs w:val="20"/>
        </w:rPr>
        <w:t xml:space="preserve"> (SWS)</w:t>
      </w:r>
      <w:r w:rsidR="00E6108A" w:rsidRPr="00E6108A">
        <w:rPr>
          <w:szCs w:val="20"/>
          <w:vertAlign w:val="superscript"/>
        </w:rPr>
        <w:t xml:space="preserve"> </w:t>
      </w:r>
      <w:r w:rsidR="00591F7B">
        <w:rPr>
          <w:szCs w:val="20"/>
          <w:vertAlign w:val="superscript"/>
        </w:rPr>
        <w:t>6</w:t>
      </w:r>
      <w:r>
        <w:rPr>
          <w:szCs w:val="20"/>
        </w:rPr>
        <w:t xml:space="preserve"> has</w:t>
      </w:r>
      <w:r w:rsidR="00F82A30">
        <w:rPr>
          <w:szCs w:val="20"/>
        </w:rPr>
        <w:t xml:space="preserve"> demonstrated</w:t>
      </w:r>
      <w:r w:rsidR="00DB0B25">
        <w:rPr>
          <w:szCs w:val="20"/>
        </w:rPr>
        <w:t xml:space="preserve"> that women who are disadvantaged by leaving school with few or no educational qualifications eat a less varied and balanced die</w:t>
      </w:r>
      <w:r w:rsidR="00327C52">
        <w:rPr>
          <w:szCs w:val="20"/>
        </w:rPr>
        <w:t>t than women with higher levels of educational attainment</w:t>
      </w:r>
      <w:r w:rsidR="00AC5C30">
        <w:rPr>
          <w:szCs w:val="20"/>
        </w:rPr>
        <w:t>.</w:t>
      </w:r>
      <w:r w:rsidR="00E6108A" w:rsidRPr="00E6108A">
        <w:rPr>
          <w:szCs w:val="20"/>
          <w:vertAlign w:val="superscript"/>
        </w:rPr>
        <w:t xml:space="preserve"> </w:t>
      </w:r>
      <w:r w:rsidR="00591F7B">
        <w:rPr>
          <w:szCs w:val="20"/>
          <w:vertAlign w:val="superscript"/>
        </w:rPr>
        <w:t>7</w:t>
      </w:r>
      <w:r w:rsidR="00DB0B25">
        <w:rPr>
          <w:szCs w:val="20"/>
        </w:rPr>
        <w:t xml:space="preserve"> </w:t>
      </w:r>
      <w:r w:rsidR="003B0514">
        <w:rPr>
          <w:szCs w:val="20"/>
        </w:rPr>
        <w:t xml:space="preserve">These findings have been confirmed in other </w:t>
      </w:r>
      <w:r w:rsidR="00454625">
        <w:rPr>
          <w:szCs w:val="20"/>
        </w:rPr>
        <w:t>mother-offspring</w:t>
      </w:r>
      <w:r w:rsidR="003B0514">
        <w:rPr>
          <w:szCs w:val="20"/>
        </w:rPr>
        <w:t xml:space="preserve"> cohorts. </w:t>
      </w:r>
      <w:r w:rsidR="00591F7B">
        <w:rPr>
          <w:szCs w:val="20"/>
          <w:vertAlign w:val="superscript"/>
        </w:rPr>
        <w:t>8</w:t>
      </w:r>
      <w:r w:rsidR="00E649FC">
        <w:rPr>
          <w:szCs w:val="20"/>
        </w:rPr>
        <w:t xml:space="preserve">The </w:t>
      </w:r>
      <w:r w:rsidR="00B71114">
        <w:rPr>
          <w:szCs w:val="20"/>
        </w:rPr>
        <w:t>SWS has also shown</w:t>
      </w:r>
      <w:r w:rsidR="00DB0B25">
        <w:rPr>
          <w:szCs w:val="20"/>
        </w:rPr>
        <w:t xml:space="preserve"> a link between the quality of mothers</w:t>
      </w:r>
      <w:r w:rsidR="00F83020">
        <w:rPr>
          <w:szCs w:val="20"/>
        </w:rPr>
        <w:t>’</w:t>
      </w:r>
      <w:r w:rsidR="00DB0B25">
        <w:rPr>
          <w:szCs w:val="20"/>
        </w:rPr>
        <w:t xml:space="preserve"> diet</w:t>
      </w:r>
      <w:r w:rsidR="00AF4D2F">
        <w:rPr>
          <w:szCs w:val="20"/>
        </w:rPr>
        <w:t>s</w:t>
      </w:r>
      <w:r w:rsidR="00DB0B25">
        <w:rPr>
          <w:szCs w:val="20"/>
        </w:rPr>
        <w:t xml:space="preserve"> and the diets of their children: of SWS women who became pregnant</w:t>
      </w:r>
      <w:r w:rsidR="00F82A30">
        <w:rPr>
          <w:szCs w:val="20"/>
        </w:rPr>
        <w:t>,</w:t>
      </w:r>
      <w:r w:rsidR="00DB0B25">
        <w:rPr>
          <w:szCs w:val="20"/>
        </w:rPr>
        <w:t xml:space="preserve"> those with the least healthy </w:t>
      </w:r>
      <w:r w:rsidR="00A21DB3">
        <w:rPr>
          <w:szCs w:val="20"/>
        </w:rPr>
        <w:t xml:space="preserve">preconception </w:t>
      </w:r>
      <w:r w:rsidR="00DB0B25">
        <w:rPr>
          <w:szCs w:val="20"/>
        </w:rPr>
        <w:t>diets were found to be less likely to follow guidance on optimal patterns of infant feeding</w:t>
      </w:r>
      <w:r w:rsidR="00FF3507">
        <w:rPr>
          <w:szCs w:val="20"/>
        </w:rPr>
        <w:t>.</w:t>
      </w:r>
      <w:r w:rsidR="00E6108A" w:rsidRPr="00E6108A">
        <w:rPr>
          <w:szCs w:val="20"/>
          <w:vertAlign w:val="superscript"/>
        </w:rPr>
        <w:t xml:space="preserve"> </w:t>
      </w:r>
      <w:r w:rsidR="00591F7B">
        <w:rPr>
          <w:szCs w:val="20"/>
          <w:vertAlign w:val="superscript"/>
        </w:rPr>
        <w:t>9</w:t>
      </w:r>
      <w:r w:rsidR="00DB0B25">
        <w:rPr>
          <w:szCs w:val="20"/>
        </w:rPr>
        <w:t xml:space="preserve"> </w:t>
      </w:r>
      <w:r w:rsidR="004A1090">
        <w:rPr>
          <w:szCs w:val="20"/>
        </w:rPr>
        <w:t>The quality of infant diet is an important determinant of childhood outcomes: diets of poor quality have been associated with increased fat mass</w:t>
      </w:r>
      <w:r w:rsidR="00591F7B">
        <w:rPr>
          <w:szCs w:val="20"/>
          <w:vertAlign w:val="superscript"/>
        </w:rPr>
        <w:t>10</w:t>
      </w:r>
      <w:r w:rsidR="004A1090">
        <w:rPr>
          <w:szCs w:val="20"/>
        </w:rPr>
        <w:t xml:space="preserve"> and lo</w:t>
      </w:r>
      <w:r w:rsidR="00434730">
        <w:rPr>
          <w:szCs w:val="20"/>
        </w:rPr>
        <w:t>wer IQ in longitudinal studies.</w:t>
      </w:r>
      <w:r w:rsidR="00591F7B">
        <w:rPr>
          <w:szCs w:val="20"/>
          <w:vertAlign w:val="superscript"/>
        </w:rPr>
        <w:t>11,12</w:t>
      </w:r>
      <w:r w:rsidR="00434730">
        <w:rPr>
          <w:szCs w:val="20"/>
          <w:vertAlign w:val="superscript"/>
        </w:rPr>
        <w:t xml:space="preserve"> </w:t>
      </w:r>
      <w:r w:rsidR="00DB0B25">
        <w:rPr>
          <w:szCs w:val="20"/>
        </w:rPr>
        <w:t xml:space="preserve">Data from </w:t>
      </w:r>
      <w:r w:rsidR="00F83020">
        <w:rPr>
          <w:szCs w:val="20"/>
        </w:rPr>
        <w:t xml:space="preserve">the </w:t>
      </w:r>
      <w:r w:rsidR="00DB0B25">
        <w:rPr>
          <w:szCs w:val="20"/>
        </w:rPr>
        <w:t>SWS have also shown that women living in dis</w:t>
      </w:r>
      <w:r w:rsidR="00F82A30">
        <w:rPr>
          <w:szCs w:val="20"/>
        </w:rPr>
        <w:t xml:space="preserve">advantaged areas of Southampton </w:t>
      </w:r>
      <w:r w:rsidR="00DB0B25">
        <w:rPr>
          <w:szCs w:val="20"/>
        </w:rPr>
        <w:t>are less likely to take part in regular strenuous exercise that would be beneficial to their health</w:t>
      </w:r>
      <w:r w:rsidR="00E6108A">
        <w:rPr>
          <w:szCs w:val="20"/>
        </w:rPr>
        <w:t>.</w:t>
      </w:r>
      <w:r w:rsidR="00E6108A" w:rsidRPr="00E6108A">
        <w:rPr>
          <w:szCs w:val="20"/>
          <w:vertAlign w:val="superscript"/>
        </w:rPr>
        <w:t xml:space="preserve"> </w:t>
      </w:r>
      <w:r w:rsidR="004A1090">
        <w:rPr>
          <w:szCs w:val="20"/>
          <w:vertAlign w:val="superscript"/>
        </w:rPr>
        <w:t>1</w:t>
      </w:r>
      <w:r w:rsidR="00591F7B">
        <w:rPr>
          <w:szCs w:val="20"/>
          <w:vertAlign w:val="superscript"/>
        </w:rPr>
        <w:t>3</w:t>
      </w:r>
    </w:p>
    <w:p w:rsidR="00AF4D2F" w:rsidRDefault="00B20023" w:rsidP="00141E65">
      <w:pPr>
        <w:spacing w:line="360" w:lineRule="auto"/>
        <w:rPr>
          <w:rFonts w:cstheme="minorHAnsi"/>
        </w:rPr>
      </w:pPr>
      <w:r>
        <w:rPr>
          <w:szCs w:val="20"/>
        </w:rPr>
        <w:t>Studies explor</w:t>
      </w:r>
      <w:r w:rsidR="00F83020">
        <w:rPr>
          <w:szCs w:val="20"/>
        </w:rPr>
        <w:t>ing</w:t>
      </w:r>
      <w:r w:rsidR="00454625">
        <w:rPr>
          <w:szCs w:val="20"/>
        </w:rPr>
        <w:t xml:space="preserve"> barriers to healthy eating among disadvantaged women have shown that </w:t>
      </w:r>
      <w:r w:rsidR="00DB0B25">
        <w:t>wom</w:t>
      </w:r>
      <w:r w:rsidR="00E649FC">
        <w:t>en who had the poorest quality diets felt</w:t>
      </w:r>
      <w:r w:rsidR="00DB0B25">
        <w:t xml:space="preserve"> </w:t>
      </w:r>
      <w:r w:rsidR="00F83020">
        <w:t xml:space="preserve">that </w:t>
      </w:r>
      <w:r w:rsidR="00DB0B25">
        <w:t>they lack</w:t>
      </w:r>
      <w:r w:rsidR="00E649FC">
        <w:t>ed</w:t>
      </w:r>
      <w:r w:rsidR="00DB0B25">
        <w:t xml:space="preserve"> control over </w:t>
      </w:r>
      <w:r w:rsidR="001B61D2">
        <w:t xml:space="preserve">the </w:t>
      </w:r>
      <w:r w:rsidR="00E649FC">
        <w:t>food choices they mad</w:t>
      </w:r>
      <w:r w:rsidR="00DB0B25">
        <w:t>e for them</w:t>
      </w:r>
      <w:r w:rsidR="00E649FC">
        <w:t>selves and their families</w:t>
      </w:r>
      <w:r w:rsidR="00FF3507">
        <w:t>.</w:t>
      </w:r>
      <w:r w:rsidR="00E6108A" w:rsidRPr="00E6108A">
        <w:rPr>
          <w:szCs w:val="20"/>
          <w:vertAlign w:val="superscript"/>
        </w:rPr>
        <w:t xml:space="preserve"> </w:t>
      </w:r>
      <w:r w:rsidR="00591F7B">
        <w:rPr>
          <w:szCs w:val="20"/>
          <w:vertAlign w:val="superscript"/>
        </w:rPr>
        <w:t>14, 15</w:t>
      </w:r>
      <w:r w:rsidR="00AC5C30">
        <w:rPr>
          <w:szCs w:val="20"/>
          <w:vertAlign w:val="superscript"/>
        </w:rPr>
        <w:t>,</w:t>
      </w:r>
      <w:r w:rsidR="00DB0B25">
        <w:t xml:space="preserve"> </w:t>
      </w:r>
      <w:r w:rsidR="004C4D54">
        <w:t>Numerous studies have c</w:t>
      </w:r>
      <w:r>
        <w:t xml:space="preserve">onfirmed the </w:t>
      </w:r>
      <w:r w:rsidR="00F83020">
        <w:t>relationship</w:t>
      </w:r>
      <w:r>
        <w:t xml:space="preserve"> of</w:t>
      </w:r>
      <w:r w:rsidR="004C4D54">
        <w:t xml:space="preserve"> higher sense of control and </w:t>
      </w:r>
      <w:r w:rsidR="00280051">
        <w:t>self-efficacy</w:t>
      </w:r>
      <w:r w:rsidR="004C4D54">
        <w:t xml:space="preserve"> with better dietary behaviour</w:t>
      </w:r>
      <w:r>
        <w:t xml:space="preserve"> and higher levels of physical activity</w:t>
      </w:r>
      <w:r w:rsidR="004C4D54">
        <w:t>.</w:t>
      </w:r>
      <w:r w:rsidR="005F225D" w:rsidRPr="005F225D">
        <w:rPr>
          <w:vertAlign w:val="superscript"/>
        </w:rPr>
        <w:t>1</w:t>
      </w:r>
      <w:r w:rsidR="00591F7B">
        <w:rPr>
          <w:vertAlign w:val="superscript"/>
        </w:rPr>
        <w:t>6</w:t>
      </w:r>
      <w:r>
        <w:rPr>
          <w:vertAlign w:val="superscript"/>
        </w:rPr>
        <w:t xml:space="preserve">, </w:t>
      </w:r>
      <w:r w:rsidR="005F225D" w:rsidRPr="005F225D">
        <w:rPr>
          <w:vertAlign w:val="superscript"/>
        </w:rPr>
        <w:t>1</w:t>
      </w:r>
      <w:r w:rsidR="00591F7B">
        <w:rPr>
          <w:vertAlign w:val="superscript"/>
        </w:rPr>
        <w:t>7</w:t>
      </w:r>
      <w:r w:rsidR="004C4D54">
        <w:t xml:space="preserve"> </w:t>
      </w:r>
      <w:r w:rsidR="00AF4D2F">
        <w:rPr>
          <w:rFonts w:cstheme="minorHAnsi"/>
        </w:rPr>
        <w:t>Efforts to improve the health of women from disadvantaged backgrounds need to take account of their lifestyle choices a</w:t>
      </w:r>
      <w:r w:rsidR="00EA4774">
        <w:rPr>
          <w:rFonts w:cstheme="minorHAnsi"/>
        </w:rPr>
        <w:t>nd address the</w:t>
      </w:r>
      <w:r w:rsidR="00BB3516">
        <w:rPr>
          <w:rFonts w:cstheme="minorHAnsi"/>
        </w:rPr>
        <w:t xml:space="preserve"> barriers to healthy patterns of behaviour</w:t>
      </w:r>
      <w:r w:rsidR="00AF4D2F">
        <w:rPr>
          <w:rFonts w:cstheme="minorHAnsi"/>
        </w:rPr>
        <w:t xml:space="preserve">. </w:t>
      </w:r>
    </w:p>
    <w:p w:rsidR="00681CEA" w:rsidRDefault="001B61D2" w:rsidP="00141E65">
      <w:pPr>
        <w:spacing w:line="360" w:lineRule="auto"/>
        <w:rPr>
          <w:rFonts w:cstheme="minorHAnsi"/>
        </w:rPr>
      </w:pPr>
      <w:r>
        <w:rPr>
          <w:rFonts w:cstheme="minorHAnsi"/>
        </w:rPr>
        <w:lastRenderedPageBreak/>
        <w:t>Recent reviews of evidence have provided useful insights into the features of behaviour change interventions associated with effectiveness in low income groups and women of child bearing age: providing information on risks and benefits of health behaviours combined with goal setting and continued support after the initial interven</w:t>
      </w:r>
      <w:r w:rsidR="00B71114">
        <w:rPr>
          <w:rFonts w:cstheme="minorHAnsi"/>
        </w:rPr>
        <w:t>tion were more likely to lead to</w:t>
      </w:r>
      <w:r>
        <w:rPr>
          <w:rFonts w:cstheme="minorHAnsi"/>
        </w:rPr>
        <w:t xml:space="preserve"> behaviour change.</w:t>
      </w:r>
      <w:r w:rsidR="00591F7B">
        <w:rPr>
          <w:szCs w:val="20"/>
          <w:vertAlign w:val="superscript"/>
        </w:rPr>
        <w:t xml:space="preserve"> 18</w:t>
      </w:r>
      <w:r w:rsidR="00AF01CF">
        <w:rPr>
          <w:szCs w:val="20"/>
          <w:vertAlign w:val="superscript"/>
        </w:rPr>
        <w:t>,1</w:t>
      </w:r>
      <w:r w:rsidR="00591F7B">
        <w:rPr>
          <w:szCs w:val="20"/>
          <w:vertAlign w:val="superscript"/>
        </w:rPr>
        <w:t>9</w:t>
      </w:r>
      <w:r>
        <w:rPr>
          <w:rFonts w:cstheme="minorHAnsi"/>
        </w:rPr>
        <w:t xml:space="preserve">  </w:t>
      </w:r>
      <w:r w:rsidR="00F82A30">
        <w:rPr>
          <w:rFonts w:cstheme="minorHAnsi"/>
        </w:rPr>
        <w:t xml:space="preserve">Similarly, a review of interventions that were effective in improving health behaviours in populations considered at risk of developing diabetes found that </w:t>
      </w:r>
      <w:r w:rsidR="007C3AC3">
        <w:rPr>
          <w:rFonts w:cstheme="minorHAnsi"/>
        </w:rPr>
        <w:t>interventions most likely to be effective were those that targeted both diet and physical activity</w:t>
      </w:r>
      <w:r w:rsidR="00F83020">
        <w:rPr>
          <w:rFonts w:cstheme="minorHAnsi"/>
        </w:rPr>
        <w:t>. In addition, interventions most likely to be effective</w:t>
      </w:r>
      <w:r w:rsidR="007C3AC3">
        <w:rPr>
          <w:rFonts w:cstheme="minorHAnsi"/>
        </w:rPr>
        <w:t xml:space="preserve"> used established behaviour change techniques and focused on a ‘self regulatory’ approach such as goal-setting and self-monitoring. The review a</w:t>
      </w:r>
      <w:r w:rsidR="00FE5E62">
        <w:rPr>
          <w:rFonts w:cstheme="minorHAnsi"/>
        </w:rPr>
        <w:t xml:space="preserve">lso found that frequent </w:t>
      </w:r>
      <w:r w:rsidR="003012A0">
        <w:rPr>
          <w:rFonts w:cstheme="minorHAnsi"/>
        </w:rPr>
        <w:t>contact</w:t>
      </w:r>
      <w:r w:rsidR="00FE5E62">
        <w:rPr>
          <w:rFonts w:cstheme="minorHAnsi"/>
        </w:rPr>
        <w:t>, with the professional delivering the intervention,</w:t>
      </w:r>
      <w:r w:rsidR="007C3AC3">
        <w:rPr>
          <w:rFonts w:cstheme="minorHAnsi"/>
        </w:rPr>
        <w:t xml:space="preserve"> and engagement </w:t>
      </w:r>
      <w:r w:rsidR="00F83020">
        <w:rPr>
          <w:rFonts w:cstheme="minorHAnsi"/>
        </w:rPr>
        <w:t>with</w:t>
      </w:r>
      <w:r w:rsidR="007C3AC3">
        <w:rPr>
          <w:rFonts w:cstheme="minorHAnsi"/>
        </w:rPr>
        <w:t xml:space="preserve"> social support wer</w:t>
      </w:r>
      <w:r w:rsidR="00AF01CF">
        <w:rPr>
          <w:rFonts w:cstheme="minorHAnsi"/>
        </w:rPr>
        <w:t>e associated with effectiveness</w:t>
      </w:r>
      <w:r w:rsidR="00BB3516">
        <w:rPr>
          <w:rFonts w:cstheme="minorHAnsi"/>
        </w:rPr>
        <w:t>.</w:t>
      </w:r>
      <w:r w:rsidR="00E6108A" w:rsidRPr="00E6108A">
        <w:rPr>
          <w:szCs w:val="20"/>
          <w:vertAlign w:val="superscript"/>
        </w:rPr>
        <w:t xml:space="preserve"> 1</w:t>
      </w:r>
      <w:r w:rsidR="00591F7B">
        <w:rPr>
          <w:szCs w:val="20"/>
          <w:vertAlign w:val="superscript"/>
        </w:rPr>
        <w:t>7</w:t>
      </w:r>
      <w:r w:rsidR="00BB3516">
        <w:rPr>
          <w:rFonts w:cstheme="minorHAnsi"/>
        </w:rPr>
        <w:t xml:space="preserve"> Consistent with this</w:t>
      </w:r>
      <w:r w:rsidR="00B678F5">
        <w:rPr>
          <w:rFonts w:cstheme="minorHAnsi"/>
        </w:rPr>
        <w:t xml:space="preserve"> evidence from population</w:t>
      </w:r>
      <w:r w:rsidR="00F83020">
        <w:rPr>
          <w:rFonts w:cstheme="minorHAnsi"/>
        </w:rPr>
        <w:t>-</w:t>
      </w:r>
      <w:r w:rsidR="00B678F5">
        <w:rPr>
          <w:rFonts w:cstheme="minorHAnsi"/>
        </w:rPr>
        <w:t>based studies of behaviour change</w:t>
      </w:r>
      <w:r w:rsidR="00BB3516">
        <w:rPr>
          <w:rFonts w:cstheme="minorHAnsi"/>
        </w:rPr>
        <w:t xml:space="preserve"> in women fr</w:t>
      </w:r>
      <w:r w:rsidR="00202A90">
        <w:rPr>
          <w:rFonts w:cstheme="minorHAnsi"/>
        </w:rPr>
        <w:t>om disadvantaged backgrounds,</w:t>
      </w:r>
      <w:r w:rsidR="00BB3516">
        <w:rPr>
          <w:rFonts w:cstheme="minorHAnsi"/>
        </w:rPr>
        <w:t xml:space="preserve"> low income groups</w:t>
      </w:r>
      <w:r w:rsidR="00202A90">
        <w:rPr>
          <w:rFonts w:cstheme="minorHAnsi"/>
        </w:rPr>
        <w:t xml:space="preserve"> and at risk populations</w:t>
      </w:r>
      <w:r w:rsidR="00B678F5">
        <w:rPr>
          <w:rFonts w:cstheme="minorHAnsi"/>
        </w:rPr>
        <w:t>, e</w:t>
      </w:r>
      <w:r w:rsidR="00203694">
        <w:rPr>
          <w:rFonts w:cstheme="minorHAnsi"/>
        </w:rPr>
        <w:t>vidence</w:t>
      </w:r>
      <w:r>
        <w:rPr>
          <w:rFonts w:cstheme="minorHAnsi"/>
        </w:rPr>
        <w:t xml:space="preserve"> from clinical populations</w:t>
      </w:r>
      <w:r w:rsidR="00203694">
        <w:rPr>
          <w:rFonts w:cstheme="minorHAnsi"/>
        </w:rPr>
        <w:t xml:space="preserve"> suggests that empowering patients to take control of their conditions has benefits in improving disease self</w:t>
      </w:r>
      <w:r w:rsidR="00CE490F">
        <w:rPr>
          <w:rFonts w:cstheme="minorHAnsi"/>
        </w:rPr>
        <w:t>-</w:t>
      </w:r>
      <w:r w:rsidR="00203694">
        <w:rPr>
          <w:rFonts w:cstheme="minorHAnsi"/>
        </w:rPr>
        <w:t>management</w:t>
      </w:r>
      <w:r w:rsidR="00EA4774">
        <w:rPr>
          <w:rFonts w:cstheme="minorHAnsi"/>
        </w:rPr>
        <w:t xml:space="preserve"> for conditions such as arthrit</w:t>
      </w:r>
      <w:r w:rsidR="00AF01CF">
        <w:rPr>
          <w:rFonts w:cstheme="minorHAnsi"/>
        </w:rPr>
        <w:t>is and asthma</w:t>
      </w:r>
      <w:r w:rsidR="00203694">
        <w:rPr>
          <w:rFonts w:cstheme="minorHAnsi"/>
        </w:rPr>
        <w:t>.</w:t>
      </w:r>
      <w:r w:rsidR="00E6108A" w:rsidRPr="00E6108A">
        <w:rPr>
          <w:szCs w:val="20"/>
          <w:vertAlign w:val="superscript"/>
        </w:rPr>
        <w:t xml:space="preserve"> </w:t>
      </w:r>
      <w:r w:rsidR="0081170C">
        <w:rPr>
          <w:szCs w:val="20"/>
          <w:vertAlign w:val="superscript"/>
        </w:rPr>
        <w:t>20</w:t>
      </w:r>
      <w:r w:rsidR="00203694">
        <w:rPr>
          <w:rFonts w:cstheme="minorHAnsi"/>
        </w:rPr>
        <w:t xml:space="preserve"> </w:t>
      </w:r>
      <w:r w:rsidR="00EA4774">
        <w:rPr>
          <w:rFonts w:cstheme="minorHAnsi"/>
        </w:rPr>
        <w:t>It is believed that this sort of empowerment approach works because it increases patients’ self</w:t>
      </w:r>
      <w:r w:rsidR="008B5F01">
        <w:rPr>
          <w:rFonts w:cstheme="minorHAnsi"/>
        </w:rPr>
        <w:t>-</w:t>
      </w:r>
      <w:r w:rsidR="00EA4774">
        <w:rPr>
          <w:rFonts w:cstheme="minorHAnsi"/>
        </w:rPr>
        <w:t>efficacy</w:t>
      </w:r>
      <w:r w:rsidR="00E6108A">
        <w:rPr>
          <w:rFonts w:cstheme="minorHAnsi"/>
        </w:rPr>
        <w:t>.</w:t>
      </w:r>
      <w:r w:rsidR="0081170C">
        <w:rPr>
          <w:szCs w:val="20"/>
          <w:vertAlign w:val="superscript"/>
        </w:rPr>
        <w:t>21</w:t>
      </w:r>
      <w:r w:rsidR="00AF01CF">
        <w:rPr>
          <w:szCs w:val="20"/>
          <w:vertAlign w:val="superscript"/>
        </w:rPr>
        <w:t>,</w:t>
      </w:r>
      <w:r w:rsidR="00434730">
        <w:rPr>
          <w:szCs w:val="20"/>
          <w:vertAlign w:val="superscript"/>
        </w:rPr>
        <w:t>2</w:t>
      </w:r>
      <w:r w:rsidR="0081170C">
        <w:rPr>
          <w:szCs w:val="20"/>
          <w:vertAlign w:val="superscript"/>
        </w:rPr>
        <w:t>2</w:t>
      </w:r>
    </w:p>
    <w:p w:rsidR="00376413" w:rsidRDefault="00AF4D2F" w:rsidP="00376413">
      <w:pPr>
        <w:spacing w:line="360" w:lineRule="auto"/>
        <w:rPr>
          <w:rFonts w:cstheme="minorHAnsi"/>
        </w:rPr>
      </w:pPr>
      <w:r>
        <w:rPr>
          <w:rFonts w:cstheme="minorHAnsi"/>
        </w:rPr>
        <w:t>We have a</w:t>
      </w:r>
      <w:r w:rsidR="00FE5894">
        <w:rPr>
          <w:rFonts w:cstheme="minorHAnsi"/>
        </w:rPr>
        <w:t>p</w:t>
      </w:r>
      <w:r w:rsidR="004A6C6E">
        <w:rPr>
          <w:rFonts w:cstheme="minorHAnsi"/>
        </w:rPr>
        <w:t>plied the</w:t>
      </w:r>
      <w:r w:rsidR="00203694">
        <w:rPr>
          <w:rFonts w:cstheme="minorHAnsi"/>
        </w:rPr>
        <w:t xml:space="preserve"> principles</w:t>
      </w:r>
      <w:r w:rsidR="004A6C6E">
        <w:rPr>
          <w:rFonts w:cstheme="minorHAnsi"/>
        </w:rPr>
        <w:t xml:space="preserve"> of an empowerment approach</w:t>
      </w:r>
      <w:r w:rsidR="00203694">
        <w:rPr>
          <w:rFonts w:cstheme="minorHAnsi"/>
        </w:rPr>
        <w:t xml:space="preserve"> to an intervention which aims to improve the health behaviour of women from disadvantaged backgrounds</w:t>
      </w:r>
      <w:r w:rsidR="00202A90">
        <w:rPr>
          <w:rFonts w:cstheme="minorHAnsi"/>
        </w:rPr>
        <w:t xml:space="preserve">, a group in which there is an established link between low </w:t>
      </w:r>
      <w:r w:rsidR="005752EE">
        <w:rPr>
          <w:rFonts w:cstheme="minorHAnsi"/>
        </w:rPr>
        <w:t xml:space="preserve">sense of control and </w:t>
      </w:r>
      <w:r w:rsidR="00280051">
        <w:rPr>
          <w:rFonts w:cstheme="minorHAnsi"/>
        </w:rPr>
        <w:t>self-efficacy</w:t>
      </w:r>
      <w:r w:rsidR="005752EE">
        <w:rPr>
          <w:rFonts w:cstheme="minorHAnsi"/>
        </w:rPr>
        <w:t xml:space="preserve"> with</w:t>
      </w:r>
      <w:r w:rsidR="00202A90">
        <w:rPr>
          <w:rFonts w:cstheme="minorHAnsi"/>
        </w:rPr>
        <w:t xml:space="preserve"> poor quality diet</w:t>
      </w:r>
      <w:r w:rsidR="00203694">
        <w:rPr>
          <w:rFonts w:cstheme="minorHAnsi"/>
        </w:rPr>
        <w:t xml:space="preserve">. </w:t>
      </w:r>
      <w:r w:rsidR="00B8277E">
        <w:rPr>
          <w:rFonts w:cstheme="minorHAnsi"/>
        </w:rPr>
        <w:t>In accordance with the</w:t>
      </w:r>
      <w:r w:rsidR="00203694">
        <w:rPr>
          <w:rFonts w:cstheme="minorHAnsi"/>
        </w:rPr>
        <w:t xml:space="preserve"> MRC guidance on </w:t>
      </w:r>
      <w:r w:rsidR="004F0BA2">
        <w:rPr>
          <w:rFonts w:cstheme="minorHAnsi"/>
        </w:rPr>
        <w:t>complex interventions,</w:t>
      </w:r>
      <w:r w:rsidR="004963B3" w:rsidRPr="004963B3">
        <w:rPr>
          <w:szCs w:val="20"/>
          <w:vertAlign w:val="superscript"/>
        </w:rPr>
        <w:t xml:space="preserve"> </w:t>
      </w:r>
      <w:r w:rsidR="00434730">
        <w:rPr>
          <w:szCs w:val="20"/>
          <w:vertAlign w:val="superscript"/>
        </w:rPr>
        <w:t>2</w:t>
      </w:r>
      <w:r w:rsidR="0081170C">
        <w:rPr>
          <w:szCs w:val="20"/>
          <w:vertAlign w:val="superscript"/>
        </w:rPr>
        <w:t>3</w:t>
      </w:r>
      <w:r w:rsidR="004F0BA2">
        <w:rPr>
          <w:rFonts w:cstheme="minorHAnsi"/>
        </w:rPr>
        <w:t xml:space="preserve"> w</w:t>
      </w:r>
      <w:r w:rsidR="00203694">
        <w:rPr>
          <w:rFonts w:cstheme="minorHAnsi"/>
        </w:rPr>
        <w:t>e developed</w:t>
      </w:r>
      <w:r w:rsidR="000766E3">
        <w:rPr>
          <w:rFonts w:cstheme="minorHAnsi"/>
        </w:rPr>
        <w:t xml:space="preserve"> the Southam</w:t>
      </w:r>
      <w:r w:rsidR="00203694">
        <w:rPr>
          <w:rFonts w:cstheme="minorHAnsi"/>
        </w:rPr>
        <w:t>pton Initiative for Health</w:t>
      </w:r>
      <w:r w:rsidR="00BB3516">
        <w:rPr>
          <w:rFonts w:cstheme="minorHAnsi"/>
        </w:rPr>
        <w:t xml:space="preserve"> (SIH)</w:t>
      </w:r>
      <w:r w:rsidR="000766E3">
        <w:rPr>
          <w:rFonts w:cstheme="minorHAnsi"/>
        </w:rPr>
        <w:t xml:space="preserve"> </w:t>
      </w:r>
      <w:r w:rsidR="00BB3516">
        <w:rPr>
          <w:rFonts w:cstheme="minorHAnsi"/>
        </w:rPr>
        <w:t>an intervention which aimed</w:t>
      </w:r>
      <w:r w:rsidR="000766E3">
        <w:rPr>
          <w:rFonts w:cstheme="minorHAnsi"/>
        </w:rPr>
        <w:t xml:space="preserve"> to improve the diets and physical activity levels of women from disadvantaged backgrounds</w:t>
      </w:r>
      <w:r w:rsidR="00FB1F03">
        <w:rPr>
          <w:rFonts w:cstheme="minorHAnsi"/>
        </w:rPr>
        <w:t>.</w:t>
      </w:r>
      <w:r w:rsidR="00AF01CF" w:rsidRPr="00AF01CF">
        <w:rPr>
          <w:szCs w:val="20"/>
          <w:vertAlign w:val="superscript"/>
        </w:rPr>
        <w:t xml:space="preserve"> </w:t>
      </w:r>
      <w:r w:rsidR="00202A90">
        <w:rPr>
          <w:rFonts w:cstheme="minorHAnsi"/>
        </w:rPr>
        <w:t>The intervention</w:t>
      </w:r>
      <w:r w:rsidR="00AC1ACE">
        <w:rPr>
          <w:rFonts w:cstheme="minorHAnsi"/>
        </w:rPr>
        <w:t>, whi</w:t>
      </w:r>
      <w:r w:rsidR="00A51762">
        <w:rPr>
          <w:rFonts w:cstheme="minorHAnsi"/>
        </w:rPr>
        <w:t>ch has been described in detail</w:t>
      </w:r>
      <w:r w:rsidR="00AC1ACE">
        <w:rPr>
          <w:rFonts w:cstheme="minorHAnsi"/>
        </w:rPr>
        <w:t xml:space="preserve"> elsewhere,</w:t>
      </w:r>
      <w:r w:rsidR="00202A90">
        <w:rPr>
          <w:rFonts w:cstheme="minorHAnsi"/>
        </w:rPr>
        <w:t xml:space="preserve"> achieved its aims</w:t>
      </w:r>
      <w:r w:rsidR="003012A0">
        <w:rPr>
          <w:rFonts w:cstheme="minorHAnsi"/>
        </w:rPr>
        <w:t xml:space="preserve"> by training Sure Start</w:t>
      </w:r>
      <w:r w:rsidR="00BB3516">
        <w:rPr>
          <w:rFonts w:cstheme="minorHAnsi"/>
        </w:rPr>
        <w:t xml:space="preserve"> Children’s Centre</w:t>
      </w:r>
      <w:r w:rsidR="00681CEA">
        <w:rPr>
          <w:rFonts w:cstheme="minorHAnsi"/>
        </w:rPr>
        <w:t xml:space="preserve"> (SSCC)</w:t>
      </w:r>
      <w:r w:rsidR="00BB3516">
        <w:rPr>
          <w:rFonts w:cstheme="minorHAnsi"/>
        </w:rPr>
        <w:t xml:space="preserve"> staff</w:t>
      </w:r>
      <w:r w:rsidR="00A51762">
        <w:rPr>
          <w:rFonts w:cstheme="minorHAnsi"/>
        </w:rPr>
        <w:t>,</w:t>
      </w:r>
      <w:r w:rsidR="00BB3516">
        <w:rPr>
          <w:rFonts w:cstheme="minorHAnsi"/>
        </w:rPr>
        <w:t xml:space="preserve"> who work with women and children from disadvantaged families</w:t>
      </w:r>
      <w:r w:rsidR="00A51762">
        <w:rPr>
          <w:rFonts w:cstheme="minorHAnsi"/>
        </w:rPr>
        <w:t>,</w:t>
      </w:r>
      <w:r w:rsidR="00BB3516">
        <w:rPr>
          <w:rFonts w:cstheme="minorHAnsi"/>
        </w:rPr>
        <w:t xml:space="preserve"> in behaviour change techniques</w:t>
      </w:r>
      <w:r w:rsidR="00AF01CF">
        <w:rPr>
          <w:rFonts w:cstheme="minorHAnsi"/>
        </w:rPr>
        <w:t xml:space="preserve"> </w:t>
      </w:r>
      <w:r w:rsidR="005208FF">
        <w:rPr>
          <w:rFonts w:cstheme="minorHAnsi"/>
        </w:rPr>
        <w:t>.</w:t>
      </w:r>
      <w:r w:rsidR="00434730">
        <w:rPr>
          <w:szCs w:val="20"/>
          <w:vertAlign w:val="superscript"/>
        </w:rPr>
        <w:t>2</w:t>
      </w:r>
      <w:r w:rsidR="00293E5D">
        <w:rPr>
          <w:szCs w:val="20"/>
          <w:vertAlign w:val="superscript"/>
        </w:rPr>
        <w:t>4</w:t>
      </w:r>
      <w:r w:rsidR="00031A04">
        <w:rPr>
          <w:szCs w:val="20"/>
          <w:vertAlign w:val="superscript"/>
        </w:rPr>
        <w:t xml:space="preserve"> </w:t>
      </w:r>
      <w:r w:rsidR="0081170C">
        <w:rPr>
          <w:rFonts w:cstheme="minorHAnsi"/>
        </w:rPr>
        <w:t xml:space="preserve">  The logic</w:t>
      </w:r>
      <w:r w:rsidR="00376413">
        <w:rPr>
          <w:rFonts w:cstheme="minorHAnsi"/>
        </w:rPr>
        <w:t xml:space="preserve"> model for</w:t>
      </w:r>
      <w:r w:rsidR="008B5F01">
        <w:rPr>
          <w:rFonts w:cstheme="minorHAnsi"/>
        </w:rPr>
        <w:t xml:space="preserve"> the</w:t>
      </w:r>
      <w:r w:rsidR="00376413">
        <w:rPr>
          <w:rFonts w:cstheme="minorHAnsi"/>
        </w:rPr>
        <w:t xml:space="preserve"> intervention demonstrates how improvements in sense of control and self</w:t>
      </w:r>
      <w:r w:rsidR="000F1B6A">
        <w:rPr>
          <w:rFonts w:cstheme="minorHAnsi"/>
        </w:rPr>
        <w:t>-</w:t>
      </w:r>
      <w:r w:rsidR="00376413">
        <w:rPr>
          <w:rFonts w:cstheme="minorHAnsi"/>
        </w:rPr>
        <w:t>efficacy are intermediate outcomes in the path between the women’s contact with trained SSCC staff and improvements in their diets and physical activity levels.</w:t>
      </w:r>
      <w:r w:rsidR="000F1B6A">
        <w:rPr>
          <w:rFonts w:cstheme="minorHAnsi"/>
        </w:rPr>
        <w:t xml:space="preserve"> Within the model</w:t>
      </w:r>
      <w:r w:rsidR="00AD1E10">
        <w:rPr>
          <w:rFonts w:cstheme="minorHAnsi"/>
        </w:rPr>
        <w:t>,</w:t>
      </w:r>
      <w:r w:rsidR="000F1B6A">
        <w:rPr>
          <w:rFonts w:cstheme="minorHAnsi"/>
        </w:rPr>
        <w:t xml:space="preserve"> </w:t>
      </w:r>
      <w:r w:rsidR="00AD1E10">
        <w:rPr>
          <w:rFonts w:cstheme="minorHAnsi"/>
        </w:rPr>
        <w:t>s</w:t>
      </w:r>
      <w:r w:rsidR="000F1B6A">
        <w:rPr>
          <w:rFonts w:cstheme="minorHAnsi"/>
        </w:rPr>
        <w:t>ense of control is defined as</w:t>
      </w:r>
      <w:r w:rsidR="00AD1E10">
        <w:rPr>
          <w:rFonts w:cstheme="minorHAnsi"/>
        </w:rPr>
        <w:t xml:space="preserve"> an individual’s perception that they have control over their lives</w:t>
      </w:r>
      <w:r w:rsidR="000F1B6A">
        <w:rPr>
          <w:rFonts w:cstheme="minorHAnsi"/>
        </w:rPr>
        <w:t xml:space="preserve"> and</w:t>
      </w:r>
      <w:r w:rsidR="00AD1E10">
        <w:rPr>
          <w:rFonts w:cstheme="minorHAnsi"/>
        </w:rPr>
        <w:t xml:space="preserve"> s</w:t>
      </w:r>
      <w:r w:rsidR="000F1B6A">
        <w:rPr>
          <w:rFonts w:cstheme="minorHAnsi"/>
        </w:rPr>
        <w:t>elf-efficacy is defined as</w:t>
      </w:r>
      <w:r w:rsidR="00AD1E10">
        <w:rPr>
          <w:rFonts w:cstheme="minorHAnsi"/>
        </w:rPr>
        <w:t xml:space="preserve"> an individual’s belief that they are capable of carrying out a specific behaviour.</w:t>
      </w:r>
    </w:p>
    <w:p w:rsidR="000766E3" w:rsidRPr="00AF4D2F" w:rsidRDefault="001264C5" w:rsidP="00141E65">
      <w:pPr>
        <w:spacing w:line="360" w:lineRule="auto"/>
        <w:rPr>
          <w:vertAlign w:val="superscript"/>
        </w:rPr>
      </w:pPr>
      <w:r>
        <w:rPr>
          <w:rFonts w:cstheme="minorHAnsi"/>
        </w:rPr>
        <w:t>T</w:t>
      </w:r>
      <w:r w:rsidR="000766E3">
        <w:rPr>
          <w:rFonts w:cstheme="minorHAnsi"/>
        </w:rPr>
        <w:t>his pa</w:t>
      </w:r>
      <w:r w:rsidR="007F0DF0">
        <w:rPr>
          <w:rFonts w:cstheme="minorHAnsi"/>
        </w:rPr>
        <w:t>per describes the findings of</w:t>
      </w:r>
      <w:r w:rsidR="00A51762">
        <w:rPr>
          <w:rFonts w:cstheme="minorHAnsi"/>
        </w:rPr>
        <w:t xml:space="preserve"> a</w:t>
      </w:r>
      <w:r w:rsidR="00403D75">
        <w:rPr>
          <w:rFonts w:cstheme="minorHAnsi"/>
        </w:rPr>
        <w:t>n</w:t>
      </w:r>
      <w:r w:rsidR="007F0DF0">
        <w:rPr>
          <w:rFonts w:cstheme="minorHAnsi"/>
        </w:rPr>
        <w:t xml:space="preserve"> </w:t>
      </w:r>
      <w:r w:rsidR="00A517E0">
        <w:rPr>
          <w:rFonts w:cstheme="minorHAnsi"/>
        </w:rPr>
        <w:t>exploratory study evaluating</w:t>
      </w:r>
      <w:r w:rsidR="000766E3">
        <w:rPr>
          <w:rFonts w:cstheme="minorHAnsi"/>
        </w:rPr>
        <w:t xml:space="preserve"> the effect of the intervention</w:t>
      </w:r>
      <w:r w:rsidR="005208FF">
        <w:rPr>
          <w:rFonts w:cstheme="minorHAnsi"/>
        </w:rPr>
        <w:t xml:space="preserve"> on the diets and physical activity levels of women</w:t>
      </w:r>
      <w:r w:rsidR="00AC1ACE">
        <w:rPr>
          <w:rFonts w:cstheme="minorHAnsi"/>
        </w:rPr>
        <w:t xml:space="preserve"> attending SSCCs in Southampton</w:t>
      </w:r>
      <w:r w:rsidR="000766E3">
        <w:rPr>
          <w:rFonts w:cstheme="minorHAnsi"/>
        </w:rPr>
        <w:t xml:space="preserve"> one year after the training had been delivered</w:t>
      </w:r>
      <w:r w:rsidR="007F0DF0">
        <w:rPr>
          <w:rFonts w:cstheme="minorHAnsi"/>
        </w:rPr>
        <w:t xml:space="preserve"> to SSCC </w:t>
      </w:r>
      <w:r w:rsidR="00AC1ACE">
        <w:rPr>
          <w:rFonts w:cstheme="minorHAnsi"/>
        </w:rPr>
        <w:t>staff within the city</w:t>
      </w:r>
      <w:r w:rsidR="000766E3">
        <w:rPr>
          <w:rFonts w:cstheme="minorHAnsi"/>
        </w:rPr>
        <w:t>.</w:t>
      </w:r>
    </w:p>
    <w:p w:rsidR="006E5BC2" w:rsidRDefault="006E5BC2">
      <w:pPr>
        <w:rPr>
          <w:rFonts w:cstheme="minorHAnsi"/>
          <w:b/>
        </w:rPr>
      </w:pPr>
      <w:r>
        <w:rPr>
          <w:rFonts w:cstheme="minorHAnsi"/>
          <w:b/>
        </w:rPr>
        <w:br w:type="page"/>
      </w:r>
    </w:p>
    <w:p w:rsidR="00DB628C" w:rsidRPr="00B02ABB" w:rsidRDefault="00DB628C" w:rsidP="00141E65">
      <w:pPr>
        <w:autoSpaceDE w:val="0"/>
        <w:autoSpaceDN w:val="0"/>
        <w:adjustRightInd w:val="0"/>
        <w:spacing w:after="0" w:line="360" w:lineRule="auto"/>
        <w:rPr>
          <w:rFonts w:cstheme="minorHAnsi"/>
          <w:b/>
        </w:rPr>
      </w:pPr>
      <w:r w:rsidRPr="00B02ABB">
        <w:rPr>
          <w:rFonts w:cstheme="minorHAnsi"/>
          <w:b/>
        </w:rPr>
        <w:lastRenderedPageBreak/>
        <w:t>Methods</w:t>
      </w:r>
    </w:p>
    <w:p w:rsidR="002101ED" w:rsidRDefault="006F79E8" w:rsidP="00141E65">
      <w:pPr>
        <w:autoSpaceDE w:val="0"/>
        <w:autoSpaceDN w:val="0"/>
        <w:adjustRightInd w:val="0"/>
        <w:spacing w:after="0" w:line="360" w:lineRule="auto"/>
        <w:rPr>
          <w:rFonts w:cstheme="minorHAnsi"/>
        </w:rPr>
      </w:pPr>
      <w:r>
        <w:rPr>
          <w:rFonts w:cstheme="minorHAnsi"/>
        </w:rPr>
        <w:t>We carried out a before and after non-randomised</w:t>
      </w:r>
      <w:r w:rsidR="00144BF5">
        <w:rPr>
          <w:rFonts w:cstheme="minorHAnsi"/>
        </w:rPr>
        <w:t xml:space="preserve"> controlled</w:t>
      </w:r>
      <w:r w:rsidR="00A517E0">
        <w:rPr>
          <w:rFonts w:cstheme="minorHAnsi"/>
        </w:rPr>
        <w:t xml:space="preserve"> evaluation of the complex public health intervention</w:t>
      </w:r>
      <w:r w:rsidR="006B0298">
        <w:rPr>
          <w:rFonts w:cstheme="minorHAnsi"/>
        </w:rPr>
        <w:t xml:space="preserve">. </w:t>
      </w:r>
      <w:r w:rsidR="00F4764E" w:rsidRPr="00F4764E">
        <w:rPr>
          <w:rFonts w:cstheme="minorHAnsi"/>
        </w:rPr>
        <w:t>Randomisation at SSCC level was not possible because staff and women were known to move frequently between centres.</w:t>
      </w:r>
      <w:r w:rsidR="00F4764E">
        <w:rPr>
          <w:rFonts w:cstheme="minorHAnsi"/>
        </w:rPr>
        <w:t xml:space="preserve"> </w:t>
      </w:r>
      <w:r w:rsidR="006B0298">
        <w:rPr>
          <w:rFonts w:cstheme="minorHAnsi"/>
        </w:rPr>
        <w:t>T</w:t>
      </w:r>
      <w:r>
        <w:rPr>
          <w:rFonts w:cstheme="minorHAnsi"/>
        </w:rPr>
        <w:t xml:space="preserve">he intervention was introduced in the </w:t>
      </w:r>
      <w:r w:rsidR="00681CEA">
        <w:rPr>
          <w:rFonts w:cstheme="minorHAnsi"/>
        </w:rPr>
        <w:t>14 SSCCs</w:t>
      </w:r>
      <w:r>
        <w:rPr>
          <w:rFonts w:cstheme="minorHAnsi"/>
        </w:rPr>
        <w:t xml:space="preserve"> within Southampton and training</w:t>
      </w:r>
      <w:r w:rsidR="00431244">
        <w:rPr>
          <w:rFonts w:cstheme="minorHAnsi"/>
        </w:rPr>
        <w:t xml:space="preserve"> of staff took place from </w:t>
      </w:r>
      <w:r w:rsidR="00AA2EA4">
        <w:rPr>
          <w:rFonts w:cstheme="minorHAnsi"/>
        </w:rPr>
        <w:t>May</w:t>
      </w:r>
      <w:r w:rsidR="00523BD0">
        <w:rPr>
          <w:rFonts w:cstheme="minorHAnsi"/>
        </w:rPr>
        <w:t xml:space="preserve"> 2009 to</w:t>
      </w:r>
      <w:r w:rsidR="00431244">
        <w:rPr>
          <w:rFonts w:cstheme="minorHAnsi"/>
        </w:rPr>
        <w:t xml:space="preserve"> </w:t>
      </w:r>
      <w:r w:rsidR="0005497E">
        <w:rPr>
          <w:rFonts w:cstheme="minorHAnsi"/>
        </w:rPr>
        <w:t>May</w:t>
      </w:r>
      <w:r w:rsidR="00431244">
        <w:rPr>
          <w:rFonts w:cstheme="minorHAnsi"/>
        </w:rPr>
        <w:t xml:space="preserve"> 2010</w:t>
      </w:r>
      <w:r>
        <w:rPr>
          <w:rFonts w:cstheme="minorHAnsi"/>
        </w:rPr>
        <w:t xml:space="preserve">. </w:t>
      </w:r>
      <w:r w:rsidR="006B0298">
        <w:rPr>
          <w:rFonts w:cstheme="minorHAnsi"/>
        </w:rPr>
        <w:t>Implementation was s</w:t>
      </w:r>
      <w:r w:rsidR="00956D31">
        <w:rPr>
          <w:rFonts w:cstheme="minorHAnsi"/>
        </w:rPr>
        <w:t>uppor</w:t>
      </w:r>
      <w:r w:rsidR="006B0298">
        <w:rPr>
          <w:rFonts w:cstheme="minorHAnsi"/>
        </w:rPr>
        <w:t>ted by</w:t>
      </w:r>
      <w:r w:rsidR="00956D31">
        <w:rPr>
          <w:rFonts w:cstheme="minorHAnsi"/>
        </w:rPr>
        <w:t xml:space="preserve"> the primary care trust at that time (NHS Southampton City) and </w:t>
      </w:r>
      <w:r w:rsidR="006B0298">
        <w:rPr>
          <w:rFonts w:cstheme="minorHAnsi"/>
        </w:rPr>
        <w:t>by</w:t>
      </w:r>
      <w:r w:rsidR="00956D31">
        <w:rPr>
          <w:rFonts w:cstheme="minorHAnsi"/>
        </w:rPr>
        <w:t xml:space="preserve"> Southampton City Council. </w:t>
      </w:r>
      <w:r>
        <w:rPr>
          <w:rFonts w:cstheme="minorHAnsi"/>
        </w:rPr>
        <w:t>The control areas were Gosport and Havant</w:t>
      </w:r>
      <w:r w:rsidR="003F2138">
        <w:rPr>
          <w:rFonts w:cstheme="minorHAnsi"/>
        </w:rPr>
        <w:t xml:space="preserve"> which had</w:t>
      </w:r>
      <w:r w:rsidR="00B54BD0">
        <w:rPr>
          <w:rFonts w:cstheme="minorHAnsi"/>
        </w:rPr>
        <w:t xml:space="preserve"> 14</w:t>
      </w:r>
      <w:r w:rsidR="00DB6ED6">
        <w:rPr>
          <w:rFonts w:cstheme="minorHAnsi"/>
        </w:rPr>
        <w:t xml:space="preserve"> SSCCs between them</w:t>
      </w:r>
      <w:r>
        <w:rPr>
          <w:rFonts w:cstheme="minorHAnsi"/>
        </w:rPr>
        <w:t xml:space="preserve">. These areas were selected because they had similar demographic features to those of Southampton. </w:t>
      </w:r>
    </w:p>
    <w:p w:rsidR="00C24E58" w:rsidRDefault="00C24E58" w:rsidP="00141E65">
      <w:pPr>
        <w:autoSpaceDE w:val="0"/>
        <w:autoSpaceDN w:val="0"/>
        <w:adjustRightInd w:val="0"/>
        <w:spacing w:after="0" w:line="360" w:lineRule="auto"/>
        <w:rPr>
          <w:rFonts w:cstheme="minorHAnsi"/>
        </w:rPr>
      </w:pPr>
    </w:p>
    <w:p w:rsidR="00AB48A9" w:rsidRDefault="004A48CC" w:rsidP="00141E65">
      <w:pPr>
        <w:autoSpaceDE w:val="0"/>
        <w:autoSpaceDN w:val="0"/>
        <w:adjustRightInd w:val="0"/>
        <w:spacing w:after="0" w:line="360" w:lineRule="auto"/>
        <w:rPr>
          <w:rFonts w:cstheme="minorHAnsi"/>
        </w:rPr>
      </w:pPr>
      <w:r>
        <w:rPr>
          <w:rFonts w:cstheme="minorHAnsi"/>
        </w:rPr>
        <w:t>The</w:t>
      </w:r>
      <w:r w:rsidR="006B0298">
        <w:rPr>
          <w:rFonts w:cstheme="minorHAnsi"/>
        </w:rPr>
        <w:t xml:space="preserve"> </w:t>
      </w:r>
      <w:r w:rsidR="008B5F01">
        <w:rPr>
          <w:rFonts w:cstheme="minorHAnsi"/>
        </w:rPr>
        <w:t>H</w:t>
      </w:r>
      <w:r w:rsidR="006B0298">
        <w:rPr>
          <w:rFonts w:cstheme="minorHAnsi"/>
        </w:rPr>
        <w:t xml:space="preserve">ealthy </w:t>
      </w:r>
      <w:r w:rsidR="008B5F01">
        <w:rPr>
          <w:rFonts w:cstheme="minorHAnsi"/>
        </w:rPr>
        <w:t>C</w:t>
      </w:r>
      <w:r w:rsidR="006B0298">
        <w:rPr>
          <w:rFonts w:cstheme="minorHAnsi"/>
        </w:rPr>
        <w:t xml:space="preserve">onversation </w:t>
      </w:r>
      <w:r w:rsidR="008B5F01">
        <w:rPr>
          <w:rFonts w:cstheme="minorHAnsi"/>
        </w:rPr>
        <w:t>S</w:t>
      </w:r>
      <w:r w:rsidR="006B0298">
        <w:rPr>
          <w:rFonts w:cstheme="minorHAnsi"/>
        </w:rPr>
        <w:t>kills (HCS)</w:t>
      </w:r>
      <w:r w:rsidR="008B5F01">
        <w:rPr>
          <w:rFonts w:cstheme="minorHAnsi"/>
        </w:rPr>
        <w:t xml:space="preserve"> </w:t>
      </w:r>
      <w:r w:rsidR="006B0298">
        <w:rPr>
          <w:rFonts w:cstheme="minorHAnsi"/>
        </w:rPr>
        <w:t>training interventio</w:t>
      </w:r>
      <w:r w:rsidR="00B20023">
        <w:rPr>
          <w:rFonts w:cstheme="minorHAnsi"/>
        </w:rPr>
        <w:t>n equipped staff with five core</w:t>
      </w:r>
      <w:r w:rsidR="006B0298">
        <w:rPr>
          <w:rFonts w:cstheme="minorHAnsi"/>
        </w:rPr>
        <w:t xml:space="preserve"> skills to help women address barriers to behaviour change and set goals for: reflection on current practice; asking ‘open discovery’ questions that usually began with ‘what’ or ‘how’ and encouraging the recipient to reflect on their issue of concern and identify their own solutions; and goal setting using SMARTER planning. The delivery of the intervention is summarised in the text box.</w:t>
      </w:r>
      <w:r w:rsidR="00622269">
        <w:rPr>
          <w:rFonts w:cstheme="minorHAnsi"/>
        </w:rPr>
        <w:t xml:space="preserve"> We trained 148</w:t>
      </w:r>
      <w:r w:rsidR="00C24E58">
        <w:rPr>
          <w:rFonts w:cstheme="minorHAnsi"/>
        </w:rPr>
        <w:t xml:space="preserve"> staff working within </w:t>
      </w:r>
      <w:r w:rsidR="00622269">
        <w:rPr>
          <w:rFonts w:cstheme="minorHAnsi"/>
        </w:rPr>
        <w:t xml:space="preserve">14 </w:t>
      </w:r>
      <w:r w:rsidR="00C24E58">
        <w:rPr>
          <w:rFonts w:cstheme="minorHAnsi"/>
        </w:rPr>
        <w:t>SSCCs. The</w:t>
      </w:r>
      <w:r w:rsidR="008F28FD">
        <w:rPr>
          <w:rFonts w:cstheme="minorHAnsi"/>
        </w:rPr>
        <w:t>y included play workers</w:t>
      </w:r>
      <w:r w:rsidR="00622269" w:rsidRPr="00137547">
        <w:rPr>
          <w:rFonts w:cs="Times New Roman"/>
        </w:rPr>
        <w:t>, family support and community development workers</w:t>
      </w:r>
      <w:r w:rsidR="00622269">
        <w:rPr>
          <w:rFonts w:cstheme="minorHAnsi"/>
        </w:rPr>
        <w:t>.</w:t>
      </w:r>
    </w:p>
    <w:p w:rsidR="00AB48A9" w:rsidRDefault="00AB48A9">
      <w:pPr>
        <w:rPr>
          <w:rFonts w:cstheme="minorHAnsi"/>
        </w:rPr>
      </w:pPr>
      <w:r>
        <w:rPr>
          <w:rFonts w:cstheme="minorHAnsi"/>
        </w:rPr>
        <w:br w:type="page"/>
      </w:r>
    </w:p>
    <w:p w:rsidR="008C7C10" w:rsidRDefault="000D6ADB" w:rsidP="008C7C10">
      <w:r>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161925</wp:posOffset>
                </wp:positionV>
                <wp:extent cx="5743575" cy="54292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429250"/>
                        </a:xfrm>
                        <a:prstGeom prst="rect">
                          <a:avLst/>
                        </a:prstGeom>
                        <a:solidFill>
                          <a:srgbClr val="FFFFFF"/>
                        </a:solidFill>
                        <a:ln w="9525">
                          <a:solidFill>
                            <a:srgbClr val="000000"/>
                          </a:solidFill>
                          <a:miter lim="800000"/>
                          <a:headEnd/>
                          <a:tailEnd/>
                        </a:ln>
                      </wps:spPr>
                      <wps:txbx>
                        <w:txbxContent>
                          <w:p w:rsidR="006E5BC2" w:rsidRDefault="006E5BC2" w:rsidP="008C7C10">
                            <w:pPr>
                              <w:spacing w:after="0" w:line="360" w:lineRule="auto"/>
                              <w:rPr>
                                <w:rFonts w:cs="Arial"/>
                                <w:b/>
                              </w:rPr>
                            </w:pPr>
                            <w:r>
                              <w:rPr>
                                <w:rFonts w:cs="Arial"/>
                                <w:b/>
                              </w:rPr>
                              <w:t>Healthy Conversation</w:t>
                            </w:r>
                            <w:r w:rsidRPr="00D75119">
                              <w:rPr>
                                <w:rFonts w:cs="Arial"/>
                                <w:b/>
                              </w:rPr>
                              <w:t xml:space="preserve"> Skills Training </w:t>
                            </w:r>
                          </w:p>
                          <w:p w:rsidR="006E5BC2" w:rsidRPr="008C7C10" w:rsidRDefault="006E5BC2" w:rsidP="008C7C10">
                            <w:pPr>
                              <w:spacing w:after="0" w:line="360" w:lineRule="auto"/>
                              <w:rPr>
                                <w:rFonts w:cs="Arial"/>
                                <w:b/>
                              </w:rPr>
                            </w:pPr>
                            <w:r w:rsidRPr="00D75119">
                              <w:rPr>
                                <w:rFonts w:cs="Arial"/>
                              </w:rPr>
                              <w:t>Communi</w:t>
                            </w:r>
                            <w:r>
                              <w:rPr>
                                <w:rFonts w:cs="Arial"/>
                              </w:rPr>
                              <w:t>cation is enhanced through practitioners</w:t>
                            </w:r>
                            <w:r w:rsidRPr="00D75119">
                              <w:rPr>
                                <w:rFonts w:cs="Arial"/>
                              </w:rPr>
                              <w:t xml:space="preserve"> developing the </w:t>
                            </w:r>
                            <w:r>
                              <w:rPr>
                                <w:rFonts w:cs="Arial"/>
                              </w:rPr>
                              <w:t>skill of asking open-ended, or open discovery</w:t>
                            </w:r>
                            <w:r w:rsidRPr="00D75119">
                              <w:rPr>
                                <w:rFonts w:cs="Arial"/>
                              </w:rPr>
                              <w:t>, questions</w:t>
                            </w:r>
                            <w:r>
                              <w:rPr>
                                <w:rFonts w:cs="Arial"/>
                              </w:rPr>
                              <w:t xml:space="preserve"> -</w:t>
                            </w:r>
                            <w:r w:rsidRPr="00D75119">
                              <w:rPr>
                                <w:rFonts w:cs="Arial"/>
                              </w:rPr>
                              <w:t xml:space="preserve"> those that generally begin with “how” and “what”. Such healthy convers</w:t>
                            </w:r>
                            <w:r>
                              <w:rPr>
                                <w:rFonts w:cs="Arial"/>
                              </w:rPr>
                              <w:t xml:space="preserve">ations allow a patient or client to </w:t>
                            </w:r>
                            <w:r w:rsidRPr="00D75119">
                              <w:rPr>
                                <w:rFonts w:cs="Arial"/>
                              </w:rPr>
                              <w:t>explore an issue, identify barriers, and generate solutions</w:t>
                            </w:r>
                            <w:r>
                              <w:rPr>
                                <w:rFonts w:cs="Arial"/>
                              </w:rPr>
                              <w:t xml:space="preserve"> that can be reviewed with the practitioner</w:t>
                            </w:r>
                            <w:r w:rsidRPr="00D75119">
                              <w:rPr>
                                <w:rFonts w:cs="Arial"/>
                              </w:rPr>
                              <w:t xml:space="preserve"> at thei</w:t>
                            </w:r>
                            <w:r>
                              <w:rPr>
                                <w:rFonts w:cs="Arial"/>
                              </w:rPr>
                              <w:t>r next encounter.  Training aimed</w:t>
                            </w:r>
                            <w:r w:rsidRPr="00D75119">
                              <w:rPr>
                                <w:rFonts w:cs="Arial"/>
                              </w:rPr>
                              <w:t xml:space="preserve"> to increase self-efficacy and sense of control of both </w:t>
                            </w:r>
                            <w:r>
                              <w:rPr>
                                <w:rFonts w:cs="Arial"/>
                              </w:rPr>
                              <w:t>practitioners</w:t>
                            </w:r>
                            <w:r w:rsidRPr="00D75119">
                              <w:rPr>
                                <w:rFonts w:cs="Arial"/>
                              </w:rPr>
                              <w:t xml:space="preserve"> and their clients.</w:t>
                            </w:r>
                          </w:p>
                          <w:p w:rsidR="006E5BC2" w:rsidRPr="00D75119" w:rsidRDefault="006E5BC2" w:rsidP="008C7C10">
                            <w:pPr>
                              <w:spacing w:after="0" w:line="360" w:lineRule="auto"/>
                              <w:rPr>
                                <w:rFonts w:cs="Arial"/>
                              </w:rPr>
                            </w:pPr>
                            <w:r w:rsidRPr="00D75119">
                              <w:rPr>
                                <w:rFonts w:cs="Arial"/>
                              </w:rPr>
                              <w:t xml:space="preserve">The five core skills </w:t>
                            </w:r>
                            <w:r>
                              <w:rPr>
                                <w:rFonts w:cs="Arial"/>
                              </w:rPr>
                              <w:t>are</w:t>
                            </w:r>
                            <w:r w:rsidRPr="00D75119">
                              <w:rPr>
                                <w:rFonts w:cs="Arial"/>
                              </w:rPr>
                              <w:t>:</w:t>
                            </w:r>
                          </w:p>
                          <w:p w:rsidR="006E5BC2" w:rsidRPr="00D75119" w:rsidRDefault="006E5BC2" w:rsidP="008C7C10">
                            <w:pPr>
                              <w:numPr>
                                <w:ilvl w:val="0"/>
                                <w:numId w:val="3"/>
                              </w:numPr>
                              <w:spacing w:after="0" w:line="360" w:lineRule="auto"/>
                              <w:rPr>
                                <w:rFonts w:cs="Arial"/>
                              </w:rPr>
                            </w:pPr>
                            <w:r>
                              <w:rPr>
                                <w:rFonts w:cs="Arial"/>
                              </w:rPr>
                              <w:t>To be able to identify and create</w:t>
                            </w:r>
                            <w:r w:rsidRPr="00D75119">
                              <w:rPr>
                                <w:rFonts w:cs="Arial"/>
                              </w:rPr>
                              <w:t xml:space="preserve"> opportunities to hold “healthy conversations”;</w:t>
                            </w:r>
                          </w:p>
                          <w:p w:rsidR="006E5BC2" w:rsidRPr="00D75119" w:rsidRDefault="006E5BC2" w:rsidP="008C7C10">
                            <w:pPr>
                              <w:numPr>
                                <w:ilvl w:val="0"/>
                                <w:numId w:val="3"/>
                              </w:numPr>
                              <w:spacing w:after="0" w:line="360" w:lineRule="auto"/>
                              <w:rPr>
                                <w:rFonts w:cs="Arial"/>
                              </w:rPr>
                            </w:pPr>
                            <w:r>
                              <w:rPr>
                                <w:rFonts w:cs="Arial"/>
                              </w:rPr>
                              <w:t xml:space="preserve">To use open </w:t>
                            </w:r>
                            <w:r w:rsidRPr="00D75119">
                              <w:rPr>
                                <w:rFonts w:cs="Arial"/>
                              </w:rPr>
                              <w:t xml:space="preserve">discovery questions; </w:t>
                            </w:r>
                          </w:p>
                          <w:p w:rsidR="006E5BC2" w:rsidRPr="00D75119" w:rsidRDefault="006E5BC2" w:rsidP="008C7C10">
                            <w:pPr>
                              <w:numPr>
                                <w:ilvl w:val="0"/>
                                <w:numId w:val="3"/>
                              </w:numPr>
                              <w:spacing w:after="0" w:line="360" w:lineRule="auto"/>
                              <w:rPr>
                                <w:rFonts w:cs="Arial"/>
                              </w:rPr>
                            </w:pPr>
                            <w:r>
                              <w:rPr>
                                <w:rFonts w:cs="Arial"/>
                              </w:rPr>
                              <w:t xml:space="preserve">To </w:t>
                            </w:r>
                            <w:r w:rsidRPr="00D75119">
                              <w:rPr>
                                <w:rFonts w:cs="Arial"/>
                              </w:rPr>
                              <w:t>reflect on practice;</w:t>
                            </w:r>
                          </w:p>
                          <w:p w:rsidR="006E5BC2" w:rsidRPr="00D75119" w:rsidRDefault="006E5BC2" w:rsidP="008C7C10">
                            <w:pPr>
                              <w:numPr>
                                <w:ilvl w:val="0"/>
                                <w:numId w:val="3"/>
                              </w:numPr>
                              <w:spacing w:after="0" w:line="360" w:lineRule="auto"/>
                              <w:rPr>
                                <w:rFonts w:cs="Arial"/>
                              </w:rPr>
                            </w:pPr>
                            <w:r>
                              <w:rPr>
                                <w:rFonts w:cs="Arial"/>
                              </w:rPr>
                              <w:t>To l</w:t>
                            </w:r>
                            <w:r w:rsidRPr="00D75119">
                              <w:rPr>
                                <w:rFonts w:cs="Arial"/>
                              </w:rPr>
                              <w:t>isten</w:t>
                            </w:r>
                            <w:r>
                              <w:rPr>
                                <w:rFonts w:cs="Arial"/>
                              </w:rPr>
                              <w:t xml:space="preserve"> </w:t>
                            </w:r>
                            <w:r w:rsidRPr="00D75119">
                              <w:rPr>
                                <w:rFonts w:cs="Arial"/>
                              </w:rPr>
                              <w:t>rather than provid</w:t>
                            </w:r>
                            <w:r>
                              <w:rPr>
                                <w:rFonts w:cs="Arial"/>
                              </w:rPr>
                              <w:t>e</w:t>
                            </w:r>
                            <w:r w:rsidRPr="00D75119">
                              <w:rPr>
                                <w:rFonts w:cs="Arial"/>
                              </w:rPr>
                              <w:t xml:space="preserve"> information;</w:t>
                            </w:r>
                            <w:r>
                              <w:rPr>
                                <w:rFonts w:cs="Arial"/>
                              </w:rPr>
                              <w:t xml:space="preserve"> and,</w:t>
                            </w:r>
                          </w:p>
                          <w:p w:rsidR="006E5BC2" w:rsidRPr="00D75119" w:rsidRDefault="006E5BC2" w:rsidP="008C7C10">
                            <w:pPr>
                              <w:numPr>
                                <w:ilvl w:val="0"/>
                                <w:numId w:val="3"/>
                              </w:numPr>
                              <w:spacing w:after="0" w:line="360" w:lineRule="auto"/>
                              <w:rPr>
                                <w:rFonts w:cs="Arial"/>
                              </w:rPr>
                            </w:pPr>
                            <w:r>
                              <w:rPr>
                                <w:rFonts w:cs="Arial"/>
                              </w:rPr>
                              <w:t xml:space="preserve">To </w:t>
                            </w:r>
                            <w:r w:rsidRPr="00D75119">
                              <w:rPr>
                                <w:rFonts w:cs="Arial"/>
                              </w:rPr>
                              <w:t>support goal setting through SMARTER planning (Specific, Measurable, Action-oriented, Realistic, Timed, Evaluated, Reviewed</w:t>
                            </w:r>
                            <w:r>
                              <w:rPr>
                                <w:rFonts w:cs="Arial"/>
                              </w:rPr>
                              <w:t xml:space="preserve"> goals</w:t>
                            </w:r>
                            <w:r w:rsidRPr="00D75119">
                              <w:rPr>
                                <w:rFonts w:cs="Arial"/>
                              </w:rPr>
                              <w:t xml:space="preserve">). </w:t>
                            </w:r>
                          </w:p>
                          <w:p w:rsidR="006E5BC2" w:rsidRPr="00D75119" w:rsidRDefault="006E5BC2" w:rsidP="008C7C10">
                            <w:pPr>
                              <w:spacing w:after="0" w:line="360" w:lineRule="auto"/>
                              <w:rPr>
                                <w:rFonts w:cs="Arial"/>
                              </w:rPr>
                            </w:pPr>
                            <w:r>
                              <w:rPr>
                                <w:rFonts w:cs="Arial"/>
                              </w:rPr>
                              <w:t>Healthy Conversation Skills training consisted</w:t>
                            </w:r>
                            <w:r w:rsidRPr="00D75119">
                              <w:rPr>
                                <w:rFonts w:cs="Arial"/>
                              </w:rPr>
                              <w:t xml:space="preserve"> of three 3</w:t>
                            </w:r>
                            <w:r>
                              <w:rPr>
                                <w:rFonts w:cs="Arial"/>
                              </w:rPr>
                              <w:t>-</w:t>
                            </w:r>
                            <w:r w:rsidRPr="00D75119">
                              <w:rPr>
                                <w:rFonts w:cs="Arial"/>
                              </w:rPr>
                              <w:t>hour group sessions over three to five wee</w:t>
                            </w:r>
                            <w:r>
                              <w:rPr>
                                <w:rFonts w:cs="Arial"/>
                              </w:rPr>
                              <w:t>ks to allow time for practis</w:t>
                            </w:r>
                            <w:r w:rsidRPr="00D75119">
                              <w:rPr>
                                <w:rFonts w:cs="Arial"/>
                              </w:rPr>
                              <w:t>ing and reflecting on skills</w:t>
                            </w:r>
                            <w:r>
                              <w:rPr>
                                <w:rFonts w:cs="Arial"/>
                              </w:rPr>
                              <w:t xml:space="preserve">, </w:t>
                            </w:r>
                            <w:r w:rsidRPr="00D75119">
                              <w:rPr>
                                <w:rFonts w:cs="Arial"/>
                              </w:rPr>
                              <w:t>delivered by a team of researchers experienced in group wo</w:t>
                            </w:r>
                            <w:r>
                              <w:rPr>
                                <w:rFonts w:cs="Arial"/>
                              </w:rPr>
                              <w:t>rk and behaviour change. This was</w:t>
                            </w:r>
                            <w:r w:rsidRPr="00D75119">
                              <w:rPr>
                                <w:rFonts w:cs="Arial"/>
                              </w:rPr>
                              <w:t xml:space="preserve"> followed by a period of on-going support, including</w:t>
                            </w:r>
                            <w:r>
                              <w:rPr>
                                <w:rFonts w:cs="Arial"/>
                              </w:rPr>
                              <w:t xml:space="preserve"> a phone call from one of the trainers to find out how skills are being implemented in practice, and </w:t>
                            </w:r>
                            <w:r w:rsidRPr="00D75119">
                              <w:rPr>
                                <w:rFonts w:cs="Arial"/>
                              </w:rPr>
                              <w:t>a three hour follow-up workshop approximately t</w:t>
                            </w:r>
                            <w:r>
                              <w:rPr>
                                <w:rFonts w:cs="Arial"/>
                              </w:rPr>
                              <w:t>hree months after training. The phone call and workshop allow</w:t>
                            </w:r>
                            <w:r w:rsidRPr="00D75119">
                              <w:rPr>
                                <w:rFonts w:cs="Arial"/>
                              </w:rPr>
                              <w:t xml:space="preserve"> trainees to reflect on the train</w:t>
                            </w:r>
                            <w:r>
                              <w:rPr>
                                <w:rFonts w:cs="Arial"/>
                              </w:rPr>
                              <w:t xml:space="preserve">ing, how they </w:t>
                            </w:r>
                            <w:r w:rsidRPr="00D75119">
                              <w:rPr>
                                <w:rFonts w:cs="Arial"/>
                              </w:rPr>
                              <w:t>impl</w:t>
                            </w:r>
                            <w:r>
                              <w:rPr>
                                <w:rFonts w:cs="Arial"/>
                              </w:rPr>
                              <w:t>emented their new skills, any barriers to their</w:t>
                            </w:r>
                            <w:r w:rsidRPr="00D75119">
                              <w:rPr>
                                <w:rFonts w:cs="Arial"/>
                              </w:rPr>
                              <w:t xml:space="preserve"> implementation</w:t>
                            </w:r>
                            <w:r>
                              <w:rPr>
                                <w:rFonts w:cs="Arial"/>
                              </w:rPr>
                              <w:t xml:space="preserve"> and plans for continued or increased use</w:t>
                            </w:r>
                            <w:r w:rsidRPr="00D75119">
                              <w:rPr>
                                <w:rFonts w:cs="Arial"/>
                              </w:rPr>
                              <w:t xml:space="preserve">. </w:t>
                            </w:r>
                            <w:r>
                              <w:rPr>
                                <w:rFonts w:cs="Arial"/>
                              </w:rPr>
                              <w:t xml:space="preserve"> They also allow the collection of data to evaluate the effectiveness of the training.</w:t>
                            </w:r>
                          </w:p>
                          <w:p w:rsidR="006E5BC2" w:rsidRDefault="006E5B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5pt;margin-top:12.75pt;width:452.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">
                <v:textbox>
                  <w:txbxContent>
                    <w:p w:rsidR="006E5BC2" w:rsidRDefault="006E5BC2" w:rsidP="008C7C10">
                      <w:pPr>
                        <w:spacing w:after="0" w:line="360" w:lineRule="auto"/>
                        <w:rPr>
                          <w:rFonts w:cs="Arial"/>
                          <w:b/>
                        </w:rPr>
                      </w:pPr>
                      <w:r>
                        <w:rPr>
                          <w:rFonts w:cs="Arial"/>
                          <w:b/>
                        </w:rPr>
                        <w:t>Healthy Conversation</w:t>
                      </w:r>
                      <w:r w:rsidRPr="00D75119">
                        <w:rPr>
                          <w:rFonts w:cs="Arial"/>
                          <w:b/>
                        </w:rPr>
                        <w:t xml:space="preserve"> Skills Training </w:t>
                      </w:r>
                    </w:p>
                    <w:p w:rsidR="006E5BC2" w:rsidRPr="008C7C10" w:rsidRDefault="006E5BC2" w:rsidP="008C7C10">
                      <w:pPr>
                        <w:spacing w:after="0" w:line="360" w:lineRule="auto"/>
                        <w:rPr>
                          <w:rFonts w:cs="Arial"/>
                          <w:b/>
                        </w:rPr>
                      </w:pPr>
                      <w:r w:rsidRPr="00D75119">
                        <w:rPr>
                          <w:rFonts w:cs="Arial"/>
                        </w:rPr>
                        <w:t>Communi</w:t>
                      </w:r>
                      <w:r>
                        <w:rPr>
                          <w:rFonts w:cs="Arial"/>
                        </w:rPr>
                        <w:t>cation is enhanced through practitioners</w:t>
                      </w:r>
                      <w:r w:rsidRPr="00D75119">
                        <w:rPr>
                          <w:rFonts w:cs="Arial"/>
                        </w:rPr>
                        <w:t xml:space="preserve"> developing the </w:t>
                      </w:r>
                      <w:r>
                        <w:rPr>
                          <w:rFonts w:cs="Arial"/>
                        </w:rPr>
                        <w:t>skill of asking open-ended, or open discovery</w:t>
                      </w:r>
                      <w:r w:rsidRPr="00D75119">
                        <w:rPr>
                          <w:rFonts w:cs="Arial"/>
                        </w:rPr>
                        <w:t>, questions</w:t>
                      </w:r>
                      <w:r>
                        <w:rPr>
                          <w:rFonts w:cs="Arial"/>
                        </w:rPr>
                        <w:t xml:space="preserve"> -</w:t>
                      </w:r>
                      <w:r w:rsidRPr="00D75119">
                        <w:rPr>
                          <w:rFonts w:cs="Arial"/>
                        </w:rPr>
                        <w:t xml:space="preserve"> those that generally begin with “how” and “what”. Such healthy convers</w:t>
                      </w:r>
                      <w:r>
                        <w:rPr>
                          <w:rFonts w:cs="Arial"/>
                        </w:rPr>
                        <w:t xml:space="preserve">ations allow a patient or client to </w:t>
                      </w:r>
                      <w:r w:rsidRPr="00D75119">
                        <w:rPr>
                          <w:rFonts w:cs="Arial"/>
                        </w:rPr>
                        <w:t>explore an issue, identify barriers, and generate solutions</w:t>
                      </w:r>
                      <w:r>
                        <w:rPr>
                          <w:rFonts w:cs="Arial"/>
                        </w:rPr>
                        <w:t xml:space="preserve"> that can be reviewed with the practitioner</w:t>
                      </w:r>
                      <w:r w:rsidRPr="00D75119">
                        <w:rPr>
                          <w:rFonts w:cs="Arial"/>
                        </w:rPr>
                        <w:t xml:space="preserve"> at thei</w:t>
                      </w:r>
                      <w:r>
                        <w:rPr>
                          <w:rFonts w:cs="Arial"/>
                        </w:rPr>
                        <w:t>r next encounter.  Training aimed</w:t>
                      </w:r>
                      <w:r w:rsidRPr="00D75119">
                        <w:rPr>
                          <w:rFonts w:cs="Arial"/>
                        </w:rPr>
                        <w:t xml:space="preserve"> to increase self-efficacy and sense of control of both </w:t>
                      </w:r>
                      <w:r>
                        <w:rPr>
                          <w:rFonts w:cs="Arial"/>
                        </w:rPr>
                        <w:t>practitioners</w:t>
                      </w:r>
                      <w:r w:rsidRPr="00D75119">
                        <w:rPr>
                          <w:rFonts w:cs="Arial"/>
                        </w:rPr>
                        <w:t xml:space="preserve"> and their clients.</w:t>
                      </w:r>
                    </w:p>
                    <w:p w:rsidR="006E5BC2" w:rsidRPr="00D75119" w:rsidRDefault="006E5BC2" w:rsidP="008C7C10">
                      <w:pPr>
                        <w:spacing w:after="0" w:line="360" w:lineRule="auto"/>
                        <w:rPr>
                          <w:rFonts w:cs="Arial"/>
                        </w:rPr>
                      </w:pPr>
                      <w:r w:rsidRPr="00D75119">
                        <w:rPr>
                          <w:rFonts w:cs="Arial"/>
                        </w:rPr>
                        <w:t xml:space="preserve">The five core skills </w:t>
                      </w:r>
                      <w:r>
                        <w:rPr>
                          <w:rFonts w:cs="Arial"/>
                        </w:rPr>
                        <w:t>are</w:t>
                      </w:r>
                      <w:r w:rsidRPr="00D75119">
                        <w:rPr>
                          <w:rFonts w:cs="Arial"/>
                        </w:rPr>
                        <w:t>:</w:t>
                      </w:r>
                    </w:p>
                    <w:p w:rsidR="006E5BC2" w:rsidRPr="00D75119" w:rsidRDefault="006E5BC2" w:rsidP="008C7C10">
                      <w:pPr>
                        <w:numPr>
                          <w:ilvl w:val="0"/>
                          <w:numId w:val="3"/>
                        </w:numPr>
                        <w:spacing w:after="0" w:line="360" w:lineRule="auto"/>
                        <w:rPr>
                          <w:rFonts w:cs="Arial"/>
                        </w:rPr>
                      </w:pPr>
                      <w:r>
                        <w:rPr>
                          <w:rFonts w:cs="Arial"/>
                        </w:rPr>
                        <w:t>To be able to identify and create</w:t>
                      </w:r>
                      <w:r w:rsidRPr="00D75119">
                        <w:rPr>
                          <w:rFonts w:cs="Arial"/>
                        </w:rPr>
                        <w:t xml:space="preserve"> opportunities to hold “healthy conversations”;</w:t>
                      </w:r>
                    </w:p>
                    <w:p w:rsidR="006E5BC2" w:rsidRPr="00D75119" w:rsidRDefault="006E5BC2" w:rsidP="008C7C10">
                      <w:pPr>
                        <w:numPr>
                          <w:ilvl w:val="0"/>
                          <w:numId w:val="3"/>
                        </w:numPr>
                        <w:spacing w:after="0" w:line="360" w:lineRule="auto"/>
                        <w:rPr>
                          <w:rFonts w:cs="Arial"/>
                        </w:rPr>
                      </w:pPr>
                      <w:r>
                        <w:rPr>
                          <w:rFonts w:cs="Arial"/>
                        </w:rPr>
                        <w:t xml:space="preserve">To use open </w:t>
                      </w:r>
                      <w:r w:rsidRPr="00D75119">
                        <w:rPr>
                          <w:rFonts w:cs="Arial"/>
                        </w:rPr>
                        <w:t xml:space="preserve">discovery questions; </w:t>
                      </w:r>
                    </w:p>
                    <w:p w:rsidR="006E5BC2" w:rsidRPr="00D75119" w:rsidRDefault="006E5BC2" w:rsidP="008C7C10">
                      <w:pPr>
                        <w:numPr>
                          <w:ilvl w:val="0"/>
                          <w:numId w:val="3"/>
                        </w:numPr>
                        <w:spacing w:after="0" w:line="360" w:lineRule="auto"/>
                        <w:rPr>
                          <w:rFonts w:cs="Arial"/>
                        </w:rPr>
                      </w:pPr>
                      <w:r>
                        <w:rPr>
                          <w:rFonts w:cs="Arial"/>
                        </w:rPr>
                        <w:t xml:space="preserve">To </w:t>
                      </w:r>
                      <w:r w:rsidRPr="00D75119">
                        <w:rPr>
                          <w:rFonts w:cs="Arial"/>
                        </w:rPr>
                        <w:t>reflect on practice;</w:t>
                      </w:r>
                    </w:p>
                    <w:p w:rsidR="006E5BC2" w:rsidRPr="00D75119" w:rsidRDefault="006E5BC2" w:rsidP="008C7C10">
                      <w:pPr>
                        <w:numPr>
                          <w:ilvl w:val="0"/>
                          <w:numId w:val="3"/>
                        </w:numPr>
                        <w:spacing w:after="0" w:line="360" w:lineRule="auto"/>
                        <w:rPr>
                          <w:rFonts w:cs="Arial"/>
                        </w:rPr>
                      </w:pPr>
                      <w:r>
                        <w:rPr>
                          <w:rFonts w:cs="Arial"/>
                        </w:rPr>
                        <w:t>To l</w:t>
                      </w:r>
                      <w:r w:rsidRPr="00D75119">
                        <w:rPr>
                          <w:rFonts w:cs="Arial"/>
                        </w:rPr>
                        <w:t>isten</w:t>
                      </w:r>
                      <w:r>
                        <w:rPr>
                          <w:rFonts w:cs="Arial"/>
                        </w:rPr>
                        <w:t xml:space="preserve"> </w:t>
                      </w:r>
                      <w:r w:rsidRPr="00D75119">
                        <w:rPr>
                          <w:rFonts w:cs="Arial"/>
                        </w:rPr>
                        <w:t>rather than provid</w:t>
                      </w:r>
                      <w:r>
                        <w:rPr>
                          <w:rFonts w:cs="Arial"/>
                        </w:rPr>
                        <w:t>e</w:t>
                      </w:r>
                      <w:r w:rsidRPr="00D75119">
                        <w:rPr>
                          <w:rFonts w:cs="Arial"/>
                        </w:rPr>
                        <w:t xml:space="preserve"> information;</w:t>
                      </w:r>
                      <w:r>
                        <w:rPr>
                          <w:rFonts w:cs="Arial"/>
                        </w:rPr>
                        <w:t xml:space="preserve"> and,</w:t>
                      </w:r>
                    </w:p>
                    <w:p w:rsidR="006E5BC2" w:rsidRPr="00D75119" w:rsidRDefault="006E5BC2" w:rsidP="008C7C10">
                      <w:pPr>
                        <w:numPr>
                          <w:ilvl w:val="0"/>
                          <w:numId w:val="3"/>
                        </w:numPr>
                        <w:spacing w:after="0" w:line="360" w:lineRule="auto"/>
                        <w:rPr>
                          <w:rFonts w:cs="Arial"/>
                        </w:rPr>
                      </w:pPr>
                      <w:r>
                        <w:rPr>
                          <w:rFonts w:cs="Arial"/>
                        </w:rPr>
                        <w:t xml:space="preserve">To </w:t>
                      </w:r>
                      <w:r w:rsidRPr="00D75119">
                        <w:rPr>
                          <w:rFonts w:cs="Arial"/>
                        </w:rPr>
                        <w:t>support goal setting through SMARTER planning (Specific, Measurable, Action-oriented, Realistic, Timed, Evaluated, Reviewed</w:t>
                      </w:r>
                      <w:r>
                        <w:rPr>
                          <w:rFonts w:cs="Arial"/>
                        </w:rPr>
                        <w:t xml:space="preserve"> goals</w:t>
                      </w:r>
                      <w:r w:rsidRPr="00D75119">
                        <w:rPr>
                          <w:rFonts w:cs="Arial"/>
                        </w:rPr>
                        <w:t xml:space="preserve">). </w:t>
                      </w:r>
                    </w:p>
                    <w:p w:rsidR="006E5BC2" w:rsidRPr="00D75119" w:rsidRDefault="006E5BC2" w:rsidP="008C7C10">
                      <w:pPr>
                        <w:spacing w:after="0" w:line="360" w:lineRule="auto"/>
                        <w:rPr>
                          <w:rFonts w:cs="Arial"/>
                        </w:rPr>
                      </w:pPr>
                      <w:r>
                        <w:rPr>
                          <w:rFonts w:cs="Arial"/>
                        </w:rPr>
                        <w:t>Healthy Conversation Skills training consisted</w:t>
                      </w:r>
                      <w:r w:rsidRPr="00D75119">
                        <w:rPr>
                          <w:rFonts w:cs="Arial"/>
                        </w:rPr>
                        <w:t xml:space="preserve"> of three 3</w:t>
                      </w:r>
                      <w:r>
                        <w:rPr>
                          <w:rFonts w:cs="Arial"/>
                        </w:rPr>
                        <w:t>-</w:t>
                      </w:r>
                      <w:r w:rsidRPr="00D75119">
                        <w:rPr>
                          <w:rFonts w:cs="Arial"/>
                        </w:rPr>
                        <w:t>hour group sessions over three to five wee</w:t>
                      </w:r>
                      <w:r>
                        <w:rPr>
                          <w:rFonts w:cs="Arial"/>
                        </w:rPr>
                        <w:t>ks to allow time for practis</w:t>
                      </w:r>
                      <w:r w:rsidRPr="00D75119">
                        <w:rPr>
                          <w:rFonts w:cs="Arial"/>
                        </w:rPr>
                        <w:t>ing and reflecting on skills</w:t>
                      </w:r>
                      <w:r>
                        <w:rPr>
                          <w:rFonts w:cs="Arial"/>
                        </w:rPr>
                        <w:t xml:space="preserve">, </w:t>
                      </w:r>
                      <w:r w:rsidRPr="00D75119">
                        <w:rPr>
                          <w:rFonts w:cs="Arial"/>
                        </w:rPr>
                        <w:t>delivered by a team of researchers experienced in group wo</w:t>
                      </w:r>
                      <w:r>
                        <w:rPr>
                          <w:rFonts w:cs="Arial"/>
                        </w:rPr>
                        <w:t>rk and behaviour change. This was</w:t>
                      </w:r>
                      <w:r w:rsidRPr="00D75119">
                        <w:rPr>
                          <w:rFonts w:cs="Arial"/>
                        </w:rPr>
                        <w:t xml:space="preserve"> followed by a period of on-going support, including</w:t>
                      </w:r>
                      <w:r>
                        <w:rPr>
                          <w:rFonts w:cs="Arial"/>
                        </w:rPr>
                        <w:t xml:space="preserve"> a phone call from one of the trainers to find out how skills are being implemented in practice, and </w:t>
                      </w:r>
                      <w:r w:rsidRPr="00D75119">
                        <w:rPr>
                          <w:rFonts w:cs="Arial"/>
                        </w:rPr>
                        <w:t>a three hour follow-up workshop approximately t</w:t>
                      </w:r>
                      <w:r>
                        <w:rPr>
                          <w:rFonts w:cs="Arial"/>
                        </w:rPr>
                        <w:t>hree months after training. The phone call and workshop allow</w:t>
                      </w:r>
                      <w:r w:rsidRPr="00D75119">
                        <w:rPr>
                          <w:rFonts w:cs="Arial"/>
                        </w:rPr>
                        <w:t xml:space="preserve"> trainees to reflect on the train</w:t>
                      </w:r>
                      <w:r>
                        <w:rPr>
                          <w:rFonts w:cs="Arial"/>
                        </w:rPr>
                        <w:t xml:space="preserve">ing, how they </w:t>
                      </w:r>
                      <w:r w:rsidRPr="00D75119">
                        <w:rPr>
                          <w:rFonts w:cs="Arial"/>
                        </w:rPr>
                        <w:t>impl</w:t>
                      </w:r>
                      <w:r>
                        <w:rPr>
                          <w:rFonts w:cs="Arial"/>
                        </w:rPr>
                        <w:t>emented their new skills, any barriers to their</w:t>
                      </w:r>
                      <w:r w:rsidRPr="00D75119">
                        <w:rPr>
                          <w:rFonts w:cs="Arial"/>
                        </w:rPr>
                        <w:t xml:space="preserve"> implementation</w:t>
                      </w:r>
                      <w:r>
                        <w:rPr>
                          <w:rFonts w:cs="Arial"/>
                        </w:rPr>
                        <w:t xml:space="preserve"> and plans for continued or increased use</w:t>
                      </w:r>
                      <w:r w:rsidRPr="00D75119">
                        <w:rPr>
                          <w:rFonts w:cs="Arial"/>
                        </w:rPr>
                        <w:t xml:space="preserve">. </w:t>
                      </w:r>
                      <w:r>
                        <w:rPr>
                          <w:rFonts w:cs="Arial"/>
                        </w:rPr>
                        <w:t xml:space="preserve"> They also allow the collection of data to evaluate the effectiveness of the training.</w:t>
                      </w:r>
                    </w:p>
                    <w:p w:rsidR="006E5BC2" w:rsidRDefault="006E5BC2"/>
                  </w:txbxContent>
                </v:textbox>
              </v:shape>
            </w:pict>
          </mc:Fallback>
        </mc:AlternateContent>
      </w:r>
    </w:p>
    <w:p w:rsidR="006B0298" w:rsidRDefault="006B0298"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8C7C10" w:rsidRDefault="008C7C10" w:rsidP="00141E65">
      <w:pPr>
        <w:autoSpaceDE w:val="0"/>
        <w:autoSpaceDN w:val="0"/>
        <w:adjustRightInd w:val="0"/>
        <w:spacing w:after="0" w:line="360" w:lineRule="auto"/>
        <w:rPr>
          <w:rFonts w:cstheme="minorHAnsi"/>
        </w:rPr>
      </w:pPr>
    </w:p>
    <w:p w:rsidR="006B0298" w:rsidRDefault="003F2138" w:rsidP="008C7C10">
      <w:pPr>
        <w:spacing w:line="360" w:lineRule="auto"/>
        <w:rPr>
          <w:rFonts w:cstheme="minorHAnsi"/>
        </w:rPr>
      </w:pPr>
      <w:r>
        <w:rPr>
          <w:rFonts w:cstheme="minorHAnsi"/>
        </w:rPr>
        <w:t>W</w:t>
      </w:r>
      <w:r w:rsidR="00E6108A">
        <w:rPr>
          <w:rFonts w:cstheme="minorHAnsi"/>
        </w:rPr>
        <w:t xml:space="preserve">e conducted a </w:t>
      </w:r>
      <w:r w:rsidR="00622269">
        <w:rPr>
          <w:rFonts w:cstheme="minorHAnsi"/>
        </w:rPr>
        <w:t xml:space="preserve">baseline </w:t>
      </w:r>
      <w:r w:rsidR="00E6108A">
        <w:rPr>
          <w:rFonts w:cstheme="minorHAnsi"/>
        </w:rPr>
        <w:t>survey of women in Southampton and</w:t>
      </w:r>
      <w:r w:rsidR="002820FA">
        <w:rPr>
          <w:rFonts w:cstheme="minorHAnsi"/>
        </w:rPr>
        <w:t xml:space="preserve"> women in Gosport and Havant </w:t>
      </w:r>
      <w:r w:rsidR="008B5F01">
        <w:rPr>
          <w:rFonts w:cstheme="minorHAnsi"/>
        </w:rPr>
        <w:t>before</w:t>
      </w:r>
      <w:r w:rsidR="002820FA">
        <w:rPr>
          <w:rFonts w:cstheme="minorHAnsi"/>
        </w:rPr>
        <w:t xml:space="preserve"> the start of training</w:t>
      </w:r>
      <w:r w:rsidR="000A0396">
        <w:rPr>
          <w:rFonts w:cstheme="minorHAnsi"/>
        </w:rPr>
        <w:t xml:space="preserve"> (between January and July 20</w:t>
      </w:r>
      <w:r w:rsidR="002101ED">
        <w:rPr>
          <w:rFonts w:cstheme="minorHAnsi"/>
        </w:rPr>
        <w:t>0</w:t>
      </w:r>
      <w:r w:rsidR="000A0396">
        <w:rPr>
          <w:rFonts w:cstheme="minorHAnsi"/>
        </w:rPr>
        <w:t>9)</w:t>
      </w:r>
      <w:r w:rsidR="00CA5A0E">
        <w:rPr>
          <w:rFonts w:cstheme="minorHAnsi"/>
        </w:rPr>
        <w:t xml:space="preserve"> to assess baseline levels of </w:t>
      </w:r>
      <w:r w:rsidR="00C24E58">
        <w:rPr>
          <w:rFonts w:cstheme="minorHAnsi"/>
        </w:rPr>
        <w:t>the main</w:t>
      </w:r>
      <w:r w:rsidR="000A0396">
        <w:rPr>
          <w:rFonts w:cstheme="minorHAnsi"/>
        </w:rPr>
        <w:t xml:space="preserve"> outcomes,</w:t>
      </w:r>
      <w:r w:rsidR="007515B6">
        <w:rPr>
          <w:rFonts w:cstheme="minorHAnsi"/>
        </w:rPr>
        <w:t xml:space="preserve"> namely</w:t>
      </w:r>
      <w:r w:rsidR="000A0396">
        <w:rPr>
          <w:rFonts w:cstheme="minorHAnsi"/>
        </w:rPr>
        <w:t xml:space="preserve"> </w:t>
      </w:r>
      <w:r w:rsidR="00CA5A0E">
        <w:rPr>
          <w:rFonts w:cstheme="minorHAnsi"/>
        </w:rPr>
        <w:t>dietary quality and physical activity</w:t>
      </w:r>
      <w:r w:rsidR="000A0396">
        <w:rPr>
          <w:rFonts w:cstheme="minorHAnsi"/>
        </w:rPr>
        <w:t>,</w:t>
      </w:r>
      <w:r w:rsidR="006B0298">
        <w:rPr>
          <w:rFonts w:cstheme="minorHAnsi"/>
        </w:rPr>
        <w:t xml:space="preserve"> and important </w:t>
      </w:r>
      <w:r w:rsidR="00C24E58">
        <w:rPr>
          <w:rFonts w:cstheme="minorHAnsi"/>
        </w:rPr>
        <w:t>intermediate</w:t>
      </w:r>
      <w:r w:rsidR="00CA5A0E">
        <w:rPr>
          <w:rFonts w:cstheme="minorHAnsi"/>
        </w:rPr>
        <w:t xml:space="preserve"> </w:t>
      </w:r>
      <w:r w:rsidR="00D877F5">
        <w:rPr>
          <w:rFonts w:cstheme="minorHAnsi"/>
        </w:rPr>
        <w:t>outcomes</w:t>
      </w:r>
      <w:r w:rsidR="00CA5A0E">
        <w:rPr>
          <w:rFonts w:cstheme="minorHAnsi"/>
        </w:rPr>
        <w:t xml:space="preserve"> </w:t>
      </w:r>
      <w:r w:rsidR="00FE0B7A">
        <w:rPr>
          <w:rFonts w:cstheme="minorHAnsi"/>
        </w:rPr>
        <w:t>in the</w:t>
      </w:r>
      <w:r w:rsidR="00541842">
        <w:rPr>
          <w:rFonts w:cstheme="minorHAnsi"/>
        </w:rPr>
        <w:t xml:space="preserve"> relationship between the intervention and the main outcomes</w:t>
      </w:r>
      <w:r w:rsidR="00D877F5">
        <w:rPr>
          <w:rFonts w:cstheme="minorHAnsi"/>
        </w:rPr>
        <w:t>, namely</w:t>
      </w:r>
      <w:r w:rsidR="00956D31">
        <w:rPr>
          <w:rFonts w:cstheme="minorHAnsi"/>
        </w:rPr>
        <w:t xml:space="preserve"> </w:t>
      </w:r>
      <w:r w:rsidR="00AD46AE">
        <w:rPr>
          <w:rFonts w:cstheme="minorHAnsi"/>
        </w:rPr>
        <w:t xml:space="preserve">general </w:t>
      </w:r>
      <w:r w:rsidR="00280051">
        <w:rPr>
          <w:rFonts w:cstheme="minorHAnsi"/>
        </w:rPr>
        <w:t>self-efficacy</w:t>
      </w:r>
      <w:r w:rsidR="00B20023">
        <w:rPr>
          <w:rFonts w:cstheme="minorHAnsi"/>
        </w:rPr>
        <w:t xml:space="preserve">, </w:t>
      </w:r>
      <w:r w:rsidR="00AD46AE">
        <w:rPr>
          <w:rFonts w:cstheme="minorHAnsi"/>
        </w:rPr>
        <w:t xml:space="preserve">specific </w:t>
      </w:r>
      <w:r w:rsidR="000F08CF">
        <w:rPr>
          <w:rFonts w:cstheme="minorHAnsi"/>
        </w:rPr>
        <w:t>self-</w:t>
      </w:r>
      <w:r w:rsidR="00D877F5">
        <w:rPr>
          <w:rFonts w:cstheme="minorHAnsi"/>
        </w:rPr>
        <w:t>efficacy</w:t>
      </w:r>
      <w:r w:rsidR="00B20023">
        <w:rPr>
          <w:rFonts w:cstheme="minorHAnsi"/>
        </w:rPr>
        <w:t xml:space="preserve"> for healthy eating and physical activity</w:t>
      </w:r>
      <w:r w:rsidR="00D877F5">
        <w:rPr>
          <w:rFonts w:cstheme="minorHAnsi"/>
        </w:rPr>
        <w:t xml:space="preserve"> and</w:t>
      </w:r>
      <w:r w:rsidR="003D05FE">
        <w:rPr>
          <w:rFonts w:cstheme="minorHAnsi"/>
        </w:rPr>
        <w:t xml:space="preserve"> sense of control</w:t>
      </w:r>
      <w:r w:rsidR="00AD46AE">
        <w:rPr>
          <w:rFonts w:cstheme="minorHAnsi"/>
        </w:rPr>
        <w:t xml:space="preserve"> over life</w:t>
      </w:r>
      <w:r w:rsidR="00D877F5">
        <w:rPr>
          <w:rFonts w:cstheme="minorHAnsi"/>
        </w:rPr>
        <w:t>.</w:t>
      </w:r>
      <w:r w:rsidR="00144BF5">
        <w:rPr>
          <w:rFonts w:cstheme="minorHAnsi"/>
        </w:rPr>
        <w:t xml:space="preserve"> </w:t>
      </w:r>
    </w:p>
    <w:p w:rsidR="00186371" w:rsidRDefault="00186371" w:rsidP="00141E65">
      <w:pPr>
        <w:autoSpaceDE w:val="0"/>
        <w:autoSpaceDN w:val="0"/>
        <w:adjustRightInd w:val="0"/>
        <w:spacing w:after="0" w:line="360" w:lineRule="auto"/>
        <w:rPr>
          <w:rFonts w:cstheme="minorHAnsi"/>
        </w:rPr>
      </w:pPr>
    </w:p>
    <w:p w:rsidR="00186371" w:rsidRDefault="00186371" w:rsidP="00141E65">
      <w:pPr>
        <w:autoSpaceDE w:val="0"/>
        <w:autoSpaceDN w:val="0"/>
        <w:adjustRightInd w:val="0"/>
        <w:spacing w:after="0" w:line="360" w:lineRule="auto"/>
        <w:rPr>
          <w:rFonts w:cstheme="minorHAnsi"/>
        </w:rPr>
      </w:pPr>
    </w:p>
    <w:p w:rsidR="00144BF5" w:rsidRPr="00C0314D" w:rsidRDefault="00144BF5" w:rsidP="00141E65">
      <w:pPr>
        <w:autoSpaceDE w:val="0"/>
        <w:autoSpaceDN w:val="0"/>
        <w:adjustRightInd w:val="0"/>
        <w:spacing w:after="0" w:line="360" w:lineRule="auto"/>
        <w:rPr>
          <w:rFonts w:cstheme="minorHAnsi"/>
          <w:i/>
        </w:rPr>
      </w:pPr>
      <w:r>
        <w:rPr>
          <w:rFonts w:cstheme="minorHAnsi"/>
        </w:rPr>
        <w:t>Diet was assessed using a</w:t>
      </w:r>
      <w:r w:rsidR="005C2957">
        <w:rPr>
          <w:rFonts w:cstheme="minorHAnsi"/>
        </w:rPr>
        <w:t xml:space="preserve"> 2</w:t>
      </w:r>
      <w:r w:rsidR="00203694">
        <w:rPr>
          <w:rFonts w:cstheme="minorHAnsi"/>
        </w:rPr>
        <w:t>0</w:t>
      </w:r>
      <w:r w:rsidR="005C2957">
        <w:rPr>
          <w:rFonts w:cstheme="minorHAnsi"/>
        </w:rPr>
        <w:t>-item food frequency questionnaire</w:t>
      </w:r>
      <w:r w:rsidR="007515B6">
        <w:rPr>
          <w:rFonts w:cstheme="minorHAnsi"/>
        </w:rPr>
        <w:t xml:space="preserve"> (FFQ)</w:t>
      </w:r>
      <w:r w:rsidR="005C2957">
        <w:rPr>
          <w:rFonts w:cstheme="minorHAnsi"/>
        </w:rPr>
        <w:t xml:space="preserve"> which </w:t>
      </w:r>
      <w:r w:rsidR="007515B6">
        <w:rPr>
          <w:rFonts w:cstheme="minorHAnsi"/>
        </w:rPr>
        <w:t>was developed from a larger FFQ</w:t>
      </w:r>
      <w:r w:rsidR="00FC63E7">
        <w:rPr>
          <w:rFonts w:cstheme="minorHAnsi"/>
        </w:rPr>
        <w:t xml:space="preserve">. </w:t>
      </w:r>
      <w:r w:rsidR="000A0396">
        <w:rPr>
          <w:rFonts w:cstheme="minorHAnsi"/>
        </w:rPr>
        <w:t xml:space="preserve">Data from the </w:t>
      </w:r>
      <w:r w:rsidR="00FC63E7">
        <w:rPr>
          <w:rFonts w:cstheme="minorHAnsi"/>
        </w:rPr>
        <w:t>FFQ</w:t>
      </w:r>
      <w:r w:rsidR="007515B6">
        <w:rPr>
          <w:rFonts w:cstheme="minorHAnsi"/>
        </w:rPr>
        <w:t>, used in the S</w:t>
      </w:r>
      <w:r w:rsidR="008B5F01">
        <w:rPr>
          <w:rFonts w:cstheme="minorHAnsi"/>
        </w:rPr>
        <w:t>WS</w:t>
      </w:r>
      <w:r w:rsidR="007515B6">
        <w:rPr>
          <w:rFonts w:cstheme="minorHAnsi"/>
        </w:rPr>
        <w:t xml:space="preserve">, </w:t>
      </w:r>
      <w:r w:rsidR="000A0396">
        <w:rPr>
          <w:rFonts w:cstheme="minorHAnsi"/>
        </w:rPr>
        <w:t xml:space="preserve">were used to produce a </w:t>
      </w:r>
      <w:r w:rsidR="007515B6">
        <w:rPr>
          <w:rFonts w:cstheme="minorHAnsi"/>
        </w:rPr>
        <w:t>standardised</w:t>
      </w:r>
      <w:r w:rsidR="006146F1">
        <w:rPr>
          <w:rFonts w:cstheme="minorHAnsi"/>
        </w:rPr>
        <w:t xml:space="preserve"> z-score</w:t>
      </w:r>
      <w:r w:rsidR="007515B6">
        <w:rPr>
          <w:rFonts w:cstheme="minorHAnsi"/>
        </w:rPr>
        <w:t xml:space="preserve"> (with mean 0 and standard deviation 1.0)</w:t>
      </w:r>
      <w:r w:rsidR="000A0396">
        <w:rPr>
          <w:rFonts w:cstheme="minorHAnsi"/>
        </w:rPr>
        <w:t>.</w:t>
      </w:r>
      <w:r w:rsidR="00AF01CF">
        <w:rPr>
          <w:szCs w:val="20"/>
          <w:vertAlign w:val="superscript"/>
        </w:rPr>
        <w:t>2</w:t>
      </w:r>
      <w:r w:rsidR="00293E5D">
        <w:rPr>
          <w:szCs w:val="20"/>
          <w:vertAlign w:val="superscript"/>
        </w:rPr>
        <w:t>5</w:t>
      </w:r>
      <w:r w:rsidR="000A0396">
        <w:rPr>
          <w:rFonts w:cstheme="minorHAnsi"/>
        </w:rPr>
        <w:t xml:space="preserve"> </w:t>
      </w:r>
      <w:r w:rsidR="007515B6">
        <w:rPr>
          <w:rFonts w:cstheme="minorHAnsi"/>
        </w:rPr>
        <w:t xml:space="preserve">This score has been named the ‘prudent diet score’. The 20-item FFQ gives closely comparable scores to the full FFQ and can be used in settings where administration of a longer FFQ is not feasible. </w:t>
      </w:r>
      <w:r w:rsidR="008B5F01">
        <w:rPr>
          <w:rFonts w:cstheme="minorHAnsi"/>
        </w:rPr>
        <w:t>Level of p</w:t>
      </w:r>
      <w:r>
        <w:rPr>
          <w:rFonts w:cstheme="minorHAnsi"/>
        </w:rPr>
        <w:t xml:space="preserve">hysical activity </w:t>
      </w:r>
      <w:r w:rsidR="005C2957">
        <w:rPr>
          <w:rFonts w:cstheme="minorHAnsi"/>
        </w:rPr>
        <w:t>was assessed using the General Practice Physical Activity Questionnaire (</w:t>
      </w:r>
      <w:r>
        <w:rPr>
          <w:rFonts w:cstheme="minorHAnsi"/>
        </w:rPr>
        <w:t>GPPAQ</w:t>
      </w:r>
      <w:r w:rsidR="005C2957">
        <w:rPr>
          <w:rFonts w:cstheme="minorHAnsi"/>
        </w:rPr>
        <w:t>)</w:t>
      </w:r>
      <w:r w:rsidR="00D877F5">
        <w:rPr>
          <w:rFonts w:cstheme="minorHAnsi"/>
        </w:rPr>
        <w:t xml:space="preserve">, which allows </w:t>
      </w:r>
      <w:r w:rsidR="008B5F01">
        <w:rPr>
          <w:rFonts w:cstheme="minorHAnsi"/>
        </w:rPr>
        <w:t xml:space="preserve">for </w:t>
      </w:r>
      <w:r w:rsidR="00D877F5">
        <w:rPr>
          <w:rFonts w:cstheme="minorHAnsi"/>
        </w:rPr>
        <w:t>categorisation of physical activity according to four levels of intensity – levels 4 representing the highest intensity</w:t>
      </w:r>
      <w:r w:rsidR="005C2957">
        <w:rPr>
          <w:rFonts w:cstheme="minorHAnsi"/>
        </w:rPr>
        <w:t>.</w:t>
      </w:r>
      <w:r w:rsidR="00AF01CF">
        <w:rPr>
          <w:szCs w:val="20"/>
          <w:vertAlign w:val="superscript"/>
        </w:rPr>
        <w:t>2</w:t>
      </w:r>
      <w:r w:rsidR="00293E5D">
        <w:rPr>
          <w:szCs w:val="20"/>
          <w:vertAlign w:val="superscript"/>
        </w:rPr>
        <w:t>6</w:t>
      </w:r>
      <w:r w:rsidR="005C2957">
        <w:rPr>
          <w:rFonts w:cstheme="minorHAnsi"/>
        </w:rPr>
        <w:t xml:space="preserve"> A questionnaire approach was deemed most appropriate given the study setting and participants</w:t>
      </w:r>
      <w:r w:rsidR="00B20023">
        <w:rPr>
          <w:rFonts w:cstheme="minorHAnsi"/>
        </w:rPr>
        <w:t>,</w:t>
      </w:r>
      <w:r w:rsidR="005C2957">
        <w:rPr>
          <w:rFonts w:cstheme="minorHAnsi"/>
        </w:rPr>
        <w:t xml:space="preserve"> and the GPPAQ was selected following pilot work that demonstrated that it had better face validity in the participant population than the International Physical Activity Questionnaire and the Recent Physical Activity Questionnaire</w:t>
      </w:r>
      <w:r w:rsidRPr="002101ED">
        <w:rPr>
          <w:rFonts w:cstheme="minorHAnsi"/>
          <w:i/>
        </w:rPr>
        <w:t>.</w:t>
      </w:r>
      <w:r w:rsidR="00AF01CF">
        <w:rPr>
          <w:szCs w:val="20"/>
          <w:vertAlign w:val="superscript"/>
        </w:rPr>
        <w:t>2</w:t>
      </w:r>
      <w:r w:rsidR="00293E5D">
        <w:rPr>
          <w:szCs w:val="20"/>
          <w:vertAlign w:val="superscript"/>
        </w:rPr>
        <w:t>7</w:t>
      </w:r>
      <w:r w:rsidR="00AF01CF">
        <w:rPr>
          <w:szCs w:val="20"/>
          <w:vertAlign w:val="superscript"/>
        </w:rPr>
        <w:t>,2</w:t>
      </w:r>
      <w:r w:rsidR="00293E5D">
        <w:rPr>
          <w:szCs w:val="20"/>
          <w:vertAlign w:val="superscript"/>
        </w:rPr>
        <w:t>8</w:t>
      </w:r>
      <w:r w:rsidRPr="002101ED">
        <w:rPr>
          <w:rFonts w:cstheme="minorHAnsi"/>
          <w:i/>
        </w:rPr>
        <w:t xml:space="preserve"> </w:t>
      </w:r>
      <w:r w:rsidR="005C2957" w:rsidRPr="002101ED">
        <w:rPr>
          <w:rFonts w:cstheme="minorHAnsi"/>
          <w:i/>
        </w:rPr>
        <w:t xml:space="preserve"> </w:t>
      </w:r>
      <w:r w:rsidR="00C24E58">
        <w:rPr>
          <w:rFonts w:cstheme="minorHAnsi"/>
        </w:rPr>
        <w:t>Intermediate</w:t>
      </w:r>
      <w:r w:rsidR="006B0298">
        <w:rPr>
          <w:rFonts w:cstheme="minorHAnsi"/>
        </w:rPr>
        <w:t xml:space="preserve"> outcomes</w:t>
      </w:r>
      <w:r>
        <w:rPr>
          <w:rFonts w:cstheme="minorHAnsi"/>
        </w:rPr>
        <w:t xml:space="preserve"> were assessed using validated </w:t>
      </w:r>
      <w:r>
        <w:rPr>
          <w:rFonts w:cstheme="minorHAnsi"/>
        </w:rPr>
        <w:lastRenderedPageBreak/>
        <w:t>questionnaires as described previously.</w:t>
      </w:r>
      <w:r w:rsidR="00293E5D">
        <w:rPr>
          <w:szCs w:val="20"/>
          <w:vertAlign w:val="superscript"/>
        </w:rPr>
        <w:t>24</w:t>
      </w:r>
      <w:r w:rsidR="000F08CF">
        <w:rPr>
          <w:rFonts w:cstheme="minorHAnsi"/>
        </w:rPr>
        <w:t xml:space="preserve"> General self-</w:t>
      </w:r>
      <w:r w:rsidR="00405193">
        <w:rPr>
          <w:rFonts w:cstheme="minorHAnsi"/>
        </w:rPr>
        <w:t>efficacy was derived from mothers</w:t>
      </w:r>
      <w:r w:rsidR="008B5F01">
        <w:rPr>
          <w:rFonts w:cstheme="minorHAnsi"/>
        </w:rPr>
        <w:t>’</w:t>
      </w:r>
      <w:r w:rsidR="00405193">
        <w:rPr>
          <w:rFonts w:cstheme="minorHAnsi"/>
        </w:rPr>
        <w:t xml:space="preserve"> respon</w:t>
      </w:r>
      <w:r w:rsidR="000F08CF">
        <w:rPr>
          <w:rFonts w:cstheme="minorHAnsi"/>
        </w:rPr>
        <w:t>se to the General Self-e</w:t>
      </w:r>
      <w:r w:rsidR="00405193">
        <w:rPr>
          <w:rFonts w:cstheme="minorHAnsi"/>
        </w:rPr>
        <w:t>fficacy Scale.</w:t>
      </w:r>
      <w:r w:rsidR="003D6674" w:rsidRPr="003D6674">
        <w:rPr>
          <w:rFonts w:cstheme="minorHAnsi"/>
          <w:vertAlign w:val="superscript"/>
        </w:rPr>
        <w:t>2</w:t>
      </w:r>
      <w:r w:rsidR="00293E5D">
        <w:rPr>
          <w:rFonts w:cstheme="minorHAnsi"/>
          <w:vertAlign w:val="superscript"/>
        </w:rPr>
        <w:t>9</w:t>
      </w:r>
      <w:r w:rsidR="00405193">
        <w:rPr>
          <w:rFonts w:cstheme="minorHAnsi"/>
        </w:rPr>
        <w:t xml:space="preserve"> </w:t>
      </w:r>
      <w:r w:rsidR="000F08CF">
        <w:rPr>
          <w:rFonts w:cstheme="minorHAnsi"/>
        </w:rPr>
        <w:t>Specific self-</w:t>
      </w:r>
      <w:r w:rsidR="007F0DF0">
        <w:rPr>
          <w:rFonts w:cstheme="minorHAnsi"/>
        </w:rPr>
        <w:t>efficacy for healthy eating and exercising were assessed</w:t>
      </w:r>
      <w:r w:rsidR="00BF7AD2">
        <w:rPr>
          <w:rFonts w:cstheme="minorHAnsi"/>
        </w:rPr>
        <w:t xml:space="preserve"> with validated measures</w:t>
      </w:r>
      <w:r w:rsidR="003D6674">
        <w:rPr>
          <w:rFonts w:cstheme="minorHAnsi"/>
        </w:rPr>
        <w:t>.</w:t>
      </w:r>
      <w:r w:rsidR="00293E5D">
        <w:rPr>
          <w:rFonts w:cstheme="minorHAnsi"/>
          <w:vertAlign w:val="superscript"/>
        </w:rPr>
        <w:t>30</w:t>
      </w:r>
      <w:r w:rsidR="00BF7AD2" w:rsidRPr="00BF7AD2">
        <w:rPr>
          <w:rFonts w:cstheme="minorHAnsi"/>
          <w:vertAlign w:val="superscript"/>
        </w:rPr>
        <w:t>,</w:t>
      </w:r>
      <w:r w:rsidR="00293E5D">
        <w:rPr>
          <w:rFonts w:cstheme="minorHAnsi"/>
          <w:vertAlign w:val="superscript"/>
        </w:rPr>
        <w:t>31</w:t>
      </w:r>
      <w:r w:rsidR="003D6674">
        <w:rPr>
          <w:rFonts w:cstheme="minorHAnsi"/>
        </w:rPr>
        <w:t xml:space="preserve"> Women</w:t>
      </w:r>
      <w:r w:rsidR="0005497E">
        <w:rPr>
          <w:rFonts w:cstheme="minorHAnsi"/>
        </w:rPr>
        <w:t>’s</w:t>
      </w:r>
      <w:r w:rsidR="007F0DF0">
        <w:rPr>
          <w:rFonts w:cstheme="minorHAnsi"/>
        </w:rPr>
        <w:t xml:space="preserve"> sense of</w:t>
      </w:r>
      <w:r w:rsidR="00405193">
        <w:rPr>
          <w:rFonts w:cstheme="minorHAnsi"/>
        </w:rPr>
        <w:t xml:space="preserve"> control was derived from </w:t>
      </w:r>
      <w:r w:rsidR="007F0DF0">
        <w:rPr>
          <w:rFonts w:cstheme="minorHAnsi"/>
        </w:rPr>
        <w:t xml:space="preserve">their </w:t>
      </w:r>
      <w:r w:rsidR="00405193">
        <w:rPr>
          <w:rFonts w:cstheme="minorHAnsi"/>
        </w:rPr>
        <w:t>responses to</w:t>
      </w:r>
      <w:r w:rsidR="00CC0EE0">
        <w:rPr>
          <w:rFonts w:cstheme="minorHAnsi"/>
        </w:rPr>
        <w:t xml:space="preserve"> </w:t>
      </w:r>
      <w:r w:rsidR="00BF7AD2">
        <w:rPr>
          <w:rFonts w:cstheme="minorHAnsi"/>
        </w:rPr>
        <w:t>a nine-item scale to measure women’s perceived control over life</w:t>
      </w:r>
      <w:r w:rsidR="007F0DF0">
        <w:rPr>
          <w:rFonts w:cstheme="minorHAnsi"/>
        </w:rPr>
        <w:t xml:space="preserve">. </w:t>
      </w:r>
      <w:r w:rsidR="00293E5D">
        <w:rPr>
          <w:rFonts w:cstheme="minorHAnsi"/>
          <w:vertAlign w:val="superscript"/>
        </w:rPr>
        <w:t>32</w:t>
      </w:r>
    </w:p>
    <w:p w:rsidR="00144BF5" w:rsidRDefault="00144BF5" w:rsidP="00141E65">
      <w:pPr>
        <w:autoSpaceDE w:val="0"/>
        <w:autoSpaceDN w:val="0"/>
        <w:adjustRightInd w:val="0"/>
        <w:spacing w:after="0" w:line="360" w:lineRule="auto"/>
        <w:rPr>
          <w:rFonts w:cstheme="minorHAnsi"/>
        </w:rPr>
      </w:pPr>
    </w:p>
    <w:p w:rsidR="000A367D" w:rsidRDefault="00541842" w:rsidP="00141E65">
      <w:pPr>
        <w:autoSpaceDE w:val="0"/>
        <w:autoSpaceDN w:val="0"/>
        <w:adjustRightInd w:val="0"/>
        <w:spacing w:after="0" w:line="360" w:lineRule="auto"/>
        <w:rPr>
          <w:rFonts w:cstheme="minorHAnsi"/>
        </w:rPr>
      </w:pPr>
      <w:r>
        <w:rPr>
          <w:rFonts w:cstheme="minorHAnsi"/>
        </w:rPr>
        <w:t>Women were interviewed</w:t>
      </w:r>
      <w:r w:rsidR="00694B15">
        <w:rPr>
          <w:rFonts w:cstheme="minorHAnsi"/>
        </w:rPr>
        <w:t xml:space="preserve"> at baseline</w:t>
      </w:r>
      <w:r>
        <w:rPr>
          <w:rFonts w:cstheme="minorHAnsi"/>
        </w:rPr>
        <w:t xml:space="preserve"> within SSCCs by trained fieldworkers</w:t>
      </w:r>
      <w:r w:rsidR="009D0A27">
        <w:rPr>
          <w:rFonts w:cstheme="minorHAnsi"/>
        </w:rPr>
        <w:t xml:space="preserve"> – any woman attending one of the </w:t>
      </w:r>
      <w:r w:rsidR="00B20023">
        <w:rPr>
          <w:rFonts w:cstheme="minorHAnsi"/>
        </w:rPr>
        <w:t xml:space="preserve">participating </w:t>
      </w:r>
      <w:r w:rsidR="009D0A27">
        <w:rPr>
          <w:rFonts w:cstheme="minorHAnsi"/>
        </w:rPr>
        <w:t>C</w:t>
      </w:r>
      <w:r w:rsidR="00B20023">
        <w:rPr>
          <w:rFonts w:cstheme="minorHAnsi"/>
        </w:rPr>
        <w:t xml:space="preserve">entres </w:t>
      </w:r>
      <w:r w:rsidR="009D0A27">
        <w:rPr>
          <w:rFonts w:cstheme="minorHAnsi"/>
        </w:rPr>
        <w:t>wa</w:t>
      </w:r>
      <w:r w:rsidR="00B54BD0">
        <w:rPr>
          <w:rFonts w:cstheme="minorHAnsi"/>
        </w:rPr>
        <w:t>s eligible to participate</w:t>
      </w:r>
      <w:r>
        <w:rPr>
          <w:rFonts w:cstheme="minorHAnsi"/>
        </w:rPr>
        <w:t xml:space="preserve">. </w:t>
      </w:r>
      <w:r w:rsidR="00C24E58">
        <w:rPr>
          <w:rFonts w:cstheme="minorHAnsi"/>
        </w:rPr>
        <w:t xml:space="preserve">The fieldworkers were not involved in the delivery of the training intervention, nor did they have any involvement in </w:t>
      </w:r>
      <w:r w:rsidR="00C61994">
        <w:rPr>
          <w:rFonts w:cstheme="minorHAnsi"/>
        </w:rPr>
        <w:t xml:space="preserve">the work of </w:t>
      </w:r>
      <w:r w:rsidR="00C24E58">
        <w:rPr>
          <w:rFonts w:cstheme="minorHAnsi"/>
        </w:rPr>
        <w:t>SSCCs other than to carry out the surveys at baseline and follow</w:t>
      </w:r>
      <w:r w:rsidR="00A432BE">
        <w:rPr>
          <w:rFonts w:cstheme="minorHAnsi"/>
        </w:rPr>
        <w:t>-</w:t>
      </w:r>
      <w:r w:rsidR="00C24E58">
        <w:rPr>
          <w:rFonts w:cstheme="minorHAnsi"/>
        </w:rPr>
        <w:t xml:space="preserve">up. </w:t>
      </w:r>
      <w:r w:rsidR="00F27651">
        <w:rPr>
          <w:rFonts w:cstheme="minorHAnsi"/>
        </w:rPr>
        <w:t>We took this</w:t>
      </w:r>
      <w:r w:rsidR="00B54BD0">
        <w:rPr>
          <w:rFonts w:cstheme="minorHAnsi"/>
        </w:rPr>
        <w:t xml:space="preserve"> approach </w:t>
      </w:r>
      <w:r w:rsidR="00F27651">
        <w:rPr>
          <w:rFonts w:cstheme="minorHAnsi"/>
        </w:rPr>
        <w:t>to recruitment because any woma</w:t>
      </w:r>
      <w:r w:rsidR="008F4FD0">
        <w:rPr>
          <w:rFonts w:cstheme="minorHAnsi"/>
        </w:rPr>
        <w:t>n with chi</w:t>
      </w:r>
      <w:r w:rsidR="00F27651">
        <w:rPr>
          <w:rFonts w:cstheme="minorHAnsi"/>
        </w:rPr>
        <w:t>ldren aged 5 years and under is</w:t>
      </w:r>
      <w:r w:rsidR="008F4FD0">
        <w:rPr>
          <w:rFonts w:cstheme="minorHAnsi"/>
        </w:rPr>
        <w:t xml:space="preserve"> eligible to attend Sure Start and local data suggest</w:t>
      </w:r>
      <w:r w:rsidR="00F27651">
        <w:rPr>
          <w:rFonts w:cstheme="minorHAnsi"/>
        </w:rPr>
        <w:t>ed</w:t>
      </w:r>
      <w:r w:rsidR="008F4FD0">
        <w:rPr>
          <w:rFonts w:cstheme="minorHAnsi"/>
        </w:rPr>
        <w:t xml:space="preserve"> that </w:t>
      </w:r>
      <w:r w:rsidR="00AD46AE">
        <w:rPr>
          <w:rFonts w:cstheme="minorHAnsi"/>
        </w:rPr>
        <w:t>around 70% of these</w:t>
      </w:r>
      <w:r w:rsidR="00203694">
        <w:rPr>
          <w:rFonts w:cstheme="minorHAnsi"/>
        </w:rPr>
        <w:t xml:space="preserve"> women </w:t>
      </w:r>
      <w:r w:rsidR="00F27651">
        <w:rPr>
          <w:rFonts w:cstheme="minorHAnsi"/>
        </w:rPr>
        <w:t xml:space="preserve">were </w:t>
      </w:r>
      <w:r w:rsidR="00203694">
        <w:rPr>
          <w:rFonts w:cstheme="minorHAnsi"/>
        </w:rPr>
        <w:t>engage</w:t>
      </w:r>
      <w:r w:rsidR="00F27651">
        <w:rPr>
          <w:rFonts w:cstheme="minorHAnsi"/>
        </w:rPr>
        <w:t>d</w:t>
      </w:r>
      <w:r w:rsidR="00203694">
        <w:rPr>
          <w:rFonts w:cstheme="minorHAnsi"/>
        </w:rPr>
        <w:t xml:space="preserve"> with Sure Start</w:t>
      </w:r>
      <w:r w:rsidR="005208FF">
        <w:rPr>
          <w:rFonts w:cstheme="minorHAnsi"/>
        </w:rPr>
        <w:t xml:space="preserve"> in Southampton</w:t>
      </w:r>
      <w:r w:rsidR="00F27651">
        <w:rPr>
          <w:rFonts w:cstheme="minorHAnsi"/>
        </w:rPr>
        <w:t xml:space="preserve"> at the time</w:t>
      </w:r>
      <w:r w:rsidR="00203694">
        <w:rPr>
          <w:rFonts w:cstheme="minorHAnsi"/>
        </w:rPr>
        <w:t>.</w:t>
      </w:r>
      <w:r w:rsidR="002413A6">
        <w:rPr>
          <w:rFonts w:cstheme="minorHAnsi"/>
        </w:rPr>
        <w:t xml:space="preserve"> </w:t>
      </w:r>
      <w:r w:rsidR="000576D5">
        <w:rPr>
          <w:rFonts w:cstheme="minorHAnsi"/>
        </w:rPr>
        <w:t xml:space="preserve"> </w:t>
      </w:r>
      <w:r>
        <w:rPr>
          <w:rFonts w:cstheme="minorHAnsi"/>
        </w:rPr>
        <w:t>A year after the completion of training</w:t>
      </w:r>
      <w:r w:rsidR="00523BD0">
        <w:rPr>
          <w:rFonts w:cstheme="minorHAnsi"/>
        </w:rPr>
        <w:t xml:space="preserve"> (between April</w:t>
      </w:r>
      <w:r w:rsidR="00C71E3C">
        <w:rPr>
          <w:rFonts w:cstheme="minorHAnsi"/>
        </w:rPr>
        <w:t xml:space="preserve"> and October 2011)</w:t>
      </w:r>
      <w:r>
        <w:rPr>
          <w:rFonts w:cstheme="minorHAnsi"/>
        </w:rPr>
        <w:t>, the women seen at baseline were contacted by telephone</w:t>
      </w:r>
      <w:r w:rsidR="001778C7">
        <w:rPr>
          <w:rFonts w:cstheme="minorHAnsi"/>
        </w:rPr>
        <w:t xml:space="preserve"> using the contact details they had given at baseline. Those who could be contacted and</w:t>
      </w:r>
      <w:r w:rsidR="00262F62">
        <w:rPr>
          <w:rFonts w:cstheme="minorHAnsi"/>
        </w:rPr>
        <w:t xml:space="preserve"> who were willing to participate</w:t>
      </w:r>
      <w:r w:rsidR="00B333D9">
        <w:rPr>
          <w:rFonts w:cstheme="minorHAnsi"/>
        </w:rPr>
        <w:t xml:space="preserve"> were interviewed</w:t>
      </w:r>
      <w:r w:rsidR="00956D31">
        <w:rPr>
          <w:rFonts w:cstheme="minorHAnsi"/>
        </w:rPr>
        <w:t xml:space="preserve"> over the telephone</w:t>
      </w:r>
      <w:r w:rsidR="00B333D9">
        <w:rPr>
          <w:rFonts w:cstheme="minorHAnsi"/>
        </w:rPr>
        <w:t xml:space="preserve"> with a repeat questionnaire </w:t>
      </w:r>
      <w:r w:rsidR="003D05FE">
        <w:rPr>
          <w:rFonts w:cstheme="minorHAnsi"/>
        </w:rPr>
        <w:t>in order to assess</w:t>
      </w:r>
      <w:r w:rsidR="00927977">
        <w:rPr>
          <w:rFonts w:cstheme="minorHAnsi"/>
        </w:rPr>
        <w:t xml:space="preserve"> dietary quality</w:t>
      </w:r>
      <w:r w:rsidR="00722956">
        <w:rPr>
          <w:rFonts w:cstheme="minorHAnsi"/>
        </w:rPr>
        <w:t>, physic</w:t>
      </w:r>
      <w:r w:rsidR="002101ED">
        <w:rPr>
          <w:rFonts w:cstheme="minorHAnsi"/>
        </w:rPr>
        <w:t>al activity level</w:t>
      </w:r>
      <w:r w:rsidR="00C116B6" w:rsidRPr="00C116B6">
        <w:rPr>
          <w:rFonts w:cstheme="minorHAnsi"/>
        </w:rPr>
        <w:t xml:space="preserve"> and</w:t>
      </w:r>
      <w:r w:rsidR="003D05FE">
        <w:rPr>
          <w:rFonts w:cstheme="minorHAnsi"/>
        </w:rPr>
        <w:t xml:space="preserve"> other covariates</w:t>
      </w:r>
      <w:r w:rsidR="000A367D">
        <w:rPr>
          <w:rFonts w:cstheme="minorHAnsi"/>
        </w:rPr>
        <w:t xml:space="preserve">. </w:t>
      </w:r>
      <w:r w:rsidR="00956D31">
        <w:rPr>
          <w:rFonts w:cstheme="minorHAnsi"/>
        </w:rPr>
        <w:t>The same team of trained fieldworkers carried out the baseline and follow</w:t>
      </w:r>
      <w:r w:rsidR="008B5F01">
        <w:rPr>
          <w:rFonts w:cstheme="minorHAnsi"/>
        </w:rPr>
        <w:t>-</w:t>
      </w:r>
      <w:r w:rsidR="00956D31">
        <w:rPr>
          <w:rFonts w:cstheme="minorHAnsi"/>
        </w:rPr>
        <w:t>up surveys.</w:t>
      </w:r>
    </w:p>
    <w:p w:rsidR="00CE00AE" w:rsidRDefault="00CE00AE" w:rsidP="00141E65">
      <w:pPr>
        <w:autoSpaceDE w:val="0"/>
        <w:autoSpaceDN w:val="0"/>
        <w:adjustRightInd w:val="0"/>
        <w:spacing w:after="0" w:line="360" w:lineRule="auto"/>
        <w:rPr>
          <w:rFonts w:cstheme="minorHAnsi"/>
        </w:rPr>
      </w:pPr>
    </w:p>
    <w:p w:rsidR="000A367D" w:rsidRDefault="000A367D" w:rsidP="00141E65">
      <w:pPr>
        <w:autoSpaceDE w:val="0"/>
        <w:autoSpaceDN w:val="0"/>
        <w:adjustRightInd w:val="0"/>
        <w:spacing w:after="0" w:line="360" w:lineRule="auto"/>
        <w:rPr>
          <w:rFonts w:cstheme="minorHAnsi"/>
        </w:rPr>
      </w:pPr>
      <w:r>
        <w:rPr>
          <w:rFonts w:cstheme="minorHAnsi"/>
        </w:rPr>
        <w:t xml:space="preserve">Data were collected to assess effectiveness of intervention implementation, changes in staff practice resulting from the training, exposure of women to trained staff, </w:t>
      </w:r>
      <w:r w:rsidR="004F0BA2">
        <w:rPr>
          <w:rFonts w:cstheme="minorHAnsi"/>
        </w:rPr>
        <w:t>and the context (both local and national) in which the intervention was introduced.</w:t>
      </w:r>
      <w:r w:rsidR="00A321B5">
        <w:rPr>
          <w:rFonts w:cstheme="minorHAnsi"/>
        </w:rPr>
        <w:t xml:space="preserve"> </w:t>
      </w:r>
      <w:r w:rsidR="00293E5D">
        <w:rPr>
          <w:rFonts w:cstheme="minorHAnsi"/>
          <w:vertAlign w:val="superscript"/>
        </w:rPr>
        <w:t>3</w:t>
      </w:r>
      <w:r w:rsidR="009823D8">
        <w:rPr>
          <w:rFonts w:cstheme="minorHAnsi"/>
          <w:vertAlign w:val="superscript"/>
        </w:rPr>
        <w:t>3</w:t>
      </w:r>
    </w:p>
    <w:p w:rsidR="003361D7" w:rsidRDefault="003361D7" w:rsidP="00141E65">
      <w:pPr>
        <w:autoSpaceDE w:val="0"/>
        <w:autoSpaceDN w:val="0"/>
        <w:adjustRightInd w:val="0"/>
        <w:spacing w:after="0" w:line="360" w:lineRule="auto"/>
        <w:rPr>
          <w:rFonts w:cstheme="minorHAnsi"/>
        </w:rPr>
      </w:pPr>
    </w:p>
    <w:p w:rsidR="003361D7" w:rsidRDefault="003361D7" w:rsidP="003361D7">
      <w:pPr>
        <w:autoSpaceDE w:val="0"/>
        <w:autoSpaceDN w:val="0"/>
        <w:adjustRightInd w:val="0"/>
        <w:spacing w:after="0" w:line="360" w:lineRule="auto"/>
        <w:rPr>
          <w:rFonts w:cstheme="minorHAnsi"/>
        </w:rPr>
      </w:pPr>
      <w:r>
        <w:rPr>
          <w:rFonts w:cstheme="minorHAnsi"/>
        </w:rPr>
        <w:t>We calculated that a sample size of 200 at baseline and follow</w:t>
      </w:r>
      <w:r w:rsidR="00A432BE">
        <w:rPr>
          <w:rFonts w:cstheme="minorHAnsi"/>
        </w:rPr>
        <w:t>-</w:t>
      </w:r>
      <w:r>
        <w:rPr>
          <w:rFonts w:cstheme="minorHAnsi"/>
        </w:rPr>
        <w:t>up in each group would give 80% power to detect a 0.275 SD difference in change in outcome between the intervention and control groups at a 5% significance level, allowing for a correlation of 0.75 between women’s diet or physical activity levels at baseline and follow</w:t>
      </w:r>
      <w:r w:rsidR="00A432BE">
        <w:rPr>
          <w:rFonts w:cstheme="minorHAnsi"/>
        </w:rPr>
        <w:t>-</w:t>
      </w:r>
      <w:r>
        <w:rPr>
          <w:rFonts w:cstheme="minorHAnsi"/>
        </w:rPr>
        <w:t>up. Knowing that women in this age group are very mobile we allowed for a retention rate of around 40% and aimed to interview 500 women in each group at baseline.</w:t>
      </w:r>
    </w:p>
    <w:p w:rsidR="00B333D9" w:rsidRDefault="00B333D9" w:rsidP="00141E65">
      <w:pPr>
        <w:autoSpaceDE w:val="0"/>
        <w:autoSpaceDN w:val="0"/>
        <w:adjustRightInd w:val="0"/>
        <w:spacing w:after="0" w:line="360" w:lineRule="auto"/>
        <w:rPr>
          <w:rFonts w:cstheme="minorHAnsi"/>
        </w:rPr>
      </w:pPr>
    </w:p>
    <w:p w:rsidR="004F0BA2" w:rsidRPr="007A0812" w:rsidRDefault="004F0BA2" w:rsidP="00141E65">
      <w:pPr>
        <w:autoSpaceDE w:val="0"/>
        <w:autoSpaceDN w:val="0"/>
        <w:adjustRightInd w:val="0"/>
        <w:spacing w:after="0" w:line="360" w:lineRule="auto"/>
        <w:rPr>
          <w:rFonts w:cstheme="minorHAnsi"/>
          <w:b/>
        </w:rPr>
      </w:pPr>
      <w:r w:rsidRPr="007A0812">
        <w:rPr>
          <w:rFonts w:cstheme="minorHAnsi"/>
          <w:b/>
        </w:rPr>
        <w:t>Statistical analysis</w:t>
      </w:r>
    </w:p>
    <w:p w:rsidR="00F00A09" w:rsidRPr="00CA1609" w:rsidRDefault="002A7D83" w:rsidP="00F00A09">
      <w:pPr>
        <w:autoSpaceDE w:val="0"/>
        <w:autoSpaceDN w:val="0"/>
        <w:adjustRightInd w:val="0"/>
        <w:spacing w:after="0" w:line="360" w:lineRule="auto"/>
        <w:rPr>
          <w:rFonts w:cstheme="minorHAnsi"/>
        </w:rPr>
      </w:pPr>
      <w:r>
        <w:rPr>
          <w:rFonts w:cstheme="minorHAnsi"/>
        </w:rPr>
        <w:t>W</w:t>
      </w:r>
      <w:r w:rsidR="00F00A09" w:rsidRPr="00CA1609">
        <w:rPr>
          <w:rFonts w:cstheme="minorHAnsi"/>
        </w:rPr>
        <w:t xml:space="preserve">omen’s baseline characteristics between the intervention and control areas were compared using chi-squared tests for categorical variables and chi-squared tests for trend for ordered categorical variables. </w:t>
      </w:r>
      <w:r w:rsidR="00F00A09">
        <w:rPr>
          <w:rFonts w:cstheme="minorHAnsi"/>
        </w:rPr>
        <w:t xml:space="preserve"> </w:t>
      </w:r>
      <w:r w:rsidR="00F00A09" w:rsidRPr="00CA1609">
        <w:rPr>
          <w:rFonts w:cstheme="minorHAnsi"/>
        </w:rPr>
        <w:t xml:space="preserve">Continuous measures </w:t>
      </w:r>
      <w:r w:rsidR="00F00A09">
        <w:rPr>
          <w:rFonts w:cstheme="minorHAnsi"/>
        </w:rPr>
        <w:t xml:space="preserve">were checked for normality and then tested using </w:t>
      </w:r>
      <w:r w:rsidR="00F00A09" w:rsidRPr="00CA1609">
        <w:rPr>
          <w:rFonts w:cstheme="minorHAnsi"/>
          <w:i/>
        </w:rPr>
        <w:t>t-</w:t>
      </w:r>
      <w:r w:rsidR="00F00A09" w:rsidRPr="00CA1609">
        <w:rPr>
          <w:rFonts w:cstheme="minorHAnsi"/>
        </w:rPr>
        <w:t xml:space="preserve">tests.  Before and after comparisons were made in each site using matched-pairs </w:t>
      </w:r>
      <w:r w:rsidR="00F00A09" w:rsidRPr="00CA1609">
        <w:rPr>
          <w:rFonts w:cstheme="minorHAnsi"/>
          <w:i/>
        </w:rPr>
        <w:t>t-</w:t>
      </w:r>
      <w:r w:rsidR="00F00A09" w:rsidRPr="00CA1609">
        <w:rPr>
          <w:rFonts w:cstheme="minorHAnsi"/>
        </w:rPr>
        <w:t xml:space="preserve">tests for continuous variables </w:t>
      </w:r>
      <w:r w:rsidR="00F00A09" w:rsidRPr="00CA1609">
        <w:rPr>
          <w:rFonts w:cstheme="minorHAnsi"/>
        </w:rPr>
        <w:lastRenderedPageBreak/>
        <w:t xml:space="preserve">and </w:t>
      </w:r>
      <w:r w:rsidR="00C2160B">
        <w:rPr>
          <w:rFonts w:cstheme="minorHAnsi"/>
          <w:color w:val="000000"/>
        </w:rPr>
        <w:t>Wilcox</w:t>
      </w:r>
      <w:r w:rsidR="006D4728">
        <w:rPr>
          <w:rFonts w:cstheme="minorHAnsi"/>
          <w:color w:val="000000"/>
        </w:rPr>
        <w:t>on</w:t>
      </w:r>
      <w:r w:rsidR="00F00A09" w:rsidRPr="00CA1609">
        <w:rPr>
          <w:rFonts w:cstheme="minorHAnsi"/>
          <w:color w:val="000000"/>
        </w:rPr>
        <w:t xml:space="preserve"> matched pairs signed rank test for the Physical Activity Index which was in four categories. </w:t>
      </w:r>
      <w:r w:rsidR="00F00A09" w:rsidRPr="00CA1609">
        <w:rPr>
          <w:rFonts w:cstheme="minorHAnsi"/>
        </w:rPr>
        <w:t xml:space="preserve">Multi-level modelling analysis was not feasible as the study comprised only two clusters - the intervention and control areas. In order to assess the difference in levels of outcome variables and covariates at follow-up, we compared data in the intervention and control groups using </w:t>
      </w:r>
      <w:r w:rsidR="00F00A09">
        <w:rPr>
          <w:rFonts w:cstheme="minorHAnsi"/>
        </w:rPr>
        <w:t>regression models</w:t>
      </w:r>
      <w:r w:rsidR="00F00A09" w:rsidRPr="00CA1609">
        <w:rPr>
          <w:rFonts w:cstheme="minorHAnsi"/>
        </w:rPr>
        <w:t xml:space="preserve"> and adjusting for level of the corresponding variable at baseline.</w:t>
      </w:r>
      <w:r w:rsidR="00F00A09" w:rsidRPr="0058277A">
        <w:rPr>
          <w:vertAlign w:val="superscript"/>
        </w:rPr>
        <w:t>34</w:t>
      </w:r>
      <w:r w:rsidR="00F00A09">
        <w:t xml:space="preserve"> We </w:t>
      </w:r>
      <w:r w:rsidR="00F00A09" w:rsidRPr="0058277A">
        <w:t>used</w:t>
      </w:r>
      <w:r w:rsidR="00F00A09">
        <w:t xml:space="preserve"> linear regression for continuous outcomes, but for the Physical Activity Index,</w:t>
      </w:r>
      <w:r w:rsidR="00F00A09">
        <w:rPr>
          <w:rFonts w:cstheme="minorHAnsi"/>
        </w:rPr>
        <w:t xml:space="preserve"> P</w:t>
      </w:r>
      <w:r w:rsidR="00F00A09" w:rsidRPr="00CA1609">
        <w:rPr>
          <w:rFonts w:cstheme="minorHAnsi"/>
        </w:rPr>
        <w:t>oisson regression with robust variance was used to calculate the relative risk</w:t>
      </w:r>
      <w:r w:rsidR="00F00A09">
        <w:rPr>
          <w:rFonts w:cstheme="minorHAnsi"/>
        </w:rPr>
        <w:t xml:space="preserve"> of being at the highest level (level 4) as opposed to any other level.</w:t>
      </w:r>
      <w:r w:rsidR="00F00A09">
        <w:t xml:space="preserve"> </w:t>
      </w:r>
      <w:r w:rsidR="00F00A09" w:rsidRPr="00CA1609">
        <w:rPr>
          <w:rFonts w:cstheme="minorHAnsi"/>
        </w:rPr>
        <w:t xml:space="preserve">Adjusting for baseline levels of variables also took account of the effects of the majority of factors that might confound the relationship of interest, including age, and level of educational attainment.   </w:t>
      </w:r>
      <w:r w:rsidR="00F00A09">
        <w:rPr>
          <w:rFonts w:cstheme="minorHAnsi"/>
        </w:rPr>
        <w:t>We have provided actual P-values for the tests conducted, but, in the text, where we quote results as being non-significant, this relates to P-values greater than 0.05.</w:t>
      </w:r>
    </w:p>
    <w:p w:rsidR="00B02ABB" w:rsidRDefault="00B02ABB" w:rsidP="00141E65">
      <w:pPr>
        <w:autoSpaceDE w:val="0"/>
        <w:autoSpaceDN w:val="0"/>
        <w:adjustRightInd w:val="0"/>
        <w:spacing w:after="0" w:line="360" w:lineRule="auto"/>
        <w:rPr>
          <w:rFonts w:cstheme="minorHAnsi"/>
        </w:rPr>
      </w:pPr>
    </w:p>
    <w:p w:rsidR="00B02ABB" w:rsidRPr="0084390D" w:rsidRDefault="00B02ABB" w:rsidP="00141E65">
      <w:pPr>
        <w:autoSpaceDE w:val="0"/>
        <w:autoSpaceDN w:val="0"/>
        <w:adjustRightInd w:val="0"/>
        <w:spacing w:after="0" w:line="360" w:lineRule="auto"/>
        <w:rPr>
          <w:rFonts w:cstheme="minorHAnsi"/>
          <w:b/>
        </w:rPr>
      </w:pPr>
      <w:r w:rsidRPr="0084390D">
        <w:rPr>
          <w:rFonts w:cstheme="minorHAnsi"/>
          <w:b/>
        </w:rPr>
        <w:t>Results</w:t>
      </w:r>
    </w:p>
    <w:p w:rsidR="00C27D51" w:rsidRDefault="00D877F5" w:rsidP="00C27D51">
      <w:pPr>
        <w:autoSpaceDE w:val="0"/>
        <w:autoSpaceDN w:val="0"/>
        <w:adjustRightInd w:val="0"/>
        <w:spacing w:after="0" w:line="360" w:lineRule="auto"/>
        <w:rPr>
          <w:rFonts w:cstheme="minorHAnsi"/>
        </w:rPr>
      </w:pPr>
      <w:r>
        <w:rPr>
          <w:rFonts w:cstheme="minorHAnsi"/>
        </w:rPr>
        <w:t>We surveyed</w:t>
      </w:r>
      <w:r w:rsidR="00B0582F">
        <w:rPr>
          <w:rFonts w:cstheme="minorHAnsi"/>
        </w:rPr>
        <w:t xml:space="preserve"> 527 women in Southampton and 495 women in Gosport and Havant prior t</w:t>
      </w:r>
      <w:r w:rsidR="00AA2EA4">
        <w:rPr>
          <w:rFonts w:cstheme="minorHAnsi"/>
        </w:rPr>
        <w:t>o</w:t>
      </w:r>
      <w:r w:rsidR="00B0582F">
        <w:rPr>
          <w:rFonts w:cstheme="minorHAnsi"/>
        </w:rPr>
        <w:t xml:space="preserve"> the start of training. </w:t>
      </w:r>
      <w:r w:rsidR="00B02ABB">
        <w:rPr>
          <w:rFonts w:cstheme="minorHAnsi"/>
        </w:rPr>
        <w:t>Similar numbers of women were followed up in the intervention and control areas</w:t>
      </w:r>
      <w:r w:rsidR="00B0582F">
        <w:rPr>
          <w:rFonts w:cstheme="minorHAnsi"/>
        </w:rPr>
        <w:t xml:space="preserve"> giving data at both time points for</w:t>
      </w:r>
      <w:r w:rsidR="00B02ABB">
        <w:rPr>
          <w:rFonts w:cstheme="minorHAnsi"/>
        </w:rPr>
        <w:t xml:space="preserve"> 266</w:t>
      </w:r>
      <w:r w:rsidR="00B646A1">
        <w:rPr>
          <w:rFonts w:cstheme="minorHAnsi"/>
        </w:rPr>
        <w:t xml:space="preserve"> women from Southampton and </w:t>
      </w:r>
      <w:r w:rsidR="00B02ABB">
        <w:rPr>
          <w:rFonts w:cstheme="minorHAnsi"/>
        </w:rPr>
        <w:t>243 women from Gosport and Havant</w:t>
      </w:r>
      <w:r w:rsidR="00B646A1">
        <w:rPr>
          <w:rFonts w:cstheme="minorHAnsi"/>
        </w:rPr>
        <w:t>. The baseline characteristics of these women</w:t>
      </w:r>
      <w:r w:rsidR="00B02ABB">
        <w:rPr>
          <w:rFonts w:cstheme="minorHAnsi"/>
        </w:rPr>
        <w:t xml:space="preserve"> are shown in </w:t>
      </w:r>
      <w:r w:rsidR="00896400">
        <w:rPr>
          <w:rFonts w:cstheme="minorHAnsi"/>
        </w:rPr>
        <w:t>T</w:t>
      </w:r>
      <w:r w:rsidR="00B02ABB">
        <w:rPr>
          <w:rFonts w:cstheme="minorHAnsi"/>
        </w:rPr>
        <w:t xml:space="preserve">able 1. </w:t>
      </w:r>
    </w:p>
    <w:p w:rsidR="00C27D51" w:rsidRDefault="00C27D51">
      <w:pPr>
        <w:rPr>
          <w:rFonts w:cstheme="minorHAnsi"/>
        </w:rPr>
      </w:pPr>
      <w:r>
        <w:rPr>
          <w:rFonts w:cstheme="minorHAnsi"/>
        </w:rPr>
        <w:br w:type="page"/>
      </w:r>
    </w:p>
    <w:p w:rsidR="00472587" w:rsidRPr="00C27D51" w:rsidRDefault="00472587" w:rsidP="00C27D51">
      <w:pPr>
        <w:autoSpaceDE w:val="0"/>
        <w:autoSpaceDN w:val="0"/>
        <w:adjustRightInd w:val="0"/>
        <w:spacing w:after="0"/>
        <w:rPr>
          <w:rFonts w:cstheme="minorHAnsi"/>
        </w:rPr>
      </w:pPr>
      <w:r>
        <w:rPr>
          <w:b/>
        </w:rPr>
        <w:lastRenderedPageBreak/>
        <w:t xml:space="preserve">Table 1.  </w:t>
      </w:r>
      <w:r w:rsidRPr="008D7EA8">
        <w:rPr>
          <w:b/>
        </w:rPr>
        <w:t>Baseline characteristics</w:t>
      </w:r>
      <w:r>
        <w:rPr>
          <w:b/>
        </w:rPr>
        <w:t xml:space="preserve"> of 243 women attending Gosport and Havant Sure Start Centres (control group) and 266 women attending Southampton Sure Start Centres</w:t>
      </w:r>
      <w:r w:rsidRPr="008D7EA8">
        <w:rPr>
          <w:b/>
        </w:rPr>
        <w:t xml:space="preserve"> </w:t>
      </w:r>
      <w:r>
        <w:rPr>
          <w:b/>
        </w:rPr>
        <w:t>(interventions group)</w:t>
      </w:r>
    </w:p>
    <w:p w:rsidR="00472587" w:rsidRDefault="00472587" w:rsidP="00472587">
      <w:pPr>
        <w:spacing w:after="0"/>
      </w:pPr>
    </w:p>
    <w:tbl>
      <w:tblPr>
        <w:tblW w:w="9808" w:type="dxa"/>
        <w:tblLook w:val="04A0" w:firstRow="1" w:lastRow="0" w:firstColumn="1" w:lastColumn="0" w:noHBand="0" w:noVBand="1"/>
      </w:tblPr>
      <w:tblGrid>
        <w:gridCol w:w="5920"/>
        <w:gridCol w:w="1386"/>
        <w:gridCol w:w="1475"/>
        <w:gridCol w:w="1027"/>
      </w:tblGrid>
      <w:tr w:rsidR="00472587" w:rsidRPr="009A38AE" w:rsidTr="004A48CC">
        <w:trPr>
          <w:trHeight w:val="300"/>
          <w:tblHeader/>
        </w:trPr>
        <w:tc>
          <w:tcPr>
            <w:tcW w:w="5920" w:type="dxa"/>
            <w:tcBorders>
              <w:top w:val="single" w:sz="4" w:space="0" w:color="auto"/>
              <w:left w:val="nil"/>
              <w:bottom w:val="single" w:sz="4" w:space="0" w:color="auto"/>
              <w:right w:val="nil"/>
            </w:tcBorders>
            <w:shd w:val="clear" w:color="auto" w:fill="auto"/>
            <w:noWrap/>
            <w:vAlign w:val="bottom"/>
            <w:hideMark/>
          </w:tcPr>
          <w:p w:rsidR="00472587" w:rsidRPr="000062CC" w:rsidRDefault="00472587" w:rsidP="004A48CC">
            <w:pPr>
              <w:spacing w:after="0"/>
              <w:rPr>
                <w:rFonts w:cstheme="minorHAnsi"/>
                <w:b/>
                <w:color w:val="000000"/>
              </w:rPr>
            </w:pPr>
            <w:r w:rsidRPr="000062CC">
              <w:rPr>
                <w:rFonts w:cstheme="minorHAnsi"/>
                <w:b/>
                <w:color w:val="000000"/>
              </w:rPr>
              <w:t>Characteristics</w:t>
            </w:r>
          </w:p>
        </w:tc>
        <w:tc>
          <w:tcPr>
            <w:tcW w:w="1386" w:type="dxa"/>
            <w:tcBorders>
              <w:top w:val="single" w:sz="4" w:space="0" w:color="auto"/>
              <w:left w:val="nil"/>
              <w:bottom w:val="single" w:sz="4" w:space="0" w:color="auto"/>
              <w:right w:val="nil"/>
            </w:tcBorders>
            <w:shd w:val="clear" w:color="auto" w:fill="auto"/>
            <w:noWrap/>
            <w:vAlign w:val="bottom"/>
            <w:hideMark/>
          </w:tcPr>
          <w:p w:rsidR="00472587" w:rsidRPr="000062CC" w:rsidRDefault="00472587" w:rsidP="004A48CC">
            <w:pPr>
              <w:spacing w:after="0"/>
              <w:jc w:val="center"/>
              <w:rPr>
                <w:rFonts w:cstheme="minorHAnsi"/>
                <w:b/>
                <w:color w:val="000000"/>
              </w:rPr>
            </w:pPr>
            <w:r w:rsidRPr="000062CC">
              <w:rPr>
                <w:rFonts w:cstheme="minorHAnsi"/>
                <w:b/>
                <w:color w:val="000000"/>
              </w:rPr>
              <w:t>Control</w:t>
            </w:r>
          </w:p>
          <w:p w:rsidR="00472587" w:rsidRPr="000062CC" w:rsidRDefault="00472587" w:rsidP="004A48CC">
            <w:pPr>
              <w:spacing w:after="0"/>
              <w:jc w:val="center"/>
              <w:rPr>
                <w:rFonts w:cstheme="minorHAnsi"/>
                <w:b/>
                <w:color w:val="000000"/>
              </w:rPr>
            </w:pPr>
            <w:r w:rsidRPr="000062CC">
              <w:rPr>
                <w:rFonts w:cstheme="minorHAnsi"/>
                <w:b/>
                <w:color w:val="000000"/>
              </w:rPr>
              <w:t>(</w:t>
            </w:r>
            <w:r w:rsidR="001203D4" w:rsidRPr="001203D4">
              <w:rPr>
                <w:rFonts w:cstheme="minorHAnsi"/>
                <w:b/>
                <w:i/>
                <w:color w:val="000000"/>
              </w:rPr>
              <w:t>n</w:t>
            </w:r>
            <w:r w:rsidRPr="000062CC">
              <w:rPr>
                <w:rFonts w:cstheme="minorHAnsi"/>
                <w:b/>
                <w:color w:val="000000"/>
              </w:rPr>
              <w:t>=243)</w:t>
            </w:r>
          </w:p>
        </w:tc>
        <w:tc>
          <w:tcPr>
            <w:tcW w:w="1475" w:type="dxa"/>
            <w:tcBorders>
              <w:top w:val="single" w:sz="4" w:space="0" w:color="auto"/>
              <w:left w:val="nil"/>
              <w:bottom w:val="single" w:sz="4" w:space="0" w:color="auto"/>
              <w:right w:val="nil"/>
            </w:tcBorders>
            <w:shd w:val="clear" w:color="auto" w:fill="auto"/>
            <w:noWrap/>
            <w:vAlign w:val="bottom"/>
            <w:hideMark/>
          </w:tcPr>
          <w:p w:rsidR="00472587" w:rsidRPr="000062CC" w:rsidRDefault="00472587" w:rsidP="004A48CC">
            <w:pPr>
              <w:spacing w:after="0"/>
              <w:jc w:val="center"/>
              <w:rPr>
                <w:rFonts w:cstheme="minorHAnsi"/>
                <w:b/>
                <w:color w:val="000000"/>
              </w:rPr>
            </w:pPr>
            <w:r w:rsidRPr="000062CC">
              <w:rPr>
                <w:rFonts w:cstheme="minorHAnsi"/>
                <w:b/>
                <w:color w:val="000000"/>
              </w:rPr>
              <w:t>Intervention (</w:t>
            </w:r>
            <w:r w:rsidR="001203D4" w:rsidRPr="001203D4">
              <w:rPr>
                <w:rFonts w:cstheme="minorHAnsi"/>
                <w:b/>
                <w:i/>
                <w:color w:val="000000"/>
              </w:rPr>
              <w:t>n</w:t>
            </w:r>
            <w:r w:rsidRPr="000062CC">
              <w:rPr>
                <w:rFonts w:cstheme="minorHAnsi"/>
                <w:b/>
                <w:color w:val="000000"/>
              </w:rPr>
              <w:t>=266)</w:t>
            </w:r>
          </w:p>
        </w:tc>
        <w:tc>
          <w:tcPr>
            <w:tcW w:w="1027" w:type="dxa"/>
            <w:tcBorders>
              <w:top w:val="single" w:sz="4" w:space="0" w:color="auto"/>
              <w:left w:val="nil"/>
              <w:bottom w:val="single" w:sz="4" w:space="0" w:color="auto"/>
              <w:right w:val="nil"/>
            </w:tcBorders>
            <w:shd w:val="clear" w:color="auto" w:fill="auto"/>
            <w:noWrap/>
            <w:vAlign w:val="bottom"/>
            <w:hideMark/>
          </w:tcPr>
          <w:p w:rsidR="00472587" w:rsidRPr="000062CC" w:rsidRDefault="001203D4" w:rsidP="004A48CC">
            <w:pPr>
              <w:spacing w:after="0"/>
              <w:jc w:val="center"/>
              <w:rPr>
                <w:rFonts w:cstheme="minorHAnsi"/>
                <w:b/>
                <w:color w:val="000000"/>
              </w:rPr>
            </w:pPr>
            <w:r w:rsidRPr="001203D4">
              <w:rPr>
                <w:rFonts w:cstheme="minorHAnsi"/>
                <w:b/>
                <w:i/>
                <w:color w:val="000000"/>
              </w:rPr>
              <w:t>P</w:t>
            </w:r>
            <w:r w:rsidR="00472587" w:rsidRPr="000062CC">
              <w:rPr>
                <w:rFonts w:cstheme="minorHAnsi"/>
                <w:b/>
                <w:color w:val="000000"/>
              </w:rPr>
              <w:t>-value*</w:t>
            </w:r>
          </w:p>
        </w:tc>
      </w:tr>
      <w:tr w:rsidR="00472587" w:rsidRPr="008D7EA8" w:rsidTr="004A48CC">
        <w:trPr>
          <w:trHeight w:val="300"/>
        </w:trPr>
        <w:tc>
          <w:tcPr>
            <w:tcW w:w="5920" w:type="dxa"/>
            <w:tcBorders>
              <w:top w:val="single" w:sz="4" w:space="0" w:color="auto"/>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Age at baseline interview</w:t>
            </w:r>
            <w:r w:rsidR="00F53004">
              <w:rPr>
                <w:rFonts w:cstheme="minorHAnsi"/>
                <w:color w:val="000000"/>
              </w:rPr>
              <w:t xml:space="preserve"> (yrs)</w:t>
            </w:r>
            <w:r w:rsidRPr="008D7EA8">
              <w:rPr>
                <w:rFonts w:cstheme="minorHAnsi"/>
                <w:color w:val="000000"/>
              </w:rPr>
              <w:t xml:space="preserve"> (mean(SD))</w:t>
            </w:r>
          </w:p>
        </w:tc>
        <w:tc>
          <w:tcPr>
            <w:tcW w:w="1386" w:type="dxa"/>
            <w:tcBorders>
              <w:top w:val="single" w:sz="4" w:space="0" w:color="auto"/>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32.0 (5.0)</w:t>
            </w:r>
          </w:p>
        </w:tc>
        <w:tc>
          <w:tcPr>
            <w:tcW w:w="1475" w:type="dxa"/>
            <w:tcBorders>
              <w:top w:val="single" w:sz="4" w:space="0" w:color="auto"/>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32.0 (5.8)</w:t>
            </w:r>
          </w:p>
        </w:tc>
        <w:tc>
          <w:tcPr>
            <w:tcW w:w="1027" w:type="dxa"/>
            <w:tcBorders>
              <w:top w:val="single" w:sz="4" w:space="0" w:color="auto"/>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0.9</w:t>
            </w: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Educational attainment (n(%))</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Pr>
                <w:rFonts w:cstheme="minorHAnsi"/>
                <w:color w:val="000000"/>
              </w:rPr>
              <w:t>0.03</w:t>
            </w: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None</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6 (2.5)</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11 (4.2)</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GCSE D or lower</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17 (7.0)</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12 (4.5)</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GCSE A*-C</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64 (26.3)</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58 (22.0)</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A-level</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85 (35.0)</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76 (28.8)</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HND</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12 (4.9)</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12 (4.5)</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Degree or above</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59 (24.3)</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95 (36.0)</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770A4E">
              <w:rPr>
                <w:rFonts w:cstheme="minorHAnsi"/>
                <w:color w:val="000000"/>
              </w:rPr>
              <w:t>Number of children at baseline (n(%))</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Pr>
                <w:rFonts w:cstheme="minorHAnsi"/>
                <w:color w:val="000000"/>
              </w:rPr>
              <w:t>0.3</w:t>
            </w: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0</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 (0.8)</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 (0.8)</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1</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116 (47.7)</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136 (51.1)</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2</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80 (32.9)</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88 (33.1)</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3</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29 (11.9)</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25 (9.4)</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4+</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16 (6.6)</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15 (5.6)</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SureStart registered (n(%))</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Pr>
                <w:rFonts w:cstheme="minorHAnsi"/>
                <w:color w:val="000000"/>
              </w:rPr>
              <w:t>&lt;0.001</w:t>
            </w: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No</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30 (12.3)</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62 (23.4)</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Yes</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206 (84.8)</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168 (63.4)</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Don't know</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7 (2.9)</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35 (13.2)</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In receipt of benefits (n(%))</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Pr>
                <w:rFonts w:cstheme="minorHAnsi"/>
                <w:color w:val="000000"/>
              </w:rPr>
              <w:t>0.5</w:t>
            </w: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No</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162 (66.7)</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170 (63.9)</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Yes</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81 (33.3)</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96 (36.1)</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9A38AE"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770A4E">
              <w:rPr>
                <w:rFonts w:cstheme="minorHAnsi"/>
                <w:color w:val="000000"/>
              </w:rPr>
              <w:t>Home ownership (n(%))</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Pr>
                <w:rFonts w:cstheme="minorHAnsi"/>
                <w:color w:val="000000"/>
              </w:rPr>
              <w:t>0.001</w:t>
            </w:r>
          </w:p>
        </w:tc>
      </w:tr>
      <w:tr w:rsidR="00472587" w:rsidRPr="009A38AE"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Owns or buying with mortgage</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164 (67.5)</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189 (71.1)</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9A38AE"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Rents from private landlord</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35 (14.4)</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24 (9.0)</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9A38AE"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Rents from Council/Housing Association</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24 (9.9)</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46 (17.3)</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9A38AE"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Other rented accommodation</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3 (1.2)</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 (0.4)</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9A38AE"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Lives with parents</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5 (2.1)</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5 (1.9)</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9A38AE"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MOD/Army property</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9 (3.7)</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0 (0.0)</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9A38AE"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Other</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3 (1.2)</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 (0.4)</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Ethnic group (n(%))</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Pr>
                <w:rFonts w:cstheme="minorHAnsi"/>
                <w:color w:val="000000"/>
              </w:rPr>
              <w:t>0.001</w:t>
            </w: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w:t>
            </w:r>
            <w:r w:rsidRPr="008D7EA8">
              <w:rPr>
                <w:rFonts w:cstheme="minorHAnsi"/>
                <w:color w:val="000000"/>
              </w:rPr>
              <w:t>hite</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240 (98.8)</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246 (92.8)</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N</w:t>
            </w:r>
            <w:r w:rsidRPr="008D7EA8">
              <w:rPr>
                <w:rFonts w:cstheme="minorHAnsi"/>
                <w:color w:val="000000"/>
              </w:rPr>
              <w:t>on-white</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3 (1.2)</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19 (7.2)</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Food and money score (3 grps) (n(%))</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Pr>
                <w:rFonts w:cstheme="minorHAnsi"/>
                <w:color w:val="000000"/>
              </w:rPr>
              <w:t>0.03</w:t>
            </w: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Food secure</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197 (81.4)</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234 (88.0)</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Food insecure</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24 (9.9)</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20 (7.5)</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Hungry</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21 (8.7)</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12 (4.5)</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General control: total (mean(SD))</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27.0 (2.5)</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27.6 (2.8)</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0.02</w:t>
            </w: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Paid work in past 7 days (n(%))</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Pr>
                <w:rFonts w:cstheme="minorHAnsi"/>
                <w:color w:val="000000"/>
              </w:rPr>
              <w:t>0.1</w:t>
            </w: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No</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154 (63.4)</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185 (69.5)</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9A38AE">
              <w:rPr>
                <w:rFonts w:cstheme="minorHAnsi"/>
                <w:color w:val="000000"/>
              </w:rPr>
              <w:t xml:space="preserve">   </w:t>
            </w:r>
            <w:r w:rsidRPr="008D7EA8">
              <w:rPr>
                <w:rFonts w:cstheme="minorHAnsi"/>
                <w:color w:val="000000"/>
              </w:rPr>
              <w:t>Yes</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89 (36.6)</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81 (30.5)</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Default="00472587" w:rsidP="004A48CC">
            <w:pPr>
              <w:spacing w:after="0"/>
              <w:rPr>
                <w:rFonts w:cstheme="minorHAnsi"/>
                <w:color w:val="000000"/>
              </w:rPr>
            </w:pPr>
          </w:p>
          <w:p w:rsidR="00472587" w:rsidRPr="00457FEC" w:rsidRDefault="00472587" w:rsidP="004A48CC">
            <w:pPr>
              <w:spacing w:after="0"/>
              <w:rPr>
                <w:rFonts w:cstheme="minorHAnsi"/>
                <w:color w:val="000000"/>
              </w:rPr>
            </w:pPr>
            <w:r w:rsidRPr="00457FEC">
              <w:rPr>
                <w:rFonts w:cstheme="minorHAnsi"/>
                <w:color w:val="000000"/>
              </w:rPr>
              <w:t xml:space="preserve">Physical </w:t>
            </w:r>
            <w:r>
              <w:rPr>
                <w:rFonts w:cstheme="minorHAnsi"/>
                <w:color w:val="000000"/>
              </w:rPr>
              <w:t xml:space="preserve">Activity Index </w:t>
            </w:r>
            <w:r w:rsidRPr="00457FEC">
              <w:rPr>
                <w:rFonts w:cstheme="minorHAnsi"/>
                <w:color w:val="000000"/>
              </w:rPr>
              <w:t xml:space="preserve"> (n(%))</w:t>
            </w:r>
            <w:r w:rsidRPr="0053603E">
              <w:rPr>
                <w:rFonts w:cstheme="minorHAnsi"/>
                <w:color w:val="000000"/>
              </w:rPr>
              <w:t xml:space="preserve">  (RR)</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p>
        </w:tc>
        <w:tc>
          <w:tcPr>
            <w:tcW w:w="1027" w:type="dxa"/>
            <w:tcBorders>
              <w:top w:val="nil"/>
              <w:left w:val="nil"/>
              <w:bottom w:val="nil"/>
              <w:right w:val="nil"/>
            </w:tcBorders>
            <w:shd w:val="clear" w:color="auto" w:fill="auto"/>
            <w:noWrap/>
            <w:vAlign w:val="bottom"/>
            <w:hideMark/>
          </w:tcPr>
          <w:p w:rsidR="00472587" w:rsidRDefault="00472587" w:rsidP="004A48CC">
            <w:pPr>
              <w:spacing w:after="0"/>
              <w:jc w:val="center"/>
              <w:rPr>
                <w:rFonts w:cstheme="minorHAnsi"/>
                <w:color w:val="000000"/>
              </w:rPr>
            </w:pPr>
          </w:p>
          <w:p w:rsidR="00472587" w:rsidRDefault="00472587" w:rsidP="004A48CC">
            <w:pPr>
              <w:spacing w:after="0"/>
              <w:jc w:val="center"/>
              <w:rPr>
                <w:rFonts w:cstheme="minorHAnsi"/>
                <w:color w:val="000000"/>
              </w:rPr>
            </w:pPr>
            <w:r>
              <w:rPr>
                <w:rFonts w:cstheme="minorHAnsi"/>
                <w:color w:val="000000"/>
              </w:rPr>
              <w:t>0.01</w:t>
            </w: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457FEC" w:rsidRDefault="00472587" w:rsidP="004A48CC">
            <w:pPr>
              <w:spacing w:after="0"/>
              <w:rPr>
                <w:rFonts w:cstheme="minorHAnsi"/>
                <w:color w:val="000000"/>
              </w:rPr>
            </w:pPr>
            <w:r w:rsidRPr="0053603E">
              <w:rPr>
                <w:rFonts w:cstheme="minorHAnsi"/>
                <w:color w:val="000000"/>
              </w:rPr>
              <w:t xml:space="preserve">   Level </w:t>
            </w:r>
            <w:r w:rsidRPr="00457FEC">
              <w:rPr>
                <w:rFonts w:cstheme="minorHAnsi"/>
                <w:color w:val="000000"/>
              </w:rPr>
              <w:t>1</w:t>
            </w:r>
          </w:p>
        </w:tc>
        <w:tc>
          <w:tcPr>
            <w:tcW w:w="1386" w:type="dxa"/>
            <w:tcBorders>
              <w:top w:val="nil"/>
              <w:left w:val="nil"/>
              <w:bottom w:val="nil"/>
              <w:right w:val="nil"/>
            </w:tcBorders>
            <w:shd w:val="clear" w:color="auto" w:fill="auto"/>
            <w:noWrap/>
            <w:vAlign w:val="bottom"/>
            <w:hideMark/>
          </w:tcPr>
          <w:p w:rsidR="00472587" w:rsidRPr="00452107" w:rsidRDefault="00472587" w:rsidP="004A48CC">
            <w:pPr>
              <w:spacing w:after="0"/>
              <w:jc w:val="center"/>
              <w:rPr>
                <w:rFonts w:cstheme="minorHAnsi"/>
                <w:color w:val="000000"/>
              </w:rPr>
            </w:pPr>
            <w:r w:rsidRPr="00452107">
              <w:rPr>
                <w:rFonts w:cstheme="minorHAnsi"/>
                <w:color w:val="000000"/>
              </w:rPr>
              <w:t>93 (38.3)</w:t>
            </w:r>
          </w:p>
        </w:tc>
        <w:tc>
          <w:tcPr>
            <w:tcW w:w="1475" w:type="dxa"/>
            <w:tcBorders>
              <w:top w:val="nil"/>
              <w:left w:val="nil"/>
              <w:bottom w:val="nil"/>
              <w:right w:val="nil"/>
            </w:tcBorders>
            <w:shd w:val="clear" w:color="auto" w:fill="auto"/>
            <w:noWrap/>
            <w:vAlign w:val="bottom"/>
            <w:hideMark/>
          </w:tcPr>
          <w:p w:rsidR="00472587" w:rsidRPr="00452107" w:rsidRDefault="00472587" w:rsidP="004A48CC">
            <w:pPr>
              <w:spacing w:after="0"/>
              <w:jc w:val="center"/>
              <w:rPr>
                <w:rFonts w:cstheme="minorHAnsi"/>
                <w:color w:val="000000"/>
              </w:rPr>
            </w:pPr>
            <w:r w:rsidRPr="00452107">
              <w:rPr>
                <w:rFonts w:cstheme="minorHAnsi"/>
                <w:color w:val="000000"/>
              </w:rPr>
              <w:t>130 (48.9)</w:t>
            </w:r>
          </w:p>
        </w:tc>
        <w:tc>
          <w:tcPr>
            <w:tcW w:w="1027" w:type="dxa"/>
            <w:tcBorders>
              <w:top w:val="nil"/>
              <w:left w:val="nil"/>
              <w:bottom w:val="nil"/>
              <w:right w:val="nil"/>
            </w:tcBorders>
            <w:shd w:val="clear" w:color="auto" w:fill="auto"/>
            <w:noWrap/>
            <w:vAlign w:val="bottom"/>
            <w:hideMark/>
          </w:tcPr>
          <w:p w:rsidR="00472587"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457FEC" w:rsidRDefault="00472587" w:rsidP="004A48CC">
            <w:pPr>
              <w:spacing w:after="0"/>
              <w:rPr>
                <w:rFonts w:cstheme="minorHAnsi"/>
                <w:color w:val="000000"/>
              </w:rPr>
            </w:pPr>
            <w:r w:rsidRPr="0053603E">
              <w:rPr>
                <w:rFonts w:cstheme="minorHAnsi"/>
                <w:color w:val="000000"/>
              </w:rPr>
              <w:t xml:space="preserve">   Level </w:t>
            </w:r>
            <w:r w:rsidRPr="00457FEC">
              <w:rPr>
                <w:rFonts w:cstheme="minorHAnsi"/>
                <w:color w:val="000000"/>
              </w:rPr>
              <w:t>2</w:t>
            </w:r>
          </w:p>
        </w:tc>
        <w:tc>
          <w:tcPr>
            <w:tcW w:w="1386" w:type="dxa"/>
            <w:tcBorders>
              <w:top w:val="nil"/>
              <w:left w:val="nil"/>
              <w:bottom w:val="nil"/>
              <w:right w:val="nil"/>
            </w:tcBorders>
            <w:shd w:val="clear" w:color="auto" w:fill="auto"/>
            <w:noWrap/>
            <w:vAlign w:val="bottom"/>
            <w:hideMark/>
          </w:tcPr>
          <w:p w:rsidR="00472587" w:rsidRPr="00452107" w:rsidRDefault="00472587" w:rsidP="004A48CC">
            <w:pPr>
              <w:spacing w:after="0"/>
              <w:jc w:val="center"/>
              <w:rPr>
                <w:rFonts w:cstheme="minorHAnsi"/>
                <w:color w:val="000000"/>
              </w:rPr>
            </w:pPr>
            <w:r w:rsidRPr="00452107">
              <w:rPr>
                <w:rFonts w:cstheme="minorHAnsi"/>
                <w:color w:val="000000"/>
              </w:rPr>
              <w:t>48 (19.8)</w:t>
            </w:r>
          </w:p>
        </w:tc>
        <w:tc>
          <w:tcPr>
            <w:tcW w:w="1475" w:type="dxa"/>
            <w:tcBorders>
              <w:top w:val="nil"/>
              <w:left w:val="nil"/>
              <w:bottom w:val="nil"/>
              <w:right w:val="nil"/>
            </w:tcBorders>
            <w:shd w:val="clear" w:color="auto" w:fill="auto"/>
            <w:noWrap/>
            <w:vAlign w:val="bottom"/>
            <w:hideMark/>
          </w:tcPr>
          <w:p w:rsidR="00472587" w:rsidRPr="00452107" w:rsidRDefault="00472587" w:rsidP="004A48CC">
            <w:pPr>
              <w:spacing w:after="0"/>
              <w:jc w:val="center"/>
              <w:rPr>
                <w:rFonts w:cstheme="minorHAnsi"/>
                <w:color w:val="000000"/>
              </w:rPr>
            </w:pPr>
            <w:r w:rsidRPr="00452107">
              <w:rPr>
                <w:rFonts w:cstheme="minorHAnsi"/>
                <w:color w:val="000000"/>
              </w:rPr>
              <w:t>41 (15.4)</w:t>
            </w:r>
          </w:p>
        </w:tc>
        <w:tc>
          <w:tcPr>
            <w:tcW w:w="1027" w:type="dxa"/>
            <w:tcBorders>
              <w:top w:val="nil"/>
              <w:left w:val="nil"/>
              <w:bottom w:val="nil"/>
              <w:right w:val="nil"/>
            </w:tcBorders>
            <w:shd w:val="clear" w:color="auto" w:fill="auto"/>
            <w:noWrap/>
            <w:vAlign w:val="bottom"/>
            <w:hideMark/>
          </w:tcPr>
          <w:p w:rsidR="00472587"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457FEC" w:rsidRDefault="00472587" w:rsidP="004A48CC">
            <w:pPr>
              <w:spacing w:after="0"/>
              <w:rPr>
                <w:rFonts w:cstheme="minorHAnsi"/>
                <w:color w:val="000000"/>
              </w:rPr>
            </w:pPr>
            <w:r w:rsidRPr="0053603E">
              <w:rPr>
                <w:rFonts w:cstheme="minorHAnsi"/>
                <w:color w:val="000000"/>
              </w:rPr>
              <w:t xml:space="preserve">   Level </w:t>
            </w:r>
            <w:r w:rsidRPr="00457FEC">
              <w:rPr>
                <w:rFonts w:cstheme="minorHAnsi"/>
                <w:color w:val="000000"/>
              </w:rPr>
              <w:t>3</w:t>
            </w:r>
          </w:p>
        </w:tc>
        <w:tc>
          <w:tcPr>
            <w:tcW w:w="1386" w:type="dxa"/>
            <w:tcBorders>
              <w:top w:val="nil"/>
              <w:left w:val="nil"/>
              <w:bottom w:val="nil"/>
              <w:right w:val="nil"/>
            </w:tcBorders>
            <w:shd w:val="clear" w:color="auto" w:fill="auto"/>
            <w:noWrap/>
            <w:vAlign w:val="bottom"/>
            <w:hideMark/>
          </w:tcPr>
          <w:p w:rsidR="00472587" w:rsidRPr="00452107" w:rsidRDefault="00472587" w:rsidP="004A48CC">
            <w:pPr>
              <w:spacing w:after="0"/>
              <w:jc w:val="center"/>
              <w:rPr>
                <w:rFonts w:cstheme="minorHAnsi"/>
                <w:color w:val="000000"/>
              </w:rPr>
            </w:pPr>
            <w:r w:rsidRPr="00452107">
              <w:rPr>
                <w:rFonts w:cstheme="minorHAnsi"/>
                <w:color w:val="000000"/>
              </w:rPr>
              <w:t>53 (21.8)</w:t>
            </w:r>
          </w:p>
        </w:tc>
        <w:tc>
          <w:tcPr>
            <w:tcW w:w="1475" w:type="dxa"/>
            <w:tcBorders>
              <w:top w:val="nil"/>
              <w:left w:val="nil"/>
              <w:bottom w:val="nil"/>
              <w:right w:val="nil"/>
            </w:tcBorders>
            <w:shd w:val="clear" w:color="auto" w:fill="auto"/>
            <w:noWrap/>
            <w:vAlign w:val="bottom"/>
            <w:hideMark/>
          </w:tcPr>
          <w:p w:rsidR="00472587" w:rsidRPr="00452107" w:rsidRDefault="00472587" w:rsidP="004A48CC">
            <w:pPr>
              <w:spacing w:after="0"/>
              <w:jc w:val="center"/>
              <w:rPr>
                <w:rFonts w:cstheme="minorHAnsi"/>
                <w:color w:val="000000"/>
              </w:rPr>
            </w:pPr>
            <w:r w:rsidRPr="00452107">
              <w:rPr>
                <w:rFonts w:cstheme="minorHAnsi"/>
                <w:color w:val="000000"/>
              </w:rPr>
              <w:t>62 (23.3)</w:t>
            </w:r>
          </w:p>
        </w:tc>
        <w:tc>
          <w:tcPr>
            <w:tcW w:w="1027" w:type="dxa"/>
            <w:tcBorders>
              <w:top w:val="nil"/>
              <w:left w:val="nil"/>
              <w:bottom w:val="nil"/>
              <w:right w:val="nil"/>
            </w:tcBorders>
            <w:shd w:val="clear" w:color="auto" w:fill="auto"/>
            <w:noWrap/>
            <w:vAlign w:val="bottom"/>
            <w:hideMark/>
          </w:tcPr>
          <w:p w:rsidR="00472587"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457FEC" w:rsidRDefault="00472587" w:rsidP="004A48CC">
            <w:pPr>
              <w:spacing w:after="0"/>
              <w:rPr>
                <w:rFonts w:cstheme="minorHAnsi"/>
                <w:color w:val="000000"/>
              </w:rPr>
            </w:pPr>
            <w:r w:rsidRPr="0053603E">
              <w:rPr>
                <w:rFonts w:cstheme="minorHAnsi"/>
                <w:color w:val="000000"/>
              </w:rPr>
              <w:t xml:space="preserve">   Level </w:t>
            </w:r>
            <w:r w:rsidRPr="00457FEC">
              <w:rPr>
                <w:rFonts w:cstheme="minorHAnsi"/>
                <w:color w:val="000000"/>
              </w:rPr>
              <w:t>4</w:t>
            </w:r>
          </w:p>
        </w:tc>
        <w:tc>
          <w:tcPr>
            <w:tcW w:w="1386" w:type="dxa"/>
            <w:tcBorders>
              <w:top w:val="nil"/>
              <w:left w:val="nil"/>
              <w:bottom w:val="nil"/>
              <w:right w:val="nil"/>
            </w:tcBorders>
            <w:shd w:val="clear" w:color="auto" w:fill="auto"/>
            <w:noWrap/>
            <w:vAlign w:val="bottom"/>
            <w:hideMark/>
          </w:tcPr>
          <w:p w:rsidR="00472587" w:rsidRPr="00452107" w:rsidRDefault="00472587" w:rsidP="004A48CC">
            <w:pPr>
              <w:spacing w:after="0"/>
              <w:jc w:val="center"/>
              <w:rPr>
                <w:rFonts w:cstheme="minorHAnsi"/>
                <w:color w:val="000000"/>
              </w:rPr>
            </w:pPr>
            <w:r w:rsidRPr="00452107">
              <w:rPr>
                <w:rFonts w:cstheme="minorHAnsi"/>
                <w:color w:val="000000"/>
              </w:rPr>
              <w:t>49 (20.2)</w:t>
            </w:r>
          </w:p>
        </w:tc>
        <w:tc>
          <w:tcPr>
            <w:tcW w:w="1475" w:type="dxa"/>
            <w:tcBorders>
              <w:top w:val="nil"/>
              <w:left w:val="nil"/>
              <w:bottom w:val="nil"/>
              <w:right w:val="nil"/>
            </w:tcBorders>
            <w:shd w:val="clear" w:color="auto" w:fill="auto"/>
            <w:noWrap/>
            <w:vAlign w:val="bottom"/>
            <w:hideMark/>
          </w:tcPr>
          <w:p w:rsidR="00472587" w:rsidRPr="00452107" w:rsidRDefault="00472587" w:rsidP="004A48CC">
            <w:pPr>
              <w:spacing w:after="0"/>
              <w:jc w:val="center"/>
              <w:rPr>
                <w:rFonts w:cstheme="minorHAnsi"/>
                <w:color w:val="000000"/>
              </w:rPr>
            </w:pPr>
            <w:r w:rsidRPr="00452107">
              <w:rPr>
                <w:rFonts w:cstheme="minorHAnsi"/>
                <w:color w:val="000000"/>
              </w:rPr>
              <w:t>33 (12.4)</w:t>
            </w:r>
          </w:p>
        </w:tc>
        <w:tc>
          <w:tcPr>
            <w:tcW w:w="1027" w:type="dxa"/>
            <w:tcBorders>
              <w:top w:val="nil"/>
              <w:left w:val="nil"/>
              <w:bottom w:val="nil"/>
              <w:right w:val="nil"/>
            </w:tcBorders>
            <w:shd w:val="clear" w:color="auto" w:fill="auto"/>
            <w:noWrap/>
            <w:vAlign w:val="bottom"/>
            <w:hideMark/>
          </w:tcPr>
          <w:p w:rsidR="00472587" w:rsidRDefault="00472587" w:rsidP="004A48CC">
            <w:pPr>
              <w:spacing w:after="0"/>
              <w:jc w:val="center"/>
              <w:rPr>
                <w:rFonts w:cstheme="minorHAnsi"/>
                <w:color w:val="000000"/>
              </w:rPr>
            </w:pP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Prudent diet SD score (mean(SD))</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0.0 (0.9)</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0.2 (1.0)</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0.04</w:t>
            </w:r>
          </w:p>
        </w:tc>
      </w:tr>
      <w:tr w:rsidR="00472587" w:rsidRPr="008D7EA8" w:rsidTr="004A48CC">
        <w:trPr>
          <w:trHeight w:val="300"/>
        </w:trPr>
        <w:tc>
          <w:tcPr>
            <w:tcW w:w="5920" w:type="dxa"/>
            <w:tcBorders>
              <w:top w:val="nil"/>
              <w:left w:val="nil"/>
              <w:bottom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Self-efficacy  (mean(SD))</w:t>
            </w:r>
          </w:p>
        </w:tc>
        <w:tc>
          <w:tcPr>
            <w:tcW w:w="1386"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14.9 (1.9)</w:t>
            </w:r>
          </w:p>
        </w:tc>
        <w:tc>
          <w:tcPr>
            <w:tcW w:w="1475"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15.1 (1.7)</w:t>
            </w:r>
          </w:p>
        </w:tc>
        <w:tc>
          <w:tcPr>
            <w:tcW w:w="1027" w:type="dxa"/>
            <w:tcBorders>
              <w:top w:val="nil"/>
              <w:left w:val="nil"/>
              <w:bottom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0.2</w:t>
            </w:r>
          </w:p>
        </w:tc>
      </w:tr>
      <w:tr w:rsidR="00472587" w:rsidRPr="008D7EA8" w:rsidTr="004A48CC">
        <w:trPr>
          <w:trHeight w:val="300"/>
        </w:trPr>
        <w:tc>
          <w:tcPr>
            <w:tcW w:w="5920" w:type="dxa"/>
            <w:tcBorders>
              <w:top w:val="nil"/>
              <w:left w:val="nil"/>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Efficacy in eating healthy foods (mean(SD))</w:t>
            </w:r>
          </w:p>
        </w:tc>
        <w:tc>
          <w:tcPr>
            <w:tcW w:w="1386" w:type="dxa"/>
            <w:tcBorders>
              <w:top w:val="nil"/>
              <w:left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14.5 (2.3)</w:t>
            </w:r>
          </w:p>
        </w:tc>
        <w:tc>
          <w:tcPr>
            <w:tcW w:w="1475" w:type="dxa"/>
            <w:tcBorders>
              <w:top w:val="nil"/>
              <w:left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14.5 (2.3)</w:t>
            </w:r>
          </w:p>
        </w:tc>
        <w:tc>
          <w:tcPr>
            <w:tcW w:w="1027" w:type="dxa"/>
            <w:tcBorders>
              <w:top w:val="nil"/>
              <w:left w:val="nil"/>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0.96</w:t>
            </w:r>
          </w:p>
        </w:tc>
      </w:tr>
      <w:tr w:rsidR="00472587" w:rsidRPr="008D7EA8" w:rsidTr="004A48CC">
        <w:trPr>
          <w:trHeight w:val="300"/>
        </w:trPr>
        <w:tc>
          <w:tcPr>
            <w:tcW w:w="5920" w:type="dxa"/>
            <w:tcBorders>
              <w:top w:val="nil"/>
              <w:left w:val="nil"/>
              <w:bottom w:val="single" w:sz="4" w:space="0" w:color="auto"/>
              <w:right w:val="nil"/>
            </w:tcBorders>
            <w:shd w:val="clear" w:color="auto" w:fill="auto"/>
            <w:noWrap/>
            <w:vAlign w:val="bottom"/>
            <w:hideMark/>
          </w:tcPr>
          <w:p w:rsidR="00472587" w:rsidRPr="008D7EA8" w:rsidRDefault="00472587" w:rsidP="004A48CC">
            <w:pPr>
              <w:spacing w:after="0"/>
              <w:rPr>
                <w:rFonts w:cstheme="minorHAnsi"/>
                <w:color w:val="000000"/>
              </w:rPr>
            </w:pPr>
            <w:r w:rsidRPr="008D7EA8">
              <w:rPr>
                <w:rFonts w:cstheme="minorHAnsi"/>
                <w:color w:val="000000"/>
              </w:rPr>
              <w:t>Efficacy in exercising (mean(SD))</w:t>
            </w:r>
          </w:p>
        </w:tc>
        <w:tc>
          <w:tcPr>
            <w:tcW w:w="1386" w:type="dxa"/>
            <w:tcBorders>
              <w:top w:val="nil"/>
              <w:left w:val="nil"/>
              <w:bottom w:val="single" w:sz="4" w:space="0" w:color="auto"/>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12.3 (2.9)</w:t>
            </w:r>
          </w:p>
        </w:tc>
        <w:tc>
          <w:tcPr>
            <w:tcW w:w="1475" w:type="dxa"/>
            <w:tcBorders>
              <w:top w:val="nil"/>
              <w:left w:val="nil"/>
              <w:bottom w:val="single" w:sz="4" w:space="0" w:color="auto"/>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12.3 (2.8)</w:t>
            </w:r>
          </w:p>
        </w:tc>
        <w:tc>
          <w:tcPr>
            <w:tcW w:w="1027" w:type="dxa"/>
            <w:tcBorders>
              <w:top w:val="nil"/>
              <w:left w:val="nil"/>
              <w:bottom w:val="single" w:sz="4" w:space="0" w:color="auto"/>
              <w:right w:val="nil"/>
            </w:tcBorders>
            <w:shd w:val="clear" w:color="auto" w:fill="auto"/>
            <w:noWrap/>
            <w:vAlign w:val="bottom"/>
            <w:hideMark/>
          </w:tcPr>
          <w:p w:rsidR="00472587" w:rsidRPr="009A38AE" w:rsidRDefault="00472587" w:rsidP="004A48CC">
            <w:pPr>
              <w:spacing w:after="0"/>
              <w:jc w:val="center"/>
              <w:rPr>
                <w:rFonts w:cstheme="minorHAnsi"/>
                <w:color w:val="000000"/>
              </w:rPr>
            </w:pPr>
            <w:r w:rsidRPr="009A38AE">
              <w:rPr>
                <w:rFonts w:cstheme="minorHAnsi"/>
                <w:color w:val="000000"/>
              </w:rPr>
              <w:t>0.95</w:t>
            </w:r>
          </w:p>
        </w:tc>
      </w:tr>
    </w:tbl>
    <w:p w:rsidR="00472587" w:rsidRDefault="00472587" w:rsidP="00472587">
      <w:pPr>
        <w:spacing w:after="0"/>
      </w:pPr>
    </w:p>
    <w:p w:rsidR="00472587" w:rsidRDefault="00472587" w:rsidP="00472587">
      <w:pPr>
        <w:spacing w:after="0"/>
        <w:rPr>
          <w:sz w:val="20"/>
          <w:szCs w:val="20"/>
        </w:rPr>
      </w:pPr>
      <w:r w:rsidRPr="002B67CC">
        <w:rPr>
          <w:sz w:val="20"/>
          <w:szCs w:val="20"/>
        </w:rPr>
        <w:t>*t-tests were used to assess differences in means.  Chi-squared tests were used for categorical variables, and chi-squared tests for trend for ordered categorical variables.</w:t>
      </w:r>
      <w:r>
        <w:rPr>
          <w:sz w:val="20"/>
          <w:szCs w:val="20"/>
        </w:rPr>
        <w:t xml:space="preserve">  Categories were merged before conducting chi-squared tests where numbers were small.</w:t>
      </w:r>
    </w:p>
    <w:p w:rsidR="00472587" w:rsidRDefault="00472587">
      <w:pPr>
        <w:rPr>
          <w:rFonts w:cstheme="minorHAnsi"/>
        </w:rPr>
      </w:pPr>
    </w:p>
    <w:p w:rsidR="00DD3FB5" w:rsidRDefault="00DD3FB5" w:rsidP="00141E65">
      <w:pPr>
        <w:autoSpaceDE w:val="0"/>
        <w:autoSpaceDN w:val="0"/>
        <w:adjustRightInd w:val="0"/>
        <w:spacing w:after="0" w:line="360" w:lineRule="auto"/>
        <w:rPr>
          <w:rFonts w:cstheme="minorHAnsi"/>
        </w:rPr>
      </w:pPr>
      <w:r>
        <w:rPr>
          <w:rFonts w:cstheme="minorHAnsi"/>
        </w:rPr>
        <w:t>Mean age in both</w:t>
      </w:r>
      <w:r w:rsidR="006A3442">
        <w:rPr>
          <w:rFonts w:cstheme="minorHAnsi"/>
        </w:rPr>
        <w:t xml:space="preserve"> groups was 32 years</w:t>
      </w:r>
      <w:r w:rsidR="0001657D">
        <w:rPr>
          <w:rFonts w:cstheme="minorHAnsi"/>
        </w:rPr>
        <w:t>. Women in the intervention group had higher levels of educational attainment than women in the control group with 36</w:t>
      </w:r>
      <w:r w:rsidR="00896400">
        <w:rPr>
          <w:rFonts w:cstheme="minorHAnsi"/>
        </w:rPr>
        <w:t>.0</w:t>
      </w:r>
      <w:r w:rsidR="0001657D">
        <w:rPr>
          <w:rFonts w:cstheme="minorHAnsi"/>
        </w:rPr>
        <w:t>% of Southampton women educated to degree level compared with 24.3% in Gosport and Havant</w:t>
      </w:r>
      <w:r>
        <w:rPr>
          <w:rFonts w:cstheme="minorHAnsi"/>
        </w:rPr>
        <w:t xml:space="preserve">. </w:t>
      </w:r>
      <w:r w:rsidR="00FF6B2C">
        <w:rPr>
          <w:rFonts w:cstheme="minorHAnsi"/>
        </w:rPr>
        <w:t>Although most women were white,</w:t>
      </w:r>
      <w:r w:rsidR="00B646A1">
        <w:rPr>
          <w:rFonts w:cstheme="minorHAnsi"/>
        </w:rPr>
        <w:t xml:space="preserve"> a higher percentage of </w:t>
      </w:r>
      <w:r w:rsidR="00CF6C03">
        <w:rPr>
          <w:rFonts w:cstheme="minorHAnsi"/>
        </w:rPr>
        <w:t xml:space="preserve">women </w:t>
      </w:r>
      <w:r w:rsidR="003B0514">
        <w:rPr>
          <w:rFonts w:cstheme="minorHAnsi"/>
        </w:rPr>
        <w:t xml:space="preserve">were </w:t>
      </w:r>
      <w:r w:rsidR="00CF6C03">
        <w:rPr>
          <w:rFonts w:cstheme="minorHAnsi"/>
        </w:rPr>
        <w:t>from other ethnic groups in Southampton</w:t>
      </w:r>
      <w:r w:rsidR="00B646A1">
        <w:rPr>
          <w:rFonts w:cstheme="minorHAnsi"/>
        </w:rPr>
        <w:t xml:space="preserve"> (7.2%)</w:t>
      </w:r>
      <w:r w:rsidR="00CF6C03">
        <w:rPr>
          <w:rFonts w:cstheme="minorHAnsi"/>
        </w:rPr>
        <w:t xml:space="preserve"> than</w:t>
      </w:r>
      <w:r w:rsidR="002101ED">
        <w:rPr>
          <w:rFonts w:cstheme="minorHAnsi"/>
        </w:rPr>
        <w:t xml:space="preserve"> in Gosport and Havant</w:t>
      </w:r>
      <w:r w:rsidR="00B646A1">
        <w:rPr>
          <w:rFonts w:cstheme="minorHAnsi"/>
        </w:rPr>
        <w:t xml:space="preserve"> (1.2%)</w:t>
      </w:r>
      <w:r w:rsidR="00CF6C03">
        <w:rPr>
          <w:rFonts w:cstheme="minorHAnsi"/>
        </w:rPr>
        <w:t xml:space="preserve">. </w:t>
      </w:r>
      <w:r>
        <w:rPr>
          <w:rFonts w:cstheme="minorHAnsi"/>
        </w:rPr>
        <w:t>Similar proportions of women were in receipt of benefits</w:t>
      </w:r>
      <w:r w:rsidR="00B646A1">
        <w:rPr>
          <w:rFonts w:cstheme="minorHAnsi"/>
        </w:rPr>
        <w:t xml:space="preserve"> in the two areas</w:t>
      </w:r>
      <w:r>
        <w:rPr>
          <w:rFonts w:cstheme="minorHAnsi"/>
        </w:rPr>
        <w:t xml:space="preserve"> </w:t>
      </w:r>
      <w:r w:rsidR="0001657D">
        <w:rPr>
          <w:rFonts w:cstheme="minorHAnsi"/>
        </w:rPr>
        <w:t xml:space="preserve">but women in the intervention </w:t>
      </w:r>
      <w:r w:rsidR="004F480C">
        <w:rPr>
          <w:rFonts w:cstheme="minorHAnsi"/>
        </w:rPr>
        <w:t>group</w:t>
      </w:r>
      <w:r w:rsidR="0001657D">
        <w:rPr>
          <w:rFonts w:cstheme="minorHAnsi"/>
        </w:rPr>
        <w:t xml:space="preserve"> were more likely to own their </w:t>
      </w:r>
      <w:r w:rsidR="00927977">
        <w:rPr>
          <w:rFonts w:cstheme="minorHAnsi"/>
        </w:rPr>
        <w:t>homes and a higher proport</w:t>
      </w:r>
      <w:r w:rsidR="005208FF">
        <w:rPr>
          <w:rFonts w:cstheme="minorHAnsi"/>
        </w:rPr>
        <w:t>ion of women in the control group</w:t>
      </w:r>
      <w:r w:rsidR="00B646A1">
        <w:rPr>
          <w:rFonts w:cstheme="minorHAnsi"/>
        </w:rPr>
        <w:t xml:space="preserve"> (85</w:t>
      </w:r>
      <w:r w:rsidR="00896400">
        <w:rPr>
          <w:rFonts w:cstheme="minorHAnsi"/>
        </w:rPr>
        <w:t>.0</w:t>
      </w:r>
      <w:r w:rsidR="00B646A1">
        <w:rPr>
          <w:rFonts w:cstheme="minorHAnsi"/>
        </w:rPr>
        <w:t>%)</w:t>
      </w:r>
      <w:r w:rsidR="00927977">
        <w:rPr>
          <w:rFonts w:cstheme="minorHAnsi"/>
        </w:rPr>
        <w:t xml:space="preserve"> were registered with Sure Start</w:t>
      </w:r>
      <w:r w:rsidR="00B646A1">
        <w:rPr>
          <w:rFonts w:cstheme="minorHAnsi"/>
        </w:rPr>
        <w:t xml:space="preserve"> than in the intervention group (</w:t>
      </w:r>
      <w:r w:rsidR="00DF551C">
        <w:rPr>
          <w:rFonts w:cstheme="minorHAnsi"/>
        </w:rPr>
        <w:t>63</w:t>
      </w:r>
      <w:r w:rsidR="00896400">
        <w:rPr>
          <w:rFonts w:cstheme="minorHAnsi"/>
        </w:rPr>
        <w:t>.0</w:t>
      </w:r>
      <w:r w:rsidR="00DF551C">
        <w:rPr>
          <w:rFonts w:cstheme="minorHAnsi"/>
        </w:rPr>
        <w:t>%</w:t>
      </w:r>
      <w:r w:rsidR="00B646A1">
        <w:rPr>
          <w:rFonts w:cstheme="minorHAnsi"/>
        </w:rPr>
        <w:t>)</w:t>
      </w:r>
      <w:r w:rsidR="00927977">
        <w:rPr>
          <w:rFonts w:cstheme="minorHAnsi"/>
        </w:rPr>
        <w:t xml:space="preserve">. </w:t>
      </w:r>
    </w:p>
    <w:p w:rsidR="00DD3FB5" w:rsidRDefault="00DD3FB5" w:rsidP="00141E65">
      <w:pPr>
        <w:autoSpaceDE w:val="0"/>
        <w:autoSpaceDN w:val="0"/>
        <w:adjustRightInd w:val="0"/>
        <w:spacing w:after="0" w:line="360" w:lineRule="auto"/>
        <w:rPr>
          <w:rFonts w:cstheme="minorHAnsi"/>
        </w:rPr>
      </w:pPr>
    </w:p>
    <w:p w:rsidR="000E4FB4" w:rsidRDefault="003F251E" w:rsidP="00141E65">
      <w:pPr>
        <w:autoSpaceDE w:val="0"/>
        <w:autoSpaceDN w:val="0"/>
        <w:adjustRightInd w:val="0"/>
        <w:spacing w:after="0" w:line="360" w:lineRule="auto"/>
        <w:rPr>
          <w:rFonts w:cstheme="minorHAnsi"/>
        </w:rPr>
      </w:pPr>
      <w:r>
        <w:rPr>
          <w:rFonts w:cstheme="minorHAnsi"/>
        </w:rPr>
        <w:t>The prudent diet scores</w:t>
      </w:r>
      <w:r w:rsidR="0068688A">
        <w:rPr>
          <w:rFonts w:cstheme="minorHAnsi"/>
        </w:rPr>
        <w:t xml:space="preserve"> </w:t>
      </w:r>
      <w:r>
        <w:rPr>
          <w:rFonts w:cstheme="minorHAnsi"/>
        </w:rPr>
        <w:t>of women in Southampton were significantly higher at baseline than those of the women in the control areas of Gosport and Havant</w:t>
      </w:r>
      <w:r w:rsidR="00CF6C03">
        <w:rPr>
          <w:rFonts w:cstheme="minorHAnsi"/>
        </w:rPr>
        <w:t xml:space="preserve"> –</w:t>
      </w:r>
      <w:r w:rsidR="00FF6B2C">
        <w:rPr>
          <w:rFonts w:cstheme="minorHAnsi"/>
        </w:rPr>
        <w:t xml:space="preserve"> </w:t>
      </w:r>
      <w:r w:rsidR="00352B13">
        <w:rPr>
          <w:rFonts w:cstheme="minorHAnsi"/>
        </w:rPr>
        <w:t>mean prudent diet score was</w:t>
      </w:r>
      <w:r w:rsidR="00CF6C03">
        <w:rPr>
          <w:rFonts w:cstheme="minorHAnsi"/>
        </w:rPr>
        <w:t xml:space="preserve"> 0.2</w:t>
      </w:r>
      <w:r w:rsidR="00352B13">
        <w:rPr>
          <w:rFonts w:cstheme="minorHAnsi"/>
        </w:rPr>
        <w:t xml:space="preserve"> (</w:t>
      </w:r>
      <w:r w:rsidR="0068688A">
        <w:rPr>
          <w:rFonts w:cstheme="minorHAnsi"/>
        </w:rPr>
        <w:t>standard deviation (</w:t>
      </w:r>
      <w:r w:rsidR="00352B13">
        <w:rPr>
          <w:rFonts w:cstheme="minorHAnsi"/>
        </w:rPr>
        <w:t>SD</w:t>
      </w:r>
      <w:r w:rsidR="0068688A">
        <w:rPr>
          <w:rFonts w:cstheme="minorHAnsi"/>
        </w:rPr>
        <w:t>)</w:t>
      </w:r>
      <w:r w:rsidR="00EE601D">
        <w:rPr>
          <w:rFonts w:cstheme="minorHAnsi"/>
        </w:rPr>
        <w:t xml:space="preserve"> 1.0</w:t>
      </w:r>
      <w:r w:rsidR="00352B13">
        <w:rPr>
          <w:rFonts w:cstheme="minorHAnsi"/>
        </w:rPr>
        <w:t xml:space="preserve">) </w:t>
      </w:r>
      <w:r w:rsidR="00CF6C03">
        <w:rPr>
          <w:rFonts w:cstheme="minorHAnsi"/>
        </w:rPr>
        <w:t>in intervention women compared with 0.0</w:t>
      </w:r>
      <w:r w:rsidR="00352B13">
        <w:rPr>
          <w:rFonts w:cstheme="minorHAnsi"/>
        </w:rPr>
        <w:t xml:space="preserve"> (SD 0.9)</w:t>
      </w:r>
      <w:r w:rsidR="00CF6C03">
        <w:rPr>
          <w:rFonts w:cstheme="minorHAnsi"/>
        </w:rPr>
        <w:t xml:space="preserve"> for women in the control group</w:t>
      </w:r>
      <w:r>
        <w:rPr>
          <w:rFonts w:cstheme="minorHAnsi"/>
        </w:rPr>
        <w:t xml:space="preserve">. </w:t>
      </w:r>
      <w:r w:rsidR="006D53F9">
        <w:rPr>
          <w:rFonts w:cstheme="minorHAnsi"/>
        </w:rPr>
        <w:t>In contrast, l</w:t>
      </w:r>
      <w:r>
        <w:rPr>
          <w:rFonts w:cstheme="minorHAnsi"/>
        </w:rPr>
        <w:t xml:space="preserve">evels of physical activity were </w:t>
      </w:r>
      <w:r w:rsidR="006D53F9">
        <w:rPr>
          <w:rFonts w:cstheme="minorHAnsi"/>
        </w:rPr>
        <w:t xml:space="preserve">higher in women in the control group with 20.2% having </w:t>
      </w:r>
      <w:r w:rsidR="00F27651">
        <w:rPr>
          <w:rFonts w:cstheme="minorHAnsi"/>
        </w:rPr>
        <w:t xml:space="preserve">a </w:t>
      </w:r>
      <w:r w:rsidR="006D53F9">
        <w:rPr>
          <w:rFonts w:cstheme="minorHAnsi"/>
        </w:rPr>
        <w:t>physical activity level</w:t>
      </w:r>
      <w:r w:rsidR="00F27651">
        <w:rPr>
          <w:rFonts w:cstheme="minorHAnsi"/>
        </w:rPr>
        <w:t xml:space="preserve"> of four</w:t>
      </w:r>
      <w:r w:rsidR="00A51762">
        <w:rPr>
          <w:rFonts w:cstheme="minorHAnsi"/>
        </w:rPr>
        <w:t xml:space="preserve"> </w:t>
      </w:r>
      <w:r w:rsidR="006D53F9">
        <w:rPr>
          <w:rFonts w:cstheme="minorHAnsi"/>
        </w:rPr>
        <w:t>compared with only 12.4% of women in the intervention group (P=</w:t>
      </w:r>
      <w:r w:rsidR="00AA2EA4">
        <w:rPr>
          <w:rFonts w:cstheme="minorHAnsi"/>
        </w:rPr>
        <w:t>0</w:t>
      </w:r>
      <w:r w:rsidR="006D53F9">
        <w:rPr>
          <w:rFonts w:cstheme="minorHAnsi"/>
        </w:rPr>
        <w:t>.01 for the trend across levels 1 to 4).</w:t>
      </w:r>
      <w:r w:rsidR="00D877F5">
        <w:rPr>
          <w:rFonts w:cstheme="minorHAnsi"/>
        </w:rPr>
        <w:t xml:space="preserve"> Level</w:t>
      </w:r>
      <w:r w:rsidR="004F480C">
        <w:rPr>
          <w:rFonts w:cstheme="minorHAnsi"/>
        </w:rPr>
        <w:t xml:space="preserve"> of</w:t>
      </w:r>
      <w:r w:rsidR="000E4FB4">
        <w:rPr>
          <w:rFonts w:cstheme="minorHAnsi"/>
        </w:rPr>
        <w:t xml:space="preserve"> </w:t>
      </w:r>
      <w:r w:rsidR="00CE00AE">
        <w:rPr>
          <w:rFonts w:cstheme="minorHAnsi"/>
        </w:rPr>
        <w:t>self-</w:t>
      </w:r>
      <w:r w:rsidR="004F480C">
        <w:rPr>
          <w:rFonts w:cstheme="minorHAnsi"/>
        </w:rPr>
        <w:t>efficacy (general</w:t>
      </w:r>
      <w:r w:rsidR="00DF551C">
        <w:rPr>
          <w:rFonts w:cstheme="minorHAnsi"/>
        </w:rPr>
        <w:t xml:space="preserve"> efficacy</w:t>
      </w:r>
      <w:r w:rsidR="00B663B8">
        <w:rPr>
          <w:rFonts w:cstheme="minorHAnsi"/>
        </w:rPr>
        <w:t xml:space="preserve"> and </w:t>
      </w:r>
      <w:r w:rsidR="00CE00AE">
        <w:rPr>
          <w:rFonts w:cstheme="minorHAnsi"/>
        </w:rPr>
        <w:t xml:space="preserve">specific </w:t>
      </w:r>
      <w:r w:rsidR="004F480C">
        <w:rPr>
          <w:rFonts w:cstheme="minorHAnsi"/>
        </w:rPr>
        <w:t xml:space="preserve">efficacy </w:t>
      </w:r>
      <w:r w:rsidR="00FF6B2C">
        <w:rPr>
          <w:rFonts w:cstheme="minorHAnsi"/>
        </w:rPr>
        <w:t>for healthy eating and physical activity</w:t>
      </w:r>
      <w:r w:rsidR="00F27651">
        <w:rPr>
          <w:rFonts w:cstheme="minorHAnsi"/>
        </w:rPr>
        <w:t>)</w:t>
      </w:r>
      <w:r w:rsidR="008B558E">
        <w:rPr>
          <w:rFonts w:cstheme="minorHAnsi"/>
        </w:rPr>
        <w:t xml:space="preserve"> </w:t>
      </w:r>
      <w:r w:rsidR="00D877F5">
        <w:rPr>
          <w:rFonts w:cstheme="minorHAnsi"/>
        </w:rPr>
        <w:t>were similar in the two groups at baseline</w:t>
      </w:r>
      <w:r w:rsidR="00D33145">
        <w:rPr>
          <w:rFonts w:cstheme="minorHAnsi"/>
        </w:rPr>
        <w:t xml:space="preserve">. </w:t>
      </w:r>
      <w:r w:rsidR="005208FF">
        <w:rPr>
          <w:rFonts w:cstheme="minorHAnsi"/>
        </w:rPr>
        <w:t>S</w:t>
      </w:r>
      <w:r w:rsidR="000E4FB4">
        <w:rPr>
          <w:rFonts w:cstheme="minorHAnsi"/>
        </w:rPr>
        <w:t>ense of control was higher in the Southampton women with a mean score of 27.6</w:t>
      </w:r>
      <w:r w:rsidR="002101ED">
        <w:rPr>
          <w:rFonts w:cstheme="minorHAnsi"/>
        </w:rPr>
        <w:t xml:space="preserve"> (SD</w:t>
      </w:r>
      <w:r w:rsidR="006D53F9">
        <w:rPr>
          <w:rFonts w:cstheme="minorHAnsi"/>
        </w:rPr>
        <w:t xml:space="preserve"> 2.8</w:t>
      </w:r>
      <w:r w:rsidR="002101ED">
        <w:rPr>
          <w:rFonts w:cstheme="minorHAnsi"/>
        </w:rPr>
        <w:t>)</w:t>
      </w:r>
      <w:r w:rsidR="000E4FB4">
        <w:rPr>
          <w:rFonts w:cstheme="minorHAnsi"/>
        </w:rPr>
        <w:t xml:space="preserve"> compared with 27.0</w:t>
      </w:r>
      <w:r w:rsidR="002101ED">
        <w:rPr>
          <w:rFonts w:cstheme="minorHAnsi"/>
        </w:rPr>
        <w:t xml:space="preserve"> (SD</w:t>
      </w:r>
      <w:r w:rsidR="006D53F9">
        <w:rPr>
          <w:rFonts w:cstheme="minorHAnsi"/>
        </w:rPr>
        <w:t xml:space="preserve"> 2.5)</w:t>
      </w:r>
      <w:r w:rsidR="000E4FB4">
        <w:rPr>
          <w:rFonts w:cstheme="minorHAnsi"/>
        </w:rPr>
        <w:t xml:space="preserve"> in Gosport and Havant.</w:t>
      </w:r>
      <w:r w:rsidR="001F3F9D">
        <w:rPr>
          <w:rFonts w:cstheme="minorHAnsi"/>
        </w:rPr>
        <w:t xml:space="preserve"> </w:t>
      </w:r>
    </w:p>
    <w:p w:rsidR="00472587" w:rsidRDefault="00472587" w:rsidP="00141E65">
      <w:pPr>
        <w:autoSpaceDE w:val="0"/>
        <w:autoSpaceDN w:val="0"/>
        <w:adjustRightInd w:val="0"/>
        <w:spacing w:after="0" w:line="360" w:lineRule="auto"/>
        <w:rPr>
          <w:rFonts w:cstheme="minorHAnsi"/>
        </w:rPr>
      </w:pPr>
    </w:p>
    <w:p w:rsidR="0065574F" w:rsidRDefault="0065574F" w:rsidP="00141E65">
      <w:pPr>
        <w:autoSpaceDE w:val="0"/>
        <w:autoSpaceDN w:val="0"/>
        <w:adjustRightInd w:val="0"/>
        <w:spacing w:after="0" w:line="360" w:lineRule="auto"/>
        <w:rPr>
          <w:rFonts w:cstheme="minorHAnsi"/>
        </w:rPr>
      </w:pPr>
    </w:p>
    <w:p w:rsidR="00472587" w:rsidRDefault="007F5494" w:rsidP="00141E65">
      <w:pPr>
        <w:autoSpaceDE w:val="0"/>
        <w:autoSpaceDN w:val="0"/>
        <w:adjustRightInd w:val="0"/>
        <w:spacing w:after="0" w:line="360" w:lineRule="auto"/>
        <w:rPr>
          <w:rFonts w:cstheme="minorHAnsi"/>
        </w:rPr>
      </w:pPr>
      <w:r>
        <w:rPr>
          <w:rFonts w:cstheme="minorHAnsi"/>
        </w:rPr>
        <w:lastRenderedPageBreak/>
        <w:t>T</w:t>
      </w:r>
      <w:r w:rsidR="00484161">
        <w:rPr>
          <w:rFonts w:cstheme="minorHAnsi"/>
        </w:rPr>
        <w:t xml:space="preserve">able </w:t>
      </w:r>
      <w:r>
        <w:rPr>
          <w:rFonts w:cstheme="minorHAnsi"/>
        </w:rPr>
        <w:t>2</w:t>
      </w:r>
      <w:r w:rsidR="00C31457">
        <w:rPr>
          <w:rFonts w:cstheme="minorHAnsi"/>
        </w:rPr>
        <w:t xml:space="preserve"> </w:t>
      </w:r>
      <w:r w:rsidR="00484161">
        <w:rPr>
          <w:rFonts w:cstheme="minorHAnsi"/>
        </w:rPr>
        <w:t>compares</w:t>
      </w:r>
      <w:r w:rsidR="00886529">
        <w:rPr>
          <w:rFonts w:cstheme="minorHAnsi"/>
        </w:rPr>
        <w:t xml:space="preserve"> </w:t>
      </w:r>
      <w:r w:rsidR="00DF551C">
        <w:rPr>
          <w:rFonts w:cstheme="minorHAnsi"/>
        </w:rPr>
        <w:t xml:space="preserve">levels of the main </w:t>
      </w:r>
      <w:r w:rsidR="0089563E">
        <w:rPr>
          <w:rFonts w:cstheme="minorHAnsi"/>
        </w:rPr>
        <w:t xml:space="preserve">and intermediate </w:t>
      </w:r>
      <w:r w:rsidR="00DF551C">
        <w:rPr>
          <w:rFonts w:cstheme="minorHAnsi"/>
        </w:rPr>
        <w:t>outcomes</w:t>
      </w:r>
      <w:r w:rsidR="00CE00AE">
        <w:rPr>
          <w:rFonts w:cstheme="minorHAnsi"/>
        </w:rPr>
        <w:t xml:space="preserve"> (dietary quality, </w:t>
      </w:r>
      <w:r w:rsidR="00B45EB7">
        <w:rPr>
          <w:rFonts w:cstheme="minorHAnsi"/>
        </w:rPr>
        <w:t xml:space="preserve">physical activity, </w:t>
      </w:r>
      <w:r w:rsidR="00CE00AE">
        <w:rPr>
          <w:rFonts w:cstheme="minorHAnsi"/>
        </w:rPr>
        <w:t>self-</w:t>
      </w:r>
      <w:r w:rsidR="00B45EB7">
        <w:rPr>
          <w:rFonts w:cstheme="minorHAnsi"/>
        </w:rPr>
        <w:t xml:space="preserve">efficacy and </w:t>
      </w:r>
      <w:r w:rsidR="0062407E">
        <w:rPr>
          <w:rFonts w:cstheme="minorHAnsi"/>
        </w:rPr>
        <w:t xml:space="preserve">sense </w:t>
      </w:r>
      <w:r w:rsidR="00B45EB7">
        <w:rPr>
          <w:rFonts w:cstheme="minorHAnsi"/>
        </w:rPr>
        <w:t>of control</w:t>
      </w:r>
      <w:r w:rsidR="0062407E">
        <w:rPr>
          <w:rFonts w:cstheme="minorHAnsi"/>
        </w:rPr>
        <w:t>)</w:t>
      </w:r>
      <w:r w:rsidR="00DF551C">
        <w:rPr>
          <w:rFonts w:cstheme="minorHAnsi"/>
        </w:rPr>
        <w:t xml:space="preserve"> at baseline and follow</w:t>
      </w:r>
      <w:r w:rsidR="00A432BE">
        <w:rPr>
          <w:rFonts w:cstheme="minorHAnsi"/>
        </w:rPr>
        <w:t>-</w:t>
      </w:r>
      <w:r w:rsidR="00DF551C">
        <w:rPr>
          <w:rFonts w:cstheme="minorHAnsi"/>
        </w:rPr>
        <w:t xml:space="preserve">up in the intervention and control groups. </w:t>
      </w:r>
    </w:p>
    <w:p w:rsidR="00472587" w:rsidRDefault="00472587" w:rsidP="00141E65">
      <w:pPr>
        <w:autoSpaceDE w:val="0"/>
        <w:autoSpaceDN w:val="0"/>
        <w:adjustRightInd w:val="0"/>
        <w:spacing w:after="0" w:line="360" w:lineRule="auto"/>
        <w:rPr>
          <w:rFonts w:cstheme="minorHAnsi"/>
        </w:rPr>
      </w:pPr>
    </w:p>
    <w:p w:rsidR="00472587" w:rsidRPr="00C27D51" w:rsidRDefault="00472587" w:rsidP="00C27D51">
      <w:pPr>
        <w:rPr>
          <w:b/>
        </w:rPr>
      </w:pPr>
      <w:r>
        <w:rPr>
          <w:b/>
        </w:rPr>
        <w:t>Table 2</w:t>
      </w:r>
      <w:r w:rsidRPr="00D0277A">
        <w:rPr>
          <w:b/>
        </w:rPr>
        <w:t>.  Comparison of outcome variables at baseline and follow-up and assessment of the difference at</w:t>
      </w:r>
      <w:r>
        <w:rPr>
          <w:b/>
        </w:rPr>
        <w:t xml:space="preserve"> follow-up between the two groups</w:t>
      </w:r>
      <w:r w:rsidRPr="00D0277A">
        <w:rPr>
          <w:b/>
        </w:rPr>
        <w:t xml:space="preserve"> adjusting for the baseline levels</w:t>
      </w:r>
    </w:p>
    <w:tbl>
      <w:tblPr>
        <w:tblpPr w:leftFromText="180" w:rightFromText="180" w:vertAnchor="text" w:horzAnchor="margin" w:tblpXSpec="center" w:tblpY="330"/>
        <w:tblW w:w="10881" w:type="dxa"/>
        <w:tblLook w:val="04A0" w:firstRow="1" w:lastRow="0" w:firstColumn="1" w:lastColumn="0" w:noHBand="0" w:noVBand="1"/>
      </w:tblPr>
      <w:tblGrid>
        <w:gridCol w:w="2008"/>
        <w:gridCol w:w="1004"/>
        <w:gridCol w:w="1035"/>
        <w:gridCol w:w="873"/>
        <w:gridCol w:w="1171"/>
        <w:gridCol w:w="1036"/>
        <w:gridCol w:w="873"/>
        <w:gridCol w:w="1889"/>
        <w:gridCol w:w="992"/>
      </w:tblGrid>
      <w:tr w:rsidR="00472587" w:rsidRPr="00457FEC" w:rsidTr="004A48CC">
        <w:trPr>
          <w:trHeight w:val="279"/>
        </w:trPr>
        <w:tc>
          <w:tcPr>
            <w:tcW w:w="2008" w:type="dxa"/>
            <w:tcBorders>
              <w:top w:val="single" w:sz="4" w:space="0" w:color="auto"/>
              <w:left w:val="nil"/>
              <w:bottom w:val="nil"/>
              <w:right w:val="nil"/>
            </w:tcBorders>
            <w:shd w:val="clear" w:color="auto" w:fill="auto"/>
            <w:noWrap/>
            <w:vAlign w:val="bottom"/>
            <w:hideMark/>
          </w:tcPr>
          <w:p w:rsidR="00472587" w:rsidRPr="00B2538B" w:rsidRDefault="00472587" w:rsidP="004A48CC">
            <w:pPr>
              <w:spacing w:after="0"/>
              <w:rPr>
                <w:rFonts w:cstheme="minorHAnsi"/>
                <w:b/>
                <w:color w:val="000000"/>
                <w:sz w:val="20"/>
                <w:szCs w:val="20"/>
              </w:rPr>
            </w:pPr>
          </w:p>
        </w:tc>
        <w:tc>
          <w:tcPr>
            <w:tcW w:w="2039" w:type="dxa"/>
            <w:gridSpan w:val="2"/>
            <w:tcBorders>
              <w:top w:val="single" w:sz="4" w:space="0" w:color="auto"/>
              <w:left w:val="nil"/>
              <w:bottom w:val="nil"/>
              <w:right w:val="nil"/>
            </w:tcBorders>
            <w:shd w:val="clear" w:color="auto" w:fill="auto"/>
            <w:noWrap/>
            <w:vAlign w:val="center"/>
            <w:hideMark/>
          </w:tcPr>
          <w:p w:rsidR="00472587" w:rsidRPr="00B2538B" w:rsidRDefault="00472587" w:rsidP="004A48CC">
            <w:pPr>
              <w:spacing w:after="0"/>
              <w:jc w:val="center"/>
              <w:rPr>
                <w:rFonts w:cstheme="minorHAnsi"/>
                <w:b/>
                <w:color w:val="000000"/>
                <w:sz w:val="20"/>
                <w:szCs w:val="20"/>
              </w:rPr>
            </w:pPr>
            <w:r w:rsidRPr="00B2538B">
              <w:rPr>
                <w:rFonts w:cstheme="minorHAnsi"/>
                <w:b/>
                <w:color w:val="000000"/>
                <w:sz w:val="20"/>
                <w:szCs w:val="20"/>
              </w:rPr>
              <w:t>Control</w:t>
            </w:r>
          </w:p>
        </w:tc>
        <w:tc>
          <w:tcPr>
            <w:tcW w:w="873" w:type="dxa"/>
            <w:tcBorders>
              <w:top w:val="single" w:sz="4" w:space="0" w:color="auto"/>
              <w:left w:val="nil"/>
              <w:bottom w:val="nil"/>
              <w:right w:val="nil"/>
            </w:tcBorders>
            <w:vAlign w:val="center"/>
          </w:tcPr>
          <w:p w:rsidR="00472587" w:rsidRPr="00B2538B" w:rsidRDefault="001203D4" w:rsidP="004A48CC">
            <w:pPr>
              <w:spacing w:after="0"/>
              <w:jc w:val="center"/>
              <w:rPr>
                <w:rFonts w:cstheme="minorHAnsi"/>
                <w:b/>
                <w:color w:val="000000"/>
                <w:sz w:val="20"/>
                <w:szCs w:val="20"/>
              </w:rPr>
            </w:pPr>
            <w:r w:rsidRPr="001203D4">
              <w:rPr>
                <w:rFonts w:cstheme="minorHAnsi"/>
                <w:b/>
                <w:i/>
                <w:color w:val="000000"/>
                <w:sz w:val="20"/>
                <w:szCs w:val="20"/>
              </w:rPr>
              <w:t>P</w:t>
            </w:r>
            <w:r w:rsidR="00472587">
              <w:rPr>
                <w:rFonts w:cstheme="minorHAnsi"/>
                <w:b/>
                <w:color w:val="000000"/>
                <w:sz w:val="20"/>
                <w:szCs w:val="20"/>
              </w:rPr>
              <w:t>-</w:t>
            </w:r>
          </w:p>
        </w:tc>
        <w:tc>
          <w:tcPr>
            <w:tcW w:w="2207" w:type="dxa"/>
            <w:gridSpan w:val="2"/>
            <w:tcBorders>
              <w:top w:val="single" w:sz="4" w:space="0" w:color="auto"/>
              <w:left w:val="nil"/>
              <w:bottom w:val="nil"/>
              <w:right w:val="nil"/>
            </w:tcBorders>
            <w:shd w:val="clear" w:color="auto" w:fill="auto"/>
            <w:noWrap/>
            <w:vAlign w:val="center"/>
            <w:hideMark/>
          </w:tcPr>
          <w:p w:rsidR="00472587" w:rsidRPr="00B2538B" w:rsidRDefault="00472587" w:rsidP="004A48CC">
            <w:pPr>
              <w:spacing w:after="0"/>
              <w:jc w:val="center"/>
              <w:rPr>
                <w:rFonts w:cstheme="minorHAnsi"/>
                <w:b/>
                <w:color w:val="000000"/>
                <w:sz w:val="20"/>
                <w:szCs w:val="20"/>
              </w:rPr>
            </w:pPr>
            <w:r w:rsidRPr="00B2538B">
              <w:rPr>
                <w:rFonts w:cstheme="minorHAnsi"/>
                <w:b/>
                <w:color w:val="000000"/>
                <w:sz w:val="20"/>
                <w:szCs w:val="20"/>
              </w:rPr>
              <w:t>Intervention</w:t>
            </w:r>
          </w:p>
        </w:tc>
        <w:tc>
          <w:tcPr>
            <w:tcW w:w="873" w:type="dxa"/>
            <w:tcBorders>
              <w:top w:val="single" w:sz="4" w:space="0" w:color="auto"/>
              <w:left w:val="nil"/>
              <w:bottom w:val="nil"/>
              <w:right w:val="nil"/>
            </w:tcBorders>
            <w:vAlign w:val="center"/>
          </w:tcPr>
          <w:p w:rsidR="00472587" w:rsidRPr="00B2538B" w:rsidRDefault="001203D4" w:rsidP="004A48CC">
            <w:pPr>
              <w:spacing w:after="0"/>
              <w:jc w:val="center"/>
              <w:rPr>
                <w:rFonts w:cstheme="minorHAnsi"/>
                <w:b/>
                <w:color w:val="000000"/>
                <w:sz w:val="20"/>
                <w:szCs w:val="20"/>
              </w:rPr>
            </w:pPr>
            <w:r w:rsidRPr="001203D4">
              <w:rPr>
                <w:rFonts w:cstheme="minorHAnsi"/>
                <w:b/>
                <w:i/>
                <w:color w:val="000000"/>
                <w:sz w:val="20"/>
                <w:szCs w:val="20"/>
              </w:rPr>
              <w:t>P</w:t>
            </w:r>
            <w:r w:rsidR="00472587">
              <w:rPr>
                <w:rFonts w:cstheme="minorHAnsi"/>
                <w:b/>
                <w:color w:val="000000"/>
                <w:sz w:val="20"/>
                <w:szCs w:val="20"/>
              </w:rPr>
              <w:t>-</w:t>
            </w:r>
          </w:p>
        </w:tc>
        <w:tc>
          <w:tcPr>
            <w:tcW w:w="1889" w:type="dxa"/>
            <w:tcBorders>
              <w:top w:val="single" w:sz="4" w:space="0" w:color="auto"/>
              <w:left w:val="nil"/>
              <w:bottom w:val="nil"/>
              <w:right w:val="nil"/>
            </w:tcBorders>
            <w:vAlign w:val="center"/>
          </w:tcPr>
          <w:p w:rsidR="00472587" w:rsidRPr="00B2538B" w:rsidRDefault="00472587" w:rsidP="004A48CC">
            <w:pPr>
              <w:spacing w:after="0"/>
              <w:jc w:val="center"/>
              <w:rPr>
                <w:rFonts w:cstheme="minorHAnsi"/>
                <w:b/>
                <w:color w:val="000000"/>
                <w:sz w:val="20"/>
                <w:szCs w:val="20"/>
              </w:rPr>
            </w:pPr>
            <w:r w:rsidRPr="00B2538B">
              <w:rPr>
                <w:rFonts w:cstheme="minorHAnsi"/>
                <w:b/>
                <w:color w:val="000000"/>
                <w:sz w:val="20"/>
                <w:szCs w:val="20"/>
              </w:rPr>
              <w:t>Adjusted difference</w:t>
            </w:r>
            <w:r>
              <w:rPr>
                <w:rFonts w:cstheme="minorHAnsi"/>
                <w:b/>
                <w:color w:val="000000"/>
                <w:sz w:val="20"/>
                <w:szCs w:val="20"/>
              </w:rPr>
              <w:t xml:space="preserve"> or </w:t>
            </w:r>
            <w:r w:rsidR="005E63FB">
              <w:rPr>
                <w:rFonts w:cstheme="minorHAnsi"/>
                <w:b/>
                <w:color w:val="000000"/>
                <w:sz w:val="20"/>
                <w:szCs w:val="20"/>
              </w:rPr>
              <w:t>relative</w:t>
            </w:r>
            <w:r>
              <w:rPr>
                <w:rFonts w:cstheme="minorHAnsi"/>
                <w:b/>
                <w:color w:val="000000"/>
                <w:sz w:val="20"/>
                <w:szCs w:val="20"/>
              </w:rPr>
              <w:t xml:space="preserve"> ratio</w:t>
            </w:r>
          </w:p>
        </w:tc>
        <w:tc>
          <w:tcPr>
            <w:tcW w:w="992" w:type="dxa"/>
            <w:tcBorders>
              <w:top w:val="single" w:sz="4" w:space="0" w:color="auto"/>
              <w:left w:val="nil"/>
              <w:bottom w:val="nil"/>
              <w:right w:val="nil"/>
            </w:tcBorders>
            <w:vAlign w:val="center"/>
          </w:tcPr>
          <w:p w:rsidR="00472587" w:rsidRPr="00B2538B" w:rsidRDefault="001203D4" w:rsidP="004A48CC">
            <w:pPr>
              <w:spacing w:after="0"/>
              <w:jc w:val="center"/>
              <w:rPr>
                <w:rFonts w:cstheme="minorHAnsi"/>
                <w:b/>
                <w:color w:val="000000"/>
                <w:sz w:val="20"/>
                <w:szCs w:val="20"/>
              </w:rPr>
            </w:pPr>
            <w:r w:rsidRPr="001203D4">
              <w:rPr>
                <w:rFonts w:cstheme="minorHAnsi"/>
                <w:b/>
                <w:i/>
                <w:color w:val="000000"/>
                <w:sz w:val="20"/>
                <w:szCs w:val="20"/>
              </w:rPr>
              <w:t>P</w:t>
            </w:r>
            <w:r w:rsidR="00472587" w:rsidRPr="00B2538B">
              <w:rPr>
                <w:rFonts w:cstheme="minorHAnsi"/>
                <w:b/>
                <w:color w:val="000000"/>
                <w:sz w:val="20"/>
                <w:szCs w:val="20"/>
              </w:rPr>
              <w:t>-</w:t>
            </w:r>
          </w:p>
        </w:tc>
      </w:tr>
      <w:tr w:rsidR="00472587" w:rsidRPr="00457FEC" w:rsidTr="004A48CC">
        <w:trPr>
          <w:trHeight w:val="279"/>
        </w:trPr>
        <w:tc>
          <w:tcPr>
            <w:tcW w:w="2008" w:type="dxa"/>
            <w:tcBorders>
              <w:top w:val="nil"/>
              <w:left w:val="nil"/>
              <w:bottom w:val="single" w:sz="4" w:space="0" w:color="auto"/>
              <w:right w:val="nil"/>
            </w:tcBorders>
            <w:shd w:val="clear" w:color="auto" w:fill="auto"/>
            <w:noWrap/>
            <w:vAlign w:val="bottom"/>
            <w:hideMark/>
          </w:tcPr>
          <w:p w:rsidR="00472587" w:rsidRPr="00B2538B" w:rsidRDefault="00472587" w:rsidP="004A48CC">
            <w:pPr>
              <w:spacing w:after="0"/>
              <w:rPr>
                <w:rFonts w:cstheme="minorHAnsi"/>
                <w:b/>
                <w:color w:val="000000"/>
                <w:sz w:val="20"/>
                <w:szCs w:val="20"/>
              </w:rPr>
            </w:pPr>
          </w:p>
        </w:tc>
        <w:tc>
          <w:tcPr>
            <w:tcW w:w="1004" w:type="dxa"/>
            <w:tcBorders>
              <w:top w:val="nil"/>
              <w:left w:val="nil"/>
              <w:bottom w:val="single" w:sz="4" w:space="0" w:color="auto"/>
              <w:right w:val="nil"/>
            </w:tcBorders>
            <w:shd w:val="clear" w:color="auto" w:fill="auto"/>
            <w:noWrap/>
            <w:vAlign w:val="center"/>
            <w:hideMark/>
          </w:tcPr>
          <w:p w:rsidR="00472587" w:rsidRPr="00B2538B" w:rsidRDefault="00472587" w:rsidP="004A48CC">
            <w:pPr>
              <w:spacing w:after="0"/>
              <w:jc w:val="center"/>
              <w:rPr>
                <w:rFonts w:cstheme="minorHAnsi"/>
                <w:b/>
                <w:color w:val="000000"/>
                <w:sz w:val="20"/>
                <w:szCs w:val="20"/>
              </w:rPr>
            </w:pPr>
            <w:r w:rsidRPr="00B2538B">
              <w:rPr>
                <w:rFonts w:cstheme="minorHAnsi"/>
                <w:b/>
                <w:color w:val="000000"/>
                <w:sz w:val="20"/>
                <w:szCs w:val="20"/>
              </w:rPr>
              <w:t>Baseline</w:t>
            </w:r>
          </w:p>
        </w:tc>
        <w:tc>
          <w:tcPr>
            <w:tcW w:w="1035" w:type="dxa"/>
            <w:tcBorders>
              <w:top w:val="nil"/>
              <w:left w:val="nil"/>
              <w:bottom w:val="single" w:sz="4" w:space="0" w:color="auto"/>
              <w:right w:val="nil"/>
            </w:tcBorders>
            <w:shd w:val="clear" w:color="auto" w:fill="auto"/>
            <w:noWrap/>
            <w:vAlign w:val="center"/>
            <w:hideMark/>
          </w:tcPr>
          <w:p w:rsidR="00472587" w:rsidRPr="00B2538B" w:rsidRDefault="00472587" w:rsidP="004A48CC">
            <w:pPr>
              <w:spacing w:after="0"/>
              <w:jc w:val="center"/>
              <w:rPr>
                <w:rFonts w:cstheme="minorHAnsi"/>
                <w:b/>
                <w:color w:val="000000"/>
                <w:sz w:val="20"/>
                <w:szCs w:val="20"/>
              </w:rPr>
            </w:pPr>
            <w:r w:rsidRPr="00B2538B">
              <w:rPr>
                <w:rFonts w:cstheme="minorHAnsi"/>
                <w:b/>
                <w:color w:val="000000"/>
                <w:sz w:val="20"/>
                <w:szCs w:val="20"/>
              </w:rPr>
              <w:t>Follow-up</w:t>
            </w:r>
          </w:p>
        </w:tc>
        <w:tc>
          <w:tcPr>
            <w:tcW w:w="873" w:type="dxa"/>
            <w:tcBorders>
              <w:top w:val="nil"/>
              <w:left w:val="nil"/>
              <w:bottom w:val="single" w:sz="4" w:space="0" w:color="auto"/>
              <w:right w:val="nil"/>
            </w:tcBorders>
            <w:vAlign w:val="center"/>
          </w:tcPr>
          <w:p w:rsidR="00472587" w:rsidRPr="00B2538B" w:rsidRDefault="00472587" w:rsidP="004A48CC">
            <w:pPr>
              <w:spacing w:after="0"/>
              <w:jc w:val="center"/>
              <w:rPr>
                <w:rFonts w:cstheme="minorHAnsi"/>
                <w:b/>
                <w:color w:val="000000"/>
                <w:sz w:val="20"/>
                <w:szCs w:val="20"/>
              </w:rPr>
            </w:pPr>
            <w:r>
              <w:rPr>
                <w:rFonts w:cstheme="minorHAnsi"/>
                <w:b/>
                <w:color w:val="000000"/>
                <w:sz w:val="20"/>
                <w:szCs w:val="20"/>
              </w:rPr>
              <w:t>value</w:t>
            </w:r>
            <w:r w:rsidRPr="000915B0">
              <w:rPr>
                <w:rFonts w:cstheme="minorHAnsi"/>
                <w:b/>
                <w:color w:val="000000"/>
                <w:sz w:val="20"/>
                <w:szCs w:val="20"/>
                <w:vertAlign w:val="superscript"/>
              </w:rPr>
              <w:t>†</w:t>
            </w:r>
          </w:p>
        </w:tc>
        <w:tc>
          <w:tcPr>
            <w:tcW w:w="1171" w:type="dxa"/>
            <w:tcBorders>
              <w:top w:val="nil"/>
              <w:left w:val="nil"/>
              <w:bottom w:val="single" w:sz="4" w:space="0" w:color="auto"/>
              <w:right w:val="nil"/>
            </w:tcBorders>
            <w:shd w:val="clear" w:color="auto" w:fill="auto"/>
            <w:noWrap/>
            <w:vAlign w:val="center"/>
            <w:hideMark/>
          </w:tcPr>
          <w:p w:rsidR="00472587" w:rsidRPr="00B2538B" w:rsidRDefault="00472587" w:rsidP="004A48CC">
            <w:pPr>
              <w:spacing w:after="0"/>
              <w:jc w:val="center"/>
              <w:rPr>
                <w:rFonts w:cstheme="minorHAnsi"/>
                <w:b/>
                <w:color w:val="000000"/>
                <w:sz w:val="20"/>
                <w:szCs w:val="20"/>
              </w:rPr>
            </w:pPr>
            <w:r w:rsidRPr="00B2538B">
              <w:rPr>
                <w:rFonts w:cstheme="minorHAnsi"/>
                <w:b/>
                <w:color w:val="000000"/>
                <w:sz w:val="20"/>
                <w:szCs w:val="20"/>
              </w:rPr>
              <w:t>Baseline</w:t>
            </w:r>
          </w:p>
        </w:tc>
        <w:tc>
          <w:tcPr>
            <w:tcW w:w="1036" w:type="dxa"/>
            <w:tcBorders>
              <w:top w:val="nil"/>
              <w:left w:val="nil"/>
              <w:bottom w:val="single" w:sz="4" w:space="0" w:color="auto"/>
              <w:right w:val="nil"/>
            </w:tcBorders>
            <w:shd w:val="clear" w:color="auto" w:fill="auto"/>
            <w:noWrap/>
            <w:vAlign w:val="center"/>
            <w:hideMark/>
          </w:tcPr>
          <w:p w:rsidR="00472587" w:rsidRPr="00B2538B" w:rsidRDefault="00472587" w:rsidP="004A48CC">
            <w:pPr>
              <w:spacing w:after="0"/>
              <w:jc w:val="center"/>
              <w:rPr>
                <w:rFonts w:cstheme="minorHAnsi"/>
                <w:b/>
                <w:color w:val="000000"/>
                <w:sz w:val="20"/>
                <w:szCs w:val="20"/>
              </w:rPr>
            </w:pPr>
            <w:r w:rsidRPr="00B2538B">
              <w:rPr>
                <w:rFonts w:cstheme="minorHAnsi"/>
                <w:b/>
                <w:color w:val="000000"/>
                <w:sz w:val="20"/>
                <w:szCs w:val="20"/>
              </w:rPr>
              <w:t>Follow-up</w:t>
            </w:r>
          </w:p>
        </w:tc>
        <w:tc>
          <w:tcPr>
            <w:tcW w:w="873" w:type="dxa"/>
            <w:tcBorders>
              <w:top w:val="nil"/>
              <w:left w:val="nil"/>
              <w:bottom w:val="single" w:sz="4" w:space="0" w:color="auto"/>
              <w:right w:val="nil"/>
            </w:tcBorders>
            <w:vAlign w:val="center"/>
          </w:tcPr>
          <w:p w:rsidR="00472587" w:rsidRPr="00B2538B" w:rsidRDefault="00472587" w:rsidP="004A48CC">
            <w:pPr>
              <w:spacing w:after="0"/>
              <w:jc w:val="center"/>
              <w:rPr>
                <w:rFonts w:cstheme="minorHAnsi"/>
                <w:b/>
                <w:color w:val="000000"/>
                <w:sz w:val="20"/>
                <w:szCs w:val="20"/>
              </w:rPr>
            </w:pPr>
            <w:r>
              <w:rPr>
                <w:rFonts w:cstheme="minorHAnsi"/>
                <w:b/>
                <w:color w:val="000000"/>
                <w:sz w:val="20"/>
                <w:szCs w:val="20"/>
              </w:rPr>
              <w:t>value</w:t>
            </w:r>
            <w:r w:rsidRPr="000915B0">
              <w:rPr>
                <w:rFonts w:cstheme="minorHAnsi"/>
                <w:b/>
                <w:color w:val="000000"/>
                <w:sz w:val="20"/>
                <w:szCs w:val="20"/>
                <w:vertAlign w:val="superscript"/>
              </w:rPr>
              <w:t>†</w:t>
            </w:r>
          </w:p>
        </w:tc>
        <w:tc>
          <w:tcPr>
            <w:tcW w:w="1889" w:type="dxa"/>
            <w:tcBorders>
              <w:top w:val="nil"/>
              <w:left w:val="nil"/>
              <w:bottom w:val="single" w:sz="4" w:space="0" w:color="auto"/>
              <w:right w:val="nil"/>
            </w:tcBorders>
            <w:vAlign w:val="center"/>
          </w:tcPr>
          <w:p w:rsidR="00472587" w:rsidRPr="00B2538B" w:rsidRDefault="00472587" w:rsidP="004A48CC">
            <w:pPr>
              <w:spacing w:after="0"/>
              <w:rPr>
                <w:rFonts w:cstheme="minorHAnsi"/>
                <w:b/>
                <w:color w:val="000000"/>
                <w:sz w:val="20"/>
                <w:szCs w:val="20"/>
              </w:rPr>
            </w:pPr>
            <w:r>
              <w:rPr>
                <w:rFonts w:cstheme="minorHAnsi"/>
                <w:b/>
                <w:color w:val="000000"/>
                <w:sz w:val="20"/>
                <w:szCs w:val="20"/>
              </w:rPr>
              <w:t xml:space="preserve">           </w:t>
            </w:r>
            <w:r w:rsidRPr="00B2538B">
              <w:rPr>
                <w:rFonts w:cstheme="minorHAnsi"/>
                <w:b/>
                <w:color w:val="000000"/>
                <w:sz w:val="20"/>
                <w:szCs w:val="20"/>
              </w:rPr>
              <w:t xml:space="preserve"> (95%CI)*</w:t>
            </w:r>
          </w:p>
        </w:tc>
        <w:tc>
          <w:tcPr>
            <w:tcW w:w="992" w:type="dxa"/>
            <w:tcBorders>
              <w:top w:val="nil"/>
              <w:left w:val="nil"/>
              <w:bottom w:val="single" w:sz="4" w:space="0" w:color="auto"/>
              <w:right w:val="nil"/>
            </w:tcBorders>
            <w:vAlign w:val="center"/>
          </w:tcPr>
          <w:p w:rsidR="00472587" w:rsidRPr="00B2538B" w:rsidRDefault="00472587" w:rsidP="004A48CC">
            <w:pPr>
              <w:spacing w:after="0"/>
              <w:jc w:val="center"/>
              <w:rPr>
                <w:rFonts w:cstheme="minorHAnsi"/>
                <w:b/>
                <w:color w:val="000000"/>
                <w:sz w:val="20"/>
                <w:szCs w:val="20"/>
              </w:rPr>
            </w:pPr>
            <w:r w:rsidRPr="00B2538B">
              <w:rPr>
                <w:rFonts w:cstheme="minorHAnsi"/>
                <w:b/>
                <w:color w:val="000000"/>
                <w:sz w:val="20"/>
                <w:szCs w:val="20"/>
              </w:rPr>
              <w:t>value</w:t>
            </w:r>
          </w:p>
        </w:tc>
      </w:tr>
      <w:tr w:rsidR="00472587" w:rsidRPr="00457FEC" w:rsidTr="004A48CC">
        <w:trPr>
          <w:trHeight w:val="279"/>
        </w:trPr>
        <w:tc>
          <w:tcPr>
            <w:tcW w:w="2008" w:type="dxa"/>
            <w:tcBorders>
              <w:top w:val="single" w:sz="4" w:space="0" w:color="auto"/>
              <w:left w:val="nil"/>
              <w:bottom w:val="nil"/>
              <w:right w:val="nil"/>
            </w:tcBorders>
            <w:shd w:val="clear" w:color="auto" w:fill="auto"/>
            <w:noWrap/>
            <w:vAlign w:val="center"/>
            <w:hideMark/>
          </w:tcPr>
          <w:p w:rsidR="00472587" w:rsidRPr="00B2538B" w:rsidRDefault="00472587" w:rsidP="004A48CC">
            <w:pPr>
              <w:spacing w:after="0"/>
              <w:rPr>
                <w:rFonts w:cstheme="minorHAnsi"/>
                <w:color w:val="000000"/>
                <w:sz w:val="20"/>
                <w:szCs w:val="20"/>
              </w:rPr>
            </w:pPr>
            <w:r w:rsidRPr="00B2538B">
              <w:rPr>
                <w:rFonts w:cstheme="minorHAnsi"/>
                <w:color w:val="000000"/>
                <w:sz w:val="20"/>
                <w:szCs w:val="20"/>
              </w:rPr>
              <w:t>Physical Activity Index  (n(%))  (RR)</w:t>
            </w:r>
          </w:p>
        </w:tc>
        <w:tc>
          <w:tcPr>
            <w:tcW w:w="1004" w:type="dxa"/>
            <w:tcBorders>
              <w:top w:val="single" w:sz="4" w:space="0" w:color="auto"/>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p>
        </w:tc>
        <w:tc>
          <w:tcPr>
            <w:tcW w:w="1035" w:type="dxa"/>
            <w:tcBorders>
              <w:top w:val="single" w:sz="4" w:space="0" w:color="auto"/>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p>
        </w:tc>
        <w:tc>
          <w:tcPr>
            <w:tcW w:w="873" w:type="dxa"/>
            <w:tcBorders>
              <w:top w:val="single" w:sz="4" w:space="0" w:color="auto"/>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0.3</w:t>
            </w:r>
          </w:p>
        </w:tc>
        <w:tc>
          <w:tcPr>
            <w:tcW w:w="1171" w:type="dxa"/>
            <w:tcBorders>
              <w:top w:val="single" w:sz="4" w:space="0" w:color="auto"/>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p>
        </w:tc>
        <w:tc>
          <w:tcPr>
            <w:tcW w:w="1036" w:type="dxa"/>
            <w:tcBorders>
              <w:top w:val="single" w:sz="4" w:space="0" w:color="auto"/>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p>
        </w:tc>
        <w:tc>
          <w:tcPr>
            <w:tcW w:w="873" w:type="dxa"/>
            <w:tcBorders>
              <w:top w:val="single" w:sz="4" w:space="0" w:color="auto"/>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0.002</w:t>
            </w:r>
          </w:p>
        </w:tc>
        <w:tc>
          <w:tcPr>
            <w:tcW w:w="1889" w:type="dxa"/>
            <w:tcBorders>
              <w:top w:val="single" w:sz="4" w:space="0" w:color="auto"/>
              <w:left w:val="nil"/>
              <w:bottom w:val="nil"/>
              <w:right w:val="nil"/>
            </w:tcBorders>
            <w:vAlign w:val="center"/>
          </w:tcPr>
          <w:p w:rsidR="00472587" w:rsidRPr="00B2538B" w:rsidRDefault="00472587" w:rsidP="005E63FB">
            <w:pPr>
              <w:spacing w:after="0"/>
              <w:jc w:val="center"/>
              <w:rPr>
                <w:rFonts w:cstheme="minorHAnsi"/>
                <w:color w:val="000000"/>
                <w:sz w:val="20"/>
                <w:szCs w:val="20"/>
              </w:rPr>
            </w:pPr>
            <w:r>
              <w:rPr>
                <w:rFonts w:cstheme="minorHAnsi"/>
                <w:color w:val="000000"/>
                <w:sz w:val="20"/>
                <w:szCs w:val="20"/>
              </w:rPr>
              <w:t>1.</w:t>
            </w:r>
            <w:r w:rsidR="005E63FB">
              <w:rPr>
                <w:rFonts w:cstheme="minorHAnsi"/>
                <w:color w:val="000000"/>
                <w:sz w:val="20"/>
                <w:szCs w:val="20"/>
              </w:rPr>
              <w:t>17</w:t>
            </w:r>
            <w:r w:rsidRPr="00B2538B">
              <w:rPr>
                <w:rFonts w:cstheme="minorHAnsi"/>
                <w:color w:val="000000"/>
                <w:sz w:val="20"/>
                <w:szCs w:val="20"/>
              </w:rPr>
              <w:t xml:space="preserve"> (0.</w:t>
            </w:r>
            <w:r w:rsidR="005E63FB">
              <w:rPr>
                <w:rFonts w:cstheme="minorHAnsi"/>
                <w:color w:val="000000"/>
                <w:sz w:val="20"/>
                <w:szCs w:val="20"/>
              </w:rPr>
              <w:t>86</w:t>
            </w:r>
            <w:r>
              <w:rPr>
                <w:rFonts w:cstheme="minorHAnsi"/>
                <w:color w:val="000000"/>
                <w:sz w:val="20"/>
                <w:szCs w:val="20"/>
              </w:rPr>
              <w:t>to 1.</w:t>
            </w:r>
            <w:r w:rsidR="005E63FB">
              <w:rPr>
                <w:rFonts w:cstheme="minorHAnsi"/>
                <w:color w:val="000000"/>
                <w:sz w:val="20"/>
                <w:szCs w:val="20"/>
              </w:rPr>
              <w:t>60</w:t>
            </w:r>
            <w:r w:rsidRPr="00B2538B">
              <w:rPr>
                <w:rFonts w:cstheme="minorHAnsi"/>
                <w:color w:val="000000"/>
                <w:sz w:val="20"/>
                <w:szCs w:val="20"/>
              </w:rPr>
              <w:t>)</w:t>
            </w:r>
          </w:p>
        </w:tc>
        <w:tc>
          <w:tcPr>
            <w:tcW w:w="992" w:type="dxa"/>
            <w:tcBorders>
              <w:top w:val="single" w:sz="4" w:space="0" w:color="auto"/>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w:t>
            </w:r>
            <w:r w:rsidR="005E63FB">
              <w:rPr>
                <w:rFonts w:cstheme="minorHAnsi"/>
                <w:color w:val="000000"/>
                <w:sz w:val="20"/>
                <w:szCs w:val="20"/>
              </w:rPr>
              <w:t>3</w:t>
            </w:r>
          </w:p>
        </w:tc>
      </w:tr>
      <w:tr w:rsidR="00472587" w:rsidRPr="00457FEC" w:rsidTr="004A48CC">
        <w:trPr>
          <w:trHeight w:val="279"/>
        </w:trPr>
        <w:tc>
          <w:tcPr>
            <w:tcW w:w="2008" w:type="dxa"/>
            <w:tcBorders>
              <w:top w:val="nil"/>
              <w:left w:val="nil"/>
              <w:bottom w:val="nil"/>
              <w:right w:val="nil"/>
            </w:tcBorders>
            <w:shd w:val="clear" w:color="auto" w:fill="auto"/>
            <w:noWrap/>
            <w:vAlign w:val="center"/>
            <w:hideMark/>
          </w:tcPr>
          <w:p w:rsidR="00472587" w:rsidRPr="00B2538B" w:rsidRDefault="00472587" w:rsidP="004A48CC">
            <w:pPr>
              <w:spacing w:after="0"/>
              <w:rPr>
                <w:rFonts w:cstheme="minorHAnsi"/>
                <w:color w:val="000000"/>
                <w:sz w:val="20"/>
                <w:szCs w:val="20"/>
              </w:rPr>
            </w:pPr>
            <w:r w:rsidRPr="00B2538B">
              <w:rPr>
                <w:rFonts w:cstheme="minorHAnsi"/>
                <w:color w:val="000000"/>
                <w:sz w:val="20"/>
                <w:szCs w:val="20"/>
              </w:rPr>
              <w:t>Level 1</w:t>
            </w:r>
          </w:p>
        </w:tc>
        <w:tc>
          <w:tcPr>
            <w:tcW w:w="1004"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93 (38.3)</w:t>
            </w:r>
          </w:p>
        </w:tc>
        <w:tc>
          <w:tcPr>
            <w:tcW w:w="1035"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89 (36.6)</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1171"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130 (48.9)</w:t>
            </w:r>
          </w:p>
        </w:tc>
        <w:tc>
          <w:tcPr>
            <w:tcW w:w="1036"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105 (39.5)</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1889"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992"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r>
      <w:tr w:rsidR="00472587" w:rsidRPr="00457FEC" w:rsidTr="004A48CC">
        <w:trPr>
          <w:trHeight w:val="279"/>
        </w:trPr>
        <w:tc>
          <w:tcPr>
            <w:tcW w:w="2008" w:type="dxa"/>
            <w:tcBorders>
              <w:top w:val="nil"/>
              <w:left w:val="nil"/>
              <w:bottom w:val="nil"/>
              <w:right w:val="nil"/>
            </w:tcBorders>
            <w:shd w:val="clear" w:color="auto" w:fill="auto"/>
            <w:noWrap/>
            <w:vAlign w:val="center"/>
            <w:hideMark/>
          </w:tcPr>
          <w:p w:rsidR="00472587" w:rsidRPr="00B2538B" w:rsidRDefault="00472587" w:rsidP="004A48CC">
            <w:pPr>
              <w:spacing w:after="0"/>
              <w:rPr>
                <w:rFonts w:cstheme="minorHAnsi"/>
                <w:color w:val="000000"/>
                <w:sz w:val="20"/>
                <w:szCs w:val="20"/>
              </w:rPr>
            </w:pPr>
            <w:r w:rsidRPr="00B2538B">
              <w:rPr>
                <w:rFonts w:cstheme="minorHAnsi"/>
                <w:color w:val="000000"/>
                <w:sz w:val="20"/>
                <w:szCs w:val="20"/>
              </w:rPr>
              <w:t>Level 2</w:t>
            </w:r>
          </w:p>
        </w:tc>
        <w:tc>
          <w:tcPr>
            <w:tcW w:w="1004"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48 (19.8)</w:t>
            </w:r>
          </w:p>
        </w:tc>
        <w:tc>
          <w:tcPr>
            <w:tcW w:w="1035"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36 (14.8)</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1171"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41 (15.4)</w:t>
            </w:r>
          </w:p>
        </w:tc>
        <w:tc>
          <w:tcPr>
            <w:tcW w:w="1036"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49 (18.4)</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1889"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992"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r>
      <w:tr w:rsidR="00472587" w:rsidRPr="00457FEC" w:rsidTr="004A48CC">
        <w:trPr>
          <w:trHeight w:val="279"/>
        </w:trPr>
        <w:tc>
          <w:tcPr>
            <w:tcW w:w="2008" w:type="dxa"/>
            <w:tcBorders>
              <w:top w:val="nil"/>
              <w:left w:val="nil"/>
              <w:bottom w:val="nil"/>
              <w:right w:val="nil"/>
            </w:tcBorders>
            <w:shd w:val="clear" w:color="auto" w:fill="auto"/>
            <w:noWrap/>
            <w:vAlign w:val="center"/>
            <w:hideMark/>
          </w:tcPr>
          <w:p w:rsidR="00472587" w:rsidRPr="00B2538B" w:rsidRDefault="00472587" w:rsidP="004A48CC">
            <w:pPr>
              <w:spacing w:after="0"/>
              <w:rPr>
                <w:rFonts w:cstheme="minorHAnsi"/>
                <w:color w:val="000000"/>
                <w:sz w:val="20"/>
                <w:szCs w:val="20"/>
              </w:rPr>
            </w:pPr>
            <w:r w:rsidRPr="00B2538B">
              <w:rPr>
                <w:rFonts w:cstheme="minorHAnsi"/>
                <w:color w:val="000000"/>
                <w:sz w:val="20"/>
                <w:szCs w:val="20"/>
              </w:rPr>
              <w:t>Level 3</w:t>
            </w:r>
          </w:p>
        </w:tc>
        <w:tc>
          <w:tcPr>
            <w:tcW w:w="1004"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53 (21.8)</w:t>
            </w:r>
          </w:p>
        </w:tc>
        <w:tc>
          <w:tcPr>
            <w:tcW w:w="1035" w:type="dxa"/>
            <w:tcBorders>
              <w:top w:val="nil"/>
              <w:left w:val="nil"/>
              <w:bottom w:val="nil"/>
              <w:right w:val="nil"/>
            </w:tcBorders>
            <w:shd w:val="clear" w:color="auto" w:fill="auto"/>
            <w:noWrap/>
            <w:vAlign w:val="center"/>
            <w:hideMark/>
          </w:tcPr>
          <w:p w:rsidR="00472587" w:rsidRPr="00B2538B" w:rsidRDefault="00472587" w:rsidP="005E63FB">
            <w:pPr>
              <w:spacing w:after="0"/>
              <w:jc w:val="center"/>
              <w:rPr>
                <w:rFonts w:cstheme="minorHAnsi"/>
                <w:color w:val="000000"/>
                <w:sz w:val="20"/>
                <w:szCs w:val="20"/>
              </w:rPr>
            </w:pPr>
            <w:r w:rsidRPr="00B2538B">
              <w:rPr>
                <w:rFonts w:cstheme="minorHAnsi"/>
                <w:color w:val="000000"/>
                <w:sz w:val="20"/>
                <w:szCs w:val="20"/>
              </w:rPr>
              <w:t>65 (26.</w:t>
            </w:r>
            <w:r w:rsidR="005E63FB">
              <w:rPr>
                <w:rFonts w:cstheme="minorHAnsi"/>
                <w:color w:val="000000"/>
                <w:sz w:val="20"/>
                <w:szCs w:val="20"/>
              </w:rPr>
              <w:t>8</w:t>
            </w:r>
            <w:r w:rsidRPr="00B2538B">
              <w:rPr>
                <w:rFonts w:cstheme="minorHAnsi"/>
                <w:color w:val="000000"/>
                <w:sz w:val="20"/>
                <w:szCs w:val="20"/>
              </w:rPr>
              <w:t>)</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1171"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62 (23.3)</w:t>
            </w:r>
          </w:p>
        </w:tc>
        <w:tc>
          <w:tcPr>
            <w:tcW w:w="1036"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51 (19.2)</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1889"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992"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r>
      <w:tr w:rsidR="00472587" w:rsidRPr="00457FEC" w:rsidTr="004A48CC">
        <w:trPr>
          <w:trHeight w:val="279"/>
        </w:trPr>
        <w:tc>
          <w:tcPr>
            <w:tcW w:w="2008" w:type="dxa"/>
            <w:tcBorders>
              <w:top w:val="nil"/>
              <w:left w:val="nil"/>
              <w:bottom w:val="nil"/>
              <w:right w:val="nil"/>
            </w:tcBorders>
            <w:shd w:val="clear" w:color="auto" w:fill="auto"/>
            <w:noWrap/>
            <w:vAlign w:val="center"/>
            <w:hideMark/>
          </w:tcPr>
          <w:p w:rsidR="00472587" w:rsidRPr="00B2538B" w:rsidRDefault="00472587" w:rsidP="004A48CC">
            <w:pPr>
              <w:spacing w:after="0"/>
              <w:rPr>
                <w:rFonts w:cstheme="minorHAnsi"/>
                <w:color w:val="000000"/>
                <w:sz w:val="20"/>
                <w:szCs w:val="20"/>
              </w:rPr>
            </w:pPr>
            <w:r w:rsidRPr="00B2538B">
              <w:rPr>
                <w:rFonts w:cstheme="minorHAnsi"/>
                <w:color w:val="000000"/>
                <w:sz w:val="20"/>
                <w:szCs w:val="20"/>
              </w:rPr>
              <w:t>Level 4</w:t>
            </w:r>
          </w:p>
        </w:tc>
        <w:tc>
          <w:tcPr>
            <w:tcW w:w="1004"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49 (20.2)</w:t>
            </w:r>
          </w:p>
        </w:tc>
        <w:tc>
          <w:tcPr>
            <w:tcW w:w="1035"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53 (21.8)</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1171"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33 (12.4)</w:t>
            </w:r>
          </w:p>
        </w:tc>
        <w:tc>
          <w:tcPr>
            <w:tcW w:w="1036"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61 (22.9)</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1889"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c>
          <w:tcPr>
            <w:tcW w:w="992"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p>
        </w:tc>
      </w:tr>
      <w:tr w:rsidR="00472587" w:rsidRPr="00457FEC" w:rsidTr="004A48CC">
        <w:trPr>
          <w:trHeight w:val="279"/>
        </w:trPr>
        <w:tc>
          <w:tcPr>
            <w:tcW w:w="2008" w:type="dxa"/>
            <w:tcBorders>
              <w:top w:val="nil"/>
              <w:left w:val="nil"/>
              <w:bottom w:val="nil"/>
              <w:right w:val="nil"/>
            </w:tcBorders>
            <w:shd w:val="clear" w:color="auto" w:fill="auto"/>
            <w:noWrap/>
            <w:vAlign w:val="center"/>
            <w:hideMark/>
          </w:tcPr>
          <w:p w:rsidR="00472587" w:rsidRPr="00B2538B" w:rsidRDefault="00472587" w:rsidP="004A48CC">
            <w:pPr>
              <w:spacing w:after="0"/>
              <w:rPr>
                <w:rFonts w:cstheme="minorHAnsi"/>
                <w:color w:val="000000"/>
                <w:sz w:val="20"/>
                <w:szCs w:val="20"/>
              </w:rPr>
            </w:pPr>
            <w:r w:rsidRPr="00B2538B">
              <w:rPr>
                <w:rFonts w:cstheme="minorHAnsi"/>
                <w:color w:val="000000"/>
                <w:sz w:val="20"/>
                <w:szCs w:val="20"/>
              </w:rPr>
              <w:t>Prudent diet SD score (mean(SD))</w:t>
            </w:r>
          </w:p>
        </w:tc>
        <w:tc>
          <w:tcPr>
            <w:tcW w:w="1004"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0.0 (0.9)</w:t>
            </w:r>
          </w:p>
        </w:tc>
        <w:tc>
          <w:tcPr>
            <w:tcW w:w="1035"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-0.1 (0.9)</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0.052</w:t>
            </w:r>
          </w:p>
        </w:tc>
        <w:tc>
          <w:tcPr>
            <w:tcW w:w="1171"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0.2 (1.0)</w:t>
            </w:r>
          </w:p>
        </w:tc>
        <w:tc>
          <w:tcPr>
            <w:tcW w:w="1036"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0.1 (1.0)</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0.005</w:t>
            </w:r>
          </w:p>
        </w:tc>
        <w:tc>
          <w:tcPr>
            <w:tcW w:w="1889"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0.00 (-0.11 to 0.12)</w:t>
            </w:r>
          </w:p>
        </w:tc>
        <w:tc>
          <w:tcPr>
            <w:tcW w:w="992"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0.9</w:t>
            </w:r>
          </w:p>
        </w:tc>
      </w:tr>
      <w:tr w:rsidR="00472587" w:rsidRPr="00457FEC" w:rsidTr="004A48CC">
        <w:trPr>
          <w:trHeight w:val="279"/>
        </w:trPr>
        <w:tc>
          <w:tcPr>
            <w:tcW w:w="2008" w:type="dxa"/>
            <w:tcBorders>
              <w:top w:val="nil"/>
              <w:left w:val="nil"/>
              <w:bottom w:val="nil"/>
              <w:right w:val="nil"/>
            </w:tcBorders>
            <w:shd w:val="clear" w:color="auto" w:fill="auto"/>
            <w:noWrap/>
            <w:vAlign w:val="center"/>
            <w:hideMark/>
          </w:tcPr>
          <w:p w:rsidR="00472587" w:rsidRPr="00B2538B" w:rsidRDefault="00472587" w:rsidP="004A48CC">
            <w:pPr>
              <w:spacing w:after="0"/>
              <w:rPr>
                <w:rFonts w:cstheme="minorHAnsi"/>
                <w:color w:val="000000"/>
                <w:sz w:val="20"/>
                <w:szCs w:val="20"/>
              </w:rPr>
            </w:pPr>
            <w:r w:rsidRPr="00B2538B">
              <w:rPr>
                <w:rFonts w:cstheme="minorHAnsi"/>
                <w:color w:val="000000"/>
                <w:sz w:val="20"/>
                <w:szCs w:val="20"/>
              </w:rPr>
              <w:t>General self-efficacy  (mean(SD))</w:t>
            </w:r>
          </w:p>
        </w:tc>
        <w:tc>
          <w:tcPr>
            <w:tcW w:w="1004"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14.9 (1.9)</w:t>
            </w:r>
          </w:p>
        </w:tc>
        <w:tc>
          <w:tcPr>
            <w:tcW w:w="1035"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14.</w:t>
            </w:r>
            <w:r w:rsidR="005E63FB">
              <w:rPr>
                <w:rFonts w:cstheme="minorHAnsi"/>
                <w:color w:val="000000"/>
                <w:sz w:val="20"/>
                <w:szCs w:val="20"/>
              </w:rPr>
              <w:t>2</w:t>
            </w:r>
            <w:r w:rsidRPr="00B2538B">
              <w:rPr>
                <w:rFonts w:cstheme="minorHAnsi"/>
                <w:color w:val="000000"/>
                <w:sz w:val="20"/>
                <w:szCs w:val="20"/>
              </w:rPr>
              <w:t xml:space="preserve"> (1.5)</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&lt;0.001</w:t>
            </w:r>
          </w:p>
        </w:tc>
        <w:tc>
          <w:tcPr>
            <w:tcW w:w="1171"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15.1 (1.7)</w:t>
            </w:r>
          </w:p>
        </w:tc>
        <w:tc>
          <w:tcPr>
            <w:tcW w:w="1036" w:type="dxa"/>
            <w:tcBorders>
              <w:top w:val="nil"/>
              <w:left w:val="nil"/>
              <w:bottom w:val="nil"/>
              <w:right w:val="nil"/>
            </w:tcBorders>
            <w:shd w:val="clear" w:color="auto" w:fill="auto"/>
            <w:noWrap/>
            <w:vAlign w:val="center"/>
            <w:hideMark/>
          </w:tcPr>
          <w:p w:rsidR="00472587" w:rsidRPr="00B2538B" w:rsidRDefault="00472587" w:rsidP="005E63FB">
            <w:pPr>
              <w:spacing w:after="0"/>
              <w:jc w:val="center"/>
              <w:rPr>
                <w:rFonts w:cstheme="minorHAnsi"/>
                <w:color w:val="000000"/>
                <w:sz w:val="20"/>
                <w:szCs w:val="20"/>
              </w:rPr>
            </w:pPr>
            <w:r w:rsidRPr="00B2538B">
              <w:rPr>
                <w:rFonts w:cstheme="minorHAnsi"/>
                <w:color w:val="000000"/>
                <w:sz w:val="20"/>
                <w:szCs w:val="20"/>
              </w:rPr>
              <w:t>14.</w:t>
            </w:r>
            <w:r w:rsidR="005E63FB">
              <w:rPr>
                <w:rFonts w:cstheme="minorHAnsi"/>
                <w:color w:val="000000"/>
                <w:sz w:val="20"/>
                <w:szCs w:val="20"/>
              </w:rPr>
              <w:t>6</w:t>
            </w:r>
            <w:r w:rsidRPr="00B2538B">
              <w:rPr>
                <w:rFonts w:cstheme="minorHAnsi"/>
                <w:color w:val="000000"/>
                <w:sz w:val="20"/>
                <w:szCs w:val="20"/>
              </w:rPr>
              <w:t xml:space="preserve"> (1.5)</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&lt;0.001</w:t>
            </w:r>
          </w:p>
        </w:tc>
        <w:tc>
          <w:tcPr>
            <w:tcW w:w="1889"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0.26 (0.01 to 0.5)</w:t>
            </w:r>
          </w:p>
        </w:tc>
        <w:tc>
          <w:tcPr>
            <w:tcW w:w="992"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0.04</w:t>
            </w:r>
          </w:p>
        </w:tc>
      </w:tr>
      <w:tr w:rsidR="00472587" w:rsidRPr="00457FEC" w:rsidTr="004A48CC">
        <w:trPr>
          <w:trHeight w:val="279"/>
        </w:trPr>
        <w:tc>
          <w:tcPr>
            <w:tcW w:w="2008" w:type="dxa"/>
            <w:tcBorders>
              <w:top w:val="nil"/>
              <w:left w:val="nil"/>
              <w:bottom w:val="nil"/>
              <w:right w:val="nil"/>
            </w:tcBorders>
            <w:shd w:val="clear" w:color="auto" w:fill="auto"/>
            <w:noWrap/>
            <w:vAlign w:val="center"/>
            <w:hideMark/>
          </w:tcPr>
          <w:p w:rsidR="00472587" w:rsidRPr="00B2538B" w:rsidRDefault="00472587" w:rsidP="004A48CC">
            <w:pPr>
              <w:spacing w:after="0"/>
              <w:rPr>
                <w:rFonts w:cstheme="minorHAnsi"/>
                <w:color w:val="000000"/>
                <w:sz w:val="20"/>
                <w:szCs w:val="20"/>
              </w:rPr>
            </w:pPr>
            <w:r w:rsidRPr="00B2538B">
              <w:rPr>
                <w:rFonts w:cstheme="minorHAnsi"/>
                <w:color w:val="000000"/>
                <w:sz w:val="20"/>
                <w:szCs w:val="20"/>
              </w:rPr>
              <w:t>Specific efficacy for healthy eating (mean(SD))</w:t>
            </w:r>
          </w:p>
        </w:tc>
        <w:tc>
          <w:tcPr>
            <w:tcW w:w="1004"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14.5 (2.3)</w:t>
            </w:r>
          </w:p>
        </w:tc>
        <w:tc>
          <w:tcPr>
            <w:tcW w:w="1035"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14.4 (2.1)</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0.6</w:t>
            </w:r>
          </w:p>
        </w:tc>
        <w:tc>
          <w:tcPr>
            <w:tcW w:w="1171"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14.5 (2.3)</w:t>
            </w:r>
          </w:p>
        </w:tc>
        <w:tc>
          <w:tcPr>
            <w:tcW w:w="1036" w:type="dxa"/>
            <w:tcBorders>
              <w:top w:val="nil"/>
              <w:left w:val="nil"/>
              <w:bottom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14.2 (2.3)</w:t>
            </w:r>
          </w:p>
        </w:tc>
        <w:tc>
          <w:tcPr>
            <w:tcW w:w="873"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0.15</w:t>
            </w:r>
          </w:p>
        </w:tc>
        <w:tc>
          <w:tcPr>
            <w:tcW w:w="1889"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-0.16 (-0,54 to 0.22)</w:t>
            </w:r>
          </w:p>
        </w:tc>
        <w:tc>
          <w:tcPr>
            <w:tcW w:w="992" w:type="dxa"/>
            <w:tcBorders>
              <w:top w:val="nil"/>
              <w:left w:val="nil"/>
              <w:bottom w:val="nil"/>
              <w:right w:val="nil"/>
            </w:tcBorders>
            <w:vAlign w:val="center"/>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0.4</w:t>
            </w:r>
          </w:p>
        </w:tc>
      </w:tr>
      <w:tr w:rsidR="00472587" w:rsidRPr="00457FEC" w:rsidTr="004A48CC">
        <w:trPr>
          <w:trHeight w:val="279"/>
        </w:trPr>
        <w:tc>
          <w:tcPr>
            <w:tcW w:w="2008" w:type="dxa"/>
            <w:tcBorders>
              <w:top w:val="nil"/>
              <w:left w:val="nil"/>
              <w:right w:val="nil"/>
            </w:tcBorders>
            <w:shd w:val="clear" w:color="auto" w:fill="auto"/>
            <w:noWrap/>
            <w:vAlign w:val="center"/>
            <w:hideMark/>
          </w:tcPr>
          <w:p w:rsidR="00472587" w:rsidRPr="00B2538B" w:rsidRDefault="00472587" w:rsidP="004A48CC">
            <w:pPr>
              <w:spacing w:after="0"/>
              <w:rPr>
                <w:rFonts w:cstheme="minorHAnsi"/>
                <w:color w:val="000000"/>
                <w:sz w:val="20"/>
                <w:szCs w:val="20"/>
              </w:rPr>
            </w:pPr>
            <w:r w:rsidRPr="00B2538B">
              <w:rPr>
                <w:rFonts w:cstheme="minorHAnsi"/>
                <w:color w:val="000000"/>
                <w:sz w:val="20"/>
                <w:szCs w:val="20"/>
              </w:rPr>
              <w:t>Specific efficacy for exercising (mean(SD))</w:t>
            </w:r>
          </w:p>
        </w:tc>
        <w:tc>
          <w:tcPr>
            <w:tcW w:w="1004" w:type="dxa"/>
            <w:tcBorders>
              <w:top w:val="nil"/>
              <w:left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12.3 (2.9)</w:t>
            </w:r>
          </w:p>
        </w:tc>
        <w:tc>
          <w:tcPr>
            <w:tcW w:w="1035" w:type="dxa"/>
            <w:tcBorders>
              <w:top w:val="nil"/>
              <w:left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12.5 (2.9)</w:t>
            </w:r>
          </w:p>
        </w:tc>
        <w:tc>
          <w:tcPr>
            <w:tcW w:w="873" w:type="dxa"/>
            <w:tcBorders>
              <w:top w:val="nil"/>
              <w:left w:val="nil"/>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0.3</w:t>
            </w:r>
          </w:p>
        </w:tc>
        <w:tc>
          <w:tcPr>
            <w:tcW w:w="1171" w:type="dxa"/>
            <w:tcBorders>
              <w:top w:val="nil"/>
              <w:left w:val="nil"/>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12.3 (2.8)</w:t>
            </w:r>
          </w:p>
        </w:tc>
        <w:tc>
          <w:tcPr>
            <w:tcW w:w="1036" w:type="dxa"/>
            <w:tcBorders>
              <w:top w:val="nil"/>
              <w:left w:val="nil"/>
              <w:right w:val="nil"/>
            </w:tcBorders>
            <w:shd w:val="clear" w:color="auto" w:fill="auto"/>
            <w:noWrap/>
            <w:vAlign w:val="center"/>
            <w:hideMark/>
          </w:tcPr>
          <w:p w:rsidR="00472587" w:rsidRPr="00B2538B" w:rsidRDefault="00472587" w:rsidP="005E63FB">
            <w:pPr>
              <w:spacing w:after="0"/>
              <w:jc w:val="center"/>
              <w:rPr>
                <w:rFonts w:cstheme="minorHAnsi"/>
                <w:color w:val="000000"/>
                <w:sz w:val="20"/>
                <w:szCs w:val="20"/>
              </w:rPr>
            </w:pPr>
            <w:r w:rsidRPr="00B2538B">
              <w:rPr>
                <w:rFonts w:cstheme="minorHAnsi"/>
                <w:color w:val="000000"/>
                <w:sz w:val="20"/>
                <w:szCs w:val="20"/>
              </w:rPr>
              <w:t>12.4 (2.</w:t>
            </w:r>
            <w:r w:rsidR="005E63FB">
              <w:rPr>
                <w:rFonts w:cstheme="minorHAnsi"/>
                <w:color w:val="000000"/>
                <w:sz w:val="20"/>
                <w:szCs w:val="20"/>
              </w:rPr>
              <w:t>8</w:t>
            </w:r>
            <w:r w:rsidRPr="00B2538B">
              <w:rPr>
                <w:rFonts w:cstheme="minorHAnsi"/>
                <w:color w:val="000000"/>
                <w:sz w:val="20"/>
                <w:szCs w:val="20"/>
              </w:rPr>
              <w:t>)</w:t>
            </w:r>
          </w:p>
        </w:tc>
        <w:tc>
          <w:tcPr>
            <w:tcW w:w="873" w:type="dxa"/>
            <w:tcBorders>
              <w:top w:val="nil"/>
              <w:left w:val="nil"/>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0.7</w:t>
            </w:r>
          </w:p>
        </w:tc>
        <w:tc>
          <w:tcPr>
            <w:tcW w:w="1889" w:type="dxa"/>
            <w:tcBorders>
              <w:top w:val="nil"/>
              <w:left w:val="nil"/>
              <w:right w:val="nil"/>
            </w:tcBorders>
            <w:vAlign w:val="center"/>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-0.11 (-0.55 to 0.34)</w:t>
            </w:r>
          </w:p>
        </w:tc>
        <w:tc>
          <w:tcPr>
            <w:tcW w:w="992" w:type="dxa"/>
            <w:tcBorders>
              <w:top w:val="nil"/>
              <w:left w:val="nil"/>
              <w:right w:val="nil"/>
            </w:tcBorders>
            <w:vAlign w:val="center"/>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0.6</w:t>
            </w:r>
          </w:p>
        </w:tc>
      </w:tr>
      <w:tr w:rsidR="00472587" w:rsidRPr="00457FEC" w:rsidTr="004A48CC">
        <w:trPr>
          <w:trHeight w:val="279"/>
        </w:trPr>
        <w:tc>
          <w:tcPr>
            <w:tcW w:w="2008" w:type="dxa"/>
            <w:tcBorders>
              <w:top w:val="nil"/>
              <w:left w:val="nil"/>
              <w:bottom w:val="single" w:sz="4" w:space="0" w:color="auto"/>
              <w:right w:val="nil"/>
            </w:tcBorders>
            <w:shd w:val="clear" w:color="auto" w:fill="auto"/>
            <w:noWrap/>
            <w:vAlign w:val="center"/>
            <w:hideMark/>
          </w:tcPr>
          <w:p w:rsidR="00472587" w:rsidRPr="00B2538B" w:rsidRDefault="00472587" w:rsidP="004A48CC">
            <w:pPr>
              <w:spacing w:after="0"/>
              <w:rPr>
                <w:rFonts w:cstheme="minorHAnsi"/>
                <w:color w:val="000000"/>
                <w:sz w:val="20"/>
                <w:szCs w:val="20"/>
              </w:rPr>
            </w:pPr>
            <w:r w:rsidRPr="00B2538B">
              <w:rPr>
                <w:rFonts w:cstheme="minorHAnsi"/>
                <w:color w:val="000000"/>
                <w:sz w:val="20"/>
                <w:szCs w:val="20"/>
              </w:rPr>
              <w:t>Sense of control: total (mean(SD))</w:t>
            </w:r>
          </w:p>
        </w:tc>
        <w:tc>
          <w:tcPr>
            <w:tcW w:w="1004" w:type="dxa"/>
            <w:tcBorders>
              <w:top w:val="nil"/>
              <w:left w:val="nil"/>
              <w:bottom w:val="single" w:sz="4" w:space="0" w:color="auto"/>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27.0 (2.5)</w:t>
            </w:r>
          </w:p>
        </w:tc>
        <w:tc>
          <w:tcPr>
            <w:tcW w:w="1035" w:type="dxa"/>
            <w:tcBorders>
              <w:top w:val="nil"/>
              <w:left w:val="nil"/>
              <w:bottom w:val="single" w:sz="4" w:space="0" w:color="auto"/>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25.5 (2.0)</w:t>
            </w:r>
          </w:p>
        </w:tc>
        <w:tc>
          <w:tcPr>
            <w:tcW w:w="873" w:type="dxa"/>
            <w:tcBorders>
              <w:top w:val="nil"/>
              <w:left w:val="nil"/>
              <w:bottom w:val="single" w:sz="4" w:space="0" w:color="auto"/>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&lt;0.0001</w:t>
            </w:r>
          </w:p>
        </w:tc>
        <w:tc>
          <w:tcPr>
            <w:tcW w:w="1171" w:type="dxa"/>
            <w:tcBorders>
              <w:top w:val="nil"/>
              <w:left w:val="nil"/>
              <w:bottom w:val="single" w:sz="4" w:space="0" w:color="auto"/>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27.6 (2.8)</w:t>
            </w:r>
          </w:p>
        </w:tc>
        <w:tc>
          <w:tcPr>
            <w:tcW w:w="1036" w:type="dxa"/>
            <w:tcBorders>
              <w:top w:val="nil"/>
              <w:left w:val="nil"/>
              <w:bottom w:val="single" w:sz="4" w:space="0" w:color="auto"/>
              <w:right w:val="nil"/>
            </w:tcBorders>
            <w:shd w:val="clear" w:color="auto" w:fill="auto"/>
            <w:noWrap/>
            <w:vAlign w:val="center"/>
            <w:hideMark/>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26.0 (2.0)</w:t>
            </w:r>
          </w:p>
        </w:tc>
        <w:tc>
          <w:tcPr>
            <w:tcW w:w="873" w:type="dxa"/>
            <w:tcBorders>
              <w:top w:val="nil"/>
              <w:left w:val="nil"/>
              <w:bottom w:val="single" w:sz="4" w:space="0" w:color="auto"/>
              <w:right w:val="nil"/>
            </w:tcBorders>
            <w:vAlign w:val="center"/>
          </w:tcPr>
          <w:p w:rsidR="00472587" w:rsidRPr="00B2538B" w:rsidRDefault="00472587" w:rsidP="004A48CC">
            <w:pPr>
              <w:spacing w:after="0"/>
              <w:jc w:val="center"/>
              <w:rPr>
                <w:rFonts w:cstheme="minorHAnsi"/>
                <w:color w:val="000000"/>
                <w:sz w:val="20"/>
                <w:szCs w:val="20"/>
              </w:rPr>
            </w:pPr>
            <w:r>
              <w:rPr>
                <w:rFonts w:cstheme="minorHAnsi"/>
                <w:color w:val="000000"/>
                <w:sz w:val="20"/>
                <w:szCs w:val="20"/>
              </w:rPr>
              <w:t>&lt;0.0001</w:t>
            </w:r>
          </w:p>
        </w:tc>
        <w:tc>
          <w:tcPr>
            <w:tcW w:w="1889" w:type="dxa"/>
            <w:tcBorders>
              <w:top w:val="nil"/>
              <w:left w:val="nil"/>
              <w:bottom w:val="single" w:sz="4" w:space="0" w:color="auto"/>
              <w:right w:val="nil"/>
            </w:tcBorders>
            <w:vAlign w:val="center"/>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0.35 (0.05 to 0.65)</w:t>
            </w:r>
          </w:p>
        </w:tc>
        <w:tc>
          <w:tcPr>
            <w:tcW w:w="992" w:type="dxa"/>
            <w:tcBorders>
              <w:top w:val="nil"/>
              <w:left w:val="nil"/>
              <w:bottom w:val="single" w:sz="4" w:space="0" w:color="auto"/>
              <w:right w:val="nil"/>
            </w:tcBorders>
            <w:vAlign w:val="center"/>
          </w:tcPr>
          <w:p w:rsidR="00472587" w:rsidRPr="00B2538B" w:rsidRDefault="00472587" w:rsidP="004A48CC">
            <w:pPr>
              <w:spacing w:after="0"/>
              <w:jc w:val="center"/>
              <w:rPr>
                <w:rFonts w:cstheme="minorHAnsi"/>
                <w:color w:val="000000"/>
                <w:sz w:val="20"/>
                <w:szCs w:val="20"/>
              </w:rPr>
            </w:pPr>
            <w:r w:rsidRPr="00B2538B">
              <w:rPr>
                <w:rFonts w:cstheme="minorHAnsi"/>
                <w:color w:val="000000"/>
                <w:sz w:val="20"/>
                <w:szCs w:val="20"/>
              </w:rPr>
              <w:t>0.02</w:t>
            </w:r>
          </w:p>
        </w:tc>
      </w:tr>
    </w:tbl>
    <w:p w:rsidR="00472587" w:rsidRDefault="00472587" w:rsidP="00472587">
      <w:pPr>
        <w:spacing w:after="0"/>
      </w:pPr>
    </w:p>
    <w:p w:rsidR="00472587" w:rsidRDefault="00472587" w:rsidP="00472587">
      <w:pPr>
        <w:spacing w:after="0"/>
      </w:pPr>
    </w:p>
    <w:p w:rsidR="00472587" w:rsidRDefault="00472587" w:rsidP="00472587">
      <w:pPr>
        <w:spacing w:after="0"/>
        <w:rPr>
          <w:sz w:val="20"/>
          <w:szCs w:val="20"/>
        </w:rPr>
      </w:pPr>
      <w:r>
        <w:t>*</w:t>
      </w:r>
      <w:r w:rsidRPr="001C22E3">
        <w:rPr>
          <w:sz w:val="20"/>
          <w:szCs w:val="20"/>
        </w:rPr>
        <w:t xml:space="preserve">This column gives the adjusted difference at follow-up between intervention and control sites, adjusted for baseline values.  </w:t>
      </w:r>
    </w:p>
    <w:p w:rsidR="00472587" w:rsidRDefault="00472587" w:rsidP="00472587">
      <w:pPr>
        <w:autoSpaceDE w:val="0"/>
        <w:autoSpaceDN w:val="0"/>
        <w:adjustRightInd w:val="0"/>
        <w:spacing w:after="0" w:line="360" w:lineRule="auto"/>
        <w:rPr>
          <w:rFonts w:cstheme="minorHAnsi"/>
        </w:rPr>
      </w:pPr>
      <w:r w:rsidRPr="000915B0">
        <w:rPr>
          <w:rFonts w:cstheme="minorHAnsi"/>
          <w:color w:val="000000"/>
          <w:sz w:val="20"/>
          <w:szCs w:val="20"/>
          <w:vertAlign w:val="superscript"/>
        </w:rPr>
        <w:t>†</w:t>
      </w:r>
      <w:r>
        <w:rPr>
          <w:rFonts w:cstheme="minorHAnsi"/>
          <w:color w:val="000000"/>
          <w:sz w:val="20"/>
          <w:szCs w:val="20"/>
        </w:rPr>
        <w:t>For the Physical Activity Index, Wilcox</w:t>
      </w:r>
      <w:r w:rsidR="005968B3">
        <w:rPr>
          <w:rFonts w:cstheme="minorHAnsi"/>
          <w:color w:val="000000"/>
          <w:sz w:val="20"/>
          <w:szCs w:val="20"/>
        </w:rPr>
        <w:t>o</w:t>
      </w:r>
      <w:r>
        <w:rPr>
          <w:rFonts w:cstheme="minorHAnsi"/>
          <w:color w:val="000000"/>
          <w:sz w:val="20"/>
          <w:szCs w:val="20"/>
        </w:rPr>
        <w:t>n matched pairs signed rank test was used to test for differences between baseline and follow-up in each group.  For all other variables a matched-pairs t-test was used.</w:t>
      </w:r>
    </w:p>
    <w:p w:rsidR="00472587" w:rsidRDefault="00472587" w:rsidP="00141E65">
      <w:pPr>
        <w:autoSpaceDE w:val="0"/>
        <w:autoSpaceDN w:val="0"/>
        <w:adjustRightInd w:val="0"/>
        <w:spacing w:after="0" w:line="360" w:lineRule="auto"/>
        <w:rPr>
          <w:rFonts w:cstheme="minorHAnsi"/>
        </w:rPr>
      </w:pPr>
    </w:p>
    <w:p w:rsidR="00472587" w:rsidRDefault="00886529" w:rsidP="00141E65">
      <w:pPr>
        <w:autoSpaceDE w:val="0"/>
        <w:autoSpaceDN w:val="0"/>
        <w:adjustRightInd w:val="0"/>
        <w:spacing w:after="0" w:line="360" w:lineRule="auto"/>
        <w:rPr>
          <w:rFonts w:cstheme="minorHAnsi"/>
        </w:rPr>
      </w:pPr>
      <w:r>
        <w:rPr>
          <w:rFonts w:cstheme="minorHAnsi"/>
        </w:rPr>
        <w:t>Dietary quality had declined between baseline and follow</w:t>
      </w:r>
      <w:r w:rsidR="00A432BE">
        <w:rPr>
          <w:rFonts w:cstheme="minorHAnsi"/>
        </w:rPr>
        <w:t>-</w:t>
      </w:r>
      <w:r>
        <w:rPr>
          <w:rFonts w:cstheme="minorHAnsi"/>
        </w:rPr>
        <w:t>up in</w:t>
      </w:r>
      <w:r w:rsidR="009E7D4F">
        <w:rPr>
          <w:rFonts w:cstheme="minorHAnsi"/>
        </w:rPr>
        <w:t xml:space="preserve"> both</w:t>
      </w:r>
      <w:r w:rsidR="001B792F">
        <w:rPr>
          <w:rFonts w:cstheme="minorHAnsi"/>
        </w:rPr>
        <w:t xml:space="preserve"> </w:t>
      </w:r>
      <w:r>
        <w:rPr>
          <w:rFonts w:cstheme="minorHAnsi"/>
        </w:rPr>
        <w:t>groups</w:t>
      </w:r>
      <w:r w:rsidR="009E7D4F">
        <w:rPr>
          <w:rFonts w:cstheme="minorHAnsi"/>
        </w:rPr>
        <w:t xml:space="preserve"> of women</w:t>
      </w:r>
      <w:r w:rsidR="00B45EB7">
        <w:rPr>
          <w:rFonts w:cstheme="minorHAnsi"/>
        </w:rPr>
        <w:t>. T</w:t>
      </w:r>
      <w:r w:rsidR="008B558E">
        <w:rPr>
          <w:rFonts w:cstheme="minorHAnsi"/>
        </w:rPr>
        <w:t>he magnitude</w:t>
      </w:r>
      <w:r w:rsidR="006D53F9">
        <w:rPr>
          <w:rFonts w:cstheme="minorHAnsi"/>
        </w:rPr>
        <w:t xml:space="preserve"> of the change was the same in both groups</w:t>
      </w:r>
      <w:r w:rsidR="00B45EB7">
        <w:rPr>
          <w:rFonts w:cstheme="minorHAnsi"/>
        </w:rPr>
        <w:t>; b</w:t>
      </w:r>
      <w:r w:rsidR="00545136">
        <w:rPr>
          <w:rFonts w:cstheme="minorHAnsi"/>
        </w:rPr>
        <w:t>oth had a statistically significant 0.1 SD de</w:t>
      </w:r>
      <w:r w:rsidR="006D53F9">
        <w:rPr>
          <w:rFonts w:cstheme="minorHAnsi"/>
        </w:rPr>
        <w:t xml:space="preserve">cline in dietary quality score and </w:t>
      </w:r>
      <w:r w:rsidR="00C4717C">
        <w:rPr>
          <w:rFonts w:cstheme="minorHAnsi"/>
        </w:rPr>
        <w:t>the adjusted difference</w:t>
      </w:r>
      <w:r w:rsidR="00C31457">
        <w:rPr>
          <w:rFonts w:cstheme="minorHAnsi"/>
        </w:rPr>
        <w:t xml:space="preserve"> (women’s dietary quality score at follow</w:t>
      </w:r>
      <w:r w:rsidR="00A432BE">
        <w:rPr>
          <w:rFonts w:cstheme="minorHAnsi"/>
        </w:rPr>
        <w:t>-</w:t>
      </w:r>
      <w:r w:rsidR="00C31457">
        <w:rPr>
          <w:rFonts w:cstheme="minorHAnsi"/>
        </w:rPr>
        <w:t>up taking account of baseline levels)</w:t>
      </w:r>
      <w:r w:rsidR="00EE601D">
        <w:rPr>
          <w:rFonts w:cstheme="minorHAnsi"/>
        </w:rPr>
        <w:t xml:space="preserve"> </w:t>
      </w:r>
      <w:r w:rsidR="00C4717C">
        <w:rPr>
          <w:rFonts w:cstheme="minorHAnsi"/>
        </w:rPr>
        <w:t>was</w:t>
      </w:r>
      <w:r w:rsidR="002101ED">
        <w:rPr>
          <w:rFonts w:cstheme="minorHAnsi"/>
        </w:rPr>
        <w:t xml:space="preserve"> 0.0 (95% CI -0.11 to</w:t>
      </w:r>
      <w:r>
        <w:rPr>
          <w:rFonts w:cstheme="minorHAnsi"/>
        </w:rPr>
        <w:t xml:space="preserve"> 0.12). </w:t>
      </w:r>
    </w:p>
    <w:p w:rsidR="00472587" w:rsidRDefault="00472587" w:rsidP="00141E65">
      <w:pPr>
        <w:autoSpaceDE w:val="0"/>
        <w:autoSpaceDN w:val="0"/>
        <w:adjustRightInd w:val="0"/>
        <w:spacing w:after="0" w:line="360" w:lineRule="auto"/>
      </w:pPr>
    </w:p>
    <w:p w:rsidR="00B45EB7" w:rsidRDefault="00C068CB" w:rsidP="00B45EB7">
      <w:pPr>
        <w:autoSpaceDE w:val="0"/>
        <w:autoSpaceDN w:val="0"/>
        <w:adjustRightInd w:val="0"/>
        <w:spacing w:after="0" w:line="360" w:lineRule="auto"/>
      </w:pPr>
      <w:r>
        <w:t>In a univariate a</w:t>
      </w:r>
      <w:r w:rsidR="0089563E">
        <w:t>nalysis exploring predictors of the decline in</w:t>
      </w:r>
      <w:r>
        <w:t xml:space="preserve"> </w:t>
      </w:r>
      <w:r w:rsidR="0089563E">
        <w:t xml:space="preserve">dietary quality, </w:t>
      </w:r>
      <w:r w:rsidR="0092754D">
        <w:t xml:space="preserve">lower </w:t>
      </w:r>
      <w:r>
        <w:t>sense of control</w:t>
      </w:r>
      <w:r w:rsidR="0089563E">
        <w:t>, a</w:t>
      </w:r>
      <w:r>
        <w:t xml:space="preserve">nd </w:t>
      </w:r>
      <w:r w:rsidR="0092754D">
        <w:t xml:space="preserve">lower </w:t>
      </w:r>
      <w:r>
        <w:t xml:space="preserve">level of </w:t>
      </w:r>
      <w:r w:rsidR="0089563E">
        <w:t xml:space="preserve">educational attainment were </w:t>
      </w:r>
      <w:r w:rsidR="0092754D">
        <w:t>a</w:t>
      </w:r>
      <w:r w:rsidR="0089563E">
        <w:t>ssociated with greater decline</w:t>
      </w:r>
      <w:r>
        <w:t xml:space="preserve"> </w:t>
      </w:r>
      <w:r w:rsidR="00463BFD">
        <w:t xml:space="preserve">in </w:t>
      </w:r>
      <w:r>
        <w:t>dietary quality</w:t>
      </w:r>
      <w:r w:rsidR="0092754D">
        <w:t xml:space="preserve"> (</w:t>
      </w:r>
      <w:r w:rsidR="001203D4" w:rsidRPr="001203D4">
        <w:rPr>
          <w:i/>
        </w:rPr>
        <w:t>β</w:t>
      </w:r>
      <w:r w:rsidR="00B663B8">
        <w:t>=0.11, 95% CI 0.</w:t>
      </w:r>
      <w:r w:rsidR="002A7D83">
        <w:t>0</w:t>
      </w:r>
      <w:r w:rsidR="00B663B8">
        <w:t>7</w:t>
      </w:r>
      <w:r w:rsidR="002A7D83">
        <w:t xml:space="preserve"> to</w:t>
      </w:r>
      <w:r w:rsidR="00B663B8">
        <w:t xml:space="preserve"> 0.15, </w:t>
      </w:r>
      <w:r w:rsidR="001203D4" w:rsidRPr="001203D4">
        <w:rPr>
          <w:i/>
        </w:rPr>
        <w:t>P</w:t>
      </w:r>
      <w:r w:rsidR="00B663B8">
        <w:t xml:space="preserve">=0.00 and </w:t>
      </w:r>
      <w:r w:rsidR="001203D4" w:rsidRPr="001203D4">
        <w:rPr>
          <w:i/>
        </w:rPr>
        <w:t>β</w:t>
      </w:r>
      <w:r w:rsidR="00B663B8">
        <w:t>=0.70, 95% CI 0.57</w:t>
      </w:r>
      <w:r w:rsidR="002A7D83">
        <w:t xml:space="preserve"> to</w:t>
      </w:r>
      <w:r w:rsidR="00B663B8">
        <w:t xml:space="preserve"> 0.82, </w:t>
      </w:r>
      <w:r w:rsidR="001203D4" w:rsidRPr="001203D4">
        <w:rPr>
          <w:i/>
        </w:rPr>
        <w:t>P</w:t>
      </w:r>
      <w:r w:rsidR="00B663B8">
        <w:t>=0.001</w:t>
      </w:r>
      <w:r w:rsidR="0092754D">
        <w:t>respectively</w:t>
      </w:r>
      <w:r w:rsidR="003A6009">
        <w:t>)</w:t>
      </w:r>
      <w:r>
        <w:t xml:space="preserve">. </w:t>
      </w:r>
      <w:r w:rsidR="0089563E">
        <w:t xml:space="preserve"> </w:t>
      </w:r>
      <w:r w:rsidR="0092754D">
        <w:t xml:space="preserve">Lower </w:t>
      </w:r>
      <w:r w:rsidR="0092754D">
        <w:lastRenderedPageBreak/>
        <w:t xml:space="preserve">levels of </w:t>
      </w:r>
      <w:r w:rsidR="00280051">
        <w:t>self-efficacy</w:t>
      </w:r>
      <w:r w:rsidR="0092754D">
        <w:t xml:space="preserve"> had a borderline significant </w:t>
      </w:r>
      <w:r w:rsidR="003746E0">
        <w:t>relationship</w:t>
      </w:r>
      <w:r w:rsidR="0092754D">
        <w:t xml:space="preserve"> with decline in dietary quality (</w:t>
      </w:r>
      <w:r w:rsidR="001203D4" w:rsidRPr="001203D4">
        <w:rPr>
          <w:i/>
        </w:rPr>
        <w:t>β</w:t>
      </w:r>
      <w:r w:rsidR="009518B8">
        <w:t>=0.51, 95% CI -0.003</w:t>
      </w:r>
      <w:r w:rsidR="002A7D83">
        <w:t>to</w:t>
      </w:r>
      <w:r w:rsidR="009518B8">
        <w:t xml:space="preserve"> 0.1069, </w:t>
      </w:r>
      <w:r w:rsidR="001203D4" w:rsidRPr="001203D4">
        <w:rPr>
          <w:i/>
        </w:rPr>
        <w:t>P</w:t>
      </w:r>
      <w:r w:rsidR="0092754D">
        <w:t>=0.06). In a multivariat</w:t>
      </w:r>
      <w:r>
        <w:t>e regression analysis</w:t>
      </w:r>
      <w:r w:rsidR="00F53004">
        <w:t>,</w:t>
      </w:r>
      <w:r>
        <w:t xml:space="preserve"> the effects of sense of control and </w:t>
      </w:r>
      <w:r w:rsidR="00280051">
        <w:t>self-efficacy</w:t>
      </w:r>
      <w:r>
        <w:t xml:space="preserve"> dropped out leaving educational attainment, which </w:t>
      </w:r>
      <w:r w:rsidR="00896400">
        <w:t>was</w:t>
      </w:r>
      <w:r>
        <w:t xml:space="preserve"> highly correlated with sense of control and</w:t>
      </w:r>
      <w:r w:rsidR="0092754D">
        <w:t xml:space="preserve"> self</w:t>
      </w:r>
      <w:r w:rsidR="00896400">
        <w:t>-</w:t>
      </w:r>
      <w:r w:rsidR="0092754D">
        <w:t>efficacy, as the strongest</w:t>
      </w:r>
      <w:r>
        <w:t xml:space="preserve"> predictor of dietary decline</w:t>
      </w:r>
      <w:r w:rsidR="0065521D">
        <w:rPr>
          <w:rFonts w:cstheme="minorHAnsi"/>
        </w:rPr>
        <w:t>(</w:t>
      </w:r>
      <w:r w:rsidR="001203D4" w:rsidRPr="001203D4">
        <w:rPr>
          <w:rFonts w:cstheme="minorHAnsi"/>
          <w:i/>
        </w:rPr>
        <w:t>β</w:t>
      </w:r>
      <w:r w:rsidR="0065521D">
        <w:rPr>
          <w:rFonts w:cstheme="minorHAnsi"/>
        </w:rPr>
        <w:t>=0.0</w:t>
      </w:r>
      <w:r w:rsidR="002A7D83">
        <w:rPr>
          <w:rFonts w:cstheme="minorHAnsi"/>
        </w:rPr>
        <w:t>8</w:t>
      </w:r>
      <w:r w:rsidR="0065521D">
        <w:rPr>
          <w:rFonts w:cstheme="minorHAnsi"/>
        </w:rPr>
        <w:t>,</w:t>
      </w:r>
      <w:r w:rsidR="002A7D83">
        <w:rPr>
          <w:rFonts w:cstheme="minorHAnsi"/>
        </w:rPr>
        <w:t xml:space="preserve">95% CI </w:t>
      </w:r>
      <w:r w:rsidR="0065521D">
        <w:rPr>
          <w:rFonts w:cstheme="minorHAnsi"/>
        </w:rPr>
        <w:t xml:space="preserve"> </w:t>
      </w:r>
      <w:r w:rsidR="00D41267">
        <w:rPr>
          <w:rFonts w:cstheme="minorHAnsi"/>
        </w:rPr>
        <w:t xml:space="preserve">0.03 to 0.12, </w:t>
      </w:r>
      <w:r w:rsidR="001203D4" w:rsidRPr="001203D4">
        <w:rPr>
          <w:rFonts w:cstheme="minorHAnsi"/>
          <w:i/>
        </w:rPr>
        <w:t>P</w:t>
      </w:r>
      <w:r w:rsidR="0065521D">
        <w:rPr>
          <w:rFonts w:cstheme="minorHAnsi"/>
        </w:rPr>
        <w:t xml:space="preserve">=0.001), the </w:t>
      </w:r>
      <w:r w:rsidR="00896400">
        <w:rPr>
          <w:rFonts w:cstheme="minorHAnsi"/>
        </w:rPr>
        <w:t>relationship</w:t>
      </w:r>
      <w:r w:rsidR="0065521D">
        <w:rPr>
          <w:rFonts w:cstheme="minorHAnsi"/>
        </w:rPr>
        <w:t xml:space="preserve"> being driven by the women of lower educational attainment</w:t>
      </w:r>
      <w:r>
        <w:t xml:space="preserve">. </w:t>
      </w:r>
      <w:r w:rsidR="008B558E">
        <w:t>Fu</w:t>
      </w:r>
      <w:r w:rsidR="0065521D">
        <w:t>r</w:t>
      </w:r>
      <w:r w:rsidR="008B558E">
        <w:t>ther analyses showed that the</w:t>
      </w:r>
      <w:r w:rsidR="003A6009">
        <w:t xml:space="preserve"> relationship between level of educational attainment </w:t>
      </w:r>
      <w:r w:rsidR="00F53004">
        <w:t>and</w:t>
      </w:r>
      <w:r w:rsidR="003A6009">
        <w:t xml:space="preserve"> dietary quality decline </w:t>
      </w:r>
      <w:r w:rsidR="00902921">
        <w:t>was independent of food security and receipt of benefits.</w:t>
      </w:r>
      <w:r w:rsidR="00B45EB7">
        <w:t xml:space="preserve"> Using FFQ data we assessed whether change in consumption of particular food groups was responsible for the decline in dietary quality. Patterns were complex indicating increases in consumption of some unhealthy products such as pies, sausage rolls and crisps but also some increases in healthy products including green salads. These findings applied to women in the intervention and control groups and there were few differences between the groups.</w:t>
      </w:r>
    </w:p>
    <w:p w:rsidR="00D41267" w:rsidRDefault="00D41267" w:rsidP="00B45EB7">
      <w:pPr>
        <w:autoSpaceDE w:val="0"/>
        <w:autoSpaceDN w:val="0"/>
        <w:adjustRightInd w:val="0"/>
        <w:spacing w:after="0" w:line="360" w:lineRule="auto"/>
      </w:pPr>
    </w:p>
    <w:p w:rsidR="007F5494" w:rsidRDefault="002B32F8" w:rsidP="007F5494">
      <w:pPr>
        <w:autoSpaceDE w:val="0"/>
        <w:autoSpaceDN w:val="0"/>
        <w:adjustRightInd w:val="0"/>
        <w:spacing w:after="0" w:line="360" w:lineRule="auto"/>
        <w:rPr>
          <w:rFonts w:cstheme="minorHAnsi"/>
        </w:rPr>
      </w:pPr>
      <w:r>
        <w:t>Self</w:t>
      </w:r>
      <w:r w:rsidR="00F1318B">
        <w:t>-</w:t>
      </w:r>
      <w:r>
        <w:t>efficacy and sense of control</w:t>
      </w:r>
      <w:r w:rsidR="00DE1757">
        <w:rPr>
          <w:rFonts w:cstheme="minorHAnsi"/>
        </w:rPr>
        <w:t xml:space="preserve"> </w:t>
      </w:r>
      <w:r w:rsidR="007F5494">
        <w:rPr>
          <w:rFonts w:cstheme="minorHAnsi"/>
        </w:rPr>
        <w:t>declined in both groups of women between baseline and follow</w:t>
      </w:r>
      <w:r w:rsidR="00A432BE">
        <w:rPr>
          <w:rFonts w:cstheme="minorHAnsi"/>
        </w:rPr>
        <w:t>-</w:t>
      </w:r>
      <w:r w:rsidR="007F5494">
        <w:rPr>
          <w:rFonts w:cstheme="minorHAnsi"/>
        </w:rPr>
        <w:t>up and these changes</w:t>
      </w:r>
      <w:r w:rsidR="008B558E">
        <w:rPr>
          <w:rFonts w:cstheme="minorHAnsi"/>
        </w:rPr>
        <w:t>,</w:t>
      </w:r>
      <w:r w:rsidR="007F5494">
        <w:rPr>
          <w:rFonts w:cstheme="minorHAnsi"/>
        </w:rPr>
        <w:t xml:space="preserve"> within each group</w:t>
      </w:r>
      <w:r w:rsidR="008B558E">
        <w:rPr>
          <w:rFonts w:cstheme="minorHAnsi"/>
        </w:rPr>
        <w:t>,</w:t>
      </w:r>
      <w:r w:rsidR="007F5494">
        <w:rPr>
          <w:rFonts w:cstheme="minorHAnsi"/>
        </w:rPr>
        <w:t xml:space="preserve"> were statistically significant</w:t>
      </w:r>
      <w:r w:rsidR="00F53004">
        <w:rPr>
          <w:rFonts w:cstheme="minorHAnsi"/>
        </w:rPr>
        <w:t xml:space="preserve"> (P</w:t>
      </w:r>
      <w:r w:rsidR="00D24B53">
        <w:rPr>
          <w:rFonts w:cstheme="minorHAnsi"/>
        </w:rPr>
        <w:t>&lt;0.001</w:t>
      </w:r>
      <w:r w:rsidR="002A7D83">
        <w:rPr>
          <w:rFonts w:cstheme="minorHAnsi"/>
        </w:rPr>
        <w:t xml:space="preserve"> and P&lt;</w:t>
      </w:r>
      <w:r w:rsidR="00D24B53">
        <w:rPr>
          <w:rFonts w:cstheme="minorHAnsi"/>
        </w:rPr>
        <w:t>0.0001 respectively for both intervention and control groups)</w:t>
      </w:r>
      <w:r w:rsidR="007F5494">
        <w:rPr>
          <w:rFonts w:cstheme="minorHAnsi"/>
        </w:rPr>
        <w:t xml:space="preserve"> (</w:t>
      </w:r>
      <w:r w:rsidR="00F1318B">
        <w:rPr>
          <w:rFonts w:cstheme="minorHAnsi"/>
        </w:rPr>
        <w:t>T</w:t>
      </w:r>
      <w:r w:rsidR="007F5494">
        <w:rPr>
          <w:rFonts w:cstheme="minorHAnsi"/>
        </w:rPr>
        <w:t>able 2).</w:t>
      </w:r>
      <w:r w:rsidR="00F1318B">
        <w:t>T</w:t>
      </w:r>
      <w:r w:rsidR="0092754D">
        <w:t>he decline</w:t>
      </w:r>
      <w:r w:rsidR="00F1318B">
        <w:t xml:space="preserve"> in self-efficacy and sense of control</w:t>
      </w:r>
      <w:r w:rsidR="0092754D">
        <w:t xml:space="preserve"> was smaller</w:t>
      </w:r>
      <w:r w:rsidR="007F5494">
        <w:t xml:space="preserve"> in the int</w:t>
      </w:r>
      <w:r w:rsidR="0092754D">
        <w:t>ervent</w:t>
      </w:r>
      <w:r w:rsidR="003A6009">
        <w:t>ion group, indicating</w:t>
      </w:r>
      <w:r w:rsidR="007F5494">
        <w:t xml:space="preserve"> a benefit of the intervention. </w:t>
      </w:r>
      <w:r w:rsidR="007F5494">
        <w:rPr>
          <w:rFonts w:cstheme="minorHAnsi"/>
        </w:rPr>
        <w:t>There were no significant differences</w:t>
      </w:r>
      <w:r w:rsidR="0092754D">
        <w:rPr>
          <w:rFonts w:cstheme="minorHAnsi"/>
        </w:rPr>
        <w:t>, between the intervention and control groups,</w:t>
      </w:r>
      <w:r w:rsidR="007F5494">
        <w:rPr>
          <w:rFonts w:cstheme="minorHAnsi"/>
        </w:rPr>
        <w:t xml:space="preserve"> in the change in </w:t>
      </w:r>
      <w:r w:rsidR="00D906C3">
        <w:rPr>
          <w:rFonts w:cstheme="minorHAnsi"/>
        </w:rPr>
        <w:t>self-</w:t>
      </w:r>
      <w:r w:rsidR="007F5494">
        <w:rPr>
          <w:rFonts w:cstheme="minorHAnsi"/>
        </w:rPr>
        <w:t>efficacy for eating healthy fo</w:t>
      </w:r>
      <w:r w:rsidR="008B558E">
        <w:rPr>
          <w:rFonts w:cstheme="minorHAnsi"/>
        </w:rPr>
        <w:t>ods and for physical activity.</w:t>
      </w:r>
    </w:p>
    <w:p w:rsidR="006E5BC2" w:rsidRDefault="006E5BC2" w:rsidP="007F5494">
      <w:pPr>
        <w:autoSpaceDE w:val="0"/>
        <w:autoSpaceDN w:val="0"/>
        <w:adjustRightInd w:val="0"/>
        <w:spacing w:after="0" w:line="360" w:lineRule="auto"/>
        <w:rPr>
          <w:rFonts w:cstheme="minorHAnsi"/>
        </w:rPr>
      </w:pPr>
    </w:p>
    <w:p w:rsidR="00C27D51" w:rsidRDefault="008E41B1" w:rsidP="00C27D51">
      <w:pPr>
        <w:autoSpaceDE w:val="0"/>
        <w:autoSpaceDN w:val="0"/>
        <w:adjustRightInd w:val="0"/>
        <w:spacing w:after="0" w:line="360" w:lineRule="auto"/>
        <w:rPr>
          <w:rFonts w:cstheme="minorHAnsi"/>
        </w:rPr>
      </w:pPr>
      <w:r>
        <w:rPr>
          <w:rFonts w:cstheme="minorHAnsi"/>
        </w:rPr>
        <w:t xml:space="preserve">In order to establish whether the </w:t>
      </w:r>
      <w:r w:rsidR="00F1318B">
        <w:rPr>
          <w:rFonts w:cstheme="minorHAnsi"/>
        </w:rPr>
        <w:t xml:space="preserve">statistically </w:t>
      </w:r>
      <w:r>
        <w:rPr>
          <w:rFonts w:cstheme="minorHAnsi"/>
        </w:rPr>
        <w:t xml:space="preserve">significantly lower decline in sense of control and level of </w:t>
      </w:r>
      <w:r w:rsidR="00280051">
        <w:rPr>
          <w:rFonts w:cstheme="minorHAnsi"/>
        </w:rPr>
        <w:t>self-efficacy</w:t>
      </w:r>
      <w:r>
        <w:rPr>
          <w:rFonts w:cstheme="minorHAnsi"/>
        </w:rPr>
        <w:t xml:space="preserve"> in the intervention group could be attributed to a protective effect of the intervention, we explored the relationship of exposure (assessed by SSCC attendance in the </w:t>
      </w:r>
      <w:r w:rsidR="009518B8">
        <w:rPr>
          <w:rFonts w:cstheme="minorHAnsi"/>
        </w:rPr>
        <w:t xml:space="preserve">18 </w:t>
      </w:r>
      <w:r>
        <w:rPr>
          <w:rFonts w:cstheme="minorHAnsi"/>
        </w:rPr>
        <w:t>month</w:t>
      </w:r>
      <w:r w:rsidR="009518B8">
        <w:rPr>
          <w:rFonts w:cstheme="minorHAnsi"/>
        </w:rPr>
        <w:t>s</w:t>
      </w:r>
      <w:r>
        <w:rPr>
          <w:rFonts w:cstheme="minorHAnsi"/>
        </w:rPr>
        <w:t xml:space="preserve"> </w:t>
      </w:r>
      <w:r w:rsidR="008E631F">
        <w:rPr>
          <w:rFonts w:cstheme="minorHAnsi"/>
        </w:rPr>
        <w:t>before</w:t>
      </w:r>
      <w:r>
        <w:rPr>
          <w:rFonts w:cstheme="minorHAnsi"/>
        </w:rPr>
        <w:t xml:space="preserve"> follow</w:t>
      </w:r>
      <w:r w:rsidR="00A432BE">
        <w:rPr>
          <w:rFonts w:cstheme="minorHAnsi"/>
        </w:rPr>
        <w:t>-</w:t>
      </w:r>
      <w:r>
        <w:rPr>
          <w:rFonts w:cstheme="minorHAnsi"/>
        </w:rPr>
        <w:t xml:space="preserve">up) with change in sense of control and </w:t>
      </w:r>
      <w:r w:rsidR="00280051">
        <w:rPr>
          <w:rFonts w:cstheme="minorHAnsi"/>
        </w:rPr>
        <w:t>self-efficacy</w:t>
      </w:r>
      <w:r>
        <w:rPr>
          <w:rFonts w:cstheme="minorHAnsi"/>
        </w:rPr>
        <w:t>. Higher levels of exposure were significantly associated with a smaller decline in sense of control</w:t>
      </w:r>
      <w:r w:rsidR="004F4662">
        <w:rPr>
          <w:rFonts w:cstheme="minorHAnsi"/>
        </w:rPr>
        <w:t xml:space="preserve"> (</w:t>
      </w:r>
      <w:r w:rsidR="001203D4" w:rsidRPr="001203D4">
        <w:rPr>
          <w:rFonts w:cstheme="minorHAnsi"/>
          <w:i/>
        </w:rPr>
        <w:t>β</w:t>
      </w:r>
      <w:r w:rsidR="004F4662">
        <w:rPr>
          <w:rFonts w:cstheme="minorHAnsi"/>
        </w:rPr>
        <w:t>=0.17, 95% CI 0.0</w:t>
      </w:r>
      <w:r w:rsidR="002A7D83">
        <w:rPr>
          <w:rFonts w:cstheme="minorHAnsi"/>
        </w:rPr>
        <w:t>5 to</w:t>
      </w:r>
      <w:r w:rsidR="004F4662">
        <w:rPr>
          <w:rFonts w:cstheme="minorHAnsi"/>
        </w:rPr>
        <w:t xml:space="preserve"> 0.29, </w:t>
      </w:r>
      <w:r w:rsidR="001203D4" w:rsidRPr="001203D4">
        <w:rPr>
          <w:rFonts w:cstheme="minorHAnsi"/>
          <w:i/>
        </w:rPr>
        <w:t>P</w:t>
      </w:r>
      <w:r w:rsidR="004F4662">
        <w:rPr>
          <w:rFonts w:cstheme="minorHAnsi"/>
        </w:rPr>
        <w:t>=0.006)</w:t>
      </w:r>
      <w:r w:rsidR="00044519">
        <w:rPr>
          <w:rFonts w:cstheme="minorHAnsi"/>
        </w:rPr>
        <w:t xml:space="preserve"> but t</w:t>
      </w:r>
      <w:r>
        <w:rPr>
          <w:rFonts w:cstheme="minorHAnsi"/>
        </w:rPr>
        <w:t xml:space="preserve">here was no association between exposure and level of </w:t>
      </w:r>
      <w:r w:rsidR="00280051">
        <w:rPr>
          <w:rFonts w:cstheme="minorHAnsi"/>
        </w:rPr>
        <w:t>self-efficacy</w:t>
      </w:r>
      <w:r>
        <w:rPr>
          <w:rFonts w:cstheme="minorHAnsi"/>
        </w:rPr>
        <w:t>.</w:t>
      </w:r>
      <w:r w:rsidR="00044519">
        <w:rPr>
          <w:rFonts w:cstheme="minorHAnsi"/>
        </w:rPr>
        <w:t xml:space="preserve"> </w:t>
      </w:r>
      <w:r w:rsidR="009518B8">
        <w:rPr>
          <w:rFonts w:cstheme="minorHAnsi"/>
        </w:rPr>
        <w:t xml:space="preserve"> </w:t>
      </w:r>
    </w:p>
    <w:p w:rsidR="00C27D51" w:rsidRDefault="00C27D51">
      <w:pPr>
        <w:rPr>
          <w:rFonts w:cstheme="minorHAnsi"/>
        </w:rPr>
      </w:pPr>
    </w:p>
    <w:p w:rsidR="007F5494" w:rsidRDefault="00994EFF" w:rsidP="00141E65">
      <w:pPr>
        <w:autoSpaceDE w:val="0"/>
        <w:autoSpaceDN w:val="0"/>
        <w:adjustRightInd w:val="0"/>
        <w:spacing w:after="0" w:line="360" w:lineRule="auto"/>
        <w:rPr>
          <w:rFonts w:cstheme="minorHAnsi"/>
        </w:rPr>
      </w:pPr>
      <w:r>
        <w:rPr>
          <w:rFonts w:cstheme="minorHAnsi"/>
        </w:rPr>
        <w:t xml:space="preserve">The proportion of </w:t>
      </w:r>
      <w:r w:rsidR="0065574F">
        <w:rPr>
          <w:rFonts w:cstheme="minorHAnsi"/>
        </w:rPr>
        <w:t xml:space="preserve">women in the intervention group </w:t>
      </w:r>
      <w:r>
        <w:rPr>
          <w:rFonts w:cstheme="minorHAnsi"/>
        </w:rPr>
        <w:t xml:space="preserve">who </w:t>
      </w:r>
      <w:r w:rsidR="0065574F">
        <w:rPr>
          <w:rFonts w:cstheme="minorHAnsi"/>
        </w:rPr>
        <w:t>reported higher levels of activity</w:t>
      </w:r>
      <w:r>
        <w:rPr>
          <w:rFonts w:cstheme="minorHAnsi"/>
        </w:rPr>
        <w:t xml:space="preserve"> (level 4)</w:t>
      </w:r>
      <w:r w:rsidR="0065574F">
        <w:rPr>
          <w:rFonts w:cstheme="minorHAnsi"/>
        </w:rPr>
        <w:t xml:space="preserve"> at follow</w:t>
      </w:r>
      <w:r w:rsidR="00A432BE">
        <w:rPr>
          <w:rFonts w:cstheme="minorHAnsi"/>
        </w:rPr>
        <w:t>-</w:t>
      </w:r>
      <w:r w:rsidR="0065574F">
        <w:rPr>
          <w:rFonts w:cstheme="minorHAnsi"/>
        </w:rPr>
        <w:t xml:space="preserve">up </w:t>
      </w:r>
      <w:r>
        <w:rPr>
          <w:rFonts w:cstheme="minorHAnsi"/>
        </w:rPr>
        <w:t>was</w:t>
      </w:r>
      <w:r w:rsidR="0065574F">
        <w:rPr>
          <w:rFonts w:cstheme="minorHAnsi"/>
        </w:rPr>
        <w:t xml:space="preserve"> 22.9% compared with 12.4% at baseline</w:t>
      </w:r>
      <w:r w:rsidR="00B446BC">
        <w:rPr>
          <w:rFonts w:cstheme="minorHAnsi"/>
        </w:rPr>
        <w:t xml:space="preserve"> (Table 2)</w:t>
      </w:r>
      <w:r w:rsidR="0065574F">
        <w:rPr>
          <w:rFonts w:cstheme="minorHAnsi"/>
        </w:rPr>
        <w:t xml:space="preserve">. </w:t>
      </w:r>
      <w:r w:rsidR="001B792F">
        <w:rPr>
          <w:rFonts w:cstheme="minorHAnsi"/>
        </w:rPr>
        <w:t>T</w:t>
      </w:r>
      <w:r w:rsidR="0065574F">
        <w:rPr>
          <w:rFonts w:cstheme="minorHAnsi"/>
        </w:rPr>
        <w:t>here was a smaller increase in physical activity among women in the control group and this was not statistically significant</w:t>
      </w:r>
      <w:r w:rsidR="004F4662">
        <w:rPr>
          <w:rFonts w:cstheme="minorHAnsi"/>
        </w:rPr>
        <w:t xml:space="preserve"> (</w:t>
      </w:r>
      <w:r w:rsidR="001203D4" w:rsidRPr="001203D4">
        <w:rPr>
          <w:rFonts w:cstheme="minorHAnsi"/>
          <w:i/>
        </w:rPr>
        <w:t>P</w:t>
      </w:r>
      <w:r w:rsidR="004F4662">
        <w:rPr>
          <w:rFonts w:cstheme="minorHAnsi"/>
        </w:rPr>
        <w:t>&gt;0.05</w:t>
      </w:r>
      <w:r w:rsidR="00BE3D7C">
        <w:rPr>
          <w:rFonts w:cstheme="minorHAnsi"/>
        </w:rPr>
        <w:t>)</w:t>
      </w:r>
      <w:r w:rsidR="0065574F">
        <w:rPr>
          <w:rFonts w:cstheme="minorHAnsi"/>
        </w:rPr>
        <w:t xml:space="preserve">.  </w:t>
      </w:r>
      <w:r w:rsidR="00B446BC">
        <w:rPr>
          <w:rFonts w:cstheme="minorHAnsi"/>
        </w:rPr>
        <w:t>T</w:t>
      </w:r>
      <w:r w:rsidR="00886529">
        <w:rPr>
          <w:rFonts w:cstheme="minorHAnsi"/>
        </w:rPr>
        <w:t>he adjusted difference</w:t>
      </w:r>
      <w:r w:rsidR="00352B13">
        <w:rPr>
          <w:rFonts w:cstheme="minorHAnsi"/>
        </w:rPr>
        <w:t xml:space="preserve"> </w:t>
      </w:r>
      <w:r w:rsidR="00545136">
        <w:rPr>
          <w:rFonts w:cstheme="minorHAnsi"/>
        </w:rPr>
        <w:t>between the groups</w:t>
      </w:r>
      <w:r w:rsidR="00B446BC">
        <w:rPr>
          <w:rFonts w:cstheme="minorHAnsi"/>
        </w:rPr>
        <w:t xml:space="preserve">, however, </w:t>
      </w:r>
      <w:r w:rsidR="00484161">
        <w:rPr>
          <w:rFonts w:cstheme="minorHAnsi"/>
        </w:rPr>
        <w:t>was not statistically significantly</w:t>
      </w:r>
      <w:r w:rsidR="00C31457">
        <w:rPr>
          <w:rFonts w:cstheme="minorHAnsi"/>
        </w:rPr>
        <w:t xml:space="preserve">. </w:t>
      </w:r>
      <w:r w:rsidR="00441340">
        <w:rPr>
          <w:rFonts w:cstheme="minorHAnsi"/>
        </w:rPr>
        <w:t xml:space="preserve"> Change in physical activity was not predicted by sense of control, </w:t>
      </w:r>
      <w:r w:rsidR="00280051">
        <w:rPr>
          <w:rFonts w:cstheme="minorHAnsi"/>
        </w:rPr>
        <w:t>self-efficacy</w:t>
      </w:r>
      <w:r w:rsidR="00441340">
        <w:rPr>
          <w:rFonts w:cstheme="minorHAnsi"/>
        </w:rPr>
        <w:t xml:space="preserve"> or levels of educational attainment.</w:t>
      </w:r>
    </w:p>
    <w:p w:rsidR="00B75AF2" w:rsidRDefault="00231ECC" w:rsidP="00C32939">
      <w:pPr>
        <w:autoSpaceDE w:val="0"/>
        <w:autoSpaceDN w:val="0"/>
        <w:adjustRightInd w:val="0"/>
        <w:spacing w:after="0" w:line="360" w:lineRule="auto"/>
        <w:rPr>
          <w:rFonts w:cstheme="minorHAnsi"/>
        </w:rPr>
      </w:pPr>
      <w:r>
        <w:rPr>
          <w:rFonts w:cstheme="minorHAnsi"/>
        </w:rPr>
        <w:lastRenderedPageBreak/>
        <w:t>W</w:t>
      </w:r>
      <w:r w:rsidR="00902921">
        <w:rPr>
          <w:rFonts w:cstheme="minorHAnsi"/>
        </w:rPr>
        <w:t>e</w:t>
      </w:r>
      <w:r>
        <w:rPr>
          <w:rFonts w:cstheme="minorHAnsi"/>
        </w:rPr>
        <w:t xml:space="preserve"> explored demographic changes between baseline and follow</w:t>
      </w:r>
      <w:r w:rsidR="00A432BE">
        <w:rPr>
          <w:rFonts w:cstheme="minorHAnsi"/>
        </w:rPr>
        <w:t>-</w:t>
      </w:r>
      <w:r>
        <w:rPr>
          <w:rFonts w:cstheme="minorHAnsi"/>
        </w:rPr>
        <w:t>up that m</w:t>
      </w:r>
      <w:r w:rsidR="003746E0">
        <w:rPr>
          <w:rFonts w:cstheme="minorHAnsi"/>
        </w:rPr>
        <w:t>ight</w:t>
      </w:r>
      <w:r>
        <w:rPr>
          <w:rFonts w:cstheme="minorHAnsi"/>
        </w:rPr>
        <w:t xml:space="preserve"> have accounted for the changes in the outcomes we had observed. </w:t>
      </w:r>
      <w:r w:rsidR="00C32939">
        <w:rPr>
          <w:rFonts w:cstheme="minorHAnsi"/>
        </w:rPr>
        <w:t>The proportion of women with two or more children and the proportion in paid employment increased between baseline and follow</w:t>
      </w:r>
      <w:r w:rsidR="00A432BE">
        <w:rPr>
          <w:rFonts w:cstheme="minorHAnsi"/>
        </w:rPr>
        <w:t>-</w:t>
      </w:r>
      <w:r w:rsidR="00C32939">
        <w:rPr>
          <w:rFonts w:cstheme="minorHAnsi"/>
        </w:rPr>
        <w:t>up (table 3). The change in the proportion of women with two or more children was of similar magnitude in the intervention and control groups with around 70% having two or more children at follow</w:t>
      </w:r>
      <w:r w:rsidR="00A432BE">
        <w:rPr>
          <w:rFonts w:cstheme="minorHAnsi"/>
        </w:rPr>
        <w:t>-</w:t>
      </w:r>
      <w:r w:rsidR="00C32939">
        <w:rPr>
          <w:rFonts w:cstheme="minorHAnsi"/>
        </w:rPr>
        <w:t>up compared with around 50% at baseline. The proportion of women in paid employment increased more markedly in the intervention than in the control group although the increases were stati</w:t>
      </w:r>
      <w:r w:rsidR="00B75AF2">
        <w:rPr>
          <w:rFonts w:cstheme="minorHAnsi"/>
        </w:rPr>
        <w:t>stically significant within both</w:t>
      </w:r>
      <w:r w:rsidR="00C32939">
        <w:rPr>
          <w:rFonts w:cstheme="minorHAnsi"/>
        </w:rPr>
        <w:t xml:space="preserve"> group</w:t>
      </w:r>
      <w:r w:rsidR="00B75AF2">
        <w:rPr>
          <w:rFonts w:cstheme="minorHAnsi"/>
        </w:rPr>
        <w:t>s</w:t>
      </w:r>
      <w:r w:rsidR="00C32939">
        <w:rPr>
          <w:rFonts w:cstheme="minorHAnsi"/>
        </w:rPr>
        <w:t xml:space="preserve"> as shown in </w:t>
      </w:r>
      <w:r w:rsidR="003746E0">
        <w:rPr>
          <w:rFonts w:cstheme="minorHAnsi"/>
        </w:rPr>
        <w:t>T</w:t>
      </w:r>
      <w:r w:rsidR="00C32939">
        <w:rPr>
          <w:rFonts w:cstheme="minorHAnsi"/>
        </w:rPr>
        <w:t>able 3. Significantly more intervention group women than control group women reported being in paid employment at follow</w:t>
      </w:r>
      <w:r w:rsidR="00A432BE">
        <w:rPr>
          <w:rFonts w:cstheme="minorHAnsi"/>
        </w:rPr>
        <w:t>-</w:t>
      </w:r>
      <w:r w:rsidR="00C32939">
        <w:rPr>
          <w:rFonts w:cstheme="minorHAnsi"/>
        </w:rPr>
        <w:t>up: 31.2% compared with 23.5% (</w:t>
      </w:r>
      <w:r w:rsidR="001203D4" w:rsidRPr="001203D4">
        <w:rPr>
          <w:rFonts w:cstheme="minorHAnsi"/>
          <w:i/>
        </w:rPr>
        <w:t>P</w:t>
      </w:r>
      <w:r w:rsidR="00C32939">
        <w:rPr>
          <w:rFonts w:cstheme="minorHAnsi"/>
        </w:rPr>
        <w:t>=0.02).</w:t>
      </w:r>
      <w:r>
        <w:rPr>
          <w:rFonts w:cstheme="minorHAnsi"/>
        </w:rPr>
        <w:t xml:space="preserve"> </w:t>
      </w:r>
    </w:p>
    <w:p w:rsidR="00472587" w:rsidRDefault="00472587" w:rsidP="00C32939">
      <w:pPr>
        <w:autoSpaceDE w:val="0"/>
        <w:autoSpaceDN w:val="0"/>
        <w:adjustRightInd w:val="0"/>
        <w:spacing w:after="0" w:line="360" w:lineRule="auto"/>
        <w:rPr>
          <w:rFonts w:cstheme="minorHAnsi"/>
        </w:rPr>
      </w:pPr>
    </w:p>
    <w:p w:rsidR="00472587" w:rsidRDefault="00472587" w:rsidP="00472587">
      <w:pPr>
        <w:spacing w:after="0"/>
        <w:rPr>
          <w:b/>
        </w:rPr>
      </w:pPr>
      <w:r w:rsidRPr="008C3ED7">
        <w:rPr>
          <w:b/>
        </w:rPr>
        <w:t xml:space="preserve">Table 3.  Numbers of </w:t>
      </w:r>
      <w:r>
        <w:rPr>
          <w:b/>
        </w:rPr>
        <w:t>children that women reported having and number of women</w:t>
      </w:r>
      <w:r w:rsidRPr="008C3ED7">
        <w:rPr>
          <w:b/>
        </w:rPr>
        <w:t xml:space="preserve"> in paid work at bas</w:t>
      </w:r>
      <w:r>
        <w:rPr>
          <w:b/>
        </w:rPr>
        <w:t>eline and follow-up in each group</w:t>
      </w:r>
    </w:p>
    <w:p w:rsidR="00C27D51" w:rsidRPr="008C3ED7" w:rsidRDefault="00C27D51" w:rsidP="00472587">
      <w:pPr>
        <w:spacing w:after="0"/>
        <w:rPr>
          <w:b/>
        </w:rPr>
      </w:pPr>
    </w:p>
    <w:tbl>
      <w:tblPr>
        <w:tblpPr w:leftFromText="181" w:rightFromText="181" w:vertAnchor="text" w:horzAnchor="margin" w:tblpXSpec="center" w:tblpY="1"/>
        <w:tblOverlap w:val="never"/>
        <w:tblW w:w="10557" w:type="dxa"/>
        <w:tblLook w:val="04A0" w:firstRow="1" w:lastRow="0" w:firstColumn="1" w:lastColumn="0" w:noHBand="0" w:noVBand="1"/>
      </w:tblPr>
      <w:tblGrid>
        <w:gridCol w:w="3871"/>
        <w:gridCol w:w="1134"/>
        <w:gridCol w:w="1169"/>
        <w:gridCol w:w="945"/>
        <w:gridCol w:w="1323"/>
        <w:gridCol w:w="1170"/>
        <w:gridCol w:w="945"/>
      </w:tblGrid>
      <w:tr w:rsidR="00C27D51" w:rsidRPr="00457FEC" w:rsidTr="00C27D51">
        <w:trPr>
          <w:trHeight w:val="300"/>
        </w:trPr>
        <w:tc>
          <w:tcPr>
            <w:tcW w:w="3871" w:type="dxa"/>
            <w:tcBorders>
              <w:top w:val="single" w:sz="4" w:space="0" w:color="auto"/>
              <w:left w:val="nil"/>
              <w:bottom w:val="nil"/>
              <w:right w:val="nil"/>
            </w:tcBorders>
            <w:shd w:val="clear" w:color="auto" w:fill="auto"/>
            <w:noWrap/>
            <w:vAlign w:val="bottom"/>
            <w:hideMark/>
          </w:tcPr>
          <w:p w:rsidR="00C27D51" w:rsidRPr="00B2538B" w:rsidRDefault="00C27D51" w:rsidP="00C27D51">
            <w:pPr>
              <w:spacing w:after="0"/>
              <w:rPr>
                <w:rFonts w:cstheme="minorHAnsi"/>
                <w:b/>
                <w:color w:val="000000"/>
                <w:sz w:val="20"/>
                <w:szCs w:val="20"/>
              </w:rPr>
            </w:pPr>
          </w:p>
        </w:tc>
        <w:tc>
          <w:tcPr>
            <w:tcW w:w="2303" w:type="dxa"/>
            <w:gridSpan w:val="2"/>
            <w:tcBorders>
              <w:top w:val="single" w:sz="4" w:space="0" w:color="auto"/>
              <w:left w:val="nil"/>
              <w:bottom w:val="nil"/>
              <w:right w:val="nil"/>
            </w:tcBorders>
            <w:shd w:val="clear" w:color="auto" w:fill="auto"/>
            <w:noWrap/>
            <w:vAlign w:val="center"/>
            <w:hideMark/>
          </w:tcPr>
          <w:p w:rsidR="00C27D51" w:rsidRPr="00B2538B" w:rsidRDefault="00C27D51" w:rsidP="00C27D51">
            <w:pPr>
              <w:spacing w:after="0"/>
              <w:jc w:val="center"/>
              <w:rPr>
                <w:rFonts w:cstheme="minorHAnsi"/>
                <w:b/>
                <w:color w:val="000000"/>
                <w:sz w:val="20"/>
                <w:szCs w:val="20"/>
              </w:rPr>
            </w:pPr>
            <w:r w:rsidRPr="00B2538B">
              <w:rPr>
                <w:rFonts w:cstheme="minorHAnsi"/>
                <w:b/>
                <w:color w:val="000000"/>
                <w:sz w:val="20"/>
                <w:szCs w:val="20"/>
              </w:rPr>
              <w:t>Control</w:t>
            </w:r>
          </w:p>
        </w:tc>
        <w:tc>
          <w:tcPr>
            <w:tcW w:w="945" w:type="dxa"/>
            <w:tcBorders>
              <w:top w:val="single" w:sz="4" w:space="0" w:color="auto"/>
              <w:left w:val="nil"/>
              <w:bottom w:val="nil"/>
              <w:right w:val="nil"/>
            </w:tcBorders>
            <w:vAlign w:val="center"/>
          </w:tcPr>
          <w:p w:rsidR="00C27D51" w:rsidRPr="00B2538B" w:rsidRDefault="001203D4" w:rsidP="00C27D51">
            <w:pPr>
              <w:spacing w:after="0"/>
              <w:jc w:val="center"/>
              <w:rPr>
                <w:rFonts w:cstheme="minorHAnsi"/>
                <w:b/>
                <w:color w:val="000000"/>
                <w:sz w:val="20"/>
                <w:szCs w:val="20"/>
              </w:rPr>
            </w:pPr>
            <w:r w:rsidRPr="001203D4">
              <w:rPr>
                <w:rFonts w:cstheme="minorHAnsi"/>
                <w:b/>
                <w:i/>
                <w:color w:val="000000"/>
                <w:sz w:val="20"/>
                <w:szCs w:val="20"/>
              </w:rPr>
              <w:t>P</w:t>
            </w:r>
            <w:r w:rsidR="00C27D51">
              <w:rPr>
                <w:rFonts w:cstheme="minorHAnsi"/>
                <w:b/>
                <w:color w:val="000000"/>
                <w:sz w:val="20"/>
                <w:szCs w:val="20"/>
              </w:rPr>
              <w:t>-</w:t>
            </w:r>
          </w:p>
        </w:tc>
        <w:tc>
          <w:tcPr>
            <w:tcW w:w="2493" w:type="dxa"/>
            <w:gridSpan w:val="2"/>
            <w:tcBorders>
              <w:top w:val="single" w:sz="4" w:space="0" w:color="auto"/>
              <w:left w:val="nil"/>
              <w:bottom w:val="nil"/>
              <w:right w:val="nil"/>
            </w:tcBorders>
            <w:shd w:val="clear" w:color="auto" w:fill="auto"/>
            <w:noWrap/>
            <w:vAlign w:val="center"/>
            <w:hideMark/>
          </w:tcPr>
          <w:p w:rsidR="00C27D51" w:rsidRPr="00B2538B" w:rsidRDefault="00C27D51" w:rsidP="00C27D51">
            <w:pPr>
              <w:spacing w:after="0"/>
              <w:jc w:val="center"/>
              <w:rPr>
                <w:rFonts w:cstheme="minorHAnsi"/>
                <w:b/>
                <w:color w:val="000000"/>
                <w:sz w:val="20"/>
                <w:szCs w:val="20"/>
              </w:rPr>
            </w:pPr>
            <w:r w:rsidRPr="00B2538B">
              <w:rPr>
                <w:rFonts w:cstheme="minorHAnsi"/>
                <w:b/>
                <w:color w:val="000000"/>
                <w:sz w:val="20"/>
                <w:szCs w:val="20"/>
              </w:rPr>
              <w:t>Intervention</w:t>
            </w:r>
          </w:p>
        </w:tc>
        <w:tc>
          <w:tcPr>
            <w:tcW w:w="945" w:type="dxa"/>
            <w:tcBorders>
              <w:top w:val="single" w:sz="4" w:space="0" w:color="auto"/>
              <w:left w:val="nil"/>
              <w:bottom w:val="nil"/>
              <w:right w:val="nil"/>
            </w:tcBorders>
            <w:vAlign w:val="center"/>
          </w:tcPr>
          <w:p w:rsidR="00C27D51" w:rsidRPr="00B2538B" w:rsidRDefault="001203D4" w:rsidP="00C27D51">
            <w:pPr>
              <w:spacing w:after="0"/>
              <w:jc w:val="center"/>
              <w:rPr>
                <w:rFonts w:cstheme="minorHAnsi"/>
                <w:b/>
                <w:color w:val="000000"/>
                <w:sz w:val="20"/>
                <w:szCs w:val="20"/>
              </w:rPr>
            </w:pPr>
            <w:r w:rsidRPr="001203D4">
              <w:rPr>
                <w:rFonts w:cstheme="minorHAnsi"/>
                <w:b/>
                <w:i/>
                <w:color w:val="000000"/>
                <w:sz w:val="20"/>
                <w:szCs w:val="20"/>
              </w:rPr>
              <w:t>P</w:t>
            </w:r>
            <w:r w:rsidR="00C27D51">
              <w:rPr>
                <w:rFonts w:cstheme="minorHAnsi"/>
                <w:b/>
                <w:color w:val="000000"/>
                <w:sz w:val="20"/>
                <w:szCs w:val="20"/>
              </w:rPr>
              <w:t>-</w:t>
            </w:r>
          </w:p>
        </w:tc>
      </w:tr>
      <w:tr w:rsidR="00C27D51" w:rsidRPr="00457FEC" w:rsidTr="00C27D51">
        <w:trPr>
          <w:trHeight w:val="300"/>
        </w:trPr>
        <w:tc>
          <w:tcPr>
            <w:tcW w:w="3871" w:type="dxa"/>
            <w:tcBorders>
              <w:top w:val="nil"/>
              <w:left w:val="nil"/>
              <w:bottom w:val="single" w:sz="4" w:space="0" w:color="auto"/>
              <w:right w:val="nil"/>
            </w:tcBorders>
            <w:shd w:val="clear" w:color="auto" w:fill="auto"/>
            <w:noWrap/>
            <w:vAlign w:val="bottom"/>
            <w:hideMark/>
          </w:tcPr>
          <w:p w:rsidR="00C27D51" w:rsidRPr="00B2538B" w:rsidRDefault="00C27D51" w:rsidP="00C27D51">
            <w:pPr>
              <w:spacing w:after="0"/>
              <w:rPr>
                <w:rFonts w:cstheme="minorHAnsi"/>
                <w:b/>
                <w:color w:val="000000"/>
                <w:sz w:val="20"/>
                <w:szCs w:val="20"/>
              </w:rPr>
            </w:pPr>
          </w:p>
        </w:tc>
        <w:tc>
          <w:tcPr>
            <w:tcW w:w="1134" w:type="dxa"/>
            <w:tcBorders>
              <w:top w:val="nil"/>
              <w:left w:val="nil"/>
              <w:bottom w:val="single" w:sz="4" w:space="0" w:color="auto"/>
              <w:right w:val="nil"/>
            </w:tcBorders>
            <w:shd w:val="clear" w:color="auto" w:fill="auto"/>
            <w:noWrap/>
            <w:vAlign w:val="center"/>
            <w:hideMark/>
          </w:tcPr>
          <w:p w:rsidR="00C27D51" w:rsidRPr="00B2538B" w:rsidRDefault="00C27D51" w:rsidP="00C27D51">
            <w:pPr>
              <w:spacing w:after="0"/>
              <w:jc w:val="center"/>
              <w:rPr>
                <w:rFonts w:cstheme="minorHAnsi"/>
                <w:b/>
                <w:color w:val="000000"/>
                <w:sz w:val="20"/>
                <w:szCs w:val="20"/>
              </w:rPr>
            </w:pPr>
            <w:r w:rsidRPr="00B2538B">
              <w:rPr>
                <w:rFonts w:cstheme="minorHAnsi"/>
                <w:b/>
                <w:color w:val="000000"/>
                <w:sz w:val="20"/>
                <w:szCs w:val="20"/>
              </w:rPr>
              <w:t>Baseline</w:t>
            </w:r>
          </w:p>
        </w:tc>
        <w:tc>
          <w:tcPr>
            <w:tcW w:w="1169" w:type="dxa"/>
            <w:tcBorders>
              <w:top w:val="nil"/>
              <w:left w:val="nil"/>
              <w:bottom w:val="single" w:sz="4" w:space="0" w:color="auto"/>
              <w:right w:val="nil"/>
            </w:tcBorders>
            <w:shd w:val="clear" w:color="auto" w:fill="auto"/>
            <w:noWrap/>
            <w:vAlign w:val="center"/>
            <w:hideMark/>
          </w:tcPr>
          <w:p w:rsidR="00C27D51" w:rsidRPr="00B2538B" w:rsidRDefault="00C27D51" w:rsidP="00C27D51">
            <w:pPr>
              <w:spacing w:after="0"/>
              <w:jc w:val="center"/>
              <w:rPr>
                <w:rFonts w:cstheme="minorHAnsi"/>
                <w:b/>
                <w:color w:val="000000"/>
                <w:sz w:val="20"/>
                <w:szCs w:val="20"/>
              </w:rPr>
            </w:pPr>
            <w:r w:rsidRPr="00B2538B">
              <w:rPr>
                <w:rFonts w:cstheme="minorHAnsi"/>
                <w:b/>
                <w:color w:val="000000"/>
                <w:sz w:val="20"/>
                <w:szCs w:val="20"/>
              </w:rPr>
              <w:t>Follow-up</w:t>
            </w:r>
          </w:p>
        </w:tc>
        <w:tc>
          <w:tcPr>
            <w:tcW w:w="945" w:type="dxa"/>
            <w:tcBorders>
              <w:top w:val="nil"/>
              <w:left w:val="nil"/>
              <w:bottom w:val="single" w:sz="4" w:space="0" w:color="auto"/>
              <w:right w:val="nil"/>
            </w:tcBorders>
            <w:vAlign w:val="center"/>
          </w:tcPr>
          <w:p w:rsidR="00C27D51" w:rsidRPr="00B2538B" w:rsidRDefault="00C27D51" w:rsidP="00C27D51">
            <w:pPr>
              <w:spacing w:after="0"/>
              <w:jc w:val="center"/>
              <w:rPr>
                <w:rFonts w:cstheme="minorHAnsi"/>
                <w:b/>
                <w:color w:val="000000"/>
                <w:sz w:val="20"/>
                <w:szCs w:val="20"/>
              </w:rPr>
            </w:pPr>
            <w:r>
              <w:rPr>
                <w:rFonts w:cstheme="minorHAnsi"/>
                <w:b/>
                <w:color w:val="000000"/>
                <w:sz w:val="20"/>
                <w:szCs w:val="20"/>
              </w:rPr>
              <w:t>value</w:t>
            </w:r>
            <w:r w:rsidRPr="000915B0">
              <w:rPr>
                <w:rFonts w:cstheme="minorHAnsi"/>
                <w:b/>
                <w:color w:val="000000"/>
                <w:sz w:val="20"/>
                <w:szCs w:val="20"/>
                <w:vertAlign w:val="superscript"/>
              </w:rPr>
              <w:t>†</w:t>
            </w:r>
          </w:p>
        </w:tc>
        <w:tc>
          <w:tcPr>
            <w:tcW w:w="1323" w:type="dxa"/>
            <w:tcBorders>
              <w:top w:val="nil"/>
              <w:left w:val="nil"/>
              <w:bottom w:val="single" w:sz="4" w:space="0" w:color="auto"/>
              <w:right w:val="nil"/>
            </w:tcBorders>
            <w:shd w:val="clear" w:color="auto" w:fill="auto"/>
            <w:noWrap/>
            <w:vAlign w:val="center"/>
            <w:hideMark/>
          </w:tcPr>
          <w:p w:rsidR="00C27D51" w:rsidRPr="00B2538B" w:rsidRDefault="00C27D51" w:rsidP="00C27D51">
            <w:pPr>
              <w:spacing w:after="0"/>
              <w:jc w:val="center"/>
              <w:rPr>
                <w:rFonts w:cstheme="minorHAnsi"/>
                <w:b/>
                <w:color w:val="000000"/>
                <w:sz w:val="20"/>
                <w:szCs w:val="20"/>
              </w:rPr>
            </w:pPr>
            <w:r w:rsidRPr="00B2538B">
              <w:rPr>
                <w:rFonts w:cstheme="minorHAnsi"/>
                <w:b/>
                <w:color w:val="000000"/>
                <w:sz w:val="20"/>
                <w:szCs w:val="20"/>
              </w:rPr>
              <w:t>Baseline</w:t>
            </w:r>
          </w:p>
        </w:tc>
        <w:tc>
          <w:tcPr>
            <w:tcW w:w="1170" w:type="dxa"/>
            <w:tcBorders>
              <w:top w:val="nil"/>
              <w:left w:val="nil"/>
              <w:bottom w:val="single" w:sz="4" w:space="0" w:color="auto"/>
              <w:right w:val="nil"/>
            </w:tcBorders>
            <w:shd w:val="clear" w:color="auto" w:fill="auto"/>
            <w:noWrap/>
            <w:vAlign w:val="center"/>
            <w:hideMark/>
          </w:tcPr>
          <w:p w:rsidR="00C27D51" w:rsidRPr="00B2538B" w:rsidRDefault="00C27D51" w:rsidP="00C27D51">
            <w:pPr>
              <w:spacing w:after="0"/>
              <w:jc w:val="center"/>
              <w:rPr>
                <w:rFonts w:cstheme="minorHAnsi"/>
                <w:b/>
                <w:color w:val="000000"/>
                <w:sz w:val="20"/>
                <w:szCs w:val="20"/>
              </w:rPr>
            </w:pPr>
            <w:r w:rsidRPr="00B2538B">
              <w:rPr>
                <w:rFonts w:cstheme="minorHAnsi"/>
                <w:b/>
                <w:color w:val="000000"/>
                <w:sz w:val="20"/>
                <w:szCs w:val="20"/>
              </w:rPr>
              <w:t>Follow-up</w:t>
            </w:r>
          </w:p>
        </w:tc>
        <w:tc>
          <w:tcPr>
            <w:tcW w:w="945" w:type="dxa"/>
            <w:tcBorders>
              <w:top w:val="nil"/>
              <w:left w:val="nil"/>
              <w:bottom w:val="single" w:sz="4" w:space="0" w:color="auto"/>
              <w:right w:val="nil"/>
            </w:tcBorders>
            <w:vAlign w:val="center"/>
          </w:tcPr>
          <w:p w:rsidR="00C27D51" w:rsidRPr="00B2538B" w:rsidRDefault="00C27D51" w:rsidP="00C27D51">
            <w:pPr>
              <w:spacing w:after="0"/>
              <w:jc w:val="center"/>
              <w:rPr>
                <w:rFonts w:cstheme="minorHAnsi"/>
                <w:b/>
                <w:color w:val="000000"/>
                <w:sz w:val="20"/>
                <w:szCs w:val="20"/>
              </w:rPr>
            </w:pPr>
            <w:r>
              <w:rPr>
                <w:rFonts w:cstheme="minorHAnsi"/>
                <w:b/>
                <w:color w:val="000000"/>
                <w:sz w:val="20"/>
                <w:szCs w:val="20"/>
              </w:rPr>
              <w:t>value</w:t>
            </w:r>
            <w:r w:rsidRPr="000915B0">
              <w:rPr>
                <w:rFonts w:cstheme="minorHAnsi"/>
                <w:b/>
                <w:color w:val="000000"/>
                <w:sz w:val="20"/>
                <w:szCs w:val="20"/>
                <w:vertAlign w:val="superscript"/>
              </w:rPr>
              <w:t>†</w:t>
            </w:r>
          </w:p>
        </w:tc>
      </w:tr>
      <w:tr w:rsidR="00C27D51" w:rsidRPr="00457FEC" w:rsidTr="00C27D51">
        <w:trPr>
          <w:trHeight w:val="300"/>
        </w:trPr>
        <w:tc>
          <w:tcPr>
            <w:tcW w:w="3871" w:type="dxa"/>
            <w:tcBorders>
              <w:top w:val="single" w:sz="4" w:space="0" w:color="auto"/>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Number of children (</w:t>
            </w:r>
            <w:r w:rsidR="001203D4" w:rsidRPr="001203D4">
              <w:rPr>
                <w:rFonts w:ascii="Calibri" w:hAnsi="Calibri"/>
                <w:i/>
                <w:color w:val="000000"/>
              </w:rPr>
              <w:t>n</w:t>
            </w:r>
            <w:r>
              <w:rPr>
                <w:rFonts w:ascii="Calibri" w:hAnsi="Calibri"/>
                <w:color w:val="000000"/>
              </w:rPr>
              <w:t>(%))</w:t>
            </w:r>
          </w:p>
        </w:tc>
        <w:tc>
          <w:tcPr>
            <w:tcW w:w="1134" w:type="dxa"/>
            <w:tcBorders>
              <w:top w:val="single" w:sz="4" w:space="0" w:color="auto"/>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1169" w:type="dxa"/>
            <w:tcBorders>
              <w:top w:val="single" w:sz="4" w:space="0" w:color="auto"/>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945" w:type="dxa"/>
            <w:tcBorders>
              <w:top w:val="single" w:sz="4" w:space="0" w:color="auto"/>
              <w:left w:val="nil"/>
              <w:bottom w:val="nil"/>
              <w:right w:val="nil"/>
            </w:tcBorders>
            <w:vAlign w:val="center"/>
          </w:tcPr>
          <w:p w:rsidR="00C27D51" w:rsidRPr="00B2538B" w:rsidRDefault="00C27D51" w:rsidP="00C27D51">
            <w:pPr>
              <w:spacing w:after="0"/>
              <w:jc w:val="center"/>
              <w:rPr>
                <w:rFonts w:cstheme="minorHAnsi"/>
                <w:color w:val="000000"/>
                <w:sz w:val="20"/>
                <w:szCs w:val="20"/>
              </w:rPr>
            </w:pPr>
            <w:r>
              <w:rPr>
                <w:rFonts w:cstheme="minorHAnsi"/>
                <w:color w:val="000000"/>
                <w:sz w:val="20"/>
                <w:szCs w:val="20"/>
              </w:rPr>
              <w:t>&lt;0.0001</w:t>
            </w:r>
          </w:p>
        </w:tc>
        <w:tc>
          <w:tcPr>
            <w:tcW w:w="1323" w:type="dxa"/>
            <w:tcBorders>
              <w:top w:val="single" w:sz="4" w:space="0" w:color="auto"/>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1170" w:type="dxa"/>
            <w:tcBorders>
              <w:top w:val="single" w:sz="4" w:space="0" w:color="auto"/>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945" w:type="dxa"/>
            <w:tcBorders>
              <w:top w:val="single" w:sz="4" w:space="0" w:color="auto"/>
              <w:left w:val="nil"/>
              <w:bottom w:val="nil"/>
              <w:right w:val="nil"/>
            </w:tcBorders>
            <w:vAlign w:val="center"/>
          </w:tcPr>
          <w:p w:rsidR="00C27D51" w:rsidRPr="00B2538B" w:rsidRDefault="00C27D51" w:rsidP="00C27D51">
            <w:pPr>
              <w:spacing w:after="0"/>
              <w:jc w:val="center"/>
              <w:rPr>
                <w:rFonts w:cstheme="minorHAnsi"/>
                <w:color w:val="000000"/>
                <w:sz w:val="20"/>
                <w:szCs w:val="20"/>
              </w:rPr>
            </w:pPr>
            <w:r>
              <w:rPr>
                <w:rFonts w:cstheme="minorHAnsi"/>
                <w:color w:val="000000"/>
                <w:sz w:val="20"/>
                <w:szCs w:val="20"/>
              </w:rPr>
              <w:t>&lt;0.0001</w:t>
            </w:r>
          </w:p>
        </w:tc>
      </w:tr>
      <w:tr w:rsidR="00C27D51" w:rsidRPr="00457FEC" w:rsidTr="00C27D51">
        <w:trPr>
          <w:trHeight w:val="300"/>
        </w:trPr>
        <w:tc>
          <w:tcPr>
            <w:tcW w:w="3871"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 xml:space="preserve">   0</w:t>
            </w:r>
          </w:p>
        </w:tc>
        <w:tc>
          <w:tcPr>
            <w:tcW w:w="1134"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2 (0.8)</w:t>
            </w:r>
          </w:p>
        </w:tc>
        <w:tc>
          <w:tcPr>
            <w:tcW w:w="1169"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 (0.4)</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c>
          <w:tcPr>
            <w:tcW w:w="1323"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2 (0.8)</w:t>
            </w:r>
          </w:p>
        </w:tc>
        <w:tc>
          <w:tcPr>
            <w:tcW w:w="1170"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3 (1.1)</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r>
      <w:tr w:rsidR="00C27D51" w:rsidRPr="00457FEC" w:rsidTr="00C27D51">
        <w:trPr>
          <w:trHeight w:val="300"/>
        </w:trPr>
        <w:tc>
          <w:tcPr>
            <w:tcW w:w="3871"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 xml:space="preserve">   1</w:t>
            </w:r>
          </w:p>
        </w:tc>
        <w:tc>
          <w:tcPr>
            <w:tcW w:w="1134"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116 (47.7)</w:t>
            </w:r>
          </w:p>
        </w:tc>
        <w:tc>
          <w:tcPr>
            <w:tcW w:w="1169"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74 (30.5)</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c>
          <w:tcPr>
            <w:tcW w:w="1323"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136 (51.1)</w:t>
            </w:r>
          </w:p>
        </w:tc>
        <w:tc>
          <w:tcPr>
            <w:tcW w:w="1170"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75 (28.2)</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r>
      <w:tr w:rsidR="00C27D51" w:rsidRPr="00457FEC" w:rsidTr="00C27D51">
        <w:trPr>
          <w:trHeight w:val="300"/>
        </w:trPr>
        <w:tc>
          <w:tcPr>
            <w:tcW w:w="3871"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 xml:space="preserve">   2</w:t>
            </w:r>
          </w:p>
        </w:tc>
        <w:tc>
          <w:tcPr>
            <w:tcW w:w="1134"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80 (32.9)</w:t>
            </w:r>
          </w:p>
        </w:tc>
        <w:tc>
          <w:tcPr>
            <w:tcW w:w="1169"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114 (46.9)</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c>
          <w:tcPr>
            <w:tcW w:w="1323"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88 (33.1)</w:t>
            </w:r>
          </w:p>
        </w:tc>
        <w:tc>
          <w:tcPr>
            <w:tcW w:w="1170"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139 (52.3)</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r>
      <w:tr w:rsidR="00C27D51" w:rsidRPr="00457FEC" w:rsidTr="00C27D51">
        <w:trPr>
          <w:trHeight w:val="300"/>
        </w:trPr>
        <w:tc>
          <w:tcPr>
            <w:tcW w:w="3871"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 xml:space="preserve">   3</w:t>
            </w:r>
          </w:p>
        </w:tc>
        <w:tc>
          <w:tcPr>
            <w:tcW w:w="1134"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29 (11.9)</w:t>
            </w:r>
          </w:p>
        </w:tc>
        <w:tc>
          <w:tcPr>
            <w:tcW w:w="1169"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38 (15.6)</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c>
          <w:tcPr>
            <w:tcW w:w="1323"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25 (9.4)</w:t>
            </w:r>
          </w:p>
        </w:tc>
        <w:tc>
          <w:tcPr>
            <w:tcW w:w="1170"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35 (13.2)</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r>
      <w:tr w:rsidR="00C27D51" w:rsidRPr="00457FEC" w:rsidTr="00C27D51">
        <w:trPr>
          <w:trHeight w:val="300"/>
        </w:trPr>
        <w:tc>
          <w:tcPr>
            <w:tcW w:w="3871"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 xml:space="preserve">   4</w:t>
            </w:r>
          </w:p>
        </w:tc>
        <w:tc>
          <w:tcPr>
            <w:tcW w:w="1134"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14 (5.8)</w:t>
            </w:r>
          </w:p>
        </w:tc>
        <w:tc>
          <w:tcPr>
            <w:tcW w:w="1169"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12 (4.9)</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c>
          <w:tcPr>
            <w:tcW w:w="1323"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11 (4.1)</w:t>
            </w:r>
          </w:p>
        </w:tc>
        <w:tc>
          <w:tcPr>
            <w:tcW w:w="1170"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10 (3.8)</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r>
      <w:tr w:rsidR="00C27D51" w:rsidRPr="00457FEC" w:rsidTr="00C27D51">
        <w:trPr>
          <w:trHeight w:val="300"/>
        </w:trPr>
        <w:tc>
          <w:tcPr>
            <w:tcW w:w="3871"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 xml:space="preserve">   5</w:t>
            </w:r>
          </w:p>
        </w:tc>
        <w:tc>
          <w:tcPr>
            <w:tcW w:w="1134"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2 (0.8)</w:t>
            </w:r>
          </w:p>
        </w:tc>
        <w:tc>
          <w:tcPr>
            <w:tcW w:w="1169"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3 (1.2)</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c>
          <w:tcPr>
            <w:tcW w:w="1323"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3 (1.1)</w:t>
            </w:r>
          </w:p>
        </w:tc>
        <w:tc>
          <w:tcPr>
            <w:tcW w:w="1170"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2 (0.8)</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r>
      <w:tr w:rsidR="00C27D51" w:rsidRPr="00457FEC" w:rsidTr="00C27D51">
        <w:trPr>
          <w:trHeight w:val="300"/>
        </w:trPr>
        <w:tc>
          <w:tcPr>
            <w:tcW w:w="3871"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 xml:space="preserve">   6</w:t>
            </w:r>
          </w:p>
        </w:tc>
        <w:tc>
          <w:tcPr>
            <w:tcW w:w="1134"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0 (0.0)</w:t>
            </w:r>
          </w:p>
        </w:tc>
        <w:tc>
          <w:tcPr>
            <w:tcW w:w="1169"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 (0.4)</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c>
          <w:tcPr>
            <w:tcW w:w="1323"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 (0.4)</w:t>
            </w:r>
          </w:p>
        </w:tc>
        <w:tc>
          <w:tcPr>
            <w:tcW w:w="1170"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 (0.4)</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r>
      <w:tr w:rsidR="00C27D51" w:rsidRPr="00457FEC" w:rsidTr="00C27D51">
        <w:trPr>
          <w:trHeight w:val="300"/>
        </w:trPr>
        <w:tc>
          <w:tcPr>
            <w:tcW w:w="3871"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 xml:space="preserve">   7</w:t>
            </w:r>
          </w:p>
        </w:tc>
        <w:tc>
          <w:tcPr>
            <w:tcW w:w="1134"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0 (0.0)</w:t>
            </w:r>
          </w:p>
        </w:tc>
        <w:tc>
          <w:tcPr>
            <w:tcW w:w="1169"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0 (0.0)</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c>
          <w:tcPr>
            <w:tcW w:w="1323"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0 (0.0)</w:t>
            </w:r>
          </w:p>
        </w:tc>
        <w:tc>
          <w:tcPr>
            <w:tcW w:w="1170"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 (0.4)</w:t>
            </w: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r>
      <w:tr w:rsidR="00C27D51" w:rsidRPr="00457FEC" w:rsidTr="00C27D51">
        <w:trPr>
          <w:trHeight w:val="300"/>
        </w:trPr>
        <w:tc>
          <w:tcPr>
            <w:tcW w:w="3871"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1134"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1169"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c>
          <w:tcPr>
            <w:tcW w:w="1323"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1170"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p>
        </w:tc>
      </w:tr>
      <w:tr w:rsidR="00C27D51" w:rsidRPr="00457FEC" w:rsidTr="00C27D51">
        <w:trPr>
          <w:trHeight w:val="300"/>
        </w:trPr>
        <w:tc>
          <w:tcPr>
            <w:tcW w:w="3871"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Paid work over the past 7 days (n(%))</w:t>
            </w:r>
          </w:p>
        </w:tc>
        <w:tc>
          <w:tcPr>
            <w:tcW w:w="1134"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1169"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r w:rsidRPr="008C3ED7">
              <w:rPr>
                <w:rFonts w:cstheme="minorHAnsi"/>
                <w:color w:val="000000"/>
                <w:sz w:val="20"/>
                <w:szCs w:val="20"/>
              </w:rPr>
              <w:t>0.0017</w:t>
            </w:r>
          </w:p>
        </w:tc>
        <w:tc>
          <w:tcPr>
            <w:tcW w:w="1323"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1170" w:type="dxa"/>
            <w:tcBorders>
              <w:top w:val="nil"/>
              <w:left w:val="nil"/>
              <w:bottom w:val="nil"/>
              <w:right w:val="nil"/>
            </w:tcBorders>
            <w:shd w:val="clear" w:color="auto" w:fill="auto"/>
            <w:noWrap/>
            <w:vAlign w:val="bottom"/>
            <w:hideMark/>
          </w:tcPr>
          <w:p w:rsidR="00C27D51" w:rsidRDefault="00C27D51" w:rsidP="00C27D51">
            <w:pPr>
              <w:spacing w:after="0"/>
              <w:rPr>
                <w:rFonts w:ascii="Calibri" w:hAnsi="Calibri"/>
                <w:color w:val="000000"/>
              </w:rPr>
            </w:pPr>
          </w:p>
        </w:tc>
        <w:tc>
          <w:tcPr>
            <w:tcW w:w="945" w:type="dxa"/>
            <w:tcBorders>
              <w:top w:val="nil"/>
              <w:left w:val="nil"/>
              <w:bottom w:val="nil"/>
              <w:right w:val="nil"/>
            </w:tcBorders>
            <w:vAlign w:val="center"/>
          </w:tcPr>
          <w:p w:rsidR="00C27D51" w:rsidRPr="00B2538B" w:rsidRDefault="00C27D51" w:rsidP="00C27D51">
            <w:pPr>
              <w:spacing w:after="0"/>
              <w:jc w:val="center"/>
              <w:rPr>
                <w:rFonts w:cstheme="minorHAnsi"/>
                <w:color w:val="000000"/>
                <w:sz w:val="20"/>
                <w:szCs w:val="20"/>
              </w:rPr>
            </w:pPr>
            <w:r>
              <w:rPr>
                <w:rFonts w:cstheme="minorHAnsi"/>
                <w:color w:val="000000"/>
                <w:sz w:val="20"/>
                <w:szCs w:val="20"/>
              </w:rPr>
              <w:t>&lt;0.0001</w:t>
            </w:r>
          </w:p>
        </w:tc>
      </w:tr>
      <w:tr w:rsidR="00C27D51" w:rsidRPr="00457FEC" w:rsidTr="00C27D51">
        <w:trPr>
          <w:trHeight w:val="300"/>
        </w:trPr>
        <w:tc>
          <w:tcPr>
            <w:tcW w:w="3871" w:type="dxa"/>
            <w:tcBorders>
              <w:top w:val="nil"/>
              <w:left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 xml:space="preserve">  No</w:t>
            </w:r>
          </w:p>
        </w:tc>
        <w:tc>
          <w:tcPr>
            <w:tcW w:w="1134" w:type="dxa"/>
            <w:tcBorders>
              <w:top w:val="nil"/>
              <w:left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154 (63.4)</w:t>
            </w:r>
          </w:p>
        </w:tc>
        <w:tc>
          <w:tcPr>
            <w:tcW w:w="1169" w:type="dxa"/>
            <w:tcBorders>
              <w:top w:val="nil"/>
              <w:left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125 (51.4)</w:t>
            </w:r>
          </w:p>
        </w:tc>
        <w:tc>
          <w:tcPr>
            <w:tcW w:w="945" w:type="dxa"/>
            <w:tcBorders>
              <w:top w:val="nil"/>
              <w:left w:val="nil"/>
              <w:right w:val="nil"/>
            </w:tcBorders>
            <w:vAlign w:val="center"/>
          </w:tcPr>
          <w:p w:rsidR="00C27D51" w:rsidRPr="00B2538B" w:rsidRDefault="00C27D51" w:rsidP="00C27D51">
            <w:pPr>
              <w:spacing w:after="0"/>
              <w:jc w:val="center"/>
              <w:rPr>
                <w:rFonts w:cstheme="minorHAnsi"/>
                <w:color w:val="000000"/>
                <w:sz w:val="20"/>
                <w:szCs w:val="20"/>
              </w:rPr>
            </w:pPr>
          </w:p>
        </w:tc>
        <w:tc>
          <w:tcPr>
            <w:tcW w:w="1323" w:type="dxa"/>
            <w:tcBorders>
              <w:top w:val="nil"/>
              <w:left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185 (69.</w:t>
            </w:r>
            <w:r w:rsidR="005E63FB">
              <w:rPr>
                <w:rFonts w:ascii="Calibri" w:hAnsi="Calibri"/>
                <w:color w:val="000000"/>
              </w:rPr>
              <w:t>6</w:t>
            </w:r>
            <w:r>
              <w:rPr>
                <w:rFonts w:ascii="Calibri" w:hAnsi="Calibri"/>
                <w:color w:val="000000"/>
              </w:rPr>
              <w:t>)</w:t>
            </w:r>
          </w:p>
        </w:tc>
        <w:tc>
          <w:tcPr>
            <w:tcW w:w="1170" w:type="dxa"/>
            <w:tcBorders>
              <w:top w:val="nil"/>
              <w:left w:val="nil"/>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122 (45.9)</w:t>
            </w:r>
          </w:p>
        </w:tc>
        <w:tc>
          <w:tcPr>
            <w:tcW w:w="945" w:type="dxa"/>
            <w:tcBorders>
              <w:top w:val="nil"/>
              <w:left w:val="nil"/>
              <w:right w:val="nil"/>
            </w:tcBorders>
            <w:vAlign w:val="center"/>
          </w:tcPr>
          <w:p w:rsidR="00C27D51" w:rsidRPr="00B2538B" w:rsidRDefault="00C27D51" w:rsidP="00C27D51">
            <w:pPr>
              <w:spacing w:after="0"/>
              <w:jc w:val="center"/>
              <w:rPr>
                <w:rFonts w:cstheme="minorHAnsi"/>
                <w:color w:val="000000"/>
                <w:sz w:val="20"/>
                <w:szCs w:val="20"/>
              </w:rPr>
            </w:pPr>
          </w:p>
        </w:tc>
      </w:tr>
      <w:tr w:rsidR="00C27D51" w:rsidRPr="00457FEC" w:rsidTr="00C27D51">
        <w:trPr>
          <w:trHeight w:val="300"/>
        </w:trPr>
        <w:tc>
          <w:tcPr>
            <w:tcW w:w="3871" w:type="dxa"/>
            <w:tcBorders>
              <w:top w:val="nil"/>
              <w:left w:val="nil"/>
              <w:bottom w:val="single" w:sz="4" w:space="0" w:color="auto"/>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 xml:space="preserve">  Yes</w:t>
            </w:r>
          </w:p>
        </w:tc>
        <w:tc>
          <w:tcPr>
            <w:tcW w:w="1134" w:type="dxa"/>
            <w:tcBorders>
              <w:top w:val="nil"/>
              <w:left w:val="nil"/>
              <w:bottom w:val="single" w:sz="4" w:space="0" w:color="auto"/>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89 (36.6)</w:t>
            </w:r>
          </w:p>
        </w:tc>
        <w:tc>
          <w:tcPr>
            <w:tcW w:w="1169" w:type="dxa"/>
            <w:tcBorders>
              <w:top w:val="nil"/>
              <w:left w:val="nil"/>
              <w:bottom w:val="single" w:sz="4" w:space="0" w:color="auto"/>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118 (48.6)</w:t>
            </w:r>
          </w:p>
        </w:tc>
        <w:tc>
          <w:tcPr>
            <w:tcW w:w="945" w:type="dxa"/>
            <w:tcBorders>
              <w:top w:val="nil"/>
              <w:left w:val="nil"/>
              <w:bottom w:val="single" w:sz="4" w:space="0" w:color="auto"/>
              <w:right w:val="nil"/>
            </w:tcBorders>
            <w:vAlign w:val="center"/>
          </w:tcPr>
          <w:p w:rsidR="00C27D51" w:rsidRPr="00B2538B" w:rsidRDefault="00C27D51" w:rsidP="00C27D51">
            <w:pPr>
              <w:spacing w:after="0"/>
              <w:jc w:val="center"/>
              <w:rPr>
                <w:rFonts w:cstheme="minorHAnsi"/>
                <w:color w:val="000000"/>
                <w:sz w:val="20"/>
                <w:szCs w:val="20"/>
              </w:rPr>
            </w:pPr>
          </w:p>
        </w:tc>
        <w:tc>
          <w:tcPr>
            <w:tcW w:w="1323" w:type="dxa"/>
            <w:tcBorders>
              <w:top w:val="nil"/>
              <w:left w:val="nil"/>
              <w:bottom w:val="single" w:sz="4" w:space="0" w:color="auto"/>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81 (30.5)</w:t>
            </w:r>
          </w:p>
        </w:tc>
        <w:tc>
          <w:tcPr>
            <w:tcW w:w="1170" w:type="dxa"/>
            <w:tcBorders>
              <w:top w:val="nil"/>
              <w:left w:val="nil"/>
              <w:bottom w:val="single" w:sz="4" w:space="0" w:color="auto"/>
              <w:right w:val="nil"/>
            </w:tcBorders>
            <w:shd w:val="clear" w:color="auto" w:fill="auto"/>
            <w:noWrap/>
            <w:vAlign w:val="bottom"/>
            <w:hideMark/>
          </w:tcPr>
          <w:p w:rsidR="00C27D51" w:rsidRDefault="00C27D51" w:rsidP="00C27D51">
            <w:pPr>
              <w:spacing w:after="0"/>
              <w:rPr>
                <w:rFonts w:ascii="Calibri" w:hAnsi="Calibri"/>
                <w:color w:val="000000"/>
              </w:rPr>
            </w:pPr>
            <w:r>
              <w:rPr>
                <w:rFonts w:ascii="Calibri" w:hAnsi="Calibri"/>
                <w:color w:val="000000"/>
              </w:rPr>
              <w:t>144 (54.1)</w:t>
            </w:r>
          </w:p>
        </w:tc>
        <w:tc>
          <w:tcPr>
            <w:tcW w:w="945" w:type="dxa"/>
            <w:tcBorders>
              <w:top w:val="nil"/>
              <w:left w:val="nil"/>
              <w:bottom w:val="single" w:sz="4" w:space="0" w:color="auto"/>
              <w:right w:val="nil"/>
            </w:tcBorders>
            <w:vAlign w:val="center"/>
          </w:tcPr>
          <w:p w:rsidR="00C27D51" w:rsidRPr="00B2538B" w:rsidRDefault="00C27D51" w:rsidP="00C27D51">
            <w:pPr>
              <w:spacing w:after="0"/>
              <w:jc w:val="center"/>
              <w:rPr>
                <w:rFonts w:cstheme="minorHAnsi"/>
                <w:color w:val="000000"/>
                <w:sz w:val="20"/>
                <w:szCs w:val="20"/>
              </w:rPr>
            </w:pPr>
          </w:p>
        </w:tc>
      </w:tr>
    </w:tbl>
    <w:p w:rsidR="00472587" w:rsidRDefault="00472587" w:rsidP="00472587">
      <w:pPr>
        <w:spacing w:after="0"/>
        <w:rPr>
          <w:b/>
        </w:rPr>
      </w:pPr>
    </w:p>
    <w:p w:rsidR="00472587" w:rsidRDefault="00472587" w:rsidP="00472587">
      <w:pPr>
        <w:spacing w:after="0"/>
        <w:rPr>
          <w:rFonts w:cstheme="minorHAnsi"/>
          <w:color w:val="000000"/>
          <w:sz w:val="20"/>
          <w:szCs w:val="20"/>
        </w:rPr>
      </w:pPr>
      <w:r w:rsidRPr="008C3ED7">
        <w:rPr>
          <w:rFonts w:cstheme="minorHAnsi"/>
          <w:color w:val="000000"/>
          <w:sz w:val="20"/>
          <w:szCs w:val="20"/>
          <w:vertAlign w:val="superscript"/>
        </w:rPr>
        <w:t>†</w:t>
      </w:r>
      <w:r>
        <w:rPr>
          <w:rFonts w:cstheme="minorHAnsi"/>
          <w:color w:val="000000"/>
          <w:sz w:val="20"/>
          <w:szCs w:val="20"/>
        </w:rPr>
        <w:t xml:space="preserve"> Wilcox</w:t>
      </w:r>
      <w:r w:rsidR="00C2160B">
        <w:rPr>
          <w:rFonts w:cstheme="minorHAnsi"/>
          <w:color w:val="000000"/>
          <w:sz w:val="20"/>
          <w:szCs w:val="20"/>
        </w:rPr>
        <w:t>o</w:t>
      </w:r>
      <w:r>
        <w:rPr>
          <w:rFonts w:cstheme="minorHAnsi"/>
          <w:color w:val="000000"/>
          <w:sz w:val="20"/>
          <w:szCs w:val="20"/>
        </w:rPr>
        <w:t>n matched pairs signed rank test</w:t>
      </w:r>
    </w:p>
    <w:p w:rsidR="00472587" w:rsidRDefault="00472587" w:rsidP="00C32939">
      <w:pPr>
        <w:autoSpaceDE w:val="0"/>
        <w:autoSpaceDN w:val="0"/>
        <w:adjustRightInd w:val="0"/>
        <w:spacing w:after="0" w:line="360" w:lineRule="auto"/>
        <w:rPr>
          <w:rFonts w:cstheme="minorHAnsi"/>
        </w:rPr>
      </w:pPr>
    </w:p>
    <w:p w:rsidR="00B75AF2" w:rsidRDefault="00B75AF2" w:rsidP="00C32939">
      <w:pPr>
        <w:autoSpaceDE w:val="0"/>
        <w:autoSpaceDN w:val="0"/>
        <w:adjustRightInd w:val="0"/>
        <w:spacing w:after="0" w:line="360" w:lineRule="auto"/>
        <w:rPr>
          <w:rFonts w:cstheme="minorHAnsi"/>
        </w:rPr>
      </w:pPr>
    </w:p>
    <w:p w:rsidR="00C32939" w:rsidRDefault="00231ECC" w:rsidP="00C32939">
      <w:pPr>
        <w:autoSpaceDE w:val="0"/>
        <w:autoSpaceDN w:val="0"/>
        <w:adjustRightInd w:val="0"/>
        <w:spacing w:after="0" w:line="360" w:lineRule="auto"/>
        <w:rPr>
          <w:rFonts w:cstheme="minorHAnsi"/>
        </w:rPr>
      </w:pPr>
      <w:r>
        <w:rPr>
          <w:rFonts w:cstheme="minorHAnsi"/>
        </w:rPr>
        <w:t>The decline in dietary quality between baseline and follow</w:t>
      </w:r>
      <w:r w:rsidR="00A432BE">
        <w:rPr>
          <w:rFonts w:cstheme="minorHAnsi"/>
        </w:rPr>
        <w:t>-</w:t>
      </w:r>
      <w:r>
        <w:rPr>
          <w:rFonts w:cstheme="minorHAnsi"/>
        </w:rPr>
        <w:t>up was not explained by the increased number of children, increasing age of children o</w:t>
      </w:r>
      <w:r w:rsidR="00B75AF2">
        <w:rPr>
          <w:rFonts w:cstheme="minorHAnsi"/>
        </w:rPr>
        <w:t>r</w:t>
      </w:r>
      <w:r>
        <w:rPr>
          <w:rFonts w:cstheme="minorHAnsi"/>
        </w:rPr>
        <w:t xml:space="preserve"> by being in paid work. In a fully adjusted regression model, the only significant predictor of dietary decline was educational attainment</w:t>
      </w:r>
      <w:r w:rsidR="008E41B1">
        <w:rPr>
          <w:rFonts w:cstheme="minorHAnsi"/>
        </w:rPr>
        <w:t>, a relationship described above</w:t>
      </w:r>
      <w:r w:rsidR="00B75AF2">
        <w:rPr>
          <w:rFonts w:cstheme="minorHAnsi"/>
        </w:rPr>
        <w:t>.</w:t>
      </w:r>
      <w:r w:rsidR="005752EE">
        <w:rPr>
          <w:rFonts w:cstheme="minorHAnsi"/>
        </w:rPr>
        <w:t xml:space="preserve"> </w:t>
      </w:r>
      <w:r w:rsidR="00591F7B">
        <w:rPr>
          <w:rFonts w:cstheme="minorHAnsi"/>
        </w:rPr>
        <w:t>Being in paid work was</w:t>
      </w:r>
      <w:r w:rsidR="00B75AF2">
        <w:rPr>
          <w:rFonts w:cstheme="minorHAnsi"/>
        </w:rPr>
        <w:t xml:space="preserve">, however, </w:t>
      </w:r>
      <w:r w:rsidR="00591F7B">
        <w:rPr>
          <w:rFonts w:cstheme="minorHAnsi"/>
        </w:rPr>
        <w:t xml:space="preserve">associated with higher </w:t>
      </w:r>
      <w:r w:rsidR="00280051">
        <w:rPr>
          <w:rFonts w:cstheme="minorHAnsi"/>
        </w:rPr>
        <w:t>self-efficacy</w:t>
      </w:r>
      <w:r w:rsidR="00591F7B">
        <w:rPr>
          <w:rFonts w:cstheme="minorHAnsi"/>
        </w:rPr>
        <w:t xml:space="preserve"> at follow</w:t>
      </w:r>
      <w:r w:rsidR="00A432BE">
        <w:rPr>
          <w:rFonts w:cstheme="minorHAnsi"/>
        </w:rPr>
        <w:t>-</w:t>
      </w:r>
      <w:r w:rsidR="00591F7B">
        <w:rPr>
          <w:rFonts w:cstheme="minorHAnsi"/>
        </w:rPr>
        <w:t xml:space="preserve">up compared with </w:t>
      </w:r>
      <w:r w:rsidR="00B75AF2">
        <w:rPr>
          <w:rFonts w:cstheme="minorHAnsi"/>
        </w:rPr>
        <w:t>basel</w:t>
      </w:r>
      <w:r w:rsidR="00501196">
        <w:rPr>
          <w:rFonts w:cstheme="minorHAnsi"/>
        </w:rPr>
        <w:t>ine</w:t>
      </w:r>
      <w:r w:rsidR="00591F7B">
        <w:rPr>
          <w:rFonts w:cstheme="minorHAnsi"/>
        </w:rPr>
        <w:t xml:space="preserve"> levels </w:t>
      </w:r>
      <w:r w:rsidR="00501196">
        <w:rPr>
          <w:rFonts w:cstheme="minorHAnsi"/>
        </w:rPr>
        <w:t>(</w:t>
      </w:r>
      <w:r w:rsidR="001203D4" w:rsidRPr="001203D4">
        <w:rPr>
          <w:rFonts w:cstheme="minorHAnsi"/>
          <w:i/>
        </w:rPr>
        <w:t>β</w:t>
      </w:r>
      <w:r w:rsidR="006B428A">
        <w:rPr>
          <w:rFonts w:cstheme="minorHAnsi"/>
        </w:rPr>
        <w:t>=0.31. 95% CI 0.05</w:t>
      </w:r>
      <w:r w:rsidR="002A7D83">
        <w:rPr>
          <w:rFonts w:cstheme="minorHAnsi"/>
        </w:rPr>
        <w:t>5</w:t>
      </w:r>
      <w:r w:rsidR="006E5BC2">
        <w:rPr>
          <w:rFonts w:cstheme="minorHAnsi"/>
        </w:rPr>
        <w:t xml:space="preserve"> to</w:t>
      </w:r>
      <w:r w:rsidR="006B428A">
        <w:rPr>
          <w:rFonts w:cstheme="minorHAnsi"/>
        </w:rPr>
        <w:t xml:space="preserve"> 0.5</w:t>
      </w:r>
      <w:r w:rsidR="002A7D83">
        <w:rPr>
          <w:rFonts w:cstheme="minorHAnsi"/>
        </w:rPr>
        <w:t>7</w:t>
      </w:r>
      <w:r w:rsidR="006B428A">
        <w:rPr>
          <w:rFonts w:cstheme="minorHAnsi"/>
        </w:rPr>
        <w:t xml:space="preserve">, </w:t>
      </w:r>
      <w:r w:rsidR="001203D4" w:rsidRPr="001203D4">
        <w:rPr>
          <w:rFonts w:cstheme="minorHAnsi"/>
          <w:i/>
        </w:rPr>
        <w:t>P</w:t>
      </w:r>
      <w:r w:rsidR="00501196">
        <w:rPr>
          <w:rFonts w:cstheme="minorHAnsi"/>
        </w:rPr>
        <w:t>=0.017)</w:t>
      </w:r>
      <w:r w:rsidR="00B75AF2">
        <w:rPr>
          <w:rFonts w:cstheme="minorHAnsi"/>
        </w:rPr>
        <w:t xml:space="preserve">. </w:t>
      </w:r>
      <w:r w:rsidR="00501196">
        <w:rPr>
          <w:rFonts w:cstheme="minorHAnsi"/>
        </w:rPr>
        <w:t xml:space="preserve"> Being in paid work was also </w:t>
      </w:r>
      <w:r w:rsidR="008E41B1">
        <w:rPr>
          <w:rFonts w:cstheme="minorHAnsi"/>
        </w:rPr>
        <w:lastRenderedPageBreak/>
        <w:t xml:space="preserve">strongly </w:t>
      </w:r>
      <w:r w:rsidR="00E43A06">
        <w:rPr>
          <w:rFonts w:cstheme="minorHAnsi"/>
        </w:rPr>
        <w:t>related to</w:t>
      </w:r>
      <w:r w:rsidR="00501196">
        <w:rPr>
          <w:rFonts w:cstheme="minorHAnsi"/>
        </w:rPr>
        <w:t xml:space="preserve"> increased </w:t>
      </w:r>
      <w:r w:rsidR="008E41B1">
        <w:rPr>
          <w:rFonts w:cstheme="minorHAnsi"/>
        </w:rPr>
        <w:t xml:space="preserve">level of </w:t>
      </w:r>
      <w:r w:rsidR="00501196">
        <w:rPr>
          <w:rFonts w:cstheme="minorHAnsi"/>
        </w:rPr>
        <w:t>physical activity between baseline and follow</w:t>
      </w:r>
      <w:r w:rsidR="00A432BE">
        <w:rPr>
          <w:rFonts w:cstheme="minorHAnsi"/>
        </w:rPr>
        <w:t>-</w:t>
      </w:r>
      <w:r w:rsidR="00501196">
        <w:rPr>
          <w:rFonts w:cstheme="minorHAnsi"/>
        </w:rPr>
        <w:t>up (</w:t>
      </w:r>
      <w:r w:rsidR="001203D4" w:rsidRPr="001203D4">
        <w:rPr>
          <w:rFonts w:cstheme="minorHAnsi"/>
          <w:i/>
        </w:rPr>
        <w:t>β</w:t>
      </w:r>
      <w:r w:rsidR="00441340">
        <w:rPr>
          <w:rFonts w:cstheme="minorHAnsi"/>
        </w:rPr>
        <w:t>=</w:t>
      </w:r>
      <w:r w:rsidR="00376413">
        <w:rPr>
          <w:rFonts w:cstheme="minorHAnsi"/>
        </w:rPr>
        <w:t>0</w:t>
      </w:r>
      <w:r w:rsidR="00441340">
        <w:rPr>
          <w:rFonts w:cstheme="minorHAnsi"/>
        </w:rPr>
        <w:t>.7</w:t>
      </w:r>
      <w:r w:rsidR="002A7D83">
        <w:rPr>
          <w:rFonts w:cstheme="minorHAnsi"/>
        </w:rPr>
        <w:t>7</w:t>
      </w:r>
      <w:r w:rsidR="00441340">
        <w:rPr>
          <w:rFonts w:cstheme="minorHAnsi"/>
        </w:rPr>
        <w:t xml:space="preserve">, </w:t>
      </w:r>
      <w:r w:rsidR="00AB29BE">
        <w:rPr>
          <w:rFonts w:cstheme="minorHAnsi"/>
        </w:rPr>
        <w:t>95% CI 0.5</w:t>
      </w:r>
      <w:r w:rsidR="002A7D83">
        <w:rPr>
          <w:rFonts w:cstheme="minorHAnsi"/>
        </w:rPr>
        <w:t>9</w:t>
      </w:r>
      <w:r w:rsidR="006E5BC2">
        <w:rPr>
          <w:rFonts w:cstheme="minorHAnsi"/>
        </w:rPr>
        <w:t xml:space="preserve"> to </w:t>
      </w:r>
      <w:r w:rsidR="00AB29BE">
        <w:rPr>
          <w:rFonts w:cstheme="minorHAnsi"/>
        </w:rPr>
        <w:t>0.9</w:t>
      </w:r>
      <w:r w:rsidR="002A7D83">
        <w:rPr>
          <w:rFonts w:cstheme="minorHAnsi"/>
        </w:rPr>
        <w:t>7</w:t>
      </w:r>
      <w:r w:rsidR="00AB29BE">
        <w:rPr>
          <w:rFonts w:cstheme="minorHAnsi"/>
        </w:rPr>
        <w:t xml:space="preserve">, </w:t>
      </w:r>
      <w:r w:rsidR="001203D4" w:rsidRPr="001203D4">
        <w:rPr>
          <w:rFonts w:cstheme="minorHAnsi"/>
          <w:i/>
        </w:rPr>
        <w:t>P</w:t>
      </w:r>
      <w:r w:rsidR="00B52817">
        <w:rPr>
          <w:rFonts w:cstheme="minorHAnsi"/>
        </w:rPr>
        <w:t>&lt;0.001</w:t>
      </w:r>
      <w:r w:rsidR="00501196">
        <w:rPr>
          <w:rFonts w:cstheme="minorHAnsi"/>
        </w:rPr>
        <w:t>)</w:t>
      </w:r>
      <w:r w:rsidR="00AF69CF">
        <w:rPr>
          <w:rFonts w:cstheme="minorHAnsi"/>
        </w:rPr>
        <w:t xml:space="preserve"> with women in employment having higher levels of activity</w:t>
      </w:r>
      <w:r w:rsidR="00501196">
        <w:rPr>
          <w:rFonts w:cstheme="minorHAnsi"/>
        </w:rPr>
        <w:t>.</w:t>
      </w:r>
    </w:p>
    <w:p w:rsidR="006E5BC2" w:rsidRDefault="006E5BC2" w:rsidP="006E5BC2">
      <w:pPr>
        <w:rPr>
          <w:b/>
        </w:rPr>
      </w:pPr>
    </w:p>
    <w:p w:rsidR="00E55138" w:rsidRDefault="00E55138" w:rsidP="006E5BC2">
      <w:pPr>
        <w:rPr>
          <w:b/>
        </w:rPr>
      </w:pPr>
      <w:r>
        <w:rPr>
          <w:b/>
        </w:rPr>
        <w:t>Discussion</w:t>
      </w:r>
    </w:p>
    <w:p w:rsidR="00E55138" w:rsidRDefault="00E55138" w:rsidP="00141E65">
      <w:pPr>
        <w:spacing w:line="360" w:lineRule="auto"/>
        <w:rPr>
          <w:b/>
        </w:rPr>
      </w:pPr>
      <w:r>
        <w:rPr>
          <w:b/>
        </w:rPr>
        <w:t>Summary of findings</w:t>
      </w:r>
    </w:p>
    <w:p w:rsidR="006E15BB" w:rsidRDefault="006E15BB" w:rsidP="006E15BB">
      <w:pPr>
        <w:spacing w:line="360" w:lineRule="auto"/>
      </w:pPr>
      <w:r>
        <w:t xml:space="preserve">We observed </w:t>
      </w:r>
      <w:r w:rsidR="00F714B1" w:rsidRPr="00F714B1">
        <w:t>significant reduction</w:t>
      </w:r>
      <w:r>
        <w:t>s</w:t>
      </w:r>
      <w:r w:rsidR="00F714B1" w:rsidRPr="00F714B1">
        <w:t xml:space="preserve"> in</w:t>
      </w:r>
      <w:r>
        <w:t xml:space="preserve"> the</w:t>
      </w:r>
      <w:r w:rsidR="00F714B1" w:rsidRPr="00F714B1">
        <w:t xml:space="preserve"> </w:t>
      </w:r>
      <w:r w:rsidR="00B75A0D" w:rsidRPr="00F714B1">
        <w:t>dietary quality of women in both the intervention and control groups</w:t>
      </w:r>
      <w:r w:rsidR="00F714B1" w:rsidRPr="00F714B1">
        <w:t xml:space="preserve"> </w:t>
      </w:r>
      <w:r w:rsidR="00B75A0D" w:rsidRPr="00F714B1">
        <w:t>between baseline and follow</w:t>
      </w:r>
      <w:r w:rsidR="00A432BE">
        <w:t>-</w:t>
      </w:r>
      <w:r w:rsidR="00B75A0D" w:rsidRPr="00F714B1">
        <w:t>up</w:t>
      </w:r>
      <w:r w:rsidR="00CE00AE">
        <w:t xml:space="preserve"> and in their levels of self-</w:t>
      </w:r>
      <w:r>
        <w:t>efficacy and sense of control</w:t>
      </w:r>
      <w:r w:rsidR="006A680B">
        <w:t>, two factors known to predict dietary quality</w:t>
      </w:r>
      <w:r w:rsidR="001874D9">
        <w:t xml:space="preserve"> and physical activity</w:t>
      </w:r>
      <w:r>
        <w:t xml:space="preserve">. </w:t>
      </w:r>
      <w:r w:rsidR="00AF69CF">
        <w:t xml:space="preserve">The decline in dietary quality was most marked in women of lower educational attainment, but was not explained by food insecurity or receipt of benefits. </w:t>
      </w:r>
      <w:r>
        <w:t>There were no</w:t>
      </w:r>
      <w:r w:rsidR="003746E0">
        <w:t>n-</w:t>
      </w:r>
      <w:r>
        <w:t xml:space="preserve"> significant differences between the intervention and control groups in relation to the magnitude of the change in dietary quality. We found, however, that the magnitude of</w:t>
      </w:r>
      <w:r w:rsidR="00940FE3">
        <w:t xml:space="preserve"> the decline in </w:t>
      </w:r>
      <w:r w:rsidR="003746E0">
        <w:t>self-efficacy</w:t>
      </w:r>
      <w:r w:rsidR="00940FE3">
        <w:t xml:space="preserve"> and </w:t>
      </w:r>
      <w:r w:rsidR="0065521D">
        <w:t xml:space="preserve">sense of </w:t>
      </w:r>
      <w:r w:rsidR="00940FE3">
        <w:t>control</w:t>
      </w:r>
      <w:r w:rsidR="007F5494">
        <w:t xml:space="preserve"> </w:t>
      </w:r>
      <w:r>
        <w:t xml:space="preserve">was </w:t>
      </w:r>
      <w:r w:rsidR="0099590A">
        <w:t xml:space="preserve">statistically </w:t>
      </w:r>
      <w:r>
        <w:t xml:space="preserve">significantly smaller in the intervention women from Southampton than in the women from the control areas of Gosport and Havant. </w:t>
      </w:r>
    </w:p>
    <w:p w:rsidR="00670A90" w:rsidRPr="00F714B1" w:rsidRDefault="00670A90" w:rsidP="006E15BB">
      <w:pPr>
        <w:spacing w:line="360" w:lineRule="auto"/>
      </w:pPr>
      <w:r>
        <w:t>The difference in self-efficacy between the intervention and control groups was just under half a point (0.468) on a scale that ranged between 5 and 20, with a standard deviation of 1.8, within the study population. The difference in sense of control was just under one point (0.875) on a scale that ranged between 9 and 36, with a standard deviation of 2.5, within the study population. Previous research with women of childbearing age in Southampton has shown that a difference in sense of control of this size is associated with a significant increase in dietary quality.</w:t>
      </w:r>
      <w:r w:rsidR="001203D4" w:rsidRPr="001203D4">
        <w:rPr>
          <w:vertAlign w:val="superscript"/>
        </w:rPr>
        <w:t>35</w:t>
      </w:r>
    </w:p>
    <w:p w:rsidR="006A680B" w:rsidRDefault="00D33C64" w:rsidP="00141E65">
      <w:pPr>
        <w:spacing w:line="360" w:lineRule="auto"/>
      </w:pPr>
      <w:r>
        <w:t>There was a statistically significant improvement in p</w:t>
      </w:r>
      <w:r w:rsidR="000A5D1C">
        <w:t xml:space="preserve">hysical activity level </w:t>
      </w:r>
      <w:r>
        <w:t>between baseline and follow</w:t>
      </w:r>
      <w:r w:rsidR="00A432BE">
        <w:t>-</w:t>
      </w:r>
      <w:r>
        <w:t xml:space="preserve">up in the intervention group </w:t>
      </w:r>
      <w:r w:rsidR="001778C7">
        <w:t>and a smaller increase in the control group that was not statistically significant</w:t>
      </w:r>
      <w:r w:rsidR="00D53C3F">
        <w:t>. Improvement in the intervention group was not related to exposure to the intervention and t</w:t>
      </w:r>
      <w:r w:rsidR="000A5D1C">
        <w:t xml:space="preserve">he difference in </w:t>
      </w:r>
      <w:r w:rsidR="001778C7">
        <w:t xml:space="preserve">the magnitude of </w:t>
      </w:r>
      <w:r w:rsidR="000A5D1C">
        <w:t xml:space="preserve">change in physical activity level </w:t>
      </w:r>
      <w:r w:rsidR="006E15BB">
        <w:t xml:space="preserve">between the groups </w:t>
      </w:r>
      <w:r w:rsidR="000A5D1C">
        <w:t>was not statistically significant.</w:t>
      </w:r>
      <w:r w:rsidR="00D53C3F">
        <w:t xml:space="preserve"> Improvement in physical activity was not predicted by women’s level of educational attainment but was greatest among women who were in paid work at follow</w:t>
      </w:r>
      <w:r w:rsidR="00A432BE">
        <w:t>-</w:t>
      </w:r>
      <w:r w:rsidR="00D53C3F">
        <w:t>up.</w:t>
      </w:r>
    </w:p>
    <w:p w:rsidR="00600EEA" w:rsidRPr="006D2176" w:rsidRDefault="00600EEA" w:rsidP="00141E65">
      <w:pPr>
        <w:spacing w:line="360" w:lineRule="auto"/>
        <w:rPr>
          <w:b/>
        </w:rPr>
      </w:pPr>
      <w:r w:rsidRPr="006D2176">
        <w:rPr>
          <w:b/>
        </w:rPr>
        <w:t>Comparison with other research</w:t>
      </w:r>
    </w:p>
    <w:p w:rsidR="00600EEA" w:rsidRPr="00EB161D" w:rsidRDefault="009E1EBF" w:rsidP="00141E65">
      <w:pPr>
        <w:spacing w:line="360" w:lineRule="auto"/>
        <w:rPr>
          <w:vertAlign w:val="subscript"/>
        </w:rPr>
      </w:pPr>
      <w:r>
        <w:t xml:space="preserve">A number of </w:t>
      </w:r>
      <w:r w:rsidR="002C4E6C">
        <w:t xml:space="preserve">intervention </w:t>
      </w:r>
      <w:r>
        <w:t xml:space="preserve"> studies have demonstrated that improve</w:t>
      </w:r>
      <w:r w:rsidR="0099590A">
        <w:t xml:space="preserve">d consumption of </w:t>
      </w:r>
      <w:r>
        <w:t xml:space="preserve"> fruit and vegetable</w:t>
      </w:r>
      <w:r w:rsidR="0099590A">
        <w:t>s</w:t>
      </w:r>
      <w:r>
        <w:t xml:space="preserve"> </w:t>
      </w:r>
      <w:r w:rsidR="0099590A">
        <w:t>is</w:t>
      </w:r>
      <w:r>
        <w:t xml:space="preserve"> mediated through improvements in people’s self efficacy and sense of control</w:t>
      </w:r>
      <w:r w:rsidR="002C4E6C">
        <w:t>.</w:t>
      </w:r>
      <w:r>
        <w:rPr>
          <w:vertAlign w:val="superscript"/>
        </w:rPr>
        <w:t>3</w:t>
      </w:r>
      <w:r w:rsidR="00670A90">
        <w:rPr>
          <w:vertAlign w:val="superscript"/>
        </w:rPr>
        <w:t>6</w:t>
      </w:r>
      <w:r>
        <w:rPr>
          <w:vertAlign w:val="superscript"/>
        </w:rPr>
        <w:t>, 3</w:t>
      </w:r>
      <w:r w:rsidR="00670A90">
        <w:rPr>
          <w:vertAlign w:val="superscript"/>
        </w:rPr>
        <w:t>7</w:t>
      </w:r>
      <w:r w:rsidR="002C4E6C">
        <w:t xml:space="preserve"> </w:t>
      </w:r>
      <w:r w:rsidR="00600EEA">
        <w:t>To our knowledg</w:t>
      </w:r>
      <w:r w:rsidR="00CE00AE">
        <w:t>e, few studies</w:t>
      </w:r>
      <w:r w:rsidR="00D22516">
        <w:t xml:space="preserve"> </w:t>
      </w:r>
      <w:r w:rsidR="00CE00AE">
        <w:t>have re</w:t>
      </w:r>
      <w:r w:rsidR="00676CB8">
        <w:t>port</w:t>
      </w:r>
      <w:r w:rsidR="00CE00AE">
        <w:t>ed</w:t>
      </w:r>
      <w:r w:rsidR="00676CB8">
        <w:t xml:space="preserve"> the evaluation of </w:t>
      </w:r>
      <w:r w:rsidR="00CE00AE">
        <w:t>a complex intervention</w:t>
      </w:r>
      <w:r w:rsidR="00676CB8">
        <w:t xml:space="preserve"> that has aimed </w:t>
      </w:r>
      <w:r w:rsidR="00676CB8">
        <w:lastRenderedPageBreak/>
        <w:t>to</w:t>
      </w:r>
      <w:r w:rsidR="00600EEA">
        <w:t xml:space="preserve"> achieve behaviour change through training existing </w:t>
      </w:r>
      <w:r w:rsidR="006D2176">
        <w:t xml:space="preserve">health and social care </w:t>
      </w:r>
      <w:r w:rsidR="00600EEA">
        <w:t xml:space="preserve">staff. While programmes like </w:t>
      </w:r>
      <w:r w:rsidR="000125DB">
        <w:t>Women, Infants and Children (</w:t>
      </w:r>
      <w:r w:rsidR="00600EEA">
        <w:t>WIC</w:t>
      </w:r>
      <w:r w:rsidR="000125DB">
        <w:t>) in the US</w:t>
      </w:r>
      <w:r w:rsidR="00600EEA">
        <w:t xml:space="preserve"> have used peer educators to bring about behaviour</w:t>
      </w:r>
      <w:r w:rsidR="00293E5D">
        <w:t xml:space="preserve"> change, th</w:t>
      </w:r>
      <w:r w:rsidR="00600EEA">
        <w:t>ese educators</w:t>
      </w:r>
      <w:r w:rsidR="00062B9B">
        <w:t xml:space="preserve"> were </w:t>
      </w:r>
      <w:r w:rsidR="00600EEA">
        <w:t>recruited to the intervention study</w:t>
      </w:r>
      <w:r w:rsidR="006D2176">
        <w:t xml:space="preserve"> specifically to deliver the intervention</w:t>
      </w:r>
      <w:r w:rsidR="001445E1">
        <w:t>.</w:t>
      </w:r>
      <w:r w:rsidR="00940FE3">
        <w:rPr>
          <w:szCs w:val="20"/>
          <w:vertAlign w:val="superscript"/>
        </w:rPr>
        <w:t>3</w:t>
      </w:r>
      <w:r w:rsidR="00670A90">
        <w:rPr>
          <w:szCs w:val="20"/>
          <w:vertAlign w:val="superscript"/>
        </w:rPr>
        <w:t>8</w:t>
      </w:r>
      <w:r w:rsidR="001445E1">
        <w:t xml:space="preserve"> </w:t>
      </w:r>
      <w:r w:rsidR="004E4AFC">
        <w:t>O</w:t>
      </w:r>
      <w:r w:rsidR="000125DB">
        <w:t>ther research groups have recognised the potential of training health professionals in order to bring about</w:t>
      </w:r>
      <w:r w:rsidR="00CE00AE">
        <w:t xml:space="preserve"> health </w:t>
      </w:r>
      <w:r w:rsidR="000125DB">
        <w:t>behaviour change</w:t>
      </w:r>
      <w:r w:rsidR="00EB161D">
        <w:t xml:space="preserve">.  A </w:t>
      </w:r>
      <w:r w:rsidR="004E4AFC">
        <w:t xml:space="preserve">recent </w:t>
      </w:r>
      <w:r w:rsidR="001445E1">
        <w:t>trial of disease prevention in primary ca</w:t>
      </w:r>
      <w:r w:rsidR="00D22516">
        <w:t xml:space="preserve">re </w:t>
      </w:r>
      <w:r w:rsidR="00EB161D">
        <w:t xml:space="preserve">took </w:t>
      </w:r>
      <w:r w:rsidR="00D22516">
        <w:t xml:space="preserve"> a similar approach</w:t>
      </w:r>
      <w:r w:rsidR="000125DB">
        <w:t xml:space="preserve"> to </w:t>
      </w:r>
      <w:r w:rsidR="001B01A7">
        <w:t xml:space="preserve"> th</w:t>
      </w:r>
      <w:r w:rsidR="0099590A">
        <w:t>e present study</w:t>
      </w:r>
      <w:r w:rsidR="001B01A7">
        <w:t xml:space="preserve"> </w:t>
      </w:r>
      <w:r w:rsidR="000125DB">
        <w:t>by training g</w:t>
      </w:r>
      <w:r w:rsidR="001445E1">
        <w:t>eneral practitioners and practi</w:t>
      </w:r>
      <w:r w:rsidR="000125DB">
        <w:t>ce nurses</w:t>
      </w:r>
      <w:r w:rsidR="001445E1">
        <w:t xml:space="preserve"> in behaviour change</w:t>
      </w:r>
      <w:r w:rsidR="000125DB">
        <w:t xml:space="preserve"> counselling</w:t>
      </w:r>
      <w:r w:rsidR="004E4AFC">
        <w:t xml:space="preserve"> to </w:t>
      </w:r>
      <w:r w:rsidR="000125DB">
        <w:t>use in their ro</w:t>
      </w:r>
      <w:r w:rsidR="00AF01CF">
        <w:t>utine contacts with patients</w:t>
      </w:r>
      <w:r w:rsidR="001445E1">
        <w:t>.</w:t>
      </w:r>
      <w:r w:rsidR="00940FE3">
        <w:rPr>
          <w:szCs w:val="20"/>
          <w:vertAlign w:val="superscript"/>
        </w:rPr>
        <w:t>3</w:t>
      </w:r>
      <w:r w:rsidR="00670A90">
        <w:rPr>
          <w:szCs w:val="20"/>
          <w:vertAlign w:val="superscript"/>
        </w:rPr>
        <w:t>9</w:t>
      </w:r>
      <w:r w:rsidR="00EB161D">
        <w:rPr>
          <w:szCs w:val="20"/>
          <w:vertAlign w:val="superscript"/>
        </w:rPr>
        <w:t xml:space="preserve"> </w:t>
      </w:r>
      <w:r w:rsidR="001B01A7">
        <w:t>The aim of the study was to improve patients’ health behaviours, including diet and physical activity. Consistent with our finding</w:t>
      </w:r>
      <w:r w:rsidR="00E30245">
        <w:t>s, the e</w:t>
      </w:r>
      <w:r w:rsidR="00EB161D">
        <w:t xml:space="preserve">valuation of the intervention revealed that </w:t>
      </w:r>
      <w:r w:rsidR="00BF225E">
        <w:t>it</w:t>
      </w:r>
      <w:r w:rsidR="00EB161D">
        <w:t xml:space="preserve"> had positive effects on </w:t>
      </w:r>
      <w:r w:rsidR="00BF225E">
        <w:t xml:space="preserve">intermediate outcomes, </w:t>
      </w:r>
      <w:r w:rsidR="007F498D">
        <w:t xml:space="preserve">including intention to change a </w:t>
      </w:r>
      <w:r w:rsidR="00BF225E">
        <w:t xml:space="preserve">behaviour and attempting to do so, but that there were no changes in the </w:t>
      </w:r>
      <w:r w:rsidR="001B01A7">
        <w:t>primary outcome of beneficial health behaviour change.</w:t>
      </w:r>
      <w:r w:rsidR="00111CED">
        <w:t xml:space="preserve"> The authors concluded that a single consultation with a trained clinic</w:t>
      </w:r>
      <w:r w:rsidR="0099590A">
        <w:t>ian</w:t>
      </w:r>
      <w:r w:rsidR="00111CED">
        <w:t xml:space="preserve"> was unlikely to be sufficient to bring about behaviour change.</w:t>
      </w:r>
    </w:p>
    <w:p w:rsidR="00044519" w:rsidRDefault="00044519" w:rsidP="00044519">
      <w:pPr>
        <w:spacing w:line="360" w:lineRule="auto"/>
        <w:rPr>
          <w:b/>
        </w:rPr>
      </w:pPr>
      <w:r>
        <w:rPr>
          <w:b/>
        </w:rPr>
        <w:t>Strengths and limitations</w:t>
      </w:r>
    </w:p>
    <w:p w:rsidR="00981F1C" w:rsidRDefault="00044519" w:rsidP="00981F1C">
      <w:pPr>
        <w:spacing w:line="360" w:lineRule="auto"/>
      </w:pPr>
      <w:r>
        <w:t>Th</w:t>
      </w:r>
      <w:r w:rsidR="0099590A">
        <w:t>e present</w:t>
      </w:r>
      <w:r>
        <w:t xml:space="preserve"> study was innovative in delivering a training intervention to health and social care staff within existing services. Instead of delivering the intervention direct to the target population, this approach allowed staff who had received the training intervention to apply the behaviour change techniques they had learnt in their contacts with the target population – women of childbearing age from disadvantaged backgrounds. </w:t>
      </w:r>
      <w:r w:rsidR="00981F1C">
        <w:t xml:space="preserve">The nature of the intervention meant that it was sustainable and could continue to be delivered after the study was completed, particularly since it was delivered in partnership with local agencies. Indeed, the training programme has been commissioned by the local NHS community trust and the research team have trained health promotion staff within the trust in order that they </w:t>
      </w:r>
      <w:r w:rsidR="0099590A">
        <w:t>can</w:t>
      </w:r>
      <w:r w:rsidR="00981F1C">
        <w:t xml:space="preserve"> continue to deliver the training to new Sure Start staff and to update existing staff. Nevertheless, despite these benefits, evaluating a diffuse intervention of this type was challenging. One of the major challenges was the issue of exposure to the intervention. We had no control over women’s attendance at SSCCs and it was not possible to ensure that participants surveyed at follow</w:t>
      </w:r>
      <w:r w:rsidR="00A432BE">
        <w:t>-</w:t>
      </w:r>
      <w:r w:rsidR="00981F1C">
        <w:t>up had been exposed to the intervention during the one-year period since the training had been delivered. In this respect, this intervention study has some similarities with the challenges faced by natural experiments</w:t>
      </w:r>
      <w:r w:rsidR="00670A90">
        <w:t>. A natural experiment evaluating a change in a health or community service would face similar issues to those faced in the present study</w:t>
      </w:r>
      <w:r w:rsidR="00981F1C">
        <w:t xml:space="preserve"> where exposure </w:t>
      </w:r>
      <w:r w:rsidR="00670A90">
        <w:t xml:space="preserve">to the intervention </w:t>
      </w:r>
      <w:r w:rsidR="00981F1C">
        <w:t xml:space="preserve"> can</w:t>
      </w:r>
      <w:r w:rsidR="00980FE6">
        <w:t xml:space="preserve">not be controlled </w:t>
      </w:r>
      <w:r w:rsidR="00670A90">
        <w:t xml:space="preserve">by the researchers making exposure status </w:t>
      </w:r>
      <w:r w:rsidR="00981F1C">
        <w:t>difficult to determine.</w:t>
      </w:r>
      <w:r w:rsidR="00981F1C" w:rsidRPr="00AF01CF">
        <w:rPr>
          <w:szCs w:val="20"/>
          <w:vertAlign w:val="superscript"/>
        </w:rPr>
        <w:t xml:space="preserve"> </w:t>
      </w:r>
      <w:r w:rsidR="00293E5D">
        <w:rPr>
          <w:szCs w:val="20"/>
          <w:vertAlign w:val="superscript"/>
        </w:rPr>
        <w:t>40</w:t>
      </w:r>
    </w:p>
    <w:p w:rsidR="006E5BC2" w:rsidRDefault="00044519" w:rsidP="00044519">
      <w:pPr>
        <w:spacing w:line="360" w:lineRule="auto"/>
      </w:pPr>
      <w:r w:rsidRPr="00F714B1">
        <w:lastRenderedPageBreak/>
        <w:t>The design of th</w:t>
      </w:r>
      <w:r w:rsidR="0099590A">
        <w:t>e present</w:t>
      </w:r>
      <w:r w:rsidRPr="00F714B1">
        <w:t xml:space="preserve"> complex public health intervention study was pragmatic. Randomisation at the level of S</w:t>
      </w:r>
      <w:r w:rsidR="004F61A0">
        <w:t>SCC</w:t>
      </w:r>
      <w:r w:rsidRPr="00F714B1">
        <w:t xml:space="preserve"> was not feasible because</w:t>
      </w:r>
      <w:r>
        <w:t xml:space="preserve"> of </w:t>
      </w:r>
      <w:r w:rsidRPr="00F714B1">
        <w:t xml:space="preserve">the frequent movement of staff between centres </w:t>
      </w:r>
      <w:r>
        <w:t xml:space="preserve">which </w:t>
      </w:r>
      <w:r w:rsidRPr="00F714B1">
        <w:t xml:space="preserve">would have led to contamination of control Centres. </w:t>
      </w:r>
      <w:r w:rsidR="00F4764E" w:rsidRPr="00F4764E">
        <w:t>A cluster randomised controlled trial was considered but the need for many clusters each being an entire local authority area was considered unfeasible by the independent advisory group of experts.</w:t>
      </w:r>
      <w:r w:rsidR="00F4764E">
        <w:t xml:space="preserve"> </w:t>
      </w:r>
      <w:r>
        <w:t xml:space="preserve">The control areas of Gosport and Havant were selected because they had similar demographic features to those of the intervention area – Southampton. In addition, the </w:t>
      </w:r>
      <w:r w:rsidR="004F61A0">
        <w:t>SSCC</w:t>
      </w:r>
      <w:r>
        <w:t>s in the intervention and control areas were sufficiently far apart geographically and managed by different local authorities thus minimising the risk of contamination. All S</w:t>
      </w:r>
      <w:r w:rsidR="00AA702E">
        <w:t>SCCs</w:t>
      </w:r>
      <w:r>
        <w:t xml:space="preserve"> in Southampton </w:t>
      </w:r>
      <w:r w:rsidR="00AA702E">
        <w:t xml:space="preserve">and in </w:t>
      </w:r>
      <w:r>
        <w:t xml:space="preserve">Gosport and Havant were included in the study and any women attending these centres were eligible to take part. Despite these attempts to select women with similar characteristics, there were some important differences between women in the intervention and control groups. While women in the two groups were similar in age, women in Southampton had higher levels of educational attainment than </w:t>
      </w:r>
      <w:r w:rsidR="00AA702E">
        <w:t xml:space="preserve">the </w:t>
      </w:r>
      <w:r>
        <w:t xml:space="preserve">women in the control group and, while similar proportions of women were in receipt of benefits, a higher proportion of women in Southampton owned their </w:t>
      </w:r>
      <w:r w:rsidR="00AA702E">
        <w:t xml:space="preserve">own </w:t>
      </w:r>
      <w:r>
        <w:t>home.  Quality of diet was also better in the Southampton women than in the women from Gosport and Havant at baseline although the reverse was true for physical activity: women in Gosport and Havant had higher physical activity levels than women in Southampton.</w:t>
      </w:r>
    </w:p>
    <w:p w:rsidR="00E3393D" w:rsidRDefault="0049291A" w:rsidP="00044519">
      <w:pPr>
        <w:spacing w:line="360" w:lineRule="auto"/>
      </w:pPr>
      <w:r>
        <w:t>The measures used to assess the main and intermediate outcomes were all based on self</w:t>
      </w:r>
      <w:r w:rsidR="00C4126E">
        <w:t xml:space="preserve">-reported data. However, most of them had been shown to be valid measures within UK populations. </w:t>
      </w:r>
      <w:r>
        <w:t xml:space="preserve">The FFQ used to assess dietary quality was developed and validated with women of childbearing age within Southampton. </w:t>
      </w:r>
      <w:r w:rsidR="001203D4" w:rsidRPr="001203D4">
        <w:rPr>
          <w:vertAlign w:val="superscript"/>
        </w:rPr>
        <w:t>25</w:t>
      </w:r>
      <w:r>
        <w:t>The measure of physical activity, the GPPAQ, has been recommended for use in UK populations by NICE and was selected for this study following pilot work which demonstrated its face validity with the study population.</w:t>
      </w:r>
      <w:r w:rsidR="001203D4" w:rsidRPr="001203D4">
        <w:rPr>
          <w:vertAlign w:val="superscript"/>
        </w:rPr>
        <w:t>26</w:t>
      </w:r>
      <w:r>
        <w:t xml:space="preserve"> The scale used to assess self-efficacy has been widely used throughout the world, including in the UK.</w:t>
      </w:r>
      <w:r w:rsidR="001203D4" w:rsidRPr="001203D4">
        <w:rPr>
          <w:vertAlign w:val="superscript"/>
        </w:rPr>
        <w:t>29</w:t>
      </w:r>
      <w:r>
        <w:t xml:space="preserve"> The scale for </w:t>
      </w:r>
      <w:r w:rsidR="00C4126E">
        <w:t xml:space="preserve">assessing </w:t>
      </w:r>
      <w:r>
        <w:t xml:space="preserve">sense of control has </w:t>
      </w:r>
      <w:r w:rsidR="00C4126E">
        <w:t xml:space="preserve">also </w:t>
      </w:r>
      <w:r>
        <w:t>been used</w:t>
      </w:r>
      <w:r w:rsidR="00C4126E">
        <w:t xml:space="preserve"> around the world and,</w:t>
      </w:r>
      <w:r w:rsidR="001203D4" w:rsidRPr="001203D4">
        <w:rPr>
          <w:vertAlign w:val="superscript"/>
        </w:rPr>
        <w:t>32</w:t>
      </w:r>
      <w:r w:rsidR="00C4126E">
        <w:t xml:space="preserve"> in the UK, it had been used to assess sense of control</w:t>
      </w:r>
      <w:r>
        <w:t xml:space="preserve"> in women participating in the Whitehall II study, although these women were aged 35 to 55 years of age and so older than participants in the present study. </w:t>
      </w:r>
      <w:r w:rsidR="00C4126E">
        <w:t xml:space="preserve"> </w:t>
      </w:r>
    </w:p>
    <w:p w:rsidR="00980FE6" w:rsidRDefault="00C4126E" w:rsidP="00044519">
      <w:pPr>
        <w:spacing w:line="360" w:lineRule="auto"/>
      </w:pPr>
      <w:r>
        <w:t xml:space="preserve">Another strength of the present study was that </w:t>
      </w:r>
      <w:r w:rsidR="00E61A2D">
        <w:t>participants</w:t>
      </w:r>
      <w:r w:rsidR="00AA702E">
        <w:t xml:space="preserve"> were blind</w:t>
      </w:r>
      <w:r w:rsidR="00E61A2D">
        <w:t xml:space="preserve"> to their intervention status</w:t>
      </w:r>
      <w:r>
        <w:t>. This was</w:t>
      </w:r>
      <w:r w:rsidR="00E61A2D">
        <w:t xml:space="preserve"> achieved because</w:t>
      </w:r>
      <w:r w:rsidR="00980FE6">
        <w:t xml:space="preserve"> women had no knowledge that they were part of an intervention study. Fieldworkers conducting the baseline and follow</w:t>
      </w:r>
      <w:r w:rsidR="00A432BE">
        <w:t>-</w:t>
      </w:r>
      <w:r w:rsidR="00980FE6">
        <w:t>up surveys were entirely separate from the staff delivering the intervention, although they could not be blinded to the intervention status of women.</w:t>
      </w:r>
    </w:p>
    <w:p w:rsidR="00BB7B25" w:rsidRPr="00141E65" w:rsidRDefault="00396420" w:rsidP="00141E65">
      <w:pPr>
        <w:spacing w:line="360" w:lineRule="auto"/>
        <w:rPr>
          <w:b/>
        </w:rPr>
      </w:pPr>
      <w:r w:rsidRPr="00141E65">
        <w:rPr>
          <w:b/>
        </w:rPr>
        <w:t>Interpretation of findings</w:t>
      </w:r>
      <w:r w:rsidR="006F36E6" w:rsidRPr="00141E65">
        <w:rPr>
          <w:b/>
        </w:rPr>
        <w:t xml:space="preserve"> </w:t>
      </w:r>
    </w:p>
    <w:p w:rsidR="0076654B" w:rsidRDefault="001E0845" w:rsidP="00D057B2">
      <w:pPr>
        <w:spacing w:line="360" w:lineRule="auto"/>
      </w:pPr>
      <w:r>
        <w:lastRenderedPageBreak/>
        <w:t>The d</w:t>
      </w:r>
      <w:r w:rsidR="00A33927">
        <w:t xml:space="preserve">ietary quality of </w:t>
      </w:r>
      <w:r>
        <w:t>both</w:t>
      </w:r>
      <w:r w:rsidR="00A33927">
        <w:t xml:space="preserve"> groups of women</w:t>
      </w:r>
      <w:r>
        <w:t xml:space="preserve"> declined in the </w:t>
      </w:r>
      <w:r w:rsidR="00AA702E">
        <w:t>18-</w:t>
      </w:r>
      <w:r>
        <w:t>month period between the baseline and follow</w:t>
      </w:r>
      <w:r w:rsidR="00AA702E">
        <w:t>-</w:t>
      </w:r>
      <w:r>
        <w:t>survey</w:t>
      </w:r>
      <w:r w:rsidR="003C567E">
        <w:t>, with reductions greatest among women of lower educational attainment</w:t>
      </w:r>
      <w:r>
        <w:t xml:space="preserve">. </w:t>
      </w:r>
      <w:r w:rsidR="0076654B">
        <w:t xml:space="preserve">The intermediate outcomes, sense of control and </w:t>
      </w:r>
      <w:r w:rsidR="003746E0">
        <w:t>self-efficacy</w:t>
      </w:r>
      <w:r w:rsidR="0076654B">
        <w:t>, also decline</w:t>
      </w:r>
      <w:r w:rsidR="00A23477">
        <w:t>d</w:t>
      </w:r>
      <w:r w:rsidR="0076654B">
        <w:t xml:space="preserve"> between baseline and follow</w:t>
      </w:r>
      <w:r w:rsidR="00A432BE">
        <w:t>-</w:t>
      </w:r>
      <w:r w:rsidR="0076654B">
        <w:t xml:space="preserve">up but the magnitude of their decline was significantly smaller in the intervention </w:t>
      </w:r>
      <w:r w:rsidR="00E61A2D">
        <w:t>group th</w:t>
      </w:r>
      <w:r w:rsidR="00AA702E">
        <w:t>an in</w:t>
      </w:r>
      <w:r w:rsidR="00E61A2D">
        <w:t xml:space="preserve"> the control </w:t>
      </w:r>
      <w:r w:rsidR="0076654B">
        <w:t xml:space="preserve">group </w:t>
      </w:r>
      <w:r w:rsidR="003C567E">
        <w:t>suggesting</w:t>
      </w:r>
      <w:r w:rsidR="0076654B">
        <w:t xml:space="preserve"> a protective effect of the intervention.  </w:t>
      </w:r>
      <w:r w:rsidR="003C567E">
        <w:t>The fact that g</w:t>
      </w:r>
      <w:r w:rsidR="0076654B">
        <w:t xml:space="preserve">reater exposure to the intervention </w:t>
      </w:r>
      <w:r w:rsidR="00A23477">
        <w:t xml:space="preserve">was associated with smaller decline in </w:t>
      </w:r>
      <w:r w:rsidR="003C567E">
        <w:t xml:space="preserve">sense of control appears to confirm a protective effect of the intervention on women’s sense of control, although the same trend was not seen for </w:t>
      </w:r>
      <w:r w:rsidR="003746E0">
        <w:t>self-efficacy</w:t>
      </w:r>
      <w:r w:rsidR="003C567E">
        <w:t>.</w:t>
      </w:r>
    </w:p>
    <w:p w:rsidR="005E487E" w:rsidRDefault="0076654B" w:rsidP="00D057B2">
      <w:pPr>
        <w:spacing w:line="360" w:lineRule="auto"/>
      </w:pPr>
      <w:r>
        <w:t>It is possible that worsening economic conditions</w:t>
      </w:r>
      <w:r w:rsidR="003C567E">
        <w:t xml:space="preserve"> </w:t>
      </w:r>
      <w:r w:rsidR="003746E0">
        <w:t>might</w:t>
      </w:r>
      <w:r w:rsidR="003C567E">
        <w:t xml:space="preserve"> partly explain the decline in dietary quality, </w:t>
      </w:r>
      <w:r w:rsidR="003746E0">
        <w:t>self-efficacy</w:t>
      </w:r>
      <w:r w:rsidR="003C567E">
        <w:t xml:space="preserve"> and sense of control</w:t>
      </w:r>
      <w:r w:rsidR="00395D6B">
        <w:t xml:space="preserve"> </w:t>
      </w:r>
      <w:r w:rsidR="00E61A2D">
        <w:t>among the study p</w:t>
      </w:r>
      <w:r w:rsidR="00AA702E">
        <w:t>articipants</w:t>
      </w:r>
      <w:r w:rsidR="00E61A2D">
        <w:t xml:space="preserve">, </w:t>
      </w:r>
      <w:r w:rsidR="00395D6B">
        <w:t>particularly given the greater decline</w:t>
      </w:r>
      <w:r w:rsidR="00E61A2D">
        <w:t xml:space="preserve"> in these factors </w:t>
      </w:r>
      <w:r w:rsidR="00395D6B">
        <w:t>among women of lower educational attainment</w:t>
      </w:r>
      <w:r w:rsidR="003C567E">
        <w:t xml:space="preserve">. Although </w:t>
      </w:r>
      <w:r>
        <w:t>receipt of benefits and food security were unrelated to the decline in dietary quality</w:t>
      </w:r>
      <w:r w:rsidR="00E61A2D">
        <w:t xml:space="preserve">, </w:t>
      </w:r>
      <w:r w:rsidR="003746E0">
        <w:t>self-efficacy</w:t>
      </w:r>
      <w:r w:rsidR="00E61A2D">
        <w:t xml:space="preserve"> or sense of control</w:t>
      </w:r>
      <w:r w:rsidR="003C567E">
        <w:t xml:space="preserve">, these factors </w:t>
      </w:r>
      <w:r w:rsidR="003746E0">
        <w:t>might</w:t>
      </w:r>
      <w:r w:rsidR="006179BC">
        <w:t xml:space="preserve"> be</w:t>
      </w:r>
      <w:r w:rsidR="003C567E">
        <w:t xml:space="preserve"> rather crude measures of women’s economic circumstances</w:t>
      </w:r>
      <w:r>
        <w:t xml:space="preserve"> </w:t>
      </w:r>
      <w:r w:rsidR="00D057B2">
        <w:t>We found that the proportion of women with two children or more increased significantly between baseline and follow</w:t>
      </w:r>
      <w:r w:rsidR="00A432BE">
        <w:t>-</w:t>
      </w:r>
      <w:r w:rsidR="00D057B2">
        <w:t>up in both groups and we know that any children in the baseline survey would have increased in age by at least one year by the time of the follow</w:t>
      </w:r>
      <w:r w:rsidR="00A432BE">
        <w:t>-</w:t>
      </w:r>
      <w:r w:rsidR="00D057B2">
        <w:t xml:space="preserve">up survey. </w:t>
      </w:r>
      <w:r w:rsidR="00395D6B">
        <w:t xml:space="preserve">While </w:t>
      </w:r>
      <w:r w:rsidR="00D057B2">
        <w:t>previous research on women of childbearing age has suggested th</w:t>
      </w:r>
      <w:r w:rsidR="006179BC">
        <w:t>at their</w:t>
      </w:r>
      <w:r w:rsidR="00CE00AE">
        <w:t xml:space="preserve"> self-</w:t>
      </w:r>
      <w:r w:rsidR="00B930C4">
        <w:t>efficacy declines</w:t>
      </w:r>
      <w:r w:rsidR="00395D6B">
        <w:t xml:space="preserve"> as their children get older,</w:t>
      </w:r>
      <w:r w:rsidR="00D057B2" w:rsidRPr="00B35D08">
        <w:rPr>
          <w:szCs w:val="20"/>
          <w:vertAlign w:val="superscript"/>
        </w:rPr>
        <w:t xml:space="preserve"> </w:t>
      </w:r>
      <w:r w:rsidR="00293E5D">
        <w:rPr>
          <w:szCs w:val="20"/>
          <w:vertAlign w:val="superscript"/>
        </w:rPr>
        <w:t>4</w:t>
      </w:r>
      <w:r w:rsidR="00B01991">
        <w:rPr>
          <w:szCs w:val="20"/>
          <w:vertAlign w:val="superscript"/>
        </w:rPr>
        <w:t>1</w:t>
      </w:r>
      <w:r w:rsidR="00D057B2">
        <w:t xml:space="preserve"> </w:t>
      </w:r>
      <w:r w:rsidR="00395D6B">
        <w:t>there w</w:t>
      </w:r>
      <w:r w:rsidR="00AA702E">
        <w:t>ere non-significant</w:t>
      </w:r>
      <w:r w:rsidR="00395D6B">
        <w:t xml:space="preserve"> relationship</w:t>
      </w:r>
      <w:r w:rsidR="00AA702E">
        <w:t>s</w:t>
      </w:r>
      <w:r w:rsidR="00395D6B">
        <w:t xml:space="preserve"> between number and age of children and </w:t>
      </w:r>
      <w:r w:rsidR="003746E0">
        <w:t>self-efficacy</w:t>
      </w:r>
      <w:r w:rsidR="005E487E">
        <w:t xml:space="preserve"> </w:t>
      </w:r>
      <w:r w:rsidR="00AA702E">
        <w:t>and</w:t>
      </w:r>
      <w:r w:rsidR="005E487E">
        <w:t xml:space="preserve"> sense of control.</w:t>
      </w:r>
      <w:r w:rsidR="00395D6B">
        <w:t xml:space="preserve"> </w:t>
      </w:r>
    </w:p>
    <w:p w:rsidR="00981F1C" w:rsidRDefault="00FF1FC6" w:rsidP="00D057B2">
      <w:pPr>
        <w:spacing w:line="360" w:lineRule="auto"/>
      </w:pPr>
      <w:r>
        <w:t>Our previous research has shown that self</w:t>
      </w:r>
      <w:r w:rsidR="00CE00AE">
        <w:t>-</w:t>
      </w:r>
      <w:r>
        <w:t>efficacy and sense of control are predictive of dietary quality among women of childbearing age</w:t>
      </w:r>
      <w:r w:rsidR="005E487E">
        <w:t xml:space="preserve"> and these psychosocial variables a</w:t>
      </w:r>
      <w:r w:rsidR="00981F1C">
        <w:t xml:space="preserve">re also known to predict level </w:t>
      </w:r>
      <w:r w:rsidR="005E487E">
        <w:t>of physical activity</w:t>
      </w:r>
      <w:r>
        <w:t>.</w:t>
      </w:r>
      <w:r w:rsidR="00B930C4" w:rsidRPr="00B930C4">
        <w:rPr>
          <w:vertAlign w:val="superscript"/>
        </w:rPr>
        <w:t>1</w:t>
      </w:r>
      <w:r w:rsidR="00293E5D">
        <w:rPr>
          <w:vertAlign w:val="superscript"/>
        </w:rPr>
        <w:t>3</w:t>
      </w:r>
      <w:r w:rsidR="00981F1C">
        <w:t xml:space="preserve"> </w:t>
      </w:r>
      <w:r w:rsidR="003746E0">
        <w:t>Self-efficacy</w:t>
      </w:r>
      <w:r w:rsidR="00981F1C">
        <w:t xml:space="preserve"> and sense of control were intermediate factors in the relationship between the intervention and women’s health behaviours within our conceptual model. </w:t>
      </w:r>
      <w:r>
        <w:t>The fact that women in the intervention group maintained higher</w:t>
      </w:r>
      <w:r w:rsidR="00E77B77">
        <w:t xml:space="preserve"> sense of control and</w:t>
      </w:r>
      <w:r>
        <w:t xml:space="preserve"> </w:t>
      </w:r>
      <w:r w:rsidR="003746E0">
        <w:t>self-efficacy</w:t>
      </w:r>
      <w:r w:rsidR="00E77B77">
        <w:t xml:space="preserve"> than </w:t>
      </w:r>
      <w:r>
        <w:t>women in the control group</w:t>
      </w:r>
      <w:r w:rsidR="00A03E01">
        <w:t xml:space="preserve"> is important and</w:t>
      </w:r>
      <w:r>
        <w:t xml:space="preserve"> suggests that the intervention </w:t>
      </w:r>
      <w:r w:rsidR="003746E0">
        <w:t>might</w:t>
      </w:r>
      <w:r>
        <w:t xml:space="preserve"> have exerted a protective effe</w:t>
      </w:r>
      <w:r w:rsidR="00B930C4">
        <w:t>ct on psychological wellbeing</w:t>
      </w:r>
      <w:r>
        <w:t xml:space="preserve">. </w:t>
      </w:r>
    </w:p>
    <w:p w:rsidR="00A03E01" w:rsidRDefault="002A544A" w:rsidP="00D057B2">
      <w:pPr>
        <w:spacing w:line="360" w:lineRule="auto"/>
      </w:pPr>
      <w:r>
        <w:t>Alongside</w:t>
      </w:r>
      <w:r w:rsidR="00AD4F7F">
        <w:t xml:space="preserve"> the </w:t>
      </w:r>
      <w:r w:rsidR="00A03E01">
        <w:t xml:space="preserve">decline in dietary quality, we </w:t>
      </w:r>
      <w:r w:rsidR="00AD4F7F">
        <w:t xml:space="preserve">observed improvements in levels of physical activity among all women taking part in the study. There are a number of possible explanations for </w:t>
      </w:r>
      <w:r>
        <w:t>these contrasting</w:t>
      </w:r>
      <w:r w:rsidR="00AD4F7F">
        <w:t xml:space="preserve"> pattern</w:t>
      </w:r>
      <w:r>
        <w:t>s</w:t>
      </w:r>
      <w:r w:rsidR="00AD4F7F">
        <w:t xml:space="preserve"> of health behaviour change. Significantly more women were in paid employment at follow</w:t>
      </w:r>
      <w:r w:rsidR="00A432BE">
        <w:t>-</w:t>
      </w:r>
      <w:r w:rsidR="00AD4F7F">
        <w:t>up than at baseline. Our measure of physical activity, the GPPAQ, records physical activity associa</w:t>
      </w:r>
      <w:r w:rsidR="00FE3DE0">
        <w:t>ted with work and</w:t>
      </w:r>
      <w:r w:rsidR="008C6BD8">
        <w:t xml:space="preserve"> our data indicate that physical activity levels were higher among women who reported being in paid work. </w:t>
      </w:r>
      <w:r>
        <w:t xml:space="preserve"> </w:t>
      </w:r>
      <w:r w:rsidR="00FE3DE0">
        <w:t xml:space="preserve">Our findings </w:t>
      </w:r>
      <w:r w:rsidR="003746E0">
        <w:t>might</w:t>
      </w:r>
      <w:r w:rsidR="00FE3DE0">
        <w:t xml:space="preserve"> also be a reflection of the fact that t</w:t>
      </w:r>
      <w:r>
        <w:t xml:space="preserve">he factors that facilitate changes in health behaviour </w:t>
      </w:r>
      <w:r w:rsidR="003746E0">
        <w:t>might</w:t>
      </w:r>
      <w:r>
        <w:t xml:space="preserve"> differ </w:t>
      </w:r>
      <w:r w:rsidR="00FE3DE0">
        <w:t xml:space="preserve">for </w:t>
      </w:r>
      <w:r>
        <w:t xml:space="preserve">diet and physical activity, </w:t>
      </w:r>
      <w:r>
        <w:lastRenderedPageBreak/>
        <w:t xml:space="preserve">not least because improving diet </w:t>
      </w:r>
      <w:r w:rsidR="00B930C4">
        <w:t xml:space="preserve">is complex and </w:t>
      </w:r>
      <w:r>
        <w:t xml:space="preserve">involves </w:t>
      </w:r>
      <w:r w:rsidR="00B930C4">
        <w:t xml:space="preserve">eating </w:t>
      </w:r>
      <w:r>
        <w:t xml:space="preserve"> less of some</w:t>
      </w:r>
      <w:r w:rsidR="00B930C4">
        <w:t xml:space="preserve"> </w:t>
      </w:r>
      <w:r>
        <w:t>thing</w:t>
      </w:r>
      <w:r w:rsidR="00B930C4">
        <w:t>s like</w:t>
      </w:r>
      <w:r>
        <w:t xml:space="preserve"> fat and sugar</w:t>
      </w:r>
      <w:r w:rsidR="00B930C4">
        <w:t xml:space="preserve"> and more of others like fruit and vegetables</w:t>
      </w:r>
      <w:r>
        <w:t>, whereas improving physical activity</w:t>
      </w:r>
      <w:r w:rsidR="00CE00AE">
        <w:t xml:space="preserve"> </w:t>
      </w:r>
      <w:r>
        <w:t xml:space="preserve">involves </w:t>
      </w:r>
      <w:r w:rsidR="00B930C4">
        <w:t>increasing activity.</w:t>
      </w:r>
    </w:p>
    <w:p w:rsidR="00401CF5" w:rsidRDefault="00BE7B9C" w:rsidP="00141E65">
      <w:pPr>
        <w:spacing w:line="360" w:lineRule="auto"/>
      </w:pPr>
      <w:r>
        <w:t xml:space="preserve">The right conditions were in place to bring about behaviour change: the majority of staff working within </w:t>
      </w:r>
      <w:r w:rsidR="00AA702E">
        <w:t>SSCC</w:t>
      </w:r>
      <w:r>
        <w:t>s in Southampton received training and the findings of the process evaluati</w:t>
      </w:r>
      <w:r w:rsidR="00A517E0">
        <w:t>on conducted alongside the evaluation of outcomes</w:t>
      </w:r>
      <w:r>
        <w:t xml:space="preserve"> </w:t>
      </w:r>
      <w:r w:rsidR="00A51762">
        <w:t xml:space="preserve">have </w:t>
      </w:r>
      <w:r>
        <w:t>indicated that nearly all staff made significant improvements in their p</w:t>
      </w:r>
      <w:r w:rsidR="00981F1C">
        <w:t xml:space="preserve">ractice as a result of training. </w:t>
      </w:r>
      <w:r>
        <w:t>Despite this</w:t>
      </w:r>
      <w:r w:rsidR="00A51762">
        <w:t>, we did not see positive</w:t>
      </w:r>
      <w:r>
        <w:t xml:space="preserve"> changes in health behaviour among women attending Sure Start. </w:t>
      </w:r>
      <w:r w:rsidR="00053DBC" w:rsidRPr="00053DBC">
        <w:t>There</w:t>
      </w:r>
      <w:r w:rsidR="00396420">
        <w:t xml:space="preserve"> are</w:t>
      </w:r>
      <w:r w:rsidR="00053DBC" w:rsidRPr="00053DBC">
        <w:t xml:space="preserve"> a number of </w:t>
      </w:r>
      <w:r w:rsidR="00141E65">
        <w:t xml:space="preserve">possible </w:t>
      </w:r>
      <w:r w:rsidR="00053DBC" w:rsidRPr="00053DBC">
        <w:t>explanations for the lack of effectiveness of the intervention and the findings of the process evaluati</w:t>
      </w:r>
      <w:r>
        <w:t>on</w:t>
      </w:r>
      <w:r w:rsidR="00053DBC" w:rsidRPr="00053DBC">
        <w:t xml:space="preserve"> shed light on these. </w:t>
      </w:r>
      <w:r>
        <w:t>F</w:t>
      </w:r>
      <w:r w:rsidR="006F36E6">
        <w:t>ollow</w:t>
      </w:r>
      <w:r w:rsidR="00A432BE">
        <w:t>-</w:t>
      </w:r>
      <w:r w:rsidR="006F36E6">
        <w:t>up data on exposure</w:t>
      </w:r>
      <w:r w:rsidR="00A51762">
        <w:t xml:space="preserve"> have</w:t>
      </w:r>
      <w:r w:rsidR="00E70F04">
        <w:t xml:space="preserve"> indicated that 43%</w:t>
      </w:r>
      <w:r w:rsidR="006F36E6">
        <w:t xml:space="preserve"> of the women </w:t>
      </w:r>
      <w:r w:rsidR="00A528D4">
        <w:t>who took part in the follow</w:t>
      </w:r>
      <w:r w:rsidR="00A432BE">
        <w:t>-</w:t>
      </w:r>
      <w:r w:rsidR="00A528D4">
        <w:t>up survey</w:t>
      </w:r>
      <w:r w:rsidR="006F36E6">
        <w:t xml:space="preserve"> were only making occasional attendances at Sure Start Centres during the period of follow</w:t>
      </w:r>
      <w:r w:rsidR="00A432BE">
        <w:t>-</w:t>
      </w:r>
      <w:r w:rsidR="006F36E6">
        <w:t xml:space="preserve">up thus limiting their </w:t>
      </w:r>
      <w:r w:rsidR="00AA4281">
        <w:t xml:space="preserve">potential </w:t>
      </w:r>
      <w:r w:rsidR="006F36E6">
        <w:t>exposure to the</w:t>
      </w:r>
      <w:r w:rsidR="00B930C4">
        <w:t xml:space="preserve"> staff who had been trained in the</w:t>
      </w:r>
      <w:r w:rsidR="00AA4281">
        <w:t xml:space="preserve"> </w:t>
      </w:r>
      <w:r w:rsidR="00280051">
        <w:t>HCS</w:t>
      </w:r>
      <w:r w:rsidR="006F36E6">
        <w:t xml:space="preserve"> intervention. </w:t>
      </w:r>
      <w:r w:rsidR="00AF7243">
        <w:t xml:space="preserve"> </w:t>
      </w:r>
      <w:r w:rsidR="00C45BB3">
        <w:t xml:space="preserve">Nevertheless, for the women who were attending Centres more regularly, exposure to the intervention appears to have had a protective effect on their sense of control. </w:t>
      </w:r>
      <w:r w:rsidR="00AF7243">
        <w:t>Women follow</w:t>
      </w:r>
      <w:r w:rsidR="00A63DD8">
        <w:t>ed</w:t>
      </w:r>
      <w:r w:rsidR="00AF7243">
        <w:t xml:space="preserve"> up were older and had higher levels of educational attainment than those </w:t>
      </w:r>
      <w:r w:rsidR="00CB230C">
        <w:t xml:space="preserve">who had been </w:t>
      </w:r>
      <w:r w:rsidR="00141E65">
        <w:t>lost to follow</w:t>
      </w:r>
      <w:r w:rsidR="00A432BE">
        <w:t>-</w:t>
      </w:r>
      <w:r w:rsidR="00141E65">
        <w:t xml:space="preserve">up either because they </w:t>
      </w:r>
      <w:r w:rsidR="00AF7243">
        <w:t>declined to take part</w:t>
      </w:r>
      <w:r w:rsidR="00141E65">
        <w:t xml:space="preserve"> or because they were not contactable. The women followed up</w:t>
      </w:r>
      <w:r w:rsidR="00AF7243">
        <w:t xml:space="preserve"> were also more likely to be in </w:t>
      </w:r>
      <w:r w:rsidR="0063646A">
        <w:t xml:space="preserve">paid employment. These findings </w:t>
      </w:r>
      <w:r w:rsidR="00AF7243">
        <w:t xml:space="preserve">suggest that women who were more likely to </w:t>
      </w:r>
      <w:r w:rsidR="00A63DD8">
        <w:t xml:space="preserve">benefit from </w:t>
      </w:r>
      <w:r w:rsidR="000A5403">
        <w:t>use of Sure Start services because of their more disadvantaged circumstances were lost to follow</w:t>
      </w:r>
      <w:r w:rsidR="00A432BE">
        <w:t>-</w:t>
      </w:r>
      <w:r w:rsidR="000A5403">
        <w:t xml:space="preserve">up. In most cases, </w:t>
      </w:r>
      <w:r w:rsidR="00401CF5">
        <w:t>loss</w:t>
      </w:r>
      <w:r w:rsidR="000A5403">
        <w:t xml:space="preserve"> to follow</w:t>
      </w:r>
      <w:r w:rsidR="00A432BE">
        <w:t>-</w:t>
      </w:r>
      <w:r w:rsidR="000A5403">
        <w:t xml:space="preserve">up </w:t>
      </w:r>
      <w:r w:rsidR="00401CF5">
        <w:t xml:space="preserve">was </w:t>
      </w:r>
      <w:r w:rsidR="000A5403">
        <w:t xml:space="preserve">because </w:t>
      </w:r>
      <w:r w:rsidR="00401CF5">
        <w:t xml:space="preserve">women could </w:t>
      </w:r>
      <w:r w:rsidR="000A5403">
        <w:t xml:space="preserve">not </w:t>
      </w:r>
      <w:r w:rsidR="00401CF5">
        <w:t xml:space="preserve">be </w:t>
      </w:r>
      <w:r w:rsidR="000A5403">
        <w:t>contact</w:t>
      </w:r>
      <w:r w:rsidR="00401CF5">
        <w:t xml:space="preserve">ed </w:t>
      </w:r>
      <w:r w:rsidR="000A5403">
        <w:t xml:space="preserve">on the phone numbers they had given during the baseline survey. </w:t>
      </w:r>
      <w:r w:rsidR="00A51762">
        <w:t xml:space="preserve"> It is possible that these</w:t>
      </w:r>
      <w:r w:rsidR="00401CF5">
        <w:t xml:space="preserve"> women </w:t>
      </w:r>
      <w:r w:rsidR="003746E0">
        <w:t>might</w:t>
      </w:r>
      <w:r w:rsidR="00401CF5">
        <w:t xml:space="preserve"> have been living more chaotic lives and </w:t>
      </w:r>
      <w:r w:rsidR="003746E0">
        <w:t>might</w:t>
      </w:r>
      <w:r w:rsidR="00401CF5">
        <w:t xml:space="preserve"> have been a more mobile group than those followed up. </w:t>
      </w:r>
    </w:p>
    <w:p w:rsidR="005C19B2" w:rsidRDefault="0063646A" w:rsidP="00141E65">
      <w:pPr>
        <w:spacing w:line="360" w:lineRule="auto"/>
      </w:pPr>
      <w:r>
        <w:t>A</w:t>
      </w:r>
      <w:r w:rsidR="00AE29ED">
        <w:t xml:space="preserve">n intervention of this type which is aiming to change the practice of a group of health and social care staff is likely to </w:t>
      </w:r>
      <w:r w:rsidR="005C19B2">
        <w:t xml:space="preserve">take a number of years to </w:t>
      </w:r>
      <w:r w:rsidR="00B930C4">
        <w:t>embed</w:t>
      </w:r>
      <w:r w:rsidR="00AE29ED">
        <w:t xml:space="preserve"> </w:t>
      </w:r>
      <w:r w:rsidR="005C19B2">
        <w:t xml:space="preserve">in </w:t>
      </w:r>
      <w:r w:rsidR="00AE29ED">
        <w:t xml:space="preserve">practice across an organisation. </w:t>
      </w:r>
      <w:r w:rsidR="0000532C">
        <w:t>Added to this, it is likely that change in</w:t>
      </w:r>
      <w:r w:rsidR="003054C1">
        <w:t xml:space="preserve"> women’s</w:t>
      </w:r>
      <w:r w:rsidR="0000532C">
        <w:t xml:space="preserve"> health behaviour will not come from </w:t>
      </w:r>
      <w:r>
        <w:t>a single ‘healthy conversation</w:t>
      </w:r>
      <w:r w:rsidR="0000532C">
        <w:t>’</w:t>
      </w:r>
      <w:r w:rsidR="003054C1">
        <w:t xml:space="preserve"> with a trained practitioner, </w:t>
      </w:r>
      <w:r w:rsidR="0000532C">
        <w:t>but rather from repeated exposure</w:t>
      </w:r>
      <w:r w:rsidR="003054C1">
        <w:t xml:space="preserve"> to conversations</w:t>
      </w:r>
      <w:r w:rsidR="0000532C">
        <w:t xml:space="preserve"> over time. </w:t>
      </w:r>
    </w:p>
    <w:p w:rsidR="000B599E" w:rsidRDefault="00E55138" w:rsidP="00141E65">
      <w:pPr>
        <w:spacing w:line="360" w:lineRule="auto"/>
        <w:rPr>
          <w:b/>
        </w:rPr>
      </w:pPr>
      <w:r>
        <w:rPr>
          <w:b/>
        </w:rPr>
        <w:t>Implications for policy and practice</w:t>
      </w:r>
      <w:r w:rsidR="00573C32">
        <w:rPr>
          <w:b/>
        </w:rPr>
        <w:t xml:space="preserve"> </w:t>
      </w:r>
    </w:p>
    <w:p w:rsidR="002D169E" w:rsidRDefault="002D169E" w:rsidP="002D169E">
      <w:pPr>
        <w:spacing w:line="360" w:lineRule="auto"/>
      </w:pPr>
      <w:r>
        <w:t>The intervention had a protective effect on sense of control, an important intermediate factor within our conceptual model</w:t>
      </w:r>
      <w:r w:rsidR="00E77B77">
        <w:t xml:space="preserve"> for the relationship between exposure to healthy conversation skills and change in diet and physical activity</w:t>
      </w:r>
      <w:r>
        <w:t>. This was achieved at a time when dietary quality</w:t>
      </w:r>
      <w:r w:rsidR="00EE292E">
        <w:t xml:space="preserve">, sense of control and </w:t>
      </w:r>
      <w:r w:rsidR="003746E0">
        <w:t>self-efficacy</w:t>
      </w:r>
      <w:r>
        <w:t xml:space="preserve"> declined among all study participants, perhaps due to economic </w:t>
      </w:r>
      <w:r>
        <w:lastRenderedPageBreak/>
        <w:t xml:space="preserve">circumstances. Conducting our research in Sure Start was challenging. It is the obvious setting in which to reach women from disadvantaged backgrounds. However the difficulties of conducting research in this setting were considerable particularly given the mobility of the population served. Nevertheless, the improvements in staff practice resulting from the training intervention are an important finding and indicate that </w:t>
      </w:r>
      <w:r w:rsidR="00280051">
        <w:t>HCS</w:t>
      </w:r>
      <w:r>
        <w:t xml:space="preserve"> training has the potential to improve health behaviour. </w:t>
      </w:r>
      <w:r w:rsidR="00E77B77">
        <w:t xml:space="preserve">That fact combined with the protective effect of the intervention on sense of </w:t>
      </w:r>
      <w:r>
        <w:t xml:space="preserve">control among women in the intervention group suggests that the intervention </w:t>
      </w:r>
      <w:r w:rsidR="003746E0">
        <w:t>might</w:t>
      </w:r>
      <w:r>
        <w:t xml:space="preserve"> have the potential to improve dietary quality </w:t>
      </w:r>
      <w:r w:rsidR="00E77B77">
        <w:t xml:space="preserve">and physical activity </w:t>
      </w:r>
      <w:r>
        <w:t xml:space="preserve">under more optimal circumstances. Thus, we believe that further studies to assess the efficacy and effectiveness of </w:t>
      </w:r>
      <w:r w:rsidR="00280051">
        <w:t>HCS</w:t>
      </w:r>
      <w:r>
        <w:t xml:space="preserve"> are needed but that these should be conducted in settings where contact with women is more certain thus ensuring repeated exposure to the intervention</w:t>
      </w:r>
      <w:r w:rsidR="00E77B77">
        <w:t>, as a component of antenatal care for example</w:t>
      </w:r>
      <w:r>
        <w:t>.</w:t>
      </w:r>
    </w:p>
    <w:p w:rsidR="001D2EEB" w:rsidRDefault="00A96EDA" w:rsidP="00141E65">
      <w:pPr>
        <w:spacing w:line="360" w:lineRule="auto"/>
      </w:pPr>
      <w:r>
        <w:t>Our findings demonstrate the difficulties and challenges of carrying ou</w:t>
      </w:r>
      <w:r w:rsidR="00B52817">
        <w:t>t</w:t>
      </w:r>
      <w:r>
        <w:t xml:space="preserve"> complex public health intervention research</w:t>
      </w:r>
      <w:r w:rsidR="001D2EEB">
        <w:t xml:space="preserve"> </w:t>
      </w:r>
      <w:r w:rsidR="00290EE1">
        <w:t>in a</w:t>
      </w:r>
      <w:r w:rsidR="0063646A" w:rsidRPr="00C0314D">
        <w:t xml:space="preserve"> r</w:t>
      </w:r>
      <w:r w:rsidR="001D2EEB">
        <w:t>eal world setting</w:t>
      </w:r>
      <w:r w:rsidR="00290EE1">
        <w:t xml:space="preserve">. We </w:t>
      </w:r>
      <w:r w:rsidR="0063646A" w:rsidRPr="00C0314D">
        <w:t>attempted to asses</w:t>
      </w:r>
      <w:r w:rsidR="001A65AC">
        <w:t>s the effects of the intervention</w:t>
      </w:r>
      <w:r w:rsidR="001D2EEB">
        <w:t xml:space="preserve"> under conditions that reflect</w:t>
      </w:r>
      <w:r w:rsidR="001A65AC">
        <w:t>ed</w:t>
      </w:r>
      <w:r w:rsidR="001D2EEB">
        <w:t xml:space="preserve"> the normal delivery of services</w:t>
      </w:r>
      <w:r w:rsidR="001A65AC">
        <w:t xml:space="preserve"> – a true test of effectiveness</w:t>
      </w:r>
      <w:r w:rsidR="009238B8">
        <w:t xml:space="preserve">. </w:t>
      </w:r>
      <w:r w:rsidR="003B5739">
        <w:t>By doing so, however, it appears that we did not exert sufficient control over the implementation and evaluation of our intervention. T</w:t>
      </w:r>
      <w:r w:rsidR="00FB36DD">
        <w:t xml:space="preserve">he findings of our </w:t>
      </w:r>
      <w:r w:rsidR="00FB36DD" w:rsidRPr="00C0314D">
        <w:t>process evaluation sh</w:t>
      </w:r>
      <w:r w:rsidR="00FB36DD">
        <w:t>ow</w:t>
      </w:r>
      <w:r w:rsidR="00FB36DD" w:rsidRPr="00C0314D">
        <w:t xml:space="preserve"> that our approach to</w:t>
      </w:r>
      <w:r w:rsidR="00874280">
        <w:t xml:space="preserve"> recruitment </w:t>
      </w:r>
      <w:r w:rsidR="003746E0">
        <w:t>might</w:t>
      </w:r>
      <w:r w:rsidR="003B5739">
        <w:t xml:space="preserve"> have led to only</w:t>
      </w:r>
      <w:r w:rsidR="00FB36DD" w:rsidRPr="00C0314D">
        <w:t xml:space="preserve"> limited exposure to the inter</w:t>
      </w:r>
      <w:r w:rsidR="00FB36DD">
        <w:t>vention</w:t>
      </w:r>
      <w:r w:rsidR="006D792E">
        <w:t xml:space="preserve"> for some of the</w:t>
      </w:r>
      <w:r w:rsidR="003B5739">
        <w:t xml:space="preserve"> women that we followed up.</w:t>
      </w:r>
      <w:r w:rsidR="00FB36DD">
        <w:t xml:space="preserve"> </w:t>
      </w:r>
      <w:r w:rsidR="00D22516">
        <w:t xml:space="preserve">The extent to which </w:t>
      </w:r>
      <w:r w:rsidR="009238B8">
        <w:t xml:space="preserve">the implementation of </w:t>
      </w:r>
      <w:r w:rsidR="00D22516">
        <w:t>complex interventions should be controlled has been widely debated</w:t>
      </w:r>
      <w:r w:rsidR="009238B8">
        <w:t xml:space="preserve"> and many have argued</w:t>
      </w:r>
      <w:r w:rsidR="00874280">
        <w:t xml:space="preserve"> that it is not wise to over </w:t>
      </w:r>
      <w:r w:rsidR="00747469">
        <w:t xml:space="preserve">standardise an intervention since, although this </w:t>
      </w:r>
      <w:r w:rsidR="003746E0">
        <w:t>might</w:t>
      </w:r>
      <w:r w:rsidR="00747469">
        <w:t xml:space="preserve"> improve internal validity, it </w:t>
      </w:r>
      <w:r w:rsidR="003746E0">
        <w:t>might</w:t>
      </w:r>
      <w:r w:rsidR="00747469">
        <w:t xml:space="preserve"> also render the intervention ineffective</w:t>
      </w:r>
      <w:r w:rsidR="009238B8">
        <w:t xml:space="preserve"> </w:t>
      </w:r>
      <w:r w:rsidR="001A65AC">
        <w:t>.</w:t>
      </w:r>
      <w:r w:rsidR="009E1EBF">
        <w:rPr>
          <w:vertAlign w:val="superscript"/>
        </w:rPr>
        <w:t>4</w:t>
      </w:r>
      <w:r w:rsidR="00AA702E">
        <w:rPr>
          <w:vertAlign w:val="superscript"/>
        </w:rPr>
        <w:t>2</w:t>
      </w:r>
      <w:r w:rsidR="001A65AC">
        <w:t xml:space="preserve"> </w:t>
      </w:r>
      <w:r w:rsidR="00747469">
        <w:t>In this case, o</w:t>
      </w:r>
      <w:r w:rsidR="007123E5">
        <w:t>ur</w:t>
      </w:r>
      <w:r w:rsidR="00C02269">
        <w:t xml:space="preserve"> </w:t>
      </w:r>
      <w:r w:rsidR="00290EE1">
        <w:t>findings suggest</w:t>
      </w:r>
      <w:r w:rsidR="001D2EEB">
        <w:t xml:space="preserve"> that mor</w:t>
      </w:r>
      <w:r w:rsidR="0063646A" w:rsidRPr="00C0314D">
        <w:t>e control of the intervention and evaluation would have been justified</w:t>
      </w:r>
      <w:r w:rsidR="00A517E0">
        <w:t xml:space="preserve"> to make the study</w:t>
      </w:r>
      <w:r w:rsidR="00C0314D">
        <w:t xml:space="preserve"> work</w:t>
      </w:r>
      <w:r w:rsidR="001A65AC">
        <w:t xml:space="preserve"> in a</w:t>
      </w:r>
      <w:r w:rsidR="0063646A" w:rsidRPr="00C0314D">
        <w:t xml:space="preserve"> setting</w:t>
      </w:r>
      <w:r w:rsidR="001A65AC">
        <w:t xml:space="preserve"> like Sure Start where attendance and participation are entirely voluntary</w:t>
      </w:r>
      <w:r w:rsidR="0063646A" w:rsidRPr="00C0314D">
        <w:t xml:space="preserve">. </w:t>
      </w:r>
      <w:r w:rsidR="00254664">
        <w:t xml:space="preserve">Alternative approaches to recruitment, for example recruitment of women at the time of their enrolment onto a particular Sure Start activity and monitoring attendance at sessions,  </w:t>
      </w:r>
      <w:r w:rsidR="00156309">
        <w:t>would have been considerably more resource intensive and potentially difficult to fund.</w:t>
      </w:r>
    </w:p>
    <w:p w:rsidR="00E240D5" w:rsidRDefault="003617D2" w:rsidP="00141E65">
      <w:pPr>
        <w:spacing w:line="360" w:lineRule="auto"/>
      </w:pPr>
      <w:r>
        <w:t>Government policy to tackle obesity calls for action at community level to bring about i</w:t>
      </w:r>
      <w:r w:rsidR="00CE00AE">
        <w:t>mprovements in health behaviour.</w:t>
      </w:r>
      <w:r w:rsidR="00DF689E" w:rsidRPr="00DF689E">
        <w:rPr>
          <w:vertAlign w:val="superscript"/>
        </w:rPr>
        <w:t>1,2</w:t>
      </w:r>
      <w:r w:rsidR="00AA702E">
        <w:rPr>
          <w:vertAlign w:val="superscript"/>
        </w:rPr>
        <w:t xml:space="preserve"> </w:t>
      </w:r>
      <w:r>
        <w:t>Evidence of growing inequalit</w:t>
      </w:r>
      <w:r w:rsidR="006D792E">
        <w:t xml:space="preserve">ies in health behaviour suggests </w:t>
      </w:r>
      <w:r>
        <w:t>the need for strategies that will target disadvantaged groups in community settings where they can be reached. Sure Start is one such setting. This study has demonstrated some of the challenges involved in implementing and evaluating complex interventions wit</w:t>
      </w:r>
      <w:r w:rsidR="00866333">
        <w:t>hin a</w:t>
      </w:r>
      <w:r>
        <w:t xml:space="preserve"> community setting</w:t>
      </w:r>
      <w:r w:rsidR="00866333">
        <w:t xml:space="preserve"> like Sure Start</w:t>
      </w:r>
      <w:r>
        <w:t>. These challenges should not get in the way of community</w:t>
      </w:r>
      <w:r w:rsidR="00E3393D">
        <w:t>-</w:t>
      </w:r>
      <w:r>
        <w:t>level intervention</w:t>
      </w:r>
      <w:r w:rsidR="00515458">
        <w:t xml:space="preserve"> research but it is likely </w:t>
      </w:r>
      <w:r w:rsidR="00515458">
        <w:lastRenderedPageBreak/>
        <w:t>that more complex study designs will be required to overcome them. P</w:t>
      </w:r>
      <w:r>
        <w:t>olicy makers and funders of</w:t>
      </w:r>
      <w:r w:rsidR="00866333">
        <w:t xml:space="preserve"> </w:t>
      </w:r>
      <w:r>
        <w:t xml:space="preserve">research need to </w:t>
      </w:r>
      <w:r w:rsidR="00866333">
        <w:t>consider the impact of such challenges when deciding their research priorities.</w:t>
      </w:r>
      <w:r w:rsidR="00C45BB3">
        <w:t xml:space="preserve"> </w:t>
      </w:r>
    </w:p>
    <w:p w:rsidR="0083731C" w:rsidRDefault="0083731C" w:rsidP="00141E65">
      <w:pPr>
        <w:spacing w:line="360" w:lineRule="auto"/>
      </w:pPr>
    </w:p>
    <w:p w:rsidR="00186371" w:rsidRDefault="00186371" w:rsidP="00141E65">
      <w:pPr>
        <w:spacing w:line="360" w:lineRule="auto"/>
        <w:rPr>
          <w:b/>
        </w:rPr>
      </w:pPr>
    </w:p>
    <w:p w:rsidR="00D92637" w:rsidRPr="008501CE" w:rsidRDefault="00F542EB" w:rsidP="00141E65">
      <w:pPr>
        <w:spacing w:line="360" w:lineRule="auto"/>
        <w:rPr>
          <w:b/>
        </w:rPr>
      </w:pPr>
      <w:r w:rsidRPr="008501CE">
        <w:rPr>
          <w:b/>
        </w:rPr>
        <w:t>Acknowledgements</w:t>
      </w:r>
    </w:p>
    <w:p w:rsidR="00F542EB" w:rsidRDefault="00E240D5" w:rsidP="00E240D5">
      <w:pPr>
        <w:spacing w:before="100" w:beforeAutospacing="1" w:after="100" w:afterAutospacing="1" w:line="360" w:lineRule="auto"/>
        <w:rPr>
          <w:rFonts w:eastAsia="Times New Roman" w:cs="Times New Roman"/>
          <w:color w:val="000000" w:themeColor="text1"/>
        </w:rPr>
      </w:pPr>
      <w:r w:rsidRPr="00DA110C">
        <w:rPr>
          <w:rFonts w:eastAsia="Times New Roman" w:cs="Times New Roman"/>
          <w:color w:val="000000" w:themeColor="text1"/>
        </w:rPr>
        <w:t>We thank</w:t>
      </w:r>
      <w:r w:rsidRPr="00E240D5">
        <w:rPr>
          <w:rFonts w:eastAsia="Times New Roman" w:cs="Times New Roman"/>
          <w:color w:val="000000" w:themeColor="text1"/>
        </w:rPr>
        <w:t xml:space="preserve"> the staff </w:t>
      </w:r>
      <w:r w:rsidRPr="00DA110C">
        <w:rPr>
          <w:rFonts w:eastAsia="Times New Roman" w:cs="Times New Roman"/>
          <w:color w:val="000000" w:themeColor="text1"/>
        </w:rPr>
        <w:t xml:space="preserve">of Southampton City Council, </w:t>
      </w:r>
      <w:r w:rsidRPr="00E240D5">
        <w:rPr>
          <w:rFonts w:eastAsia="Times New Roman" w:cs="Times New Roman"/>
          <w:color w:val="000000" w:themeColor="text1"/>
        </w:rPr>
        <w:t>NHS Southampton City</w:t>
      </w:r>
      <w:r w:rsidRPr="00DA110C">
        <w:rPr>
          <w:rFonts w:eastAsia="Times New Roman" w:cs="Times New Roman"/>
          <w:color w:val="000000" w:themeColor="text1"/>
        </w:rPr>
        <w:t xml:space="preserve"> and Hampshire County Council</w:t>
      </w:r>
      <w:r w:rsidRPr="00E240D5">
        <w:rPr>
          <w:rFonts w:eastAsia="Times New Roman" w:cs="Times New Roman"/>
          <w:color w:val="000000" w:themeColor="text1"/>
        </w:rPr>
        <w:t>; in particula</w:t>
      </w:r>
      <w:r w:rsidRPr="00DA110C">
        <w:rPr>
          <w:rFonts w:eastAsia="Times New Roman" w:cs="Times New Roman"/>
          <w:color w:val="000000" w:themeColor="text1"/>
        </w:rPr>
        <w:t xml:space="preserve">r Sue Thompson, Liz Taylor, </w:t>
      </w:r>
      <w:r w:rsidRPr="00E240D5">
        <w:rPr>
          <w:rFonts w:eastAsia="Times New Roman" w:cs="Times New Roman"/>
          <w:color w:val="000000" w:themeColor="text1"/>
        </w:rPr>
        <w:t xml:space="preserve">Stephanie Ramsay, </w:t>
      </w:r>
      <w:r w:rsidRPr="00DA110C">
        <w:rPr>
          <w:rFonts w:eastAsia="Times New Roman" w:cs="Times New Roman"/>
          <w:color w:val="000000" w:themeColor="text1"/>
        </w:rPr>
        <w:t xml:space="preserve">and Janet Hoff </w:t>
      </w:r>
      <w:r w:rsidRPr="00E240D5">
        <w:rPr>
          <w:rFonts w:eastAsia="Times New Roman" w:cs="Times New Roman"/>
          <w:color w:val="000000" w:themeColor="text1"/>
        </w:rPr>
        <w:t xml:space="preserve">for their considerable help in </w:t>
      </w:r>
      <w:r w:rsidRPr="00DA110C">
        <w:rPr>
          <w:rFonts w:eastAsia="Times New Roman" w:cs="Times New Roman"/>
          <w:color w:val="000000" w:themeColor="text1"/>
        </w:rPr>
        <w:t xml:space="preserve">facilitating the </w:t>
      </w:r>
      <w:r w:rsidRPr="00E240D5">
        <w:rPr>
          <w:rFonts w:eastAsia="Times New Roman" w:cs="Times New Roman"/>
          <w:color w:val="000000" w:themeColor="text1"/>
        </w:rPr>
        <w:t>eval</w:t>
      </w:r>
      <w:r w:rsidRPr="00DA110C">
        <w:rPr>
          <w:rFonts w:eastAsia="Times New Roman" w:cs="Times New Roman"/>
          <w:color w:val="000000" w:themeColor="text1"/>
        </w:rPr>
        <w:t>uation within Sure Start Children’s Centres</w:t>
      </w:r>
      <w:r w:rsidRPr="00E240D5">
        <w:rPr>
          <w:rFonts w:eastAsia="Times New Roman" w:cs="Times New Roman"/>
          <w:color w:val="000000" w:themeColor="text1"/>
        </w:rPr>
        <w:t xml:space="preserve">.  We are grateful to Jeanette Keyte for her contributions to the design and delivery of the training programme, to Vanessa Cox and the MRC LEU computing team for their invaluable help with the data, and to all working on the Southampton Initiative for Health.  </w:t>
      </w:r>
    </w:p>
    <w:p w:rsidR="00186371" w:rsidRPr="008501CE" w:rsidRDefault="00186371" w:rsidP="00186371">
      <w:pPr>
        <w:spacing w:after="0" w:line="360" w:lineRule="auto"/>
        <w:rPr>
          <w:rFonts w:eastAsia="Times New Roman" w:cs="Times New Roman"/>
          <w:b/>
          <w:iCs/>
          <w:color w:val="000000" w:themeColor="text1"/>
        </w:rPr>
      </w:pPr>
      <w:r w:rsidRPr="008501CE">
        <w:rPr>
          <w:rFonts w:eastAsia="Times New Roman" w:cs="Times New Roman"/>
          <w:b/>
          <w:iCs/>
          <w:color w:val="000000" w:themeColor="text1"/>
        </w:rPr>
        <w:t>Author Contribution</w:t>
      </w:r>
    </w:p>
    <w:p w:rsidR="00186371" w:rsidRDefault="00186371" w:rsidP="00186371">
      <w:pPr>
        <w:spacing w:after="0" w:line="360" w:lineRule="auto"/>
        <w:rPr>
          <w:rFonts w:eastAsia="Times New Roman" w:cs="Times New Roman"/>
          <w:iCs/>
          <w:color w:val="000000" w:themeColor="text1"/>
        </w:rPr>
      </w:pPr>
      <w:r>
        <w:rPr>
          <w:rFonts w:eastAsia="Times New Roman" w:cs="Times New Roman"/>
          <w:iCs/>
          <w:color w:val="000000" w:themeColor="text1"/>
        </w:rPr>
        <w:t>All authors contributed to the conception and design of the study. MJ, JB, MEB, TT, JD and RB were responsible for data collection. HMI, JB, MEB and CC conducted the data analysis. JB drafted the manuscript which was revised following comments from all authors. All authors have approved the final manuscript for publication.</w:t>
      </w:r>
    </w:p>
    <w:p w:rsidR="00186371" w:rsidRDefault="00186371" w:rsidP="00186371">
      <w:pPr>
        <w:spacing w:after="0" w:line="360" w:lineRule="auto"/>
        <w:rPr>
          <w:rFonts w:eastAsia="Times New Roman" w:cs="Times New Roman"/>
          <w:iCs/>
          <w:color w:val="000000" w:themeColor="text1"/>
        </w:rPr>
      </w:pPr>
      <w:r>
        <w:rPr>
          <w:rFonts w:eastAsia="Times New Roman" w:cs="Times New Roman"/>
          <w:iCs/>
          <w:color w:val="000000" w:themeColor="text1"/>
        </w:rPr>
        <w:t>Cyrus Cooper is guarantor for the study.</w:t>
      </w:r>
    </w:p>
    <w:p w:rsidR="00F542EB" w:rsidRPr="00F542EB" w:rsidRDefault="00F542EB" w:rsidP="00E240D5">
      <w:pPr>
        <w:spacing w:before="100" w:beforeAutospacing="1" w:after="100" w:afterAutospacing="1" w:line="360" w:lineRule="auto"/>
        <w:rPr>
          <w:rFonts w:eastAsia="Times New Roman" w:cs="Times New Roman"/>
          <w:b/>
          <w:iCs/>
          <w:color w:val="000000" w:themeColor="text1"/>
        </w:rPr>
      </w:pPr>
      <w:r w:rsidRPr="00F542EB">
        <w:rPr>
          <w:rFonts w:eastAsia="Times New Roman" w:cs="Times New Roman"/>
          <w:b/>
          <w:iCs/>
          <w:color w:val="000000" w:themeColor="text1"/>
        </w:rPr>
        <w:t>Conflict of interest</w:t>
      </w:r>
    </w:p>
    <w:p w:rsidR="00F542EB" w:rsidRDefault="00E240D5" w:rsidP="00E240D5">
      <w:pPr>
        <w:spacing w:before="100" w:beforeAutospacing="1" w:after="100" w:afterAutospacing="1" w:line="360" w:lineRule="auto"/>
        <w:rPr>
          <w:rFonts w:eastAsia="Times New Roman" w:cs="Times New Roman"/>
          <w:iCs/>
          <w:color w:val="000000" w:themeColor="text1"/>
        </w:rPr>
      </w:pPr>
      <w:r w:rsidRPr="00E240D5">
        <w:rPr>
          <w:rFonts w:eastAsia="Times New Roman" w:cs="Times New Roman"/>
          <w:iCs/>
          <w:color w:val="000000" w:themeColor="text1"/>
        </w:rPr>
        <w:t>The</w:t>
      </w:r>
      <w:r w:rsidR="00F542EB">
        <w:rPr>
          <w:rFonts w:eastAsia="Times New Roman" w:cs="Times New Roman"/>
          <w:iCs/>
          <w:color w:val="000000" w:themeColor="text1"/>
        </w:rPr>
        <w:t xml:space="preserve"> authors declare no competing</w:t>
      </w:r>
      <w:r w:rsidR="00DA110C" w:rsidRPr="00DA110C">
        <w:rPr>
          <w:rFonts w:eastAsia="Times New Roman" w:cs="Times New Roman"/>
          <w:iCs/>
          <w:color w:val="000000" w:themeColor="text1"/>
        </w:rPr>
        <w:t xml:space="preserve"> interests.  </w:t>
      </w:r>
    </w:p>
    <w:p w:rsidR="00F542EB" w:rsidRDefault="00F542EB" w:rsidP="00F542EB">
      <w:pPr>
        <w:spacing w:after="0" w:line="360" w:lineRule="auto"/>
        <w:rPr>
          <w:rStyle w:val="pagecontents1"/>
          <w:rFonts w:asciiTheme="minorHAnsi" w:hAnsiTheme="minorHAnsi"/>
          <w:sz w:val="22"/>
          <w:szCs w:val="22"/>
        </w:rPr>
      </w:pPr>
      <w:r>
        <w:rPr>
          <w:rStyle w:val="pagecontents1"/>
          <w:rFonts w:asciiTheme="minorHAnsi" w:hAnsiTheme="minorHAnsi"/>
          <w:sz w:val="22"/>
          <w:szCs w:val="22"/>
        </w:rPr>
        <w:t>T</w:t>
      </w:r>
      <w:r w:rsidRPr="00997D76">
        <w:rPr>
          <w:rStyle w:val="pagecontents1"/>
          <w:rFonts w:asciiTheme="minorHAnsi" w:hAnsiTheme="minorHAnsi"/>
          <w:sz w:val="22"/>
          <w:szCs w:val="22"/>
        </w:rPr>
        <w:t>he Corresponding Author has the right to grant on behalf of all authors and does grant on behalf of all authors, an exclusive licence (or non exclusive for government employees) on a worldwide basis to the BMJ Publishing Group Ltd to permit this article (if accepted) to be published in BMJ editions and any other BMJPGL products and sub</w:t>
      </w:r>
      <w:r>
        <w:rPr>
          <w:rStyle w:val="pagecontents1"/>
          <w:rFonts w:asciiTheme="minorHAnsi" w:hAnsiTheme="minorHAnsi"/>
          <w:sz w:val="22"/>
          <w:szCs w:val="22"/>
        </w:rPr>
        <w:t>-</w:t>
      </w:r>
      <w:r w:rsidRPr="00997D76">
        <w:rPr>
          <w:rStyle w:val="pagecontents1"/>
          <w:rFonts w:asciiTheme="minorHAnsi" w:hAnsiTheme="minorHAnsi"/>
          <w:sz w:val="22"/>
          <w:szCs w:val="22"/>
        </w:rPr>
        <w:t>licences such use and exploit all subs</w:t>
      </w:r>
      <w:r>
        <w:rPr>
          <w:rStyle w:val="pagecontents1"/>
          <w:rFonts w:asciiTheme="minorHAnsi" w:hAnsiTheme="minorHAnsi"/>
          <w:sz w:val="22"/>
          <w:szCs w:val="22"/>
        </w:rPr>
        <w:t>idiary rights, as set out in their</w:t>
      </w:r>
      <w:r w:rsidRPr="00997D76">
        <w:rPr>
          <w:rStyle w:val="pagecontents1"/>
          <w:rFonts w:asciiTheme="minorHAnsi" w:hAnsiTheme="minorHAnsi"/>
          <w:sz w:val="22"/>
          <w:szCs w:val="22"/>
        </w:rPr>
        <w:t xml:space="preserve"> licence.</w:t>
      </w:r>
    </w:p>
    <w:p w:rsidR="00186371" w:rsidRPr="00F542EB" w:rsidRDefault="00186371" w:rsidP="00186371">
      <w:pPr>
        <w:spacing w:before="100" w:beforeAutospacing="1" w:after="100" w:afterAutospacing="1" w:line="360" w:lineRule="auto"/>
        <w:rPr>
          <w:rFonts w:eastAsia="Times New Roman" w:cs="Times New Roman"/>
          <w:b/>
          <w:color w:val="000000" w:themeColor="text1"/>
        </w:rPr>
      </w:pPr>
      <w:r w:rsidRPr="00F542EB">
        <w:rPr>
          <w:rFonts w:eastAsia="Times New Roman" w:cs="Times New Roman"/>
          <w:b/>
          <w:color w:val="000000" w:themeColor="text1"/>
        </w:rPr>
        <w:t>Funding</w:t>
      </w:r>
    </w:p>
    <w:p w:rsidR="00186371" w:rsidRDefault="00186371" w:rsidP="00186371">
      <w:pPr>
        <w:spacing w:before="100" w:beforeAutospacing="1" w:after="100" w:afterAutospacing="1" w:line="360" w:lineRule="auto"/>
        <w:rPr>
          <w:rFonts w:eastAsia="Times New Roman" w:cs="Times New Roman"/>
          <w:iCs/>
          <w:color w:val="000000" w:themeColor="text1"/>
        </w:rPr>
      </w:pPr>
      <w:r w:rsidRPr="00E240D5">
        <w:rPr>
          <w:rFonts w:eastAsia="Times New Roman" w:cs="Times New Roman"/>
          <w:iCs/>
          <w:color w:val="000000" w:themeColor="text1"/>
        </w:rPr>
        <w:t>This study was funded by the Medical Research Council (UK), and the NIHR Nutrition Biomedical Research Centre</w:t>
      </w:r>
      <w:r>
        <w:rPr>
          <w:rFonts w:eastAsia="Times New Roman" w:cs="Times New Roman"/>
          <w:iCs/>
          <w:color w:val="000000" w:themeColor="text1"/>
        </w:rPr>
        <w:t>, University of Southampton</w:t>
      </w:r>
      <w:r w:rsidRPr="00E240D5">
        <w:rPr>
          <w:rFonts w:eastAsia="Times New Roman" w:cs="Times New Roman"/>
          <w:iCs/>
          <w:color w:val="000000" w:themeColor="text1"/>
        </w:rPr>
        <w:t xml:space="preserve">.  </w:t>
      </w:r>
      <w:r>
        <w:rPr>
          <w:rFonts w:eastAsia="Times New Roman" w:cs="Times New Roman"/>
          <w:iCs/>
          <w:color w:val="000000" w:themeColor="text1"/>
        </w:rPr>
        <w:t>The funders have no vested interest in the findings of this research.</w:t>
      </w:r>
    </w:p>
    <w:p w:rsidR="00284069" w:rsidRPr="006E5BC2" w:rsidRDefault="00284069" w:rsidP="00E240D5">
      <w:pPr>
        <w:spacing w:before="100" w:beforeAutospacing="1" w:after="100" w:afterAutospacing="1" w:line="360" w:lineRule="auto"/>
        <w:rPr>
          <w:rFonts w:eastAsia="Times New Roman" w:cs="Times New Roman"/>
          <w:b/>
          <w:iCs/>
          <w:color w:val="000000" w:themeColor="text1"/>
        </w:rPr>
      </w:pPr>
      <w:r w:rsidRPr="006E5BC2">
        <w:rPr>
          <w:rFonts w:eastAsia="Times New Roman" w:cs="Times New Roman"/>
          <w:b/>
          <w:iCs/>
          <w:color w:val="000000" w:themeColor="text1"/>
        </w:rPr>
        <w:lastRenderedPageBreak/>
        <w:t>Data sharing</w:t>
      </w:r>
    </w:p>
    <w:p w:rsidR="006E5BC2" w:rsidRDefault="006E5BC2" w:rsidP="00E240D5">
      <w:pPr>
        <w:spacing w:before="100" w:beforeAutospacing="1" w:after="100" w:afterAutospacing="1" w:line="360" w:lineRule="auto"/>
        <w:rPr>
          <w:rFonts w:eastAsia="Times New Roman" w:cs="Times New Roman"/>
          <w:iCs/>
          <w:color w:val="000000" w:themeColor="text1"/>
        </w:rPr>
      </w:pPr>
      <w:r>
        <w:rPr>
          <w:rFonts w:eastAsia="Times New Roman" w:cs="Times New Roman"/>
          <w:iCs/>
          <w:color w:val="000000" w:themeColor="text1"/>
        </w:rPr>
        <w:t>No additional data are available.</w:t>
      </w:r>
    </w:p>
    <w:p w:rsidR="00186371" w:rsidRPr="00F542EB" w:rsidRDefault="00186371" w:rsidP="00186371">
      <w:pPr>
        <w:spacing w:before="100" w:beforeAutospacing="1" w:after="100" w:afterAutospacing="1" w:line="360" w:lineRule="auto"/>
        <w:rPr>
          <w:rFonts w:eastAsia="Times New Roman" w:cs="Times New Roman"/>
          <w:b/>
          <w:iCs/>
          <w:color w:val="000000" w:themeColor="text1"/>
        </w:rPr>
      </w:pPr>
      <w:r w:rsidRPr="00F542EB">
        <w:rPr>
          <w:rFonts w:eastAsia="Times New Roman" w:cs="Times New Roman"/>
          <w:b/>
          <w:iCs/>
          <w:color w:val="000000" w:themeColor="text1"/>
        </w:rPr>
        <w:t>Ethical approval</w:t>
      </w:r>
    </w:p>
    <w:p w:rsidR="00186371" w:rsidRDefault="00186371" w:rsidP="00186371">
      <w:pPr>
        <w:spacing w:before="100" w:beforeAutospacing="1" w:after="100" w:afterAutospacing="1" w:line="360" w:lineRule="auto"/>
        <w:rPr>
          <w:rFonts w:eastAsia="Times New Roman" w:cs="Times New Roman"/>
          <w:iCs/>
          <w:color w:val="000000" w:themeColor="text1"/>
        </w:rPr>
      </w:pPr>
      <w:r w:rsidRPr="00DA110C">
        <w:rPr>
          <w:rFonts w:eastAsia="Times New Roman" w:cs="Times New Roman"/>
          <w:iCs/>
          <w:color w:val="000000" w:themeColor="text1"/>
        </w:rPr>
        <w:t>The research was given</w:t>
      </w:r>
      <w:r w:rsidRPr="00E240D5">
        <w:rPr>
          <w:rFonts w:eastAsia="Times New Roman" w:cs="Times New Roman"/>
          <w:iCs/>
          <w:color w:val="000000" w:themeColor="text1"/>
        </w:rPr>
        <w:t xml:space="preserve"> local ethical approval and was carried out in accordance with universal ethical principles.</w:t>
      </w:r>
    </w:p>
    <w:p w:rsidR="00186371" w:rsidRDefault="00186371" w:rsidP="00E240D5">
      <w:pPr>
        <w:spacing w:before="100" w:beforeAutospacing="1" w:after="100" w:afterAutospacing="1" w:line="360" w:lineRule="auto"/>
        <w:rPr>
          <w:rFonts w:eastAsia="Times New Roman" w:cs="Times New Roman"/>
          <w:iCs/>
          <w:color w:val="000000" w:themeColor="text1"/>
        </w:rPr>
      </w:pPr>
    </w:p>
    <w:p w:rsidR="00284069" w:rsidRPr="00E240D5" w:rsidRDefault="00284069" w:rsidP="00E240D5">
      <w:pPr>
        <w:spacing w:before="100" w:beforeAutospacing="1" w:after="100" w:afterAutospacing="1" w:line="360" w:lineRule="auto"/>
        <w:rPr>
          <w:rFonts w:eastAsia="Times New Roman" w:cs="Times New Roman"/>
        </w:rPr>
      </w:pPr>
    </w:p>
    <w:p w:rsidR="00E240D5" w:rsidRPr="00E240D5" w:rsidRDefault="00E240D5" w:rsidP="00E24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1B19D8" w:rsidRDefault="001B19D8">
      <w:r>
        <w:br w:type="page"/>
      </w:r>
    </w:p>
    <w:p w:rsidR="006F4944" w:rsidRDefault="001B19D8" w:rsidP="006F4944">
      <w:pPr>
        <w:spacing w:before="100" w:beforeAutospacing="1" w:line="360" w:lineRule="auto"/>
        <w:rPr>
          <w:b/>
        </w:rPr>
      </w:pPr>
      <w:r>
        <w:rPr>
          <w:b/>
        </w:rPr>
        <w:lastRenderedPageBreak/>
        <w:t>References</w:t>
      </w:r>
    </w:p>
    <w:p w:rsidR="00AC5C30" w:rsidRDefault="007058F6" w:rsidP="00AC5C30">
      <w:pPr>
        <w:pStyle w:val="ListParagraph"/>
        <w:numPr>
          <w:ilvl w:val="0"/>
          <w:numId w:val="2"/>
        </w:numPr>
        <w:spacing w:before="100" w:beforeAutospacing="1" w:line="240" w:lineRule="auto"/>
        <w:rPr>
          <w:rFonts w:cstheme="minorHAnsi"/>
        </w:rPr>
      </w:pPr>
      <w:r w:rsidRPr="003D6674">
        <w:rPr>
          <w:rFonts w:cstheme="minorHAnsi"/>
        </w:rPr>
        <w:t>Foresight. Tackling Obesities: Future Choices</w:t>
      </w:r>
      <w:r w:rsidR="00AD507A" w:rsidRPr="003D6674">
        <w:rPr>
          <w:rFonts w:cstheme="minorHAnsi"/>
        </w:rPr>
        <w:t xml:space="preserve"> – Project Report</w:t>
      </w:r>
      <w:r w:rsidRPr="003D6674">
        <w:rPr>
          <w:rFonts w:cstheme="minorHAnsi"/>
        </w:rPr>
        <w:t>. London: Government Office for Science 2007.</w:t>
      </w:r>
    </w:p>
    <w:p w:rsidR="003D6674" w:rsidRPr="003D6674" w:rsidRDefault="003D6674" w:rsidP="003D6674">
      <w:pPr>
        <w:pStyle w:val="ListParagraph"/>
        <w:spacing w:before="100" w:beforeAutospacing="1" w:line="240" w:lineRule="auto"/>
        <w:rPr>
          <w:rFonts w:cstheme="minorHAnsi"/>
        </w:rPr>
      </w:pPr>
    </w:p>
    <w:p w:rsidR="00CE1E24" w:rsidRPr="003D6674" w:rsidRDefault="00AD507A" w:rsidP="00CE1E24">
      <w:pPr>
        <w:pStyle w:val="ListParagraph"/>
        <w:numPr>
          <w:ilvl w:val="0"/>
          <w:numId w:val="2"/>
        </w:numPr>
        <w:spacing w:before="100" w:beforeAutospacing="1" w:line="240" w:lineRule="auto"/>
        <w:rPr>
          <w:rFonts w:cstheme="minorHAnsi"/>
        </w:rPr>
      </w:pPr>
      <w:r w:rsidRPr="003D6674">
        <w:rPr>
          <w:rFonts w:cstheme="minorHAnsi"/>
        </w:rPr>
        <w:t xml:space="preserve">Department of Health. </w:t>
      </w:r>
      <w:r w:rsidR="007058F6" w:rsidRPr="003D6674">
        <w:rPr>
          <w:rFonts w:cstheme="minorHAnsi"/>
        </w:rPr>
        <w:t xml:space="preserve">Healthy </w:t>
      </w:r>
      <w:r w:rsidRPr="003D6674">
        <w:rPr>
          <w:rFonts w:cstheme="minorHAnsi"/>
        </w:rPr>
        <w:t>lives, healthy people: our strategy for public health in England. London: Department of Health 2010.</w:t>
      </w:r>
    </w:p>
    <w:p w:rsidR="00CE1E24" w:rsidRPr="00CE1E24" w:rsidRDefault="00CE1E24" w:rsidP="00CE1E24">
      <w:pPr>
        <w:pStyle w:val="ListParagraph"/>
        <w:spacing w:before="100" w:beforeAutospacing="1" w:line="240" w:lineRule="auto"/>
        <w:rPr>
          <w:rFonts w:cstheme="minorHAnsi"/>
        </w:rPr>
      </w:pPr>
    </w:p>
    <w:p w:rsidR="007058F6" w:rsidRDefault="00AD507A" w:rsidP="00AC5C30">
      <w:pPr>
        <w:pStyle w:val="ListParagraph"/>
        <w:numPr>
          <w:ilvl w:val="0"/>
          <w:numId w:val="2"/>
        </w:numPr>
        <w:spacing w:before="100" w:beforeAutospacing="1" w:line="240" w:lineRule="auto"/>
        <w:rPr>
          <w:rFonts w:cstheme="minorHAnsi"/>
        </w:rPr>
      </w:pPr>
      <w:r w:rsidRPr="00AC5C30">
        <w:rPr>
          <w:rFonts w:cstheme="minorHAnsi"/>
        </w:rPr>
        <w:t>Buck D, Frosini F. Clustering of unhealthy behaviours over time: implications for policy and practice.  London: The Kings Fund 2012.</w:t>
      </w:r>
    </w:p>
    <w:p w:rsidR="0018013D" w:rsidRDefault="0018013D" w:rsidP="0018013D">
      <w:pPr>
        <w:pStyle w:val="ListParagraph"/>
        <w:rPr>
          <w:rFonts w:cstheme="minorHAnsi"/>
        </w:rPr>
      </w:pPr>
    </w:p>
    <w:p w:rsidR="00E347B8" w:rsidRDefault="00E347B8" w:rsidP="00AC5C30">
      <w:pPr>
        <w:pStyle w:val="ListParagraph"/>
        <w:numPr>
          <w:ilvl w:val="0"/>
          <w:numId w:val="2"/>
        </w:numPr>
        <w:spacing w:before="100" w:beforeAutospacing="1" w:line="240" w:lineRule="auto"/>
        <w:rPr>
          <w:rFonts w:cstheme="minorHAnsi"/>
        </w:rPr>
      </w:pPr>
      <w:r>
        <w:rPr>
          <w:rFonts w:cstheme="minorHAnsi"/>
        </w:rPr>
        <w:t>Allen P, Sachs C. Women and food chains: The gendered politics of food. Int</w:t>
      </w:r>
      <w:r w:rsidR="00331B4F">
        <w:rPr>
          <w:rFonts w:cstheme="minorHAnsi"/>
        </w:rPr>
        <w:t>ernational</w:t>
      </w:r>
      <w:r>
        <w:rPr>
          <w:rFonts w:cstheme="minorHAnsi"/>
        </w:rPr>
        <w:t xml:space="preserve"> J</w:t>
      </w:r>
      <w:r w:rsidR="00331B4F">
        <w:rPr>
          <w:rFonts w:cstheme="minorHAnsi"/>
        </w:rPr>
        <w:t xml:space="preserve">ournal of </w:t>
      </w:r>
      <w:r>
        <w:rPr>
          <w:rFonts w:cstheme="minorHAnsi"/>
        </w:rPr>
        <w:t>Sociol</w:t>
      </w:r>
      <w:r w:rsidR="00331B4F">
        <w:rPr>
          <w:rFonts w:cstheme="minorHAnsi"/>
        </w:rPr>
        <w:t xml:space="preserve">ogy of </w:t>
      </w:r>
      <w:r>
        <w:rPr>
          <w:rFonts w:cstheme="minorHAnsi"/>
        </w:rPr>
        <w:t xml:space="preserve"> Agricult</w:t>
      </w:r>
      <w:r w:rsidR="00331B4F">
        <w:rPr>
          <w:rFonts w:cstheme="minorHAnsi"/>
        </w:rPr>
        <w:t>ure and Food</w:t>
      </w:r>
      <w:r>
        <w:rPr>
          <w:rFonts w:cstheme="minorHAnsi"/>
        </w:rPr>
        <w:t xml:space="preserve"> 2007; 15: 1-23.</w:t>
      </w:r>
    </w:p>
    <w:p w:rsidR="00AC5C30" w:rsidRPr="00AC5C30" w:rsidRDefault="00AC5C30" w:rsidP="00AC5C30">
      <w:pPr>
        <w:pStyle w:val="ListParagraph"/>
        <w:spacing w:before="100" w:beforeAutospacing="1" w:line="240" w:lineRule="auto"/>
        <w:rPr>
          <w:rFonts w:cstheme="minorHAnsi"/>
        </w:rPr>
      </w:pPr>
    </w:p>
    <w:p w:rsidR="00AC5C30" w:rsidRPr="00CE1E24" w:rsidRDefault="006F4944" w:rsidP="00AC5C30">
      <w:pPr>
        <w:pStyle w:val="ListParagraph"/>
        <w:numPr>
          <w:ilvl w:val="0"/>
          <w:numId w:val="2"/>
        </w:numPr>
        <w:spacing w:before="100" w:beforeAutospacing="1" w:line="240" w:lineRule="auto"/>
      </w:pPr>
      <w:r w:rsidRPr="003D6674">
        <w:rPr>
          <w:rFonts w:cstheme="minorHAnsi"/>
        </w:rPr>
        <w:t>Barker DJP. Fetal nutrition and cardiovascular disease in later life. British Medical Bulletin 1997;53 (1):96-108.</w:t>
      </w:r>
    </w:p>
    <w:p w:rsidR="00AC5C30" w:rsidRPr="00CE1E24" w:rsidRDefault="00AC5C30" w:rsidP="00AC5C30">
      <w:pPr>
        <w:pStyle w:val="ListParagraph"/>
        <w:spacing w:before="100" w:beforeAutospacing="1" w:line="240" w:lineRule="auto"/>
      </w:pPr>
    </w:p>
    <w:p w:rsidR="006F5B90" w:rsidRPr="00CE1E24" w:rsidRDefault="006F5B90" w:rsidP="00AC5C30">
      <w:pPr>
        <w:pStyle w:val="ListParagraph"/>
        <w:numPr>
          <w:ilvl w:val="0"/>
          <w:numId w:val="2"/>
        </w:numPr>
        <w:spacing w:before="100" w:beforeAutospacing="1" w:line="240" w:lineRule="auto"/>
      </w:pPr>
      <w:r w:rsidRPr="00CE1E24">
        <w:rPr>
          <w:rFonts w:cs="Lucida Sans"/>
          <w:noProof/>
        </w:rPr>
        <w:t>Inskip</w:t>
      </w:r>
      <w:r w:rsidR="006F4944" w:rsidRPr="00CE1E24">
        <w:t xml:space="preserve"> HM, Godfrey K, Robinson</w:t>
      </w:r>
      <w:r w:rsidR="00E405CE">
        <w:t xml:space="preserve"> SM et al</w:t>
      </w:r>
      <w:r w:rsidR="006F4944" w:rsidRPr="00CE1E24">
        <w:t>. Cohort profile: The Southampton Women’s Survey. I</w:t>
      </w:r>
      <w:r w:rsidR="00331B4F">
        <w:t>nternational Journal of Epidemiology</w:t>
      </w:r>
      <w:r w:rsidR="006F4944" w:rsidRPr="00CE1E24">
        <w:t xml:space="preserve"> 200;35:42-8.</w:t>
      </w:r>
    </w:p>
    <w:p w:rsidR="00AC5C30" w:rsidRPr="00AC5C30" w:rsidRDefault="00AC5C30" w:rsidP="00AC5C30">
      <w:pPr>
        <w:pStyle w:val="ListParagraph"/>
        <w:spacing w:before="100" w:beforeAutospacing="1" w:line="240" w:lineRule="auto"/>
        <w:rPr>
          <w:b/>
        </w:rPr>
      </w:pPr>
    </w:p>
    <w:p w:rsidR="00D568E2" w:rsidRDefault="00AC5C30" w:rsidP="00D568E2">
      <w:pPr>
        <w:pStyle w:val="ListParagraph"/>
        <w:numPr>
          <w:ilvl w:val="0"/>
          <w:numId w:val="2"/>
        </w:numPr>
        <w:tabs>
          <w:tab w:val="left" w:pos="0"/>
          <w:tab w:val="right" w:pos="540"/>
        </w:tabs>
        <w:spacing w:before="100" w:beforeAutospacing="1" w:after="240" w:line="240" w:lineRule="auto"/>
        <w:jc w:val="both"/>
        <w:rPr>
          <w:rFonts w:cs="Lucida Sans"/>
          <w:noProof/>
        </w:rPr>
      </w:pPr>
      <w:r>
        <w:rPr>
          <w:rFonts w:cs="Lucida Sans"/>
          <w:noProof/>
        </w:rPr>
        <w:t xml:space="preserve"> </w:t>
      </w:r>
      <w:r>
        <w:rPr>
          <w:rFonts w:cs="Lucida Sans"/>
          <w:noProof/>
        </w:rPr>
        <w:tab/>
      </w:r>
      <w:r w:rsidR="006F5B90" w:rsidRPr="00AC5C30">
        <w:rPr>
          <w:rFonts w:cs="Lucida Sans"/>
          <w:noProof/>
        </w:rPr>
        <w:t xml:space="preserve">Robinson SM, Crozier </w:t>
      </w:r>
      <w:r w:rsidR="00E405CE">
        <w:rPr>
          <w:rFonts w:cs="Lucida Sans"/>
          <w:noProof/>
        </w:rPr>
        <w:t>SR, Borland SE et al</w:t>
      </w:r>
      <w:r w:rsidR="006F5B90" w:rsidRPr="00AC5C30">
        <w:rPr>
          <w:rFonts w:cs="Lucida Sans"/>
          <w:noProof/>
        </w:rPr>
        <w:t>. Impact of educational attainment on the quality of young women's diets. Eur</w:t>
      </w:r>
      <w:r w:rsidR="00331B4F">
        <w:rPr>
          <w:rFonts w:cs="Lucida Sans"/>
          <w:noProof/>
        </w:rPr>
        <w:t>opean</w:t>
      </w:r>
      <w:r w:rsidR="006F5B90" w:rsidRPr="00AC5C30">
        <w:rPr>
          <w:rFonts w:cs="Lucida Sans"/>
          <w:noProof/>
        </w:rPr>
        <w:t xml:space="preserve"> J</w:t>
      </w:r>
      <w:r w:rsidR="00331B4F">
        <w:rPr>
          <w:rFonts w:cs="Lucida Sans"/>
          <w:noProof/>
        </w:rPr>
        <w:t>ournal of</w:t>
      </w:r>
      <w:r w:rsidR="006F5B90" w:rsidRPr="00AC5C30">
        <w:rPr>
          <w:rFonts w:cs="Lucida Sans"/>
          <w:noProof/>
        </w:rPr>
        <w:t xml:space="preserve"> Clin</w:t>
      </w:r>
      <w:r w:rsidR="00331B4F">
        <w:rPr>
          <w:rFonts w:cs="Lucida Sans"/>
          <w:noProof/>
        </w:rPr>
        <w:t>ical</w:t>
      </w:r>
      <w:r w:rsidR="006F5B90" w:rsidRPr="00AC5C30">
        <w:rPr>
          <w:rFonts w:cs="Lucida Sans"/>
          <w:noProof/>
        </w:rPr>
        <w:t xml:space="preserve"> Nutr</w:t>
      </w:r>
      <w:r w:rsidR="00331B4F">
        <w:rPr>
          <w:rFonts w:cs="Lucida Sans"/>
          <w:noProof/>
        </w:rPr>
        <w:t>ition</w:t>
      </w:r>
      <w:r w:rsidR="006F5B90" w:rsidRPr="00AC5C30">
        <w:rPr>
          <w:rFonts w:cs="Lucida Sans"/>
          <w:noProof/>
        </w:rPr>
        <w:t xml:space="preserve"> 2004 Aug;58(8):1174-80.</w:t>
      </w:r>
    </w:p>
    <w:p w:rsidR="003B0514" w:rsidRPr="00D568E2" w:rsidRDefault="003B0514" w:rsidP="00D568E2">
      <w:pPr>
        <w:pStyle w:val="ListParagraph"/>
        <w:rPr>
          <w:rFonts w:cs="Lucida Sans"/>
          <w:noProof/>
        </w:rPr>
      </w:pPr>
    </w:p>
    <w:p w:rsidR="003B0514" w:rsidRDefault="00332102" w:rsidP="00332102">
      <w:pPr>
        <w:pStyle w:val="ListParagraph"/>
        <w:numPr>
          <w:ilvl w:val="0"/>
          <w:numId w:val="2"/>
        </w:numPr>
        <w:tabs>
          <w:tab w:val="left" w:pos="0"/>
          <w:tab w:val="right" w:pos="540"/>
        </w:tabs>
        <w:autoSpaceDE w:val="0"/>
        <w:autoSpaceDN w:val="0"/>
        <w:adjustRightInd w:val="0"/>
        <w:spacing w:before="100" w:beforeAutospacing="1" w:after="0" w:line="240" w:lineRule="auto"/>
        <w:jc w:val="both"/>
        <w:rPr>
          <w:rFonts w:cstheme="minorHAnsi"/>
        </w:rPr>
      </w:pPr>
      <w:r>
        <w:rPr>
          <w:rFonts w:cstheme="minorHAnsi"/>
        </w:rPr>
        <w:t xml:space="preserve">   </w:t>
      </w:r>
      <w:r w:rsidR="003B0514">
        <w:rPr>
          <w:rFonts w:cstheme="minorHAnsi"/>
        </w:rPr>
        <w:t>Rifas-Shiman SL, Rich Edwards JW,</w:t>
      </w:r>
      <w:r w:rsidR="00E405CE">
        <w:rPr>
          <w:rFonts w:cstheme="minorHAnsi"/>
        </w:rPr>
        <w:t xml:space="preserve"> Kleinman KP et al</w:t>
      </w:r>
      <w:r w:rsidR="003B0514">
        <w:rPr>
          <w:rFonts w:cstheme="minorHAnsi"/>
        </w:rPr>
        <w:t>. Dietary quality during pregnancy varies by maternal characteristics in Project Viva: a US cohort. J</w:t>
      </w:r>
      <w:r w:rsidR="00331B4F">
        <w:rPr>
          <w:rFonts w:cstheme="minorHAnsi"/>
        </w:rPr>
        <w:t>ournal of the</w:t>
      </w:r>
      <w:r w:rsidR="003B0514">
        <w:rPr>
          <w:rFonts w:cstheme="minorHAnsi"/>
        </w:rPr>
        <w:t xml:space="preserve"> Am</w:t>
      </w:r>
      <w:r w:rsidR="00331B4F">
        <w:rPr>
          <w:rFonts w:cstheme="minorHAnsi"/>
        </w:rPr>
        <w:t>erican</w:t>
      </w:r>
      <w:r w:rsidR="003B0514">
        <w:rPr>
          <w:rFonts w:cstheme="minorHAnsi"/>
        </w:rPr>
        <w:t xml:space="preserve"> Diet</w:t>
      </w:r>
      <w:r w:rsidR="00331B4F">
        <w:rPr>
          <w:rFonts w:cstheme="minorHAnsi"/>
        </w:rPr>
        <w:t>etic</w:t>
      </w:r>
      <w:r w:rsidR="003B0514">
        <w:rPr>
          <w:rFonts w:cstheme="minorHAnsi"/>
        </w:rPr>
        <w:t xml:space="preserve"> Assoc</w:t>
      </w:r>
      <w:r w:rsidR="00331B4F">
        <w:rPr>
          <w:rFonts w:cstheme="minorHAnsi"/>
        </w:rPr>
        <w:t>iation</w:t>
      </w:r>
      <w:r w:rsidR="003B0514">
        <w:rPr>
          <w:rFonts w:cstheme="minorHAnsi"/>
        </w:rPr>
        <w:t xml:space="preserve"> 2009;109:1004-11</w:t>
      </w:r>
    </w:p>
    <w:p w:rsidR="003B0514" w:rsidRPr="003B0514" w:rsidRDefault="003B0514" w:rsidP="003B0514">
      <w:pPr>
        <w:pStyle w:val="ListParagraph"/>
        <w:rPr>
          <w:rFonts w:cstheme="minorHAnsi"/>
        </w:rPr>
      </w:pPr>
    </w:p>
    <w:p w:rsidR="00332102" w:rsidRPr="00332102" w:rsidRDefault="00EC543D" w:rsidP="00332102">
      <w:pPr>
        <w:pStyle w:val="ListParagraph"/>
        <w:numPr>
          <w:ilvl w:val="0"/>
          <w:numId w:val="2"/>
        </w:numPr>
        <w:tabs>
          <w:tab w:val="left" w:pos="0"/>
          <w:tab w:val="right" w:pos="540"/>
        </w:tabs>
        <w:autoSpaceDE w:val="0"/>
        <w:autoSpaceDN w:val="0"/>
        <w:adjustRightInd w:val="0"/>
        <w:spacing w:before="100" w:beforeAutospacing="1" w:after="0" w:line="240" w:lineRule="auto"/>
        <w:jc w:val="both"/>
        <w:rPr>
          <w:rFonts w:cstheme="minorHAnsi"/>
        </w:rPr>
      </w:pPr>
      <w:r>
        <w:rPr>
          <w:rFonts w:cstheme="minorHAnsi"/>
        </w:rPr>
        <w:t xml:space="preserve">   </w:t>
      </w:r>
      <w:r w:rsidR="00D039BA">
        <w:rPr>
          <w:rFonts w:cstheme="minorHAnsi"/>
        </w:rPr>
        <w:t xml:space="preserve">Robinson, </w:t>
      </w:r>
      <w:r w:rsidR="00E405CE">
        <w:rPr>
          <w:rFonts w:cstheme="minorHAnsi"/>
        </w:rPr>
        <w:t>S, Marriot L, Poole J et al</w:t>
      </w:r>
      <w:r w:rsidR="00332102" w:rsidRPr="00332102">
        <w:rPr>
          <w:rFonts w:cstheme="minorHAnsi"/>
        </w:rPr>
        <w:t>. Dietary patterns in infancy: The importance of maternal and family influences on feeding practices. British Journal of Nutrition 2007;98:1029–1037.</w:t>
      </w:r>
    </w:p>
    <w:p w:rsidR="00AC5C30" w:rsidRPr="00AC5C30" w:rsidRDefault="00AC5C30" w:rsidP="00AC5C30">
      <w:pPr>
        <w:pStyle w:val="ListParagraph"/>
        <w:tabs>
          <w:tab w:val="left" w:pos="0"/>
          <w:tab w:val="right" w:pos="540"/>
        </w:tabs>
        <w:spacing w:before="100" w:beforeAutospacing="1" w:after="240" w:line="240" w:lineRule="auto"/>
        <w:jc w:val="both"/>
        <w:rPr>
          <w:rFonts w:cs="Lucida Sans"/>
          <w:noProof/>
        </w:rPr>
      </w:pPr>
    </w:p>
    <w:p w:rsidR="00EC543D" w:rsidRDefault="00172A3D" w:rsidP="00AC5C30">
      <w:pPr>
        <w:pStyle w:val="ListParagraph"/>
        <w:numPr>
          <w:ilvl w:val="0"/>
          <w:numId w:val="2"/>
        </w:numPr>
        <w:autoSpaceDE w:val="0"/>
        <w:autoSpaceDN w:val="0"/>
        <w:adjustRightInd w:val="0"/>
        <w:spacing w:after="0" w:line="240" w:lineRule="auto"/>
        <w:rPr>
          <w:rFonts w:cstheme="minorHAnsi"/>
        </w:rPr>
      </w:pPr>
      <w:r>
        <w:rPr>
          <w:rFonts w:cstheme="minorHAnsi"/>
        </w:rPr>
        <w:t xml:space="preserve">Robinson S, </w:t>
      </w:r>
      <w:r w:rsidR="00E405CE">
        <w:rPr>
          <w:rFonts w:cstheme="minorHAnsi"/>
        </w:rPr>
        <w:t>Crozier S, Harvey N et al</w:t>
      </w:r>
      <w:r w:rsidR="00697E0F">
        <w:rPr>
          <w:rFonts w:cstheme="minorHAnsi"/>
        </w:rPr>
        <w:t xml:space="preserve">. Is a prudent pattern of eating in pregnancy associated with adiposity in early childhood? Finding from the Southampton Women’s Survey. </w:t>
      </w:r>
      <w:r>
        <w:rPr>
          <w:rFonts w:cstheme="minorHAnsi"/>
        </w:rPr>
        <w:t>Proc Nut Soc 2008; 67(OCE8) E299.</w:t>
      </w:r>
    </w:p>
    <w:p w:rsidR="00EC543D" w:rsidRPr="00EC543D" w:rsidRDefault="00EC543D" w:rsidP="00EC543D">
      <w:pPr>
        <w:pStyle w:val="ListParagraph"/>
        <w:rPr>
          <w:rFonts w:cstheme="minorHAnsi"/>
        </w:rPr>
      </w:pPr>
    </w:p>
    <w:p w:rsidR="00172A3D" w:rsidRDefault="00172A3D" w:rsidP="00172A3D">
      <w:pPr>
        <w:pStyle w:val="ListParagraph"/>
        <w:numPr>
          <w:ilvl w:val="0"/>
          <w:numId w:val="2"/>
        </w:numPr>
        <w:autoSpaceDE w:val="0"/>
        <w:autoSpaceDN w:val="0"/>
        <w:adjustRightInd w:val="0"/>
        <w:spacing w:after="0" w:line="240" w:lineRule="auto"/>
        <w:rPr>
          <w:rFonts w:cstheme="minorHAnsi"/>
        </w:rPr>
      </w:pPr>
      <w:r>
        <w:rPr>
          <w:rFonts w:cstheme="minorHAnsi"/>
        </w:rPr>
        <w:t xml:space="preserve">Gale C </w:t>
      </w:r>
      <w:r w:rsidR="00697E0F">
        <w:rPr>
          <w:rFonts w:cstheme="minorHAnsi"/>
        </w:rPr>
        <w:t>, Martyn CN, Marriot L</w:t>
      </w:r>
      <w:r w:rsidR="00E405CE">
        <w:rPr>
          <w:rFonts w:cstheme="minorHAnsi"/>
        </w:rPr>
        <w:t>D et al</w:t>
      </w:r>
      <w:r w:rsidR="00697E0F">
        <w:rPr>
          <w:rFonts w:cstheme="minorHAnsi"/>
        </w:rPr>
        <w:t>. Dietary patterns in infancy and cognitive and neuropsychological function in childhood.</w:t>
      </w:r>
      <w:r>
        <w:rPr>
          <w:rFonts w:cstheme="minorHAnsi"/>
        </w:rPr>
        <w:t xml:space="preserve"> J</w:t>
      </w:r>
      <w:r w:rsidR="00331B4F">
        <w:rPr>
          <w:rFonts w:cstheme="minorHAnsi"/>
        </w:rPr>
        <w:t>ournal of</w:t>
      </w:r>
      <w:r>
        <w:rPr>
          <w:rFonts w:cstheme="minorHAnsi"/>
        </w:rPr>
        <w:t xml:space="preserve"> Child Psychol</w:t>
      </w:r>
      <w:r w:rsidR="00331B4F">
        <w:rPr>
          <w:rFonts w:cstheme="minorHAnsi"/>
        </w:rPr>
        <w:t>ogy and</w:t>
      </w:r>
      <w:r>
        <w:rPr>
          <w:rFonts w:cstheme="minorHAnsi"/>
        </w:rPr>
        <w:t xml:space="preserve"> Psychiatr</w:t>
      </w:r>
      <w:r w:rsidR="00331B4F">
        <w:rPr>
          <w:rFonts w:cstheme="minorHAnsi"/>
        </w:rPr>
        <w:t>y</w:t>
      </w:r>
      <w:r>
        <w:rPr>
          <w:rFonts w:cstheme="minorHAnsi"/>
        </w:rPr>
        <w:t xml:space="preserve"> 2008</w:t>
      </w:r>
    </w:p>
    <w:p w:rsidR="00172A3D" w:rsidRPr="00172A3D" w:rsidRDefault="00172A3D" w:rsidP="00172A3D">
      <w:pPr>
        <w:pStyle w:val="ListParagraph"/>
        <w:rPr>
          <w:rFonts w:cstheme="minorHAnsi"/>
        </w:rPr>
      </w:pPr>
    </w:p>
    <w:p w:rsidR="00EC543D" w:rsidRDefault="005F1167" w:rsidP="00AC5C30">
      <w:pPr>
        <w:pStyle w:val="ListParagraph"/>
        <w:numPr>
          <w:ilvl w:val="0"/>
          <w:numId w:val="2"/>
        </w:numPr>
        <w:autoSpaceDE w:val="0"/>
        <w:autoSpaceDN w:val="0"/>
        <w:adjustRightInd w:val="0"/>
        <w:spacing w:after="0" w:line="240" w:lineRule="auto"/>
        <w:rPr>
          <w:rFonts w:cstheme="minorHAnsi"/>
        </w:rPr>
      </w:pPr>
      <w:r>
        <w:t>Golle</w:t>
      </w:r>
      <w:r w:rsidR="00E405CE">
        <w:t>y RK, Smithers LG, Mittinty MN et al</w:t>
      </w:r>
      <w:r>
        <w:t xml:space="preserve">. Diet Quality of UK Infants Is Associated with Dietary, Adiposity, Cardiovascular, and Cognitive Outcomes Measured at 7-8 Years of Age. </w:t>
      </w:r>
      <w:r w:rsidR="00172A3D">
        <w:rPr>
          <w:rFonts w:cstheme="minorHAnsi"/>
        </w:rPr>
        <w:t>J</w:t>
      </w:r>
      <w:r w:rsidR="00331B4F">
        <w:rPr>
          <w:rFonts w:cstheme="minorHAnsi"/>
        </w:rPr>
        <w:t>ournal of</w:t>
      </w:r>
      <w:r w:rsidR="00172A3D">
        <w:rPr>
          <w:rFonts w:cstheme="minorHAnsi"/>
        </w:rPr>
        <w:t xml:space="preserve"> Nutr</w:t>
      </w:r>
      <w:r w:rsidR="00331B4F">
        <w:rPr>
          <w:rFonts w:cstheme="minorHAnsi"/>
        </w:rPr>
        <w:t>ition</w:t>
      </w:r>
      <w:r w:rsidR="00172A3D">
        <w:rPr>
          <w:rFonts w:cstheme="minorHAnsi"/>
        </w:rPr>
        <w:t xml:space="preserve"> 20</w:t>
      </w:r>
      <w:r w:rsidR="001C5855">
        <w:rPr>
          <w:rFonts w:cstheme="minorHAnsi"/>
        </w:rPr>
        <w:t>1</w:t>
      </w:r>
      <w:r w:rsidR="00172A3D">
        <w:rPr>
          <w:rFonts w:cstheme="minorHAnsi"/>
        </w:rPr>
        <w:t>3; 143:1611-7.</w:t>
      </w:r>
    </w:p>
    <w:p w:rsidR="00172A3D" w:rsidRPr="00172A3D" w:rsidRDefault="00172A3D" w:rsidP="00172A3D">
      <w:pPr>
        <w:pStyle w:val="ListParagraph"/>
        <w:rPr>
          <w:rFonts w:cstheme="minorHAnsi"/>
        </w:rPr>
      </w:pPr>
    </w:p>
    <w:p w:rsidR="009E1A72" w:rsidRPr="00AC5C30" w:rsidRDefault="009E1A72" w:rsidP="00AC5C30">
      <w:pPr>
        <w:pStyle w:val="ListParagraph"/>
        <w:numPr>
          <w:ilvl w:val="0"/>
          <w:numId w:val="2"/>
        </w:numPr>
        <w:autoSpaceDE w:val="0"/>
        <w:autoSpaceDN w:val="0"/>
        <w:adjustRightInd w:val="0"/>
        <w:spacing w:after="0" w:line="240" w:lineRule="auto"/>
        <w:rPr>
          <w:rFonts w:cstheme="minorHAnsi"/>
        </w:rPr>
      </w:pPr>
      <w:r w:rsidRPr="00AC5C30">
        <w:rPr>
          <w:rFonts w:cstheme="minorHAnsi"/>
        </w:rPr>
        <w:t>Wi</w:t>
      </w:r>
      <w:r w:rsidR="00332102">
        <w:rPr>
          <w:rFonts w:cstheme="minorHAnsi"/>
        </w:rPr>
        <w:t>lkinson, R,</w:t>
      </w:r>
      <w:r w:rsidRPr="00AC5C30">
        <w:rPr>
          <w:rFonts w:cstheme="minorHAnsi"/>
        </w:rPr>
        <w:t xml:space="preserve"> Inskip, H. </w:t>
      </w:r>
      <w:r w:rsidRPr="00AC5C30">
        <w:rPr>
          <w:rFonts w:cstheme="minorHAnsi"/>
          <w:iCs/>
        </w:rPr>
        <w:t>The health and wellbeing of women in Southampton’s communities: An analysis of the Southampton Women’s Survey</w:t>
      </w:r>
      <w:r w:rsidRPr="00AC5C30">
        <w:rPr>
          <w:rFonts w:cstheme="minorHAnsi"/>
        </w:rPr>
        <w:t>, public health briefing note. Southampton City NHS Primary Care Trust, 2006 no. 3. http://www.southamptonhealth.nhs.</w:t>
      </w:r>
    </w:p>
    <w:p w:rsidR="00AC5C30" w:rsidRDefault="009E1A72" w:rsidP="00AC5C30">
      <w:pPr>
        <w:autoSpaceDE w:val="0"/>
        <w:autoSpaceDN w:val="0"/>
        <w:adjustRightInd w:val="0"/>
        <w:spacing w:after="0" w:line="240" w:lineRule="auto"/>
        <w:ind w:firstLine="720"/>
        <w:rPr>
          <w:rFonts w:cstheme="minorHAnsi"/>
        </w:rPr>
      </w:pPr>
      <w:r w:rsidRPr="009E1A72">
        <w:rPr>
          <w:rFonts w:cstheme="minorHAnsi"/>
        </w:rPr>
        <w:t>uk/publichealth/briefings/ (accessed June 2, 2010).</w:t>
      </w:r>
    </w:p>
    <w:p w:rsidR="00AC5C30" w:rsidRDefault="00AC5C30" w:rsidP="00AC5C30">
      <w:pPr>
        <w:autoSpaceDE w:val="0"/>
        <w:autoSpaceDN w:val="0"/>
        <w:adjustRightInd w:val="0"/>
        <w:spacing w:after="0" w:line="240" w:lineRule="auto"/>
        <w:ind w:firstLine="720"/>
        <w:rPr>
          <w:rFonts w:cstheme="minorHAnsi"/>
        </w:rPr>
      </w:pPr>
    </w:p>
    <w:p w:rsidR="00AC5C30" w:rsidRPr="00EC543D" w:rsidRDefault="006F5B90" w:rsidP="00EC543D">
      <w:pPr>
        <w:pStyle w:val="ListParagraph"/>
        <w:numPr>
          <w:ilvl w:val="0"/>
          <w:numId w:val="2"/>
        </w:numPr>
        <w:autoSpaceDE w:val="0"/>
        <w:autoSpaceDN w:val="0"/>
        <w:adjustRightInd w:val="0"/>
        <w:spacing w:after="0" w:line="240" w:lineRule="auto"/>
        <w:rPr>
          <w:rFonts w:cstheme="minorHAnsi"/>
        </w:rPr>
      </w:pPr>
      <w:r w:rsidRPr="00AC5C30">
        <w:rPr>
          <w:rFonts w:cs="Lucida Sans"/>
          <w:noProof/>
        </w:rPr>
        <w:t>Barke</w:t>
      </w:r>
      <w:r w:rsidR="00E405CE">
        <w:rPr>
          <w:rFonts w:cs="Lucida Sans"/>
          <w:noProof/>
        </w:rPr>
        <w:t>r M, Lawrence WT, Skinner TC</w:t>
      </w:r>
      <w:r w:rsidRPr="00AC5C30">
        <w:rPr>
          <w:rFonts w:cs="Lucida Sans"/>
          <w:noProof/>
        </w:rPr>
        <w:t xml:space="preserve"> et al. Constraints on food choices of women in the UK with lower educational attainment. Public Health Nutrition 2008;11(12):1229-37.</w:t>
      </w:r>
    </w:p>
    <w:p w:rsidR="00EC543D" w:rsidRPr="00EC543D" w:rsidRDefault="00EC543D" w:rsidP="00EC543D">
      <w:pPr>
        <w:pStyle w:val="ListParagraph"/>
        <w:autoSpaceDE w:val="0"/>
        <w:autoSpaceDN w:val="0"/>
        <w:adjustRightInd w:val="0"/>
        <w:spacing w:after="0" w:line="240" w:lineRule="auto"/>
        <w:rPr>
          <w:rFonts w:cstheme="minorHAnsi"/>
        </w:rPr>
      </w:pPr>
    </w:p>
    <w:p w:rsidR="006F5B90" w:rsidRDefault="006F5B90" w:rsidP="00AC5C30">
      <w:pPr>
        <w:pStyle w:val="ListParagraph"/>
        <w:numPr>
          <w:ilvl w:val="0"/>
          <w:numId w:val="2"/>
        </w:numPr>
        <w:tabs>
          <w:tab w:val="left" w:pos="0"/>
          <w:tab w:val="right" w:pos="540"/>
        </w:tabs>
        <w:spacing w:before="100" w:beforeAutospacing="1" w:after="240" w:line="240" w:lineRule="auto"/>
        <w:jc w:val="both"/>
        <w:rPr>
          <w:rFonts w:cs="Lucida Sans"/>
          <w:noProof/>
        </w:rPr>
      </w:pPr>
      <w:r w:rsidRPr="00AC5C30">
        <w:rPr>
          <w:rFonts w:cs="Lucida Sans"/>
          <w:noProof/>
        </w:rPr>
        <w:lastRenderedPageBreak/>
        <w:t>Law</w:t>
      </w:r>
      <w:r w:rsidR="00E405CE">
        <w:rPr>
          <w:rFonts w:cs="Lucida Sans"/>
          <w:noProof/>
        </w:rPr>
        <w:t>rence W, Schlotz W, Crozier S</w:t>
      </w:r>
      <w:r w:rsidRPr="00AC5C30">
        <w:rPr>
          <w:rFonts w:cs="Lucida Sans"/>
          <w:noProof/>
        </w:rPr>
        <w:t xml:space="preserve"> et al. Specific psychological variables predict quality of diet in women of lower, but not higher, educational attainment. Appetite 2011 Feb;56(1):46-52.</w:t>
      </w:r>
    </w:p>
    <w:p w:rsidR="00D568E2" w:rsidRPr="00AC5C30" w:rsidRDefault="00D568E2" w:rsidP="00D568E2">
      <w:pPr>
        <w:pStyle w:val="ListParagraph"/>
        <w:tabs>
          <w:tab w:val="left" w:pos="0"/>
          <w:tab w:val="right" w:pos="540"/>
        </w:tabs>
        <w:spacing w:before="100" w:beforeAutospacing="1" w:after="240" w:line="240" w:lineRule="auto"/>
        <w:jc w:val="both"/>
        <w:rPr>
          <w:rFonts w:cs="Lucida Sans"/>
          <w:noProof/>
        </w:rPr>
      </w:pPr>
    </w:p>
    <w:p w:rsidR="00704941" w:rsidRDefault="00704941" w:rsidP="00704941">
      <w:pPr>
        <w:pStyle w:val="ListParagraph"/>
        <w:numPr>
          <w:ilvl w:val="0"/>
          <w:numId w:val="2"/>
        </w:numPr>
        <w:tabs>
          <w:tab w:val="left" w:pos="0"/>
          <w:tab w:val="right" w:pos="540"/>
        </w:tabs>
        <w:spacing w:before="100" w:beforeAutospacing="1" w:after="240" w:line="240" w:lineRule="auto"/>
        <w:jc w:val="both"/>
        <w:rPr>
          <w:rFonts w:cs="Lucida Sans"/>
          <w:noProof/>
        </w:rPr>
      </w:pPr>
      <w:r w:rsidRPr="00D568E2">
        <w:rPr>
          <w:rFonts w:cs="Lucida Sans"/>
          <w:noProof/>
        </w:rPr>
        <w:t>Greaves CJ, Sheppard KE,</w:t>
      </w:r>
      <w:r w:rsidR="00E405CE">
        <w:rPr>
          <w:rFonts w:cs="Lucida Sans"/>
          <w:noProof/>
        </w:rPr>
        <w:t xml:space="preserve"> Abraham C et al</w:t>
      </w:r>
      <w:r>
        <w:rPr>
          <w:rFonts w:cs="Lucida Sans"/>
          <w:noProof/>
        </w:rPr>
        <w:t>.</w:t>
      </w:r>
      <w:r w:rsidRPr="00D568E2">
        <w:rPr>
          <w:rFonts w:cs="Lucida Sans"/>
          <w:noProof/>
        </w:rPr>
        <w:t xml:space="preserve"> The IMAGE Study Group. Systematic review of reviews of intervention components associated with increased effectiveness in dietary and physical activity interventions. BMC Public Health 2011;11:119.</w:t>
      </w:r>
    </w:p>
    <w:p w:rsidR="0018013D" w:rsidRDefault="0018013D" w:rsidP="0018013D">
      <w:pPr>
        <w:pStyle w:val="ListParagraph"/>
        <w:rPr>
          <w:rFonts w:cstheme="minorHAnsi"/>
        </w:rPr>
      </w:pPr>
    </w:p>
    <w:p w:rsidR="00EC543D" w:rsidRDefault="00172A3D" w:rsidP="00D568E2">
      <w:pPr>
        <w:pStyle w:val="ListParagraph"/>
        <w:numPr>
          <w:ilvl w:val="0"/>
          <w:numId w:val="2"/>
        </w:numPr>
        <w:autoSpaceDE w:val="0"/>
        <w:autoSpaceDN w:val="0"/>
        <w:adjustRightInd w:val="0"/>
        <w:spacing w:before="100" w:beforeAutospacing="1" w:after="0" w:line="240" w:lineRule="auto"/>
        <w:rPr>
          <w:rFonts w:cstheme="minorHAnsi"/>
        </w:rPr>
      </w:pPr>
      <w:r>
        <w:rPr>
          <w:rFonts w:cstheme="minorHAnsi"/>
        </w:rPr>
        <w:t xml:space="preserve">Ashford S, Edmunds J, </w:t>
      </w:r>
      <w:r w:rsidR="00EC543D">
        <w:rPr>
          <w:rFonts w:cstheme="minorHAnsi"/>
        </w:rPr>
        <w:t>French</w:t>
      </w:r>
      <w:r>
        <w:rPr>
          <w:rFonts w:cstheme="minorHAnsi"/>
        </w:rPr>
        <w:t xml:space="preserve"> D. </w:t>
      </w:r>
      <w:r w:rsidR="00697E0F">
        <w:rPr>
          <w:rFonts w:cstheme="minorHAnsi"/>
        </w:rPr>
        <w:t>What is the best way to change self efficacy to promote lifestyle and recreational physical activity? A systematic review and meta-analysis. Br</w:t>
      </w:r>
      <w:r w:rsidR="00331B4F">
        <w:rPr>
          <w:rFonts w:cstheme="minorHAnsi"/>
        </w:rPr>
        <w:t>itish</w:t>
      </w:r>
      <w:r w:rsidR="00697E0F">
        <w:rPr>
          <w:rFonts w:cstheme="minorHAnsi"/>
        </w:rPr>
        <w:t xml:space="preserve"> J</w:t>
      </w:r>
      <w:r w:rsidR="00331B4F">
        <w:rPr>
          <w:rFonts w:cstheme="minorHAnsi"/>
        </w:rPr>
        <w:t>ournal of</w:t>
      </w:r>
      <w:r w:rsidR="00697E0F">
        <w:rPr>
          <w:rFonts w:cstheme="minorHAnsi"/>
        </w:rPr>
        <w:t xml:space="preserve"> Health Psychol</w:t>
      </w:r>
      <w:r w:rsidR="00331B4F">
        <w:rPr>
          <w:rFonts w:cstheme="minorHAnsi"/>
        </w:rPr>
        <w:t>ogy</w:t>
      </w:r>
      <w:r w:rsidR="00697E0F">
        <w:rPr>
          <w:rFonts w:cstheme="minorHAnsi"/>
        </w:rPr>
        <w:t xml:space="preserve"> 2010; 15:262-288.</w:t>
      </w:r>
    </w:p>
    <w:p w:rsidR="00EC543D" w:rsidRPr="00EC543D" w:rsidRDefault="00EC543D" w:rsidP="00EC543D">
      <w:pPr>
        <w:pStyle w:val="ListParagraph"/>
        <w:rPr>
          <w:rFonts w:cstheme="minorHAnsi"/>
          <w:noProof/>
        </w:rPr>
      </w:pPr>
    </w:p>
    <w:p w:rsidR="009B3AE8" w:rsidRDefault="006F5B90" w:rsidP="00D568E2">
      <w:pPr>
        <w:pStyle w:val="ListParagraph"/>
        <w:numPr>
          <w:ilvl w:val="0"/>
          <w:numId w:val="2"/>
        </w:numPr>
        <w:autoSpaceDE w:val="0"/>
        <w:autoSpaceDN w:val="0"/>
        <w:adjustRightInd w:val="0"/>
        <w:spacing w:before="100" w:beforeAutospacing="1" w:after="0" w:line="240" w:lineRule="auto"/>
        <w:rPr>
          <w:rFonts w:cstheme="minorHAnsi"/>
        </w:rPr>
      </w:pPr>
      <w:r w:rsidRPr="00D568E2">
        <w:rPr>
          <w:rFonts w:cstheme="minorHAnsi"/>
          <w:noProof/>
        </w:rPr>
        <w:t>Michie</w:t>
      </w:r>
      <w:r w:rsidR="009B3AE8" w:rsidRPr="00D568E2">
        <w:rPr>
          <w:rFonts w:cstheme="minorHAnsi"/>
          <w:noProof/>
        </w:rPr>
        <w:t xml:space="preserve"> S, J</w:t>
      </w:r>
      <w:r w:rsidR="00E405CE">
        <w:rPr>
          <w:rFonts w:cstheme="minorHAnsi"/>
          <w:noProof/>
        </w:rPr>
        <w:t>ochekson K, Markham WA et al</w:t>
      </w:r>
      <w:r w:rsidR="009B3AE8" w:rsidRPr="00D568E2">
        <w:rPr>
          <w:rFonts w:cstheme="minorHAnsi"/>
          <w:sz w:val="16"/>
          <w:szCs w:val="16"/>
        </w:rPr>
        <w:t xml:space="preserve">. </w:t>
      </w:r>
      <w:r w:rsidR="009B3AE8" w:rsidRPr="00D568E2">
        <w:rPr>
          <w:rFonts w:cstheme="minorHAnsi"/>
        </w:rPr>
        <w:t>Low-income groups and behaviour change interventions:</w:t>
      </w:r>
      <w:r w:rsidR="00063DD8">
        <w:rPr>
          <w:rFonts w:cstheme="minorHAnsi"/>
        </w:rPr>
        <w:t xml:space="preserve"> </w:t>
      </w:r>
      <w:r w:rsidR="009B3AE8" w:rsidRPr="00D568E2">
        <w:rPr>
          <w:rFonts w:cstheme="minorHAnsi"/>
        </w:rPr>
        <w:t>A review of intervention content, effectiveness and theoretical frameworks. Journal of Epidemiology and Community Health 2009;63:610-622.</w:t>
      </w:r>
    </w:p>
    <w:p w:rsidR="00D568E2" w:rsidRPr="00D568E2" w:rsidRDefault="00D568E2" w:rsidP="00D568E2">
      <w:pPr>
        <w:pStyle w:val="ListParagraph"/>
        <w:rPr>
          <w:rFonts w:cstheme="minorHAnsi"/>
        </w:rPr>
      </w:pPr>
    </w:p>
    <w:p w:rsidR="006F5B90" w:rsidRDefault="00422B2B" w:rsidP="00D568E2">
      <w:pPr>
        <w:pStyle w:val="ListParagraph"/>
        <w:numPr>
          <w:ilvl w:val="0"/>
          <w:numId w:val="2"/>
        </w:numPr>
        <w:autoSpaceDE w:val="0"/>
        <w:autoSpaceDN w:val="0"/>
        <w:adjustRightInd w:val="0"/>
        <w:spacing w:before="100" w:beforeAutospacing="1" w:after="0" w:line="240" w:lineRule="auto"/>
        <w:rPr>
          <w:rFonts w:cstheme="minorHAnsi"/>
          <w:iCs/>
        </w:rPr>
      </w:pPr>
      <w:r w:rsidRPr="00D568E2">
        <w:rPr>
          <w:rFonts w:cstheme="minorHAnsi"/>
        </w:rPr>
        <w:t>Baird J, Cooper C</w:t>
      </w:r>
      <w:r w:rsidR="00E405CE">
        <w:rPr>
          <w:rFonts w:cstheme="minorHAnsi"/>
        </w:rPr>
        <w:t>, Margetts B et al</w:t>
      </w:r>
      <w:r w:rsidRPr="00D568E2">
        <w:rPr>
          <w:rFonts w:cstheme="minorHAnsi"/>
        </w:rPr>
        <w:t>. Changing health behaviour of young</w:t>
      </w:r>
      <w:r w:rsidR="006F4944" w:rsidRPr="00D568E2">
        <w:rPr>
          <w:rFonts w:cstheme="minorHAnsi"/>
        </w:rPr>
        <w:t xml:space="preserve"> </w:t>
      </w:r>
      <w:r w:rsidRPr="00D568E2">
        <w:rPr>
          <w:rFonts w:cstheme="minorHAnsi"/>
        </w:rPr>
        <w:t xml:space="preserve">women from disadvantaged backgrounds: Evidence from systematic reviews. </w:t>
      </w:r>
      <w:r w:rsidRPr="00D568E2">
        <w:rPr>
          <w:rFonts w:cstheme="minorHAnsi"/>
          <w:iCs/>
        </w:rPr>
        <w:t>Proceedings of the Nutrition Society</w:t>
      </w:r>
      <w:r w:rsidR="00EE03AB" w:rsidRPr="00D568E2">
        <w:rPr>
          <w:rFonts w:cstheme="minorHAnsi"/>
          <w:iCs/>
        </w:rPr>
        <w:t xml:space="preserve"> 2009;68:195-204.</w:t>
      </w:r>
    </w:p>
    <w:p w:rsidR="00D568E2" w:rsidRPr="00D568E2" w:rsidRDefault="00D568E2" w:rsidP="00D568E2">
      <w:pPr>
        <w:pStyle w:val="ListParagraph"/>
        <w:autoSpaceDE w:val="0"/>
        <w:autoSpaceDN w:val="0"/>
        <w:adjustRightInd w:val="0"/>
        <w:spacing w:before="100" w:beforeAutospacing="1" w:after="0" w:line="240" w:lineRule="auto"/>
        <w:rPr>
          <w:rFonts w:cstheme="minorHAnsi"/>
          <w:iCs/>
        </w:rPr>
      </w:pPr>
    </w:p>
    <w:p w:rsidR="008F3EBC" w:rsidRPr="00D568E2" w:rsidRDefault="008F3EBC" w:rsidP="008F3EBC">
      <w:pPr>
        <w:pStyle w:val="ListParagraph"/>
        <w:tabs>
          <w:tab w:val="left" w:pos="0"/>
          <w:tab w:val="right" w:pos="540"/>
        </w:tabs>
        <w:spacing w:before="100" w:beforeAutospacing="1" w:after="240" w:line="240" w:lineRule="auto"/>
        <w:jc w:val="both"/>
        <w:rPr>
          <w:rFonts w:cs="Lucida Sans"/>
          <w:noProof/>
        </w:rPr>
      </w:pPr>
    </w:p>
    <w:p w:rsidR="00A21DB3" w:rsidRPr="00D568E2" w:rsidRDefault="00E405CE" w:rsidP="00D568E2">
      <w:pPr>
        <w:pStyle w:val="ListParagraph"/>
        <w:numPr>
          <w:ilvl w:val="0"/>
          <w:numId w:val="2"/>
        </w:numPr>
        <w:autoSpaceDE w:val="0"/>
        <w:autoSpaceDN w:val="0"/>
        <w:adjustRightInd w:val="0"/>
        <w:spacing w:after="0" w:line="240" w:lineRule="auto"/>
        <w:rPr>
          <w:rFonts w:cstheme="minorHAnsi"/>
        </w:rPr>
      </w:pPr>
      <w:r>
        <w:rPr>
          <w:rFonts w:cstheme="minorHAnsi"/>
        </w:rPr>
        <w:t>Bodenheimer T</w:t>
      </w:r>
      <w:r w:rsidR="00A21DB3" w:rsidRPr="00D568E2">
        <w:rPr>
          <w:rFonts w:cstheme="minorHAnsi"/>
        </w:rPr>
        <w:t>, Lori</w:t>
      </w:r>
      <w:r>
        <w:rPr>
          <w:rFonts w:cstheme="minorHAnsi"/>
        </w:rPr>
        <w:t>g K, Holman H et al</w:t>
      </w:r>
      <w:r w:rsidR="00A21DB3" w:rsidRPr="00D568E2">
        <w:rPr>
          <w:rFonts w:cstheme="minorHAnsi"/>
        </w:rPr>
        <w:t>.(2002). Patient self-management of chronic disease in</w:t>
      </w:r>
      <w:r w:rsidR="008F3EBC">
        <w:rPr>
          <w:rFonts w:cstheme="minorHAnsi"/>
        </w:rPr>
        <w:t xml:space="preserve"> </w:t>
      </w:r>
      <w:r w:rsidR="00A21DB3" w:rsidRPr="00D568E2">
        <w:rPr>
          <w:rFonts w:cstheme="minorHAnsi"/>
        </w:rPr>
        <w:t xml:space="preserve">primary care. </w:t>
      </w:r>
      <w:r w:rsidR="00A21DB3" w:rsidRPr="00D568E2">
        <w:rPr>
          <w:rFonts w:cstheme="minorHAnsi"/>
          <w:iCs/>
        </w:rPr>
        <w:t>Journal of the American Medical Association 2002; 288:</w:t>
      </w:r>
      <w:r w:rsidR="00A21DB3" w:rsidRPr="00D568E2">
        <w:rPr>
          <w:rFonts w:cstheme="minorHAnsi"/>
        </w:rPr>
        <w:t>2469–2475.</w:t>
      </w:r>
    </w:p>
    <w:p w:rsidR="00A21DB3" w:rsidRDefault="00A21DB3" w:rsidP="00A21DB3">
      <w:pPr>
        <w:autoSpaceDE w:val="0"/>
        <w:autoSpaceDN w:val="0"/>
        <w:adjustRightInd w:val="0"/>
        <w:spacing w:after="0" w:line="240" w:lineRule="auto"/>
        <w:rPr>
          <w:rFonts w:cstheme="minorHAnsi"/>
          <w:noProof/>
        </w:rPr>
      </w:pPr>
    </w:p>
    <w:p w:rsidR="006F5B90" w:rsidRPr="00D568E2" w:rsidRDefault="006F5B90" w:rsidP="00D568E2">
      <w:pPr>
        <w:pStyle w:val="ListParagraph"/>
        <w:numPr>
          <w:ilvl w:val="0"/>
          <w:numId w:val="2"/>
        </w:numPr>
        <w:autoSpaceDE w:val="0"/>
        <w:autoSpaceDN w:val="0"/>
        <w:adjustRightInd w:val="0"/>
        <w:spacing w:after="0" w:line="240" w:lineRule="auto"/>
        <w:rPr>
          <w:rFonts w:cstheme="minorHAnsi"/>
        </w:rPr>
      </w:pPr>
      <w:r w:rsidRPr="00D568E2">
        <w:rPr>
          <w:rFonts w:cstheme="minorHAnsi"/>
          <w:noProof/>
        </w:rPr>
        <w:t>Lorig</w:t>
      </w:r>
      <w:r w:rsidR="00ED25ED" w:rsidRPr="00D568E2">
        <w:rPr>
          <w:rFonts w:cstheme="minorHAnsi"/>
          <w:noProof/>
        </w:rPr>
        <w:t xml:space="preserve"> KR, Holman H.</w:t>
      </w:r>
      <w:r w:rsidR="00ED25ED" w:rsidRPr="00D568E2">
        <w:rPr>
          <w:rFonts w:cstheme="minorHAnsi"/>
        </w:rPr>
        <w:t xml:space="preserve"> Self-management</w:t>
      </w:r>
      <w:r w:rsidR="00E6108A" w:rsidRPr="00D568E2">
        <w:rPr>
          <w:rFonts w:cstheme="minorHAnsi"/>
        </w:rPr>
        <w:t xml:space="preserve"> </w:t>
      </w:r>
      <w:r w:rsidR="00ED25ED" w:rsidRPr="00D568E2">
        <w:rPr>
          <w:rFonts w:cstheme="minorHAnsi"/>
        </w:rPr>
        <w:t xml:space="preserve">education: History, definition, outcomes, and mechanisms. </w:t>
      </w:r>
      <w:r w:rsidR="00ED25ED" w:rsidRPr="00D568E2">
        <w:rPr>
          <w:rFonts w:cstheme="minorHAnsi"/>
          <w:iCs/>
        </w:rPr>
        <w:t>Annals of Behavioral Medicine 2003;</w:t>
      </w:r>
      <w:r w:rsidR="00ED25ED" w:rsidRPr="00D568E2">
        <w:rPr>
          <w:rFonts w:cstheme="minorHAnsi"/>
          <w:i/>
          <w:iCs/>
        </w:rPr>
        <w:t xml:space="preserve"> 26, </w:t>
      </w:r>
      <w:r w:rsidR="00ED25ED" w:rsidRPr="00D568E2">
        <w:rPr>
          <w:rFonts w:cstheme="minorHAnsi"/>
        </w:rPr>
        <w:t>1–7.</w:t>
      </w:r>
    </w:p>
    <w:p w:rsidR="00ED25ED" w:rsidRPr="00ED25ED" w:rsidRDefault="00ED25ED" w:rsidP="00A21DB3">
      <w:pPr>
        <w:autoSpaceDE w:val="0"/>
        <w:autoSpaceDN w:val="0"/>
        <w:adjustRightInd w:val="0"/>
        <w:spacing w:after="0" w:line="240" w:lineRule="auto"/>
        <w:rPr>
          <w:rFonts w:cstheme="minorHAnsi"/>
          <w:noProof/>
        </w:rPr>
      </w:pPr>
    </w:p>
    <w:p w:rsidR="006F5B90" w:rsidRDefault="00E405CE" w:rsidP="00D568E2">
      <w:pPr>
        <w:pStyle w:val="ListParagraph"/>
        <w:numPr>
          <w:ilvl w:val="0"/>
          <w:numId w:val="2"/>
        </w:numPr>
        <w:autoSpaceDE w:val="0"/>
        <w:autoSpaceDN w:val="0"/>
        <w:adjustRightInd w:val="0"/>
        <w:spacing w:after="0" w:line="240" w:lineRule="auto"/>
        <w:rPr>
          <w:rFonts w:cstheme="minorHAnsi"/>
        </w:rPr>
      </w:pPr>
      <w:r>
        <w:rPr>
          <w:rFonts w:cstheme="minorHAnsi"/>
        </w:rPr>
        <w:t>Abraham C,</w:t>
      </w:r>
      <w:r w:rsidR="00ED25ED" w:rsidRPr="00D568E2">
        <w:rPr>
          <w:rFonts w:cstheme="minorHAnsi"/>
        </w:rPr>
        <w:t xml:space="preserve"> Gardner, B. What psychological and behaviour changes are initiated by ‘expert patient’</w:t>
      </w:r>
      <w:r w:rsidR="00E6108A" w:rsidRPr="00D568E2">
        <w:rPr>
          <w:rFonts w:cstheme="minorHAnsi"/>
        </w:rPr>
        <w:t xml:space="preserve"> </w:t>
      </w:r>
      <w:r w:rsidR="00ED25ED" w:rsidRPr="00D568E2">
        <w:rPr>
          <w:rFonts w:cstheme="minorHAnsi"/>
        </w:rPr>
        <w:t xml:space="preserve">training and what training techniques are most helpful? </w:t>
      </w:r>
      <w:r w:rsidR="00ED25ED" w:rsidRPr="00D568E2">
        <w:rPr>
          <w:rFonts w:cstheme="minorHAnsi"/>
          <w:iCs/>
        </w:rPr>
        <w:t xml:space="preserve">Psychology and Health 2009; 24, </w:t>
      </w:r>
      <w:r w:rsidR="00ED25ED" w:rsidRPr="00D568E2">
        <w:rPr>
          <w:rFonts w:cstheme="minorHAnsi"/>
        </w:rPr>
        <w:t>1153–1165.</w:t>
      </w:r>
    </w:p>
    <w:p w:rsidR="00CE1E24" w:rsidRPr="00CE1E24" w:rsidRDefault="00CE1E24" w:rsidP="00CE1E24">
      <w:pPr>
        <w:pStyle w:val="ListParagraph"/>
        <w:rPr>
          <w:rFonts w:cstheme="minorHAnsi"/>
        </w:rPr>
      </w:pPr>
    </w:p>
    <w:p w:rsidR="00CE1E24" w:rsidRPr="00D568E2" w:rsidRDefault="00CE1E24" w:rsidP="00D568E2">
      <w:pPr>
        <w:pStyle w:val="ListParagraph"/>
        <w:numPr>
          <w:ilvl w:val="0"/>
          <w:numId w:val="2"/>
        </w:numPr>
        <w:autoSpaceDE w:val="0"/>
        <w:autoSpaceDN w:val="0"/>
        <w:adjustRightInd w:val="0"/>
        <w:spacing w:after="0" w:line="240" w:lineRule="auto"/>
        <w:rPr>
          <w:rFonts w:cstheme="minorHAnsi"/>
        </w:rPr>
      </w:pPr>
      <w:r>
        <w:rPr>
          <w:rFonts w:cstheme="minorHAnsi"/>
        </w:rPr>
        <w:t>C</w:t>
      </w:r>
      <w:r w:rsidR="00E405CE">
        <w:rPr>
          <w:rFonts w:cstheme="minorHAnsi"/>
        </w:rPr>
        <w:t>raig P, Dieppe P, Macintyre S et al</w:t>
      </w:r>
      <w:r>
        <w:rPr>
          <w:rFonts w:cstheme="minorHAnsi"/>
        </w:rPr>
        <w:t>. Developing and evaluation complex intervention studies: the new Medical Research Council guidance.</w:t>
      </w:r>
      <w:r w:rsidR="00771E36">
        <w:rPr>
          <w:rFonts w:cstheme="minorHAnsi"/>
        </w:rPr>
        <w:t xml:space="preserve"> B</w:t>
      </w:r>
      <w:r w:rsidR="00331B4F">
        <w:rPr>
          <w:rFonts w:cstheme="minorHAnsi"/>
        </w:rPr>
        <w:t>ritish Medical Journal</w:t>
      </w:r>
      <w:r w:rsidR="00771E36">
        <w:rPr>
          <w:rFonts w:cstheme="minorHAnsi"/>
        </w:rPr>
        <w:t xml:space="preserve"> 2008;337:a1655.</w:t>
      </w:r>
    </w:p>
    <w:p w:rsidR="00ED25ED" w:rsidRPr="00ED25ED" w:rsidRDefault="00ED25ED" w:rsidP="00A21DB3">
      <w:pPr>
        <w:autoSpaceDE w:val="0"/>
        <w:autoSpaceDN w:val="0"/>
        <w:adjustRightInd w:val="0"/>
        <w:spacing w:after="0" w:line="240" w:lineRule="auto"/>
        <w:rPr>
          <w:rFonts w:cstheme="minorHAnsi"/>
          <w:noProof/>
        </w:rPr>
      </w:pPr>
    </w:p>
    <w:p w:rsidR="00D568E2" w:rsidRPr="003D6674" w:rsidRDefault="00ED25ED" w:rsidP="003D6674">
      <w:pPr>
        <w:pStyle w:val="ListParagraph"/>
        <w:widowControl w:val="0"/>
        <w:numPr>
          <w:ilvl w:val="0"/>
          <w:numId w:val="2"/>
        </w:numPr>
        <w:spacing w:after="240" w:line="240" w:lineRule="auto"/>
        <w:rPr>
          <w:rFonts w:cstheme="minorHAnsi"/>
        </w:rPr>
      </w:pPr>
      <w:r w:rsidRPr="00D568E2">
        <w:rPr>
          <w:rFonts w:cstheme="minorHAnsi"/>
          <w:noProof/>
        </w:rPr>
        <w:t>Barker M</w:t>
      </w:r>
      <w:r w:rsidR="00E405CE">
        <w:rPr>
          <w:rFonts w:cstheme="minorHAnsi"/>
        </w:rPr>
        <w:t>, Baird J, Lawrence W et al</w:t>
      </w:r>
      <w:r w:rsidRPr="00D568E2">
        <w:rPr>
          <w:rFonts w:cstheme="minorHAnsi"/>
        </w:rPr>
        <w:t>. The Southampton Initiative for</w:t>
      </w:r>
      <w:r w:rsidR="00E405CE">
        <w:rPr>
          <w:rFonts w:cstheme="minorHAnsi"/>
        </w:rPr>
        <w:t xml:space="preserve"> Health: a complex intervention</w:t>
      </w:r>
      <w:r w:rsidRPr="00D568E2">
        <w:rPr>
          <w:rFonts w:cstheme="minorHAnsi"/>
        </w:rPr>
        <w:t xml:space="preserve"> to improve the diets and increase the physical activity levels of women from disadvantaged communities. Journal of Health Psychology 201</w:t>
      </w:r>
      <w:r w:rsidR="00331B4F">
        <w:rPr>
          <w:rFonts w:cstheme="minorHAnsi"/>
        </w:rPr>
        <w:t xml:space="preserve">1;16:178-191. </w:t>
      </w:r>
    </w:p>
    <w:p w:rsidR="00D568E2" w:rsidRPr="00D568E2" w:rsidRDefault="00D568E2" w:rsidP="00D568E2">
      <w:pPr>
        <w:pStyle w:val="ListParagraph"/>
        <w:widowControl w:val="0"/>
        <w:spacing w:after="240" w:line="240" w:lineRule="auto"/>
        <w:rPr>
          <w:rFonts w:cstheme="minorHAnsi"/>
        </w:rPr>
      </w:pPr>
    </w:p>
    <w:p w:rsidR="006F5B90" w:rsidRDefault="006F5B90" w:rsidP="00D568E2">
      <w:pPr>
        <w:pStyle w:val="ListParagraph"/>
        <w:numPr>
          <w:ilvl w:val="0"/>
          <w:numId w:val="2"/>
        </w:numPr>
        <w:tabs>
          <w:tab w:val="left" w:pos="0"/>
          <w:tab w:val="right" w:pos="540"/>
        </w:tabs>
        <w:spacing w:before="100" w:beforeAutospacing="1" w:after="240" w:line="240" w:lineRule="auto"/>
        <w:jc w:val="both"/>
        <w:rPr>
          <w:rFonts w:cs="Lucida Sans"/>
          <w:noProof/>
        </w:rPr>
      </w:pPr>
      <w:r w:rsidRPr="00D568E2">
        <w:rPr>
          <w:rFonts w:cs="Lucida Sans"/>
          <w:noProof/>
        </w:rPr>
        <w:t>Croz</w:t>
      </w:r>
      <w:r w:rsidR="00E405CE">
        <w:rPr>
          <w:rFonts w:cs="Lucida Sans"/>
          <w:noProof/>
        </w:rPr>
        <w:t>ier SR, Inskip HM, Barker ME et al</w:t>
      </w:r>
      <w:r w:rsidRPr="00D568E2">
        <w:rPr>
          <w:rFonts w:cs="Lucida Sans"/>
          <w:noProof/>
        </w:rPr>
        <w:t>. Development of a 20-item food frequency questionnaire to assess a 'prudent' dietary pattern among young women in Southampton. Eur</w:t>
      </w:r>
      <w:r w:rsidR="00331B4F">
        <w:rPr>
          <w:rFonts w:cs="Lucida Sans"/>
          <w:noProof/>
        </w:rPr>
        <w:t>opean</w:t>
      </w:r>
      <w:r w:rsidRPr="00D568E2">
        <w:rPr>
          <w:rFonts w:cs="Lucida Sans"/>
          <w:noProof/>
        </w:rPr>
        <w:t xml:space="preserve"> J</w:t>
      </w:r>
      <w:r w:rsidR="00331B4F">
        <w:rPr>
          <w:rFonts w:cs="Lucida Sans"/>
          <w:noProof/>
        </w:rPr>
        <w:t xml:space="preserve">ournal of </w:t>
      </w:r>
      <w:r w:rsidRPr="00D568E2">
        <w:rPr>
          <w:rFonts w:cs="Lucida Sans"/>
          <w:noProof/>
        </w:rPr>
        <w:t xml:space="preserve"> Clin</w:t>
      </w:r>
      <w:r w:rsidR="00331B4F">
        <w:rPr>
          <w:rFonts w:cs="Lucida Sans"/>
          <w:noProof/>
        </w:rPr>
        <w:t>ical Nutriton</w:t>
      </w:r>
      <w:r w:rsidRPr="00D568E2">
        <w:rPr>
          <w:rFonts w:cs="Lucida Sans"/>
          <w:noProof/>
        </w:rPr>
        <w:t xml:space="preserve"> Nutr 2010 Jan;64(1):99-104.</w:t>
      </w:r>
    </w:p>
    <w:p w:rsidR="00D568E2" w:rsidRPr="00D568E2" w:rsidRDefault="00D568E2" w:rsidP="00D568E2">
      <w:pPr>
        <w:pStyle w:val="ListParagraph"/>
        <w:tabs>
          <w:tab w:val="left" w:pos="0"/>
          <w:tab w:val="right" w:pos="540"/>
        </w:tabs>
        <w:spacing w:before="100" w:beforeAutospacing="1" w:after="240" w:line="240" w:lineRule="auto"/>
        <w:jc w:val="both"/>
        <w:rPr>
          <w:rFonts w:cs="Lucida Sans"/>
          <w:noProof/>
        </w:rPr>
      </w:pPr>
    </w:p>
    <w:p w:rsidR="00D568E2" w:rsidRDefault="009B3AE8" w:rsidP="003D6674">
      <w:pPr>
        <w:pStyle w:val="ListParagraph"/>
        <w:numPr>
          <w:ilvl w:val="0"/>
          <w:numId w:val="2"/>
        </w:numPr>
        <w:autoSpaceDE w:val="0"/>
        <w:autoSpaceDN w:val="0"/>
        <w:adjustRightInd w:val="0"/>
        <w:spacing w:before="100" w:beforeAutospacing="1" w:after="0" w:line="240" w:lineRule="auto"/>
        <w:rPr>
          <w:rFonts w:cstheme="minorHAnsi"/>
        </w:rPr>
      </w:pPr>
      <w:r w:rsidRPr="00D568E2">
        <w:rPr>
          <w:rFonts w:cstheme="minorHAnsi"/>
        </w:rPr>
        <w:t>National Institute for Health and Clin</w:t>
      </w:r>
      <w:r w:rsidR="007A76CE" w:rsidRPr="00D568E2">
        <w:rPr>
          <w:rFonts w:cstheme="minorHAnsi"/>
        </w:rPr>
        <w:t>ical Excellence</w:t>
      </w:r>
      <w:r w:rsidRPr="00D568E2">
        <w:rPr>
          <w:rFonts w:cstheme="minorHAnsi"/>
        </w:rPr>
        <w:t>.</w:t>
      </w:r>
      <w:r w:rsidR="00E405CE">
        <w:rPr>
          <w:rFonts w:cstheme="minorHAnsi"/>
        </w:rPr>
        <w:t xml:space="preserve"> </w:t>
      </w:r>
      <w:r w:rsidRPr="00D568E2">
        <w:rPr>
          <w:rFonts w:cstheme="minorHAnsi"/>
          <w:iCs/>
        </w:rPr>
        <w:t>Four commonly used methods to increase physical activity:</w:t>
      </w:r>
      <w:r w:rsidR="007A76CE" w:rsidRPr="00D568E2">
        <w:rPr>
          <w:rFonts w:cstheme="minorHAnsi"/>
          <w:iCs/>
        </w:rPr>
        <w:t xml:space="preserve"> </w:t>
      </w:r>
      <w:r w:rsidRPr="00D568E2">
        <w:rPr>
          <w:rFonts w:cstheme="minorHAnsi"/>
          <w:iCs/>
        </w:rPr>
        <w:t>Brief interventions in primary care, exercise referral schemes, pedometers and community-based programmes</w:t>
      </w:r>
      <w:r w:rsidR="007A76CE" w:rsidRPr="00D568E2">
        <w:rPr>
          <w:rFonts w:cstheme="minorHAnsi"/>
          <w:iCs/>
        </w:rPr>
        <w:t xml:space="preserve"> </w:t>
      </w:r>
      <w:r w:rsidRPr="00D568E2">
        <w:rPr>
          <w:rFonts w:cstheme="minorHAnsi"/>
          <w:iCs/>
        </w:rPr>
        <w:t>for walking and cycling</w:t>
      </w:r>
      <w:r w:rsidR="007A76CE" w:rsidRPr="00D568E2">
        <w:rPr>
          <w:rFonts w:cstheme="minorHAnsi"/>
        </w:rPr>
        <w:t>, 2006. Report No.</w:t>
      </w:r>
      <w:r w:rsidRPr="00D568E2">
        <w:rPr>
          <w:rFonts w:cstheme="minorHAnsi"/>
        </w:rPr>
        <w:t xml:space="preserve">2. London: </w:t>
      </w:r>
      <w:r w:rsidR="006F4944" w:rsidRPr="00D568E2">
        <w:rPr>
          <w:rFonts w:cstheme="minorHAnsi"/>
        </w:rPr>
        <w:t>N</w:t>
      </w:r>
      <w:r w:rsidRPr="00D568E2">
        <w:rPr>
          <w:rFonts w:cstheme="minorHAnsi"/>
        </w:rPr>
        <w:t>ational</w:t>
      </w:r>
      <w:r w:rsidR="00E405CE">
        <w:rPr>
          <w:rFonts w:cstheme="minorHAnsi"/>
        </w:rPr>
        <w:t xml:space="preserve"> </w:t>
      </w:r>
      <w:r w:rsidRPr="00D568E2">
        <w:rPr>
          <w:rFonts w:cstheme="minorHAnsi"/>
        </w:rPr>
        <w:t>Institute for Health and Clinical Excellence.</w:t>
      </w:r>
    </w:p>
    <w:p w:rsidR="003D6674" w:rsidRPr="003D6674" w:rsidRDefault="003D6674" w:rsidP="003D6674">
      <w:pPr>
        <w:pStyle w:val="ListParagraph"/>
        <w:rPr>
          <w:rFonts w:cstheme="minorHAnsi"/>
        </w:rPr>
      </w:pPr>
    </w:p>
    <w:p w:rsidR="00EE03AB" w:rsidRDefault="00422B2B" w:rsidP="00D568E2">
      <w:pPr>
        <w:pStyle w:val="ListParagraph"/>
        <w:numPr>
          <w:ilvl w:val="0"/>
          <w:numId w:val="2"/>
        </w:numPr>
        <w:autoSpaceDE w:val="0"/>
        <w:autoSpaceDN w:val="0"/>
        <w:adjustRightInd w:val="0"/>
        <w:spacing w:before="100" w:beforeAutospacing="1" w:after="0" w:line="240" w:lineRule="auto"/>
        <w:rPr>
          <w:rFonts w:cs="Lucida Sans"/>
          <w:noProof/>
        </w:rPr>
      </w:pPr>
      <w:r w:rsidRPr="00D568E2">
        <w:rPr>
          <w:rFonts w:cs="Lucida Sans"/>
          <w:noProof/>
        </w:rPr>
        <w:t>Craig</w:t>
      </w:r>
      <w:r w:rsidR="00E405CE">
        <w:rPr>
          <w:rFonts w:cs="Lucida Sans"/>
          <w:noProof/>
        </w:rPr>
        <w:t xml:space="preserve"> CK, Marshall A, Sjostrom M et al</w:t>
      </w:r>
      <w:r w:rsidR="00EE03AB" w:rsidRPr="00D568E2">
        <w:rPr>
          <w:rFonts w:cs="Lucida Sans"/>
          <w:noProof/>
        </w:rPr>
        <w:t xml:space="preserve">. International Physical Activity Questionnaire: 12 country reliability and validity. Medicine and Science in Sports and Exercise 2003;35:1381-1395. </w:t>
      </w:r>
    </w:p>
    <w:p w:rsidR="00D568E2" w:rsidRPr="00D568E2" w:rsidRDefault="00D568E2" w:rsidP="00D568E2">
      <w:pPr>
        <w:pStyle w:val="ListParagraph"/>
        <w:autoSpaceDE w:val="0"/>
        <w:autoSpaceDN w:val="0"/>
        <w:adjustRightInd w:val="0"/>
        <w:spacing w:before="100" w:beforeAutospacing="1" w:after="0" w:line="240" w:lineRule="auto"/>
        <w:rPr>
          <w:rFonts w:cs="Lucida Sans"/>
          <w:noProof/>
        </w:rPr>
      </w:pPr>
    </w:p>
    <w:p w:rsidR="00D568E2" w:rsidRPr="003D6674" w:rsidRDefault="00422B2B" w:rsidP="00D568E2">
      <w:pPr>
        <w:pStyle w:val="ListParagraph"/>
        <w:numPr>
          <w:ilvl w:val="0"/>
          <w:numId w:val="2"/>
        </w:numPr>
        <w:autoSpaceDE w:val="0"/>
        <w:autoSpaceDN w:val="0"/>
        <w:adjustRightInd w:val="0"/>
        <w:spacing w:before="100" w:beforeAutospacing="1" w:after="0" w:line="240" w:lineRule="auto"/>
        <w:rPr>
          <w:rFonts w:cstheme="minorHAnsi"/>
        </w:rPr>
      </w:pPr>
      <w:r w:rsidRPr="003D6674">
        <w:rPr>
          <w:rFonts w:cstheme="minorHAnsi"/>
          <w:noProof/>
        </w:rPr>
        <w:lastRenderedPageBreak/>
        <w:t>Besson</w:t>
      </w:r>
      <w:r w:rsidR="00EE03AB" w:rsidRPr="003D6674">
        <w:rPr>
          <w:rFonts w:cstheme="minorHAnsi"/>
        </w:rPr>
        <w:t xml:space="preserve"> </w:t>
      </w:r>
      <w:r w:rsidR="009B3AE8" w:rsidRPr="003D6674">
        <w:rPr>
          <w:rFonts w:cstheme="minorHAnsi"/>
        </w:rPr>
        <w:t>H, B</w:t>
      </w:r>
      <w:r w:rsidR="00E405CE">
        <w:rPr>
          <w:rFonts w:cstheme="minorHAnsi"/>
        </w:rPr>
        <w:t>rage S, Jakes RW et al</w:t>
      </w:r>
      <w:r w:rsidR="009B3AE8" w:rsidRPr="003D6674">
        <w:rPr>
          <w:rFonts w:cstheme="minorHAnsi"/>
        </w:rPr>
        <w:t xml:space="preserve">. </w:t>
      </w:r>
      <w:r w:rsidR="00EE03AB" w:rsidRPr="003D6674">
        <w:rPr>
          <w:rFonts w:cstheme="minorHAnsi"/>
        </w:rPr>
        <w:t>Estimating physical activity</w:t>
      </w:r>
      <w:r w:rsidR="006F4944" w:rsidRPr="003D6674">
        <w:rPr>
          <w:rFonts w:cstheme="minorHAnsi"/>
        </w:rPr>
        <w:t xml:space="preserve">, </w:t>
      </w:r>
      <w:r w:rsidR="00EE03AB" w:rsidRPr="003D6674">
        <w:rPr>
          <w:rFonts w:cstheme="minorHAnsi"/>
        </w:rPr>
        <w:t>energy expenditure, sedentary time, and physical activity</w:t>
      </w:r>
      <w:r w:rsidR="009B3AE8" w:rsidRPr="003D6674">
        <w:rPr>
          <w:rFonts w:cstheme="minorHAnsi"/>
        </w:rPr>
        <w:t xml:space="preserve"> intensity </w:t>
      </w:r>
      <w:r w:rsidR="006F4944" w:rsidRPr="003D6674">
        <w:rPr>
          <w:rFonts w:cstheme="minorHAnsi"/>
        </w:rPr>
        <w:t>by self-report in adults. Americ</w:t>
      </w:r>
      <w:r w:rsidR="009B3AE8" w:rsidRPr="003D6674">
        <w:rPr>
          <w:rFonts w:cstheme="minorHAnsi"/>
        </w:rPr>
        <w:t xml:space="preserve">an Journal of Clinical Nutrition 2010;91:106-114. </w:t>
      </w:r>
      <w:r w:rsidR="00EE03AB" w:rsidRPr="003D6674">
        <w:rPr>
          <w:rFonts w:cstheme="minorHAnsi"/>
        </w:rPr>
        <w:t xml:space="preserve"> </w:t>
      </w:r>
    </w:p>
    <w:p w:rsidR="00D568E2" w:rsidRPr="00D568E2" w:rsidRDefault="00D568E2" w:rsidP="00D568E2">
      <w:pPr>
        <w:pStyle w:val="ListParagraph"/>
        <w:autoSpaceDE w:val="0"/>
        <w:autoSpaceDN w:val="0"/>
        <w:adjustRightInd w:val="0"/>
        <w:spacing w:before="100" w:beforeAutospacing="1" w:after="0" w:line="240" w:lineRule="auto"/>
        <w:rPr>
          <w:rFonts w:cstheme="minorHAnsi"/>
        </w:rPr>
      </w:pPr>
    </w:p>
    <w:p w:rsidR="006F5B90" w:rsidRDefault="006F5B90" w:rsidP="00D568E2">
      <w:pPr>
        <w:pStyle w:val="ListParagraph"/>
        <w:numPr>
          <w:ilvl w:val="0"/>
          <w:numId w:val="2"/>
        </w:numPr>
        <w:tabs>
          <w:tab w:val="left" w:pos="0"/>
          <w:tab w:val="right" w:pos="540"/>
        </w:tabs>
        <w:spacing w:before="100" w:beforeAutospacing="1" w:after="240" w:line="240" w:lineRule="auto"/>
        <w:jc w:val="both"/>
        <w:rPr>
          <w:rFonts w:cs="Lucida Sans"/>
          <w:noProof/>
        </w:rPr>
      </w:pPr>
      <w:r w:rsidRPr="00D568E2">
        <w:rPr>
          <w:rFonts w:cs="Lucida Sans"/>
          <w:noProof/>
        </w:rPr>
        <w:t>Schwarzer R, Ba</w:t>
      </w:r>
      <w:r w:rsidR="007107CA">
        <w:rPr>
          <w:rFonts w:cs="Lucida Sans"/>
          <w:noProof/>
        </w:rPr>
        <w:t>bler J</w:t>
      </w:r>
      <w:r w:rsidRPr="00D568E2">
        <w:rPr>
          <w:rFonts w:cs="Lucida Sans"/>
          <w:noProof/>
        </w:rPr>
        <w:t xml:space="preserve">, </w:t>
      </w:r>
      <w:r w:rsidR="00E405CE">
        <w:rPr>
          <w:rFonts w:cs="Lucida Sans"/>
          <w:noProof/>
        </w:rPr>
        <w:t>Kwiatek P et al</w:t>
      </w:r>
      <w:r w:rsidRPr="00D568E2">
        <w:rPr>
          <w:rFonts w:cs="Lucida Sans"/>
          <w:noProof/>
        </w:rPr>
        <w:t>. The assessm</w:t>
      </w:r>
      <w:r w:rsidR="00422B2B" w:rsidRPr="00D568E2">
        <w:rPr>
          <w:rFonts w:cs="Lucida Sans"/>
          <w:noProof/>
        </w:rPr>
        <w:t xml:space="preserve">ent of optimistic self-beliefs: </w:t>
      </w:r>
      <w:r w:rsidRPr="00D568E2">
        <w:rPr>
          <w:rFonts w:cs="Lucida Sans"/>
          <w:noProof/>
        </w:rPr>
        <w:t>Comparison of the German, Spanish, and Chinese versions of the general self-efficacy scale. Applied Psychology-An International Review 1997 Jan;46(1):69-88.</w:t>
      </w:r>
    </w:p>
    <w:p w:rsidR="007107CA" w:rsidRPr="007107CA" w:rsidRDefault="007107CA" w:rsidP="007107CA">
      <w:pPr>
        <w:pStyle w:val="ListParagraph"/>
        <w:rPr>
          <w:rFonts w:cs="Lucida Sans"/>
          <w:noProof/>
        </w:rPr>
      </w:pPr>
    </w:p>
    <w:p w:rsidR="007107CA" w:rsidRDefault="007107CA" w:rsidP="00D568E2">
      <w:pPr>
        <w:pStyle w:val="ListParagraph"/>
        <w:numPr>
          <w:ilvl w:val="0"/>
          <w:numId w:val="2"/>
        </w:numPr>
        <w:tabs>
          <w:tab w:val="left" w:pos="0"/>
          <w:tab w:val="right" w:pos="540"/>
        </w:tabs>
        <w:spacing w:before="100" w:beforeAutospacing="1" w:after="240" w:line="240" w:lineRule="auto"/>
        <w:jc w:val="both"/>
        <w:rPr>
          <w:rFonts w:cs="Lucida Sans"/>
          <w:noProof/>
        </w:rPr>
      </w:pPr>
      <w:r>
        <w:rPr>
          <w:rFonts w:cs="Lucida Sans"/>
          <w:noProof/>
        </w:rPr>
        <w:t>Luszczynska A, Tryburcy M, Schwarzer R. Improving fruit and vegetable consumption: a self-efficacy intervention compared with combined self-efficacy and planning intervention. Health</w:t>
      </w:r>
      <w:r w:rsidR="00F7190A">
        <w:rPr>
          <w:rFonts w:cs="Lucida Sans"/>
          <w:noProof/>
        </w:rPr>
        <w:t xml:space="preserve"> Education Research 2006 doi:10.1093/her/cy1133.</w:t>
      </w:r>
    </w:p>
    <w:p w:rsidR="00F7190A" w:rsidRPr="00F7190A" w:rsidRDefault="00F7190A" w:rsidP="00F7190A">
      <w:pPr>
        <w:pStyle w:val="ListParagraph"/>
        <w:rPr>
          <w:rFonts w:cs="Lucida Sans"/>
          <w:noProof/>
        </w:rPr>
      </w:pPr>
    </w:p>
    <w:p w:rsidR="00F7190A" w:rsidRDefault="00F7190A" w:rsidP="00D568E2">
      <w:pPr>
        <w:pStyle w:val="ListParagraph"/>
        <w:numPr>
          <w:ilvl w:val="0"/>
          <w:numId w:val="2"/>
        </w:numPr>
        <w:tabs>
          <w:tab w:val="left" w:pos="0"/>
          <w:tab w:val="right" w:pos="540"/>
        </w:tabs>
        <w:spacing w:before="100" w:beforeAutospacing="1" w:after="240" w:line="240" w:lineRule="auto"/>
        <w:jc w:val="both"/>
        <w:rPr>
          <w:rFonts w:cs="Lucida Sans"/>
          <w:noProof/>
        </w:rPr>
      </w:pPr>
      <w:r>
        <w:rPr>
          <w:rFonts w:cs="Lucida Sans"/>
          <w:noProof/>
        </w:rPr>
        <w:t>Renner B, Scharzer R. Risk and Health Behaviors. Documentation of the Scales of the Research Project: ‘Risk Appraisal Consequences in Korea’ (RACK). Second Edition 2005. International University Bremen and Freie</w:t>
      </w:r>
      <w:r w:rsidR="00BF7AD2">
        <w:rPr>
          <w:rFonts w:cs="Lucida Sans"/>
          <w:noProof/>
        </w:rPr>
        <w:t xml:space="preserve"> Universitat Berlin.</w:t>
      </w:r>
    </w:p>
    <w:p w:rsidR="00BF7AD2" w:rsidRPr="00BF7AD2" w:rsidRDefault="00BF7AD2" w:rsidP="00BF7AD2">
      <w:pPr>
        <w:pStyle w:val="ListParagraph"/>
        <w:rPr>
          <w:rFonts w:cs="Lucida Sans"/>
          <w:noProof/>
        </w:rPr>
      </w:pPr>
    </w:p>
    <w:p w:rsidR="00BF7AD2" w:rsidRDefault="0052452E" w:rsidP="00D568E2">
      <w:pPr>
        <w:pStyle w:val="ListParagraph"/>
        <w:numPr>
          <w:ilvl w:val="0"/>
          <w:numId w:val="2"/>
        </w:numPr>
        <w:tabs>
          <w:tab w:val="left" w:pos="0"/>
          <w:tab w:val="right" w:pos="540"/>
        </w:tabs>
        <w:spacing w:before="100" w:beforeAutospacing="1" w:after="240" w:line="240" w:lineRule="auto"/>
        <w:jc w:val="both"/>
        <w:rPr>
          <w:rFonts w:cs="Lucida Sans"/>
          <w:noProof/>
        </w:rPr>
      </w:pPr>
      <w:r>
        <w:rPr>
          <w:rFonts w:cs="Lucida Sans"/>
          <w:noProof/>
        </w:rPr>
        <w:t>Bobak M, Pikhart</w:t>
      </w:r>
      <w:r w:rsidR="00E405CE">
        <w:rPr>
          <w:rFonts w:cs="Lucida Sans"/>
          <w:noProof/>
        </w:rPr>
        <w:t xml:space="preserve"> H, Rose R et al</w:t>
      </w:r>
      <w:r>
        <w:rPr>
          <w:rFonts w:cs="Lucida Sans"/>
          <w:noProof/>
        </w:rPr>
        <w:t>. Socioeconomic factors, maternal inequalities and perceived control in self rated health: cross-sectional data from seven post communist countries. Social Science and Medicine 2000; 51:1343-1350.</w:t>
      </w:r>
    </w:p>
    <w:p w:rsidR="00AF01CF" w:rsidRPr="00AF01CF" w:rsidRDefault="00AF01CF" w:rsidP="00AF01CF">
      <w:pPr>
        <w:pStyle w:val="ListParagraph"/>
        <w:rPr>
          <w:rFonts w:cs="Lucida Sans"/>
          <w:noProof/>
        </w:rPr>
      </w:pPr>
    </w:p>
    <w:p w:rsidR="00606A79" w:rsidRDefault="00EC543D" w:rsidP="00606A79">
      <w:pPr>
        <w:pStyle w:val="ListParagraph"/>
        <w:numPr>
          <w:ilvl w:val="0"/>
          <w:numId w:val="2"/>
        </w:numPr>
        <w:tabs>
          <w:tab w:val="left" w:pos="0"/>
          <w:tab w:val="right" w:pos="540"/>
        </w:tabs>
        <w:spacing w:before="100" w:beforeAutospacing="1" w:after="240" w:line="240" w:lineRule="auto"/>
        <w:jc w:val="both"/>
        <w:rPr>
          <w:rFonts w:cs="Lucida Sans"/>
          <w:noProof/>
        </w:rPr>
      </w:pPr>
      <w:r w:rsidRPr="00606A79">
        <w:rPr>
          <w:rFonts w:cs="Lucida Sans"/>
          <w:noProof/>
        </w:rPr>
        <w:t xml:space="preserve">Lawrence W, </w:t>
      </w:r>
      <w:r w:rsidR="00172A3D">
        <w:rPr>
          <w:rFonts w:cs="Lucida Sans"/>
          <w:noProof/>
        </w:rPr>
        <w:t xml:space="preserve">Black C, </w:t>
      </w:r>
      <w:r w:rsidR="00E405CE">
        <w:rPr>
          <w:rFonts w:cs="Lucida Sans"/>
          <w:noProof/>
        </w:rPr>
        <w:t>Tinati T et al</w:t>
      </w:r>
      <w:r w:rsidR="00172A3D">
        <w:rPr>
          <w:rFonts w:cs="Lucida Sans"/>
          <w:noProof/>
        </w:rPr>
        <w:t>. ‘</w:t>
      </w:r>
      <w:r w:rsidR="00172A3D">
        <w:t>Making every contact count’: evaluation of the impact of an intervention to train health and social care practitioners in skills to support health behaviour change. J</w:t>
      </w:r>
      <w:r w:rsidR="00331B4F">
        <w:t>ournal of</w:t>
      </w:r>
      <w:r w:rsidR="00172A3D">
        <w:t xml:space="preserve"> Health Psychol</w:t>
      </w:r>
      <w:r w:rsidR="00331B4F">
        <w:t>ogy</w:t>
      </w:r>
      <w:r w:rsidR="00172A3D">
        <w:t xml:space="preserve"> In Press.</w:t>
      </w:r>
    </w:p>
    <w:p w:rsidR="00606A79" w:rsidRPr="00606A79" w:rsidRDefault="00606A79" w:rsidP="00606A79">
      <w:pPr>
        <w:pStyle w:val="ListParagraph"/>
        <w:rPr>
          <w:rFonts w:cs="Lucida Sans"/>
          <w:noProof/>
        </w:rPr>
      </w:pPr>
    </w:p>
    <w:p w:rsidR="009823D8" w:rsidRDefault="009823D8" w:rsidP="009823D8">
      <w:pPr>
        <w:pStyle w:val="ListParagraph"/>
        <w:numPr>
          <w:ilvl w:val="0"/>
          <w:numId w:val="2"/>
        </w:numPr>
        <w:tabs>
          <w:tab w:val="left" w:pos="0"/>
          <w:tab w:val="right" w:pos="540"/>
        </w:tabs>
        <w:spacing w:before="100" w:beforeAutospacing="1" w:after="240" w:line="240" w:lineRule="auto"/>
        <w:jc w:val="both"/>
        <w:rPr>
          <w:rFonts w:cs="Lucida Sans"/>
          <w:noProof/>
        </w:rPr>
      </w:pPr>
      <w:r w:rsidRPr="00D568E2">
        <w:rPr>
          <w:rFonts w:cs="Lucida Sans"/>
          <w:noProof/>
        </w:rPr>
        <w:t>Vickers AJ, Altman DG. Analysing controlled trials with baseline and follow up measurements. BMJ 2001;323:1123-4.</w:t>
      </w:r>
    </w:p>
    <w:p w:rsidR="006E5BC2" w:rsidRDefault="006E5BC2">
      <w:pPr>
        <w:pStyle w:val="ListParagraph"/>
        <w:rPr>
          <w:rFonts w:cs="Lucida Sans"/>
          <w:noProof/>
        </w:rPr>
      </w:pPr>
    </w:p>
    <w:p w:rsidR="008F5DFD" w:rsidRDefault="008F5DFD" w:rsidP="009823D8">
      <w:pPr>
        <w:pStyle w:val="ListParagraph"/>
        <w:numPr>
          <w:ilvl w:val="0"/>
          <w:numId w:val="2"/>
        </w:numPr>
        <w:tabs>
          <w:tab w:val="left" w:pos="0"/>
          <w:tab w:val="right" w:pos="540"/>
        </w:tabs>
        <w:spacing w:before="100" w:beforeAutospacing="1" w:after="240" w:line="240" w:lineRule="auto"/>
        <w:jc w:val="both"/>
        <w:rPr>
          <w:rFonts w:cs="Lucida Sans"/>
          <w:noProof/>
        </w:rPr>
      </w:pPr>
      <w:r>
        <w:rPr>
          <w:rFonts w:cs="Lucida Sans"/>
          <w:noProof/>
        </w:rPr>
        <w:t>Barker M, Lawrence W, Crozier S et al. Educational attainment, perceived control and the quality of women’s diets. Appetite 2009;52:631-636.</w:t>
      </w:r>
    </w:p>
    <w:p w:rsidR="009823D8" w:rsidRPr="009823D8" w:rsidRDefault="009823D8" w:rsidP="009823D8">
      <w:pPr>
        <w:pStyle w:val="ListParagraph"/>
        <w:rPr>
          <w:rFonts w:cs="Lucida Sans"/>
          <w:noProof/>
        </w:rPr>
      </w:pPr>
    </w:p>
    <w:p w:rsidR="00606A79" w:rsidRPr="00606A79" w:rsidRDefault="0063711E" w:rsidP="00606A79">
      <w:pPr>
        <w:pStyle w:val="ListParagraph"/>
        <w:numPr>
          <w:ilvl w:val="0"/>
          <w:numId w:val="2"/>
        </w:numPr>
        <w:tabs>
          <w:tab w:val="left" w:pos="0"/>
          <w:tab w:val="right" w:pos="540"/>
        </w:tabs>
        <w:spacing w:before="100" w:beforeAutospacing="1" w:after="240" w:line="240" w:lineRule="auto"/>
        <w:jc w:val="both"/>
        <w:rPr>
          <w:rFonts w:cs="Lucida Sans"/>
          <w:noProof/>
        </w:rPr>
      </w:pPr>
      <w:r>
        <w:rPr>
          <w:rFonts w:cs="Lucida Sans"/>
          <w:noProof/>
        </w:rPr>
        <w:t>Steptoe A, Perkins-Porras L</w:t>
      </w:r>
      <w:r w:rsidR="00E405CE">
        <w:rPr>
          <w:rFonts w:cs="Lucida Sans"/>
          <w:noProof/>
        </w:rPr>
        <w:t>, Rink E et al</w:t>
      </w:r>
      <w:r>
        <w:rPr>
          <w:rFonts w:cs="Lucida Sans"/>
          <w:noProof/>
        </w:rPr>
        <w:t>. Psychological and social predictors of changes in fruit and vegetable consumption over 12 month following behavioural and nutrition education counselling. Health Psychol</w:t>
      </w:r>
      <w:r w:rsidR="00331B4F">
        <w:rPr>
          <w:rFonts w:cs="Lucida Sans"/>
          <w:noProof/>
        </w:rPr>
        <w:t>ogy</w:t>
      </w:r>
      <w:r>
        <w:rPr>
          <w:rFonts w:cs="Lucida Sans"/>
          <w:noProof/>
        </w:rPr>
        <w:t xml:space="preserve"> 2004; 23:574-581.</w:t>
      </w:r>
    </w:p>
    <w:p w:rsidR="00D568E2" w:rsidRPr="00D568E2" w:rsidRDefault="00D568E2" w:rsidP="00D568E2">
      <w:pPr>
        <w:pStyle w:val="ListParagraph"/>
        <w:tabs>
          <w:tab w:val="left" w:pos="0"/>
          <w:tab w:val="right" w:pos="540"/>
        </w:tabs>
        <w:spacing w:before="100" w:beforeAutospacing="1" w:after="240" w:line="240" w:lineRule="auto"/>
        <w:jc w:val="both"/>
        <w:rPr>
          <w:rFonts w:cs="Lucida Sans"/>
          <w:noProof/>
        </w:rPr>
      </w:pPr>
    </w:p>
    <w:p w:rsidR="00172A3D" w:rsidRDefault="0063711E" w:rsidP="00172A3D">
      <w:pPr>
        <w:pStyle w:val="ListParagraph"/>
        <w:numPr>
          <w:ilvl w:val="0"/>
          <w:numId w:val="2"/>
        </w:numPr>
        <w:tabs>
          <w:tab w:val="left" w:pos="0"/>
          <w:tab w:val="right" w:pos="540"/>
        </w:tabs>
        <w:spacing w:before="100" w:beforeAutospacing="1" w:after="240" w:line="240" w:lineRule="auto"/>
        <w:jc w:val="both"/>
        <w:rPr>
          <w:rFonts w:cs="Lucida Sans"/>
          <w:noProof/>
        </w:rPr>
      </w:pPr>
      <w:r>
        <w:rPr>
          <w:rFonts w:cs="Lucida Sans"/>
          <w:noProof/>
        </w:rPr>
        <w:t xml:space="preserve">Anderson ES, Winett RA, </w:t>
      </w:r>
      <w:r w:rsidR="00E405CE">
        <w:rPr>
          <w:rFonts w:cs="Lucida Sans"/>
          <w:noProof/>
        </w:rPr>
        <w:t>Wojcik JR et al</w:t>
      </w:r>
      <w:r w:rsidR="00172A3D">
        <w:rPr>
          <w:rFonts w:cs="Lucida Sans"/>
          <w:noProof/>
        </w:rPr>
        <w:t>. Social cogitive mediators of change in a group randomised nutrition and physical activity interveniton: social support, self efficacy, outcome expectancies and self-regulation in the Guide-to-Health trial.</w:t>
      </w:r>
      <w:r w:rsidR="00A97459">
        <w:rPr>
          <w:rFonts w:cs="Lucida Sans"/>
          <w:noProof/>
        </w:rPr>
        <w:t xml:space="preserve"> </w:t>
      </w:r>
      <w:r w:rsidR="005A5A9D">
        <w:rPr>
          <w:rFonts w:cs="Lucida Sans"/>
          <w:noProof/>
        </w:rPr>
        <w:t>Health Psychology 2000;19:479-486.</w:t>
      </w:r>
    </w:p>
    <w:p w:rsidR="00172A3D" w:rsidRDefault="00172A3D" w:rsidP="00172A3D">
      <w:pPr>
        <w:pStyle w:val="ListParagraph"/>
        <w:tabs>
          <w:tab w:val="left" w:pos="0"/>
          <w:tab w:val="right" w:pos="540"/>
        </w:tabs>
        <w:spacing w:before="100" w:beforeAutospacing="1" w:after="240" w:line="240" w:lineRule="auto"/>
        <w:jc w:val="both"/>
        <w:rPr>
          <w:rFonts w:cs="Lucida Sans"/>
          <w:noProof/>
        </w:rPr>
      </w:pPr>
    </w:p>
    <w:p w:rsidR="00422B2B" w:rsidRDefault="00422B2B" w:rsidP="00D568E2">
      <w:pPr>
        <w:pStyle w:val="ListParagraph"/>
        <w:numPr>
          <w:ilvl w:val="0"/>
          <w:numId w:val="2"/>
        </w:numPr>
        <w:tabs>
          <w:tab w:val="left" w:pos="0"/>
          <w:tab w:val="right" w:pos="540"/>
        </w:tabs>
        <w:spacing w:before="100" w:beforeAutospacing="1" w:after="240" w:line="240" w:lineRule="auto"/>
        <w:jc w:val="both"/>
        <w:rPr>
          <w:rFonts w:cs="Lucida Sans"/>
          <w:noProof/>
        </w:rPr>
      </w:pPr>
      <w:r w:rsidRPr="00D568E2">
        <w:rPr>
          <w:rFonts w:cs="Lucida Sans"/>
          <w:noProof/>
        </w:rPr>
        <w:t>Anliker</w:t>
      </w:r>
      <w:r w:rsidR="00E405CE">
        <w:rPr>
          <w:rFonts w:cs="Lucida Sans"/>
          <w:noProof/>
        </w:rPr>
        <w:t xml:space="preserve"> J, Damron D, Ballesteros et al</w:t>
      </w:r>
      <w:r w:rsidR="00E6108A" w:rsidRPr="00D568E2">
        <w:rPr>
          <w:rFonts w:cs="Lucida Sans"/>
          <w:noProof/>
        </w:rPr>
        <w:t>. Using peer educators in nutrition intervention research: lessons learned fomr the Maryland WIC 5 a day promotion program. Journal of Nutriton Education 1999;31:347-354.</w:t>
      </w:r>
    </w:p>
    <w:p w:rsidR="00FB0CDE" w:rsidRDefault="00FB0CDE">
      <w:pPr>
        <w:pStyle w:val="ListParagraph"/>
        <w:rPr>
          <w:rFonts w:cs="Lucida Sans"/>
          <w:noProof/>
        </w:rPr>
      </w:pPr>
    </w:p>
    <w:p w:rsidR="001075CD" w:rsidRDefault="001075CD" w:rsidP="00D568E2">
      <w:pPr>
        <w:pStyle w:val="ListParagraph"/>
        <w:numPr>
          <w:ilvl w:val="0"/>
          <w:numId w:val="2"/>
        </w:numPr>
        <w:tabs>
          <w:tab w:val="left" w:pos="0"/>
          <w:tab w:val="right" w:pos="540"/>
        </w:tabs>
        <w:spacing w:before="100" w:beforeAutospacing="1" w:after="240" w:line="240" w:lineRule="auto"/>
        <w:jc w:val="both"/>
        <w:rPr>
          <w:rFonts w:cs="Lucida Sans"/>
          <w:noProof/>
        </w:rPr>
      </w:pPr>
      <w:r>
        <w:rPr>
          <w:rFonts w:cs="Lucida Sans"/>
          <w:noProof/>
        </w:rPr>
        <w:t>Butler CC, Simpson SA,</w:t>
      </w:r>
      <w:r w:rsidR="00E405CE">
        <w:rPr>
          <w:rFonts w:cs="Lucida Sans"/>
          <w:noProof/>
        </w:rPr>
        <w:t xml:space="preserve"> Hood K et al</w:t>
      </w:r>
      <w:r>
        <w:rPr>
          <w:rFonts w:cs="Lucida Sans"/>
          <w:noProof/>
        </w:rPr>
        <w:t>. Training practitioners to deliver opportunistic multiple behaviour change counselling in primary care: a cluster randomised trial. B</w:t>
      </w:r>
      <w:r w:rsidR="00331B4F">
        <w:rPr>
          <w:rFonts w:cs="Lucida Sans"/>
          <w:noProof/>
        </w:rPr>
        <w:t>ritish Medical Journal</w:t>
      </w:r>
      <w:r>
        <w:rPr>
          <w:rFonts w:cs="Lucida Sans"/>
          <w:noProof/>
        </w:rPr>
        <w:t xml:space="preserve"> 2013;346:f1191.</w:t>
      </w:r>
    </w:p>
    <w:p w:rsidR="00D568E2" w:rsidRPr="00D568E2" w:rsidRDefault="00D568E2" w:rsidP="00D568E2">
      <w:pPr>
        <w:pStyle w:val="ListParagraph"/>
        <w:tabs>
          <w:tab w:val="left" w:pos="0"/>
          <w:tab w:val="right" w:pos="540"/>
        </w:tabs>
        <w:spacing w:before="100" w:beforeAutospacing="1" w:after="240" w:line="240" w:lineRule="auto"/>
        <w:jc w:val="both"/>
        <w:rPr>
          <w:rFonts w:cs="Lucida Sans"/>
          <w:noProof/>
        </w:rPr>
      </w:pPr>
    </w:p>
    <w:p w:rsidR="006E5BC2" w:rsidRDefault="006E5BC2">
      <w:pPr>
        <w:pStyle w:val="ListParagraph"/>
        <w:rPr>
          <w:rFonts w:cs="Lucida Sans"/>
          <w:noProof/>
        </w:rPr>
      </w:pPr>
    </w:p>
    <w:p w:rsidR="002F792A" w:rsidRPr="00EC543D" w:rsidRDefault="002F792A" w:rsidP="002F792A">
      <w:pPr>
        <w:pStyle w:val="ListParagraph"/>
        <w:numPr>
          <w:ilvl w:val="0"/>
          <w:numId w:val="2"/>
        </w:numPr>
        <w:tabs>
          <w:tab w:val="left" w:pos="0"/>
          <w:tab w:val="right" w:pos="540"/>
        </w:tabs>
        <w:spacing w:before="100" w:beforeAutospacing="1" w:after="240" w:line="240" w:lineRule="auto"/>
        <w:jc w:val="both"/>
        <w:rPr>
          <w:rFonts w:cs="Lucida Sans"/>
          <w:noProof/>
        </w:rPr>
      </w:pPr>
      <w:r w:rsidRPr="00B7014F">
        <w:rPr>
          <w:rFonts w:cs="Lucida Sans"/>
          <w:noProof/>
        </w:rPr>
        <w:lastRenderedPageBreak/>
        <w:t>Craig P, Cooper C, G</w:t>
      </w:r>
      <w:r>
        <w:rPr>
          <w:rFonts w:cs="Lucida Sans"/>
          <w:noProof/>
        </w:rPr>
        <w:t>unnell D et al</w:t>
      </w:r>
      <w:r w:rsidRPr="00B7014F">
        <w:rPr>
          <w:rFonts w:cs="Lucida Sans"/>
          <w:noProof/>
        </w:rPr>
        <w:t>. Using natural experiments to evaluate population health interventions: guidance for producers and users of evidence. Medical Research Council 2011.</w:t>
      </w:r>
    </w:p>
    <w:p w:rsidR="00D568E2" w:rsidRPr="00D568E2" w:rsidRDefault="00D568E2" w:rsidP="00D568E2">
      <w:pPr>
        <w:pStyle w:val="ListParagraph"/>
        <w:tabs>
          <w:tab w:val="left" w:pos="0"/>
          <w:tab w:val="right" w:pos="540"/>
        </w:tabs>
        <w:spacing w:before="100" w:beforeAutospacing="1" w:after="240" w:line="240" w:lineRule="auto"/>
        <w:jc w:val="both"/>
        <w:rPr>
          <w:rFonts w:cs="Lucida Sans"/>
          <w:noProof/>
        </w:rPr>
      </w:pPr>
    </w:p>
    <w:p w:rsidR="00684CED" w:rsidRDefault="001B19D8" w:rsidP="00684CED">
      <w:pPr>
        <w:pStyle w:val="ListParagraph"/>
        <w:numPr>
          <w:ilvl w:val="0"/>
          <w:numId w:val="2"/>
        </w:numPr>
        <w:spacing w:before="100" w:beforeAutospacing="1" w:line="240" w:lineRule="auto"/>
      </w:pPr>
      <w:r w:rsidRPr="001B19D8">
        <w:t xml:space="preserve">Campbell K, </w:t>
      </w:r>
      <w:r>
        <w:t xml:space="preserve">Hesketh K, </w:t>
      </w:r>
      <w:r w:rsidR="00E405CE">
        <w:t>Silverii A et al</w:t>
      </w:r>
      <w:r>
        <w:t>. Maternal self efficacy regarding children’s eating and sedentary behaviours in the early year: Associations with children’s food intake and sedentary behaviour. Interna</w:t>
      </w:r>
      <w:r w:rsidR="00A97459">
        <w:t>tional</w:t>
      </w:r>
      <w:r>
        <w:t xml:space="preserve"> Journal of Pediatric Obesity 2010;5:501-508</w:t>
      </w:r>
      <w:r w:rsidR="00684CED">
        <w:t>.</w:t>
      </w:r>
    </w:p>
    <w:p w:rsidR="00EC543D" w:rsidRDefault="00EC543D" w:rsidP="00EC543D">
      <w:pPr>
        <w:pStyle w:val="ListParagraph"/>
      </w:pPr>
    </w:p>
    <w:p w:rsidR="00684CED" w:rsidRPr="00684CED" w:rsidRDefault="00684CED" w:rsidP="00684CED">
      <w:pPr>
        <w:pStyle w:val="ListParagraph"/>
        <w:rPr>
          <w:sz w:val="24"/>
          <w:szCs w:val="24"/>
        </w:rPr>
      </w:pPr>
    </w:p>
    <w:p w:rsidR="005331A2" w:rsidRPr="00C27D51" w:rsidRDefault="00684CED" w:rsidP="00C27D51">
      <w:pPr>
        <w:pStyle w:val="ListParagraph"/>
        <w:numPr>
          <w:ilvl w:val="0"/>
          <w:numId w:val="2"/>
        </w:numPr>
        <w:spacing w:after="0" w:line="240" w:lineRule="auto"/>
        <w:rPr>
          <w:rFonts w:cstheme="minorHAnsi"/>
          <w:color w:val="000000"/>
          <w:sz w:val="20"/>
          <w:szCs w:val="20"/>
        </w:rPr>
      </w:pPr>
      <w:r w:rsidRPr="00C27D51">
        <w:rPr>
          <w:sz w:val="24"/>
          <w:szCs w:val="24"/>
        </w:rPr>
        <w:t xml:space="preserve">Hawe P, Shiell A, Riley T. Complex interventions: how ‘out of control’ can a randomised controlled trial be? </w:t>
      </w:r>
      <w:r w:rsidR="00C27D51" w:rsidRPr="00C27D51">
        <w:rPr>
          <w:sz w:val="24"/>
          <w:szCs w:val="24"/>
        </w:rPr>
        <w:t>B</w:t>
      </w:r>
      <w:r w:rsidR="00331B4F">
        <w:rPr>
          <w:sz w:val="24"/>
          <w:szCs w:val="24"/>
        </w:rPr>
        <w:t>ritish Medical Journal</w:t>
      </w:r>
      <w:r w:rsidR="00C27D51" w:rsidRPr="00C27D51">
        <w:rPr>
          <w:sz w:val="24"/>
          <w:szCs w:val="24"/>
        </w:rPr>
        <w:t xml:space="preserve"> 2004;328:1561-3</w:t>
      </w:r>
    </w:p>
    <w:sectPr w:rsidR="005331A2" w:rsidRPr="00C27D51" w:rsidSect="003908C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7A" w:rsidRDefault="0035577A" w:rsidP="00DB0B25">
      <w:pPr>
        <w:spacing w:after="0" w:line="240" w:lineRule="auto"/>
      </w:pPr>
      <w:r>
        <w:separator/>
      </w:r>
    </w:p>
  </w:endnote>
  <w:endnote w:type="continuationSeparator" w:id="0">
    <w:p w:rsidR="0035577A" w:rsidRDefault="0035577A" w:rsidP="00DB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3811"/>
      <w:docPartObj>
        <w:docPartGallery w:val="Page Numbers (Bottom of Page)"/>
        <w:docPartUnique/>
      </w:docPartObj>
    </w:sdtPr>
    <w:sdtEndPr/>
    <w:sdtContent>
      <w:p w:rsidR="006E5BC2" w:rsidRDefault="000D6AD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E5BC2" w:rsidRDefault="006E5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7A" w:rsidRDefault="0035577A" w:rsidP="00DB0B25">
      <w:pPr>
        <w:spacing w:after="0" w:line="240" w:lineRule="auto"/>
      </w:pPr>
      <w:r>
        <w:separator/>
      </w:r>
    </w:p>
  </w:footnote>
  <w:footnote w:type="continuationSeparator" w:id="0">
    <w:p w:rsidR="0035577A" w:rsidRDefault="0035577A" w:rsidP="00DB0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BC2" w:rsidRDefault="006E5BC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51F9C"/>
    <w:multiLevelType w:val="hybridMultilevel"/>
    <w:tmpl w:val="AB961BCC"/>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34EA204A"/>
    <w:multiLevelType w:val="hybridMultilevel"/>
    <w:tmpl w:val="92D8DA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45D1A1D"/>
    <w:multiLevelType w:val="hybridMultilevel"/>
    <w:tmpl w:val="D6809D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3AA"/>
    <w:rsid w:val="0000532C"/>
    <w:rsid w:val="00006988"/>
    <w:rsid w:val="000125DB"/>
    <w:rsid w:val="0001657D"/>
    <w:rsid w:val="00017D3A"/>
    <w:rsid w:val="000311A9"/>
    <w:rsid w:val="00031A04"/>
    <w:rsid w:val="00041D46"/>
    <w:rsid w:val="00044519"/>
    <w:rsid w:val="0004458E"/>
    <w:rsid w:val="00053DBC"/>
    <w:rsid w:val="0005497E"/>
    <w:rsid w:val="00056515"/>
    <w:rsid w:val="000576D5"/>
    <w:rsid w:val="00060417"/>
    <w:rsid w:val="00062B9B"/>
    <w:rsid w:val="00063DD8"/>
    <w:rsid w:val="00071DCD"/>
    <w:rsid w:val="000766E3"/>
    <w:rsid w:val="00076899"/>
    <w:rsid w:val="00082970"/>
    <w:rsid w:val="000832B9"/>
    <w:rsid w:val="00092B85"/>
    <w:rsid w:val="0009323D"/>
    <w:rsid w:val="000A0396"/>
    <w:rsid w:val="000A1DCF"/>
    <w:rsid w:val="000A367D"/>
    <w:rsid w:val="000A5403"/>
    <w:rsid w:val="000A5D1C"/>
    <w:rsid w:val="000B3A9F"/>
    <w:rsid w:val="000B599E"/>
    <w:rsid w:val="000B7B94"/>
    <w:rsid w:val="000C39D0"/>
    <w:rsid w:val="000D459F"/>
    <w:rsid w:val="000D6ADB"/>
    <w:rsid w:val="000D6DC9"/>
    <w:rsid w:val="000D7A68"/>
    <w:rsid w:val="000E0168"/>
    <w:rsid w:val="000E4FB4"/>
    <w:rsid w:val="000E5876"/>
    <w:rsid w:val="000E6711"/>
    <w:rsid w:val="000E6FA6"/>
    <w:rsid w:val="000F08CF"/>
    <w:rsid w:val="000F16C3"/>
    <w:rsid w:val="000F1B6A"/>
    <w:rsid w:val="000F27CA"/>
    <w:rsid w:val="0010129B"/>
    <w:rsid w:val="001025D6"/>
    <w:rsid w:val="001075CD"/>
    <w:rsid w:val="00111CED"/>
    <w:rsid w:val="001203D4"/>
    <w:rsid w:val="001264C5"/>
    <w:rsid w:val="00134BFC"/>
    <w:rsid w:val="001403A9"/>
    <w:rsid w:val="00141E65"/>
    <w:rsid w:val="0014420C"/>
    <w:rsid w:val="00144561"/>
    <w:rsid w:val="001445E1"/>
    <w:rsid w:val="00144BF5"/>
    <w:rsid w:val="00145549"/>
    <w:rsid w:val="0014667A"/>
    <w:rsid w:val="00150B04"/>
    <w:rsid w:val="001514A3"/>
    <w:rsid w:val="001553AA"/>
    <w:rsid w:val="00156309"/>
    <w:rsid w:val="00166778"/>
    <w:rsid w:val="00172A3D"/>
    <w:rsid w:val="00172DD2"/>
    <w:rsid w:val="001778C7"/>
    <w:rsid w:val="0018013D"/>
    <w:rsid w:val="00184A40"/>
    <w:rsid w:val="00186371"/>
    <w:rsid w:val="00186E5A"/>
    <w:rsid w:val="001874D9"/>
    <w:rsid w:val="001A3E7D"/>
    <w:rsid w:val="001A4E6D"/>
    <w:rsid w:val="001A502B"/>
    <w:rsid w:val="001A65AC"/>
    <w:rsid w:val="001B01A7"/>
    <w:rsid w:val="001B19D8"/>
    <w:rsid w:val="001B26D9"/>
    <w:rsid w:val="001B2A9B"/>
    <w:rsid w:val="001B61D2"/>
    <w:rsid w:val="001B63DE"/>
    <w:rsid w:val="001B6F9D"/>
    <w:rsid w:val="001B792F"/>
    <w:rsid w:val="001C5855"/>
    <w:rsid w:val="001D2EEB"/>
    <w:rsid w:val="001D633D"/>
    <w:rsid w:val="001D67A1"/>
    <w:rsid w:val="001E0845"/>
    <w:rsid w:val="001E2217"/>
    <w:rsid w:val="001F3F9D"/>
    <w:rsid w:val="001F611A"/>
    <w:rsid w:val="00202A90"/>
    <w:rsid w:val="00203694"/>
    <w:rsid w:val="00207B03"/>
    <w:rsid w:val="002101ED"/>
    <w:rsid w:val="002148E3"/>
    <w:rsid w:val="00230073"/>
    <w:rsid w:val="00231ECC"/>
    <w:rsid w:val="002413A6"/>
    <w:rsid w:val="00241C5B"/>
    <w:rsid w:val="00245710"/>
    <w:rsid w:val="00247002"/>
    <w:rsid w:val="00250800"/>
    <w:rsid w:val="00253DB5"/>
    <w:rsid w:val="00254664"/>
    <w:rsid w:val="002628EB"/>
    <w:rsid w:val="00262F62"/>
    <w:rsid w:val="0026609B"/>
    <w:rsid w:val="00270298"/>
    <w:rsid w:val="00273895"/>
    <w:rsid w:val="00277BCB"/>
    <w:rsid w:val="00280051"/>
    <w:rsid w:val="002820FA"/>
    <w:rsid w:val="00283301"/>
    <w:rsid w:val="0028346D"/>
    <w:rsid w:val="00284069"/>
    <w:rsid w:val="00286558"/>
    <w:rsid w:val="00290EE1"/>
    <w:rsid w:val="00293E5D"/>
    <w:rsid w:val="002A070C"/>
    <w:rsid w:val="002A544A"/>
    <w:rsid w:val="002A5653"/>
    <w:rsid w:val="002A7D83"/>
    <w:rsid w:val="002B32F8"/>
    <w:rsid w:val="002B419B"/>
    <w:rsid w:val="002B56C9"/>
    <w:rsid w:val="002B799B"/>
    <w:rsid w:val="002C28AF"/>
    <w:rsid w:val="002C4E6C"/>
    <w:rsid w:val="002D169E"/>
    <w:rsid w:val="002E27DC"/>
    <w:rsid w:val="002E7B45"/>
    <w:rsid w:val="002F0398"/>
    <w:rsid w:val="002F1A9B"/>
    <w:rsid w:val="002F3D7D"/>
    <w:rsid w:val="002F792A"/>
    <w:rsid w:val="003012A0"/>
    <w:rsid w:val="00304ADB"/>
    <w:rsid w:val="00305091"/>
    <w:rsid w:val="003054C1"/>
    <w:rsid w:val="00313CF2"/>
    <w:rsid w:val="00316132"/>
    <w:rsid w:val="00327C52"/>
    <w:rsid w:val="00331B4F"/>
    <w:rsid w:val="00332102"/>
    <w:rsid w:val="00332EA4"/>
    <w:rsid w:val="00333ED2"/>
    <w:rsid w:val="003361D7"/>
    <w:rsid w:val="003436C5"/>
    <w:rsid w:val="00352B13"/>
    <w:rsid w:val="0035577A"/>
    <w:rsid w:val="00356766"/>
    <w:rsid w:val="003617D2"/>
    <w:rsid w:val="0037138C"/>
    <w:rsid w:val="003746E0"/>
    <w:rsid w:val="003756C1"/>
    <w:rsid w:val="0037633D"/>
    <w:rsid w:val="00376413"/>
    <w:rsid w:val="0038297A"/>
    <w:rsid w:val="003908CB"/>
    <w:rsid w:val="00391B25"/>
    <w:rsid w:val="0039366C"/>
    <w:rsid w:val="00394F5B"/>
    <w:rsid w:val="00395D6B"/>
    <w:rsid w:val="00396420"/>
    <w:rsid w:val="003A11D4"/>
    <w:rsid w:val="003A5D8D"/>
    <w:rsid w:val="003A6009"/>
    <w:rsid w:val="003B0514"/>
    <w:rsid w:val="003B15FC"/>
    <w:rsid w:val="003B5739"/>
    <w:rsid w:val="003B5B34"/>
    <w:rsid w:val="003C1496"/>
    <w:rsid w:val="003C212A"/>
    <w:rsid w:val="003C46EE"/>
    <w:rsid w:val="003C5429"/>
    <w:rsid w:val="003C567E"/>
    <w:rsid w:val="003C65C8"/>
    <w:rsid w:val="003D05FE"/>
    <w:rsid w:val="003D4ACC"/>
    <w:rsid w:val="003D6674"/>
    <w:rsid w:val="003E17DF"/>
    <w:rsid w:val="003E1C47"/>
    <w:rsid w:val="003E4722"/>
    <w:rsid w:val="003E5198"/>
    <w:rsid w:val="003E5BFD"/>
    <w:rsid w:val="003E6050"/>
    <w:rsid w:val="003F2138"/>
    <w:rsid w:val="003F251E"/>
    <w:rsid w:val="003F3D49"/>
    <w:rsid w:val="003F422F"/>
    <w:rsid w:val="003F6C3E"/>
    <w:rsid w:val="003F76D3"/>
    <w:rsid w:val="00401CF5"/>
    <w:rsid w:val="00403D75"/>
    <w:rsid w:val="00405193"/>
    <w:rsid w:val="00415833"/>
    <w:rsid w:val="00417F80"/>
    <w:rsid w:val="00420D9F"/>
    <w:rsid w:val="00422B2B"/>
    <w:rsid w:val="004307CF"/>
    <w:rsid w:val="00431244"/>
    <w:rsid w:val="0043153E"/>
    <w:rsid w:val="0043292A"/>
    <w:rsid w:val="00434730"/>
    <w:rsid w:val="00434C89"/>
    <w:rsid w:val="00437D88"/>
    <w:rsid w:val="00441340"/>
    <w:rsid w:val="004429C5"/>
    <w:rsid w:val="00443A14"/>
    <w:rsid w:val="00443E2E"/>
    <w:rsid w:val="00454625"/>
    <w:rsid w:val="00454B90"/>
    <w:rsid w:val="0045786A"/>
    <w:rsid w:val="00463BFD"/>
    <w:rsid w:val="00472587"/>
    <w:rsid w:val="00484161"/>
    <w:rsid w:val="004902F5"/>
    <w:rsid w:val="0049291A"/>
    <w:rsid w:val="004963B3"/>
    <w:rsid w:val="004A1090"/>
    <w:rsid w:val="004A138B"/>
    <w:rsid w:val="004A2FA9"/>
    <w:rsid w:val="004A48CC"/>
    <w:rsid w:val="004A6C6E"/>
    <w:rsid w:val="004C17DB"/>
    <w:rsid w:val="004C2D70"/>
    <w:rsid w:val="004C2ED3"/>
    <w:rsid w:val="004C364F"/>
    <w:rsid w:val="004C4AE1"/>
    <w:rsid w:val="004C4D54"/>
    <w:rsid w:val="004C76B9"/>
    <w:rsid w:val="004E4AFC"/>
    <w:rsid w:val="004E57B2"/>
    <w:rsid w:val="004F0BA2"/>
    <w:rsid w:val="004F4662"/>
    <w:rsid w:val="004F480C"/>
    <w:rsid w:val="004F61A0"/>
    <w:rsid w:val="00501196"/>
    <w:rsid w:val="00501781"/>
    <w:rsid w:val="00503AA5"/>
    <w:rsid w:val="005112F0"/>
    <w:rsid w:val="0051290C"/>
    <w:rsid w:val="00515458"/>
    <w:rsid w:val="00515C99"/>
    <w:rsid w:val="005208FF"/>
    <w:rsid w:val="00523BD0"/>
    <w:rsid w:val="0052452E"/>
    <w:rsid w:val="00525FC3"/>
    <w:rsid w:val="005309FC"/>
    <w:rsid w:val="00532B2B"/>
    <w:rsid w:val="005331A2"/>
    <w:rsid w:val="00533B64"/>
    <w:rsid w:val="00534641"/>
    <w:rsid w:val="00541842"/>
    <w:rsid w:val="00545136"/>
    <w:rsid w:val="00545FD6"/>
    <w:rsid w:val="00554DA5"/>
    <w:rsid w:val="005571C8"/>
    <w:rsid w:val="00567FE2"/>
    <w:rsid w:val="00571100"/>
    <w:rsid w:val="00573C32"/>
    <w:rsid w:val="005752EE"/>
    <w:rsid w:val="005755C2"/>
    <w:rsid w:val="00591F7B"/>
    <w:rsid w:val="005968B3"/>
    <w:rsid w:val="005A5A9D"/>
    <w:rsid w:val="005A6D55"/>
    <w:rsid w:val="005A7E9C"/>
    <w:rsid w:val="005B0363"/>
    <w:rsid w:val="005B7C1D"/>
    <w:rsid w:val="005C0D55"/>
    <w:rsid w:val="005C19B2"/>
    <w:rsid w:val="005C2957"/>
    <w:rsid w:val="005C3B48"/>
    <w:rsid w:val="005C69CB"/>
    <w:rsid w:val="005D2F1D"/>
    <w:rsid w:val="005D32D6"/>
    <w:rsid w:val="005D5FF0"/>
    <w:rsid w:val="005E13A3"/>
    <w:rsid w:val="005E1E1C"/>
    <w:rsid w:val="005E487E"/>
    <w:rsid w:val="005E63FB"/>
    <w:rsid w:val="005E72AB"/>
    <w:rsid w:val="005F1167"/>
    <w:rsid w:val="005F225D"/>
    <w:rsid w:val="005F33DE"/>
    <w:rsid w:val="005F5903"/>
    <w:rsid w:val="00600BD9"/>
    <w:rsid w:val="00600EEA"/>
    <w:rsid w:val="0060278E"/>
    <w:rsid w:val="00603E95"/>
    <w:rsid w:val="00606A79"/>
    <w:rsid w:val="006146F1"/>
    <w:rsid w:val="006179BC"/>
    <w:rsid w:val="00622269"/>
    <w:rsid w:val="0062407E"/>
    <w:rsid w:val="006259D6"/>
    <w:rsid w:val="006276C3"/>
    <w:rsid w:val="00632DA4"/>
    <w:rsid w:val="00635DC6"/>
    <w:rsid w:val="0063646A"/>
    <w:rsid w:val="0063711E"/>
    <w:rsid w:val="006424D1"/>
    <w:rsid w:val="00642989"/>
    <w:rsid w:val="00647FDB"/>
    <w:rsid w:val="00650A6C"/>
    <w:rsid w:val="00653C60"/>
    <w:rsid w:val="0065521D"/>
    <w:rsid w:val="0065574F"/>
    <w:rsid w:val="0066105F"/>
    <w:rsid w:val="00661C8D"/>
    <w:rsid w:val="00665182"/>
    <w:rsid w:val="0066676D"/>
    <w:rsid w:val="00670A90"/>
    <w:rsid w:val="00674ABD"/>
    <w:rsid w:val="00674F87"/>
    <w:rsid w:val="00676CB8"/>
    <w:rsid w:val="006805B4"/>
    <w:rsid w:val="00681CEA"/>
    <w:rsid w:val="00684CED"/>
    <w:rsid w:val="0068688A"/>
    <w:rsid w:val="00687EFB"/>
    <w:rsid w:val="00690CF3"/>
    <w:rsid w:val="00694B15"/>
    <w:rsid w:val="00696B82"/>
    <w:rsid w:val="00697E0F"/>
    <w:rsid w:val="006A3442"/>
    <w:rsid w:val="006A680B"/>
    <w:rsid w:val="006B0298"/>
    <w:rsid w:val="006B1A15"/>
    <w:rsid w:val="006B428A"/>
    <w:rsid w:val="006B4936"/>
    <w:rsid w:val="006B4982"/>
    <w:rsid w:val="006B4EFB"/>
    <w:rsid w:val="006C4BF2"/>
    <w:rsid w:val="006D2176"/>
    <w:rsid w:val="006D4728"/>
    <w:rsid w:val="006D53F9"/>
    <w:rsid w:val="006D792E"/>
    <w:rsid w:val="006E15BB"/>
    <w:rsid w:val="006E5BC2"/>
    <w:rsid w:val="006E75F1"/>
    <w:rsid w:val="006F13FC"/>
    <w:rsid w:val="006F36E6"/>
    <w:rsid w:val="006F4944"/>
    <w:rsid w:val="006F5B90"/>
    <w:rsid w:val="006F79E8"/>
    <w:rsid w:val="00704941"/>
    <w:rsid w:val="007058F6"/>
    <w:rsid w:val="007107CA"/>
    <w:rsid w:val="00711D16"/>
    <w:rsid w:val="007123E5"/>
    <w:rsid w:val="007134A6"/>
    <w:rsid w:val="00722735"/>
    <w:rsid w:val="00722956"/>
    <w:rsid w:val="00723B9C"/>
    <w:rsid w:val="00735666"/>
    <w:rsid w:val="0073621D"/>
    <w:rsid w:val="0073796D"/>
    <w:rsid w:val="007404E8"/>
    <w:rsid w:val="00741992"/>
    <w:rsid w:val="00742E6A"/>
    <w:rsid w:val="00747469"/>
    <w:rsid w:val="007475AB"/>
    <w:rsid w:val="007515B6"/>
    <w:rsid w:val="00756D35"/>
    <w:rsid w:val="00757C75"/>
    <w:rsid w:val="0076654B"/>
    <w:rsid w:val="00766906"/>
    <w:rsid w:val="00767B97"/>
    <w:rsid w:val="00771E36"/>
    <w:rsid w:val="00776759"/>
    <w:rsid w:val="00777D01"/>
    <w:rsid w:val="00783468"/>
    <w:rsid w:val="00791A11"/>
    <w:rsid w:val="007A0812"/>
    <w:rsid w:val="007A0895"/>
    <w:rsid w:val="007A0B7D"/>
    <w:rsid w:val="007A76CE"/>
    <w:rsid w:val="007A7AFD"/>
    <w:rsid w:val="007B0EBD"/>
    <w:rsid w:val="007B3536"/>
    <w:rsid w:val="007B3E27"/>
    <w:rsid w:val="007C2C3D"/>
    <w:rsid w:val="007C351E"/>
    <w:rsid w:val="007C3AC3"/>
    <w:rsid w:val="007C4D79"/>
    <w:rsid w:val="007D299B"/>
    <w:rsid w:val="007E3032"/>
    <w:rsid w:val="007E306F"/>
    <w:rsid w:val="007E4945"/>
    <w:rsid w:val="007E7AD0"/>
    <w:rsid w:val="007F0DF0"/>
    <w:rsid w:val="007F1C25"/>
    <w:rsid w:val="007F498D"/>
    <w:rsid w:val="007F5494"/>
    <w:rsid w:val="0080096D"/>
    <w:rsid w:val="00806E68"/>
    <w:rsid w:val="0081170C"/>
    <w:rsid w:val="008166AD"/>
    <w:rsid w:val="00820F5C"/>
    <w:rsid w:val="0083363C"/>
    <w:rsid w:val="008363AA"/>
    <w:rsid w:val="0083731C"/>
    <w:rsid w:val="00842F2D"/>
    <w:rsid w:val="0084390D"/>
    <w:rsid w:val="00844085"/>
    <w:rsid w:val="008501CE"/>
    <w:rsid w:val="00856DB5"/>
    <w:rsid w:val="0086072F"/>
    <w:rsid w:val="00862DDE"/>
    <w:rsid w:val="00866333"/>
    <w:rsid w:val="00866DAE"/>
    <w:rsid w:val="00870F96"/>
    <w:rsid w:val="0087329D"/>
    <w:rsid w:val="00874280"/>
    <w:rsid w:val="00880FEF"/>
    <w:rsid w:val="00886529"/>
    <w:rsid w:val="0089563E"/>
    <w:rsid w:val="00896400"/>
    <w:rsid w:val="008971B9"/>
    <w:rsid w:val="00897C8E"/>
    <w:rsid w:val="008A3175"/>
    <w:rsid w:val="008B1C8B"/>
    <w:rsid w:val="008B256F"/>
    <w:rsid w:val="008B558E"/>
    <w:rsid w:val="008B5F01"/>
    <w:rsid w:val="008C3BDC"/>
    <w:rsid w:val="008C6BD8"/>
    <w:rsid w:val="008C7C10"/>
    <w:rsid w:val="008D3B10"/>
    <w:rsid w:val="008D3D1F"/>
    <w:rsid w:val="008D46F9"/>
    <w:rsid w:val="008E41B1"/>
    <w:rsid w:val="008E631F"/>
    <w:rsid w:val="008F28FD"/>
    <w:rsid w:val="008F3629"/>
    <w:rsid w:val="008F3EBC"/>
    <w:rsid w:val="008F4FD0"/>
    <w:rsid w:val="008F5DFD"/>
    <w:rsid w:val="008F6FA2"/>
    <w:rsid w:val="00902921"/>
    <w:rsid w:val="0091016A"/>
    <w:rsid w:val="009111D5"/>
    <w:rsid w:val="00917D92"/>
    <w:rsid w:val="009238B8"/>
    <w:rsid w:val="009241E3"/>
    <w:rsid w:val="0092439E"/>
    <w:rsid w:val="0092645F"/>
    <w:rsid w:val="0092754D"/>
    <w:rsid w:val="00927977"/>
    <w:rsid w:val="009346EE"/>
    <w:rsid w:val="00934901"/>
    <w:rsid w:val="00937EEA"/>
    <w:rsid w:val="00940FE3"/>
    <w:rsid w:val="00947B65"/>
    <w:rsid w:val="009518B8"/>
    <w:rsid w:val="00951936"/>
    <w:rsid w:val="0095607E"/>
    <w:rsid w:val="00956D31"/>
    <w:rsid w:val="0095799D"/>
    <w:rsid w:val="0096032E"/>
    <w:rsid w:val="009670FE"/>
    <w:rsid w:val="0097014A"/>
    <w:rsid w:val="00973D29"/>
    <w:rsid w:val="00977FEE"/>
    <w:rsid w:val="00980FE6"/>
    <w:rsid w:val="00981F1C"/>
    <w:rsid w:val="009823D8"/>
    <w:rsid w:val="009831C2"/>
    <w:rsid w:val="009834F5"/>
    <w:rsid w:val="00983BD6"/>
    <w:rsid w:val="00993AD3"/>
    <w:rsid w:val="00994EFF"/>
    <w:rsid w:val="0099590A"/>
    <w:rsid w:val="009A178C"/>
    <w:rsid w:val="009A2ADB"/>
    <w:rsid w:val="009B3AE8"/>
    <w:rsid w:val="009D0A27"/>
    <w:rsid w:val="009D7AE9"/>
    <w:rsid w:val="009E1A72"/>
    <w:rsid w:val="009E1EBF"/>
    <w:rsid w:val="009E7D4F"/>
    <w:rsid w:val="009F5717"/>
    <w:rsid w:val="00A02862"/>
    <w:rsid w:val="00A03E01"/>
    <w:rsid w:val="00A10D06"/>
    <w:rsid w:val="00A16016"/>
    <w:rsid w:val="00A20E47"/>
    <w:rsid w:val="00A21DB3"/>
    <w:rsid w:val="00A23477"/>
    <w:rsid w:val="00A23FD7"/>
    <w:rsid w:val="00A24E91"/>
    <w:rsid w:val="00A26590"/>
    <w:rsid w:val="00A27607"/>
    <w:rsid w:val="00A27F4D"/>
    <w:rsid w:val="00A321B5"/>
    <w:rsid w:val="00A33927"/>
    <w:rsid w:val="00A37DEF"/>
    <w:rsid w:val="00A432BE"/>
    <w:rsid w:val="00A51762"/>
    <w:rsid w:val="00A517E0"/>
    <w:rsid w:val="00A528D4"/>
    <w:rsid w:val="00A61FD9"/>
    <w:rsid w:val="00A63DD8"/>
    <w:rsid w:val="00A660DE"/>
    <w:rsid w:val="00A71636"/>
    <w:rsid w:val="00A71893"/>
    <w:rsid w:val="00A815E6"/>
    <w:rsid w:val="00A84105"/>
    <w:rsid w:val="00A85974"/>
    <w:rsid w:val="00A860E2"/>
    <w:rsid w:val="00A914CB"/>
    <w:rsid w:val="00A95CF2"/>
    <w:rsid w:val="00A96EDA"/>
    <w:rsid w:val="00A97459"/>
    <w:rsid w:val="00AA00C8"/>
    <w:rsid w:val="00AA2EA4"/>
    <w:rsid w:val="00AA37A6"/>
    <w:rsid w:val="00AA4281"/>
    <w:rsid w:val="00AA702E"/>
    <w:rsid w:val="00AB29BE"/>
    <w:rsid w:val="00AB48A9"/>
    <w:rsid w:val="00AC1ACE"/>
    <w:rsid w:val="00AC262B"/>
    <w:rsid w:val="00AC5C30"/>
    <w:rsid w:val="00AD1E10"/>
    <w:rsid w:val="00AD46AE"/>
    <w:rsid w:val="00AD4F7F"/>
    <w:rsid w:val="00AD507A"/>
    <w:rsid w:val="00AE20FF"/>
    <w:rsid w:val="00AE29ED"/>
    <w:rsid w:val="00AF01CF"/>
    <w:rsid w:val="00AF271F"/>
    <w:rsid w:val="00AF4D2F"/>
    <w:rsid w:val="00AF69CF"/>
    <w:rsid w:val="00AF7243"/>
    <w:rsid w:val="00B01991"/>
    <w:rsid w:val="00B02ABB"/>
    <w:rsid w:val="00B033DF"/>
    <w:rsid w:val="00B0582F"/>
    <w:rsid w:val="00B16EAB"/>
    <w:rsid w:val="00B20023"/>
    <w:rsid w:val="00B333D9"/>
    <w:rsid w:val="00B358FB"/>
    <w:rsid w:val="00B35D08"/>
    <w:rsid w:val="00B42C2B"/>
    <w:rsid w:val="00B446BC"/>
    <w:rsid w:val="00B45EB7"/>
    <w:rsid w:val="00B5009F"/>
    <w:rsid w:val="00B524F9"/>
    <w:rsid w:val="00B52817"/>
    <w:rsid w:val="00B54AEC"/>
    <w:rsid w:val="00B54BD0"/>
    <w:rsid w:val="00B63A75"/>
    <w:rsid w:val="00B646A1"/>
    <w:rsid w:val="00B663B8"/>
    <w:rsid w:val="00B678F5"/>
    <w:rsid w:val="00B67E8C"/>
    <w:rsid w:val="00B7014F"/>
    <w:rsid w:val="00B71114"/>
    <w:rsid w:val="00B71404"/>
    <w:rsid w:val="00B75A0D"/>
    <w:rsid w:val="00B75AF2"/>
    <w:rsid w:val="00B77BB4"/>
    <w:rsid w:val="00B77C3F"/>
    <w:rsid w:val="00B81831"/>
    <w:rsid w:val="00B8277E"/>
    <w:rsid w:val="00B84B73"/>
    <w:rsid w:val="00B907B0"/>
    <w:rsid w:val="00B930C4"/>
    <w:rsid w:val="00BA6784"/>
    <w:rsid w:val="00BB051B"/>
    <w:rsid w:val="00BB1A80"/>
    <w:rsid w:val="00BB3516"/>
    <w:rsid w:val="00BB45E8"/>
    <w:rsid w:val="00BB5423"/>
    <w:rsid w:val="00BB7B25"/>
    <w:rsid w:val="00BC3487"/>
    <w:rsid w:val="00BD00D5"/>
    <w:rsid w:val="00BD3F7B"/>
    <w:rsid w:val="00BE1DC3"/>
    <w:rsid w:val="00BE263A"/>
    <w:rsid w:val="00BE3D7C"/>
    <w:rsid w:val="00BE7B9C"/>
    <w:rsid w:val="00BF225E"/>
    <w:rsid w:val="00BF4AAC"/>
    <w:rsid w:val="00BF7AD2"/>
    <w:rsid w:val="00C00E78"/>
    <w:rsid w:val="00C02269"/>
    <w:rsid w:val="00C0314D"/>
    <w:rsid w:val="00C068CB"/>
    <w:rsid w:val="00C116B6"/>
    <w:rsid w:val="00C11A4D"/>
    <w:rsid w:val="00C2135D"/>
    <w:rsid w:val="00C2160B"/>
    <w:rsid w:val="00C230D9"/>
    <w:rsid w:val="00C24E58"/>
    <w:rsid w:val="00C24EFE"/>
    <w:rsid w:val="00C25448"/>
    <w:rsid w:val="00C26DE0"/>
    <w:rsid w:val="00C26F3F"/>
    <w:rsid w:val="00C27D51"/>
    <w:rsid w:val="00C31457"/>
    <w:rsid w:val="00C32939"/>
    <w:rsid w:val="00C4126E"/>
    <w:rsid w:val="00C42CA7"/>
    <w:rsid w:val="00C43F31"/>
    <w:rsid w:val="00C44B6E"/>
    <w:rsid w:val="00C45BB3"/>
    <w:rsid w:val="00C4717C"/>
    <w:rsid w:val="00C51895"/>
    <w:rsid w:val="00C5416D"/>
    <w:rsid w:val="00C542E2"/>
    <w:rsid w:val="00C54389"/>
    <w:rsid w:val="00C55566"/>
    <w:rsid w:val="00C55917"/>
    <w:rsid w:val="00C61994"/>
    <w:rsid w:val="00C628A8"/>
    <w:rsid w:val="00C66519"/>
    <w:rsid w:val="00C6752D"/>
    <w:rsid w:val="00C71E3C"/>
    <w:rsid w:val="00C720F8"/>
    <w:rsid w:val="00C72830"/>
    <w:rsid w:val="00CA4AFA"/>
    <w:rsid w:val="00CA5A0E"/>
    <w:rsid w:val="00CB230C"/>
    <w:rsid w:val="00CB2B6C"/>
    <w:rsid w:val="00CB31BA"/>
    <w:rsid w:val="00CB38B3"/>
    <w:rsid w:val="00CB3C2B"/>
    <w:rsid w:val="00CC0EE0"/>
    <w:rsid w:val="00CC2002"/>
    <w:rsid w:val="00CC3D19"/>
    <w:rsid w:val="00CC4CC3"/>
    <w:rsid w:val="00CD0048"/>
    <w:rsid w:val="00CD4520"/>
    <w:rsid w:val="00CE00AE"/>
    <w:rsid w:val="00CE1E24"/>
    <w:rsid w:val="00CE3183"/>
    <w:rsid w:val="00CE490F"/>
    <w:rsid w:val="00CE6BEB"/>
    <w:rsid w:val="00CE7844"/>
    <w:rsid w:val="00CF5D39"/>
    <w:rsid w:val="00CF6C03"/>
    <w:rsid w:val="00D016E8"/>
    <w:rsid w:val="00D030A8"/>
    <w:rsid w:val="00D039BA"/>
    <w:rsid w:val="00D057B2"/>
    <w:rsid w:val="00D112A1"/>
    <w:rsid w:val="00D118C9"/>
    <w:rsid w:val="00D12BF8"/>
    <w:rsid w:val="00D14C3D"/>
    <w:rsid w:val="00D22516"/>
    <w:rsid w:val="00D24B53"/>
    <w:rsid w:val="00D27FAB"/>
    <w:rsid w:val="00D33145"/>
    <w:rsid w:val="00D33C64"/>
    <w:rsid w:val="00D347C9"/>
    <w:rsid w:val="00D34DE5"/>
    <w:rsid w:val="00D41267"/>
    <w:rsid w:val="00D47D27"/>
    <w:rsid w:val="00D5141C"/>
    <w:rsid w:val="00D53C3F"/>
    <w:rsid w:val="00D55C7A"/>
    <w:rsid w:val="00D568E2"/>
    <w:rsid w:val="00D70A4C"/>
    <w:rsid w:val="00D75BFF"/>
    <w:rsid w:val="00D81963"/>
    <w:rsid w:val="00D877F5"/>
    <w:rsid w:val="00D906C3"/>
    <w:rsid w:val="00D90906"/>
    <w:rsid w:val="00D92637"/>
    <w:rsid w:val="00D934AF"/>
    <w:rsid w:val="00DA110C"/>
    <w:rsid w:val="00DA361D"/>
    <w:rsid w:val="00DB0B25"/>
    <w:rsid w:val="00DB628C"/>
    <w:rsid w:val="00DB6ED6"/>
    <w:rsid w:val="00DC17AE"/>
    <w:rsid w:val="00DC3EF9"/>
    <w:rsid w:val="00DC5AA0"/>
    <w:rsid w:val="00DD3FB5"/>
    <w:rsid w:val="00DE1757"/>
    <w:rsid w:val="00DE3388"/>
    <w:rsid w:val="00DE4E5D"/>
    <w:rsid w:val="00DF0799"/>
    <w:rsid w:val="00DF1F87"/>
    <w:rsid w:val="00DF21AB"/>
    <w:rsid w:val="00DF551C"/>
    <w:rsid w:val="00DF5791"/>
    <w:rsid w:val="00DF5833"/>
    <w:rsid w:val="00DF689E"/>
    <w:rsid w:val="00DF6957"/>
    <w:rsid w:val="00E029C0"/>
    <w:rsid w:val="00E07F39"/>
    <w:rsid w:val="00E1203F"/>
    <w:rsid w:val="00E1632A"/>
    <w:rsid w:val="00E1798F"/>
    <w:rsid w:val="00E17B46"/>
    <w:rsid w:val="00E237B2"/>
    <w:rsid w:val="00E240D5"/>
    <w:rsid w:val="00E245E1"/>
    <w:rsid w:val="00E30245"/>
    <w:rsid w:val="00E313B3"/>
    <w:rsid w:val="00E3393D"/>
    <w:rsid w:val="00E347B8"/>
    <w:rsid w:val="00E36691"/>
    <w:rsid w:val="00E36B52"/>
    <w:rsid w:val="00E36E82"/>
    <w:rsid w:val="00E37471"/>
    <w:rsid w:val="00E405CE"/>
    <w:rsid w:val="00E43A06"/>
    <w:rsid w:val="00E46AB2"/>
    <w:rsid w:val="00E52897"/>
    <w:rsid w:val="00E53306"/>
    <w:rsid w:val="00E545A6"/>
    <w:rsid w:val="00E54D16"/>
    <w:rsid w:val="00E55138"/>
    <w:rsid w:val="00E6108A"/>
    <w:rsid w:val="00E61A2D"/>
    <w:rsid w:val="00E649FC"/>
    <w:rsid w:val="00E65B86"/>
    <w:rsid w:val="00E674E1"/>
    <w:rsid w:val="00E70F04"/>
    <w:rsid w:val="00E73791"/>
    <w:rsid w:val="00E73C8B"/>
    <w:rsid w:val="00E7517A"/>
    <w:rsid w:val="00E77B77"/>
    <w:rsid w:val="00E91445"/>
    <w:rsid w:val="00E91611"/>
    <w:rsid w:val="00E91CEF"/>
    <w:rsid w:val="00E96D77"/>
    <w:rsid w:val="00EA0E02"/>
    <w:rsid w:val="00EA2A2D"/>
    <w:rsid w:val="00EA4774"/>
    <w:rsid w:val="00EA7E71"/>
    <w:rsid w:val="00EB161D"/>
    <w:rsid w:val="00EB5C1E"/>
    <w:rsid w:val="00EB7CB2"/>
    <w:rsid w:val="00EC3A79"/>
    <w:rsid w:val="00EC543D"/>
    <w:rsid w:val="00ED246D"/>
    <w:rsid w:val="00ED24AA"/>
    <w:rsid w:val="00ED25ED"/>
    <w:rsid w:val="00EE03AB"/>
    <w:rsid w:val="00EE1CFA"/>
    <w:rsid w:val="00EE292E"/>
    <w:rsid w:val="00EE5C31"/>
    <w:rsid w:val="00EE601D"/>
    <w:rsid w:val="00EF08B0"/>
    <w:rsid w:val="00EF0EA6"/>
    <w:rsid w:val="00F00A09"/>
    <w:rsid w:val="00F05E6E"/>
    <w:rsid w:val="00F10B56"/>
    <w:rsid w:val="00F1318B"/>
    <w:rsid w:val="00F14A45"/>
    <w:rsid w:val="00F16903"/>
    <w:rsid w:val="00F22978"/>
    <w:rsid w:val="00F2323C"/>
    <w:rsid w:val="00F27651"/>
    <w:rsid w:val="00F30319"/>
    <w:rsid w:val="00F34CA7"/>
    <w:rsid w:val="00F42866"/>
    <w:rsid w:val="00F4764E"/>
    <w:rsid w:val="00F47FD7"/>
    <w:rsid w:val="00F53004"/>
    <w:rsid w:val="00F53557"/>
    <w:rsid w:val="00F542EB"/>
    <w:rsid w:val="00F56381"/>
    <w:rsid w:val="00F61190"/>
    <w:rsid w:val="00F64F0D"/>
    <w:rsid w:val="00F651B2"/>
    <w:rsid w:val="00F714B1"/>
    <w:rsid w:val="00F7190A"/>
    <w:rsid w:val="00F76EEE"/>
    <w:rsid w:val="00F82A30"/>
    <w:rsid w:val="00F83020"/>
    <w:rsid w:val="00F840DA"/>
    <w:rsid w:val="00F9198E"/>
    <w:rsid w:val="00F940D0"/>
    <w:rsid w:val="00F95B4B"/>
    <w:rsid w:val="00F9627F"/>
    <w:rsid w:val="00F96F3C"/>
    <w:rsid w:val="00FA19AE"/>
    <w:rsid w:val="00FA399A"/>
    <w:rsid w:val="00FA562A"/>
    <w:rsid w:val="00FB08B8"/>
    <w:rsid w:val="00FB0CDE"/>
    <w:rsid w:val="00FB1F03"/>
    <w:rsid w:val="00FB2263"/>
    <w:rsid w:val="00FB2833"/>
    <w:rsid w:val="00FB33AF"/>
    <w:rsid w:val="00FB36DD"/>
    <w:rsid w:val="00FC63E7"/>
    <w:rsid w:val="00FD4D4C"/>
    <w:rsid w:val="00FE0B7A"/>
    <w:rsid w:val="00FE3DE0"/>
    <w:rsid w:val="00FE5894"/>
    <w:rsid w:val="00FE5E62"/>
    <w:rsid w:val="00FE717F"/>
    <w:rsid w:val="00FE771E"/>
    <w:rsid w:val="00FE77C7"/>
    <w:rsid w:val="00FF1FC6"/>
    <w:rsid w:val="00FF32EB"/>
    <w:rsid w:val="00FF3507"/>
    <w:rsid w:val="00FF6B2C"/>
    <w:rsid w:val="00FF73EA"/>
    <w:rsid w:val="00FF7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0B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0B25"/>
  </w:style>
  <w:style w:type="paragraph" w:styleId="Footer">
    <w:name w:val="footer"/>
    <w:basedOn w:val="Normal"/>
    <w:link w:val="FooterChar"/>
    <w:uiPriority w:val="99"/>
    <w:unhideWhenUsed/>
    <w:rsid w:val="00DB0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B25"/>
  </w:style>
  <w:style w:type="paragraph" w:styleId="ListParagraph">
    <w:name w:val="List Paragraph"/>
    <w:basedOn w:val="Normal"/>
    <w:uiPriority w:val="34"/>
    <w:qFormat/>
    <w:rsid w:val="003D05FE"/>
    <w:pPr>
      <w:ind w:left="720"/>
      <w:contextualSpacing/>
    </w:pPr>
  </w:style>
  <w:style w:type="paragraph" w:styleId="BalloonText">
    <w:name w:val="Balloon Text"/>
    <w:basedOn w:val="Normal"/>
    <w:link w:val="BalloonTextChar"/>
    <w:uiPriority w:val="99"/>
    <w:semiHidden/>
    <w:unhideWhenUsed/>
    <w:rsid w:val="00C31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457"/>
    <w:rPr>
      <w:rFonts w:ascii="Tahoma" w:hAnsi="Tahoma" w:cs="Tahoma"/>
      <w:sz w:val="16"/>
      <w:szCs w:val="16"/>
    </w:rPr>
  </w:style>
  <w:style w:type="paragraph" w:styleId="HTMLPreformatted">
    <w:name w:val="HTML Preformatted"/>
    <w:basedOn w:val="Normal"/>
    <w:link w:val="HTMLPreformattedChar"/>
    <w:uiPriority w:val="99"/>
    <w:semiHidden/>
    <w:unhideWhenUsed/>
    <w:rsid w:val="00E24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40D5"/>
    <w:rPr>
      <w:rFonts w:ascii="Courier New" w:eastAsia="Times New Roman" w:hAnsi="Courier New" w:cs="Courier New"/>
      <w:sz w:val="20"/>
      <w:szCs w:val="20"/>
      <w:lang w:eastAsia="en-GB"/>
    </w:rPr>
  </w:style>
  <w:style w:type="character" w:customStyle="1" w:styleId="pagecontents1">
    <w:name w:val="pagecontents1"/>
    <w:basedOn w:val="DefaultParagraphFont"/>
    <w:rsid w:val="00F542EB"/>
    <w:rPr>
      <w:rFonts w:ascii="Verdana" w:hAnsi="Verdana" w:hint="default"/>
      <w:color w:val="000000"/>
      <w:sz w:val="18"/>
      <w:szCs w:val="18"/>
    </w:rPr>
  </w:style>
  <w:style w:type="character" w:styleId="Hyperlink">
    <w:name w:val="Hyperlink"/>
    <w:basedOn w:val="DefaultParagraphFont"/>
    <w:uiPriority w:val="99"/>
    <w:unhideWhenUsed/>
    <w:rsid w:val="009A178C"/>
    <w:rPr>
      <w:color w:val="0000FF" w:themeColor="hyperlink"/>
      <w:u w:val="single"/>
    </w:rPr>
  </w:style>
  <w:style w:type="character" w:styleId="CommentReference">
    <w:name w:val="annotation reference"/>
    <w:basedOn w:val="DefaultParagraphFont"/>
    <w:uiPriority w:val="99"/>
    <w:semiHidden/>
    <w:unhideWhenUsed/>
    <w:rsid w:val="007475AB"/>
    <w:rPr>
      <w:sz w:val="16"/>
      <w:szCs w:val="16"/>
    </w:rPr>
  </w:style>
  <w:style w:type="paragraph" w:styleId="CommentText">
    <w:name w:val="annotation text"/>
    <w:basedOn w:val="Normal"/>
    <w:link w:val="CommentTextChar"/>
    <w:uiPriority w:val="99"/>
    <w:semiHidden/>
    <w:unhideWhenUsed/>
    <w:rsid w:val="007475AB"/>
    <w:pPr>
      <w:spacing w:line="240" w:lineRule="auto"/>
    </w:pPr>
    <w:rPr>
      <w:sz w:val="20"/>
      <w:szCs w:val="20"/>
    </w:rPr>
  </w:style>
  <w:style w:type="character" w:customStyle="1" w:styleId="CommentTextChar">
    <w:name w:val="Comment Text Char"/>
    <w:basedOn w:val="DefaultParagraphFont"/>
    <w:link w:val="CommentText"/>
    <w:uiPriority w:val="99"/>
    <w:semiHidden/>
    <w:rsid w:val="007475AB"/>
    <w:rPr>
      <w:sz w:val="20"/>
      <w:szCs w:val="20"/>
    </w:rPr>
  </w:style>
  <w:style w:type="paragraph" w:styleId="CommentSubject">
    <w:name w:val="annotation subject"/>
    <w:basedOn w:val="CommentText"/>
    <w:next w:val="CommentText"/>
    <w:link w:val="CommentSubjectChar"/>
    <w:uiPriority w:val="99"/>
    <w:semiHidden/>
    <w:unhideWhenUsed/>
    <w:rsid w:val="007475AB"/>
    <w:rPr>
      <w:b/>
      <w:bCs/>
    </w:rPr>
  </w:style>
  <w:style w:type="character" w:customStyle="1" w:styleId="CommentSubjectChar">
    <w:name w:val="Comment Subject Char"/>
    <w:basedOn w:val="CommentTextChar"/>
    <w:link w:val="CommentSubject"/>
    <w:uiPriority w:val="99"/>
    <w:semiHidden/>
    <w:rsid w:val="007475A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0B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B0B25"/>
  </w:style>
  <w:style w:type="paragraph" w:styleId="Footer">
    <w:name w:val="footer"/>
    <w:basedOn w:val="Normal"/>
    <w:link w:val="FooterChar"/>
    <w:uiPriority w:val="99"/>
    <w:unhideWhenUsed/>
    <w:rsid w:val="00DB0B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B25"/>
  </w:style>
  <w:style w:type="paragraph" w:styleId="ListParagraph">
    <w:name w:val="List Paragraph"/>
    <w:basedOn w:val="Normal"/>
    <w:uiPriority w:val="34"/>
    <w:qFormat/>
    <w:rsid w:val="003D05FE"/>
    <w:pPr>
      <w:ind w:left="720"/>
      <w:contextualSpacing/>
    </w:pPr>
  </w:style>
  <w:style w:type="paragraph" w:styleId="BalloonText">
    <w:name w:val="Balloon Text"/>
    <w:basedOn w:val="Normal"/>
    <w:link w:val="BalloonTextChar"/>
    <w:uiPriority w:val="99"/>
    <w:semiHidden/>
    <w:unhideWhenUsed/>
    <w:rsid w:val="00C31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457"/>
    <w:rPr>
      <w:rFonts w:ascii="Tahoma" w:hAnsi="Tahoma" w:cs="Tahoma"/>
      <w:sz w:val="16"/>
      <w:szCs w:val="16"/>
    </w:rPr>
  </w:style>
  <w:style w:type="paragraph" w:styleId="HTMLPreformatted">
    <w:name w:val="HTML Preformatted"/>
    <w:basedOn w:val="Normal"/>
    <w:link w:val="HTMLPreformattedChar"/>
    <w:uiPriority w:val="99"/>
    <w:semiHidden/>
    <w:unhideWhenUsed/>
    <w:rsid w:val="00E24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40D5"/>
    <w:rPr>
      <w:rFonts w:ascii="Courier New" w:eastAsia="Times New Roman" w:hAnsi="Courier New" w:cs="Courier New"/>
      <w:sz w:val="20"/>
      <w:szCs w:val="20"/>
      <w:lang w:eastAsia="en-GB"/>
    </w:rPr>
  </w:style>
  <w:style w:type="character" w:customStyle="1" w:styleId="pagecontents1">
    <w:name w:val="pagecontents1"/>
    <w:basedOn w:val="DefaultParagraphFont"/>
    <w:rsid w:val="00F542EB"/>
    <w:rPr>
      <w:rFonts w:ascii="Verdana" w:hAnsi="Verdana" w:hint="default"/>
      <w:color w:val="000000"/>
      <w:sz w:val="18"/>
      <w:szCs w:val="18"/>
    </w:rPr>
  </w:style>
  <w:style w:type="character" w:styleId="Hyperlink">
    <w:name w:val="Hyperlink"/>
    <w:basedOn w:val="DefaultParagraphFont"/>
    <w:uiPriority w:val="99"/>
    <w:unhideWhenUsed/>
    <w:rsid w:val="009A178C"/>
    <w:rPr>
      <w:color w:val="0000FF" w:themeColor="hyperlink"/>
      <w:u w:val="single"/>
    </w:rPr>
  </w:style>
  <w:style w:type="character" w:styleId="CommentReference">
    <w:name w:val="annotation reference"/>
    <w:basedOn w:val="DefaultParagraphFont"/>
    <w:uiPriority w:val="99"/>
    <w:semiHidden/>
    <w:unhideWhenUsed/>
    <w:rsid w:val="007475AB"/>
    <w:rPr>
      <w:sz w:val="16"/>
      <w:szCs w:val="16"/>
    </w:rPr>
  </w:style>
  <w:style w:type="paragraph" w:styleId="CommentText">
    <w:name w:val="annotation text"/>
    <w:basedOn w:val="Normal"/>
    <w:link w:val="CommentTextChar"/>
    <w:uiPriority w:val="99"/>
    <w:semiHidden/>
    <w:unhideWhenUsed/>
    <w:rsid w:val="007475AB"/>
    <w:pPr>
      <w:spacing w:line="240" w:lineRule="auto"/>
    </w:pPr>
    <w:rPr>
      <w:sz w:val="20"/>
      <w:szCs w:val="20"/>
    </w:rPr>
  </w:style>
  <w:style w:type="character" w:customStyle="1" w:styleId="CommentTextChar">
    <w:name w:val="Comment Text Char"/>
    <w:basedOn w:val="DefaultParagraphFont"/>
    <w:link w:val="CommentText"/>
    <w:uiPriority w:val="99"/>
    <w:semiHidden/>
    <w:rsid w:val="007475AB"/>
    <w:rPr>
      <w:sz w:val="20"/>
      <w:szCs w:val="20"/>
    </w:rPr>
  </w:style>
  <w:style w:type="paragraph" w:styleId="CommentSubject">
    <w:name w:val="annotation subject"/>
    <w:basedOn w:val="CommentText"/>
    <w:next w:val="CommentText"/>
    <w:link w:val="CommentSubjectChar"/>
    <w:uiPriority w:val="99"/>
    <w:semiHidden/>
    <w:unhideWhenUsed/>
    <w:rsid w:val="007475AB"/>
    <w:rPr>
      <w:b/>
      <w:bCs/>
    </w:rPr>
  </w:style>
  <w:style w:type="character" w:customStyle="1" w:styleId="CommentSubjectChar">
    <w:name w:val="Comment Subject Char"/>
    <w:basedOn w:val="CommentTextChar"/>
    <w:link w:val="CommentSubject"/>
    <w:uiPriority w:val="99"/>
    <w:semiHidden/>
    <w:rsid w:val="007475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6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b@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53B40-2A38-424C-96D5-344FBF89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8225</Words>
  <Characters>46886</Characters>
  <Application>Microsoft Office Word</Application>
  <DocSecurity>4</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janis.baird</dc:creator>
  <cp:lastModifiedBy>Karen Drake</cp:lastModifiedBy>
  <cp:revision>2</cp:revision>
  <cp:lastPrinted>2014-06-24T12:22:00Z</cp:lastPrinted>
  <dcterms:created xsi:type="dcterms:W3CDTF">2014-08-13T12:16:00Z</dcterms:created>
  <dcterms:modified xsi:type="dcterms:W3CDTF">2014-08-13T12:16:00Z</dcterms:modified>
</cp:coreProperties>
</file>