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862" w:rsidRDefault="00F60862" w:rsidP="00525E94">
      <w:pPr>
        <w:pStyle w:val="Heading1"/>
      </w:pPr>
    </w:p>
    <w:p w:rsidR="00F60862" w:rsidRDefault="00F60862" w:rsidP="00525E94">
      <w:pPr>
        <w:pStyle w:val="Heading1"/>
      </w:pPr>
    </w:p>
    <w:p w:rsidR="00F60862" w:rsidRDefault="00F60862" w:rsidP="00525E94">
      <w:pPr>
        <w:pStyle w:val="Heading1"/>
      </w:pPr>
    </w:p>
    <w:p w:rsidR="00A92636" w:rsidRPr="00525E94" w:rsidRDefault="00B93448" w:rsidP="00525E94">
      <w:pPr>
        <w:pStyle w:val="Heading1"/>
      </w:pPr>
      <w:bookmarkStart w:id="0" w:name="_GoBack"/>
      <w:r>
        <w:t>I</w:t>
      </w:r>
      <w:r w:rsidR="00A92636" w:rsidRPr="00525E94">
        <w:t>mpact of tide gates on the migration of juvenile sea trout</w:t>
      </w:r>
      <w:r w:rsidR="00A92636" w:rsidRPr="00525E94">
        <w:rPr>
          <w:i/>
          <w:iCs/>
        </w:rPr>
        <w:t>, Salmo trutta</w:t>
      </w:r>
    </w:p>
    <w:bookmarkEnd w:id="0"/>
    <w:p w:rsidR="00A92636" w:rsidRDefault="00A92636" w:rsidP="00525E94">
      <w:pPr>
        <w:rPr>
          <w:rFonts w:eastAsia="SimSun"/>
        </w:rPr>
      </w:pPr>
    </w:p>
    <w:p w:rsidR="00F60862" w:rsidRDefault="00F60862" w:rsidP="00525E94">
      <w:pPr>
        <w:rPr>
          <w:rFonts w:eastAsia="SimSun"/>
        </w:rPr>
      </w:pPr>
    </w:p>
    <w:p w:rsidR="00A92636" w:rsidRDefault="00A92636" w:rsidP="00525E94">
      <w:pPr>
        <w:rPr>
          <w:rFonts w:eastAsia="SimSun"/>
        </w:rPr>
      </w:pPr>
      <w:r w:rsidRPr="00480B8B">
        <w:rPr>
          <w:rFonts w:eastAsia="SimSun"/>
        </w:rPr>
        <w:t xml:space="preserve">G.V. </w:t>
      </w:r>
      <w:proofErr w:type="spellStart"/>
      <w:r w:rsidRPr="00480B8B">
        <w:rPr>
          <w:rFonts w:eastAsia="SimSun"/>
        </w:rPr>
        <w:t>Wright</w:t>
      </w:r>
      <w:r>
        <w:rPr>
          <w:rFonts w:eastAsia="SimSun"/>
          <w:vertAlign w:val="superscript"/>
        </w:rPr>
        <w:t>a</w:t>
      </w:r>
      <w:proofErr w:type="spellEnd"/>
      <w:r>
        <w:rPr>
          <w:rFonts w:eastAsia="SimSun"/>
          <w:vertAlign w:val="superscript"/>
        </w:rPr>
        <w:t>*</w:t>
      </w:r>
      <w:r w:rsidRPr="00480B8B">
        <w:rPr>
          <w:rFonts w:eastAsia="SimSun"/>
        </w:rPr>
        <w:t xml:space="preserve">, R.M. </w:t>
      </w:r>
      <w:proofErr w:type="spellStart"/>
      <w:r w:rsidRPr="00480B8B">
        <w:rPr>
          <w:rFonts w:eastAsia="SimSun"/>
        </w:rPr>
        <w:t>Wright</w:t>
      </w:r>
      <w:r>
        <w:rPr>
          <w:rFonts w:eastAsia="SimSun"/>
          <w:vertAlign w:val="superscript"/>
        </w:rPr>
        <w:t>b</w:t>
      </w:r>
      <w:proofErr w:type="spellEnd"/>
      <w:r>
        <w:rPr>
          <w:rFonts w:eastAsia="SimSun"/>
          <w:vertAlign w:val="superscript"/>
        </w:rPr>
        <w:t>**</w:t>
      </w:r>
      <w:r>
        <w:rPr>
          <w:rFonts w:eastAsia="SimSun"/>
        </w:rPr>
        <w:t>,</w:t>
      </w:r>
      <w:r w:rsidRPr="00480B8B">
        <w:rPr>
          <w:rFonts w:eastAsia="SimSun"/>
        </w:rPr>
        <w:t xml:space="preserve"> </w:t>
      </w:r>
      <w:r>
        <w:rPr>
          <w:rFonts w:eastAsia="SimSun"/>
        </w:rPr>
        <w:t xml:space="preserve">P.S. </w:t>
      </w:r>
      <w:proofErr w:type="spellStart"/>
      <w:r>
        <w:rPr>
          <w:rFonts w:eastAsia="SimSun"/>
        </w:rPr>
        <w:t>Kemp</w:t>
      </w:r>
      <w:r>
        <w:rPr>
          <w:rFonts w:eastAsia="SimSun"/>
          <w:vertAlign w:val="superscript"/>
        </w:rPr>
        <w:t>a</w:t>
      </w:r>
      <w:proofErr w:type="spellEnd"/>
      <w:r>
        <w:rPr>
          <w:rFonts w:eastAsia="SimSun"/>
          <w:vertAlign w:val="superscript"/>
        </w:rPr>
        <w:t>***</w:t>
      </w:r>
    </w:p>
    <w:p w:rsidR="00A92636" w:rsidRDefault="00A92636" w:rsidP="00525E94">
      <w:pPr>
        <w:rPr>
          <w:rFonts w:eastAsia="SimSun"/>
        </w:rPr>
      </w:pPr>
    </w:p>
    <w:p w:rsidR="00A92636" w:rsidRDefault="00A92636" w:rsidP="00034502">
      <w:pPr>
        <w:rPr>
          <w:rFonts w:eastAsia="SimSun"/>
        </w:rPr>
      </w:pPr>
      <w:proofErr w:type="spellStart"/>
      <w:proofErr w:type="gramStart"/>
      <w:r>
        <w:rPr>
          <w:rFonts w:eastAsia="SimSun"/>
          <w:vertAlign w:val="superscript"/>
        </w:rPr>
        <w:t>a</w:t>
      </w:r>
      <w:proofErr w:type="spellEnd"/>
      <w:proofErr w:type="gramEnd"/>
      <w:r w:rsidRPr="0075170A">
        <w:rPr>
          <w:rFonts w:eastAsia="SimSun"/>
        </w:rPr>
        <w:t xml:space="preserve"> </w:t>
      </w:r>
      <w:r>
        <w:rPr>
          <w:rFonts w:eastAsia="SimSun"/>
        </w:rPr>
        <w:t xml:space="preserve">International Centre for Ecohydraulics Research, Faculty of Engineering and the Environment, University of Southampton, Highfield, Southampton, SO17 1BJ, UK.  www.icer.soton.ac.uk </w:t>
      </w:r>
    </w:p>
    <w:p w:rsidR="00A92636" w:rsidRPr="00A23824" w:rsidRDefault="00A92636" w:rsidP="00525E94">
      <w:pPr>
        <w:rPr>
          <w:rFonts w:eastAsia="SimSun"/>
        </w:rPr>
      </w:pPr>
      <w:proofErr w:type="gramStart"/>
      <w:r>
        <w:rPr>
          <w:rFonts w:eastAsia="SimSun"/>
          <w:vertAlign w:val="superscript"/>
        </w:rPr>
        <w:t>b</w:t>
      </w:r>
      <w:proofErr w:type="gramEnd"/>
      <w:r>
        <w:rPr>
          <w:rFonts w:eastAsia="SimSun"/>
        </w:rPr>
        <w:t xml:space="preserve"> </w:t>
      </w:r>
      <w:r w:rsidRPr="0075170A">
        <w:rPr>
          <w:rFonts w:eastAsia="SimSun"/>
        </w:rPr>
        <w:t xml:space="preserve">Environment Agency, Rivers House, </w:t>
      </w:r>
      <w:proofErr w:type="spellStart"/>
      <w:r w:rsidRPr="0075170A">
        <w:rPr>
          <w:rFonts w:eastAsia="SimSun"/>
        </w:rPr>
        <w:t>Threshelfords</w:t>
      </w:r>
      <w:proofErr w:type="spellEnd"/>
      <w:r w:rsidRPr="0075170A">
        <w:rPr>
          <w:rFonts w:eastAsia="SimSun"/>
        </w:rPr>
        <w:t xml:space="preserve"> Business Park, </w:t>
      </w:r>
      <w:proofErr w:type="spellStart"/>
      <w:r w:rsidRPr="0075170A">
        <w:rPr>
          <w:rFonts w:eastAsia="SimSun"/>
        </w:rPr>
        <w:t>Inworth</w:t>
      </w:r>
      <w:proofErr w:type="spellEnd"/>
      <w:r w:rsidRPr="0075170A">
        <w:rPr>
          <w:rFonts w:eastAsia="SimSun"/>
        </w:rPr>
        <w:t xml:space="preserve"> Rd, </w:t>
      </w:r>
      <w:proofErr w:type="spellStart"/>
      <w:r w:rsidRPr="0075170A">
        <w:rPr>
          <w:rFonts w:eastAsia="SimSun"/>
        </w:rPr>
        <w:t>Feering</w:t>
      </w:r>
      <w:proofErr w:type="spellEnd"/>
      <w:r w:rsidRPr="0075170A">
        <w:rPr>
          <w:rFonts w:eastAsia="SimSun"/>
        </w:rPr>
        <w:t>, CO5 9SE, UK</w:t>
      </w:r>
    </w:p>
    <w:p w:rsidR="00A92636" w:rsidRDefault="00A92636" w:rsidP="00525E94">
      <w:pPr>
        <w:rPr>
          <w:rFonts w:eastAsia="SimSun"/>
        </w:rPr>
      </w:pPr>
    </w:p>
    <w:p w:rsidR="00A92636" w:rsidRDefault="00A92636" w:rsidP="00525E94">
      <w:pPr>
        <w:rPr>
          <w:rFonts w:eastAsia="SimSun"/>
        </w:rPr>
      </w:pPr>
      <w:r w:rsidRPr="00770010">
        <w:rPr>
          <w:rFonts w:eastAsia="SimSun"/>
          <w:vertAlign w:val="superscript"/>
        </w:rPr>
        <w:t>*</w:t>
      </w:r>
      <w:r>
        <w:rPr>
          <w:rFonts w:eastAsia="SimSun"/>
        </w:rPr>
        <w:t>Corresponding author: Tel: +44 (0)2380595386 E-mail: gvw1e09@soton.ac.uk</w:t>
      </w:r>
    </w:p>
    <w:p w:rsidR="00A92636" w:rsidRDefault="00A92636" w:rsidP="00525E94">
      <w:pPr>
        <w:rPr>
          <w:rFonts w:eastAsia="SimSun"/>
        </w:rPr>
      </w:pPr>
      <w:r w:rsidRPr="00770010">
        <w:rPr>
          <w:rFonts w:eastAsia="SimSun"/>
          <w:vertAlign w:val="superscript"/>
        </w:rPr>
        <w:t>**</w:t>
      </w:r>
      <w:r>
        <w:rPr>
          <w:rFonts w:eastAsia="SimSun"/>
        </w:rPr>
        <w:t>E-mail: ros.wright@environment-agency.gov.uk</w:t>
      </w:r>
    </w:p>
    <w:p w:rsidR="00A92636" w:rsidRDefault="00A92636" w:rsidP="00525E94">
      <w:pPr>
        <w:rPr>
          <w:rFonts w:eastAsia="SimSun"/>
        </w:rPr>
      </w:pPr>
      <w:r w:rsidRPr="00770010">
        <w:rPr>
          <w:rFonts w:eastAsia="SimSun"/>
          <w:vertAlign w:val="superscript"/>
        </w:rPr>
        <w:t>***</w:t>
      </w:r>
      <w:r>
        <w:rPr>
          <w:rFonts w:eastAsia="SimSun"/>
        </w:rPr>
        <w:t xml:space="preserve"> E-mail: p.kemp@soton.ac.uk</w:t>
      </w:r>
    </w:p>
    <w:p w:rsidR="00A92636" w:rsidRDefault="00A92636" w:rsidP="00525E94">
      <w:pPr>
        <w:rPr>
          <w:rFonts w:eastAsia="SimSun"/>
        </w:rPr>
      </w:pPr>
    </w:p>
    <w:p w:rsidR="00A92636" w:rsidRDefault="00A92636">
      <w:pPr>
        <w:spacing w:line="240" w:lineRule="auto"/>
        <w:rPr>
          <w:rFonts w:eastAsia="SimSun"/>
        </w:rPr>
      </w:pPr>
      <w:r>
        <w:rPr>
          <w:rFonts w:eastAsia="SimSun"/>
        </w:rPr>
        <w:br w:type="page"/>
      </w:r>
    </w:p>
    <w:p w:rsidR="00A92636" w:rsidRPr="00525E94" w:rsidRDefault="00A92636" w:rsidP="003A64A4">
      <w:pPr>
        <w:pStyle w:val="Heading2"/>
        <w:rPr>
          <w:rFonts w:eastAsia="SimSun"/>
        </w:rPr>
      </w:pPr>
      <w:r w:rsidRPr="00525E94">
        <w:rPr>
          <w:rFonts w:eastAsia="SimSun"/>
        </w:rPr>
        <w:lastRenderedPageBreak/>
        <w:t>Abstract</w:t>
      </w:r>
    </w:p>
    <w:p w:rsidR="00A92636" w:rsidRPr="002D5050" w:rsidRDefault="00A92636" w:rsidP="00525E94">
      <w:pPr>
        <w:rPr>
          <w:rFonts w:eastAsia="SimSun"/>
        </w:rPr>
      </w:pPr>
    </w:p>
    <w:p w:rsidR="00A92636" w:rsidRDefault="00A92636" w:rsidP="00525E94">
      <w:pPr>
        <w:rPr>
          <w:rFonts w:eastAsia="SimSun"/>
        </w:rPr>
      </w:pPr>
      <w:r>
        <w:rPr>
          <w:rFonts w:eastAsia="SimSun"/>
        </w:rPr>
        <w:t>As part of flood protection and land reclamation schemes, t</w:t>
      </w:r>
      <w:r w:rsidRPr="00E54F15">
        <w:rPr>
          <w:rFonts w:eastAsia="SimSun"/>
        </w:rPr>
        <w:t>ide gates</w:t>
      </w:r>
      <w:r>
        <w:rPr>
          <w:rFonts w:eastAsia="SimSun"/>
        </w:rPr>
        <w:t xml:space="preserve"> allow rivers to</w:t>
      </w:r>
      <w:r w:rsidRPr="00E54F15">
        <w:rPr>
          <w:rFonts w:eastAsia="SimSun"/>
        </w:rPr>
        <w:t xml:space="preserve"> discharge </w:t>
      </w:r>
      <w:r>
        <w:rPr>
          <w:rFonts w:eastAsia="SimSun"/>
        </w:rPr>
        <w:t>to sea when open, and prevent salt water intrusion when closed</w:t>
      </w:r>
      <w:r w:rsidRPr="003640B3">
        <w:rPr>
          <w:rFonts w:eastAsia="SimSun"/>
        </w:rPr>
        <w:t>.</w:t>
      </w:r>
      <w:r>
        <w:rPr>
          <w:rFonts w:eastAsia="SimSun"/>
        </w:rPr>
        <w:t xml:space="preserve">  </w:t>
      </w:r>
      <w:r w:rsidRPr="0095663E">
        <w:rPr>
          <w:rFonts w:eastAsia="SimSun"/>
        </w:rPr>
        <w:t>The</w:t>
      </w:r>
      <w:r>
        <w:rPr>
          <w:rFonts w:eastAsia="SimSun"/>
        </w:rPr>
        <w:t>ir</w:t>
      </w:r>
      <w:r w:rsidRPr="0095663E">
        <w:rPr>
          <w:rFonts w:eastAsia="SimSun"/>
        </w:rPr>
        <w:t xml:space="preserve"> </w:t>
      </w:r>
      <w:proofErr w:type="gramStart"/>
      <w:r w:rsidRPr="0095663E">
        <w:rPr>
          <w:rFonts w:eastAsia="SimSun"/>
        </w:rPr>
        <w:t xml:space="preserve">impact </w:t>
      </w:r>
      <w:r>
        <w:rPr>
          <w:rFonts w:eastAsia="SimSun"/>
        </w:rPr>
        <w:t xml:space="preserve">on diadromous fish migration </w:t>
      </w:r>
      <w:r w:rsidRPr="0095663E">
        <w:rPr>
          <w:rFonts w:eastAsia="SimSun"/>
        </w:rPr>
        <w:t xml:space="preserve">between essential spawning and </w:t>
      </w:r>
      <w:r>
        <w:rPr>
          <w:rFonts w:eastAsia="SimSun"/>
        </w:rPr>
        <w:t>rearing habitats, and the effectiveness of mitigation measures, have</w:t>
      </w:r>
      <w:proofErr w:type="gramEnd"/>
      <w:r w:rsidRPr="0095663E">
        <w:rPr>
          <w:rFonts w:eastAsia="SimSun"/>
        </w:rPr>
        <w:t xml:space="preserve"> received little </w:t>
      </w:r>
      <w:r>
        <w:rPr>
          <w:rFonts w:eastAsia="SimSun"/>
        </w:rPr>
        <w:t xml:space="preserve">consideration.  </w:t>
      </w:r>
      <w:r w:rsidRPr="0095663E">
        <w:rPr>
          <w:rFonts w:eastAsia="SimSun"/>
        </w:rPr>
        <w:t xml:space="preserve">The River Meon, UK, discharges to sea through four top-hung counterbalanced tide gates.  In March 2012, </w:t>
      </w:r>
      <w:r>
        <w:rPr>
          <w:rFonts w:eastAsia="SimSun"/>
        </w:rPr>
        <w:t>the gates were replaced</w:t>
      </w:r>
      <w:r w:rsidR="00886403">
        <w:rPr>
          <w:rFonts w:eastAsia="SimSun"/>
        </w:rPr>
        <w:t xml:space="preserve"> with new ones of the same design</w:t>
      </w:r>
      <w:r>
        <w:rPr>
          <w:rFonts w:eastAsia="SimSun"/>
        </w:rPr>
        <w:t xml:space="preserve">, </w:t>
      </w:r>
      <w:r w:rsidR="00886403">
        <w:rPr>
          <w:rFonts w:eastAsia="SimSun"/>
        </w:rPr>
        <w:t xml:space="preserve">but </w:t>
      </w:r>
      <w:r>
        <w:rPr>
          <w:rFonts w:eastAsia="SimSun"/>
        </w:rPr>
        <w:t>with an orifice installed in two of them partly to improve fish passage</w:t>
      </w:r>
      <w:r w:rsidRPr="0095663E">
        <w:rPr>
          <w:rFonts w:eastAsia="SimSun"/>
        </w:rPr>
        <w:t>.</w:t>
      </w:r>
      <w:r>
        <w:rPr>
          <w:rFonts w:eastAsia="SimSun"/>
        </w:rPr>
        <w:t xml:space="preserve">  </w:t>
      </w:r>
      <w:r w:rsidRPr="0095663E">
        <w:rPr>
          <w:rFonts w:eastAsia="SimSun"/>
        </w:rPr>
        <w:t xml:space="preserve">Sixty downstream migrating juvenile sea trout, </w:t>
      </w:r>
      <w:r w:rsidRPr="0095663E">
        <w:rPr>
          <w:rFonts w:eastAsia="SimSun"/>
          <w:i/>
          <w:iCs/>
        </w:rPr>
        <w:t>Salmo trutta</w:t>
      </w:r>
      <w:r w:rsidRPr="0095663E">
        <w:rPr>
          <w:rFonts w:eastAsia="SimSun"/>
        </w:rPr>
        <w:t xml:space="preserve">, were trapped approximately </w:t>
      </w:r>
      <w:r w:rsidRPr="00B14650">
        <w:rPr>
          <w:rFonts w:eastAsia="SimSun"/>
        </w:rPr>
        <w:t>4.9</w:t>
      </w:r>
      <w:r>
        <w:rPr>
          <w:rFonts w:eastAsia="SimSun"/>
        </w:rPr>
        <w:t xml:space="preserve"> </w:t>
      </w:r>
      <w:r w:rsidRPr="0095663E">
        <w:rPr>
          <w:rFonts w:eastAsia="SimSun"/>
        </w:rPr>
        <w:t xml:space="preserve">km upstream of the tidal limit and tagged with acoustic transmitters in April 2011 (n = 30) and 2012 (n = 30).  Tagged individuals were detected by acoustic receivers </w:t>
      </w:r>
      <w:r>
        <w:rPr>
          <w:rFonts w:eastAsia="SimSun"/>
        </w:rPr>
        <w:t xml:space="preserve">placed </w:t>
      </w:r>
      <w:r w:rsidRPr="0095663E">
        <w:rPr>
          <w:rFonts w:eastAsia="SimSun"/>
        </w:rPr>
        <w:t xml:space="preserve">near the tide gates before (year 1) and after (year 2) </w:t>
      </w:r>
      <w:r>
        <w:rPr>
          <w:rFonts w:eastAsia="SimSun"/>
        </w:rPr>
        <w:t xml:space="preserve">orifice </w:t>
      </w:r>
      <w:r w:rsidRPr="0095663E">
        <w:rPr>
          <w:rFonts w:eastAsia="SimSun"/>
        </w:rPr>
        <w:t>installation.</w:t>
      </w:r>
      <w:r>
        <w:rPr>
          <w:rFonts w:eastAsia="SimSun"/>
        </w:rPr>
        <w:t xml:space="preserve">  Of the fish that approached the tide gates, 95.8</w:t>
      </w:r>
      <w:r w:rsidRPr="00E32B51">
        <w:rPr>
          <w:rFonts w:eastAsia="SimSun"/>
        </w:rPr>
        <w:t>% and 100</w:t>
      </w:r>
      <w:r>
        <w:rPr>
          <w:rFonts w:eastAsia="SimSun"/>
        </w:rPr>
        <w:t>.0</w:t>
      </w:r>
      <w:r w:rsidRPr="00E32B51">
        <w:rPr>
          <w:rFonts w:eastAsia="SimSun"/>
        </w:rPr>
        <w:t>% successfully passed in year</w:t>
      </w:r>
      <w:r>
        <w:rPr>
          <w:rFonts w:eastAsia="SimSun"/>
        </w:rPr>
        <w:t>s 1 and</w:t>
      </w:r>
      <w:r w:rsidRPr="00E32B51">
        <w:rPr>
          <w:rFonts w:eastAsia="SimSun"/>
        </w:rPr>
        <w:t xml:space="preserve"> 2, respectively.  The </w:t>
      </w:r>
      <w:r>
        <w:rPr>
          <w:rFonts w:eastAsia="SimSun"/>
        </w:rPr>
        <w:t xml:space="preserve">speed of </w:t>
      </w:r>
      <w:r w:rsidRPr="00E32B51">
        <w:rPr>
          <w:rFonts w:eastAsia="SimSun"/>
        </w:rPr>
        <w:t>migration</w:t>
      </w:r>
      <w:r>
        <w:rPr>
          <w:rFonts w:eastAsia="SimSun"/>
        </w:rPr>
        <w:t xml:space="preserve"> </w:t>
      </w:r>
      <w:r w:rsidRPr="00E32B51">
        <w:rPr>
          <w:rFonts w:eastAsia="SimSun"/>
        </w:rPr>
        <w:t xml:space="preserve">at the gates </w:t>
      </w:r>
      <w:r>
        <w:rPr>
          <w:rFonts w:eastAsia="SimSun"/>
        </w:rPr>
        <w:t xml:space="preserve">was slower </w:t>
      </w:r>
      <w:r w:rsidRPr="00E32B51">
        <w:rPr>
          <w:rFonts w:eastAsia="SimSun"/>
        </w:rPr>
        <w:t xml:space="preserve">than for </w:t>
      </w:r>
      <w:r>
        <w:rPr>
          <w:rFonts w:eastAsia="SimSun"/>
        </w:rPr>
        <w:t xml:space="preserve">upstream and downstream </w:t>
      </w:r>
      <w:r w:rsidRPr="00E32B51">
        <w:rPr>
          <w:rFonts w:eastAsia="SimSun"/>
        </w:rPr>
        <w:t xml:space="preserve">reaches, and was </w:t>
      </w:r>
      <w:r>
        <w:rPr>
          <w:rFonts w:eastAsia="SimSun"/>
        </w:rPr>
        <w:t>positively</w:t>
      </w:r>
      <w:r w:rsidRPr="00E32B51">
        <w:rPr>
          <w:rFonts w:eastAsia="SimSun"/>
        </w:rPr>
        <w:t xml:space="preserve"> related to percentage of time the gates were open.  </w:t>
      </w:r>
      <w:r>
        <w:rPr>
          <w:rFonts w:eastAsia="SimSun"/>
        </w:rPr>
        <w:t>Presence of the</w:t>
      </w:r>
      <w:r w:rsidRPr="00E32B51">
        <w:rPr>
          <w:rFonts w:eastAsia="SimSun"/>
        </w:rPr>
        <w:t xml:space="preserve"> orifice</w:t>
      </w:r>
      <w:r>
        <w:rPr>
          <w:rFonts w:eastAsia="SimSun"/>
        </w:rPr>
        <w:t>s</w:t>
      </w:r>
      <w:r w:rsidRPr="00E32B51">
        <w:rPr>
          <w:rFonts w:eastAsia="SimSun"/>
        </w:rPr>
        <w:t xml:space="preserve"> did not influence </w:t>
      </w:r>
      <w:r>
        <w:rPr>
          <w:rFonts w:eastAsia="SimSun"/>
        </w:rPr>
        <w:t>delay</w:t>
      </w:r>
      <w:r w:rsidRPr="000167DD">
        <w:rPr>
          <w:rFonts w:eastAsia="SimSun"/>
        </w:rPr>
        <w:t>.</w:t>
      </w:r>
      <w:r w:rsidRPr="00CE7926">
        <w:rPr>
          <w:rFonts w:eastAsia="SimSun"/>
        </w:rPr>
        <w:t xml:space="preserve">  </w:t>
      </w:r>
      <w:r>
        <w:rPr>
          <w:rFonts w:eastAsia="SimSun"/>
        </w:rPr>
        <w:t>Overall, t</w:t>
      </w:r>
      <w:r w:rsidRPr="003640B3">
        <w:rPr>
          <w:rFonts w:eastAsia="SimSun"/>
        </w:rPr>
        <w:t xml:space="preserve">op-hung tide gates </w:t>
      </w:r>
      <w:r>
        <w:rPr>
          <w:rFonts w:eastAsia="SimSun"/>
        </w:rPr>
        <w:t>delayed</w:t>
      </w:r>
      <w:r w:rsidRPr="003640B3">
        <w:rPr>
          <w:rFonts w:eastAsia="SimSun"/>
        </w:rPr>
        <w:t xml:space="preserve"> migration, potentially increasing the risk of predation and energy expenditure during the vulnerable juvenile life stage.  </w:t>
      </w:r>
    </w:p>
    <w:p w:rsidR="00A92636" w:rsidRDefault="00A92636" w:rsidP="00525E94">
      <w:pPr>
        <w:rPr>
          <w:rFonts w:eastAsia="SimSun"/>
        </w:rPr>
      </w:pPr>
    </w:p>
    <w:p w:rsidR="00A92636" w:rsidRDefault="00A92636" w:rsidP="00525E94">
      <w:pPr>
        <w:rPr>
          <w:rFonts w:eastAsia="SimSun"/>
        </w:rPr>
      </w:pPr>
      <w:r w:rsidRPr="00C86839">
        <w:rPr>
          <w:rFonts w:eastAsia="SimSun"/>
          <w:b/>
          <w:bCs/>
        </w:rPr>
        <w:t>Keywords:</w:t>
      </w:r>
      <w:r w:rsidRPr="00AF05CB">
        <w:rPr>
          <w:rFonts w:eastAsia="SimSun"/>
        </w:rPr>
        <w:t xml:space="preserve"> sea trout, smolt, tide gate, passage efficiency, migratory delay </w:t>
      </w:r>
    </w:p>
    <w:p w:rsidR="00A92636" w:rsidRDefault="00A92636" w:rsidP="00525E94">
      <w:pPr>
        <w:rPr>
          <w:rFonts w:eastAsia="SimSun"/>
        </w:rPr>
      </w:pPr>
    </w:p>
    <w:p w:rsidR="00A92636" w:rsidRPr="00B95D0A" w:rsidRDefault="00A92636" w:rsidP="00525E94">
      <w:pPr>
        <w:rPr>
          <w:rFonts w:eastAsia="SimSun"/>
        </w:rPr>
      </w:pPr>
      <w:r>
        <w:rPr>
          <w:rFonts w:eastAsia="SimSun"/>
        </w:rPr>
        <w:br w:type="page"/>
      </w:r>
    </w:p>
    <w:p w:rsidR="00A92636" w:rsidRPr="00525E94" w:rsidRDefault="00A92636" w:rsidP="00F60862">
      <w:pPr>
        <w:pStyle w:val="Heading2"/>
        <w:rPr>
          <w:rFonts w:eastAsia="SimSun"/>
        </w:rPr>
      </w:pPr>
      <w:r w:rsidRPr="00525E94">
        <w:rPr>
          <w:rFonts w:eastAsia="SimSun"/>
        </w:rPr>
        <w:lastRenderedPageBreak/>
        <w:t>1. Introduction</w:t>
      </w:r>
    </w:p>
    <w:p w:rsidR="00A92636" w:rsidRDefault="00A92636" w:rsidP="00525E94">
      <w:pPr>
        <w:rPr>
          <w:rFonts w:eastAsia="SimSun"/>
        </w:rPr>
      </w:pPr>
    </w:p>
    <w:p w:rsidR="00A92636" w:rsidRDefault="00A92636" w:rsidP="00F60862">
      <w:pPr>
        <w:rPr>
          <w:rFonts w:eastAsia="SimSun"/>
        </w:rPr>
      </w:pPr>
      <w:r w:rsidRPr="002D5050">
        <w:rPr>
          <w:rFonts w:eastAsia="SimSun"/>
        </w:rPr>
        <w:t xml:space="preserve">Anthropogenic development has fragmented freshwater and estuarine </w:t>
      </w:r>
      <w:r>
        <w:rPr>
          <w:rFonts w:eastAsia="SimSun"/>
        </w:rPr>
        <w:t>environments</w:t>
      </w:r>
      <w:r w:rsidRPr="002D5050">
        <w:rPr>
          <w:rFonts w:eastAsia="SimSun"/>
        </w:rPr>
        <w:t xml:space="preserve">, </w:t>
      </w:r>
      <w:r>
        <w:rPr>
          <w:rFonts w:eastAsia="SimSun"/>
        </w:rPr>
        <w:t>disturbing</w:t>
      </w:r>
      <w:r w:rsidRPr="002D5050">
        <w:rPr>
          <w:rFonts w:eastAsia="SimSun"/>
        </w:rPr>
        <w:t xml:space="preserve"> biogeochemical cycles and habitat structure via modified </w:t>
      </w:r>
      <w:r w:rsidRPr="00C93801">
        <w:rPr>
          <w:rFonts w:eastAsia="SimSun"/>
        </w:rPr>
        <w:t xml:space="preserve">discharge </w:t>
      </w:r>
      <w:r w:rsidRPr="002D5050">
        <w:rPr>
          <w:rFonts w:eastAsia="SimSun"/>
        </w:rPr>
        <w:t>and temperature regimes</w:t>
      </w:r>
      <w:r>
        <w:rPr>
          <w:rFonts w:eastAsia="SimSun"/>
        </w:rPr>
        <w:t xml:space="preserve"> </w:t>
      </w:r>
      <w:r>
        <w:rPr>
          <w:rFonts w:eastAsia="SimSun"/>
          <w:noProof/>
        </w:rPr>
        <w:t>(Im et al., 2011; Poff and Hart, 2002)</w:t>
      </w:r>
      <w:r w:rsidRPr="002D5050">
        <w:rPr>
          <w:rFonts w:eastAsia="SimSun"/>
        </w:rPr>
        <w:t xml:space="preserve">, and </w:t>
      </w:r>
      <w:r w:rsidRPr="00B95D0A">
        <w:rPr>
          <w:rFonts w:eastAsia="SimSun"/>
        </w:rPr>
        <w:t>altered</w:t>
      </w:r>
      <w:r w:rsidRPr="002D5050">
        <w:rPr>
          <w:rFonts w:eastAsia="SimSun"/>
        </w:rPr>
        <w:t xml:space="preserve"> s</w:t>
      </w:r>
      <w:r>
        <w:rPr>
          <w:rFonts w:eastAsia="SimSun"/>
        </w:rPr>
        <w:t xml:space="preserve">ediment and nutrient transport </w:t>
      </w:r>
      <w:r>
        <w:rPr>
          <w:rFonts w:eastAsia="SimSun"/>
          <w:noProof/>
        </w:rPr>
        <w:t>(Konrad, 2009)</w:t>
      </w:r>
      <w:r>
        <w:rPr>
          <w:rFonts w:eastAsia="SimSun"/>
        </w:rPr>
        <w:t>.  I</w:t>
      </w:r>
      <w:r w:rsidRPr="000459B0">
        <w:rPr>
          <w:rFonts w:eastAsia="SimSun"/>
        </w:rPr>
        <w:t>n</w:t>
      </w:r>
      <w:r>
        <w:rPr>
          <w:rFonts w:eastAsia="SimSun"/>
        </w:rPr>
        <w:t xml:space="preserve">frastructure such as dams and barrages disrupt the movement of aquatic biota, including </w:t>
      </w:r>
      <w:r w:rsidRPr="000459B0">
        <w:rPr>
          <w:rFonts w:eastAsia="SimSun"/>
        </w:rPr>
        <w:t>diadromous fish</w:t>
      </w:r>
      <w:r>
        <w:rPr>
          <w:rFonts w:eastAsia="SimSun"/>
        </w:rPr>
        <w:t xml:space="preserve"> </w:t>
      </w:r>
      <w:r>
        <w:rPr>
          <w:rFonts w:eastAsia="SimSun"/>
          <w:noProof/>
        </w:rPr>
        <w:t>(Sheer and Steel, 2006)</w:t>
      </w:r>
      <w:r>
        <w:rPr>
          <w:rFonts w:eastAsia="SimSun"/>
        </w:rPr>
        <w:t xml:space="preserve"> </w:t>
      </w:r>
      <w:r w:rsidRPr="000459B0">
        <w:rPr>
          <w:rFonts w:eastAsia="SimSun"/>
        </w:rPr>
        <w:t xml:space="preserve">which migrate between marine and freshwater </w:t>
      </w:r>
      <w:r>
        <w:rPr>
          <w:rFonts w:eastAsia="SimSun"/>
        </w:rPr>
        <w:t xml:space="preserve">environments </w:t>
      </w:r>
      <w:r w:rsidRPr="000459B0">
        <w:rPr>
          <w:rFonts w:eastAsia="SimSun"/>
        </w:rPr>
        <w:t xml:space="preserve">to spawn.  </w:t>
      </w:r>
      <w:r w:rsidRPr="002D5050">
        <w:rPr>
          <w:rFonts w:eastAsia="SimSun"/>
        </w:rPr>
        <w:t>The i</w:t>
      </w:r>
      <w:r>
        <w:rPr>
          <w:rFonts w:eastAsia="SimSun"/>
        </w:rPr>
        <w:t>nfluence</w:t>
      </w:r>
      <w:r w:rsidRPr="002D5050">
        <w:rPr>
          <w:rFonts w:eastAsia="SimSun"/>
        </w:rPr>
        <w:t xml:space="preserve"> of</w:t>
      </w:r>
      <w:r>
        <w:rPr>
          <w:rFonts w:eastAsia="SimSun"/>
        </w:rPr>
        <w:t xml:space="preserve"> estuarine obstructions on</w:t>
      </w:r>
      <w:r w:rsidRPr="002D5050">
        <w:rPr>
          <w:rFonts w:eastAsia="SimSun"/>
        </w:rPr>
        <w:t xml:space="preserve"> fish migration, particularly </w:t>
      </w:r>
      <w:r>
        <w:rPr>
          <w:rFonts w:eastAsia="SimSun"/>
        </w:rPr>
        <w:t xml:space="preserve">tide </w:t>
      </w:r>
      <w:r w:rsidRPr="002D5050">
        <w:rPr>
          <w:rFonts w:eastAsia="SimSun"/>
        </w:rPr>
        <w:t xml:space="preserve">gated culverts used for </w:t>
      </w:r>
      <w:r>
        <w:rPr>
          <w:rFonts w:eastAsia="SimSun"/>
        </w:rPr>
        <w:t>flood prevention and land reclamation, has</w:t>
      </w:r>
      <w:r w:rsidRPr="002D5050">
        <w:rPr>
          <w:rFonts w:eastAsia="SimSun"/>
        </w:rPr>
        <w:t xml:space="preserve"> received </w:t>
      </w:r>
      <w:r w:rsidR="00F60862">
        <w:rPr>
          <w:rFonts w:eastAsia="SimSun"/>
        </w:rPr>
        <w:t>substantially</w:t>
      </w:r>
      <w:r>
        <w:rPr>
          <w:rFonts w:eastAsia="SimSun"/>
        </w:rPr>
        <w:t xml:space="preserve"> </w:t>
      </w:r>
      <w:r w:rsidRPr="002D5050">
        <w:rPr>
          <w:rFonts w:eastAsia="SimSun"/>
        </w:rPr>
        <w:t>less consideration</w:t>
      </w:r>
      <w:r>
        <w:rPr>
          <w:rFonts w:eastAsia="SimSun"/>
        </w:rPr>
        <w:t xml:space="preserve"> than river structures</w:t>
      </w:r>
      <w:r w:rsidRPr="00095803">
        <w:rPr>
          <w:rFonts w:eastAsia="SimSun"/>
        </w:rPr>
        <w:t xml:space="preserve">.  </w:t>
      </w:r>
    </w:p>
    <w:p w:rsidR="00A92636" w:rsidRDefault="00A92636" w:rsidP="00525E94">
      <w:pPr>
        <w:rPr>
          <w:rFonts w:eastAsia="SimSun"/>
        </w:rPr>
      </w:pPr>
    </w:p>
    <w:p w:rsidR="00A92636" w:rsidRDefault="00A92636" w:rsidP="00B1495F">
      <w:pPr>
        <w:rPr>
          <w:rFonts w:eastAsia="SimSun"/>
        </w:rPr>
      </w:pPr>
      <w:r w:rsidRPr="002D5050">
        <w:rPr>
          <w:rFonts w:eastAsia="SimSun"/>
        </w:rPr>
        <w:t xml:space="preserve">Tide gates form a temporal barrier to fish </w:t>
      </w:r>
      <w:r>
        <w:rPr>
          <w:rFonts w:eastAsia="SimSun"/>
        </w:rPr>
        <w:t>movement</w:t>
      </w:r>
      <w:r w:rsidRPr="002D5050">
        <w:rPr>
          <w:rFonts w:eastAsia="SimSun"/>
        </w:rPr>
        <w:t xml:space="preserve">, closing when the tide floods and opening </w:t>
      </w:r>
      <w:r>
        <w:rPr>
          <w:rFonts w:eastAsia="SimSun"/>
        </w:rPr>
        <w:t>when</w:t>
      </w:r>
      <w:r w:rsidRPr="002D5050">
        <w:rPr>
          <w:rFonts w:eastAsia="SimSun"/>
        </w:rPr>
        <w:t xml:space="preserve"> hydraulic head differential </w:t>
      </w:r>
      <w:r>
        <w:rPr>
          <w:rFonts w:eastAsia="SimSun"/>
        </w:rPr>
        <w:t xml:space="preserve">becomes sufficient during the ebb </w:t>
      </w:r>
      <w:r>
        <w:rPr>
          <w:rFonts w:eastAsia="SimSun"/>
          <w:noProof/>
        </w:rPr>
        <w:t>(Giannico and Souder, 2005)</w:t>
      </w:r>
      <w:r>
        <w:rPr>
          <w:rFonts w:eastAsia="SimSun"/>
        </w:rPr>
        <w:t>.</w:t>
      </w:r>
      <w:r w:rsidRPr="002D5050">
        <w:rPr>
          <w:rFonts w:eastAsia="SimSun"/>
        </w:rPr>
        <w:t xml:space="preserve">  </w:t>
      </w:r>
      <w:r w:rsidR="00886403">
        <w:rPr>
          <w:rFonts w:eastAsia="SimSun"/>
        </w:rPr>
        <w:t xml:space="preserve">Tide </w:t>
      </w:r>
      <w:r w:rsidR="00886403" w:rsidRPr="00886403">
        <w:rPr>
          <w:rFonts w:eastAsia="SimSun"/>
        </w:rPr>
        <w:t xml:space="preserve">gates </w:t>
      </w:r>
      <w:r w:rsidR="00B1495F">
        <w:rPr>
          <w:rFonts w:eastAsia="SimSun"/>
        </w:rPr>
        <w:t>physically prevent</w:t>
      </w:r>
      <w:r w:rsidR="00886403" w:rsidRPr="00886403">
        <w:rPr>
          <w:rFonts w:eastAsia="SimSun"/>
        </w:rPr>
        <w:t xml:space="preserve"> fish migration when closed, </w:t>
      </w:r>
      <w:r w:rsidR="00B1495F">
        <w:rPr>
          <w:rFonts w:eastAsia="SimSun"/>
        </w:rPr>
        <w:t xml:space="preserve">whilst </w:t>
      </w:r>
      <w:r w:rsidR="00886403" w:rsidRPr="00886403">
        <w:rPr>
          <w:rFonts w:eastAsia="SimSun"/>
        </w:rPr>
        <w:t xml:space="preserve">often increasing upstream water </w:t>
      </w:r>
      <w:r w:rsidR="00886403" w:rsidRPr="00C2264B">
        <w:rPr>
          <w:rFonts w:eastAsia="SimSun"/>
        </w:rPr>
        <w:t>temperature (</w:t>
      </w:r>
      <w:proofErr w:type="spellStart"/>
      <w:r w:rsidR="00A22B13" w:rsidRPr="00C2264B">
        <w:rPr>
          <w:rFonts w:eastAsia="SimSun"/>
        </w:rPr>
        <w:t>Giannico</w:t>
      </w:r>
      <w:proofErr w:type="spellEnd"/>
      <w:r w:rsidR="00A22B13" w:rsidRPr="00C2264B">
        <w:rPr>
          <w:rFonts w:eastAsia="SimSun"/>
        </w:rPr>
        <w:t xml:space="preserve"> and Souder, 2005; </w:t>
      </w:r>
      <w:r w:rsidR="00370F40" w:rsidRPr="00C2264B">
        <w:rPr>
          <w:rFonts w:eastAsia="SimSun"/>
        </w:rPr>
        <w:t>Tonnes, 2007</w:t>
      </w:r>
      <w:r w:rsidR="00886403" w:rsidRPr="00C2264B">
        <w:rPr>
          <w:rFonts w:eastAsia="SimSun"/>
        </w:rPr>
        <w:t>)</w:t>
      </w:r>
      <w:r w:rsidR="00886403" w:rsidRPr="00886403">
        <w:rPr>
          <w:rFonts w:eastAsia="SimSun"/>
        </w:rPr>
        <w:t xml:space="preserve"> and thus susceptibility of fish to disease (Dietrich et al., 2014; Rees et al., 2014), decreasing dissolved oxygen (</w:t>
      </w:r>
      <w:proofErr w:type="spellStart"/>
      <w:r w:rsidR="00F3367C">
        <w:rPr>
          <w:rFonts w:eastAsia="SimSun"/>
        </w:rPr>
        <w:t>Portnoy</w:t>
      </w:r>
      <w:proofErr w:type="spellEnd"/>
      <w:r w:rsidR="00F3367C">
        <w:rPr>
          <w:rFonts w:eastAsia="SimSun"/>
        </w:rPr>
        <w:t xml:space="preserve">, 1991; </w:t>
      </w:r>
      <w:r w:rsidR="00370F40" w:rsidRPr="0058696F">
        <w:rPr>
          <w:rFonts w:eastAsia="SimSun"/>
        </w:rPr>
        <w:t>Tonnes, 2007</w:t>
      </w:r>
      <w:r w:rsidR="00886403" w:rsidRPr="00886403">
        <w:rPr>
          <w:rFonts w:eastAsia="SimSun"/>
        </w:rPr>
        <w:t>), and masking tidal cues (Russell et al., 1998).</w:t>
      </w:r>
      <w:r w:rsidR="00886403">
        <w:rPr>
          <w:rFonts w:eastAsia="SimSun"/>
        </w:rPr>
        <w:t xml:space="preserve">  </w:t>
      </w:r>
      <w:r>
        <w:rPr>
          <w:rFonts w:eastAsia="SimSun"/>
        </w:rPr>
        <w:t xml:space="preserve">When tide gates are open, associated conditions such as accelerating flow velocities </w:t>
      </w:r>
      <w:r>
        <w:rPr>
          <w:rFonts w:eastAsia="SimSun"/>
          <w:noProof/>
        </w:rPr>
        <w:t>(Haro et al., 1998; Russon and Kemp, 2011)</w:t>
      </w:r>
      <w:r>
        <w:rPr>
          <w:rFonts w:eastAsia="SimSun"/>
        </w:rPr>
        <w:t xml:space="preserve">, abrupt changes in salinity </w:t>
      </w:r>
      <w:r w:rsidRPr="00412989">
        <w:rPr>
          <w:rFonts w:eastAsia="SimSun"/>
          <w:noProof/>
        </w:rPr>
        <w:t>(Zaugg et al., 1985)</w:t>
      </w:r>
      <w:r w:rsidRPr="00412989">
        <w:rPr>
          <w:rFonts w:eastAsia="SimSun"/>
        </w:rPr>
        <w:t xml:space="preserve">, sudden temperature gradients </w:t>
      </w:r>
      <w:r w:rsidRPr="00412989">
        <w:rPr>
          <w:rFonts w:eastAsia="SimSun"/>
          <w:noProof/>
        </w:rPr>
        <w:t>(Berggren and Filardo, 1993; Boyd and Tucker, 1998; Jonsson, 1991)</w:t>
      </w:r>
      <w:r>
        <w:rPr>
          <w:rFonts w:eastAsia="SimSun"/>
        </w:rPr>
        <w:t xml:space="preserve"> and overhead cover </w:t>
      </w:r>
      <w:r w:rsidR="00F60862">
        <w:rPr>
          <w:rFonts w:eastAsia="SimSun"/>
          <w:noProof/>
        </w:rPr>
        <w:t>(Kemp et al., 2005a</w:t>
      </w:r>
      <w:r w:rsidRPr="00962512">
        <w:rPr>
          <w:rFonts w:eastAsia="SimSun"/>
          <w:noProof/>
        </w:rPr>
        <w:t>)</w:t>
      </w:r>
      <w:r w:rsidRPr="00962512">
        <w:rPr>
          <w:rFonts w:eastAsia="SimSun"/>
        </w:rPr>
        <w:t xml:space="preserve"> </w:t>
      </w:r>
      <w:r>
        <w:rPr>
          <w:rFonts w:eastAsia="SimSun"/>
        </w:rPr>
        <w:t xml:space="preserve">may cause stress and/or impede migration.  This may explain why tide gates can limit fish abundance, richness </w:t>
      </w:r>
      <w:r>
        <w:rPr>
          <w:rFonts w:eastAsia="SimSun"/>
          <w:noProof/>
        </w:rPr>
        <w:t>(Boys et al., 2012; Pollard and Hannan, 1994)</w:t>
      </w:r>
      <w:r w:rsidRPr="00F02CBF">
        <w:rPr>
          <w:rFonts w:eastAsia="SimSun"/>
        </w:rPr>
        <w:t xml:space="preserve"> and</w:t>
      </w:r>
      <w:r>
        <w:rPr>
          <w:rFonts w:eastAsia="SimSun"/>
        </w:rPr>
        <w:t xml:space="preserve"> movement </w:t>
      </w:r>
      <w:r>
        <w:rPr>
          <w:rFonts w:eastAsia="SimSun"/>
          <w:noProof/>
        </w:rPr>
        <w:t>(Doehring et al., 2011)</w:t>
      </w:r>
      <w:r w:rsidRPr="002D5050">
        <w:rPr>
          <w:rFonts w:eastAsia="SimSun"/>
        </w:rPr>
        <w:t xml:space="preserve"> </w:t>
      </w:r>
      <w:r>
        <w:rPr>
          <w:rFonts w:eastAsia="SimSun"/>
        </w:rPr>
        <w:t xml:space="preserve">when </w:t>
      </w:r>
      <w:r w:rsidRPr="002D5050">
        <w:rPr>
          <w:rFonts w:eastAsia="SimSun"/>
        </w:rPr>
        <w:t>compared to un-gated channels</w:t>
      </w:r>
      <w:r>
        <w:rPr>
          <w:rFonts w:eastAsia="SimSun"/>
        </w:rPr>
        <w:t>.   Previous studies have utilised</w:t>
      </w:r>
      <w:r w:rsidRPr="002D5050">
        <w:rPr>
          <w:rFonts w:eastAsia="SimSun"/>
        </w:rPr>
        <w:t xml:space="preserve"> nets</w:t>
      </w:r>
      <w:r>
        <w:rPr>
          <w:rFonts w:eastAsia="SimSun"/>
        </w:rPr>
        <w:t xml:space="preserve"> </w:t>
      </w:r>
      <w:r>
        <w:rPr>
          <w:rFonts w:eastAsia="SimSun"/>
          <w:noProof/>
        </w:rPr>
        <w:t>(Boys et al., 2012; Easton and Marshall, 2000; Kroon and Ansell, 2006; Mouton et al., 2011; Pollard and Hannan, 1994; Roegner et al., 2010)</w:t>
      </w:r>
      <w:r>
        <w:rPr>
          <w:rFonts w:eastAsia="SimSun"/>
        </w:rPr>
        <w:t xml:space="preserve">, mark-recapture </w:t>
      </w:r>
      <w:r w:rsidRPr="007F3245">
        <w:rPr>
          <w:rFonts w:eastAsia="SimSun"/>
          <w:noProof/>
        </w:rPr>
        <w:t>(Halls et al., 1998)</w:t>
      </w:r>
      <w:r w:rsidRPr="007F3245">
        <w:rPr>
          <w:rFonts w:eastAsia="SimSun"/>
        </w:rPr>
        <w:t xml:space="preserve"> or</w:t>
      </w:r>
      <w:r>
        <w:rPr>
          <w:rFonts w:eastAsia="SimSun"/>
        </w:rPr>
        <w:t xml:space="preserve"> Dual-f</w:t>
      </w:r>
      <w:r w:rsidRPr="002D5050">
        <w:rPr>
          <w:rFonts w:eastAsia="SimSun"/>
        </w:rPr>
        <w:t xml:space="preserve">requency Identification Sonar (DIDSON) </w:t>
      </w:r>
      <w:r>
        <w:rPr>
          <w:rFonts w:eastAsia="SimSun"/>
          <w:noProof/>
        </w:rPr>
        <w:t>(Doehring et al., 2011)</w:t>
      </w:r>
      <w:r w:rsidR="00F60862">
        <w:rPr>
          <w:rFonts w:eastAsia="SimSun"/>
        </w:rPr>
        <w:t xml:space="preserve"> techniques </w:t>
      </w:r>
      <w:r>
        <w:rPr>
          <w:rFonts w:eastAsia="SimSun"/>
        </w:rPr>
        <w:t>primarily to study</w:t>
      </w:r>
      <w:r w:rsidRPr="002D5050">
        <w:rPr>
          <w:rFonts w:eastAsia="SimSun"/>
        </w:rPr>
        <w:t xml:space="preserve"> estuarine</w:t>
      </w:r>
      <w:r>
        <w:rPr>
          <w:rFonts w:eastAsia="SimSun"/>
        </w:rPr>
        <w:t xml:space="preserve"> species native to the southern hemisphere </w:t>
      </w:r>
      <w:r>
        <w:rPr>
          <w:rFonts w:eastAsia="SimSun"/>
          <w:noProof/>
        </w:rPr>
        <w:t>(Boys et al., 2012; Doehring et al., 2011; Easton and Marshall, 2000; Kroon and Ansell, 2006; Pollard and Hannan, 1994)</w:t>
      </w:r>
      <w:r>
        <w:rPr>
          <w:rFonts w:eastAsia="SimSun"/>
        </w:rPr>
        <w:t xml:space="preserve"> and USA </w:t>
      </w:r>
      <w:r>
        <w:rPr>
          <w:rFonts w:eastAsia="SimSun"/>
          <w:noProof/>
        </w:rPr>
        <w:t>(Raposa, 2002; Ritter et al., 2008; Rozas and Minello, 1998)</w:t>
      </w:r>
      <w:r w:rsidRPr="002D5050">
        <w:rPr>
          <w:rFonts w:eastAsia="SimSun"/>
        </w:rPr>
        <w:t xml:space="preserve">.  </w:t>
      </w:r>
      <w:r>
        <w:rPr>
          <w:rFonts w:eastAsia="SimSun"/>
        </w:rPr>
        <w:t>Unfortunately, these</w:t>
      </w:r>
      <w:r w:rsidRPr="002D5050">
        <w:rPr>
          <w:rFonts w:eastAsia="SimSun"/>
        </w:rPr>
        <w:t xml:space="preserve"> </w:t>
      </w:r>
      <w:r>
        <w:rPr>
          <w:rFonts w:eastAsia="SimSun"/>
        </w:rPr>
        <w:t xml:space="preserve">methodologies cannot track individuals and fail to quantify the efficiency of tide gate structures to allow free passage of </w:t>
      </w:r>
      <w:r w:rsidRPr="00C9566B">
        <w:rPr>
          <w:rFonts w:eastAsia="SimSun"/>
        </w:rPr>
        <w:t>diadromous</w:t>
      </w:r>
      <w:r>
        <w:rPr>
          <w:rFonts w:eastAsia="SimSun"/>
        </w:rPr>
        <w:t xml:space="preserve"> fish.  Passage e</w:t>
      </w:r>
      <w:r w:rsidRPr="003640B3">
        <w:rPr>
          <w:rFonts w:eastAsia="SimSun"/>
        </w:rPr>
        <w:t>fficiency</w:t>
      </w:r>
      <w:r>
        <w:rPr>
          <w:rFonts w:eastAsia="SimSun"/>
        </w:rPr>
        <w:t xml:space="preserve"> depends on: </w:t>
      </w:r>
      <w:r w:rsidRPr="00AE525C">
        <w:rPr>
          <w:rFonts w:eastAsia="SimSun"/>
        </w:rPr>
        <w:t xml:space="preserve"> 1) </w:t>
      </w:r>
      <w:r w:rsidRPr="00283153">
        <w:rPr>
          <w:rFonts w:eastAsia="SimSun"/>
        </w:rPr>
        <w:t>attraction to</w:t>
      </w:r>
      <w:r>
        <w:rPr>
          <w:rFonts w:eastAsia="SimSun"/>
        </w:rPr>
        <w:t xml:space="preserve"> an available route; 2</w:t>
      </w:r>
      <w:r w:rsidRPr="002D5050">
        <w:rPr>
          <w:rFonts w:eastAsia="SimSun"/>
        </w:rPr>
        <w:t xml:space="preserve">) </w:t>
      </w:r>
      <w:r>
        <w:rPr>
          <w:rFonts w:eastAsia="SimSun"/>
        </w:rPr>
        <w:t>number</w:t>
      </w:r>
      <w:r w:rsidRPr="002D5050">
        <w:rPr>
          <w:rFonts w:eastAsia="SimSun"/>
        </w:rPr>
        <w:t xml:space="preserve"> of fish that pass </w:t>
      </w:r>
      <w:r>
        <w:rPr>
          <w:rFonts w:eastAsia="SimSun"/>
        </w:rPr>
        <w:t>as a</w:t>
      </w:r>
      <w:r w:rsidRPr="002D5050">
        <w:rPr>
          <w:rFonts w:eastAsia="SimSun"/>
        </w:rPr>
        <w:t xml:space="preserve"> proportion </w:t>
      </w:r>
      <w:r>
        <w:rPr>
          <w:rFonts w:eastAsia="SimSun"/>
        </w:rPr>
        <w:t>of those that approach;</w:t>
      </w:r>
      <w:r w:rsidRPr="002D5050">
        <w:rPr>
          <w:rFonts w:eastAsia="SimSun"/>
        </w:rPr>
        <w:t xml:space="preserve"> </w:t>
      </w:r>
      <w:r>
        <w:rPr>
          <w:rFonts w:eastAsia="SimSun"/>
        </w:rPr>
        <w:t>and 3</w:t>
      </w:r>
      <w:r w:rsidRPr="002D5050">
        <w:rPr>
          <w:rFonts w:eastAsia="SimSun"/>
        </w:rPr>
        <w:t xml:space="preserve">) the time </w:t>
      </w:r>
      <w:r>
        <w:rPr>
          <w:rFonts w:eastAsia="SimSun"/>
        </w:rPr>
        <w:t xml:space="preserve">taken to </w:t>
      </w:r>
      <w:r w:rsidRPr="002D5050">
        <w:rPr>
          <w:rFonts w:eastAsia="SimSun"/>
        </w:rPr>
        <w:t>pass, hereafter referred to as delay</w:t>
      </w:r>
      <w:r>
        <w:rPr>
          <w:rFonts w:eastAsia="SimSun"/>
        </w:rPr>
        <w:t xml:space="preserve"> </w:t>
      </w:r>
      <w:r>
        <w:rPr>
          <w:rFonts w:eastAsia="SimSun"/>
          <w:noProof/>
        </w:rPr>
        <w:t xml:space="preserve">(Kemp and O'Hanley, </w:t>
      </w:r>
      <w:r>
        <w:rPr>
          <w:rFonts w:eastAsia="SimSun"/>
          <w:noProof/>
        </w:rPr>
        <w:lastRenderedPageBreak/>
        <w:t>2010)</w:t>
      </w:r>
      <w:r>
        <w:rPr>
          <w:rFonts w:eastAsia="SimSun"/>
        </w:rPr>
        <w:t xml:space="preserve">.  Delayed </w:t>
      </w:r>
      <w:r w:rsidRPr="00DB7C51">
        <w:rPr>
          <w:rFonts w:eastAsia="SimSun"/>
        </w:rPr>
        <w:t xml:space="preserve">migration </w:t>
      </w:r>
      <w:r>
        <w:rPr>
          <w:rFonts w:eastAsia="SimSun"/>
        </w:rPr>
        <w:t xml:space="preserve">and </w:t>
      </w:r>
      <w:r w:rsidRPr="00DB7C51">
        <w:rPr>
          <w:rFonts w:eastAsia="SimSun"/>
        </w:rPr>
        <w:t xml:space="preserve">congregation </w:t>
      </w:r>
      <w:r>
        <w:rPr>
          <w:rFonts w:eastAsia="SimSun"/>
        </w:rPr>
        <w:t xml:space="preserve">of fish at </w:t>
      </w:r>
      <w:r w:rsidRPr="00DB7C51">
        <w:rPr>
          <w:rFonts w:eastAsia="SimSun"/>
        </w:rPr>
        <w:t>structures c</w:t>
      </w:r>
      <w:r>
        <w:rPr>
          <w:rFonts w:eastAsia="SimSun"/>
        </w:rPr>
        <w:t>an increase potential for</w:t>
      </w:r>
      <w:r w:rsidRPr="00DB7C51">
        <w:rPr>
          <w:rFonts w:eastAsia="SimSun"/>
        </w:rPr>
        <w:t xml:space="preserve"> predation</w:t>
      </w:r>
      <w:r>
        <w:rPr>
          <w:rFonts w:eastAsia="SimSun"/>
        </w:rPr>
        <w:t xml:space="preserve"> </w:t>
      </w:r>
      <w:r w:rsidRPr="00C9566B">
        <w:rPr>
          <w:rFonts w:eastAsia="SimSun"/>
          <w:noProof/>
        </w:rPr>
        <w:t>(Schilt, 2007)</w:t>
      </w:r>
      <w:r>
        <w:rPr>
          <w:rFonts w:eastAsia="SimSun"/>
        </w:rPr>
        <w:t xml:space="preserve"> and </w:t>
      </w:r>
      <w:r w:rsidRPr="00DB7C51">
        <w:rPr>
          <w:rFonts w:eastAsia="SimSun"/>
        </w:rPr>
        <w:t>energy expenditure</w:t>
      </w:r>
      <w:r>
        <w:rPr>
          <w:rFonts w:eastAsia="SimSun"/>
        </w:rPr>
        <w:t xml:space="preserve"> </w:t>
      </w:r>
      <w:r>
        <w:rPr>
          <w:rFonts w:eastAsia="SimSun"/>
          <w:noProof/>
        </w:rPr>
        <w:t>(Congleton et al., 2002; Osborne, 1961)</w:t>
      </w:r>
      <w:r>
        <w:rPr>
          <w:rFonts w:eastAsia="SimSun"/>
        </w:rPr>
        <w:t>, resulting in</w:t>
      </w:r>
      <w:r w:rsidRPr="00DB7C51">
        <w:rPr>
          <w:rFonts w:eastAsia="SimSun"/>
        </w:rPr>
        <w:t xml:space="preserve"> decreased </w:t>
      </w:r>
      <w:r>
        <w:rPr>
          <w:rFonts w:eastAsia="SimSun"/>
        </w:rPr>
        <w:t xml:space="preserve">fitness </w:t>
      </w:r>
      <w:r>
        <w:rPr>
          <w:rFonts w:eastAsia="SimSun"/>
          <w:noProof/>
        </w:rPr>
        <w:t>(Geen, 1975)</w:t>
      </w:r>
      <w:r>
        <w:rPr>
          <w:rFonts w:eastAsia="SimSun"/>
        </w:rPr>
        <w:t xml:space="preserve"> and survival </w:t>
      </w:r>
      <w:r>
        <w:rPr>
          <w:rFonts w:eastAsia="SimSun"/>
          <w:noProof/>
        </w:rPr>
        <w:t>(Raymond, 1979)</w:t>
      </w:r>
      <w:r>
        <w:rPr>
          <w:rFonts w:eastAsia="SimSun"/>
        </w:rPr>
        <w:t>.</w:t>
      </w:r>
    </w:p>
    <w:p w:rsidR="00A92636" w:rsidRPr="00FE0B6B" w:rsidRDefault="00A92636" w:rsidP="00525E94">
      <w:pPr>
        <w:rPr>
          <w:rFonts w:eastAsia="SimSun"/>
        </w:rPr>
      </w:pPr>
    </w:p>
    <w:p w:rsidR="00A92636" w:rsidRDefault="00A92636" w:rsidP="00160343">
      <w:pPr>
        <w:rPr>
          <w:rFonts w:eastAsia="SimSun"/>
        </w:rPr>
      </w:pPr>
      <w:r w:rsidRPr="00163DEC">
        <w:rPr>
          <w:rFonts w:eastAsia="SimSun"/>
        </w:rPr>
        <w:t xml:space="preserve">Mitigation options for improving fish passage </w:t>
      </w:r>
      <w:r>
        <w:rPr>
          <w:rFonts w:eastAsia="SimSun"/>
        </w:rPr>
        <w:t>at</w:t>
      </w:r>
      <w:r w:rsidRPr="00163DEC">
        <w:rPr>
          <w:rFonts w:eastAsia="SimSun"/>
        </w:rPr>
        <w:t xml:space="preserve"> river </w:t>
      </w:r>
      <w:r>
        <w:rPr>
          <w:rFonts w:eastAsia="SimSun"/>
        </w:rPr>
        <w:t xml:space="preserve">and estuarine infrastructure include fishways and bypass systems </w:t>
      </w:r>
      <w:r>
        <w:rPr>
          <w:rFonts w:eastAsia="SimSun"/>
          <w:noProof/>
        </w:rPr>
        <w:t>(Katopodis and Williams, 2012; Larinier, 2002)</w:t>
      </w:r>
      <w:r>
        <w:rPr>
          <w:rFonts w:eastAsia="SimSun"/>
        </w:rPr>
        <w:t>.  Unfortunately,</w:t>
      </w:r>
      <w:r w:rsidRPr="00B7267B">
        <w:rPr>
          <w:rFonts w:eastAsia="SimSun"/>
        </w:rPr>
        <w:t xml:space="preserve"> </w:t>
      </w:r>
      <w:r>
        <w:rPr>
          <w:rFonts w:eastAsia="SimSun"/>
        </w:rPr>
        <w:t xml:space="preserve">many of these </w:t>
      </w:r>
      <w:r w:rsidRPr="00B7267B">
        <w:rPr>
          <w:rFonts w:eastAsia="SimSun"/>
        </w:rPr>
        <w:t xml:space="preserve">are unsuitable at tide gates </w:t>
      </w:r>
      <w:r w:rsidRPr="004E62F6">
        <w:rPr>
          <w:rFonts w:eastAsia="SimSun"/>
        </w:rPr>
        <w:t xml:space="preserve">due to the </w:t>
      </w:r>
      <w:r>
        <w:rPr>
          <w:rFonts w:eastAsia="SimSun"/>
        </w:rPr>
        <w:t>cost</w:t>
      </w:r>
      <w:r w:rsidRPr="004E62F6">
        <w:rPr>
          <w:rFonts w:eastAsia="SimSun"/>
        </w:rPr>
        <w:t xml:space="preserve"> of traversing</w:t>
      </w:r>
      <w:r>
        <w:rPr>
          <w:rFonts w:eastAsia="SimSun"/>
        </w:rPr>
        <w:t xml:space="preserve"> high levees.</w:t>
      </w:r>
      <w:r w:rsidRPr="00163DEC">
        <w:rPr>
          <w:rFonts w:eastAsia="SimSun"/>
        </w:rPr>
        <w:t xml:space="preserve">  </w:t>
      </w:r>
      <w:r>
        <w:rPr>
          <w:rFonts w:eastAsia="SimSun"/>
        </w:rPr>
        <w:t>Top-hung gates can be replaced with side-hung doors and self-regulating valves that open wider for longer, but also at relatively high expense.  A</w:t>
      </w:r>
      <w:r w:rsidRPr="00163DEC">
        <w:rPr>
          <w:rFonts w:eastAsia="SimSun"/>
        </w:rPr>
        <w:t xml:space="preserve"> variety of alternative </w:t>
      </w:r>
      <w:r>
        <w:rPr>
          <w:rFonts w:eastAsia="SimSun"/>
        </w:rPr>
        <w:t xml:space="preserve">gate </w:t>
      </w:r>
      <w:r w:rsidRPr="00163DEC">
        <w:rPr>
          <w:rFonts w:eastAsia="SimSun"/>
        </w:rPr>
        <w:t>m</w:t>
      </w:r>
      <w:r>
        <w:rPr>
          <w:rFonts w:eastAsia="SimSun"/>
        </w:rPr>
        <w:t>odifications have been proposed, including</w:t>
      </w:r>
      <w:r w:rsidRPr="00163DEC">
        <w:rPr>
          <w:rFonts w:eastAsia="SimSun"/>
        </w:rPr>
        <w:t xml:space="preserve"> counterb</w:t>
      </w:r>
      <w:r>
        <w:rPr>
          <w:rFonts w:eastAsia="SimSun"/>
        </w:rPr>
        <w:t xml:space="preserve">alances and  retarders that allow them to remain open for longer, and orifices that maintain connectivity </w:t>
      </w:r>
      <w:r w:rsidRPr="004E62F6">
        <w:rPr>
          <w:rFonts w:eastAsia="SimSun"/>
        </w:rPr>
        <w:t xml:space="preserve">and </w:t>
      </w:r>
      <w:r w:rsidRPr="003640B3">
        <w:rPr>
          <w:rFonts w:eastAsia="SimSun"/>
        </w:rPr>
        <w:t>water mixing</w:t>
      </w:r>
      <w:r>
        <w:rPr>
          <w:rFonts w:eastAsia="SimSun"/>
        </w:rPr>
        <w:t xml:space="preserve"> when they are closed.  </w:t>
      </w:r>
      <w:r w:rsidRPr="00163DEC">
        <w:rPr>
          <w:rFonts w:eastAsia="SimSun"/>
        </w:rPr>
        <w:t xml:space="preserve">To date, the effectiveness of these modifications </w:t>
      </w:r>
      <w:r>
        <w:rPr>
          <w:rFonts w:eastAsia="SimSun"/>
        </w:rPr>
        <w:t xml:space="preserve">for improving fish passage </w:t>
      </w:r>
      <w:r w:rsidRPr="0018549E">
        <w:rPr>
          <w:rFonts w:eastAsia="SimSun"/>
        </w:rPr>
        <w:t>efficiency and</w:t>
      </w:r>
      <w:r>
        <w:rPr>
          <w:rFonts w:eastAsia="SimSun"/>
        </w:rPr>
        <w:t xml:space="preserve"> reducing</w:t>
      </w:r>
      <w:r w:rsidRPr="0018549E">
        <w:rPr>
          <w:rFonts w:eastAsia="SimSun"/>
        </w:rPr>
        <w:t xml:space="preserve"> delay</w:t>
      </w:r>
      <w:r>
        <w:rPr>
          <w:rFonts w:eastAsia="SimSun"/>
        </w:rPr>
        <w:t xml:space="preserve"> has not been </w:t>
      </w:r>
      <w:r w:rsidRPr="00BA4C61">
        <w:rPr>
          <w:rFonts w:eastAsia="SimSun"/>
        </w:rPr>
        <w:t>reported</w:t>
      </w:r>
      <w:r>
        <w:rPr>
          <w:rFonts w:eastAsia="SimSun"/>
        </w:rPr>
        <w:t>.</w:t>
      </w:r>
    </w:p>
    <w:p w:rsidR="00A92636" w:rsidRDefault="00A92636" w:rsidP="00525E94">
      <w:pPr>
        <w:rPr>
          <w:rFonts w:eastAsia="SimSun"/>
        </w:rPr>
      </w:pPr>
    </w:p>
    <w:p w:rsidR="00A92636" w:rsidRPr="00B7267B" w:rsidRDefault="00A92636" w:rsidP="00160343">
      <w:pPr>
        <w:rPr>
          <w:rFonts w:eastAsia="SimSun"/>
        </w:rPr>
      </w:pPr>
      <w:r>
        <w:rPr>
          <w:rFonts w:eastAsia="SimSun"/>
        </w:rPr>
        <w:t xml:space="preserve">This study aimed to assess the impact of </w:t>
      </w:r>
      <w:r w:rsidR="00886403">
        <w:rPr>
          <w:rFonts w:eastAsia="SimSun"/>
        </w:rPr>
        <w:t xml:space="preserve">1) </w:t>
      </w:r>
      <w:r>
        <w:rPr>
          <w:rFonts w:eastAsia="SimSun"/>
        </w:rPr>
        <w:t xml:space="preserve">top-hung tide </w:t>
      </w:r>
      <w:r w:rsidRPr="00882729">
        <w:rPr>
          <w:rFonts w:eastAsia="SimSun"/>
        </w:rPr>
        <w:t xml:space="preserve">gates </w:t>
      </w:r>
      <w:r>
        <w:rPr>
          <w:rFonts w:eastAsia="SimSun"/>
        </w:rPr>
        <w:t xml:space="preserve">and </w:t>
      </w:r>
      <w:r w:rsidR="00886403">
        <w:rPr>
          <w:rFonts w:eastAsia="SimSun"/>
        </w:rPr>
        <w:t xml:space="preserve">2) </w:t>
      </w:r>
      <w:r>
        <w:rPr>
          <w:rFonts w:eastAsia="SimSun"/>
        </w:rPr>
        <w:t xml:space="preserve">modifications on the downstream passage efficiency and delay of actively migrating juvenile sea trout (anadromous brown trout), </w:t>
      </w:r>
      <w:r w:rsidRPr="00060756">
        <w:rPr>
          <w:rFonts w:eastAsia="SimSun"/>
          <w:i/>
          <w:iCs/>
        </w:rPr>
        <w:t>Salmo trutta</w:t>
      </w:r>
      <w:r>
        <w:rPr>
          <w:rFonts w:eastAsia="SimSun"/>
          <w:i/>
          <w:iCs/>
        </w:rPr>
        <w:t>,</w:t>
      </w:r>
      <w:r>
        <w:rPr>
          <w:rFonts w:eastAsia="SimSun"/>
        </w:rPr>
        <w:t xml:space="preserve"> commonly referred to as smolts.</w:t>
      </w:r>
      <w:r w:rsidRPr="00952750">
        <w:rPr>
          <w:rFonts w:eastAsia="SimSun"/>
        </w:rPr>
        <w:t xml:space="preserve"> </w:t>
      </w:r>
      <w:r>
        <w:rPr>
          <w:rFonts w:eastAsia="SimSun"/>
        </w:rPr>
        <w:t xml:space="preserve"> In the UK, stocks of socio-economically important sea trout</w:t>
      </w:r>
      <w:r w:rsidRPr="001C37B6">
        <w:rPr>
          <w:rFonts w:eastAsia="SimSun"/>
        </w:rPr>
        <w:t xml:space="preserve"> </w:t>
      </w:r>
      <w:r>
        <w:rPr>
          <w:rFonts w:eastAsia="SimSun"/>
        </w:rPr>
        <w:t xml:space="preserve">have suffered serious declines in a number of regions </w:t>
      </w:r>
      <w:r>
        <w:rPr>
          <w:rFonts w:eastAsia="SimSun"/>
          <w:noProof/>
        </w:rPr>
        <w:t>(Harris and Milner, 2006)</w:t>
      </w:r>
      <w:r>
        <w:rPr>
          <w:rFonts w:eastAsia="SimSun"/>
        </w:rPr>
        <w:t>.  Therefore, s</w:t>
      </w:r>
      <w:r w:rsidRPr="00C76248">
        <w:rPr>
          <w:rFonts w:eastAsia="SimSun"/>
        </w:rPr>
        <w:t xml:space="preserve">ea trout provide a valuable model to study </w:t>
      </w:r>
      <w:r>
        <w:rPr>
          <w:rFonts w:eastAsia="SimSun"/>
        </w:rPr>
        <w:t xml:space="preserve">the impact of tide gates on the downstream migration of juvenile salmonids.  Specific </w:t>
      </w:r>
      <w:r w:rsidRPr="0018549E">
        <w:rPr>
          <w:rFonts w:eastAsia="SimSun"/>
        </w:rPr>
        <w:t>objectives</w:t>
      </w:r>
      <w:r>
        <w:rPr>
          <w:rFonts w:eastAsia="SimSun"/>
        </w:rPr>
        <w:t xml:space="preserve"> were to use acoustic telemetry to determine smolt passage efficiency past top-hung tide gates pre and post orifice installation and to quantify and compare delay through unimpeded (control) and tide gate (treatment) reaches</w:t>
      </w:r>
      <w:r w:rsidR="00886403">
        <w:rPr>
          <w:rFonts w:eastAsia="SimSun"/>
        </w:rPr>
        <w:t xml:space="preserve"> </w:t>
      </w:r>
      <w:r w:rsidR="00886403" w:rsidRPr="00886403">
        <w:rPr>
          <w:rFonts w:eastAsia="SimSun"/>
        </w:rPr>
        <w:t>within a UK chalk stream</w:t>
      </w:r>
      <w:r>
        <w:rPr>
          <w:rFonts w:eastAsia="SimSun"/>
        </w:rPr>
        <w:t xml:space="preserve">.  </w:t>
      </w:r>
      <w:r w:rsidRPr="002D5050">
        <w:rPr>
          <w:rFonts w:eastAsia="SimSun"/>
        </w:rPr>
        <w:t>The results will</w:t>
      </w:r>
      <w:r>
        <w:rPr>
          <w:rFonts w:eastAsia="SimSun"/>
        </w:rPr>
        <w:t xml:space="preserve"> help inform river managers of the impacts of tide gates on fish migration, an</w:t>
      </w:r>
      <w:r w:rsidRPr="00CE7926">
        <w:rPr>
          <w:rFonts w:eastAsia="SimSun"/>
        </w:rPr>
        <w:t>d indicate how potential mitigation</w:t>
      </w:r>
      <w:r>
        <w:rPr>
          <w:rFonts w:eastAsia="SimSun"/>
        </w:rPr>
        <w:t xml:space="preserve"> could</w:t>
      </w:r>
      <w:r w:rsidRPr="00CE7926">
        <w:rPr>
          <w:rFonts w:eastAsia="SimSun"/>
        </w:rPr>
        <w:t xml:space="preserve"> be achieved.</w:t>
      </w:r>
      <w:r>
        <w:rPr>
          <w:rFonts w:eastAsia="SimSun"/>
        </w:rPr>
        <w:t xml:space="preserve">  </w:t>
      </w:r>
      <w:r w:rsidRPr="002D5050">
        <w:rPr>
          <w:rFonts w:eastAsia="SimSun"/>
        </w:rPr>
        <w:t xml:space="preserve"> </w:t>
      </w:r>
    </w:p>
    <w:p w:rsidR="00A92636" w:rsidRDefault="00A92636" w:rsidP="00525E94">
      <w:pPr>
        <w:rPr>
          <w:rFonts w:eastAsia="SimSun"/>
        </w:rPr>
      </w:pPr>
    </w:p>
    <w:p w:rsidR="00A92636" w:rsidRPr="00525E94" w:rsidRDefault="00A92636" w:rsidP="00F60862">
      <w:pPr>
        <w:pStyle w:val="Heading2"/>
        <w:rPr>
          <w:rFonts w:eastAsia="SimSun"/>
        </w:rPr>
      </w:pPr>
      <w:r w:rsidRPr="00525E94">
        <w:rPr>
          <w:rFonts w:eastAsia="SimSun"/>
        </w:rPr>
        <w:t>2. Materials and methods</w:t>
      </w:r>
    </w:p>
    <w:p w:rsidR="00A92636" w:rsidRPr="002D5050" w:rsidRDefault="00A92636" w:rsidP="00525E94">
      <w:pPr>
        <w:rPr>
          <w:rFonts w:eastAsia="SimSun"/>
        </w:rPr>
      </w:pPr>
    </w:p>
    <w:p w:rsidR="00A92636" w:rsidRPr="007A5A20" w:rsidRDefault="00A92636" w:rsidP="00F60862">
      <w:pPr>
        <w:pStyle w:val="Heading3"/>
        <w:rPr>
          <w:rFonts w:eastAsia="SimSun"/>
        </w:rPr>
      </w:pPr>
      <w:r w:rsidRPr="007A5A20">
        <w:rPr>
          <w:rFonts w:eastAsia="SimSun"/>
        </w:rPr>
        <w:t>2.1. Study site</w:t>
      </w:r>
    </w:p>
    <w:p w:rsidR="00A92636" w:rsidRPr="002D5050" w:rsidRDefault="00A92636" w:rsidP="00525E94">
      <w:pPr>
        <w:rPr>
          <w:rFonts w:eastAsia="SimSun"/>
        </w:rPr>
      </w:pPr>
    </w:p>
    <w:p w:rsidR="00A92636" w:rsidRDefault="00A92636" w:rsidP="00160343">
      <w:pPr>
        <w:rPr>
          <w:b/>
          <w:noProof/>
          <w:sz w:val="20"/>
          <w:szCs w:val="20"/>
          <w:lang w:eastAsia="zh-CN"/>
        </w:rPr>
      </w:pPr>
      <w:r>
        <w:rPr>
          <w:rFonts w:eastAsia="SimSun"/>
        </w:rPr>
        <w:t>During the study period, t</w:t>
      </w:r>
      <w:r w:rsidRPr="002D5050">
        <w:rPr>
          <w:rFonts w:eastAsia="SimSun"/>
        </w:rPr>
        <w:t xml:space="preserve">he River Meon, located in Hampshire, </w:t>
      </w:r>
      <w:r>
        <w:rPr>
          <w:rFonts w:eastAsia="SimSun"/>
        </w:rPr>
        <w:t>UK (50° 49' N; -1° 14' E; Fig. 1</w:t>
      </w:r>
      <w:r w:rsidRPr="002D5050">
        <w:rPr>
          <w:rFonts w:eastAsia="SimSun"/>
        </w:rPr>
        <w:t>)</w:t>
      </w:r>
      <w:r>
        <w:rPr>
          <w:rFonts w:eastAsia="SimSun"/>
        </w:rPr>
        <w:t>,</w:t>
      </w:r>
      <w:r w:rsidRPr="002D5050">
        <w:rPr>
          <w:rFonts w:eastAsia="SimSun"/>
        </w:rPr>
        <w:t xml:space="preserve"> </w:t>
      </w:r>
      <w:r>
        <w:rPr>
          <w:rFonts w:eastAsia="SimSun"/>
        </w:rPr>
        <w:t>had a</w:t>
      </w:r>
      <w:r w:rsidRPr="002D5050">
        <w:rPr>
          <w:rFonts w:eastAsia="SimSun"/>
        </w:rPr>
        <w:t xml:space="preserve"> </w:t>
      </w:r>
      <w:r>
        <w:rPr>
          <w:rFonts w:eastAsia="SimSun"/>
        </w:rPr>
        <w:t>mean</w:t>
      </w:r>
      <w:r w:rsidRPr="002D5050">
        <w:rPr>
          <w:rFonts w:eastAsia="SimSun"/>
        </w:rPr>
        <w:t xml:space="preserve"> (± SD)</w:t>
      </w:r>
      <w:r>
        <w:rPr>
          <w:rFonts w:eastAsia="SimSun"/>
        </w:rPr>
        <w:t xml:space="preserve"> </w:t>
      </w:r>
      <w:r w:rsidRPr="002D5050">
        <w:rPr>
          <w:rFonts w:eastAsia="SimSun"/>
        </w:rPr>
        <w:t xml:space="preserve">daily </w:t>
      </w:r>
      <w:r w:rsidRPr="00C93801">
        <w:rPr>
          <w:rFonts w:eastAsia="SimSun"/>
        </w:rPr>
        <w:t>discharge</w:t>
      </w:r>
      <w:r w:rsidRPr="002D5050">
        <w:rPr>
          <w:rFonts w:eastAsia="SimSun"/>
        </w:rPr>
        <w:t xml:space="preserve"> at </w:t>
      </w:r>
      <w:proofErr w:type="spellStart"/>
      <w:r w:rsidRPr="002D5050">
        <w:rPr>
          <w:rFonts w:eastAsia="SimSun"/>
        </w:rPr>
        <w:t>Mislingford</w:t>
      </w:r>
      <w:proofErr w:type="spellEnd"/>
      <w:r w:rsidRPr="002D5050">
        <w:rPr>
          <w:rFonts w:eastAsia="SimSun"/>
        </w:rPr>
        <w:t xml:space="preserve"> (13.0 km upstream of the tidal limit)</w:t>
      </w:r>
      <w:r>
        <w:rPr>
          <w:rFonts w:eastAsia="SimSun"/>
        </w:rPr>
        <w:t xml:space="preserve"> </w:t>
      </w:r>
      <w:r w:rsidRPr="002D5050">
        <w:rPr>
          <w:rFonts w:eastAsia="SimSun"/>
        </w:rPr>
        <w:t xml:space="preserve">of </w:t>
      </w:r>
      <w:r w:rsidRPr="00263DDB">
        <w:rPr>
          <w:rFonts w:eastAsia="SimSun"/>
        </w:rPr>
        <w:t xml:space="preserve">0.85 </w:t>
      </w:r>
      <w:r>
        <w:rPr>
          <w:rFonts w:eastAsia="SimSun"/>
        </w:rPr>
        <w:t>(</w:t>
      </w:r>
      <w:r w:rsidRPr="00263DDB">
        <w:rPr>
          <w:rFonts w:eastAsia="SimSun"/>
        </w:rPr>
        <w:t xml:space="preserve">± </w:t>
      </w:r>
      <w:r>
        <w:rPr>
          <w:rFonts w:eastAsia="SimSun"/>
        </w:rPr>
        <w:t>0.10)</w:t>
      </w:r>
      <w:r w:rsidRPr="002D5050">
        <w:rPr>
          <w:rFonts w:eastAsia="SimSun"/>
        </w:rPr>
        <w:t xml:space="preserve"> m</w:t>
      </w:r>
      <w:r w:rsidRPr="008D4809">
        <w:rPr>
          <w:rFonts w:eastAsia="SimSun"/>
          <w:vertAlign w:val="superscript"/>
        </w:rPr>
        <w:t>3</w:t>
      </w:r>
      <w:r>
        <w:rPr>
          <w:rFonts w:eastAsia="SimSun"/>
        </w:rPr>
        <w:t xml:space="preserve"> </w:t>
      </w:r>
      <w:r w:rsidRPr="002D5050">
        <w:rPr>
          <w:rFonts w:eastAsia="SimSun"/>
        </w:rPr>
        <w:t>s</w:t>
      </w:r>
      <w:r>
        <w:rPr>
          <w:rFonts w:eastAsia="SimSun"/>
          <w:vertAlign w:val="superscript"/>
        </w:rPr>
        <w:t>-1</w:t>
      </w:r>
      <w:r>
        <w:rPr>
          <w:rFonts w:eastAsia="SimSun"/>
        </w:rPr>
        <w:t xml:space="preserve"> (April 2011) and 0.53 (</w:t>
      </w:r>
      <w:r w:rsidRPr="00263DDB">
        <w:rPr>
          <w:rFonts w:eastAsia="SimSun"/>
        </w:rPr>
        <w:t xml:space="preserve">± </w:t>
      </w:r>
      <w:r>
        <w:rPr>
          <w:rFonts w:eastAsia="SimSun"/>
        </w:rPr>
        <w:t>0.22)</w:t>
      </w:r>
      <w:r w:rsidRPr="002D5050">
        <w:rPr>
          <w:rFonts w:eastAsia="SimSun"/>
        </w:rPr>
        <w:t xml:space="preserve"> m</w:t>
      </w:r>
      <w:r w:rsidRPr="008D4809">
        <w:rPr>
          <w:rFonts w:eastAsia="SimSun"/>
          <w:vertAlign w:val="superscript"/>
        </w:rPr>
        <w:t>3</w:t>
      </w:r>
      <w:r>
        <w:rPr>
          <w:rFonts w:eastAsia="SimSun"/>
        </w:rPr>
        <w:t xml:space="preserve"> </w:t>
      </w:r>
      <w:r w:rsidRPr="002D5050">
        <w:rPr>
          <w:rFonts w:eastAsia="SimSun"/>
        </w:rPr>
        <w:t>s</w:t>
      </w:r>
      <w:r>
        <w:rPr>
          <w:rFonts w:eastAsia="SimSun"/>
          <w:vertAlign w:val="superscript"/>
        </w:rPr>
        <w:t>-1</w:t>
      </w:r>
      <w:r>
        <w:rPr>
          <w:rFonts w:eastAsia="SimSun"/>
        </w:rPr>
        <w:t xml:space="preserve"> (April 2012).  B</w:t>
      </w:r>
      <w:r w:rsidRPr="002D5050">
        <w:rPr>
          <w:rFonts w:eastAsia="SimSun"/>
        </w:rPr>
        <w:t xml:space="preserve">ased predominately on a chalk </w:t>
      </w:r>
      <w:r w:rsidRPr="002D5050">
        <w:rPr>
          <w:rFonts w:eastAsia="SimSun"/>
        </w:rPr>
        <w:lastRenderedPageBreak/>
        <w:t>aquifer</w:t>
      </w:r>
      <w:r>
        <w:rPr>
          <w:rFonts w:eastAsia="SimSun"/>
        </w:rPr>
        <w:t>, the river rises near East Meon and flows</w:t>
      </w:r>
      <w:r w:rsidRPr="002D5050">
        <w:rPr>
          <w:rFonts w:eastAsia="SimSun"/>
        </w:rPr>
        <w:t xml:space="preserve"> 31 km south to dischar</w:t>
      </w:r>
      <w:r>
        <w:rPr>
          <w:rFonts w:eastAsia="SimSun"/>
        </w:rPr>
        <w:t xml:space="preserve">ge into the Solent at Hill Head </w:t>
      </w:r>
      <w:r w:rsidRPr="002D5050">
        <w:rPr>
          <w:rFonts w:eastAsia="SimSun"/>
        </w:rPr>
        <w:t>via four counterbalanced top-</w:t>
      </w:r>
      <w:r>
        <w:rPr>
          <w:rFonts w:eastAsia="SimSun"/>
        </w:rPr>
        <w:t>hung tide gates (</w:t>
      </w:r>
      <w:r w:rsidRPr="002D5050">
        <w:rPr>
          <w:rFonts w:eastAsia="SimSun"/>
        </w:rPr>
        <w:t xml:space="preserve">each gate: </w:t>
      </w:r>
      <w:r>
        <w:rPr>
          <w:rFonts w:eastAsia="SimSun"/>
        </w:rPr>
        <w:t xml:space="preserve">height = 1.7 m, width = 2.3 </w:t>
      </w:r>
      <w:r w:rsidRPr="00151495">
        <w:rPr>
          <w:rFonts w:eastAsia="SimSun"/>
        </w:rPr>
        <w:t>m</w:t>
      </w:r>
      <w:r>
        <w:rPr>
          <w:rFonts w:eastAsia="SimSun"/>
        </w:rPr>
        <w:t>, Fig. 2a</w:t>
      </w:r>
      <w:r w:rsidRPr="002D5050">
        <w:rPr>
          <w:rFonts w:eastAsia="SimSun"/>
        </w:rPr>
        <w:t>)</w:t>
      </w:r>
      <w:r>
        <w:rPr>
          <w:rFonts w:eastAsia="SimSun"/>
        </w:rPr>
        <w:t xml:space="preserve">.  </w:t>
      </w:r>
      <w:r>
        <w:t xml:space="preserve">The tide gates remained open </w:t>
      </w:r>
      <w:r w:rsidRPr="00F21962">
        <w:t xml:space="preserve">for </w:t>
      </w:r>
      <w:r w:rsidRPr="00255A0D">
        <w:t>5.2 ± 0.3 h (mean ± SD</w:t>
      </w:r>
      <w:r w:rsidRPr="007E3C69">
        <w:t xml:space="preserve">) and 5.1 </w:t>
      </w:r>
      <w:r w:rsidRPr="007E3C69">
        <w:rPr>
          <w:rFonts w:cstheme="minorHAnsi"/>
        </w:rPr>
        <w:t>±</w:t>
      </w:r>
      <w:r w:rsidRPr="007E3C69">
        <w:t xml:space="preserve"> 0.2 h each </w:t>
      </w:r>
      <w:r>
        <w:t>tidal cycle at an angle of 42.0</w:t>
      </w:r>
      <w:r w:rsidRPr="007E3C69">
        <w:t xml:space="preserve"> </w:t>
      </w:r>
      <w:r>
        <w:rPr>
          <w:rFonts w:cstheme="minorHAnsi"/>
        </w:rPr>
        <w:t>± 9.</w:t>
      </w:r>
      <w:r w:rsidRPr="007E3C69">
        <w:rPr>
          <w:rFonts w:cstheme="minorHAnsi"/>
        </w:rPr>
        <w:t xml:space="preserve">8 </w:t>
      </w:r>
      <w:r w:rsidRPr="007E3C69">
        <w:rPr>
          <w:rFonts w:cstheme="minorHAnsi"/>
          <w:vertAlign w:val="superscript"/>
        </w:rPr>
        <w:t>o</w:t>
      </w:r>
      <w:r w:rsidRPr="007E3C69">
        <w:rPr>
          <w:rFonts w:cstheme="minorHAnsi"/>
        </w:rPr>
        <w:t xml:space="preserve"> </w:t>
      </w:r>
      <w:r>
        <w:t>and 45.3</w:t>
      </w:r>
      <w:r w:rsidRPr="007E3C69">
        <w:t xml:space="preserve"> </w:t>
      </w:r>
      <w:r w:rsidRPr="007E3C69">
        <w:rPr>
          <w:rFonts w:cstheme="minorHAnsi"/>
        </w:rPr>
        <w:t>±</w:t>
      </w:r>
      <w:r>
        <w:t xml:space="preserve"> 10.3</w:t>
      </w:r>
      <w:r w:rsidRPr="007E3C69">
        <w:t xml:space="preserve"> </w:t>
      </w:r>
      <w:r w:rsidRPr="007E3C69">
        <w:rPr>
          <w:vertAlign w:val="superscript"/>
        </w:rPr>
        <w:t>o</w:t>
      </w:r>
      <w:r w:rsidRPr="007E3C69">
        <w:t>,</w:t>
      </w:r>
      <w:r w:rsidRPr="00F21962">
        <w:t xml:space="preserve"> in </w:t>
      </w:r>
      <w:r>
        <w:t>April 2011 and 2012,</w:t>
      </w:r>
      <w:r w:rsidRPr="00F21962">
        <w:t xml:space="preserve"> respectively</w:t>
      </w:r>
      <w:r>
        <w:t xml:space="preserve">.  </w:t>
      </w:r>
      <w:r>
        <w:rPr>
          <w:rFonts w:eastAsia="SimSun"/>
        </w:rPr>
        <w:t>At Fishers Hill, approximately 4.9</w:t>
      </w:r>
      <w:r w:rsidRPr="002D5050">
        <w:rPr>
          <w:rFonts w:eastAsia="SimSun"/>
        </w:rPr>
        <w:t xml:space="preserve"> km upstream from</w:t>
      </w:r>
      <w:r>
        <w:rPr>
          <w:rFonts w:eastAsia="SimSun"/>
        </w:rPr>
        <w:t xml:space="preserve"> the tidal limit, t</w:t>
      </w:r>
      <w:r w:rsidRPr="002D5050">
        <w:rPr>
          <w:rFonts w:eastAsia="SimSun"/>
        </w:rPr>
        <w:t>he</w:t>
      </w:r>
      <w:r>
        <w:rPr>
          <w:rFonts w:eastAsia="SimSun"/>
        </w:rPr>
        <w:t xml:space="preserve"> ‘Natural Channel’</w:t>
      </w:r>
      <w:r w:rsidRPr="002D5050">
        <w:rPr>
          <w:rFonts w:eastAsia="SimSun"/>
        </w:rPr>
        <w:t xml:space="preserve"> bifurcates into a manmade ‘Canal’.  </w:t>
      </w:r>
      <w:r>
        <w:rPr>
          <w:rFonts w:eastAsia="SimSun"/>
        </w:rPr>
        <w:t xml:space="preserve">The river is </w:t>
      </w:r>
      <w:r w:rsidRPr="002D5050">
        <w:rPr>
          <w:rFonts w:eastAsia="SimSun"/>
        </w:rPr>
        <w:t xml:space="preserve">designated </w:t>
      </w:r>
      <w:r>
        <w:rPr>
          <w:rFonts w:eastAsia="SimSun"/>
        </w:rPr>
        <w:t xml:space="preserve">a </w:t>
      </w:r>
      <w:r w:rsidRPr="002D5050">
        <w:rPr>
          <w:rFonts w:eastAsia="SimSun"/>
        </w:rPr>
        <w:t>Site of Importance for Nature Conservation</w:t>
      </w:r>
      <w:r>
        <w:rPr>
          <w:rFonts w:eastAsia="SimSun"/>
        </w:rPr>
        <w:t>, a</w:t>
      </w:r>
      <w:r w:rsidRPr="002D5050">
        <w:rPr>
          <w:rFonts w:eastAsia="SimSun"/>
        </w:rPr>
        <w:t xml:space="preserve"> Site of Special Scientific Interest</w:t>
      </w:r>
      <w:r>
        <w:rPr>
          <w:rFonts w:eastAsia="SimSun"/>
        </w:rPr>
        <w:t xml:space="preserve"> </w:t>
      </w:r>
      <w:r w:rsidRPr="002D5050">
        <w:rPr>
          <w:rFonts w:eastAsia="SimSun"/>
        </w:rPr>
        <w:t>at Titchfield</w:t>
      </w:r>
      <w:r>
        <w:rPr>
          <w:rFonts w:eastAsia="SimSun"/>
        </w:rPr>
        <w:t xml:space="preserve"> Haven Nature Reserve (Fig. 1), and </w:t>
      </w:r>
      <w:r w:rsidRPr="002D5050">
        <w:rPr>
          <w:rFonts w:eastAsia="SimSun"/>
        </w:rPr>
        <w:t>has an established annual sea trout smolt run during March and April (Environment Agency, pers. comm.</w:t>
      </w:r>
      <w:r>
        <w:rPr>
          <w:rFonts w:eastAsia="SimSun"/>
        </w:rPr>
        <w:t>)</w:t>
      </w:r>
      <w:r w:rsidRPr="004D3893">
        <w:rPr>
          <w:rFonts w:eastAsia="SimSun"/>
        </w:rPr>
        <w:t>.</w:t>
      </w:r>
      <w:r>
        <w:rPr>
          <w:rFonts w:eastAsia="SimSun"/>
        </w:rPr>
        <w:t xml:space="preserve"> </w:t>
      </w:r>
      <w:r w:rsidRPr="008D4809">
        <w:rPr>
          <w:rFonts w:eastAsia="SimSun"/>
        </w:rPr>
        <w:t xml:space="preserve"> </w:t>
      </w:r>
      <w:r w:rsidRPr="002D5050">
        <w:rPr>
          <w:rFonts w:eastAsia="SimSun"/>
        </w:rPr>
        <w:t xml:space="preserve">In March 2012, the Environment Agency </w:t>
      </w:r>
      <w:r>
        <w:rPr>
          <w:rFonts w:eastAsia="SimSun"/>
        </w:rPr>
        <w:t>replaced the tide gates, with the addition of</w:t>
      </w:r>
      <w:r w:rsidRPr="002D5050">
        <w:rPr>
          <w:rFonts w:eastAsia="SimSun"/>
        </w:rPr>
        <w:t xml:space="preserve"> a </w:t>
      </w:r>
      <w:r w:rsidRPr="004D3893">
        <w:rPr>
          <w:rFonts w:eastAsia="SimSun"/>
        </w:rPr>
        <w:t>300 mm</w:t>
      </w:r>
      <w:r w:rsidRPr="002D5050">
        <w:rPr>
          <w:rFonts w:eastAsia="SimSun"/>
        </w:rPr>
        <w:t xml:space="preserve"> diameter circular ori</w:t>
      </w:r>
      <w:r>
        <w:rPr>
          <w:rFonts w:eastAsia="SimSun"/>
        </w:rPr>
        <w:t>fice in gates 1 and 4 (</w:t>
      </w:r>
      <w:r w:rsidRPr="00456A7E">
        <w:rPr>
          <w:rFonts w:eastAsia="SimSun"/>
        </w:rPr>
        <w:t>Fig</w:t>
      </w:r>
      <w:r>
        <w:rPr>
          <w:rFonts w:eastAsia="SimSun"/>
        </w:rPr>
        <w:t>.</w:t>
      </w:r>
      <w:r w:rsidRPr="00456A7E">
        <w:rPr>
          <w:rFonts w:eastAsia="SimSun"/>
        </w:rPr>
        <w:t xml:space="preserve"> </w:t>
      </w:r>
      <w:r>
        <w:rPr>
          <w:rFonts w:eastAsia="SimSun"/>
        </w:rPr>
        <w:t>2b</w:t>
      </w:r>
      <w:r w:rsidRPr="002D5050">
        <w:rPr>
          <w:rFonts w:eastAsia="SimSun"/>
        </w:rPr>
        <w:t xml:space="preserve">) to prevent </w:t>
      </w:r>
      <w:r>
        <w:rPr>
          <w:rFonts w:eastAsia="SimSun"/>
        </w:rPr>
        <w:t xml:space="preserve">avian disease from </w:t>
      </w:r>
      <w:r w:rsidRPr="00A45C80">
        <w:rPr>
          <w:rFonts w:eastAsia="SimSun"/>
          <w:i/>
          <w:iCs/>
        </w:rPr>
        <w:t>Clostridium botulinum</w:t>
      </w:r>
      <w:r>
        <w:rPr>
          <w:rFonts w:eastAsia="SimSun"/>
        </w:rPr>
        <w:t xml:space="preserve"> toxins by </w:t>
      </w:r>
      <w:r w:rsidRPr="000D3032">
        <w:rPr>
          <w:rFonts w:eastAsia="SimSun"/>
        </w:rPr>
        <w:t>increasing tidal incursion upstream</w:t>
      </w:r>
      <w:r>
        <w:rPr>
          <w:rFonts w:eastAsia="SimSun"/>
        </w:rPr>
        <w:t xml:space="preserve"> </w:t>
      </w:r>
      <w:r>
        <w:rPr>
          <w:rFonts w:eastAsia="SimSun"/>
          <w:noProof/>
        </w:rPr>
        <w:t>(Jubilo and Lamarque, 1999)</w:t>
      </w:r>
      <w:r>
        <w:rPr>
          <w:rFonts w:eastAsia="SimSun"/>
        </w:rPr>
        <w:t xml:space="preserve">, </w:t>
      </w:r>
      <w:r w:rsidRPr="00A45C80">
        <w:rPr>
          <w:rFonts w:eastAsia="SimSun"/>
        </w:rPr>
        <w:t xml:space="preserve">and </w:t>
      </w:r>
      <w:r>
        <w:rPr>
          <w:rFonts w:eastAsia="SimSun"/>
        </w:rPr>
        <w:t xml:space="preserve">to </w:t>
      </w:r>
      <w:r w:rsidRPr="00A45C80">
        <w:rPr>
          <w:rFonts w:eastAsia="SimSun"/>
        </w:rPr>
        <w:t xml:space="preserve">aid diadromous fish passage.  </w:t>
      </w:r>
      <w:r>
        <w:rPr>
          <w:rFonts w:eastAsia="SimSun"/>
        </w:rPr>
        <w:t>The orifices remained fully open throughout each tidal cycle.</w:t>
      </w:r>
      <w:r w:rsidRPr="00D51387">
        <w:rPr>
          <w:b/>
          <w:noProof/>
          <w:sz w:val="20"/>
          <w:szCs w:val="20"/>
          <w:lang w:eastAsia="zh-CN"/>
        </w:rPr>
        <w:t xml:space="preserve"> </w:t>
      </w:r>
    </w:p>
    <w:p w:rsidR="00841750" w:rsidRDefault="00841750" w:rsidP="00160343">
      <w:pPr>
        <w:rPr>
          <w:b/>
          <w:noProof/>
          <w:sz w:val="20"/>
          <w:szCs w:val="20"/>
          <w:lang w:eastAsia="zh-CN"/>
        </w:rPr>
      </w:pPr>
    </w:p>
    <w:p w:rsidR="00C60A99" w:rsidRDefault="00C60A99" w:rsidP="00160343">
      <w:pPr>
        <w:rPr>
          <w:b/>
          <w:noProof/>
          <w:sz w:val="20"/>
          <w:szCs w:val="20"/>
          <w:lang w:eastAsia="zh-CN"/>
        </w:rPr>
      </w:pPr>
    </w:p>
    <w:p w:rsidR="00841750" w:rsidRDefault="00841750" w:rsidP="00160343">
      <w:pPr>
        <w:rPr>
          <w:b/>
          <w:noProof/>
          <w:sz w:val="20"/>
          <w:szCs w:val="20"/>
          <w:lang w:eastAsia="zh-CN"/>
        </w:rPr>
      </w:pPr>
    </w:p>
    <w:p w:rsidR="00841750" w:rsidRDefault="00841750" w:rsidP="00841750">
      <w:pPr>
        <w:jc w:val="center"/>
        <w:rPr>
          <w:b/>
          <w:noProof/>
          <w:sz w:val="20"/>
          <w:szCs w:val="20"/>
          <w:lang w:eastAsia="zh-CN"/>
        </w:rPr>
      </w:pPr>
      <w:r>
        <w:rPr>
          <w:b/>
          <w:noProof/>
          <w:sz w:val="20"/>
          <w:szCs w:val="20"/>
          <w:lang w:eastAsia="zh-CN"/>
        </w:rPr>
        <w:lastRenderedPageBreak/>
        <w:drawing>
          <wp:inline distT="0" distB="0" distL="0" distR="0">
            <wp:extent cx="4455446" cy="46386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60023" cy="4643441"/>
                    </a:xfrm>
                    <a:prstGeom prst="rect">
                      <a:avLst/>
                    </a:prstGeom>
                  </pic:spPr>
                </pic:pic>
              </a:graphicData>
            </a:graphic>
          </wp:inline>
        </w:drawing>
      </w:r>
    </w:p>
    <w:p w:rsidR="00C60A99" w:rsidRDefault="00C60A99" w:rsidP="00525E94">
      <w:pPr>
        <w:rPr>
          <w:rFonts w:eastAsia="SimSun"/>
          <w:sz w:val="20"/>
          <w:szCs w:val="20"/>
        </w:rPr>
      </w:pPr>
    </w:p>
    <w:p w:rsidR="00A92636" w:rsidRPr="00C60A99" w:rsidRDefault="00C60A99" w:rsidP="00525E94">
      <w:pPr>
        <w:rPr>
          <w:rFonts w:eastAsia="SimSun"/>
          <w:sz w:val="20"/>
          <w:szCs w:val="20"/>
        </w:rPr>
      </w:pPr>
      <w:r>
        <w:rPr>
          <w:rFonts w:eastAsia="SimSun"/>
          <w:b/>
          <w:bCs/>
          <w:noProof/>
          <w:sz w:val="20"/>
          <w:szCs w:val="20"/>
          <w:lang w:eastAsia="zh-CN"/>
        </w:rPr>
        <mc:AlternateContent>
          <mc:Choice Requires="wps">
            <w:drawing>
              <wp:anchor distT="0" distB="0" distL="114300" distR="114300" simplePos="0" relativeHeight="251658240" behindDoc="0" locked="0" layoutInCell="1" allowOverlap="1">
                <wp:simplePos x="0" y="0"/>
                <wp:positionH relativeFrom="column">
                  <wp:posOffset>1299210</wp:posOffset>
                </wp:positionH>
                <wp:positionV relativeFrom="paragraph">
                  <wp:posOffset>294005</wp:posOffset>
                </wp:positionV>
                <wp:extent cx="47625" cy="45085"/>
                <wp:effectExtent l="0" t="0" r="28575" b="12065"/>
                <wp:wrapNone/>
                <wp:docPr id="306" name="Oval 3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7625" cy="45085"/>
                        </a:xfrm>
                        <a:prstGeom prst="ellipse">
                          <a:avLst/>
                        </a:prstGeom>
                        <a:solidFill>
                          <a:sysClr val="windowText" lastClr="000000"/>
                        </a:solidFill>
                        <a:ln w="25400">
                          <a:solidFill>
                            <a:sysClr val="windowText" lastClr="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6" o:spid="_x0000_s1026" style="position:absolute;margin-left:102.3pt;margin-top:23.15pt;width:3.7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" fillcolor="windowText" strokecolor="windowText" strokeweight="2pt"/>
            </w:pict>
          </mc:Fallback>
        </mc:AlternateContent>
      </w:r>
      <w:proofErr w:type="gramStart"/>
      <w:r w:rsidRPr="00C60A99">
        <w:rPr>
          <w:rFonts w:eastAsia="SimSun"/>
          <w:b/>
          <w:bCs/>
          <w:sz w:val="20"/>
          <w:szCs w:val="20"/>
        </w:rPr>
        <w:t>Fig. 1.</w:t>
      </w:r>
      <w:proofErr w:type="gramEnd"/>
      <w:r w:rsidRPr="00C60A99">
        <w:rPr>
          <w:rFonts w:eastAsia="SimSun"/>
          <w:sz w:val="20"/>
          <w:szCs w:val="20"/>
        </w:rPr>
        <w:t xml:space="preserve"> The lower River Meon in Hampshire, UK, flowing through Titchfield Haven into the Solent.  Acoustic receivers 1 – 6 (    ) were deployed to assess the passage efficiency and delay of seaward migrating juvenile sea trout (smolts) released approximately 4.9 km upstream of receiver 1 at Fishers Hill (not shown).  The speed of migration through control reaches A (receivers 1-3) and C (receivers 5-6) in April 2011 and 2012 were compared with those through the treatment reach B (receivers 3-5) containing 4 tide gates, with the addition of 2 orifices in year 2.  </w:t>
      </w:r>
    </w:p>
    <w:p w:rsidR="00C60A99" w:rsidRDefault="00C60A99" w:rsidP="00525E94">
      <w:pPr>
        <w:rPr>
          <w:rFonts w:eastAsia="SimSun"/>
        </w:rPr>
      </w:pPr>
    </w:p>
    <w:p w:rsidR="00C60A99" w:rsidRDefault="00C60A99" w:rsidP="00525E94">
      <w:pPr>
        <w:rPr>
          <w:rFonts w:eastAsia="SimSun"/>
        </w:rPr>
      </w:pPr>
      <w:r>
        <w:rPr>
          <w:rFonts w:eastAsia="SimSun"/>
          <w:noProof/>
          <w:lang w:eastAsia="zh-CN"/>
        </w:rPr>
        <w:lastRenderedPageBreak/>
        <w:drawing>
          <wp:inline distT="0" distB="0" distL="0" distR="0">
            <wp:extent cx="5400040" cy="23653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2 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40" cy="2365375"/>
                    </a:xfrm>
                    <a:prstGeom prst="rect">
                      <a:avLst/>
                    </a:prstGeom>
                  </pic:spPr>
                </pic:pic>
              </a:graphicData>
            </a:graphic>
          </wp:inline>
        </w:drawing>
      </w:r>
    </w:p>
    <w:p w:rsidR="00C60A99" w:rsidRDefault="00C60A99" w:rsidP="00525E94">
      <w:pPr>
        <w:rPr>
          <w:rFonts w:eastAsia="SimSun"/>
        </w:rPr>
      </w:pPr>
    </w:p>
    <w:p w:rsidR="00C60A99" w:rsidRPr="00C60A99" w:rsidRDefault="00C60A99" w:rsidP="00525E94">
      <w:pPr>
        <w:rPr>
          <w:rFonts w:eastAsia="SimSun"/>
          <w:sz w:val="20"/>
          <w:szCs w:val="20"/>
        </w:rPr>
      </w:pPr>
      <w:proofErr w:type="gramStart"/>
      <w:r w:rsidRPr="00C60A99">
        <w:rPr>
          <w:rFonts w:eastAsia="SimSun"/>
          <w:b/>
          <w:bCs/>
          <w:sz w:val="20"/>
          <w:szCs w:val="20"/>
        </w:rPr>
        <w:t>Fig. 2.</w:t>
      </w:r>
      <w:proofErr w:type="gramEnd"/>
      <w:r w:rsidRPr="00C60A99">
        <w:rPr>
          <w:rFonts w:eastAsia="SimSun"/>
          <w:sz w:val="20"/>
          <w:szCs w:val="20"/>
        </w:rPr>
        <w:t xml:space="preserve"> (a) Four counterbalanced top-hung tide gates on the River Meon at Hill Head, Hampshire, UK in 2011 (year 1), pre installation of orifices; (b) orifices were installed in two of the gates in 2012 (year 2).  </w:t>
      </w:r>
    </w:p>
    <w:p w:rsidR="00C60A99" w:rsidRDefault="00C60A99" w:rsidP="00525E94">
      <w:pPr>
        <w:rPr>
          <w:rFonts w:eastAsia="SimSun"/>
        </w:rPr>
      </w:pPr>
    </w:p>
    <w:p w:rsidR="00A92636" w:rsidRPr="007A5A20" w:rsidRDefault="00A92636" w:rsidP="00F60862">
      <w:pPr>
        <w:pStyle w:val="Heading3"/>
        <w:rPr>
          <w:rFonts w:eastAsia="SimSun"/>
        </w:rPr>
      </w:pPr>
      <w:r w:rsidRPr="007A5A20">
        <w:rPr>
          <w:rFonts w:eastAsia="SimSun"/>
        </w:rPr>
        <w:t>2.2. Fish capture and telemetry</w:t>
      </w:r>
    </w:p>
    <w:p w:rsidR="00A92636" w:rsidRPr="004911F8" w:rsidRDefault="00A92636" w:rsidP="00525E94">
      <w:pPr>
        <w:rPr>
          <w:rFonts w:eastAsia="SimSun"/>
        </w:rPr>
      </w:pPr>
    </w:p>
    <w:p w:rsidR="00A92636" w:rsidRDefault="00A92636" w:rsidP="00525E94">
      <w:pPr>
        <w:rPr>
          <w:rFonts w:eastAsia="SimSun"/>
        </w:rPr>
      </w:pPr>
      <w:r>
        <w:rPr>
          <w:rFonts w:eastAsia="SimSun"/>
        </w:rPr>
        <w:t xml:space="preserve">Actively migrating wild </w:t>
      </w:r>
      <w:r w:rsidRPr="004911F8">
        <w:rPr>
          <w:rFonts w:eastAsia="SimSun"/>
        </w:rPr>
        <w:t xml:space="preserve">smolts </w:t>
      </w:r>
      <w:r>
        <w:rPr>
          <w:rFonts w:eastAsia="SimSun"/>
        </w:rPr>
        <w:t xml:space="preserve">were caught at Fishers Hill </w:t>
      </w:r>
      <w:r w:rsidRPr="00B93CEA">
        <w:rPr>
          <w:rFonts w:eastAsia="SimSun"/>
        </w:rPr>
        <w:t xml:space="preserve">during five nights between 6 and 12 </w:t>
      </w:r>
      <w:r>
        <w:rPr>
          <w:rFonts w:eastAsia="SimSun"/>
        </w:rPr>
        <w:t>April 2011 (year 1) and three</w:t>
      </w:r>
      <w:r w:rsidRPr="00B93CEA">
        <w:rPr>
          <w:rFonts w:eastAsia="SimSun"/>
        </w:rPr>
        <w:t xml:space="preserve"> nights between 3 and 5 April 2012 (year 2</w:t>
      </w:r>
      <w:r>
        <w:rPr>
          <w:rFonts w:eastAsia="SimSun"/>
        </w:rPr>
        <w:t>).  W</w:t>
      </w:r>
      <w:r w:rsidRPr="004911F8">
        <w:rPr>
          <w:rFonts w:eastAsia="SimSun"/>
        </w:rPr>
        <w:t>inged fyke net</w:t>
      </w:r>
      <w:r>
        <w:rPr>
          <w:rFonts w:eastAsia="SimSun"/>
        </w:rPr>
        <w:t>s</w:t>
      </w:r>
      <w:r w:rsidRPr="004911F8">
        <w:rPr>
          <w:rFonts w:eastAsia="SimSun"/>
        </w:rPr>
        <w:t xml:space="preserve"> with a fine mesh (1 mm) catch box (height = 1.0 m, width = 0.5</w:t>
      </w:r>
      <w:r>
        <w:rPr>
          <w:rFonts w:eastAsia="SimSun"/>
        </w:rPr>
        <w:t xml:space="preserve"> </w:t>
      </w:r>
      <w:r w:rsidRPr="004911F8">
        <w:rPr>
          <w:rFonts w:eastAsia="SimSun"/>
        </w:rPr>
        <w:t>m, length = 0.5</w:t>
      </w:r>
      <w:r>
        <w:rPr>
          <w:rFonts w:eastAsia="SimSun"/>
        </w:rPr>
        <w:t xml:space="preserve"> m) at the distal end were</w:t>
      </w:r>
      <w:r w:rsidRPr="004911F8">
        <w:rPr>
          <w:rFonts w:eastAsia="SimSun"/>
        </w:rPr>
        <w:t xml:space="preserve"> deployed i</w:t>
      </w:r>
      <w:r>
        <w:rPr>
          <w:rFonts w:eastAsia="SimSun"/>
        </w:rPr>
        <w:t>n the Canal and Natural Channel during darkness between 2100h and 0300h British Summer Time (BST)</w:t>
      </w:r>
      <w:r w:rsidRPr="004911F8">
        <w:rPr>
          <w:rFonts w:eastAsia="SimSun"/>
        </w:rPr>
        <w:t xml:space="preserve"> and checked every hour.  In both years, a total of 30 smolts were retained for tagging, 10</w:t>
      </w:r>
      <w:r>
        <w:rPr>
          <w:rFonts w:eastAsia="SimSun"/>
        </w:rPr>
        <w:t xml:space="preserve"> and 11 from the Natural C</w:t>
      </w:r>
      <w:r w:rsidRPr="004911F8">
        <w:rPr>
          <w:rFonts w:eastAsia="SimSun"/>
        </w:rPr>
        <w:t xml:space="preserve">hannel </w:t>
      </w:r>
      <w:r>
        <w:rPr>
          <w:rFonts w:eastAsia="SimSun"/>
        </w:rPr>
        <w:t>and 20 and 19 from the Canal in years 1</w:t>
      </w:r>
      <w:r w:rsidRPr="004911F8">
        <w:rPr>
          <w:rFonts w:eastAsia="SimSun"/>
        </w:rPr>
        <w:t xml:space="preserve"> </w:t>
      </w:r>
      <w:r>
        <w:rPr>
          <w:rFonts w:eastAsia="SimSun"/>
        </w:rPr>
        <w:t>and 2, respectively.</w:t>
      </w:r>
    </w:p>
    <w:p w:rsidR="00A92636" w:rsidRDefault="00A92636" w:rsidP="00525E94">
      <w:pPr>
        <w:rPr>
          <w:rFonts w:eastAsia="SimSun"/>
        </w:rPr>
      </w:pPr>
    </w:p>
    <w:p w:rsidR="00A92636" w:rsidRPr="001749DE" w:rsidRDefault="00A92636" w:rsidP="009D2701">
      <w:pPr>
        <w:rPr>
          <w:rFonts w:eastAsia="SimSun"/>
          <w:highlight w:val="yellow"/>
        </w:rPr>
      </w:pPr>
      <w:r w:rsidRPr="00986E71">
        <w:rPr>
          <w:rFonts w:eastAsia="SimSun"/>
        </w:rPr>
        <w:t xml:space="preserve">Smolts were </w:t>
      </w:r>
      <w:r w:rsidR="00886403" w:rsidRPr="00886403">
        <w:rPr>
          <w:rFonts w:eastAsia="SimSun"/>
        </w:rPr>
        <w:t xml:space="preserve">held in aerated water at ambient river temperature for a maximum of </w:t>
      </w:r>
      <w:r w:rsidR="009D2701">
        <w:rPr>
          <w:rFonts w:eastAsia="SimSun"/>
        </w:rPr>
        <w:t>1 hour</w:t>
      </w:r>
      <w:r w:rsidR="00886403" w:rsidRPr="00886403">
        <w:rPr>
          <w:rFonts w:eastAsia="SimSun"/>
        </w:rPr>
        <w:t xml:space="preserve"> prior to being </w:t>
      </w:r>
      <w:r w:rsidRPr="00986E71">
        <w:rPr>
          <w:rFonts w:eastAsia="SimSun"/>
        </w:rPr>
        <w:t xml:space="preserve">anaesthetised with </w:t>
      </w:r>
      <w:r w:rsidRPr="00730B24">
        <w:rPr>
          <w:rFonts w:eastAsia="SimSun"/>
        </w:rPr>
        <w:t>MS-222 (</w:t>
      </w:r>
      <w:r w:rsidRPr="001749DE">
        <w:rPr>
          <w:rFonts w:eastAsia="SimSun"/>
        </w:rPr>
        <w:t>100 mg L</w:t>
      </w:r>
      <w:r w:rsidRPr="001749DE">
        <w:rPr>
          <w:rFonts w:eastAsia="SimSun"/>
          <w:vertAlign w:val="superscript"/>
        </w:rPr>
        <w:t>-1</w:t>
      </w:r>
      <w:r w:rsidRPr="00986E71">
        <w:rPr>
          <w:rFonts w:eastAsia="SimSun"/>
        </w:rPr>
        <w:t>; buffered to pH 7.0 with NaHCO</w:t>
      </w:r>
      <w:r w:rsidRPr="00896475">
        <w:rPr>
          <w:rFonts w:eastAsia="SimSun"/>
          <w:vertAlign w:val="subscript"/>
        </w:rPr>
        <w:t>3</w:t>
      </w:r>
      <w:r w:rsidRPr="00986E71">
        <w:rPr>
          <w:rFonts w:eastAsia="SimSun"/>
        </w:rPr>
        <w:t xml:space="preserve">) and mass and </w:t>
      </w:r>
      <w:r>
        <w:rPr>
          <w:rFonts w:eastAsia="SimSun"/>
        </w:rPr>
        <w:t xml:space="preserve">fork </w:t>
      </w:r>
      <w:r w:rsidRPr="00986E71">
        <w:rPr>
          <w:rFonts w:eastAsia="SimSun"/>
        </w:rPr>
        <w:t xml:space="preserve">length </w:t>
      </w:r>
      <w:r>
        <w:rPr>
          <w:rFonts w:eastAsia="SimSun"/>
        </w:rPr>
        <w:t xml:space="preserve">(FL) </w:t>
      </w:r>
      <w:r w:rsidRPr="00986E71">
        <w:rPr>
          <w:rFonts w:eastAsia="SimSun"/>
        </w:rPr>
        <w:t>measured</w:t>
      </w:r>
      <w:r w:rsidRPr="00E60355">
        <w:rPr>
          <w:rFonts w:eastAsia="SimSun"/>
        </w:rPr>
        <w:t xml:space="preserve"> (n = 30, FL</w:t>
      </w:r>
      <w:r>
        <w:rPr>
          <w:rFonts w:eastAsia="SimSun"/>
        </w:rPr>
        <w:t xml:space="preserve"> [mean </w:t>
      </w:r>
      <w:r w:rsidRPr="0041279D">
        <w:rPr>
          <w:rFonts w:eastAsia="SimSun" w:cstheme="minorHAnsi"/>
        </w:rPr>
        <w:t>±</w:t>
      </w:r>
      <w:r w:rsidRPr="0041279D">
        <w:rPr>
          <w:rFonts w:eastAsia="SimSun"/>
        </w:rPr>
        <w:t xml:space="preserve"> SD</w:t>
      </w:r>
      <w:r>
        <w:rPr>
          <w:rFonts w:eastAsia="SimSun"/>
        </w:rPr>
        <w:t xml:space="preserve">] = 195.3 ± 14.8 </w:t>
      </w:r>
      <w:r w:rsidRPr="00E60355">
        <w:rPr>
          <w:rFonts w:eastAsia="SimSun"/>
        </w:rPr>
        <w:t>mm, m</w:t>
      </w:r>
      <w:r w:rsidRPr="007D61A8">
        <w:rPr>
          <w:rFonts w:eastAsia="SimSun"/>
        </w:rPr>
        <w:t>ass = 77.3 ± 17.4 g in year 1;</w:t>
      </w:r>
      <w:r>
        <w:rPr>
          <w:rFonts w:eastAsia="SimSun"/>
        </w:rPr>
        <w:t xml:space="preserve"> n = 30, FL = 202.0 ± 14.0</w:t>
      </w:r>
      <w:r w:rsidRPr="007D61A8">
        <w:rPr>
          <w:rFonts w:eastAsia="SimSun"/>
        </w:rPr>
        <w:t xml:space="preserve"> mm, mass = 78.7 ± 14.9 g in year 2)</w:t>
      </w:r>
      <w:r w:rsidR="00B1495F">
        <w:rPr>
          <w:rFonts w:eastAsia="SimSun"/>
        </w:rPr>
        <w:t>.  Smolts were then</w:t>
      </w:r>
      <w:r>
        <w:rPr>
          <w:rFonts w:eastAsia="SimSun"/>
        </w:rPr>
        <w:t xml:space="preserve"> tagged</w:t>
      </w:r>
      <w:r w:rsidRPr="00986E71">
        <w:rPr>
          <w:rFonts w:eastAsia="SimSun"/>
        </w:rPr>
        <w:t xml:space="preserve"> with an acous</w:t>
      </w:r>
      <w:r>
        <w:rPr>
          <w:rFonts w:eastAsia="SimSun"/>
        </w:rPr>
        <w:t>tic transmitter (Vemco,</w:t>
      </w:r>
      <w:r w:rsidRPr="00986E71">
        <w:rPr>
          <w:rFonts w:eastAsia="SimSun"/>
        </w:rPr>
        <w:t xml:space="preserve"> Nova Scotia, Canada; Model V7-2L, 7</w:t>
      </w:r>
      <w:r>
        <w:rPr>
          <w:rFonts w:eastAsia="SimSun"/>
        </w:rPr>
        <w:t xml:space="preserve"> </w:t>
      </w:r>
      <w:r w:rsidRPr="00986E71">
        <w:rPr>
          <w:rFonts w:eastAsia="SimSun"/>
        </w:rPr>
        <w:t>mm diameter, 18.5</w:t>
      </w:r>
      <w:r>
        <w:rPr>
          <w:rFonts w:eastAsia="SimSun"/>
        </w:rPr>
        <w:t xml:space="preserve"> </w:t>
      </w:r>
      <w:r w:rsidRPr="00986E71">
        <w:rPr>
          <w:rFonts w:eastAsia="SimSun"/>
        </w:rPr>
        <w:t>mm length, 1.6</w:t>
      </w:r>
      <w:r>
        <w:rPr>
          <w:rFonts w:eastAsia="SimSun"/>
        </w:rPr>
        <w:t xml:space="preserve"> </w:t>
      </w:r>
      <w:r w:rsidRPr="00986E71">
        <w:rPr>
          <w:rFonts w:eastAsia="SimSun"/>
        </w:rPr>
        <w:t xml:space="preserve">g </w:t>
      </w:r>
      <w:r w:rsidRPr="007969D3">
        <w:rPr>
          <w:rFonts w:eastAsia="SimSun"/>
        </w:rPr>
        <w:t>mass</w:t>
      </w:r>
      <w:r w:rsidRPr="00986E71">
        <w:rPr>
          <w:rFonts w:eastAsia="SimSun"/>
        </w:rPr>
        <w:t>, 0.75</w:t>
      </w:r>
      <w:r>
        <w:rPr>
          <w:rFonts w:eastAsia="SimSun"/>
        </w:rPr>
        <w:t xml:space="preserve"> </w:t>
      </w:r>
      <w:r w:rsidRPr="00986E71">
        <w:rPr>
          <w:rFonts w:eastAsia="SimSun"/>
        </w:rPr>
        <w:t xml:space="preserve">g </w:t>
      </w:r>
      <w:r>
        <w:rPr>
          <w:rFonts w:eastAsia="SimSun"/>
        </w:rPr>
        <w:t>weight</w:t>
      </w:r>
      <w:r w:rsidRPr="00986E71">
        <w:rPr>
          <w:rFonts w:eastAsia="SimSun"/>
        </w:rPr>
        <w:t xml:space="preserve"> in water, 30 second pulse rate) via a ven</w:t>
      </w:r>
      <w:r>
        <w:rPr>
          <w:rFonts w:eastAsia="SimSun"/>
        </w:rPr>
        <w:t xml:space="preserve">tral incision </w:t>
      </w:r>
      <w:r w:rsidRPr="00986E71">
        <w:rPr>
          <w:rFonts w:eastAsia="SimSun"/>
        </w:rPr>
        <w:t xml:space="preserve">sutured with 5-0 coated </w:t>
      </w:r>
      <w:proofErr w:type="spellStart"/>
      <w:r w:rsidRPr="00986E71">
        <w:rPr>
          <w:rFonts w:eastAsia="SimSun"/>
        </w:rPr>
        <w:t>Vicryl</w:t>
      </w:r>
      <w:proofErr w:type="spellEnd"/>
      <w:r w:rsidRPr="00986E71">
        <w:rPr>
          <w:rFonts w:eastAsia="SimSun"/>
        </w:rPr>
        <w:t xml:space="preserve"> absorbable sutures (Ethi</w:t>
      </w:r>
      <w:r>
        <w:rPr>
          <w:rFonts w:eastAsia="SimSun"/>
        </w:rPr>
        <w:t>con, New Jersey, USA), in compliance with UK Home Office regulations</w:t>
      </w:r>
      <w:r w:rsidRPr="00DF3258">
        <w:t xml:space="preserve"> </w:t>
      </w:r>
      <w:r>
        <w:t xml:space="preserve">under </w:t>
      </w:r>
      <w:r>
        <w:rPr>
          <w:rFonts w:eastAsia="SimSun"/>
        </w:rPr>
        <w:t>t</w:t>
      </w:r>
      <w:r w:rsidRPr="00DF3258">
        <w:rPr>
          <w:rFonts w:eastAsia="SimSun"/>
        </w:rPr>
        <w:t xml:space="preserve">he Animals (Scientific Procedures) Act </w:t>
      </w:r>
      <w:r>
        <w:rPr>
          <w:rFonts w:eastAsia="SimSun"/>
        </w:rPr>
        <w:t xml:space="preserve">1986.  </w:t>
      </w:r>
      <w:r w:rsidRPr="005F692E">
        <w:rPr>
          <w:rFonts w:eastAsia="SimSun"/>
        </w:rPr>
        <w:t>Mean (</w:t>
      </w:r>
      <w:r w:rsidRPr="005F692E">
        <w:rPr>
          <w:rFonts w:eastAsia="SimSun" w:cstheme="minorHAnsi"/>
        </w:rPr>
        <w:t>±</w:t>
      </w:r>
      <w:r w:rsidRPr="005F692E">
        <w:rPr>
          <w:rFonts w:eastAsia="SimSun"/>
        </w:rPr>
        <w:t xml:space="preserve"> SD) transmitter mass was 2.2% (± 0.5%) of smolt body mass in year 1,</w:t>
      </w:r>
      <w:r w:rsidRPr="004C5E8E">
        <w:rPr>
          <w:rFonts w:eastAsia="SimSun"/>
        </w:rPr>
        <w:t xml:space="preserve"> and </w:t>
      </w:r>
      <w:r>
        <w:rPr>
          <w:rFonts w:eastAsia="SimSun"/>
        </w:rPr>
        <w:t>2.1% (± 0.3%) in year 2.  Mean (</w:t>
      </w:r>
      <w:r w:rsidRPr="0041279D">
        <w:rPr>
          <w:rFonts w:eastAsia="SimSun" w:cstheme="minorHAnsi"/>
        </w:rPr>
        <w:t>±</w:t>
      </w:r>
      <w:r w:rsidRPr="0041279D">
        <w:rPr>
          <w:rFonts w:eastAsia="SimSun"/>
        </w:rPr>
        <w:t xml:space="preserve"> SD</w:t>
      </w:r>
      <w:r>
        <w:rPr>
          <w:rFonts w:eastAsia="SimSun"/>
        </w:rPr>
        <w:t>) t</w:t>
      </w:r>
      <w:r w:rsidRPr="004C5E8E">
        <w:rPr>
          <w:rFonts w:eastAsia="SimSun"/>
        </w:rPr>
        <w:t xml:space="preserve">ransmitter length </w:t>
      </w:r>
      <w:r>
        <w:rPr>
          <w:rFonts w:eastAsia="SimSun"/>
        </w:rPr>
        <w:t xml:space="preserve">was </w:t>
      </w:r>
      <w:r w:rsidRPr="004C5E8E">
        <w:rPr>
          <w:rFonts w:eastAsia="SimSun"/>
        </w:rPr>
        <w:t>9</w:t>
      </w:r>
      <w:r>
        <w:rPr>
          <w:rFonts w:eastAsia="SimSun"/>
        </w:rPr>
        <w:t xml:space="preserve">.5% (± 0.7%) of </w:t>
      </w:r>
      <w:r w:rsidRPr="004C5E8E">
        <w:rPr>
          <w:rFonts w:eastAsia="SimSun"/>
        </w:rPr>
        <w:t xml:space="preserve">FL in year 1 and </w:t>
      </w:r>
      <w:r>
        <w:rPr>
          <w:rFonts w:eastAsia="SimSun"/>
        </w:rPr>
        <w:t>9.2%</w:t>
      </w:r>
      <w:r w:rsidRPr="004C5E8E">
        <w:rPr>
          <w:rFonts w:eastAsia="SimSun"/>
        </w:rPr>
        <w:t xml:space="preserve"> </w:t>
      </w:r>
      <w:r>
        <w:rPr>
          <w:rFonts w:eastAsia="SimSun"/>
        </w:rPr>
        <w:lastRenderedPageBreak/>
        <w:t>(</w:t>
      </w:r>
      <w:r w:rsidRPr="004C5E8E">
        <w:rPr>
          <w:rFonts w:eastAsia="SimSun"/>
        </w:rPr>
        <w:t>± 0.6</w:t>
      </w:r>
      <w:r>
        <w:rPr>
          <w:rFonts w:eastAsia="SimSun"/>
        </w:rPr>
        <w:t xml:space="preserve">%) of </w:t>
      </w:r>
      <w:r w:rsidRPr="004C5E8E">
        <w:rPr>
          <w:rFonts w:eastAsia="SimSun"/>
        </w:rPr>
        <w:t>FL in year 2.</w:t>
      </w:r>
      <w:r w:rsidRPr="00986E71">
        <w:rPr>
          <w:rFonts w:eastAsia="SimSun"/>
        </w:rPr>
        <w:t xml:space="preserve">  After surgery, smolts recovered from the effects of anaesthesia in an aerated water container </w:t>
      </w:r>
      <w:r w:rsidRPr="005D2929">
        <w:rPr>
          <w:rFonts w:eastAsia="SimSun"/>
        </w:rPr>
        <w:t>for a maximum of 1</w:t>
      </w:r>
      <w:r>
        <w:rPr>
          <w:rFonts w:eastAsia="SimSun"/>
        </w:rPr>
        <w:t xml:space="preserve"> hour </w:t>
      </w:r>
      <w:r w:rsidRPr="00986E71">
        <w:rPr>
          <w:rFonts w:eastAsia="SimSun"/>
        </w:rPr>
        <w:t xml:space="preserve">before being released downstream of the respective capture net during the hours of darkness.  </w:t>
      </w:r>
    </w:p>
    <w:p w:rsidR="00A92636" w:rsidRPr="00986E71" w:rsidRDefault="00A92636" w:rsidP="00525E94">
      <w:pPr>
        <w:rPr>
          <w:rFonts w:eastAsia="SimSun"/>
        </w:rPr>
      </w:pPr>
    </w:p>
    <w:p w:rsidR="00A92636" w:rsidRDefault="00A92636" w:rsidP="00525E94">
      <w:pPr>
        <w:rPr>
          <w:rFonts w:eastAsia="SimSun"/>
        </w:rPr>
      </w:pPr>
      <w:r>
        <w:rPr>
          <w:rFonts w:eastAsia="SimSun"/>
        </w:rPr>
        <w:t>T</w:t>
      </w:r>
      <w:r w:rsidRPr="00986E71">
        <w:rPr>
          <w:rFonts w:eastAsia="SimSun"/>
        </w:rPr>
        <w:t>o assess the impact of the</w:t>
      </w:r>
      <w:r>
        <w:rPr>
          <w:rFonts w:eastAsia="SimSun"/>
        </w:rPr>
        <w:t xml:space="preserve"> tagging</w:t>
      </w:r>
      <w:r w:rsidRPr="00986E71">
        <w:rPr>
          <w:rFonts w:eastAsia="SimSun"/>
        </w:rPr>
        <w:t xml:space="preserve"> procedure on survival and to quantify tag retention</w:t>
      </w:r>
      <w:r>
        <w:rPr>
          <w:rFonts w:eastAsia="SimSun"/>
        </w:rPr>
        <w:t>,</w:t>
      </w:r>
      <w:r w:rsidRPr="00986E71">
        <w:rPr>
          <w:rFonts w:eastAsia="SimSun"/>
        </w:rPr>
        <w:t xml:space="preserve"> </w:t>
      </w:r>
      <w:r>
        <w:rPr>
          <w:rFonts w:eastAsia="SimSun"/>
        </w:rPr>
        <w:t>a</w:t>
      </w:r>
      <w:r w:rsidRPr="00986E71">
        <w:rPr>
          <w:rFonts w:eastAsia="SimSun"/>
        </w:rPr>
        <w:t xml:space="preserve"> separate sample of smolts (n = 20, FL = 193.2 ± 11.0 mm, mass = 75</w:t>
      </w:r>
      <w:r>
        <w:rPr>
          <w:rFonts w:eastAsia="SimSun"/>
        </w:rPr>
        <w:t xml:space="preserve">.9 ± 15.0 g in year 1; n = </w:t>
      </w:r>
      <w:r w:rsidRPr="00E60355">
        <w:rPr>
          <w:rFonts w:eastAsia="SimSun"/>
        </w:rPr>
        <w:t xml:space="preserve">12, FL = 204.5 ± 12.0 mm, mass = 81.6 ± 16.9 </w:t>
      </w:r>
      <w:r w:rsidRPr="00986E71">
        <w:rPr>
          <w:rFonts w:eastAsia="SimSun"/>
        </w:rPr>
        <w:t xml:space="preserve">g in year 2) were implanted with ‘dummy tags’ (inactive tags with equivalent dimensions, </w:t>
      </w:r>
      <w:r>
        <w:rPr>
          <w:rFonts w:eastAsia="SimSun"/>
        </w:rPr>
        <w:t>mass</w:t>
      </w:r>
      <w:r w:rsidRPr="00986E71">
        <w:rPr>
          <w:rFonts w:eastAsia="SimSun"/>
        </w:rPr>
        <w:t xml:space="preserve"> and shape to the transmitt</w:t>
      </w:r>
      <w:r>
        <w:rPr>
          <w:rFonts w:eastAsia="SimSun"/>
        </w:rPr>
        <w:t xml:space="preserve">ers - </w:t>
      </w:r>
      <w:r w:rsidRPr="00986E71">
        <w:rPr>
          <w:rFonts w:eastAsia="SimSun"/>
        </w:rPr>
        <w:t xml:space="preserve">Vemco, Model V7-2L) using the same method for </w:t>
      </w:r>
      <w:r>
        <w:rPr>
          <w:rFonts w:eastAsia="SimSun"/>
        </w:rPr>
        <w:t>active tagging</w:t>
      </w:r>
      <w:r w:rsidRPr="005D2929">
        <w:rPr>
          <w:rFonts w:eastAsia="SimSun"/>
        </w:rPr>
        <w:t>.</w:t>
      </w:r>
      <w:r w:rsidRPr="00986E71">
        <w:rPr>
          <w:rFonts w:eastAsia="SimSun"/>
        </w:rPr>
        <w:t xml:space="preserve">  Smolts implanted with dummy tags were held in</w:t>
      </w:r>
      <w:r>
        <w:rPr>
          <w:rFonts w:eastAsia="SimSun"/>
        </w:rPr>
        <w:t xml:space="preserve"> in-stream containers with a through-flow of river water for seven</w:t>
      </w:r>
      <w:r w:rsidRPr="00986E71">
        <w:rPr>
          <w:rFonts w:eastAsia="SimSun"/>
        </w:rPr>
        <w:t xml:space="preserve"> days and fed with mealworm once dail</w:t>
      </w:r>
      <w:r>
        <w:rPr>
          <w:rFonts w:eastAsia="SimSun"/>
        </w:rPr>
        <w:t>y.  Mean (</w:t>
      </w:r>
      <w:r>
        <w:rPr>
          <w:rFonts w:eastAsia="SimSun" w:cstheme="minorHAnsi"/>
        </w:rPr>
        <w:t>±</w:t>
      </w:r>
      <w:r>
        <w:rPr>
          <w:rFonts w:eastAsia="SimSun"/>
        </w:rPr>
        <w:t xml:space="preserve"> SD) d</w:t>
      </w:r>
      <w:r w:rsidRPr="00986E71">
        <w:rPr>
          <w:rFonts w:eastAsia="SimSun"/>
        </w:rPr>
        <w:t xml:space="preserve">ummy tag mass </w:t>
      </w:r>
      <w:r>
        <w:rPr>
          <w:rFonts w:eastAsia="SimSun"/>
        </w:rPr>
        <w:t>was 2.2% (± 0.4</w:t>
      </w:r>
      <w:r w:rsidRPr="00986E71">
        <w:rPr>
          <w:rFonts w:eastAsia="SimSun"/>
        </w:rPr>
        <w:t>%) of smolt bo</w:t>
      </w:r>
      <w:r>
        <w:rPr>
          <w:rFonts w:eastAsia="SimSun"/>
        </w:rPr>
        <w:t>dy mass in year 1, and 2.0% (± 0.3%) in year 2.  Mean (</w:t>
      </w:r>
      <w:r>
        <w:rPr>
          <w:rFonts w:eastAsia="SimSun" w:cstheme="minorHAnsi"/>
        </w:rPr>
        <w:t>±</w:t>
      </w:r>
      <w:r>
        <w:rPr>
          <w:rFonts w:eastAsia="SimSun"/>
        </w:rPr>
        <w:t xml:space="preserve"> SD) d</w:t>
      </w:r>
      <w:r w:rsidRPr="00986E71">
        <w:rPr>
          <w:rFonts w:eastAsia="SimSun"/>
        </w:rPr>
        <w:t xml:space="preserve">ummy tag length </w:t>
      </w:r>
      <w:r>
        <w:rPr>
          <w:rFonts w:eastAsia="SimSun"/>
        </w:rPr>
        <w:t>was 9.6% (± 0.5</w:t>
      </w:r>
      <w:r w:rsidRPr="00986E71">
        <w:rPr>
          <w:rFonts w:eastAsia="SimSun"/>
        </w:rPr>
        <w:t>%) of s</w:t>
      </w:r>
      <w:r>
        <w:rPr>
          <w:rFonts w:eastAsia="SimSun"/>
        </w:rPr>
        <w:t>molt FL in year 1, and 9.1% (± 0.5</w:t>
      </w:r>
      <w:r w:rsidRPr="00986E71">
        <w:rPr>
          <w:rFonts w:eastAsia="SimSun"/>
        </w:rPr>
        <w:t>%) in year 2.</w:t>
      </w:r>
      <w:r w:rsidRPr="00725164">
        <w:t xml:space="preserve"> </w:t>
      </w:r>
      <w:r>
        <w:t xml:space="preserve"> </w:t>
      </w:r>
      <w:r w:rsidRPr="00725164">
        <w:rPr>
          <w:rFonts w:eastAsia="SimSun"/>
        </w:rPr>
        <w:t xml:space="preserve">Dummy tagged fish showed 100% tag retention (n = 32) and 3.1% mortality (n = 1).  </w:t>
      </w:r>
    </w:p>
    <w:p w:rsidR="00A92636" w:rsidRPr="00986E71" w:rsidRDefault="00A92636" w:rsidP="00525E94">
      <w:pPr>
        <w:rPr>
          <w:rFonts w:eastAsia="SimSun"/>
        </w:rPr>
      </w:pPr>
    </w:p>
    <w:p w:rsidR="00A92636" w:rsidRPr="00986E71" w:rsidRDefault="00A92636" w:rsidP="00525E94">
      <w:pPr>
        <w:rPr>
          <w:rFonts w:eastAsia="SimSun"/>
        </w:rPr>
      </w:pPr>
      <w:r>
        <w:rPr>
          <w:rFonts w:eastAsia="SimSun"/>
        </w:rPr>
        <w:t>Six</w:t>
      </w:r>
      <w:r w:rsidRPr="00986E71">
        <w:rPr>
          <w:rFonts w:eastAsia="SimSun"/>
        </w:rPr>
        <w:t xml:space="preserve"> stationary acoustic receivers (Vemco, Model VR2W, </w:t>
      </w:r>
      <w:proofErr w:type="gramStart"/>
      <w:r w:rsidRPr="00986E71">
        <w:rPr>
          <w:rFonts w:eastAsia="SimSun"/>
        </w:rPr>
        <w:t>69</w:t>
      </w:r>
      <w:proofErr w:type="gramEnd"/>
      <w:r>
        <w:rPr>
          <w:rFonts w:eastAsia="SimSun"/>
        </w:rPr>
        <w:t xml:space="preserve"> </w:t>
      </w:r>
      <w:r w:rsidRPr="00986E71">
        <w:rPr>
          <w:rFonts w:eastAsia="SimSun"/>
        </w:rPr>
        <w:t xml:space="preserve">kHz) were anchored </w:t>
      </w:r>
      <w:r>
        <w:rPr>
          <w:rFonts w:eastAsia="SimSun"/>
        </w:rPr>
        <w:t xml:space="preserve">to </w:t>
      </w:r>
      <w:r w:rsidRPr="00986E71">
        <w:rPr>
          <w:rFonts w:eastAsia="SimSun"/>
        </w:rPr>
        <w:t>the river bed in Titchfield Haven Nature Reserve and Hill Head Harbour</w:t>
      </w:r>
      <w:r>
        <w:rPr>
          <w:rFonts w:eastAsia="SimSun"/>
        </w:rPr>
        <w:t xml:space="preserve"> (Fig. 1), </w:t>
      </w:r>
      <w:r w:rsidRPr="000470C2">
        <w:rPr>
          <w:rFonts w:eastAsia="SimSun"/>
        </w:rPr>
        <w:t>from 4 April to 23</w:t>
      </w:r>
      <w:r>
        <w:rPr>
          <w:rFonts w:eastAsia="SimSun"/>
        </w:rPr>
        <w:t xml:space="preserve"> August 2011 </w:t>
      </w:r>
      <w:r w:rsidRPr="000470C2">
        <w:rPr>
          <w:rFonts w:eastAsia="SimSun"/>
        </w:rPr>
        <w:t>and 3 April to 25 June 2012</w:t>
      </w:r>
      <w:r>
        <w:rPr>
          <w:rFonts w:eastAsia="SimSun"/>
        </w:rPr>
        <w:t>.</w:t>
      </w:r>
      <w:r w:rsidRPr="00986E71">
        <w:rPr>
          <w:rFonts w:eastAsia="SimSun"/>
        </w:rPr>
        <w:t xml:space="preserve"> </w:t>
      </w:r>
      <w:r>
        <w:rPr>
          <w:rFonts w:eastAsia="SimSun"/>
        </w:rPr>
        <w:t xml:space="preserve"> F</w:t>
      </w:r>
      <w:r w:rsidRPr="00986E71">
        <w:rPr>
          <w:rFonts w:eastAsia="SimSun"/>
        </w:rPr>
        <w:t>loat</w:t>
      </w:r>
      <w:r>
        <w:rPr>
          <w:rFonts w:eastAsia="SimSun"/>
        </w:rPr>
        <w:t>s were used to</w:t>
      </w:r>
      <w:r w:rsidRPr="00986E71">
        <w:rPr>
          <w:rFonts w:eastAsia="SimSun"/>
        </w:rPr>
        <w:t xml:space="preserve"> </w:t>
      </w:r>
      <w:r>
        <w:rPr>
          <w:rFonts w:eastAsia="SimSun"/>
        </w:rPr>
        <w:t>orientate the</w:t>
      </w:r>
      <w:r w:rsidRPr="00986E71">
        <w:rPr>
          <w:rFonts w:eastAsia="SimSun"/>
        </w:rPr>
        <w:t xml:space="preserve"> hydrophone upwards in the water column</w:t>
      </w:r>
      <w:r>
        <w:rPr>
          <w:rFonts w:eastAsia="SimSun"/>
        </w:rPr>
        <w:t>, except for R</w:t>
      </w:r>
      <w:r w:rsidRPr="00986E71">
        <w:rPr>
          <w:rFonts w:eastAsia="SimSun"/>
        </w:rPr>
        <w:t xml:space="preserve">eceiver </w:t>
      </w:r>
      <w:r>
        <w:rPr>
          <w:rFonts w:eastAsia="SimSun"/>
        </w:rPr>
        <w:t xml:space="preserve">5 which was </w:t>
      </w:r>
      <w:r w:rsidRPr="00986E71">
        <w:rPr>
          <w:rFonts w:eastAsia="SimSun"/>
        </w:rPr>
        <w:t>attached</w:t>
      </w:r>
      <w:r>
        <w:rPr>
          <w:rFonts w:eastAsia="SimSun"/>
        </w:rPr>
        <w:t xml:space="preserve"> </w:t>
      </w:r>
      <w:r w:rsidRPr="00986E71">
        <w:rPr>
          <w:rFonts w:eastAsia="SimSun"/>
        </w:rPr>
        <w:t xml:space="preserve">to a buoy </w:t>
      </w:r>
      <w:r>
        <w:rPr>
          <w:rFonts w:eastAsia="SimSun"/>
        </w:rPr>
        <w:t>and allowed</w:t>
      </w:r>
      <w:r w:rsidRPr="00986E71">
        <w:rPr>
          <w:rFonts w:eastAsia="SimSun"/>
        </w:rPr>
        <w:t xml:space="preserve"> t</w:t>
      </w:r>
      <w:r>
        <w:rPr>
          <w:rFonts w:eastAsia="SimSun"/>
        </w:rPr>
        <w:t>o rise and fall with the tide whilst facing the river bed.</w:t>
      </w:r>
    </w:p>
    <w:p w:rsidR="00A92636" w:rsidRDefault="00A92636" w:rsidP="00525E94">
      <w:pPr>
        <w:rPr>
          <w:rFonts w:eastAsia="SimSun"/>
          <w:highlight w:val="lightGray"/>
        </w:rPr>
      </w:pPr>
    </w:p>
    <w:p w:rsidR="00A92636" w:rsidRDefault="00A92636" w:rsidP="006C3524">
      <w:pPr>
        <w:rPr>
          <w:rFonts w:eastAsia="SimSun"/>
        </w:rPr>
      </w:pPr>
      <w:r w:rsidRPr="00C445B2">
        <w:rPr>
          <w:rFonts w:eastAsia="SimSun"/>
        </w:rPr>
        <w:t xml:space="preserve">Detection range and efficiency were tested under </w:t>
      </w:r>
      <w:r>
        <w:rPr>
          <w:rFonts w:eastAsia="SimSun"/>
        </w:rPr>
        <w:t xml:space="preserve">the prevailing </w:t>
      </w:r>
      <w:r w:rsidRPr="00C445B2">
        <w:rPr>
          <w:rFonts w:eastAsia="SimSun"/>
        </w:rPr>
        <w:t xml:space="preserve">environmental conditions at all six receivers during the first week of April in </w:t>
      </w:r>
      <w:r>
        <w:rPr>
          <w:rFonts w:eastAsia="SimSun"/>
        </w:rPr>
        <w:t>both years</w:t>
      </w:r>
      <w:r w:rsidRPr="00C445B2">
        <w:rPr>
          <w:rFonts w:eastAsia="SimSun"/>
        </w:rPr>
        <w:t xml:space="preserve">.  Range was defined as the maximum lateral (across the river width) and longitudinal (upstream </w:t>
      </w:r>
      <w:r>
        <w:rPr>
          <w:rFonts w:eastAsia="SimSun"/>
        </w:rPr>
        <w:t>to</w:t>
      </w:r>
      <w:r w:rsidRPr="00C445B2">
        <w:rPr>
          <w:rFonts w:eastAsia="SimSun"/>
        </w:rPr>
        <w:t xml:space="preserve"> downstream) detection distance of tags submerged at approximately 30% and 60% water depth at </w:t>
      </w:r>
      <w:r w:rsidRPr="002D4D04">
        <w:rPr>
          <w:rFonts w:eastAsia="SimSun"/>
        </w:rPr>
        <w:t>regular</w:t>
      </w:r>
      <w:r w:rsidRPr="00C445B2">
        <w:rPr>
          <w:rFonts w:eastAsia="SimSun"/>
        </w:rPr>
        <w:t xml:space="preserve"> intervals from each receiver whilst not</w:t>
      </w:r>
      <w:r>
        <w:rPr>
          <w:rFonts w:eastAsia="SimSun"/>
        </w:rPr>
        <w:t>i</w:t>
      </w:r>
      <w:r w:rsidRPr="00C445B2">
        <w:rPr>
          <w:rFonts w:eastAsia="SimSun"/>
        </w:rPr>
        <w:t>ng time and GPS coordinates.  Lateral range extended to the river banks adj</w:t>
      </w:r>
      <w:r>
        <w:rPr>
          <w:rFonts w:eastAsia="SimSun"/>
        </w:rPr>
        <w:t>acent to each receiver</w:t>
      </w:r>
      <w:r w:rsidRPr="00C445B2">
        <w:rPr>
          <w:rFonts w:eastAsia="SimSun"/>
        </w:rPr>
        <w:t xml:space="preserve">.  </w:t>
      </w:r>
      <w:r>
        <w:rPr>
          <w:rFonts w:eastAsia="SimSun"/>
        </w:rPr>
        <w:t>Maximum l</w:t>
      </w:r>
      <w:r w:rsidRPr="00C445B2">
        <w:rPr>
          <w:rFonts w:eastAsia="SimSun"/>
        </w:rPr>
        <w:t xml:space="preserve">ongitudinal </w:t>
      </w:r>
      <w:r>
        <w:rPr>
          <w:rFonts w:eastAsia="SimSun"/>
        </w:rPr>
        <w:t>detection radius</w:t>
      </w:r>
      <w:r w:rsidRPr="00C445B2">
        <w:rPr>
          <w:rFonts w:eastAsia="SimSun"/>
        </w:rPr>
        <w:t xml:space="preserve"> was 118 m</w:t>
      </w:r>
      <w:r>
        <w:rPr>
          <w:rFonts w:eastAsia="SimSun"/>
        </w:rPr>
        <w:t xml:space="preserve"> in year 1 and</w:t>
      </w:r>
      <w:r w:rsidRPr="00C445B2">
        <w:rPr>
          <w:rFonts w:eastAsia="SimSun"/>
        </w:rPr>
        <w:t xml:space="preserve"> 125 m in year</w:t>
      </w:r>
      <w:r>
        <w:rPr>
          <w:rFonts w:eastAsia="SimSun"/>
        </w:rPr>
        <w:t xml:space="preserve"> 2 (Table 1)</w:t>
      </w:r>
      <w:r w:rsidRPr="007536DB">
        <w:rPr>
          <w:rFonts w:eastAsia="SimSun"/>
        </w:rPr>
        <w:t>.</w:t>
      </w:r>
      <w:r>
        <w:rPr>
          <w:rFonts w:eastAsia="SimSun"/>
        </w:rPr>
        <w:t xml:space="preserve">  </w:t>
      </w:r>
      <w:r w:rsidRPr="00692879">
        <w:rPr>
          <w:rFonts w:eastAsia="SimSun"/>
        </w:rPr>
        <w:t xml:space="preserve">Because fish may have actively swam past the receivers </w:t>
      </w:r>
      <w:r>
        <w:rPr>
          <w:rFonts w:eastAsia="SimSun"/>
          <w:noProof/>
        </w:rPr>
        <w:t>(Davidsen et al., 2005; Svendsen et al., 2007)</w:t>
      </w:r>
      <w:r w:rsidRPr="00692879">
        <w:rPr>
          <w:rFonts w:eastAsia="SimSun"/>
        </w:rPr>
        <w:t xml:space="preserve">, tags submerged at approximately 30% and 60% depth were </w:t>
      </w:r>
      <w:r>
        <w:rPr>
          <w:rFonts w:eastAsia="SimSun"/>
        </w:rPr>
        <w:t>towed</w:t>
      </w:r>
      <w:r w:rsidRPr="00EC3DFD">
        <w:rPr>
          <w:rFonts w:eastAsia="SimSun"/>
        </w:rPr>
        <w:t xml:space="preserve"> behind a motor boat at 1 m s</w:t>
      </w:r>
      <w:r w:rsidRPr="00EC3DFD">
        <w:rPr>
          <w:rFonts w:eastAsia="SimSun"/>
          <w:vertAlign w:val="superscript"/>
        </w:rPr>
        <w:t>-1</w:t>
      </w:r>
      <w:r w:rsidRPr="00EC3DFD">
        <w:rPr>
          <w:rFonts w:eastAsia="SimSun"/>
        </w:rPr>
        <w:t>, similar to the sustained swimming speed of a 150 mm brown trout (1.17 m s</w:t>
      </w:r>
      <w:r w:rsidRPr="00EC3DFD">
        <w:rPr>
          <w:rFonts w:eastAsia="SimSun"/>
          <w:vertAlign w:val="superscript"/>
        </w:rPr>
        <w:t>-1</w:t>
      </w:r>
      <w:r w:rsidRPr="00EC3DFD">
        <w:rPr>
          <w:rFonts w:eastAsia="SimSun"/>
        </w:rPr>
        <w:t xml:space="preserve"> at 10</w:t>
      </w:r>
      <w:r w:rsidRPr="00EC3DFD">
        <w:rPr>
          <w:rFonts w:eastAsia="SimSun"/>
          <w:vertAlign w:val="superscript"/>
        </w:rPr>
        <w:t>o</w:t>
      </w:r>
      <w:r w:rsidRPr="00EC3DFD">
        <w:rPr>
          <w:rFonts w:eastAsia="SimSun"/>
        </w:rPr>
        <w:t>C)</w:t>
      </w:r>
      <w:r>
        <w:rPr>
          <w:rFonts w:eastAsia="SimSun"/>
        </w:rPr>
        <w:t xml:space="preserve"> </w:t>
      </w:r>
      <w:r>
        <w:rPr>
          <w:rFonts w:eastAsia="SimSun"/>
          <w:noProof/>
        </w:rPr>
        <w:t>(Clough and Turnpenny, 2001)</w:t>
      </w:r>
      <w:r>
        <w:rPr>
          <w:rFonts w:eastAsia="SimSun"/>
        </w:rPr>
        <w:t xml:space="preserve">.  Detection efficiency, defined as </w:t>
      </w:r>
      <w:r w:rsidRPr="00C445B2">
        <w:rPr>
          <w:rFonts w:eastAsia="SimSun"/>
        </w:rPr>
        <w:t xml:space="preserve">the proportion of tags </w:t>
      </w:r>
      <w:r>
        <w:rPr>
          <w:rFonts w:eastAsia="SimSun"/>
        </w:rPr>
        <w:t>identified</w:t>
      </w:r>
      <w:r w:rsidRPr="00C445B2">
        <w:rPr>
          <w:rFonts w:eastAsia="SimSun"/>
        </w:rPr>
        <w:t xml:space="preserve"> within </w:t>
      </w:r>
      <w:r>
        <w:rPr>
          <w:rFonts w:eastAsia="SimSun"/>
        </w:rPr>
        <w:t xml:space="preserve">maximum </w:t>
      </w:r>
      <w:r w:rsidRPr="00C445B2">
        <w:rPr>
          <w:rFonts w:eastAsia="SimSun"/>
        </w:rPr>
        <w:t>range of eac</w:t>
      </w:r>
      <w:r>
        <w:rPr>
          <w:rFonts w:eastAsia="SimSun"/>
        </w:rPr>
        <w:t>h receiver, was</w:t>
      </w:r>
      <w:r w:rsidRPr="00C445B2">
        <w:rPr>
          <w:rFonts w:eastAsia="SimSun"/>
        </w:rPr>
        <w:t xml:space="preserve"> </w:t>
      </w:r>
      <w:r w:rsidRPr="009444BB">
        <w:rPr>
          <w:rFonts w:eastAsia="SimSun"/>
        </w:rPr>
        <w:t>100%</w:t>
      </w:r>
      <w:r>
        <w:rPr>
          <w:rFonts w:eastAsia="SimSun"/>
        </w:rPr>
        <w:t xml:space="preserve"> </w:t>
      </w:r>
      <w:r w:rsidRPr="00BE0210">
        <w:rPr>
          <w:rFonts w:eastAsia="SimSun"/>
        </w:rPr>
        <w:t xml:space="preserve">at all receivers except receiver 4 where towed tags were not detected at the </w:t>
      </w:r>
      <w:r w:rsidRPr="00BE0210">
        <w:rPr>
          <w:rFonts w:eastAsia="SimSun"/>
        </w:rPr>
        <w:lastRenderedPageBreak/>
        <w:t>furthermost bank.</w:t>
      </w:r>
      <w:r w:rsidR="00886403">
        <w:rPr>
          <w:rFonts w:eastAsia="SimSun"/>
        </w:rPr>
        <w:t xml:space="preserve">  </w:t>
      </w:r>
      <w:r w:rsidR="00886403" w:rsidRPr="00886403">
        <w:rPr>
          <w:rFonts w:eastAsia="SimSun"/>
        </w:rPr>
        <w:t xml:space="preserve">Detection efficiency of tagged fish was 100% at all receives in both years with the exception of receiver 3 where efficiency was 95.7% in year 1 and 91.7% in year 2.  </w:t>
      </w:r>
    </w:p>
    <w:p w:rsidR="0080298A" w:rsidRDefault="0080298A" w:rsidP="006C3524">
      <w:pPr>
        <w:rPr>
          <w:rFonts w:eastAsia="SimSun"/>
        </w:rPr>
      </w:pPr>
    </w:p>
    <w:p w:rsidR="0080298A" w:rsidRPr="0080298A" w:rsidRDefault="0080298A" w:rsidP="006C3524">
      <w:pPr>
        <w:rPr>
          <w:rFonts w:eastAsia="SimSun"/>
          <w:sz w:val="20"/>
          <w:szCs w:val="20"/>
        </w:rPr>
      </w:pPr>
      <w:proofErr w:type="gramStart"/>
      <w:r w:rsidRPr="0080298A">
        <w:rPr>
          <w:rFonts w:eastAsia="SimSun"/>
          <w:b/>
          <w:bCs/>
          <w:sz w:val="20"/>
          <w:szCs w:val="20"/>
        </w:rPr>
        <w:t>Table 1.</w:t>
      </w:r>
      <w:proofErr w:type="gramEnd"/>
      <w:r w:rsidRPr="0080298A">
        <w:rPr>
          <w:rFonts w:eastAsia="SimSun"/>
          <w:sz w:val="20"/>
          <w:szCs w:val="20"/>
        </w:rPr>
        <w:t xml:space="preserve"> The maximum tag detection range of 6 acoustic receivers deployed in the lower River Meon, UK, in April 2011 (year 1, pre orifice installation) and April 2012 (year 2, post orifice installation) with inaccessible areas (-).</w:t>
      </w:r>
    </w:p>
    <w:p w:rsidR="0080298A" w:rsidRDefault="0080298A" w:rsidP="006C3524">
      <w:pPr>
        <w:rPr>
          <w:rFonts w:eastAsia="SimSun"/>
        </w:rPr>
      </w:pPr>
    </w:p>
    <w:tbl>
      <w:tblPr>
        <w:tblW w:w="7380" w:type="dxa"/>
        <w:tblInd w:w="93" w:type="dxa"/>
        <w:tblLayout w:type="fixed"/>
        <w:tblLook w:val="04A0" w:firstRow="1" w:lastRow="0" w:firstColumn="1" w:lastColumn="0" w:noHBand="0" w:noVBand="1"/>
      </w:tblPr>
      <w:tblGrid>
        <w:gridCol w:w="1765"/>
        <w:gridCol w:w="1210"/>
        <w:gridCol w:w="1477"/>
        <w:gridCol w:w="241"/>
        <w:gridCol w:w="1210"/>
        <w:gridCol w:w="1477"/>
      </w:tblGrid>
      <w:tr w:rsidR="0080298A" w:rsidRPr="0080298A" w:rsidTr="0080298A">
        <w:trPr>
          <w:trHeight w:val="300"/>
        </w:trPr>
        <w:tc>
          <w:tcPr>
            <w:tcW w:w="1765" w:type="dxa"/>
            <w:tcBorders>
              <w:top w:val="single" w:sz="4" w:space="0" w:color="auto"/>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lang w:eastAsia="zh-CN"/>
              </w:rPr>
            </w:pPr>
          </w:p>
        </w:tc>
        <w:tc>
          <w:tcPr>
            <w:tcW w:w="5615" w:type="dxa"/>
            <w:gridSpan w:val="5"/>
            <w:tcBorders>
              <w:top w:val="single" w:sz="4" w:space="0" w:color="auto"/>
              <w:left w:val="nil"/>
              <w:bottom w:val="single" w:sz="4" w:space="0" w:color="auto"/>
              <w:right w:val="nil"/>
            </w:tcBorders>
            <w:vAlign w:val="center"/>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Maximum Longitudinal Detection Range (m)</w:t>
            </w:r>
          </w:p>
        </w:tc>
      </w:tr>
      <w:tr w:rsidR="0080298A" w:rsidRPr="0080298A" w:rsidTr="007750F1">
        <w:trPr>
          <w:trHeight w:val="300"/>
        </w:trPr>
        <w:tc>
          <w:tcPr>
            <w:tcW w:w="1765" w:type="dxa"/>
            <w:vMerge w:val="restart"/>
            <w:tcBorders>
              <w:top w:val="nil"/>
              <w:left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Receiver No.</w:t>
            </w:r>
          </w:p>
          <w:p w:rsidR="0080298A" w:rsidRPr="0080298A" w:rsidRDefault="0080298A" w:rsidP="0080298A">
            <w:pPr>
              <w:spacing w:line="240" w:lineRule="auto"/>
              <w:rPr>
                <w:rFonts w:ascii="Calibri" w:hAnsi="Calibri" w:cs="Calibri"/>
                <w:color w:val="000000"/>
                <w:lang w:eastAsia="zh-CN"/>
              </w:rPr>
            </w:pPr>
          </w:p>
        </w:tc>
        <w:tc>
          <w:tcPr>
            <w:tcW w:w="2687" w:type="dxa"/>
            <w:gridSpan w:val="2"/>
            <w:tcBorders>
              <w:top w:val="single" w:sz="4" w:space="0" w:color="auto"/>
              <w:left w:val="nil"/>
              <w:bottom w:val="single" w:sz="4" w:space="0" w:color="auto"/>
              <w:right w:val="nil"/>
            </w:tcBorders>
            <w:shd w:val="clear" w:color="auto" w:fill="auto"/>
            <w:noWrap/>
            <w:vAlign w:val="center"/>
            <w:hideMark/>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Year 1</w:t>
            </w:r>
          </w:p>
        </w:tc>
        <w:tc>
          <w:tcPr>
            <w:tcW w:w="241" w:type="dxa"/>
            <w:vMerge w:val="restart"/>
            <w:tcBorders>
              <w:top w:val="single" w:sz="4" w:space="0" w:color="auto"/>
              <w:left w:val="nil"/>
              <w:right w:val="nil"/>
            </w:tcBorders>
            <w:vAlign w:val="center"/>
          </w:tcPr>
          <w:p w:rsidR="0080298A" w:rsidRPr="0080298A" w:rsidRDefault="0080298A" w:rsidP="0080298A">
            <w:pPr>
              <w:spacing w:line="240" w:lineRule="auto"/>
              <w:jc w:val="center"/>
              <w:rPr>
                <w:rFonts w:ascii="Calibri" w:hAnsi="Calibri" w:cs="Calibri"/>
                <w:color w:val="000000"/>
                <w:lang w:eastAsia="zh-CN"/>
              </w:rPr>
            </w:pPr>
          </w:p>
        </w:tc>
        <w:tc>
          <w:tcPr>
            <w:tcW w:w="2687" w:type="dxa"/>
            <w:gridSpan w:val="2"/>
            <w:tcBorders>
              <w:top w:val="single" w:sz="4" w:space="0" w:color="auto"/>
              <w:left w:val="nil"/>
              <w:bottom w:val="single" w:sz="4" w:space="0" w:color="auto"/>
              <w:right w:val="nil"/>
            </w:tcBorders>
            <w:shd w:val="clear" w:color="auto" w:fill="auto"/>
            <w:noWrap/>
            <w:vAlign w:val="center"/>
            <w:hideMark/>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Year 2</w:t>
            </w:r>
          </w:p>
        </w:tc>
      </w:tr>
      <w:tr w:rsidR="0080298A" w:rsidRPr="0080298A" w:rsidTr="0080298A">
        <w:trPr>
          <w:trHeight w:val="300"/>
        </w:trPr>
        <w:tc>
          <w:tcPr>
            <w:tcW w:w="1765" w:type="dxa"/>
            <w:vMerge/>
            <w:tcBorders>
              <w:left w:val="nil"/>
              <w:bottom w:val="single" w:sz="4" w:space="0" w:color="auto"/>
              <w:right w:val="nil"/>
            </w:tcBorders>
            <w:shd w:val="clear" w:color="auto" w:fill="auto"/>
            <w:noWrap/>
            <w:vAlign w:val="center"/>
          </w:tcPr>
          <w:p w:rsidR="0080298A" w:rsidRPr="0080298A" w:rsidRDefault="0080298A" w:rsidP="0080298A">
            <w:pPr>
              <w:spacing w:line="240" w:lineRule="auto"/>
              <w:rPr>
                <w:rFonts w:ascii="Calibri" w:hAnsi="Calibri" w:cs="Calibri"/>
                <w:color w:val="000000"/>
                <w:lang w:eastAsia="zh-CN"/>
              </w:rPr>
            </w:pPr>
          </w:p>
        </w:tc>
        <w:tc>
          <w:tcPr>
            <w:tcW w:w="1210" w:type="dxa"/>
            <w:tcBorders>
              <w:top w:val="single" w:sz="4" w:space="0" w:color="auto"/>
              <w:left w:val="nil"/>
              <w:bottom w:val="single" w:sz="4" w:space="0" w:color="auto"/>
              <w:right w:val="nil"/>
            </w:tcBorders>
            <w:shd w:val="clear" w:color="auto" w:fill="auto"/>
            <w:noWrap/>
            <w:vAlign w:val="center"/>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Upstream</w:t>
            </w:r>
          </w:p>
        </w:tc>
        <w:tc>
          <w:tcPr>
            <w:tcW w:w="1477" w:type="dxa"/>
            <w:tcBorders>
              <w:top w:val="single" w:sz="4" w:space="0" w:color="auto"/>
              <w:left w:val="nil"/>
              <w:bottom w:val="single" w:sz="4" w:space="0" w:color="auto"/>
              <w:right w:val="nil"/>
            </w:tcBorders>
            <w:vAlign w:val="center"/>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Downstream</w:t>
            </w:r>
          </w:p>
        </w:tc>
        <w:tc>
          <w:tcPr>
            <w:tcW w:w="241" w:type="dxa"/>
            <w:vMerge/>
            <w:tcBorders>
              <w:left w:val="nil"/>
              <w:bottom w:val="single" w:sz="4" w:space="0" w:color="auto"/>
              <w:right w:val="nil"/>
            </w:tcBorders>
            <w:vAlign w:val="center"/>
          </w:tcPr>
          <w:p w:rsidR="0080298A" w:rsidRPr="0080298A" w:rsidRDefault="0080298A" w:rsidP="0080298A">
            <w:pPr>
              <w:spacing w:line="240" w:lineRule="auto"/>
              <w:jc w:val="center"/>
              <w:rPr>
                <w:rFonts w:ascii="Calibri" w:hAnsi="Calibri" w:cs="Calibri"/>
                <w:color w:val="000000"/>
                <w:lang w:eastAsia="zh-CN"/>
              </w:rPr>
            </w:pPr>
          </w:p>
        </w:tc>
        <w:tc>
          <w:tcPr>
            <w:tcW w:w="1210" w:type="dxa"/>
            <w:tcBorders>
              <w:top w:val="single" w:sz="4" w:space="0" w:color="auto"/>
              <w:left w:val="nil"/>
              <w:bottom w:val="single" w:sz="4" w:space="0" w:color="auto"/>
              <w:right w:val="nil"/>
            </w:tcBorders>
            <w:shd w:val="clear" w:color="auto" w:fill="auto"/>
            <w:noWrap/>
            <w:vAlign w:val="center"/>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Upstream</w:t>
            </w:r>
          </w:p>
        </w:tc>
        <w:tc>
          <w:tcPr>
            <w:tcW w:w="1477" w:type="dxa"/>
            <w:tcBorders>
              <w:top w:val="single" w:sz="4" w:space="0" w:color="auto"/>
              <w:left w:val="nil"/>
              <w:bottom w:val="single" w:sz="4" w:space="0" w:color="auto"/>
              <w:right w:val="nil"/>
            </w:tcBorders>
            <w:vAlign w:val="center"/>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Downstream</w:t>
            </w:r>
          </w:p>
        </w:tc>
      </w:tr>
      <w:tr w:rsidR="0080298A" w:rsidRPr="0080298A" w:rsidTr="0080298A">
        <w:trPr>
          <w:trHeight w:val="300"/>
        </w:trPr>
        <w:tc>
          <w:tcPr>
            <w:tcW w:w="1765" w:type="dxa"/>
            <w:tcBorders>
              <w:top w:val="single" w:sz="4" w:space="0" w:color="auto"/>
              <w:left w:val="nil"/>
              <w:bottom w:val="nil"/>
              <w:right w:val="nil"/>
            </w:tcBorders>
            <w:shd w:val="clear" w:color="auto" w:fill="auto"/>
            <w:noWrap/>
            <w:vAlign w:val="bottom"/>
            <w:hideMark/>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1</w:t>
            </w:r>
          </w:p>
        </w:tc>
        <w:tc>
          <w:tcPr>
            <w:tcW w:w="1210" w:type="dxa"/>
            <w:tcBorders>
              <w:top w:val="single" w:sz="4" w:space="0" w:color="auto"/>
              <w:left w:val="nil"/>
              <w:bottom w:val="nil"/>
              <w:right w:val="nil"/>
            </w:tcBorders>
            <w:shd w:val="clear" w:color="auto" w:fill="auto"/>
            <w:noWrap/>
            <w:vAlign w:val="center"/>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106</w:t>
            </w:r>
          </w:p>
        </w:tc>
        <w:tc>
          <w:tcPr>
            <w:tcW w:w="1477" w:type="dxa"/>
            <w:tcBorders>
              <w:top w:val="single" w:sz="4" w:space="0" w:color="auto"/>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90</w:t>
            </w:r>
          </w:p>
        </w:tc>
        <w:tc>
          <w:tcPr>
            <w:tcW w:w="241" w:type="dxa"/>
            <w:tcBorders>
              <w:top w:val="single" w:sz="4" w:space="0" w:color="auto"/>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p>
        </w:tc>
        <w:tc>
          <w:tcPr>
            <w:tcW w:w="1210" w:type="dxa"/>
            <w:tcBorders>
              <w:top w:val="single" w:sz="4" w:space="0" w:color="auto"/>
              <w:left w:val="nil"/>
              <w:bottom w:val="nil"/>
              <w:right w:val="nil"/>
            </w:tcBorders>
            <w:shd w:val="clear" w:color="auto" w:fill="auto"/>
            <w:noWrap/>
            <w:vAlign w:val="center"/>
            <w:hideMark/>
          </w:tcPr>
          <w:p w:rsidR="0080298A" w:rsidRPr="0080298A" w:rsidRDefault="0080298A" w:rsidP="0080298A">
            <w:pPr>
              <w:spacing w:line="240" w:lineRule="auto"/>
              <w:jc w:val="right"/>
              <w:rPr>
                <w:rFonts w:ascii="Calibri" w:hAnsi="Calibri" w:cs="Calibri"/>
                <w:color w:val="000000"/>
                <w:highlight w:val="green"/>
                <w:lang w:eastAsia="zh-CN"/>
              </w:rPr>
            </w:pPr>
            <w:r w:rsidRPr="0080298A">
              <w:rPr>
                <w:rFonts w:ascii="Calibri" w:hAnsi="Calibri" w:cs="Calibri"/>
                <w:color w:val="000000"/>
                <w:szCs w:val="22"/>
                <w:lang w:eastAsia="zh-CN"/>
              </w:rPr>
              <w:t>106</w:t>
            </w:r>
          </w:p>
        </w:tc>
        <w:tc>
          <w:tcPr>
            <w:tcW w:w="1477" w:type="dxa"/>
            <w:tcBorders>
              <w:top w:val="single" w:sz="4" w:space="0" w:color="auto"/>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90</w:t>
            </w:r>
          </w:p>
        </w:tc>
      </w:tr>
      <w:tr w:rsidR="0080298A" w:rsidRPr="0080298A" w:rsidTr="0080298A">
        <w:trPr>
          <w:trHeight w:val="300"/>
        </w:trPr>
        <w:tc>
          <w:tcPr>
            <w:tcW w:w="1765" w:type="dxa"/>
            <w:tcBorders>
              <w:top w:val="nil"/>
              <w:left w:val="nil"/>
              <w:bottom w:val="nil"/>
              <w:right w:val="nil"/>
            </w:tcBorders>
            <w:shd w:val="clear" w:color="auto" w:fill="auto"/>
            <w:noWrap/>
            <w:vAlign w:val="bottom"/>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2</w:t>
            </w:r>
          </w:p>
        </w:tc>
        <w:tc>
          <w:tcPr>
            <w:tcW w:w="1210" w:type="dxa"/>
            <w:tcBorders>
              <w:top w:val="nil"/>
              <w:left w:val="nil"/>
              <w:bottom w:val="nil"/>
              <w:right w:val="nil"/>
            </w:tcBorders>
            <w:shd w:val="clear" w:color="auto" w:fill="auto"/>
            <w:noWrap/>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118</w:t>
            </w:r>
          </w:p>
        </w:tc>
        <w:tc>
          <w:tcPr>
            <w:tcW w:w="1477" w:type="dxa"/>
            <w:tcBorders>
              <w:top w:val="nil"/>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94</w:t>
            </w:r>
          </w:p>
        </w:tc>
        <w:tc>
          <w:tcPr>
            <w:tcW w:w="241" w:type="dxa"/>
            <w:tcBorders>
              <w:top w:val="nil"/>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p>
        </w:tc>
        <w:tc>
          <w:tcPr>
            <w:tcW w:w="1210" w:type="dxa"/>
            <w:tcBorders>
              <w:top w:val="nil"/>
              <w:left w:val="nil"/>
              <w:bottom w:val="nil"/>
              <w:right w:val="nil"/>
            </w:tcBorders>
            <w:shd w:val="clear" w:color="auto" w:fill="auto"/>
            <w:noWrap/>
            <w:vAlign w:val="center"/>
          </w:tcPr>
          <w:p w:rsidR="0080298A" w:rsidRPr="0080298A" w:rsidRDefault="0080298A" w:rsidP="0080298A">
            <w:pPr>
              <w:spacing w:line="240" w:lineRule="auto"/>
              <w:jc w:val="right"/>
              <w:rPr>
                <w:rFonts w:ascii="Calibri" w:hAnsi="Calibri" w:cs="Calibri"/>
                <w:color w:val="000000"/>
                <w:highlight w:val="green"/>
                <w:lang w:eastAsia="zh-CN"/>
              </w:rPr>
            </w:pPr>
            <w:r w:rsidRPr="0080298A">
              <w:rPr>
                <w:rFonts w:ascii="Calibri" w:hAnsi="Calibri" w:cs="Calibri"/>
                <w:color w:val="000000"/>
                <w:szCs w:val="22"/>
                <w:lang w:eastAsia="zh-CN"/>
              </w:rPr>
              <w:t>125</w:t>
            </w:r>
          </w:p>
        </w:tc>
        <w:tc>
          <w:tcPr>
            <w:tcW w:w="1477" w:type="dxa"/>
            <w:tcBorders>
              <w:top w:val="nil"/>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106</w:t>
            </w:r>
          </w:p>
        </w:tc>
      </w:tr>
      <w:tr w:rsidR="0080298A" w:rsidRPr="0080298A" w:rsidTr="0080298A">
        <w:trPr>
          <w:trHeight w:val="300"/>
        </w:trPr>
        <w:tc>
          <w:tcPr>
            <w:tcW w:w="1765"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3</w:t>
            </w:r>
          </w:p>
        </w:tc>
        <w:tc>
          <w:tcPr>
            <w:tcW w:w="1210" w:type="dxa"/>
            <w:tcBorders>
              <w:top w:val="nil"/>
              <w:left w:val="nil"/>
              <w:bottom w:val="nil"/>
              <w:right w:val="nil"/>
            </w:tcBorders>
            <w:shd w:val="clear" w:color="auto" w:fill="auto"/>
            <w:noWrap/>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94</w:t>
            </w:r>
          </w:p>
        </w:tc>
        <w:tc>
          <w:tcPr>
            <w:tcW w:w="1477" w:type="dxa"/>
            <w:tcBorders>
              <w:top w:val="nil"/>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w:t>
            </w:r>
          </w:p>
        </w:tc>
        <w:tc>
          <w:tcPr>
            <w:tcW w:w="241" w:type="dxa"/>
            <w:tcBorders>
              <w:top w:val="nil"/>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p>
        </w:tc>
        <w:tc>
          <w:tcPr>
            <w:tcW w:w="1210" w:type="dxa"/>
            <w:tcBorders>
              <w:top w:val="nil"/>
              <w:left w:val="nil"/>
              <w:bottom w:val="nil"/>
              <w:right w:val="nil"/>
            </w:tcBorders>
            <w:shd w:val="clear" w:color="auto" w:fill="auto"/>
            <w:noWrap/>
            <w:vAlign w:val="center"/>
          </w:tcPr>
          <w:p w:rsidR="0080298A" w:rsidRPr="0080298A" w:rsidRDefault="0080298A" w:rsidP="0080298A">
            <w:pPr>
              <w:spacing w:line="240" w:lineRule="auto"/>
              <w:jc w:val="right"/>
              <w:rPr>
                <w:rFonts w:ascii="Calibri" w:hAnsi="Calibri" w:cs="Calibri"/>
                <w:color w:val="000000"/>
                <w:highlight w:val="green"/>
                <w:lang w:eastAsia="zh-CN"/>
              </w:rPr>
            </w:pPr>
            <w:r w:rsidRPr="0080298A">
              <w:rPr>
                <w:rFonts w:ascii="Calibri" w:hAnsi="Calibri" w:cs="Calibri"/>
                <w:color w:val="000000"/>
                <w:szCs w:val="22"/>
                <w:lang w:eastAsia="zh-CN"/>
              </w:rPr>
              <w:t>94</w:t>
            </w:r>
          </w:p>
        </w:tc>
        <w:tc>
          <w:tcPr>
            <w:tcW w:w="1477" w:type="dxa"/>
            <w:tcBorders>
              <w:top w:val="nil"/>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w:t>
            </w:r>
          </w:p>
        </w:tc>
      </w:tr>
      <w:tr w:rsidR="0080298A" w:rsidRPr="0080298A" w:rsidTr="0080298A">
        <w:trPr>
          <w:trHeight w:val="300"/>
        </w:trPr>
        <w:tc>
          <w:tcPr>
            <w:tcW w:w="1765"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4</w:t>
            </w:r>
          </w:p>
        </w:tc>
        <w:tc>
          <w:tcPr>
            <w:tcW w:w="1210" w:type="dxa"/>
            <w:tcBorders>
              <w:top w:val="nil"/>
              <w:left w:val="nil"/>
              <w:bottom w:val="nil"/>
              <w:right w:val="nil"/>
            </w:tcBorders>
            <w:shd w:val="clear" w:color="auto" w:fill="auto"/>
            <w:noWrap/>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75</w:t>
            </w:r>
          </w:p>
        </w:tc>
        <w:tc>
          <w:tcPr>
            <w:tcW w:w="1477" w:type="dxa"/>
            <w:tcBorders>
              <w:top w:val="nil"/>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15</w:t>
            </w:r>
          </w:p>
        </w:tc>
        <w:tc>
          <w:tcPr>
            <w:tcW w:w="241" w:type="dxa"/>
            <w:tcBorders>
              <w:top w:val="nil"/>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p>
        </w:tc>
        <w:tc>
          <w:tcPr>
            <w:tcW w:w="1210" w:type="dxa"/>
            <w:tcBorders>
              <w:top w:val="nil"/>
              <w:left w:val="nil"/>
              <w:bottom w:val="nil"/>
              <w:right w:val="nil"/>
            </w:tcBorders>
            <w:shd w:val="clear" w:color="auto" w:fill="auto"/>
            <w:noWrap/>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75</w:t>
            </w:r>
          </w:p>
        </w:tc>
        <w:tc>
          <w:tcPr>
            <w:tcW w:w="1477" w:type="dxa"/>
            <w:tcBorders>
              <w:top w:val="nil"/>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15</w:t>
            </w:r>
          </w:p>
        </w:tc>
      </w:tr>
      <w:tr w:rsidR="0080298A" w:rsidRPr="0080298A" w:rsidTr="0080298A">
        <w:trPr>
          <w:trHeight w:val="300"/>
        </w:trPr>
        <w:tc>
          <w:tcPr>
            <w:tcW w:w="1765"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5</w:t>
            </w:r>
          </w:p>
        </w:tc>
        <w:tc>
          <w:tcPr>
            <w:tcW w:w="1210" w:type="dxa"/>
            <w:tcBorders>
              <w:top w:val="nil"/>
              <w:left w:val="nil"/>
              <w:bottom w:val="nil"/>
              <w:right w:val="nil"/>
            </w:tcBorders>
            <w:shd w:val="clear" w:color="auto" w:fill="auto"/>
            <w:noWrap/>
            <w:vAlign w:val="center"/>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38</w:t>
            </w:r>
          </w:p>
        </w:tc>
        <w:tc>
          <w:tcPr>
            <w:tcW w:w="1477" w:type="dxa"/>
            <w:tcBorders>
              <w:top w:val="nil"/>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62</w:t>
            </w:r>
          </w:p>
        </w:tc>
        <w:tc>
          <w:tcPr>
            <w:tcW w:w="241" w:type="dxa"/>
            <w:tcBorders>
              <w:top w:val="nil"/>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p>
        </w:tc>
        <w:tc>
          <w:tcPr>
            <w:tcW w:w="1210" w:type="dxa"/>
            <w:tcBorders>
              <w:top w:val="nil"/>
              <w:left w:val="nil"/>
              <w:bottom w:val="nil"/>
              <w:right w:val="nil"/>
            </w:tcBorders>
            <w:shd w:val="clear" w:color="auto" w:fill="auto"/>
            <w:noWrap/>
            <w:vAlign w:val="center"/>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38</w:t>
            </w:r>
          </w:p>
        </w:tc>
        <w:tc>
          <w:tcPr>
            <w:tcW w:w="1477" w:type="dxa"/>
            <w:tcBorders>
              <w:top w:val="nil"/>
              <w:left w:val="nil"/>
              <w:bottom w:val="nil"/>
              <w:right w:val="nil"/>
            </w:tcBorders>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75</w:t>
            </w:r>
          </w:p>
        </w:tc>
      </w:tr>
      <w:tr w:rsidR="0080298A" w:rsidRPr="0080298A" w:rsidTr="0080298A">
        <w:trPr>
          <w:trHeight w:val="300"/>
        </w:trPr>
        <w:tc>
          <w:tcPr>
            <w:tcW w:w="1765" w:type="dxa"/>
            <w:tcBorders>
              <w:top w:val="nil"/>
              <w:left w:val="nil"/>
              <w:bottom w:val="single" w:sz="4" w:space="0" w:color="auto"/>
              <w:right w:val="nil"/>
            </w:tcBorders>
            <w:shd w:val="clear" w:color="auto" w:fill="auto"/>
            <w:noWrap/>
            <w:vAlign w:val="bottom"/>
            <w:hideMark/>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6</w:t>
            </w:r>
          </w:p>
        </w:tc>
        <w:tc>
          <w:tcPr>
            <w:tcW w:w="1210" w:type="dxa"/>
            <w:tcBorders>
              <w:top w:val="nil"/>
              <w:left w:val="nil"/>
              <w:bottom w:val="single" w:sz="4" w:space="0" w:color="auto"/>
              <w:right w:val="nil"/>
            </w:tcBorders>
            <w:shd w:val="clear" w:color="auto" w:fill="auto"/>
            <w:noWrap/>
            <w:vAlign w:val="center"/>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56</w:t>
            </w:r>
          </w:p>
        </w:tc>
        <w:tc>
          <w:tcPr>
            <w:tcW w:w="1477" w:type="dxa"/>
            <w:tcBorders>
              <w:top w:val="nil"/>
              <w:left w:val="nil"/>
              <w:bottom w:val="single" w:sz="4" w:space="0" w:color="auto"/>
              <w:right w:val="nil"/>
            </w:tcBorders>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w:t>
            </w:r>
          </w:p>
        </w:tc>
        <w:tc>
          <w:tcPr>
            <w:tcW w:w="241" w:type="dxa"/>
            <w:tcBorders>
              <w:top w:val="nil"/>
              <w:left w:val="nil"/>
              <w:bottom w:val="single" w:sz="4" w:space="0" w:color="auto"/>
              <w:right w:val="nil"/>
            </w:tcBorders>
            <w:vAlign w:val="center"/>
          </w:tcPr>
          <w:p w:rsidR="0080298A" w:rsidRPr="0080298A" w:rsidRDefault="0080298A" w:rsidP="0080298A">
            <w:pPr>
              <w:spacing w:line="240" w:lineRule="auto"/>
              <w:jc w:val="right"/>
              <w:rPr>
                <w:rFonts w:ascii="Calibri" w:hAnsi="Calibri" w:cs="Calibri"/>
                <w:color w:val="000000"/>
                <w:lang w:eastAsia="zh-CN"/>
              </w:rPr>
            </w:pPr>
          </w:p>
        </w:tc>
        <w:tc>
          <w:tcPr>
            <w:tcW w:w="1210" w:type="dxa"/>
            <w:tcBorders>
              <w:top w:val="nil"/>
              <w:left w:val="nil"/>
              <w:bottom w:val="single" w:sz="4" w:space="0" w:color="auto"/>
              <w:right w:val="nil"/>
            </w:tcBorders>
            <w:shd w:val="clear" w:color="auto" w:fill="auto"/>
            <w:noWrap/>
            <w:vAlign w:val="center"/>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63</w:t>
            </w:r>
          </w:p>
        </w:tc>
        <w:tc>
          <w:tcPr>
            <w:tcW w:w="1477" w:type="dxa"/>
            <w:tcBorders>
              <w:top w:val="nil"/>
              <w:left w:val="nil"/>
              <w:bottom w:val="single" w:sz="4" w:space="0" w:color="auto"/>
              <w:right w:val="nil"/>
            </w:tcBorders>
            <w:vAlign w:val="center"/>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w:t>
            </w:r>
          </w:p>
        </w:tc>
      </w:tr>
    </w:tbl>
    <w:p w:rsidR="0080298A" w:rsidRPr="001F037B" w:rsidRDefault="0080298A" w:rsidP="006C3524">
      <w:pPr>
        <w:rPr>
          <w:rFonts w:eastAsia="SimSun"/>
          <w:highlight w:val="lightGray"/>
        </w:rPr>
      </w:pPr>
    </w:p>
    <w:p w:rsidR="00A92636" w:rsidRDefault="00A92636" w:rsidP="00525E94">
      <w:pPr>
        <w:rPr>
          <w:rFonts w:eastAsia="SimSun"/>
        </w:rPr>
      </w:pPr>
    </w:p>
    <w:p w:rsidR="00A92636" w:rsidRPr="007A5A20" w:rsidRDefault="00A92636" w:rsidP="00F60862">
      <w:pPr>
        <w:pStyle w:val="Heading3"/>
        <w:rPr>
          <w:rFonts w:eastAsia="SimSun"/>
        </w:rPr>
      </w:pPr>
      <w:r w:rsidRPr="007A5A20">
        <w:rPr>
          <w:rFonts w:eastAsia="SimSun"/>
        </w:rPr>
        <w:t>2.3. Environmental variables</w:t>
      </w:r>
    </w:p>
    <w:p w:rsidR="00A92636" w:rsidRDefault="00A92636" w:rsidP="00525E94">
      <w:pPr>
        <w:rPr>
          <w:rFonts w:eastAsia="SimSun"/>
        </w:rPr>
      </w:pPr>
    </w:p>
    <w:p w:rsidR="00A92636" w:rsidRPr="00986E71" w:rsidRDefault="00A92636" w:rsidP="00525E94">
      <w:pPr>
        <w:rPr>
          <w:rFonts w:eastAsia="SimSun"/>
        </w:rPr>
      </w:pPr>
      <w:r>
        <w:rPr>
          <w:rFonts w:eastAsia="SimSun"/>
        </w:rPr>
        <w:t xml:space="preserve">Water conductivity, temperature, </w:t>
      </w:r>
      <w:r w:rsidRPr="00986E71">
        <w:rPr>
          <w:rFonts w:eastAsia="SimSun"/>
        </w:rPr>
        <w:t xml:space="preserve">pressure </w:t>
      </w:r>
      <w:r>
        <w:rPr>
          <w:rFonts w:eastAsia="SimSun"/>
        </w:rPr>
        <w:t xml:space="preserve">and barometric pressure </w:t>
      </w:r>
      <w:r w:rsidRPr="00986E71">
        <w:rPr>
          <w:rFonts w:eastAsia="SimSun"/>
        </w:rPr>
        <w:t xml:space="preserve">were </w:t>
      </w:r>
      <w:r>
        <w:rPr>
          <w:rFonts w:eastAsia="SimSun"/>
        </w:rPr>
        <w:t>logged (</w:t>
      </w:r>
      <w:proofErr w:type="spellStart"/>
      <w:r>
        <w:rPr>
          <w:rFonts w:eastAsia="SimSun"/>
        </w:rPr>
        <w:t>Solinst</w:t>
      </w:r>
      <w:proofErr w:type="spellEnd"/>
      <w:r w:rsidRPr="00986E71">
        <w:rPr>
          <w:rFonts w:eastAsia="SimSun"/>
        </w:rPr>
        <w:t>, Ontario, Canada; Model</w:t>
      </w:r>
      <w:r>
        <w:rPr>
          <w:rFonts w:eastAsia="SimSun"/>
        </w:rPr>
        <w:t>s</w:t>
      </w:r>
      <w:r w:rsidRPr="00986E71">
        <w:rPr>
          <w:rFonts w:eastAsia="SimSun"/>
        </w:rPr>
        <w:t xml:space="preserve"> LTC </w:t>
      </w:r>
      <w:proofErr w:type="spellStart"/>
      <w:r w:rsidRPr="00986E71">
        <w:rPr>
          <w:rFonts w:eastAsia="SimSun"/>
        </w:rPr>
        <w:t>Levelogger</w:t>
      </w:r>
      <w:proofErr w:type="spellEnd"/>
      <w:r w:rsidRPr="00986E71">
        <w:rPr>
          <w:rFonts w:eastAsia="SimSun"/>
        </w:rPr>
        <w:t xml:space="preserve"> Junior 3001</w:t>
      </w:r>
      <w:r>
        <w:rPr>
          <w:rFonts w:eastAsia="SimSun"/>
        </w:rPr>
        <w:t xml:space="preserve"> and</w:t>
      </w:r>
      <w:r w:rsidRPr="00EB2797">
        <w:rPr>
          <w:rFonts w:eastAsia="SimSun"/>
        </w:rPr>
        <w:t xml:space="preserve"> </w:t>
      </w:r>
      <w:proofErr w:type="spellStart"/>
      <w:r w:rsidRPr="00986E71">
        <w:rPr>
          <w:rFonts w:eastAsia="SimSun"/>
        </w:rPr>
        <w:t>Barologger</w:t>
      </w:r>
      <w:proofErr w:type="spellEnd"/>
      <w:r w:rsidRPr="00986E71">
        <w:rPr>
          <w:rFonts w:eastAsia="SimSun"/>
        </w:rPr>
        <w:t xml:space="preserve"> Gold 3001) at 10 minute intervals either side of the </w:t>
      </w:r>
      <w:r>
        <w:rPr>
          <w:rFonts w:eastAsia="SimSun"/>
        </w:rPr>
        <w:t>tide gate structure</w:t>
      </w:r>
      <w:r w:rsidRPr="00986E71">
        <w:rPr>
          <w:rFonts w:eastAsia="SimSun"/>
        </w:rPr>
        <w:t xml:space="preserve"> from</w:t>
      </w:r>
      <w:r>
        <w:rPr>
          <w:rFonts w:eastAsia="SimSun"/>
        </w:rPr>
        <w:t xml:space="preserve"> April to</w:t>
      </w:r>
      <w:r w:rsidRPr="007566D0">
        <w:rPr>
          <w:rFonts w:eastAsia="SimSun"/>
        </w:rPr>
        <w:t xml:space="preserve"> June 2012</w:t>
      </w:r>
      <w:r>
        <w:rPr>
          <w:rFonts w:eastAsia="SimSun"/>
        </w:rPr>
        <w:t>.  Due to logger malfunction, these variables were only recorded downstream of the gates from April to August</w:t>
      </w:r>
      <w:r w:rsidRPr="00986E71">
        <w:rPr>
          <w:rFonts w:eastAsia="SimSun"/>
        </w:rPr>
        <w:t xml:space="preserve"> </w:t>
      </w:r>
      <w:r>
        <w:rPr>
          <w:rFonts w:eastAsia="SimSun"/>
        </w:rPr>
        <w:t>2011.  Angle of tide gate opening was</w:t>
      </w:r>
      <w:r w:rsidRPr="00986E71">
        <w:rPr>
          <w:rFonts w:eastAsia="SimSun"/>
        </w:rPr>
        <w:t xml:space="preserve"> logged at 2 minute interval</w:t>
      </w:r>
      <w:r>
        <w:rPr>
          <w:rFonts w:eastAsia="SimSun"/>
        </w:rPr>
        <w:t>s during the same period using tri-axial static acceleration</w:t>
      </w:r>
      <w:r w:rsidRPr="00986E71">
        <w:rPr>
          <w:rFonts w:eastAsia="SimSun"/>
        </w:rPr>
        <w:t xml:space="preserve"> logger</w:t>
      </w:r>
      <w:r>
        <w:rPr>
          <w:rFonts w:eastAsia="SimSun"/>
        </w:rPr>
        <w:t>s (Onset,</w:t>
      </w:r>
      <w:r w:rsidRPr="00986E71">
        <w:rPr>
          <w:rFonts w:eastAsia="SimSun"/>
        </w:rPr>
        <w:t xml:space="preserve"> Massachusetts, USA; Model UA-004-64), and calibrated against manual angle measurements using a tape measure at low tide each week throughout April 2011 and 2012.  </w:t>
      </w:r>
      <w:r>
        <w:rPr>
          <w:rFonts w:eastAsia="SimSun"/>
        </w:rPr>
        <w:t>Discharge in the River Meon was</w:t>
      </w:r>
      <w:r w:rsidRPr="00986E71">
        <w:rPr>
          <w:rFonts w:eastAsia="SimSun"/>
        </w:rPr>
        <w:t xml:space="preserve"> recorded at 15 minute intervals at the Environment Agency gauging station at </w:t>
      </w:r>
      <w:proofErr w:type="spellStart"/>
      <w:r w:rsidRPr="00986E71">
        <w:rPr>
          <w:rFonts w:eastAsia="SimSun"/>
        </w:rPr>
        <w:t>Mislingford</w:t>
      </w:r>
      <w:proofErr w:type="spellEnd"/>
      <w:r w:rsidRPr="00986E71">
        <w:rPr>
          <w:rFonts w:eastAsia="SimSun"/>
        </w:rPr>
        <w:t>.</w:t>
      </w:r>
    </w:p>
    <w:p w:rsidR="00A92636" w:rsidRPr="00986E71" w:rsidRDefault="00A92636" w:rsidP="00525E94">
      <w:pPr>
        <w:rPr>
          <w:rFonts w:eastAsia="SimSun"/>
        </w:rPr>
      </w:pPr>
    </w:p>
    <w:p w:rsidR="00A92636" w:rsidRPr="007A5A20" w:rsidRDefault="00A92636" w:rsidP="00F60862">
      <w:pPr>
        <w:pStyle w:val="Heading3"/>
        <w:rPr>
          <w:rFonts w:eastAsia="SimSun"/>
        </w:rPr>
      </w:pPr>
      <w:r w:rsidRPr="007A5A20">
        <w:rPr>
          <w:rFonts w:eastAsia="SimSun"/>
        </w:rPr>
        <w:t xml:space="preserve">2.4. Data analyses </w:t>
      </w:r>
    </w:p>
    <w:p w:rsidR="00A92636" w:rsidRPr="00AD4F74" w:rsidRDefault="00A92636" w:rsidP="00525E94">
      <w:pPr>
        <w:rPr>
          <w:rFonts w:eastAsia="SimSun"/>
        </w:rPr>
      </w:pPr>
    </w:p>
    <w:p w:rsidR="00A92636" w:rsidRPr="007A5A20" w:rsidRDefault="00A92636" w:rsidP="00F60862">
      <w:pPr>
        <w:pStyle w:val="Heading4"/>
      </w:pPr>
      <w:r w:rsidRPr="007A5A20">
        <w:t>2.4.1. Passage efficiency</w:t>
      </w:r>
    </w:p>
    <w:p w:rsidR="00A92636" w:rsidRPr="00AD4F74" w:rsidRDefault="00A92636" w:rsidP="00525E94">
      <w:pPr>
        <w:rPr>
          <w:rFonts w:eastAsia="SimSun"/>
        </w:rPr>
      </w:pPr>
    </w:p>
    <w:p w:rsidR="00A92636" w:rsidRDefault="00A92636" w:rsidP="00525E94">
      <w:pPr>
        <w:rPr>
          <w:rFonts w:eastAsia="SimSun"/>
        </w:rPr>
      </w:pPr>
      <w:r>
        <w:rPr>
          <w:rFonts w:eastAsia="SimSun"/>
        </w:rPr>
        <w:t>Passage efficiency was calculated as the number of fish detected at receiver 5 as a percentage of those recorded at receiver</w:t>
      </w:r>
      <w:r w:rsidR="00F60862">
        <w:rPr>
          <w:rFonts w:eastAsia="SimSun"/>
        </w:rPr>
        <w:t>s</w:t>
      </w:r>
      <w:r>
        <w:rPr>
          <w:rFonts w:eastAsia="SimSun"/>
        </w:rPr>
        <w:t xml:space="preserve"> 3</w:t>
      </w:r>
      <w:r w:rsidR="00886403">
        <w:rPr>
          <w:rFonts w:eastAsia="SimSun"/>
        </w:rPr>
        <w:t xml:space="preserve"> </w:t>
      </w:r>
      <w:r w:rsidR="00F60862">
        <w:rPr>
          <w:rFonts w:eastAsia="SimSun"/>
        </w:rPr>
        <w:t>or 4</w:t>
      </w:r>
      <w:r w:rsidR="003A64A4">
        <w:rPr>
          <w:rFonts w:eastAsia="SimSun"/>
        </w:rPr>
        <w:t xml:space="preserve"> </w:t>
      </w:r>
      <w:r w:rsidR="00886403" w:rsidRPr="00886403">
        <w:rPr>
          <w:rFonts w:eastAsia="SimSun"/>
        </w:rPr>
        <w:t>(Fig. 1)</w:t>
      </w:r>
      <w:r>
        <w:rPr>
          <w:rFonts w:eastAsia="SimSun"/>
        </w:rPr>
        <w:t>.</w:t>
      </w:r>
    </w:p>
    <w:p w:rsidR="00A92636" w:rsidRPr="007A5A20" w:rsidRDefault="00A92636" w:rsidP="00F60862">
      <w:pPr>
        <w:pStyle w:val="Heading4"/>
      </w:pPr>
      <w:r w:rsidRPr="007A5A20">
        <w:lastRenderedPageBreak/>
        <w:t>2.4.2. Delay</w:t>
      </w:r>
    </w:p>
    <w:p w:rsidR="00A92636" w:rsidRDefault="00A92636" w:rsidP="00525E94">
      <w:pPr>
        <w:rPr>
          <w:rFonts w:eastAsiaTheme="majorEastAsia" w:cstheme="majorBidi"/>
          <w:b/>
          <w:bCs/>
          <w:i/>
          <w:iCs/>
        </w:rPr>
      </w:pPr>
    </w:p>
    <w:p w:rsidR="00A92636" w:rsidRDefault="00A92636" w:rsidP="00525E94">
      <w:pPr>
        <w:rPr>
          <w:noProof/>
          <w:lang w:eastAsia="zh-CN"/>
        </w:rPr>
      </w:pPr>
      <w:r>
        <w:rPr>
          <w:noProof/>
          <w:lang w:eastAsia="zh-CN"/>
        </w:rPr>
        <w:t>The lower River Meon was divided into control reaches A and C, respectively upstream and downstream of treatment reach B that contained the tide gates (Fig. 1).  The speed of migration was calculated for each reach as the quotient of the distance (m) separating upstream and downstream receivers and duration (s) between first detection at each</w:t>
      </w:r>
      <w:r w:rsidR="003B56CC" w:rsidRPr="003B56CC">
        <w:rPr>
          <w:noProof/>
          <w:lang w:eastAsia="zh-CN"/>
        </w:rPr>
        <w:t>, with the exception of reach C where duration between first detection at receiver 5 and last detection at receiver 6 w</w:t>
      </w:r>
      <w:r w:rsidR="00062BDE">
        <w:rPr>
          <w:noProof/>
          <w:lang w:eastAsia="zh-CN"/>
        </w:rPr>
        <w:t>as</w:t>
      </w:r>
      <w:r w:rsidR="003B56CC" w:rsidRPr="003B56CC">
        <w:rPr>
          <w:noProof/>
          <w:lang w:eastAsia="zh-CN"/>
        </w:rPr>
        <w:t xml:space="preserve"> used</w:t>
      </w:r>
      <w:r>
        <w:rPr>
          <w:noProof/>
          <w:lang w:eastAsia="zh-CN"/>
        </w:rPr>
        <w:t xml:space="preserve">.  </w:t>
      </w:r>
      <w:r w:rsidR="006C3524" w:rsidRPr="006C3524">
        <w:rPr>
          <w:noProof/>
          <w:lang w:eastAsia="zh-CN"/>
        </w:rPr>
        <w:t>When tags were not detected at receiver 3 (n = 3), first detection at receiver 4 was used to calculate speed of migration through reach</w:t>
      </w:r>
      <w:r w:rsidR="00F60862">
        <w:rPr>
          <w:noProof/>
          <w:lang w:eastAsia="zh-CN"/>
        </w:rPr>
        <w:t>es</w:t>
      </w:r>
      <w:r w:rsidR="006C3524" w:rsidRPr="006C3524">
        <w:rPr>
          <w:noProof/>
          <w:lang w:eastAsia="zh-CN"/>
        </w:rPr>
        <w:t xml:space="preserve"> </w:t>
      </w:r>
      <w:r w:rsidR="00F60862">
        <w:rPr>
          <w:noProof/>
          <w:lang w:eastAsia="zh-CN"/>
        </w:rPr>
        <w:t xml:space="preserve">A and </w:t>
      </w:r>
      <w:r w:rsidR="006C3524" w:rsidRPr="006C3524">
        <w:rPr>
          <w:noProof/>
          <w:lang w:eastAsia="zh-CN"/>
        </w:rPr>
        <w:t>B.</w:t>
      </w:r>
      <w:r w:rsidR="006C3524">
        <w:rPr>
          <w:noProof/>
          <w:lang w:eastAsia="zh-CN"/>
        </w:rPr>
        <w:t xml:space="preserve">  </w:t>
      </w:r>
      <w:r>
        <w:rPr>
          <w:rFonts w:eastAsia="SimSun"/>
        </w:rPr>
        <w:t>Mean discharge (Q</w:t>
      </w:r>
      <w:r w:rsidRPr="00672E12">
        <w:rPr>
          <w:rFonts w:eastAsia="SimSun"/>
          <w:vertAlign w:val="subscript"/>
        </w:rPr>
        <w:t>fish</w:t>
      </w:r>
      <w:r>
        <w:rPr>
          <w:rFonts w:eastAsia="SimSun"/>
        </w:rPr>
        <w:t>) and water temperature (Temp</w:t>
      </w:r>
      <w:r w:rsidRPr="00672E12">
        <w:rPr>
          <w:rFonts w:eastAsia="SimSun"/>
          <w:vertAlign w:val="subscript"/>
        </w:rPr>
        <w:t>fish</w:t>
      </w:r>
      <w:r>
        <w:rPr>
          <w:rFonts w:eastAsia="SimSun"/>
        </w:rPr>
        <w:t xml:space="preserve">) during passage through each reach were calculated for individual fish.  </w:t>
      </w:r>
    </w:p>
    <w:p w:rsidR="00A92636" w:rsidRDefault="00A92636" w:rsidP="00525E94">
      <w:pPr>
        <w:rPr>
          <w:rFonts w:eastAsia="SimSun"/>
        </w:rPr>
      </w:pPr>
    </w:p>
    <w:p w:rsidR="00A92636" w:rsidRDefault="00A92636" w:rsidP="003B56CC">
      <w:pPr>
        <w:rPr>
          <w:rFonts w:eastAsia="SimSun"/>
        </w:rPr>
      </w:pPr>
      <w:r>
        <w:rPr>
          <w:rFonts w:eastAsia="SimSun"/>
        </w:rPr>
        <w:t xml:space="preserve">Kolmogorov-Smirnov tests indicated </w:t>
      </w:r>
      <w:r w:rsidR="003B56CC">
        <w:rPr>
          <w:rFonts w:eastAsia="SimSun"/>
        </w:rPr>
        <w:t>that speed of migration, Q</w:t>
      </w:r>
      <w:r w:rsidR="003B56CC" w:rsidRPr="00672E12">
        <w:rPr>
          <w:rFonts w:eastAsia="SimSun"/>
          <w:vertAlign w:val="subscript"/>
        </w:rPr>
        <w:t>fish</w:t>
      </w:r>
      <w:r w:rsidR="003B56CC">
        <w:rPr>
          <w:rFonts w:eastAsia="SimSun"/>
        </w:rPr>
        <w:t>, and Temp</w:t>
      </w:r>
      <w:r w:rsidR="003B56CC" w:rsidRPr="00672E12">
        <w:rPr>
          <w:rFonts w:eastAsia="SimSun"/>
          <w:vertAlign w:val="subscript"/>
        </w:rPr>
        <w:t>fis</w:t>
      </w:r>
      <w:r w:rsidR="003B56CC">
        <w:rPr>
          <w:rFonts w:eastAsia="SimSun"/>
          <w:vertAlign w:val="subscript"/>
        </w:rPr>
        <w:t xml:space="preserve">h </w:t>
      </w:r>
      <w:r>
        <w:rPr>
          <w:rFonts w:eastAsia="SimSun"/>
        </w:rPr>
        <w:t xml:space="preserve">were not normally distributed.  Due to being robust to </w:t>
      </w:r>
      <w:r w:rsidRPr="000167DD">
        <w:rPr>
          <w:rFonts w:eastAsia="SimSun"/>
        </w:rPr>
        <w:t xml:space="preserve">deviations </w:t>
      </w:r>
      <w:r>
        <w:rPr>
          <w:rFonts w:eastAsia="SimSun"/>
        </w:rPr>
        <w:t>from normality when sample size is</w:t>
      </w:r>
      <w:r w:rsidRPr="000167DD">
        <w:rPr>
          <w:rFonts w:eastAsia="SimSun"/>
        </w:rPr>
        <w:t xml:space="preserve"> equal</w:t>
      </w:r>
      <w:r>
        <w:rPr>
          <w:rFonts w:eastAsia="SimSun"/>
        </w:rPr>
        <w:t xml:space="preserve"> </w:t>
      </w:r>
      <w:r>
        <w:rPr>
          <w:rFonts w:eastAsia="SimSun"/>
          <w:noProof/>
        </w:rPr>
        <w:t>(Harwell et al., 1992)</w:t>
      </w:r>
      <w:r>
        <w:rPr>
          <w:rFonts w:eastAsia="SimSun"/>
        </w:rPr>
        <w:t>, mixed-measures ANOVAs with Greenhouse-</w:t>
      </w:r>
      <w:proofErr w:type="spellStart"/>
      <w:r>
        <w:rPr>
          <w:rFonts w:eastAsia="SimSun"/>
        </w:rPr>
        <w:t>Geisser</w:t>
      </w:r>
      <w:proofErr w:type="spellEnd"/>
      <w:r>
        <w:rPr>
          <w:rFonts w:eastAsia="SimSun"/>
        </w:rPr>
        <w:t xml:space="preserve"> correction were used to test for differences in speed of migration,  Q</w:t>
      </w:r>
      <w:r w:rsidRPr="00672E12">
        <w:rPr>
          <w:rFonts w:eastAsia="SimSun"/>
          <w:vertAlign w:val="subscript"/>
        </w:rPr>
        <w:t>fish</w:t>
      </w:r>
      <w:r>
        <w:rPr>
          <w:rFonts w:eastAsia="SimSun"/>
        </w:rPr>
        <w:t>, and Temp</w:t>
      </w:r>
      <w:r w:rsidRPr="00672E12">
        <w:rPr>
          <w:rFonts w:eastAsia="SimSun"/>
          <w:vertAlign w:val="subscript"/>
        </w:rPr>
        <w:t>fish</w:t>
      </w:r>
      <w:r>
        <w:rPr>
          <w:rFonts w:eastAsia="SimSun"/>
        </w:rPr>
        <w:t xml:space="preserve"> between reach (controls: A and C; treatment: B) and year (year 1: pre modification; year 2: post modification).  </w:t>
      </w:r>
      <w:proofErr w:type="spellStart"/>
      <w:r>
        <w:rPr>
          <w:rFonts w:eastAsia="SimSun"/>
        </w:rPr>
        <w:t>Levene's</w:t>
      </w:r>
      <w:proofErr w:type="spellEnd"/>
      <w:r>
        <w:rPr>
          <w:rFonts w:eastAsia="SimSun"/>
        </w:rPr>
        <w:t xml:space="preserve"> test indicated that variance was homogenous between years (</w:t>
      </w:r>
      <w:r w:rsidRPr="00F52C34">
        <w:rPr>
          <w:rFonts w:eastAsia="SimSun"/>
          <w:i/>
        </w:rPr>
        <w:t>P</w:t>
      </w:r>
      <w:r>
        <w:rPr>
          <w:rFonts w:eastAsia="SimSun"/>
        </w:rPr>
        <w:t xml:space="preserve"> &gt; 0.05).  Bonferroni correction was applied when making pairwise comparisons between multiple groups.</w:t>
      </w:r>
    </w:p>
    <w:p w:rsidR="00A92636" w:rsidRPr="00FE6BF3" w:rsidRDefault="00A92636" w:rsidP="00525E94">
      <w:pPr>
        <w:rPr>
          <w:rFonts w:eastAsia="SimSun"/>
        </w:rPr>
      </w:pPr>
      <w:r w:rsidRPr="00CE65EF">
        <w:rPr>
          <w:rFonts w:eastAsia="SimSun"/>
        </w:rPr>
        <w:tab/>
      </w:r>
    </w:p>
    <w:p w:rsidR="00A92636" w:rsidRDefault="00A92636" w:rsidP="00525E94">
      <w:pPr>
        <w:rPr>
          <w:rFonts w:eastAsia="SimSun"/>
        </w:rPr>
      </w:pPr>
      <w:r w:rsidRPr="00354EC7">
        <w:rPr>
          <w:rFonts w:eastAsia="SimSun"/>
        </w:rPr>
        <w:t>Because the size of aperture</w:t>
      </w:r>
      <w:r>
        <w:rPr>
          <w:rFonts w:eastAsia="SimSun"/>
        </w:rPr>
        <w:t>s</w:t>
      </w:r>
      <w:r w:rsidRPr="00354EC7">
        <w:rPr>
          <w:rFonts w:eastAsia="SimSun"/>
        </w:rPr>
        <w:t xml:space="preserve"> did not vary considerably between gates, or throughout the period of opening, gates were classed as open or closed.  The percentage of time gates were open </w:t>
      </w:r>
      <w:r>
        <w:rPr>
          <w:rFonts w:eastAsia="SimSun"/>
        </w:rPr>
        <w:t>(</w:t>
      </w:r>
      <w:proofErr w:type="gramStart"/>
      <w:r>
        <w:rPr>
          <w:rFonts w:eastAsia="SimSun"/>
        </w:rPr>
        <w:t>GO%</w:t>
      </w:r>
      <w:proofErr w:type="gramEnd"/>
      <w:r w:rsidRPr="00354EC7">
        <w:rPr>
          <w:rFonts w:eastAsia="SimSun"/>
        </w:rPr>
        <w:t xml:space="preserve">) </w:t>
      </w:r>
      <w:r>
        <w:rPr>
          <w:rFonts w:eastAsia="SimSun"/>
        </w:rPr>
        <w:t xml:space="preserve">during passage through </w:t>
      </w:r>
      <w:r w:rsidRPr="00354EC7">
        <w:rPr>
          <w:rFonts w:eastAsia="SimSun"/>
        </w:rPr>
        <w:t>each reach</w:t>
      </w:r>
      <w:r>
        <w:rPr>
          <w:rFonts w:eastAsia="SimSun"/>
        </w:rPr>
        <w:t xml:space="preserve"> was calculated for individual fish</w:t>
      </w:r>
      <w:r w:rsidRPr="00354EC7">
        <w:rPr>
          <w:rFonts w:eastAsia="SimSun"/>
        </w:rPr>
        <w:t xml:space="preserve">.  </w:t>
      </w:r>
      <w:r>
        <w:rPr>
          <w:rFonts w:eastAsia="SimSun"/>
        </w:rPr>
        <w:t xml:space="preserve">Similarly, the influence of diurnal periodicity was considered by </w:t>
      </w:r>
      <w:r w:rsidRPr="00525E94">
        <w:rPr>
          <w:rFonts w:eastAsia="SimSun"/>
        </w:rPr>
        <w:t>calculating the percentage of time it was night (</w:t>
      </w:r>
      <w:proofErr w:type="gramStart"/>
      <w:r w:rsidRPr="00525E94">
        <w:rPr>
          <w:rFonts w:eastAsia="SimSun"/>
        </w:rPr>
        <w:t>N%</w:t>
      </w:r>
      <w:proofErr w:type="gramEnd"/>
      <w:r w:rsidRPr="00525E94">
        <w:rPr>
          <w:rFonts w:eastAsia="SimSun"/>
        </w:rPr>
        <w:t>)</w:t>
      </w:r>
      <w:r>
        <w:rPr>
          <w:rFonts w:eastAsia="SimSun"/>
        </w:rPr>
        <w:t xml:space="preserve"> during the migration of</w:t>
      </w:r>
      <w:r w:rsidRPr="00354EC7">
        <w:rPr>
          <w:rFonts w:eastAsia="SimSun"/>
        </w:rPr>
        <w:t xml:space="preserve"> individual fish </w:t>
      </w:r>
      <w:r>
        <w:rPr>
          <w:rFonts w:eastAsia="SimSun"/>
        </w:rPr>
        <w:t xml:space="preserve">through </w:t>
      </w:r>
      <w:r w:rsidRPr="00354EC7">
        <w:rPr>
          <w:rFonts w:eastAsia="SimSun"/>
        </w:rPr>
        <w:t>each reach.</w:t>
      </w:r>
      <w:r>
        <w:rPr>
          <w:rFonts w:eastAsia="SimSun"/>
        </w:rPr>
        <w:t xml:space="preserve">  </w:t>
      </w:r>
    </w:p>
    <w:p w:rsidR="00A92636" w:rsidRDefault="00A92636" w:rsidP="00525E94">
      <w:pPr>
        <w:rPr>
          <w:rFonts w:eastAsia="SimSun"/>
        </w:rPr>
      </w:pPr>
    </w:p>
    <w:p w:rsidR="00A92636" w:rsidRDefault="00A92636" w:rsidP="00525E94">
      <w:pPr>
        <w:rPr>
          <w:rFonts w:eastAsia="SimSun"/>
        </w:rPr>
      </w:pPr>
      <w:r>
        <w:rPr>
          <w:rFonts w:eastAsia="SimSun"/>
        </w:rPr>
        <w:t xml:space="preserve">To increase statistical power, data from both years were aggregated in multiple regression models developed to explore the relationships between speed of migration and the confounding variables </w:t>
      </w:r>
      <w:r w:rsidRPr="00FE6BF3">
        <w:rPr>
          <w:rFonts w:eastAsia="SimSun"/>
        </w:rPr>
        <w:t>(</w:t>
      </w:r>
      <w:r w:rsidR="00F60862">
        <w:rPr>
          <w:rFonts w:eastAsia="SimSun"/>
        </w:rPr>
        <w:t>FL</w:t>
      </w:r>
      <w:r>
        <w:rPr>
          <w:rFonts w:eastAsia="SimSun"/>
        </w:rPr>
        <w:t>, Q</w:t>
      </w:r>
      <w:r w:rsidRPr="00672E12">
        <w:rPr>
          <w:rFonts w:eastAsia="SimSun"/>
          <w:vertAlign w:val="subscript"/>
        </w:rPr>
        <w:t>fish</w:t>
      </w:r>
      <w:r>
        <w:rPr>
          <w:rFonts w:eastAsia="SimSun"/>
        </w:rPr>
        <w:t>, Temp</w:t>
      </w:r>
      <w:r w:rsidRPr="00672E12">
        <w:rPr>
          <w:rFonts w:eastAsia="SimSun"/>
          <w:vertAlign w:val="subscript"/>
        </w:rPr>
        <w:t>fish</w:t>
      </w:r>
      <w:r>
        <w:rPr>
          <w:rFonts w:eastAsia="SimSun"/>
        </w:rPr>
        <w:t xml:space="preserve">, GO%, </w:t>
      </w:r>
      <w:proofErr w:type="gramStart"/>
      <w:r>
        <w:rPr>
          <w:rFonts w:eastAsia="SimSun"/>
        </w:rPr>
        <w:t>N%</w:t>
      </w:r>
      <w:proofErr w:type="gramEnd"/>
      <w:r w:rsidRPr="00FE6BF3">
        <w:rPr>
          <w:rFonts w:eastAsia="SimSun"/>
        </w:rPr>
        <w:t xml:space="preserve">) </w:t>
      </w:r>
      <w:r>
        <w:rPr>
          <w:rFonts w:eastAsia="SimSun"/>
        </w:rPr>
        <w:t xml:space="preserve">in reaches A and B.  Additional multiple regression models used data from each year separately to assess these relationships within years.  Year and date/time of detection were omitted from regressions due to colinearity with discharge (Pearson’s r: </w:t>
      </w:r>
      <w:r w:rsidRPr="008B4AF4">
        <w:rPr>
          <w:rFonts w:eastAsia="SimSun"/>
          <w:i/>
        </w:rPr>
        <w:t>r</w:t>
      </w:r>
      <w:r>
        <w:rPr>
          <w:rFonts w:eastAsia="SimSun"/>
        </w:rPr>
        <w:t xml:space="preserve"> &gt; 0.9).  </w:t>
      </w:r>
      <w:r w:rsidRPr="00354EC7">
        <w:t>FL did not vary between years (</w:t>
      </w:r>
      <w:r w:rsidR="00F60862">
        <w:rPr>
          <w:i/>
          <w:iCs/>
        </w:rPr>
        <w:t>t</w:t>
      </w:r>
      <w:r w:rsidRPr="00354EC7">
        <w:rPr>
          <w:vertAlign w:val="subscript"/>
        </w:rPr>
        <w:t>46</w:t>
      </w:r>
      <w:r w:rsidRPr="00354EC7">
        <w:t xml:space="preserve"> = -1.61,</w:t>
      </w:r>
      <w:r w:rsidRPr="00354EC7">
        <w:rPr>
          <w:i/>
          <w:iCs/>
        </w:rPr>
        <w:t xml:space="preserve"> P</w:t>
      </w:r>
      <w:r w:rsidRPr="00354EC7">
        <w:t xml:space="preserve"> &gt; 0.05)</w:t>
      </w:r>
      <w:r>
        <w:t>,</w:t>
      </w:r>
      <w:r w:rsidRPr="00354EC7">
        <w:t xml:space="preserve"> had no independent relationship with speed</w:t>
      </w:r>
      <w:r>
        <w:t>,</w:t>
      </w:r>
      <w:r w:rsidRPr="00354EC7">
        <w:t xml:space="preserve"> and was </w:t>
      </w:r>
      <w:r>
        <w:t xml:space="preserve">thus </w:t>
      </w:r>
      <w:r w:rsidRPr="00354EC7">
        <w:t>excluded from further analysis</w:t>
      </w:r>
      <w:r w:rsidRPr="004C099C">
        <w:t xml:space="preserve">.  Where </w:t>
      </w:r>
      <w:r w:rsidRPr="004C099C">
        <w:rPr>
          <w:rFonts w:eastAsia="SimSun"/>
        </w:rPr>
        <w:lastRenderedPageBreak/>
        <w:t>Kolmogorov-Smirnov tests indicated that standardised residuals were not normally distributed (</w:t>
      </w:r>
      <w:r w:rsidRPr="004C099C">
        <w:rPr>
          <w:rFonts w:eastAsia="SimSun"/>
          <w:i/>
          <w:iCs/>
        </w:rPr>
        <w:t>P</w:t>
      </w:r>
      <w:r w:rsidRPr="004C099C">
        <w:rPr>
          <w:rFonts w:eastAsia="SimSun"/>
        </w:rPr>
        <w:t xml:space="preserve"> &lt; 0.05), regressions with outliers removed </w:t>
      </w:r>
      <w:r>
        <w:rPr>
          <w:rFonts w:eastAsia="SimSun"/>
        </w:rPr>
        <w:t>corroborated</w:t>
      </w:r>
      <w:r w:rsidRPr="004C099C">
        <w:rPr>
          <w:rFonts w:eastAsia="SimSun"/>
        </w:rPr>
        <w:t xml:space="preserve"> the results.</w:t>
      </w:r>
      <w:r>
        <w:rPr>
          <w:rFonts w:eastAsia="SimSun"/>
        </w:rPr>
        <w:t xml:space="preserve">  Regression analys</w:t>
      </w:r>
      <w:r w:rsidR="00F60862">
        <w:rPr>
          <w:rFonts w:eastAsia="SimSun"/>
        </w:rPr>
        <w:t xml:space="preserve">es were reported as </w:t>
      </w:r>
      <w:proofErr w:type="spellStart"/>
      <w:r w:rsidR="00F60862">
        <w:rPr>
          <w:rFonts w:eastAsia="SimSun"/>
        </w:rPr>
        <w:t>unstandardis</w:t>
      </w:r>
      <w:r>
        <w:rPr>
          <w:rFonts w:eastAsia="SimSun"/>
        </w:rPr>
        <w:t>ed</w:t>
      </w:r>
      <w:proofErr w:type="spellEnd"/>
      <w:r>
        <w:rPr>
          <w:rFonts w:eastAsia="SimSun"/>
        </w:rPr>
        <w:t xml:space="preserve"> B coefficients and 95% confidence intervals (CI) with variance (R</w:t>
      </w:r>
      <w:r w:rsidRPr="007A53F0">
        <w:rPr>
          <w:rFonts w:eastAsia="SimSun"/>
          <w:vertAlign w:val="superscript"/>
        </w:rPr>
        <w:t>2</w:t>
      </w:r>
      <w:r>
        <w:rPr>
          <w:rFonts w:eastAsia="SimSun"/>
        </w:rPr>
        <w:t>) indicated as percentages.</w:t>
      </w:r>
    </w:p>
    <w:p w:rsidR="00A92636" w:rsidRPr="00FE6BF3" w:rsidRDefault="00A92636" w:rsidP="00525E94">
      <w:pPr>
        <w:rPr>
          <w:rFonts w:eastAsia="SimSun"/>
          <w:highlight w:val="lightGray"/>
        </w:rPr>
      </w:pPr>
    </w:p>
    <w:p w:rsidR="00A92636" w:rsidRDefault="00A92636" w:rsidP="00525E94">
      <w:pPr>
        <w:rPr>
          <w:rFonts w:eastAsia="SimSun"/>
        </w:rPr>
      </w:pPr>
      <w:r w:rsidRPr="00FE6BF3">
        <w:rPr>
          <w:rFonts w:eastAsia="SimSun"/>
        </w:rPr>
        <w:t xml:space="preserve">Independent </w:t>
      </w:r>
      <w:r w:rsidRPr="00EE37C5">
        <w:rPr>
          <w:rFonts w:eastAsia="SimSun"/>
          <w:iCs/>
        </w:rPr>
        <w:t>t</w:t>
      </w:r>
      <w:r w:rsidRPr="00EE37C5">
        <w:rPr>
          <w:rFonts w:eastAsia="SimSun"/>
        </w:rPr>
        <w:t>-test</w:t>
      </w:r>
      <w:r w:rsidRPr="00FE6BF3">
        <w:rPr>
          <w:rFonts w:eastAsia="SimSun"/>
        </w:rPr>
        <w:t xml:space="preserve">s </w:t>
      </w:r>
      <w:r>
        <w:rPr>
          <w:rFonts w:eastAsia="SimSun"/>
        </w:rPr>
        <w:t>were used to assess the influence of tide gate position</w:t>
      </w:r>
      <w:r w:rsidRPr="00FE6BF3">
        <w:rPr>
          <w:rFonts w:eastAsia="SimSun"/>
        </w:rPr>
        <w:t xml:space="preserve"> (open or closed) and the time of day </w:t>
      </w:r>
      <w:r>
        <w:rPr>
          <w:rFonts w:eastAsia="SimSun"/>
        </w:rPr>
        <w:t xml:space="preserve">(day or night) </w:t>
      </w:r>
      <w:r w:rsidRPr="00FE6BF3">
        <w:rPr>
          <w:rFonts w:eastAsia="SimSun"/>
        </w:rPr>
        <w:t xml:space="preserve">when fish entered the </w:t>
      </w:r>
      <w:r>
        <w:rPr>
          <w:rFonts w:eastAsia="SimSun"/>
        </w:rPr>
        <w:t>treatment reach (B) (first detection at receiver 3</w:t>
      </w:r>
      <w:r w:rsidR="00F60862">
        <w:rPr>
          <w:rFonts w:eastAsia="SimSun"/>
        </w:rPr>
        <w:t xml:space="preserve"> or 4</w:t>
      </w:r>
      <w:r>
        <w:rPr>
          <w:rFonts w:eastAsia="SimSun"/>
        </w:rPr>
        <w:t>) on the speed of migration, and to compare conductivity and water temperature up and downstream of closed tide gates in year 2.</w:t>
      </w:r>
    </w:p>
    <w:p w:rsidR="003A64A4" w:rsidRDefault="003A64A4" w:rsidP="00525E94">
      <w:pPr>
        <w:rPr>
          <w:rFonts w:eastAsia="SimSun"/>
        </w:rPr>
      </w:pPr>
    </w:p>
    <w:p w:rsidR="00A92636" w:rsidRPr="007A5A20" w:rsidRDefault="00A92636" w:rsidP="00F60862">
      <w:pPr>
        <w:pStyle w:val="Heading2"/>
        <w:rPr>
          <w:rFonts w:eastAsia="SimSun"/>
        </w:rPr>
      </w:pPr>
      <w:r w:rsidRPr="007A5A20">
        <w:rPr>
          <w:rFonts w:eastAsia="SimSun"/>
        </w:rPr>
        <w:t>3. Results</w:t>
      </w:r>
    </w:p>
    <w:p w:rsidR="00A92636" w:rsidRDefault="00A92636" w:rsidP="00525E94">
      <w:pPr>
        <w:rPr>
          <w:rFonts w:eastAsia="SimSun"/>
        </w:rPr>
      </w:pPr>
    </w:p>
    <w:p w:rsidR="00A92636" w:rsidRPr="007A5A20" w:rsidRDefault="00A92636" w:rsidP="00F60862">
      <w:pPr>
        <w:pStyle w:val="Heading3"/>
        <w:rPr>
          <w:rFonts w:eastAsia="SimSun"/>
        </w:rPr>
      </w:pPr>
      <w:r w:rsidRPr="007A5A20">
        <w:rPr>
          <w:rFonts w:eastAsia="SimSun"/>
        </w:rPr>
        <w:t>3.1. Passage efficiency</w:t>
      </w:r>
    </w:p>
    <w:p w:rsidR="00A92636" w:rsidRPr="00986E71" w:rsidRDefault="00A92636" w:rsidP="00525E94">
      <w:pPr>
        <w:rPr>
          <w:rFonts w:eastAsia="SimSun"/>
        </w:rPr>
      </w:pPr>
    </w:p>
    <w:p w:rsidR="00A92636" w:rsidRDefault="00A92636" w:rsidP="00525E94">
      <w:pPr>
        <w:rPr>
          <w:rFonts w:eastAsia="SimSun"/>
        </w:rPr>
      </w:pPr>
      <w:r>
        <w:rPr>
          <w:rFonts w:eastAsia="SimSun"/>
        </w:rPr>
        <w:t>In total, 25 of the 30</w:t>
      </w:r>
      <w:r w:rsidRPr="00986E71">
        <w:rPr>
          <w:rFonts w:eastAsia="SimSun"/>
        </w:rPr>
        <w:t xml:space="preserve"> tagged smolts were detected in Titchfield Haven in both years.  Of these, one individual in year 1 exhibited anomalous detections indicating </w:t>
      </w:r>
      <w:r>
        <w:rPr>
          <w:rFonts w:eastAsia="SimSun"/>
        </w:rPr>
        <w:t xml:space="preserve">likely mortality </w:t>
      </w:r>
      <w:r w:rsidRPr="00986E71">
        <w:rPr>
          <w:rFonts w:eastAsia="SimSun"/>
        </w:rPr>
        <w:t>and was excluded from further analysis.  Of the f</w:t>
      </w:r>
      <w:r>
        <w:rPr>
          <w:rFonts w:eastAsia="SimSun"/>
        </w:rPr>
        <w:t>ish caught and released in the Natural C</w:t>
      </w:r>
      <w:r w:rsidRPr="00986E71">
        <w:rPr>
          <w:rFonts w:eastAsia="SimSun"/>
        </w:rPr>
        <w:t>hannel, 90</w:t>
      </w:r>
      <w:r w:rsidR="00924524">
        <w:rPr>
          <w:rFonts w:eastAsia="SimSun"/>
        </w:rPr>
        <w:t>.0</w:t>
      </w:r>
      <w:r w:rsidRPr="00986E71">
        <w:rPr>
          <w:rFonts w:eastAsia="SimSun"/>
        </w:rPr>
        <w:t xml:space="preserve">% (n = 9) </w:t>
      </w:r>
      <w:r>
        <w:rPr>
          <w:rFonts w:eastAsia="SimSun"/>
        </w:rPr>
        <w:t>in year 1 and 84.8</w:t>
      </w:r>
      <w:r w:rsidRPr="00986E71">
        <w:rPr>
          <w:rFonts w:eastAsia="SimSun"/>
        </w:rPr>
        <w:t>% (n = 10) in year 2</w:t>
      </w:r>
      <w:r>
        <w:rPr>
          <w:rFonts w:eastAsia="SimSun"/>
        </w:rPr>
        <w:t xml:space="preserve"> </w:t>
      </w:r>
      <w:r w:rsidRPr="00986E71">
        <w:rPr>
          <w:rFonts w:eastAsia="SimSun"/>
        </w:rPr>
        <w:t>reached the acoustic receivers at Titc</w:t>
      </w:r>
      <w:r>
        <w:rPr>
          <w:rFonts w:eastAsia="SimSun"/>
        </w:rPr>
        <w:t>hfield Haven.</w:t>
      </w:r>
      <w:r w:rsidRPr="00986E71">
        <w:rPr>
          <w:rFonts w:eastAsia="SimSun"/>
        </w:rPr>
        <w:t xml:space="preserve"> </w:t>
      </w:r>
      <w:r>
        <w:rPr>
          <w:rFonts w:eastAsia="SimSun"/>
        </w:rPr>
        <w:t xml:space="preserve"> For fish caught and released in the Canal,</w:t>
      </w:r>
      <w:r w:rsidRPr="00986E71">
        <w:rPr>
          <w:rFonts w:eastAsia="SimSun"/>
        </w:rPr>
        <w:t xml:space="preserve"> 75</w:t>
      </w:r>
      <w:r w:rsidR="00924524">
        <w:rPr>
          <w:rFonts w:eastAsia="SimSun"/>
        </w:rPr>
        <w:t>.0</w:t>
      </w:r>
      <w:r w:rsidRPr="00986E71">
        <w:rPr>
          <w:rFonts w:eastAsia="SimSun"/>
        </w:rPr>
        <w:t>% (n = 15) in year</w:t>
      </w:r>
      <w:r>
        <w:rPr>
          <w:rFonts w:eastAsia="SimSun"/>
        </w:rPr>
        <w:t xml:space="preserve"> 1 and 82.3% (n = 14) in year 2</w:t>
      </w:r>
      <w:r w:rsidRPr="00986E71">
        <w:rPr>
          <w:rFonts w:eastAsia="SimSun"/>
        </w:rPr>
        <w:t xml:space="preserve"> </w:t>
      </w:r>
      <w:r>
        <w:rPr>
          <w:rFonts w:eastAsia="SimSun"/>
        </w:rPr>
        <w:t>were detected at Titchfield Haven</w:t>
      </w:r>
      <w:r w:rsidRPr="00986E71">
        <w:rPr>
          <w:rFonts w:eastAsia="SimSun"/>
        </w:rPr>
        <w:t>.</w:t>
      </w:r>
      <w:r>
        <w:rPr>
          <w:rFonts w:eastAsia="SimSun"/>
        </w:rPr>
        <w:t xml:space="preserve">  Passage efficiency at the tide gates was </w:t>
      </w:r>
      <w:r w:rsidRPr="00180AA6">
        <w:rPr>
          <w:rFonts w:eastAsia="SimSun"/>
        </w:rPr>
        <w:t>95.8%</w:t>
      </w:r>
      <w:r>
        <w:rPr>
          <w:rFonts w:eastAsia="SimSun"/>
        </w:rPr>
        <w:t xml:space="preserve"> and 100% in years 1 and 2, respectively.  </w:t>
      </w:r>
      <w:r w:rsidRPr="00986E71">
        <w:rPr>
          <w:rFonts w:eastAsia="SimSun"/>
        </w:rPr>
        <w:t xml:space="preserve">  </w:t>
      </w:r>
    </w:p>
    <w:p w:rsidR="00A92636" w:rsidRDefault="00A92636" w:rsidP="00525E94">
      <w:pPr>
        <w:rPr>
          <w:rFonts w:eastAsia="SimSun"/>
        </w:rPr>
      </w:pPr>
    </w:p>
    <w:p w:rsidR="00A92636" w:rsidRPr="007A5A20" w:rsidRDefault="00A92636" w:rsidP="00F60862">
      <w:pPr>
        <w:pStyle w:val="Heading3"/>
        <w:rPr>
          <w:rFonts w:eastAsia="SimSun"/>
        </w:rPr>
      </w:pPr>
      <w:r w:rsidRPr="007A5A20">
        <w:rPr>
          <w:rFonts w:eastAsia="SimSun"/>
        </w:rPr>
        <w:t>3.2. Delay</w:t>
      </w:r>
    </w:p>
    <w:p w:rsidR="00A92636" w:rsidRDefault="00A92636" w:rsidP="00525E94">
      <w:pPr>
        <w:rPr>
          <w:rFonts w:eastAsia="SimSun"/>
        </w:rPr>
      </w:pPr>
    </w:p>
    <w:p w:rsidR="00A92636" w:rsidRDefault="00A92636" w:rsidP="006C3524">
      <w:pPr>
        <w:rPr>
          <w:rFonts w:eastAsia="SimSun"/>
        </w:rPr>
      </w:pPr>
      <w:r>
        <w:rPr>
          <w:rFonts w:eastAsia="SimSun"/>
        </w:rPr>
        <w:t xml:space="preserve">Speed of </w:t>
      </w:r>
      <w:r w:rsidRPr="00C46A6F">
        <w:rPr>
          <w:rFonts w:eastAsia="SimSun"/>
        </w:rPr>
        <w:t xml:space="preserve">migration </w:t>
      </w:r>
      <w:r>
        <w:rPr>
          <w:rFonts w:eastAsia="SimSun"/>
        </w:rPr>
        <w:t>was</w:t>
      </w:r>
      <w:r w:rsidRPr="00C46A6F">
        <w:rPr>
          <w:rFonts w:eastAsia="SimSun"/>
        </w:rPr>
        <w:t xml:space="preserve"> </w:t>
      </w:r>
      <w:r>
        <w:rPr>
          <w:rFonts w:eastAsia="SimSun"/>
        </w:rPr>
        <w:t>greater</w:t>
      </w:r>
      <w:r w:rsidRPr="00C46A6F">
        <w:rPr>
          <w:rFonts w:eastAsia="SimSun"/>
        </w:rPr>
        <w:t xml:space="preserve"> through the</w:t>
      </w:r>
      <w:r>
        <w:rPr>
          <w:rFonts w:eastAsia="SimSun"/>
        </w:rPr>
        <w:t xml:space="preserve"> control reaches (A and C) </w:t>
      </w:r>
      <w:r w:rsidRPr="00C46A6F">
        <w:rPr>
          <w:rFonts w:eastAsia="SimSun"/>
        </w:rPr>
        <w:t>than</w:t>
      </w:r>
      <w:r>
        <w:rPr>
          <w:rFonts w:eastAsia="SimSun"/>
        </w:rPr>
        <w:t xml:space="preserve"> </w:t>
      </w:r>
      <w:r w:rsidRPr="00C46A6F">
        <w:rPr>
          <w:rFonts w:eastAsia="SimSun"/>
        </w:rPr>
        <w:t xml:space="preserve">the </w:t>
      </w:r>
      <w:r>
        <w:rPr>
          <w:rFonts w:eastAsia="SimSun"/>
        </w:rPr>
        <w:t>treatment (B) (Table 2</w:t>
      </w:r>
      <w:r w:rsidRPr="00C46A6F">
        <w:rPr>
          <w:rFonts w:eastAsia="SimSun"/>
        </w:rPr>
        <w:t>)</w:t>
      </w:r>
      <w:r>
        <w:rPr>
          <w:rFonts w:eastAsia="SimSun"/>
        </w:rPr>
        <w:t xml:space="preserve"> </w:t>
      </w:r>
      <w:r w:rsidRPr="00986E71">
        <w:rPr>
          <w:rFonts w:eastAsia="SimSun"/>
        </w:rPr>
        <w:t>(</w:t>
      </w:r>
      <w:r w:rsidRPr="002460E0">
        <w:rPr>
          <w:rFonts w:eastAsia="SimSun"/>
          <w:i/>
          <w:iCs/>
        </w:rPr>
        <w:t>F</w:t>
      </w:r>
      <w:r>
        <w:rPr>
          <w:rFonts w:eastAsia="SimSun"/>
          <w:vertAlign w:val="subscript"/>
        </w:rPr>
        <w:t>2</w:t>
      </w:r>
      <w:r w:rsidRPr="002460E0">
        <w:rPr>
          <w:rFonts w:eastAsia="SimSun"/>
          <w:vertAlign w:val="subscript"/>
        </w:rPr>
        <w:t>,</w:t>
      </w:r>
      <w:r>
        <w:rPr>
          <w:rFonts w:eastAsia="SimSun"/>
          <w:vertAlign w:val="subscript"/>
        </w:rPr>
        <w:t xml:space="preserve"> 74</w:t>
      </w:r>
      <w:r>
        <w:rPr>
          <w:rFonts w:eastAsia="SimSun"/>
        </w:rPr>
        <w:t xml:space="preserve"> = 15.</w:t>
      </w:r>
      <w:r w:rsidR="003B56CC">
        <w:rPr>
          <w:rFonts w:eastAsia="SimSun"/>
        </w:rPr>
        <w:t>13</w:t>
      </w:r>
      <w:r w:rsidRPr="002460E0">
        <w:rPr>
          <w:rFonts w:eastAsia="SimSun"/>
        </w:rPr>
        <w:t xml:space="preserve">, </w:t>
      </w:r>
      <w:r w:rsidRPr="002460E0">
        <w:rPr>
          <w:rFonts w:eastAsia="SimSun"/>
          <w:i/>
          <w:iCs/>
        </w:rPr>
        <w:t>P</w:t>
      </w:r>
      <w:r w:rsidRPr="002460E0">
        <w:rPr>
          <w:rFonts w:eastAsia="SimSun"/>
        </w:rPr>
        <w:t xml:space="preserve"> &lt; 0.001</w:t>
      </w:r>
      <w:r>
        <w:rPr>
          <w:rFonts w:eastAsia="SimSun"/>
        </w:rPr>
        <w:t>), with no difference</w:t>
      </w:r>
      <w:r w:rsidRPr="00C46A6F">
        <w:rPr>
          <w:rFonts w:eastAsia="SimSun"/>
        </w:rPr>
        <w:t xml:space="preserve"> between the </w:t>
      </w:r>
      <w:r>
        <w:rPr>
          <w:rFonts w:eastAsia="SimSun"/>
        </w:rPr>
        <w:t>control</w:t>
      </w:r>
      <w:r w:rsidRPr="00C46A6F">
        <w:rPr>
          <w:rFonts w:eastAsia="SimSun"/>
        </w:rPr>
        <w:t xml:space="preserve"> reaches within both years (</w:t>
      </w:r>
      <w:r w:rsidRPr="00C46A6F">
        <w:rPr>
          <w:rFonts w:eastAsia="SimSun"/>
          <w:i/>
          <w:iCs/>
        </w:rPr>
        <w:t>P</w:t>
      </w:r>
      <w:r>
        <w:rPr>
          <w:rFonts w:eastAsia="SimSun"/>
        </w:rPr>
        <w:t xml:space="preserve"> &gt;</w:t>
      </w:r>
      <w:r w:rsidRPr="00C46A6F">
        <w:rPr>
          <w:rFonts w:eastAsia="SimSun"/>
        </w:rPr>
        <w:t xml:space="preserve"> 0.0</w:t>
      </w:r>
      <w:r>
        <w:rPr>
          <w:rFonts w:eastAsia="SimSun"/>
        </w:rPr>
        <w:t>5</w:t>
      </w:r>
      <w:r w:rsidRPr="00C46A6F">
        <w:rPr>
          <w:rFonts w:eastAsia="SimSun"/>
        </w:rPr>
        <w:t>)</w:t>
      </w:r>
      <w:r>
        <w:rPr>
          <w:rFonts w:eastAsia="SimSun"/>
        </w:rPr>
        <w:t xml:space="preserve"> (Fig. 3).  Speed of migration</w:t>
      </w:r>
      <w:r w:rsidRPr="003C2C22">
        <w:rPr>
          <w:rFonts w:eastAsia="SimSun"/>
        </w:rPr>
        <w:t xml:space="preserve"> through each </w:t>
      </w:r>
      <w:r>
        <w:rPr>
          <w:rFonts w:eastAsia="SimSun"/>
        </w:rPr>
        <w:t>control</w:t>
      </w:r>
      <w:r w:rsidRPr="003C2C22">
        <w:rPr>
          <w:rFonts w:eastAsia="SimSun"/>
        </w:rPr>
        <w:t xml:space="preserve"> reach did not </w:t>
      </w:r>
      <w:r>
        <w:rPr>
          <w:rFonts w:eastAsia="SimSun"/>
        </w:rPr>
        <w:t>differ</w:t>
      </w:r>
      <w:r w:rsidRPr="003C2C22">
        <w:rPr>
          <w:rFonts w:eastAsia="SimSun"/>
        </w:rPr>
        <w:t xml:space="preserve"> between years </w:t>
      </w:r>
      <w:r w:rsidRPr="00C86DA1">
        <w:rPr>
          <w:rFonts w:eastAsia="SimSun"/>
        </w:rPr>
        <w:t>(</w:t>
      </w:r>
      <w:r w:rsidRPr="002460E0">
        <w:rPr>
          <w:rFonts w:eastAsia="SimSun"/>
          <w:i/>
          <w:iCs/>
        </w:rPr>
        <w:t>F</w:t>
      </w:r>
      <w:r w:rsidRPr="002460E0">
        <w:rPr>
          <w:rFonts w:eastAsia="SimSun"/>
          <w:vertAlign w:val="subscript"/>
        </w:rPr>
        <w:t>1</w:t>
      </w:r>
      <w:r>
        <w:rPr>
          <w:rFonts w:eastAsia="SimSun"/>
          <w:vertAlign w:val="subscript"/>
        </w:rPr>
        <w:t>,</w:t>
      </w:r>
      <w:r w:rsidR="00924524">
        <w:rPr>
          <w:rFonts w:eastAsia="SimSun"/>
          <w:vertAlign w:val="subscript"/>
        </w:rPr>
        <w:t xml:space="preserve"> </w:t>
      </w:r>
      <w:r>
        <w:rPr>
          <w:rFonts w:eastAsia="SimSun"/>
          <w:vertAlign w:val="subscript"/>
        </w:rPr>
        <w:t>46</w:t>
      </w:r>
      <w:r>
        <w:rPr>
          <w:rFonts w:eastAsia="SimSun"/>
        </w:rPr>
        <w:t xml:space="preserve"> = 0.18</w:t>
      </w:r>
      <w:r w:rsidRPr="00B62642">
        <w:rPr>
          <w:rFonts w:eastAsia="SimSun"/>
        </w:rPr>
        <w:t>,</w:t>
      </w:r>
      <w:r>
        <w:rPr>
          <w:rFonts w:eastAsia="SimSun"/>
          <w:i/>
          <w:iCs/>
        </w:rPr>
        <w:t xml:space="preserve"> </w:t>
      </w:r>
      <w:r w:rsidRPr="00C86DA1">
        <w:rPr>
          <w:rFonts w:eastAsia="SimSun"/>
          <w:i/>
          <w:iCs/>
        </w:rPr>
        <w:t>P</w:t>
      </w:r>
      <w:r w:rsidRPr="00C86DA1">
        <w:rPr>
          <w:rFonts w:eastAsia="SimSun"/>
        </w:rPr>
        <w:t xml:space="preserve"> &gt; 0.0</w:t>
      </w:r>
      <w:r w:rsidR="00924524">
        <w:rPr>
          <w:rFonts w:eastAsia="SimSun"/>
        </w:rPr>
        <w:t>5).</w:t>
      </w:r>
      <w:r w:rsidR="003B56CC" w:rsidRPr="003B56CC">
        <w:t xml:space="preserve"> </w:t>
      </w:r>
      <w:r w:rsidR="003B56CC">
        <w:t xml:space="preserve"> </w:t>
      </w:r>
      <w:r w:rsidR="003B56CC" w:rsidRPr="003B56CC">
        <w:rPr>
          <w:rFonts w:eastAsia="SimSun"/>
        </w:rPr>
        <w:t>Post entry to reach B</w:t>
      </w:r>
      <w:r w:rsidR="006C3524">
        <w:rPr>
          <w:rFonts w:eastAsia="SimSun"/>
        </w:rPr>
        <w:t xml:space="preserve"> (</w:t>
      </w:r>
      <w:r w:rsidR="00924524">
        <w:rPr>
          <w:rFonts w:eastAsia="SimSun"/>
        </w:rPr>
        <w:t xml:space="preserve">first </w:t>
      </w:r>
      <w:r w:rsidR="006C3524">
        <w:rPr>
          <w:rFonts w:eastAsia="SimSun"/>
        </w:rPr>
        <w:t>detection at receiver 3</w:t>
      </w:r>
      <w:r w:rsidR="00924524">
        <w:rPr>
          <w:rFonts w:eastAsia="SimSun"/>
        </w:rPr>
        <w:t xml:space="preserve"> or 4</w:t>
      </w:r>
      <w:r w:rsidR="006C3524">
        <w:rPr>
          <w:rFonts w:eastAsia="SimSun"/>
        </w:rPr>
        <w:t>)</w:t>
      </w:r>
      <w:r w:rsidR="003B56CC" w:rsidRPr="003B56CC">
        <w:rPr>
          <w:rFonts w:eastAsia="SimSun"/>
        </w:rPr>
        <w:t>, 60.9% and 62.5% of smolts were detected</w:t>
      </w:r>
      <w:r w:rsidR="006C3524">
        <w:rPr>
          <w:rFonts w:eastAsia="SimSun"/>
        </w:rPr>
        <w:t xml:space="preserve"> by</w:t>
      </w:r>
      <w:r w:rsidR="003B56CC" w:rsidRPr="003B56CC">
        <w:rPr>
          <w:rFonts w:eastAsia="SimSun"/>
        </w:rPr>
        <w:t xml:space="preserve"> </w:t>
      </w:r>
      <w:r w:rsidR="006C3524">
        <w:rPr>
          <w:rFonts w:eastAsia="SimSun"/>
        </w:rPr>
        <w:t>receivers upstream</w:t>
      </w:r>
      <w:r w:rsidR="003B56CC" w:rsidRPr="003B56CC">
        <w:rPr>
          <w:rFonts w:eastAsia="SimSun"/>
        </w:rPr>
        <w:t>, with 28.6% and 66.7% of these being detected as far upstream as receiver 1</w:t>
      </w:r>
      <w:r w:rsidR="003B56CC">
        <w:rPr>
          <w:rFonts w:eastAsia="SimSun"/>
        </w:rPr>
        <w:t xml:space="preserve"> in years 1 and 2, respectively</w:t>
      </w:r>
      <w:r w:rsidR="003B56CC" w:rsidRPr="003B56CC">
        <w:rPr>
          <w:rFonts w:eastAsia="SimSun"/>
        </w:rPr>
        <w:t>.</w:t>
      </w:r>
    </w:p>
    <w:p w:rsidR="0080298A" w:rsidRDefault="0080298A" w:rsidP="006C3524">
      <w:pPr>
        <w:rPr>
          <w:rFonts w:eastAsia="SimSun"/>
        </w:rPr>
      </w:pPr>
    </w:p>
    <w:p w:rsidR="0080298A" w:rsidRDefault="0080298A" w:rsidP="006C3524">
      <w:pPr>
        <w:rPr>
          <w:rFonts w:eastAsia="SimSun"/>
        </w:rPr>
      </w:pPr>
    </w:p>
    <w:p w:rsidR="0080298A" w:rsidRDefault="0080298A" w:rsidP="006C3524">
      <w:pPr>
        <w:rPr>
          <w:rFonts w:eastAsia="SimSun"/>
        </w:rPr>
      </w:pPr>
    </w:p>
    <w:p w:rsidR="0080298A" w:rsidRDefault="0080298A" w:rsidP="006C3524">
      <w:pPr>
        <w:rPr>
          <w:rFonts w:eastAsia="SimSun"/>
          <w:b/>
          <w:bCs/>
          <w:sz w:val="20"/>
          <w:szCs w:val="20"/>
        </w:rPr>
      </w:pPr>
    </w:p>
    <w:p w:rsidR="0080298A" w:rsidRDefault="0080298A" w:rsidP="006C3524">
      <w:pPr>
        <w:rPr>
          <w:rFonts w:eastAsia="SimSun"/>
          <w:b/>
          <w:bCs/>
          <w:sz w:val="20"/>
          <w:szCs w:val="20"/>
        </w:rPr>
      </w:pPr>
    </w:p>
    <w:p w:rsidR="0080298A" w:rsidRPr="0080298A" w:rsidRDefault="0080298A" w:rsidP="006C3524">
      <w:pPr>
        <w:rPr>
          <w:rFonts w:eastAsia="SimSun"/>
          <w:sz w:val="20"/>
          <w:szCs w:val="20"/>
        </w:rPr>
      </w:pPr>
      <w:proofErr w:type="gramStart"/>
      <w:r w:rsidRPr="0080298A">
        <w:rPr>
          <w:rFonts w:eastAsia="SimSun"/>
          <w:b/>
          <w:bCs/>
          <w:sz w:val="20"/>
          <w:szCs w:val="20"/>
        </w:rPr>
        <w:t>Table 2.</w:t>
      </w:r>
      <w:proofErr w:type="gramEnd"/>
      <w:r w:rsidRPr="0080298A">
        <w:rPr>
          <w:rFonts w:eastAsia="SimSun"/>
          <w:sz w:val="20"/>
          <w:szCs w:val="20"/>
        </w:rPr>
        <w:t xml:space="preserve"> The mean ± SD speed and duration of migration, Qfish and Tempfish for acoustic tagged sea trout smolts migrating downstream in the River Meon, Hampshire, UK in year 1 (pre orifice installation, n = 23) and year 2 (post orifice installation, n = 25) through two reaches with no structures present (A and C) and one reach with tide gates (B) in April 2011 and 2012.</w:t>
      </w:r>
    </w:p>
    <w:p w:rsidR="0080298A" w:rsidRDefault="0080298A" w:rsidP="006C3524">
      <w:pPr>
        <w:rPr>
          <w:rFonts w:eastAsia="SimSun"/>
        </w:rPr>
      </w:pPr>
    </w:p>
    <w:tbl>
      <w:tblPr>
        <w:tblW w:w="8853" w:type="dxa"/>
        <w:tblInd w:w="93" w:type="dxa"/>
        <w:tblLook w:val="04A0" w:firstRow="1" w:lastRow="0" w:firstColumn="1" w:lastColumn="0" w:noHBand="0" w:noVBand="1"/>
      </w:tblPr>
      <w:tblGrid>
        <w:gridCol w:w="582"/>
        <w:gridCol w:w="710"/>
        <w:gridCol w:w="1341"/>
        <w:gridCol w:w="1129"/>
        <w:gridCol w:w="1305"/>
        <w:gridCol w:w="1324"/>
        <w:gridCol w:w="1218"/>
        <w:gridCol w:w="1244"/>
      </w:tblGrid>
      <w:tr w:rsidR="0080298A" w:rsidRPr="0080298A" w:rsidTr="0080298A">
        <w:trPr>
          <w:trHeight w:val="330"/>
        </w:trPr>
        <w:tc>
          <w:tcPr>
            <w:tcW w:w="582" w:type="dxa"/>
            <w:tcBorders>
              <w:top w:val="single" w:sz="4" w:space="0" w:color="auto"/>
              <w:left w:val="nil"/>
              <w:bottom w:val="single" w:sz="4" w:space="0" w:color="auto"/>
              <w:right w:val="nil"/>
            </w:tcBorders>
            <w:shd w:val="clear" w:color="auto" w:fill="auto"/>
            <w:noWrap/>
            <w:vAlign w:val="bottom"/>
            <w:hideMark/>
          </w:tcPr>
          <w:p w:rsidR="0080298A" w:rsidRPr="0080298A" w:rsidRDefault="0080298A" w:rsidP="0080298A">
            <w:pPr>
              <w:rPr>
                <w:sz w:val="20"/>
                <w:szCs w:val="20"/>
                <w:lang w:eastAsia="zh-CN"/>
              </w:rPr>
            </w:pPr>
            <w:r w:rsidRPr="0080298A">
              <w:rPr>
                <w:sz w:val="20"/>
                <w:szCs w:val="20"/>
                <w:lang w:eastAsia="zh-CN"/>
              </w:rPr>
              <w:t>Year</w:t>
            </w:r>
          </w:p>
        </w:tc>
        <w:tc>
          <w:tcPr>
            <w:tcW w:w="710" w:type="dxa"/>
            <w:tcBorders>
              <w:top w:val="single" w:sz="4" w:space="0" w:color="auto"/>
              <w:left w:val="nil"/>
              <w:bottom w:val="single" w:sz="4" w:space="0" w:color="auto"/>
              <w:right w:val="nil"/>
            </w:tcBorders>
            <w:shd w:val="clear" w:color="auto" w:fill="auto"/>
            <w:noWrap/>
            <w:vAlign w:val="bottom"/>
            <w:hideMark/>
          </w:tcPr>
          <w:p w:rsidR="0080298A" w:rsidRPr="0080298A" w:rsidRDefault="0080298A" w:rsidP="0080298A">
            <w:pPr>
              <w:rPr>
                <w:sz w:val="20"/>
                <w:szCs w:val="20"/>
                <w:lang w:eastAsia="zh-CN"/>
              </w:rPr>
            </w:pPr>
            <w:r w:rsidRPr="0080298A">
              <w:rPr>
                <w:sz w:val="20"/>
                <w:szCs w:val="20"/>
                <w:lang w:eastAsia="zh-CN"/>
              </w:rPr>
              <w:t>Reach</w:t>
            </w:r>
          </w:p>
        </w:tc>
        <w:tc>
          <w:tcPr>
            <w:tcW w:w="1341" w:type="dxa"/>
            <w:tcBorders>
              <w:top w:val="single" w:sz="4" w:space="0" w:color="auto"/>
              <w:left w:val="nil"/>
              <w:bottom w:val="single" w:sz="4" w:space="0" w:color="auto"/>
              <w:right w:val="nil"/>
            </w:tcBorders>
            <w:shd w:val="clear" w:color="auto" w:fill="auto"/>
            <w:noWrap/>
            <w:vAlign w:val="bottom"/>
            <w:hideMark/>
          </w:tcPr>
          <w:p w:rsidR="0080298A" w:rsidRPr="0080298A" w:rsidRDefault="0080298A" w:rsidP="0080298A">
            <w:pPr>
              <w:rPr>
                <w:sz w:val="20"/>
                <w:szCs w:val="20"/>
                <w:lang w:eastAsia="zh-CN"/>
              </w:rPr>
            </w:pPr>
            <w:r w:rsidRPr="0080298A">
              <w:rPr>
                <w:sz w:val="20"/>
                <w:szCs w:val="20"/>
                <w:lang w:eastAsia="zh-CN"/>
              </w:rPr>
              <w:t>Distance (m)</w:t>
            </w:r>
          </w:p>
        </w:tc>
        <w:tc>
          <w:tcPr>
            <w:tcW w:w="1129" w:type="dxa"/>
            <w:tcBorders>
              <w:top w:val="single" w:sz="4" w:space="0" w:color="auto"/>
              <w:left w:val="nil"/>
              <w:bottom w:val="single" w:sz="4" w:space="0" w:color="auto"/>
              <w:right w:val="nil"/>
            </w:tcBorders>
            <w:shd w:val="clear" w:color="auto" w:fill="auto"/>
            <w:noWrap/>
            <w:vAlign w:val="bottom"/>
            <w:hideMark/>
          </w:tcPr>
          <w:p w:rsidR="0080298A" w:rsidRPr="0080298A" w:rsidRDefault="0080298A" w:rsidP="0080298A">
            <w:pPr>
              <w:rPr>
                <w:sz w:val="20"/>
                <w:szCs w:val="20"/>
                <w:lang w:eastAsia="zh-CN"/>
              </w:rPr>
            </w:pPr>
            <w:r w:rsidRPr="0080298A">
              <w:rPr>
                <w:sz w:val="20"/>
                <w:szCs w:val="20"/>
                <w:lang w:eastAsia="zh-CN"/>
              </w:rPr>
              <w:t>Structures</w:t>
            </w:r>
          </w:p>
        </w:tc>
        <w:tc>
          <w:tcPr>
            <w:tcW w:w="1305" w:type="dxa"/>
            <w:tcBorders>
              <w:top w:val="single" w:sz="4" w:space="0" w:color="auto"/>
              <w:left w:val="nil"/>
              <w:bottom w:val="single" w:sz="4" w:space="0" w:color="auto"/>
              <w:right w:val="nil"/>
            </w:tcBorders>
            <w:shd w:val="clear" w:color="auto" w:fill="auto"/>
            <w:noWrap/>
            <w:vAlign w:val="bottom"/>
            <w:hideMark/>
          </w:tcPr>
          <w:p w:rsidR="0080298A" w:rsidRPr="0080298A" w:rsidRDefault="0080298A" w:rsidP="0080298A">
            <w:pPr>
              <w:rPr>
                <w:sz w:val="20"/>
                <w:szCs w:val="20"/>
                <w:lang w:eastAsia="zh-CN"/>
              </w:rPr>
            </w:pPr>
            <w:r w:rsidRPr="0080298A">
              <w:rPr>
                <w:sz w:val="20"/>
                <w:szCs w:val="20"/>
                <w:lang w:eastAsia="zh-CN"/>
              </w:rPr>
              <w:t>Speed (m s</w:t>
            </w:r>
            <w:r w:rsidRPr="0080298A">
              <w:rPr>
                <w:sz w:val="20"/>
                <w:szCs w:val="20"/>
                <w:vertAlign w:val="superscript"/>
                <w:lang w:eastAsia="zh-CN"/>
              </w:rPr>
              <w:t>-1</w:t>
            </w:r>
            <w:r w:rsidRPr="0080298A">
              <w:rPr>
                <w:sz w:val="20"/>
                <w:szCs w:val="20"/>
                <w:lang w:eastAsia="zh-CN"/>
              </w:rPr>
              <w:t>)</w:t>
            </w:r>
          </w:p>
        </w:tc>
        <w:tc>
          <w:tcPr>
            <w:tcW w:w="1324" w:type="dxa"/>
            <w:tcBorders>
              <w:top w:val="single" w:sz="4" w:space="0" w:color="auto"/>
              <w:left w:val="nil"/>
              <w:bottom w:val="single" w:sz="4" w:space="0" w:color="auto"/>
              <w:right w:val="single" w:sz="4" w:space="0" w:color="FFFFFF" w:themeColor="background1"/>
            </w:tcBorders>
            <w:shd w:val="clear" w:color="auto" w:fill="auto"/>
            <w:noWrap/>
            <w:vAlign w:val="bottom"/>
            <w:hideMark/>
          </w:tcPr>
          <w:p w:rsidR="0080298A" w:rsidRPr="0080298A" w:rsidRDefault="0080298A" w:rsidP="0080298A">
            <w:pPr>
              <w:rPr>
                <w:sz w:val="20"/>
                <w:szCs w:val="20"/>
                <w:lang w:eastAsia="zh-CN"/>
              </w:rPr>
            </w:pPr>
            <w:r w:rsidRPr="0080298A">
              <w:rPr>
                <w:sz w:val="20"/>
                <w:szCs w:val="20"/>
                <w:lang w:eastAsia="zh-CN"/>
              </w:rPr>
              <w:t>Duration (h)</w:t>
            </w:r>
          </w:p>
        </w:tc>
        <w:tc>
          <w:tcPr>
            <w:tcW w:w="1218" w:type="dxa"/>
            <w:tcBorders>
              <w:top w:val="single" w:sz="4" w:space="0" w:color="auto"/>
              <w:left w:val="single" w:sz="4" w:space="0" w:color="FFFFFF" w:themeColor="background1"/>
              <w:bottom w:val="single" w:sz="4" w:space="0" w:color="auto"/>
              <w:right w:val="nil"/>
            </w:tcBorders>
          </w:tcPr>
          <w:p w:rsidR="0080298A" w:rsidRPr="0080298A" w:rsidRDefault="0080298A" w:rsidP="0080298A">
            <w:pPr>
              <w:rPr>
                <w:sz w:val="20"/>
                <w:szCs w:val="20"/>
                <w:lang w:eastAsia="zh-CN"/>
              </w:rPr>
            </w:pPr>
            <w:r w:rsidRPr="0080298A">
              <w:rPr>
                <w:sz w:val="20"/>
                <w:szCs w:val="20"/>
                <w:lang w:eastAsia="zh-CN"/>
              </w:rPr>
              <w:t>Q</w:t>
            </w:r>
            <w:r w:rsidRPr="0080298A">
              <w:rPr>
                <w:sz w:val="20"/>
                <w:szCs w:val="20"/>
                <w:vertAlign w:val="subscript"/>
                <w:lang w:eastAsia="zh-CN"/>
              </w:rPr>
              <w:t>fish</w:t>
            </w:r>
            <w:r w:rsidRPr="0080298A">
              <w:rPr>
                <w:sz w:val="20"/>
                <w:szCs w:val="20"/>
                <w:lang w:eastAsia="zh-CN"/>
              </w:rPr>
              <w:t xml:space="preserve"> (m</w:t>
            </w:r>
            <w:r w:rsidRPr="0080298A">
              <w:rPr>
                <w:sz w:val="20"/>
                <w:szCs w:val="20"/>
                <w:vertAlign w:val="superscript"/>
                <w:lang w:eastAsia="zh-CN"/>
              </w:rPr>
              <w:t>3</w:t>
            </w:r>
            <w:r w:rsidRPr="0080298A">
              <w:rPr>
                <w:sz w:val="20"/>
                <w:szCs w:val="20"/>
                <w:lang w:eastAsia="zh-CN"/>
              </w:rPr>
              <w:t xml:space="preserve"> s</w:t>
            </w:r>
            <w:r w:rsidRPr="0080298A">
              <w:rPr>
                <w:sz w:val="20"/>
                <w:szCs w:val="20"/>
                <w:vertAlign w:val="superscript"/>
                <w:lang w:eastAsia="zh-CN"/>
              </w:rPr>
              <w:t>-1</w:t>
            </w:r>
            <w:r w:rsidRPr="0080298A">
              <w:rPr>
                <w:sz w:val="20"/>
                <w:szCs w:val="20"/>
                <w:lang w:eastAsia="zh-CN"/>
              </w:rPr>
              <w:t>)</w:t>
            </w:r>
          </w:p>
        </w:tc>
        <w:tc>
          <w:tcPr>
            <w:tcW w:w="1244" w:type="dxa"/>
            <w:tcBorders>
              <w:top w:val="single" w:sz="4" w:space="0" w:color="auto"/>
              <w:left w:val="nil"/>
              <w:bottom w:val="single" w:sz="4" w:space="0" w:color="auto"/>
              <w:right w:val="nil"/>
            </w:tcBorders>
          </w:tcPr>
          <w:p w:rsidR="0080298A" w:rsidRPr="0080298A" w:rsidRDefault="0080298A" w:rsidP="0080298A">
            <w:pPr>
              <w:rPr>
                <w:sz w:val="20"/>
                <w:szCs w:val="20"/>
                <w:lang w:eastAsia="zh-CN"/>
              </w:rPr>
            </w:pPr>
            <w:r w:rsidRPr="0080298A">
              <w:rPr>
                <w:sz w:val="20"/>
                <w:szCs w:val="20"/>
                <w:lang w:eastAsia="zh-CN"/>
              </w:rPr>
              <w:t>Temp</w:t>
            </w:r>
            <w:r w:rsidRPr="0080298A">
              <w:rPr>
                <w:sz w:val="20"/>
                <w:szCs w:val="20"/>
                <w:vertAlign w:val="subscript"/>
                <w:lang w:eastAsia="zh-CN"/>
              </w:rPr>
              <w:t>fish</w:t>
            </w:r>
            <w:r w:rsidRPr="0080298A">
              <w:rPr>
                <w:sz w:val="20"/>
                <w:szCs w:val="20"/>
                <w:lang w:eastAsia="zh-CN"/>
              </w:rPr>
              <w:t xml:space="preserve"> (</w:t>
            </w:r>
            <w:r w:rsidRPr="0080298A">
              <w:rPr>
                <w:sz w:val="20"/>
                <w:szCs w:val="20"/>
                <w:vertAlign w:val="superscript"/>
                <w:lang w:eastAsia="zh-CN"/>
              </w:rPr>
              <w:t>o</w:t>
            </w:r>
            <w:r w:rsidRPr="0080298A">
              <w:rPr>
                <w:sz w:val="20"/>
                <w:szCs w:val="20"/>
                <w:lang w:eastAsia="zh-CN"/>
              </w:rPr>
              <w:t>C)</w:t>
            </w:r>
          </w:p>
        </w:tc>
      </w:tr>
      <w:tr w:rsidR="0080298A" w:rsidRPr="0080298A" w:rsidTr="0080298A">
        <w:trPr>
          <w:trHeight w:val="300"/>
        </w:trPr>
        <w:tc>
          <w:tcPr>
            <w:tcW w:w="582" w:type="dxa"/>
            <w:tcBorders>
              <w:top w:val="single" w:sz="4" w:space="0" w:color="auto"/>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1</w:t>
            </w:r>
          </w:p>
        </w:tc>
        <w:tc>
          <w:tcPr>
            <w:tcW w:w="710" w:type="dxa"/>
            <w:tcBorders>
              <w:top w:val="single" w:sz="4" w:space="0" w:color="auto"/>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A</w:t>
            </w:r>
          </w:p>
        </w:tc>
        <w:tc>
          <w:tcPr>
            <w:tcW w:w="1341" w:type="dxa"/>
            <w:tcBorders>
              <w:top w:val="single" w:sz="4" w:space="0" w:color="auto"/>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581</w:t>
            </w:r>
          </w:p>
        </w:tc>
        <w:tc>
          <w:tcPr>
            <w:tcW w:w="1129" w:type="dxa"/>
            <w:tcBorders>
              <w:top w:val="single" w:sz="4" w:space="0" w:color="auto"/>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None</w:t>
            </w:r>
          </w:p>
        </w:tc>
        <w:tc>
          <w:tcPr>
            <w:tcW w:w="1305" w:type="dxa"/>
            <w:tcBorders>
              <w:top w:val="single" w:sz="4" w:space="0" w:color="auto"/>
              <w:left w:val="nil"/>
              <w:bottom w:val="nil"/>
              <w:right w:val="nil"/>
            </w:tcBorders>
            <w:shd w:val="clear" w:color="auto" w:fill="auto"/>
            <w:noWrap/>
            <w:vAlign w:val="center"/>
          </w:tcPr>
          <w:p w:rsidR="0080298A" w:rsidRPr="0080298A" w:rsidRDefault="0080298A" w:rsidP="0080298A">
            <w:pPr>
              <w:spacing w:line="240" w:lineRule="auto"/>
              <w:jc w:val="right"/>
              <w:rPr>
                <w:rFonts w:eastAsiaTheme="minorEastAsia" w:cstheme="minorBidi"/>
                <w:sz w:val="20"/>
                <w:szCs w:val="20"/>
                <w:lang w:val="en-US"/>
              </w:rPr>
            </w:pPr>
            <w:r w:rsidRPr="0080298A">
              <w:rPr>
                <w:rFonts w:ascii="Calibri" w:eastAsiaTheme="minorEastAsia" w:hAnsi="Calibri" w:cs="Calibri"/>
                <w:color w:val="000000"/>
                <w:sz w:val="20"/>
                <w:szCs w:val="20"/>
                <w:lang w:val="en-US" w:eastAsia="zh-CN"/>
              </w:rPr>
              <w:t>0.15 ± 0.15</w:t>
            </w:r>
          </w:p>
        </w:tc>
        <w:tc>
          <w:tcPr>
            <w:tcW w:w="1324" w:type="dxa"/>
            <w:tcBorders>
              <w:top w:val="single" w:sz="4" w:space="0" w:color="auto"/>
              <w:left w:val="nil"/>
              <w:bottom w:val="nil"/>
              <w:right w:val="single" w:sz="2" w:space="0" w:color="FFFFFF" w:themeColor="background1"/>
            </w:tcBorders>
            <w:shd w:val="clear" w:color="auto" w:fill="auto"/>
            <w:noWrap/>
            <w:vAlign w:val="center"/>
            <w:hideMark/>
          </w:tcPr>
          <w:p w:rsidR="0080298A" w:rsidRPr="0080298A" w:rsidRDefault="0080298A" w:rsidP="0080298A">
            <w:pPr>
              <w:spacing w:line="240" w:lineRule="auto"/>
              <w:ind w:right="-24"/>
              <w:jc w:val="right"/>
              <w:rPr>
                <w:rFonts w:eastAsiaTheme="minorEastAsia" w:cstheme="minorBidi"/>
                <w:sz w:val="20"/>
                <w:szCs w:val="20"/>
                <w:lang w:val="en-US"/>
              </w:rPr>
            </w:pPr>
            <w:r w:rsidRPr="0080298A">
              <w:rPr>
                <w:rFonts w:ascii="Calibri" w:eastAsiaTheme="minorEastAsia" w:hAnsi="Calibri" w:cs="Calibri"/>
                <w:color w:val="000000"/>
                <w:sz w:val="20"/>
                <w:szCs w:val="20"/>
                <w:lang w:val="en-US" w:eastAsia="zh-CN"/>
              </w:rPr>
              <w:t>4.06 ±   4.89</w:t>
            </w:r>
          </w:p>
        </w:tc>
        <w:tc>
          <w:tcPr>
            <w:tcW w:w="1218" w:type="dxa"/>
            <w:tcBorders>
              <w:top w:val="single" w:sz="4" w:space="0" w:color="auto"/>
              <w:left w:val="single" w:sz="2" w:space="0" w:color="FFFFFF" w:themeColor="background1"/>
              <w:bottom w:val="nil"/>
              <w:right w:val="nil"/>
            </w:tcBorders>
          </w:tcPr>
          <w:p w:rsidR="0080298A" w:rsidRPr="0080298A" w:rsidRDefault="0080298A" w:rsidP="0080298A">
            <w:pPr>
              <w:tabs>
                <w:tab w:val="left" w:pos="-334"/>
              </w:tabs>
              <w:spacing w:line="240" w:lineRule="auto"/>
              <w:ind w:left="-334"/>
              <w:jc w:val="right"/>
              <w:rPr>
                <w:rFonts w:ascii="Calibri" w:eastAsiaTheme="minorEastAsia" w:hAnsi="Calibri" w:cs="Calibri"/>
                <w:color w:val="000000"/>
                <w:sz w:val="20"/>
                <w:szCs w:val="20"/>
                <w:lang w:val="en-US" w:eastAsia="zh-CN"/>
              </w:rPr>
            </w:pPr>
            <w:r w:rsidRPr="0080298A">
              <w:rPr>
                <w:rFonts w:ascii="Calibri" w:eastAsiaTheme="minorEastAsia" w:hAnsi="Calibri" w:cs="Calibri"/>
                <w:color w:val="000000"/>
                <w:sz w:val="20"/>
                <w:szCs w:val="20"/>
                <w:lang w:val="en-US" w:eastAsia="zh-CN"/>
              </w:rPr>
              <w:t xml:space="preserve">0.88 </w:t>
            </w:r>
            <w:r w:rsidRPr="0080298A">
              <w:rPr>
                <w:rFonts w:eastAsiaTheme="minorEastAsia" w:cstheme="minorBidi"/>
                <w:sz w:val="20"/>
                <w:szCs w:val="20"/>
                <w:lang w:val="en-US"/>
              </w:rPr>
              <w:t>± 0.04</w:t>
            </w:r>
          </w:p>
        </w:tc>
        <w:tc>
          <w:tcPr>
            <w:tcW w:w="1244" w:type="dxa"/>
            <w:tcBorders>
              <w:top w:val="single" w:sz="4" w:space="0" w:color="auto"/>
              <w:left w:val="single" w:sz="2" w:space="0" w:color="FFFFFF" w:themeColor="background1"/>
              <w:bottom w:val="nil"/>
              <w:right w:val="nil"/>
            </w:tcBorders>
          </w:tcPr>
          <w:p w:rsidR="0080298A" w:rsidRPr="0080298A" w:rsidRDefault="0080298A" w:rsidP="0080298A">
            <w:pPr>
              <w:tabs>
                <w:tab w:val="left" w:pos="-334"/>
              </w:tabs>
              <w:spacing w:line="240" w:lineRule="auto"/>
              <w:ind w:left="-334"/>
              <w:jc w:val="right"/>
              <w:rPr>
                <w:rFonts w:ascii="Calibri" w:eastAsiaTheme="minorEastAsia" w:hAnsi="Calibri" w:cs="Calibri"/>
                <w:color w:val="000000"/>
                <w:sz w:val="20"/>
                <w:szCs w:val="20"/>
                <w:lang w:val="en-US" w:eastAsia="zh-CN"/>
              </w:rPr>
            </w:pPr>
            <w:r w:rsidRPr="0080298A">
              <w:rPr>
                <w:rFonts w:ascii="Calibri" w:eastAsiaTheme="minorEastAsia" w:hAnsi="Calibri" w:cs="Calibri"/>
                <w:color w:val="000000"/>
                <w:sz w:val="20"/>
                <w:szCs w:val="20"/>
                <w:lang w:val="en-US" w:eastAsia="zh-CN"/>
              </w:rPr>
              <w:t xml:space="preserve">13.06 </w:t>
            </w:r>
            <w:r w:rsidRPr="0080298A">
              <w:rPr>
                <w:rFonts w:eastAsiaTheme="minorEastAsia" w:cstheme="minorBidi"/>
                <w:sz w:val="20"/>
                <w:szCs w:val="20"/>
                <w:lang w:val="en-US"/>
              </w:rPr>
              <w:t>± 1.29</w:t>
            </w:r>
          </w:p>
        </w:tc>
      </w:tr>
      <w:tr w:rsidR="0080298A" w:rsidRPr="0080298A" w:rsidTr="001D5F3C">
        <w:trPr>
          <w:trHeight w:val="300"/>
        </w:trPr>
        <w:tc>
          <w:tcPr>
            <w:tcW w:w="582" w:type="dxa"/>
            <w:tcBorders>
              <w:top w:val="nil"/>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p>
        </w:tc>
        <w:tc>
          <w:tcPr>
            <w:tcW w:w="710" w:type="dxa"/>
            <w:tcBorders>
              <w:top w:val="nil"/>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B</w:t>
            </w:r>
          </w:p>
        </w:tc>
        <w:tc>
          <w:tcPr>
            <w:tcW w:w="1341" w:type="dxa"/>
            <w:tcBorders>
              <w:top w:val="nil"/>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125</w:t>
            </w:r>
          </w:p>
        </w:tc>
        <w:tc>
          <w:tcPr>
            <w:tcW w:w="1129" w:type="dxa"/>
            <w:tcBorders>
              <w:top w:val="nil"/>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Tide gates</w:t>
            </w:r>
          </w:p>
        </w:tc>
        <w:tc>
          <w:tcPr>
            <w:tcW w:w="1305" w:type="dxa"/>
            <w:tcBorders>
              <w:top w:val="nil"/>
              <w:left w:val="nil"/>
              <w:bottom w:val="nil"/>
              <w:right w:val="nil"/>
            </w:tcBorders>
            <w:shd w:val="clear" w:color="auto" w:fill="auto"/>
            <w:noWrap/>
            <w:vAlign w:val="center"/>
            <w:hideMark/>
          </w:tcPr>
          <w:p w:rsidR="0080298A" w:rsidRPr="0080298A" w:rsidRDefault="0080298A" w:rsidP="0080298A">
            <w:pPr>
              <w:spacing w:line="240" w:lineRule="auto"/>
              <w:jc w:val="right"/>
              <w:rPr>
                <w:rFonts w:ascii="Calibri" w:eastAsiaTheme="minorEastAsia" w:hAnsi="Calibri" w:cs="Calibri"/>
                <w:color w:val="000000"/>
                <w:sz w:val="20"/>
                <w:szCs w:val="20"/>
                <w:lang w:val="en-US" w:eastAsia="zh-CN"/>
              </w:rPr>
            </w:pPr>
            <w:r w:rsidRPr="0080298A">
              <w:rPr>
                <w:rFonts w:ascii="Calibri" w:eastAsiaTheme="minorEastAsia" w:hAnsi="Calibri" w:cs="Calibri"/>
                <w:color w:val="000000"/>
                <w:sz w:val="20"/>
                <w:szCs w:val="20"/>
                <w:lang w:val="en-US" w:eastAsia="zh-CN"/>
              </w:rPr>
              <w:t>0.02 ± 0.04</w:t>
            </w:r>
          </w:p>
        </w:tc>
        <w:tc>
          <w:tcPr>
            <w:tcW w:w="1324" w:type="dxa"/>
            <w:tcBorders>
              <w:top w:val="nil"/>
              <w:left w:val="nil"/>
              <w:bottom w:val="nil"/>
              <w:right w:val="single" w:sz="2" w:space="0" w:color="FFFFFF" w:themeColor="background1"/>
            </w:tcBorders>
            <w:shd w:val="clear" w:color="auto" w:fill="auto"/>
            <w:noWrap/>
            <w:vAlign w:val="center"/>
            <w:hideMark/>
          </w:tcPr>
          <w:p w:rsidR="0080298A" w:rsidRPr="0080298A" w:rsidRDefault="0080298A" w:rsidP="0080298A">
            <w:pPr>
              <w:spacing w:line="240" w:lineRule="auto"/>
              <w:ind w:right="-24"/>
              <w:jc w:val="right"/>
              <w:rPr>
                <w:rFonts w:ascii="Calibri" w:hAnsi="Calibri" w:cs="Calibri"/>
                <w:color w:val="000000"/>
                <w:sz w:val="20"/>
                <w:szCs w:val="20"/>
                <w:lang w:eastAsia="zh-CN"/>
              </w:rPr>
            </w:pPr>
            <w:r w:rsidRPr="0080298A">
              <w:rPr>
                <w:rFonts w:ascii="Calibri" w:hAnsi="Calibri" w:cs="Calibri"/>
                <w:color w:val="000000"/>
                <w:sz w:val="20"/>
                <w:szCs w:val="20"/>
                <w:lang w:eastAsia="zh-CN"/>
              </w:rPr>
              <w:t>6.48 ±   9.16</w:t>
            </w:r>
          </w:p>
        </w:tc>
        <w:tc>
          <w:tcPr>
            <w:tcW w:w="1218" w:type="dxa"/>
            <w:tcBorders>
              <w:top w:val="nil"/>
              <w:left w:val="single" w:sz="2" w:space="0" w:color="FFFFFF" w:themeColor="background1"/>
              <w:bottom w:val="nil"/>
              <w:right w:val="nil"/>
            </w:tcBorders>
          </w:tcPr>
          <w:p w:rsidR="0080298A" w:rsidRPr="0080298A" w:rsidRDefault="0080298A" w:rsidP="0080298A">
            <w:pPr>
              <w:tabs>
                <w:tab w:val="left" w:pos="-334"/>
              </w:tabs>
              <w:spacing w:line="240" w:lineRule="auto"/>
              <w:ind w:left="-334"/>
              <w:jc w:val="right"/>
              <w:rPr>
                <w:rFonts w:ascii="Calibri" w:hAnsi="Calibri" w:cs="Calibri"/>
                <w:color w:val="000000"/>
                <w:sz w:val="20"/>
                <w:szCs w:val="20"/>
                <w:lang w:eastAsia="zh-CN"/>
              </w:rPr>
            </w:pPr>
            <w:r w:rsidRPr="0080298A">
              <w:rPr>
                <w:rFonts w:ascii="Calibri" w:hAnsi="Calibri" w:cs="Calibri"/>
                <w:color w:val="000000"/>
                <w:sz w:val="20"/>
                <w:szCs w:val="20"/>
                <w:lang w:eastAsia="zh-CN"/>
              </w:rPr>
              <w:t xml:space="preserve">0.88 </w:t>
            </w:r>
            <w:r w:rsidRPr="0080298A">
              <w:rPr>
                <w:sz w:val="20"/>
                <w:szCs w:val="20"/>
              </w:rPr>
              <w:t>± 0.05</w:t>
            </w:r>
          </w:p>
        </w:tc>
        <w:tc>
          <w:tcPr>
            <w:tcW w:w="1244" w:type="dxa"/>
            <w:tcBorders>
              <w:top w:val="nil"/>
              <w:left w:val="single" w:sz="2" w:space="0" w:color="FFFFFF" w:themeColor="background1"/>
              <w:bottom w:val="nil"/>
              <w:right w:val="nil"/>
            </w:tcBorders>
          </w:tcPr>
          <w:p w:rsidR="0080298A" w:rsidRPr="0080298A" w:rsidRDefault="0080298A" w:rsidP="0080298A">
            <w:pPr>
              <w:tabs>
                <w:tab w:val="left" w:pos="-334"/>
              </w:tabs>
              <w:spacing w:line="240" w:lineRule="auto"/>
              <w:ind w:left="-334"/>
              <w:jc w:val="right"/>
              <w:rPr>
                <w:rFonts w:ascii="Calibri" w:hAnsi="Calibri" w:cs="Calibri"/>
                <w:color w:val="000000"/>
                <w:sz w:val="20"/>
                <w:szCs w:val="20"/>
                <w:lang w:eastAsia="zh-CN"/>
              </w:rPr>
            </w:pPr>
            <w:r w:rsidRPr="0080298A">
              <w:rPr>
                <w:rFonts w:ascii="Calibri" w:hAnsi="Calibri" w:cs="Calibri"/>
                <w:color w:val="000000"/>
                <w:sz w:val="20"/>
                <w:szCs w:val="20"/>
                <w:lang w:eastAsia="zh-CN"/>
              </w:rPr>
              <w:t xml:space="preserve">13.38 </w:t>
            </w:r>
            <w:r w:rsidRPr="0080298A">
              <w:rPr>
                <w:sz w:val="20"/>
                <w:szCs w:val="20"/>
              </w:rPr>
              <w:t>± 1.80</w:t>
            </w:r>
          </w:p>
        </w:tc>
      </w:tr>
      <w:tr w:rsidR="0080298A" w:rsidRPr="0080298A" w:rsidTr="0080298A">
        <w:trPr>
          <w:trHeight w:val="300"/>
        </w:trPr>
        <w:tc>
          <w:tcPr>
            <w:tcW w:w="582" w:type="dxa"/>
            <w:tcBorders>
              <w:top w:val="nil"/>
              <w:left w:val="nil"/>
              <w:bottom w:val="single" w:sz="4" w:space="0" w:color="auto"/>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p>
        </w:tc>
        <w:tc>
          <w:tcPr>
            <w:tcW w:w="710" w:type="dxa"/>
            <w:tcBorders>
              <w:top w:val="nil"/>
              <w:left w:val="nil"/>
              <w:bottom w:val="single" w:sz="4" w:space="0" w:color="auto"/>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C</w:t>
            </w:r>
          </w:p>
        </w:tc>
        <w:tc>
          <w:tcPr>
            <w:tcW w:w="1341" w:type="dxa"/>
            <w:tcBorders>
              <w:top w:val="nil"/>
              <w:left w:val="nil"/>
              <w:bottom w:val="single" w:sz="4" w:space="0" w:color="auto"/>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50</w:t>
            </w:r>
          </w:p>
        </w:tc>
        <w:tc>
          <w:tcPr>
            <w:tcW w:w="1129" w:type="dxa"/>
            <w:tcBorders>
              <w:top w:val="nil"/>
              <w:left w:val="nil"/>
              <w:bottom w:val="single" w:sz="4" w:space="0" w:color="auto"/>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None</w:t>
            </w:r>
          </w:p>
        </w:tc>
        <w:tc>
          <w:tcPr>
            <w:tcW w:w="1305" w:type="dxa"/>
            <w:tcBorders>
              <w:top w:val="nil"/>
              <w:left w:val="nil"/>
              <w:bottom w:val="single" w:sz="4" w:space="0" w:color="auto"/>
              <w:right w:val="nil"/>
            </w:tcBorders>
            <w:shd w:val="clear" w:color="auto" w:fill="auto"/>
            <w:noWrap/>
            <w:vAlign w:val="center"/>
            <w:hideMark/>
          </w:tcPr>
          <w:p w:rsidR="0080298A" w:rsidRPr="0080298A" w:rsidRDefault="0080298A" w:rsidP="0080298A">
            <w:pPr>
              <w:spacing w:line="240" w:lineRule="auto"/>
              <w:jc w:val="right"/>
              <w:rPr>
                <w:rFonts w:ascii="Calibri" w:eastAsiaTheme="minorEastAsia" w:hAnsi="Calibri" w:cs="Calibri"/>
                <w:color w:val="000000"/>
                <w:sz w:val="20"/>
                <w:szCs w:val="20"/>
                <w:lang w:val="en-US" w:eastAsia="zh-CN"/>
              </w:rPr>
            </w:pPr>
            <w:r w:rsidRPr="0080298A">
              <w:rPr>
                <w:rFonts w:eastAsiaTheme="minorEastAsia" w:cstheme="minorBidi"/>
                <w:sz w:val="20"/>
                <w:szCs w:val="20"/>
                <w:lang w:val="en-US"/>
              </w:rPr>
              <w:t>0.17 ± 0.17</w:t>
            </w:r>
          </w:p>
        </w:tc>
        <w:tc>
          <w:tcPr>
            <w:tcW w:w="1324" w:type="dxa"/>
            <w:tcBorders>
              <w:top w:val="nil"/>
              <w:left w:val="nil"/>
              <w:bottom w:val="single" w:sz="4" w:space="0" w:color="auto"/>
              <w:right w:val="single" w:sz="2" w:space="0" w:color="FFFFFF" w:themeColor="background1"/>
            </w:tcBorders>
            <w:shd w:val="clear" w:color="auto" w:fill="auto"/>
            <w:noWrap/>
            <w:vAlign w:val="center"/>
            <w:hideMark/>
          </w:tcPr>
          <w:p w:rsidR="0080298A" w:rsidRPr="0080298A" w:rsidRDefault="0080298A" w:rsidP="0080298A">
            <w:pPr>
              <w:spacing w:line="240" w:lineRule="auto"/>
              <w:ind w:right="-24"/>
              <w:jc w:val="right"/>
              <w:rPr>
                <w:rFonts w:ascii="Calibri" w:hAnsi="Calibri" w:cs="Calibri"/>
                <w:color w:val="000000"/>
                <w:sz w:val="20"/>
                <w:szCs w:val="20"/>
                <w:lang w:eastAsia="zh-CN"/>
              </w:rPr>
            </w:pPr>
            <w:r w:rsidRPr="0080298A">
              <w:rPr>
                <w:rFonts w:ascii="Calibri" w:hAnsi="Calibri" w:cs="Calibri"/>
                <w:color w:val="000000"/>
                <w:sz w:val="20"/>
                <w:szCs w:val="20"/>
                <w:lang w:eastAsia="zh-CN"/>
              </w:rPr>
              <w:t xml:space="preserve">2.88 ± 11.99 </w:t>
            </w:r>
          </w:p>
        </w:tc>
        <w:tc>
          <w:tcPr>
            <w:tcW w:w="1218" w:type="dxa"/>
            <w:tcBorders>
              <w:top w:val="nil"/>
              <w:left w:val="single" w:sz="2" w:space="0" w:color="FFFFFF" w:themeColor="background1"/>
              <w:bottom w:val="single" w:sz="4" w:space="0" w:color="auto"/>
              <w:right w:val="nil"/>
            </w:tcBorders>
          </w:tcPr>
          <w:p w:rsidR="0080298A" w:rsidRPr="0080298A" w:rsidRDefault="0080298A" w:rsidP="0080298A">
            <w:pPr>
              <w:tabs>
                <w:tab w:val="left" w:pos="-334"/>
              </w:tabs>
              <w:spacing w:line="240" w:lineRule="auto"/>
              <w:ind w:left="-334"/>
              <w:jc w:val="right"/>
              <w:rPr>
                <w:rFonts w:ascii="Calibri" w:hAnsi="Calibri" w:cs="Calibri"/>
                <w:color w:val="000000"/>
                <w:sz w:val="20"/>
                <w:szCs w:val="20"/>
                <w:lang w:eastAsia="zh-CN"/>
              </w:rPr>
            </w:pPr>
            <w:r w:rsidRPr="0080298A">
              <w:rPr>
                <w:rFonts w:ascii="Calibri" w:hAnsi="Calibri" w:cs="Calibri"/>
                <w:color w:val="000000"/>
                <w:sz w:val="20"/>
                <w:szCs w:val="20"/>
                <w:lang w:eastAsia="zh-CN"/>
              </w:rPr>
              <w:t xml:space="preserve">0.88 </w:t>
            </w:r>
            <w:r w:rsidRPr="0080298A">
              <w:rPr>
                <w:sz w:val="20"/>
                <w:szCs w:val="20"/>
              </w:rPr>
              <w:t>± 0.05</w:t>
            </w:r>
          </w:p>
        </w:tc>
        <w:tc>
          <w:tcPr>
            <w:tcW w:w="1244" w:type="dxa"/>
            <w:tcBorders>
              <w:top w:val="nil"/>
              <w:left w:val="single" w:sz="2" w:space="0" w:color="FFFFFF" w:themeColor="background1"/>
              <w:bottom w:val="single" w:sz="4" w:space="0" w:color="auto"/>
              <w:right w:val="nil"/>
            </w:tcBorders>
          </w:tcPr>
          <w:p w:rsidR="0080298A" w:rsidRPr="0080298A" w:rsidRDefault="0080298A" w:rsidP="0080298A">
            <w:pPr>
              <w:tabs>
                <w:tab w:val="left" w:pos="-334"/>
              </w:tabs>
              <w:spacing w:line="240" w:lineRule="auto"/>
              <w:ind w:left="-334"/>
              <w:jc w:val="right"/>
              <w:rPr>
                <w:rFonts w:ascii="Calibri" w:hAnsi="Calibri" w:cs="Calibri"/>
                <w:color w:val="000000"/>
                <w:sz w:val="20"/>
                <w:szCs w:val="20"/>
                <w:lang w:eastAsia="zh-CN"/>
              </w:rPr>
            </w:pPr>
            <w:r w:rsidRPr="0080298A">
              <w:rPr>
                <w:rFonts w:ascii="Calibri" w:hAnsi="Calibri" w:cs="Calibri"/>
                <w:color w:val="000000"/>
                <w:sz w:val="20"/>
                <w:szCs w:val="20"/>
                <w:lang w:eastAsia="zh-CN"/>
              </w:rPr>
              <w:t xml:space="preserve">13.32 </w:t>
            </w:r>
            <w:r w:rsidRPr="0080298A">
              <w:rPr>
                <w:sz w:val="20"/>
                <w:szCs w:val="20"/>
              </w:rPr>
              <w:t>± 1.94</w:t>
            </w:r>
          </w:p>
        </w:tc>
      </w:tr>
      <w:tr w:rsidR="0080298A" w:rsidRPr="0080298A" w:rsidTr="0080298A">
        <w:trPr>
          <w:trHeight w:val="300"/>
        </w:trPr>
        <w:tc>
          <w:tcPr>
            <w:tcW w:w="582" w:type="dxa"/>
            <w:tcBorders>
              <w:top w:val="single" w:sz="4" w:space="0" w:color="auto"/>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2</w:t>
            </w:r>
          </w:p>
        </w:tc>
        <w:tc>
          <w:tcPr>
            <w:tcW w:w="710" w:type="dxa"/>
            <w:tcBorders>
              <w:top w:val="single" w:sz="4" w:space="0" w:color="auto"/>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A</w:t>
            </w:r>
          </w:p>
        </w:tc>
        <w:tc>
          <w:tcPr>
            <w:tcW w:w="1341" w:type="dxa"/>
            <w:tcBorders>
              <w:top w:val="single" w:sz="4" w:space="0" w:color="auto"/>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581</w:t>
            </w:r>
          </w:p>
        </w:tc>
        <w:tc>
          <w:tcPr>
            <w:tcW w:w="1129" w:type="dxa"/>
            <w:tcBorders>
              <w:top w:val="single" w:sz="4" w:space="0" w:color="auto"/>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None</w:t>
            </w:r>
          </w:p>
        </w:tc>
        <w:tc>
          <w:tcPr>
            <w:tcW w:w="1305" w:type="dxa"/>
            <w:tcBorders>
              <w:top w:val="single" w:sz="4" w:space="0" w:color="auto"/>
              <w:left w:val="nil"/>
              <w:bottom w:val="nil"/>
              <w:right w:val="nil"/>
            </w:tcBorders>
            <w:shd w:val="clear" w:color="auto" w:fill="auto"/>
            <w:noWrap/>
            <w:vAlign w:val="center"/>
            <w:hideMark/>
          </w:tcPr>
          <w:p w:rsidR="0080298A" w:rsidRPr="0080298A" w:rsidRDefault="0080298A" w:rsidP="0080298A">
            <w:pPr>
              <w:spacing w:line="240" w:lineRule="auto"/>
              <w:jc w:val="right"/>
              <w:rPr>
                <w:rFonts w:eastAsiaTheme="minorEastAsia" w:cstheme="minorBidi"/>
                <w:sz w:val="20"/>
                <w:szCs w:val="20"/>
                <w:lang w:val="en-US"/>
              </w:rPr>
            </w:pPr>
            <w:r w:rsidRPr="0080298A">
              <w:rPr>
                <w:rFonts w:ascii="Calibri" w:eastAsiaTheme="minorEastAsia" w:hAnsi="Calibri" w:cs="Calibri"/>
                <w:color w:val="000000"/>
                <w:sz w:val="20"/>
                <w:szCs w:val="20"/>
                <w:lang w:val="en-US" w:eastAsia="zh-CN"/>
              </w:rPr>
              <w:t>0.12 ± 0.20</w:t>
            </w:r>
          </w:p>
        </w:tc>
        <w:tc>
          <w:tcPr>
            <w:tcW w:w="1324" w:type="dxa"/>
            <w:tcBorders>
              <w:top w:val="single" w:sz="4" w:space="0" w:color="auto"/>
              <w:left w:val="nil"/>
              <w:bottom w:val="nil"/>
              <w:right w:val="single" w:sz="2" w:space="0" w:color="FFFFFF" w:themeColor="background1"/>
            </w:tcBorders>
            <w:shd w:val="clear" w:color="auto" w:fill="auto"/>
            <w:noWrap/>
            <w:vAlign w:val="center"/>
            <w:hideMark/>
          </w:tcPr>
          <w:p w:rsidR="0080298A" w:rsidRPr="0080298A" w:rsidRDefault="0080298A" w:rsidP="0080298A">
            <w:pPr>
              <w:spacing w:line="240" w:lineRule="auto"/>
              <w:ind w:right="-24"/>
              <w:jc w:val="right"/>
              <w:rPr>
                <w:rFonts w:ascii="Calibri" w:hAnsi="Calibri" w:cs="Calibri"/>
                <w:color w:val="000000"/>
                <w:sz w:val="20"/>
                <w:szCs w:val="20"/>
                <w:lang w:eastAsia="zh-CN"/>
              </w:rPr>
            </w:pPr>
            <w:r w:rsidRPr="0080298A">
              <w:rPr>
                <w:rFonts w:ascii="Calibri" w:hAnsi="Calibri" w:cs="Calibri"/>
                <w:color w:val="000000"/>
                <w:sz w:val="20"/>
                <w:szCs w:val="20"/>
                <w:lang w:eastAsia="zh-CN"/>
              </w:rPr>
              <w:t>5.39 ±   4.47</w:t>
            </w:r>
          </w:p>
        </w:tc>
        <w:tc>
          <w:tcPr>
            <w:tcW w:w="1218" w:type="dxa"/>
            <w:tcBorders>
              <w:top w:val="single" w:sz="4" w:space="0" w:color="auto"/>
              <w:left w:val="single" w:sz="2" w:space="0" w:color="FFFFFF" w:themeColor="background1"/>
              <w:bottom w:val="nil"/>
              <w:right w:val="nil"/>
            </w:tcBorders>
          </w:tcPr>
          <w:p w:rsidR="0080298A" w:rsidRPr="0080298A" w:rsidRDefault="0080298A" w:rsidP="0080298A">
            <w:pPr>
              <w:tabs>
                <w:tab w:val="left" w:pos="-334"/>
              </w:tabs>
              <w:spacing w:line="240" w:lineRule="auto"/>
              <w:ind w:left="-334"/>
              <w:jc w:val="right"/>
              <w:rPr>
                <w:rFonts w:ascii="Calibri" w:hAnsi="Calibri" w:cs="Calibri"/>
                <w:color w:val="000000"/>
                <w:sz w:val="20"/>
                <w:szCs w:val="20"/>
                <w:lang w:eastAsia="zh-CN"/>
              </w:rPr>
            </w:pPr>
            <w:r w:rsidRPr="0080298A">
              <w:rPr>
                <w:rFonts w:ascii="Calibri" w:hAnsi="Calibri" w:cs="Calibri"/>
                <w:color w:val="000000"/>
                <w:sz w:val="20"/>
                <w:szCs w:val="20"/>
                <w:lang w:eastAsia="zh-CN"/>
              </w:rPr>
              <w:t xml:space="preserve">0.43 </w:t>
            </w:r>
            <w:r w:rsidRPr="0080298A">
              <w:rPr>
                <w:sz w:val="20"/>
                <w:szCs w:val="20"/>
              </w:rPr>
              <w:t>± 0.04</w:t>
            </w:r>
          </w:p>
        </w:tc>
        <w:tc>
          <w:tcPr>
            <w:tcW w:w="1244" w:type="dxa"/>
            <w:tcBorders>
              <w:top w:val="single" w:sz="4" w:space="0" w:color="auto"/>
              <w:left w:val="single" w:sz="2" w:space="0" w:color="FFFFFF" w:themeColor="background1"/>
              <w:bottom w:val="nil"/>
              <w:right w:val="nil"/>
            </w:tcBorders>
          </w:tcPr>
          <w:p w:rsidR="0080298A" w:rsidRPr="0080298A" w:rsidRDefault="0080298A" w:rsidP="0080298A">
            <w:pPr>
              <w:tabs>
                <w:tab w:val="left" w:pos="-334"/>
              </w:tabs>
              <w:spacing w:line="240" w:lineRule="auto"/>
              <w:ind w:left="-334"/>
              <w:jc w:val="right"/>
              <w:rPr>
                <w:rFonts w:ascii="Calibri" w:hAnsi="Calibri" w:cs="Calibri"/>
                <w:color w:val="000000"/>
                <w:sz w:val="20"/>
                <w:szCs w:val="20"/>
                <w:lang w:eastAsia="zh-CN"/>
              </w:rPr>
            </w:pPr>
            <w:r w:rsidRPr="0080298A">
              <w:rPr>
                <w:rFonts w:ascii="Calibri" w:hAnsi="Calibri" w:cs="Calibri"/>
                <w:color w:val="000000"/>
                <w:sz w:val="20"/>
                <w:szCs w:val="20"/>
                <w:lang w:eastAsia="zh-CN"/>
              </w:rPr>
              <w:t xml:space="preserve">10.04 </w:t>
            </w:r>
            <w:r w:rsidRPr="0080298A">
              <w:rPr>
                <w:sz w:val="20"/>
                <w:szCs w:val="20"/>
              </w:rPr>
              <w:t>± 0.45</w:t>
            </w:r>
          </w:p>
        </w:tc>
      </w:tr>
      <w:tr w:rsidR="0080298A" w:rsidRPr="0080298A" w:rsidTr="001D5F3C">
        <w:trPr>
          <w:trHeight w:val="300"/>
        </w:trPr>
        <w:tc>
          <w:tcPr>
            <w:tcW w:w="582" w:type="dxa"/>
            <w:tcBorders>
              <w:top w:val="nil"/>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p>
        </w:tc>
        <w:tc>
          <w:tcPr>
            <w:tcW w:w="710" w:type="dxa"/>
            <w:tcBorders>
              <w:top w:val="nil"/>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B</w:t>
            </w:r>
          </w:p>
        </w:tc>
        <w:tc>
          <w:tcPr>
            <w:tcW w:w="1341" w:type="dxa"/>
            <w:tcBorders>
              <w:top w:val="nil"/>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125</w:t>
            </w:r>
          </w:p>
        </w:tc>
        <w:tc>
          <w:tcPr>
            <w:tcW w:w="1129" w:type="dxa"/>
            <w:tcBorders>
              <w:top w:val="nil"/>
              <w:left w:val="nil"/>
              <w:bottom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Tide gates</w:t>
            </w:r>
          </w:p>
        </w:tc>
        <w:tc>
          <w:tcPr>
            <w:tcW w:w="1305" w:type="dxa"/>
            <w:tcBorders>
              <w:top w:val="nil"/>
              <w:left w:val="nil"/>
              <w:bottom w:val="nil"/>
              <w:right w:val="nil"/>
            </w:tcBorders>
            <w:shd w:val="clear" w:color="auto" w:fill="auto"/>
            <w:noWrap/>
            <w:vAlign w:val="center"/>
            <w:hideMark/>
          </w:tcPr>
          <w:p w:rsidR="0080298A" w:rsidRPr="0080298A" w:rsidRDefault="0080298A" w:rsidP="0080298A">
            <w:pPr>
              <w:spacing w:line="240" w:lineRule="auto"/>
              <w:jc w:val="right"/>
              <w:rPr>
                <w:rFonts w:eastAsiaTheme="minorEastAsia" w:cstheme="minorBidi"/>
                <w:sz w:val="20"/>
                <w:szCs w:val="20"/>
                <w:lang w:val="en-US"/>
              </w:rPr>
            </w:pPr>
            <w:r w:rsidRPr="0080298A">
              <w:rPr>
                <w:rFonts w:ascii="Calibri" w:eastAsiaTheme="minorEastAsia" w:hAnsi="Calibri" w:cs="Calibri"/>
                <w:color w:val="000000"/>
                <w:sz w:val="20"/>
                <w:szCs w:val="20"/>
                <w:lang w:val="en-US" w:eastAsia="zh-CN"/>
              </w:rPr>
              <w:t>0.04 ± 0.09</w:t>
            </w:r>
          </w:p>
        </w:tc>
        <w:tc>
          <w:tcPr>
            <w:tcW w:w="1324" w:type="dxa"/>
            <w:tcBorders>
              <w:top w:val="nil"/>
              <w:left w:val="nil"/>
              <w:bottom w:val="nil"/>
              <w:right w:val="single" w:sz="2" w:space="0" w:color="FFFFFF" w:themeColor="background1"/>
            </w:tcBorders>
            <w:shd w:val="clear" w:color="auto" w:fill="auto"/>
            <w:noWrap/>
            <w:vAlign w:val="center"/>
            <w:hideMark/>
          </w:tcPr>
          <w:p w:rsidR="0080298A" w:rsidRPr="0080298A" w:rsidRDefault="0080298A" w:rsidP="0080298A">
            <w:pPr>
              <w:spacing w:line="240" w:lineRule="auto"/>
              <w:ind w:right="-24"/>
              <w:jc w:val="right"/>
              <w:rPr>
                <w:rFonts w:eastAsiaTheme="minorEastAsia" w:cstheme="minorBidi"/>
                <w:sz w:val="20"/>
                <w:szCs w:val="20"/>
                <w:lang w:val="en-US"/>
              </w:rPr>
            </w:pPr>
            <w:r w:rsidRPr="0080298A">
              <w:rPr>
                <w:rFonts w:ascii="Calibri" w:eastAsiaTheme="minorEastAsia" w:hAnsi="Calibri" w:cs="Calibri"/>
                <w:color w:val="000000"/>
                <w:sz w:val="20"/>
                <w:szCs w:val="20"/>
                <w:lang w:val="en-US" w:eastAsia="zh-CN"/>
              </w:rPr>
              <w:t>23.74 ± 34.03</w:t>
            </w:r>
          </w:p>
        </w:tc>
        <w:tc>
          <w:tcPr>
            <w:tcW w:w="1218" w:type="dxa"/>
            <w:tcBorders>
              <w:top w:val="nil"/>
              <w:left w:val="single" w:sz="2" w:space="0" w:color="FFFFFF" w:themeColor="background1"/>
              <w:bottom w:val="nil"/>
              <w:right w:val="nil"/>
            </w:tcBorders>
          </w:tcPr>
          <w:p w:rsidR="0080298A" w:rsidRPr="0080298A" w:rsidRDefault="0080298A" w:rsidP="0080298A">
            <w:pPr>
              <w:tabs>
                <w:tab w:val="left" w:pos="-334"/>
              </w:tabs>
              <w:spacing w:line="240" w:lineRule="auto"/>
              <w:ind w:left="-334"/>
              <w:jc w:val="right"/>
              <w:rPr>
                <w:rFonts w:ascii="Calibri" w:eastAsiaTheme="minorEastAsia" w:hAnsi="Calibri" w:cs="Calibri"/>
                <w:color w:val="000000"/>
                <w:sz w:val="20"/>
                <w:szCs w:val="20"/>
                <w:lang w:val="en-US" w:eastAsia="zh-CN"/>
              </w:rPr>
            </w:pPr>
            <w:r w:rsidRPr="0080298A">
              <w:rPr>
                <w:rFonts w:ascii="Calibri" w:eastAsiaTheme="minorEastAsia" w:hAnsi="Calibri" w:cs="Calibri"/>
                <w:color w:val="000000"/>
                <w:sz w:val="20"/>
                <w:szCs w:val="20"/>
                <w:lang w:val="en-US" w:eastAsia="zh-CN"/>
              </w:rPr>
              <w:t xml:space="preserve">0.42 </w:t>
            </w:r>
            <w:r w:rsidRPr="0080298A">
              <w:rPr>
                <w:rFonts w:eastAsiaTheme="minorEastAsia" w:cstheme="minorBidi"/>
                <w:sz w:val="20"/>
                <w:szCs w:val="20"/>
                <w:lang w:val="en-US"/>
              </w:rPr>
              <w:t>± 0.03</w:t>
            </w:r>
          </w:p>
        </w:tc>
        <w:tc>
          <w:tcPr>
            <w:tcW w:w="1244" w:type="dxa"/>
            <w:tcBorders>
              <w:top w:val="nil"/>
              <w:left w:val="single" w:sz="2" w:space="0" w:color="FFFFFF" w:themeColor="background1"/>
              <w:bottom w:val="nil"/>
              <w:right w:val="nil"/>
            </w:tcBorders>
          </w:tcPr>
          <w:p w:rsidR="0080298A" w:rsidRPr="0080298A" w:rsidRDefault="0080298A" w:rsidP="0080298A">
            <w:pPr>
              <w:tabs>
                <w:tab w:val="left" w:pos="-334"/>
              </w:tabs>
              <w:spacing w:line="240" w:lineRule="auto"/>
              <w:ind w:left="-334"/>
              <w:jc w:val="right"/>
              <w:rPr>
                <w:rFonts w:ascii="Calibri" w:eastAsiaTheme="minorEastAsia" w:hAnsi="Calibri" w:cs="Calibri"/>
                <w:color w:val="000000"/>
                <w:sz w:val="20"/>
                <w:szCs w:val="20"/>
                <w:lang w:val="en-US" w:eastAsia="zh-CN"/>
              </w:rPr>
            </w:pPr>
            <w:r w:rsidRPr="0080298A">
              <w:rPr>
                <w:rFonts w:ascii="Calibri" w:eastAsiaTheme="minorEastAsia" w:hAnsi="Calibri" w:cs="Calibri"/>
                <w:color w:val="000000"/>
                <w:sz w:val="20"/>
                <w:szCs w:val="20"/>
                <w:lang w:val="en-US" w:eastAsia="zh-CN"/>
              </w:rPr>
              <w:t xml:space="preserve">10.36 </w:t>
            </w:r>
            <w:r w:rsidRPr="0080298A">
              <w:rPr>
                <w:rFonts w:eastAsiaTheme="minorEastAsia" w:cstheme="minorBidi"/>
                <w:sz w:val="20"/>
                <w:szCs w:val="20"/>
                <w:lang w:val="en-US"/>
              </w:rPr>
              <w:t>± 0.70</w:t>
            </w:r>
          </w:p>
        </w:tc>
      </w:tr>
      <w:tr w:rsidR="0080298A" w:rsidRPr="0080298A" w:rsidTr="0080298A">
        <w:trPr>
          <w:trHeight w:val="300"/>
        </w:trPr>
        <w:tc>
          <w:tcPr>
            <w:tcW w:w="582" w:type="dxa"/>
            <w:tcBorders>
              <w:top w:val="nil"/>
              <w:left w:val="nil"/>
              <w:bottom w:val="single" w:sz="4" w:space="0" w:color="auto"/>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p>
        </w:tc>
        <w:tc>
          <w:tcPr>
            <w:tcW w:w="710" w:type="dxa"/>
            <w:tcBorders>
              <w:top w:val="nil"/>
              <w:left w:val="nil"/>
              <w:bottom w:val="single" w:sz="4" w:space="0" w:color="auto"/>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C</w:t>
            </w:r>
          </w:p>
        </w:tc>
        <w:tc>
          <w:tcPr>
            <w:tcW w:w="1341" w:type="dxa"/>
            <w:tcBorders>
              <w:top w:val="nil"/>
              <w:left w:val="nil"/>
              <w:bottom w:val="single" w:sz="4" w:space="0" w:color="auto"/>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50</w:t>
            </w:r>
          </w:p>
        </w:tc>
        <w:tc>
          <w:tcPr>
            <w:tcW w:w="1129" w:type="dxa"/>
            <w:tcBorders>
              <w:top w:val="nil"/>
              <w:left w:val="nil"/>
              <w:bottom w:val="single" w:sz="4" w:space="0" w:color="auto"/>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sz w:val="20"/>
                <w:szCs w:val="20"/>
                <w:lang w:eastAsia="zh-CN"/>
              </w:rPr>
            </w:pPr>
            <w:r w:rsidRPr="0080298A">
              <w:rPr>
                <w:rFonts w:ascii="Calibri" w:hAnsi="Calibri" w:cs="Calibri"/>
                <w:color w:val="000000"/>
                <w:sz w:val="20"/>
                <w:szCs w:val="20"/>
                <w:lang w:eastAsia="zh-CN"/>
              </w:rPr>
              <w:t>None</w:t>
            </w:r>
          </w:p>
        </w:tc>
        <w:tc>
          <w:tcPr>
            <w:tcW w:w="1305" w:type="dxa"/>
            <w:tcBorders>
              <w:top w:val="nil"/>
              <w:left w:val="nil"/>
              <w:bottom w:val="single" w:sz="4" w:space="0" w:color="auto"/>
              <w:right w:val="nil"/>
            </w:tcBorders>
            <w:shd w:val="clear" w:color="auto" w:fill="auto"/>
            <w:noWrap/>
            <w:vAlign w:val="center"/>
            <w:hideMark/>
          </w:tcPr>
          <w:p w:rsidR="0080298A" w:rsidRPr="0080298A" w:rsidRDefault="0080298A" w:rsidP="0080298A">
            <w:pPr>
              <w:spacing w:line="240" w:lineRule="auto"/>
              <w:jc w:val="right"/>
              <w:rPr>
                <w:rFonts w:ascii="Calibri" w:eastAsiaTheme="minorEastAsia" w:hAnsi="Calibri" w:cs="Calibri"/>
                <w:color w:val="000000"/>
                <w:sz w:val="20"/>
                <w:szCs w:val="20"/>
                <w:lang w:val="en-US" w:eastAsia="zh-CN"/>
              </w:rPr>
            </w:pPr>
            <w:r w:rsidRPr="0080298A">
              <w:rPr>
                <w:rFonts w:ascii="Calibri" w:eastAsiaTheme="minorEastAsia" w:hAnsi="Calibri" w:cs="Calibri"/>
                <w:color w:val="000000"/>
                <w:sz w:val="20"/>
                <w:szCs w:val="20"/>
                <w:lang w:val="en-US" w:eastAsia="zh-CN"/>
              </w:rPr>
              <w:t>0.22 ± 0.24</w:t>
            </w:r>
          </w:p>
        </w:tc>
        <w:tc>
          <w:tcPr>
            <w:tcW w:w="1324" w:type="dxa"/>
            <w:tcBorders>
              <w:top w:val="nil"/>
              <w:left w:val="nil"/>
              <w:bottom w:val="single" w:sz="4" w:space="0" w:color="auto"/>
              <w:right w:val="single" w:sz="2" w:space="0" w:color="FFFFFF" w:themeColor="background1"/>
            </w:tcBorders>
            <w:shd w:val="clear" w:color="auto" w:fill="auto"/>
            <w:noWrap/>
            <w:vAlign w:val="center"/>
            <w:hideMark/>
          </w:tcPr>
          <w:p w:rsidR="0080298A" w:rsidRPr="0080298A" w:rsidRDefault="0080298A" w:rsidP="0080298A">
            <w:pPr>
              <w:spacing w:line="240" w:lineRule="auto"/>
              <w:ind w:right="-24"/>
              <w:jc w:val="right"/>
              <w:rPr>
                <w:rFonts w:ascii="Calibri" w:hAnsi="Calibri" w:cs="Calibri"/>
                <w:color w:val="000000"/>
                <w:sz w:val="20"/>
                <w:szCs w:val="20"/>
                <w:lang w:eastAsia="zh-CN"/>
              </w:rPr>
            </w:pPr>
            <w:r w:rsidRPr="0080298A">
              <w:rPr>
                <w:rFonts w:ascii="Calibri" w:hAnsi="Calibri" w:cs="Calibri"/>
                <w:color w:val="000000"/>
                <w:sz w:val="20"/>
                <w:szCs w:val="20"/>
                <w:lang w:eastAsia="zh-CN"/>
              </w:rPr>
              <w:t>2.85 ±   8.65</w:t>
            </w:r>
          </w:p>
        </w:tc>
        <w:tc>
          <w:tcPr>
            <w:tcW w:w="1218" w:type="dxa"/>
            <w:tcBorders>
              <w:top w:val="nil"/>
              <w:left w:val="single" w:sz="2" w:space="0" w:color="FFFFFF" w:themeColor="background1"/>
              <w:bottom w:val="single" w:sz="4" w:space="0" w:color="auto"/>
              <w:right w:val="nil"/>
            </w:tcBorders>
          </w:tcPr>
          <w:p w:rsidR="0080298A" w:rsidRPr="0080298A" w:rsidRDefault="0080298A" w:rsidP="0080298A">
            <w:pPr>
              <w:tabs>
                <w:tab w:val="left" w:pos="-334"/>
              </w:tabs>
              <w:spacing w:line="240" w:lineRule="auto"/>
              <w:ind w:left="-334"/>
              <w:jc w:val="right"/>
              <w:rPr>
                <w:rFonts w:ascii="Calibri" w:hAnsi="Calibri" w:cs="Calibri"/>
                <w:color w:val="000000"/>
                <w:sz w:val="20"/>
                <w:szCs w:val="20"/>
                <w:lang w:eastAsia="zh-CN"/>
              </w:rPr>
            </w:pPr>
            <w:r w:rsidRPr="0080298A">
              <w:rPr>
                <w:rFonts w:ascii="Calibri" w:hAnsi="Calibri" w:cs="Calibri"/>
                <w:color w:val="000000"/>
                <w:sz w:val="20"/>
                <w:szCs w:val="20"/>
                <w:lang w:eastAsia="zh-CN"/>
              </w:rPr>
              <w:t xml:space="preserve">0.42 </w:t>
            </w:r>
            <w:r w:rsidRPr="0080298A">
              <w:rPr>
                <w:sz w:val="20"/>
                <w:szCs w:val="20"/>
              </w:rPr>
              <w:t>± 0.04</w:t>
            </w:r>
          </w:p>
        </w:tc>
        <w:tc>
          <w:tcPr>
            <w:tcW w:w="1244" w:type="dxa"/>
            <w:tcBorders>
              <w:top w:val="nil"/>
              <w:left w:val="single" w:sz="2" w:space="0" w:color="FFFFFF" w:themeColor="background1"/>
              <w:bottom w:val="single" w:sz="4" w:space="0" w:color="auto"/>
              <w:right w:val="nil"/>
            </w:tcBorders>
          </w:tcPr>
          <w:p w:rsidR="0080298A" w:rsidRPr="0080298A" w:rsidRDefault="0080298A" w:rsidP="0080298A">
            <w:pPr>
              <w:tabs>
                <w:tab w:val="left" w:pos="-334"/>
              </w:tabs>
              <w:spacing w:line="240" w:lineRule="auto"/>
              <w:ind w:left="-334"/>
              <w:jc w:val="right"/>
              <w:rPr>
                <w:rFonts w:ascii="Calibri" w:hAnsi="Calibri" w:cs="Calibri"/>
                <w:color w:val="000000"/>
                <w:sz w:val="20"/>
                <w:szCs w:val="20"/>
                <w:lang w:eastAsia="zh-CN"/>
              </w:rPr>
            </w:pPr>
            <w:r w:rsidRPr="0080298A">
              <w:rPr>
                <w:rFonts w:ascii="Calibri" w:hAnsi="Calibri" w:cs="Calibri"/>
                <w:color w:val="000000"/>
                <w:sz w:val="20"/>
                <w:szCs w:val="20"/>
                <w:lang w:eastAsia="zh-CN"/>
              </w:rPr>
              <w:t xml:space="preserve">10.58 </w:t>
            </w:r>
            <w:r w:rsidRPr="0080298A">
              <w:rPr>
                <w:sz w:val="20"/>
                <w:szCs w:val="20"/>
              </w:rPr>
              <w:t>± 1.20</w:t>
            </w:r>
          </w:p>
        </w:tc>
      </w:tr>
    </w:tbl>
    <w:p w:rsidR="0080298A" w:rsidRDefault="0080298A" w:rsidP="006C3524">
      <w:pPr>
        <w:rPr>
          <w:rFonts w:eastAsia="SimSun"/>
        </w:rPr>
      </w:pPr>
    </w:p>
    <w:p w:rsidR="0080298A" w:rsidRDefault="0080298A" w:rsidP="006C3524">
      <w:pPr>
        <w:rPr>
          <w:rFonts w:eastAsia="SimSun"/>
        </w:rPr>
      </w:pPr>
    </w:p>
    <w:p w:rsidR="0080298A" w:rsidRDefault="0080298A" w:rsidP="006C3524">
      <w:pPr>
        <w:rPr>
          <w:rFonts w:eastAsia="SimSun"/>
        </w:rPr>
      </w:pPr>
    </w:p>
    <w:p w:rsidR="00C60A99" w:rsidRDefault="00C60A99" w:rsidP="006C3524">
      <w:pPr>
        <w:rPr>
          <w:rFonts w:eastAsia="SimSun"/>
        </w:rPr>
      </w:pPr>
    </w:p>
    <w:p w:rsidR="00C60A99" w:rsidRPr="001F037B" w:rsidRDefault="00C60A99" w:rsidP="00C60A99">
      <w:pPr>
        <w:jc w:val="center"/>
        <w:rPr>
          <w:rFonts w:eastAsia="SimSun"/>
        </w:rPr>
      </w:pPr>
      <w:r>
        <w:rPr>
          <w:rFonts w:eastAsia="SimSun"/>
          <w:noProof/>
          <w:lang w:eastAsia="zh-CN"/>
        </w:rPr>
        <w:drawing>
          <wp:inline distT="0" distB="0" distL="0" distR="0">
            <wp:extent cx="3162300" cy="249288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 3.ti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63810" cy="2494078"/>
                    </a:xfrm>
                    <a:prstGeom prst="rect">
                      <a:avLst/>
                    </a:prstGeom>
                  </pic:spPr>
                </pic:pic>
              </a:graphicData>
            </a:graphic>
          </wp:inline>
        </w:drawing>
      </w:r>
    </w:p>
    <w:p w:rsidR="00A92636" w:rsidRDefault="00A92636" w:rsidP="00525E94"/>
    <w:p w:rsidR="00C60A99" w:rsidRPr="00C60A99" w:rsidRDefault="00C60A99" w:rsidP="00525E94">
      <w:pPr>
        <w:rPr>
          <w:sz w:val="20"/>
          <w:szCs w:val="20"/>
        </w:rPr>
      </w:pPr>
      <w:r>
        <w:rPr>
          <w:b/>
          <w:bCs/>
          <w:noProof/>
          <w:sz w:val="20"/>
          <w:szCs w:val="20"/>
          <w:lang w:eastAsia="zh-CN"/>
        </w:rPr>
        <mc:AlternateContent>
          <mc:Choice Requires="wps">
            <w:drawing>
              <wp:anchor distT="0" distB="0" distL="114300" distR="114300" simplePos="0" relativeHeight="251661312" behindDoc="0" locked="0" layoutInCell="1" allowOverlap="1" wp14:anchorId="288DDDA8" wp14:editId="657D45E7">
                <wp:simplePos x="0" y="0"/>
                <wp:positionH relativeFrom="column">
                  <wp:posOffset>2348865</wp:posOffset>
                </wp:positionH>
                <wp:positionV relativeFrom="paragraph">
                  <wp:posOffset>282575</wp:posOffset>
                </wp:positionV>
                <wp:extent cx="104775" cy="857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04775" cy="85725"/>
                        </a:xfrm>
                        <a:prstGeom prst="rect">
                          <a:avLst/>
                        </a:prstGeom>
                        <a:solidFill>
                          <a:schemeClr val="bg1"/>
                        </a:solidFill>
                        <a:ln w="12700">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184.95pt;margin-top:22.25pt;width:8.2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" fillcolor="white [3212]" strokecolor="black [3213]" strokeweight="1pt"/>
            </w:pict>
          </mc:Fallback>
        </mc:AlternateContent>
      </w:r>
      <w:r>
        <w:rPr>
          <w:b/>
          <w:bCs/>
          <w:noProof/>
          <w:sz w:val="20"/>
          <w:szCs w:val="20"/>
          <w:lang w:eastAsia="zh-CN"/>
        </w:rPr>
        <mc:AlternateContent>
          <mc:Choice Requires="wps">
            <w:drawing>
              <wp:anchor distT="0" distB="0" distL="114300" distR="114300" simplePos="0" relativeHeight="251659264" behindDoc="0" locked="0" layoutInCell="1" allowOverlap="1" wp14:anchorId="34EDB6B1" wp14:editId="1E867D9E">
                <wp:simplePos x="0" y="0"/>
                <wp:positionH relativeFrom="column">
                  <wp:posOffset>4834890</wp:posOffset>
                </wp:positionH>
                <wp:positionV relativeFrom="paragraph">
                  <wp:posOffset>44450</wp:posOffset>
                </wp:positionV>
                <wp:extent cx="104775" cy="857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04775" cy="85725"/>
                        </a:xfrm>
                        <a:prstGeom prst="rect">
                          <a:avLst/>
                        </a:prstGeom>
                        <a:solidFill>
                          <a:schemeClr val="tx1"/>
                        </a:solidFill>
                        <a:ln w="12700">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80.7pt;margin-top:3.5pt;width:8.25pt;height:6.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" fillcolor="black [3213]" strokecolor="black [3213]" strokeweight="1pt"/>
            </w:pict>
          </mc:Fallback>
        </mc:AlternateContent>
      </w:r>
      <w:proofErr w:type="gramStart"/>
      <w:r w:rsidRPr="00C60A99">
        <w:rPr>
          <w:b/>
          <w:bCs/>
          <w:sz w:val="20"/>
          <w:szCs w:val="20"/>
        </w:rPr>
        <w:t>Fig. 3.</w:t>
      </w:r>
      <w:proofErr w:type="gramEnd"/>
      <w:r w:rsidRPr="00C60A99">
        <w:rPr>
          <w:sz w:val="20"/>
          <w:szCs w:val="20"/>
        </w:rPr>
        <w:t xml:space="preserve"> Mean ± SE speed of migration of 23 sea trout smolts in year </w:t>
      </w:r>
      <w:r>
        <w:rPr>
          <w:sz w:val="20"/>
          <w:szCs w:val="20"/>
        </w:rPr>
        <w:t xml:space="preserve">1 (pre orifice installation) (      </w:t>
      </w:r>
      <w:r w:rsidRPr="00C60A99">
        <w:rPr>
          <w:sz w:val="20"/>
          <w:szCs w:val="20"/>
        </w:rPr>
        <w:t>) and 25 smolts in year 2</w:t>
      </w:r>
      <w:r>
        <w:rPr>
          <w:sz w:val="20"/>
          <w:szCs w:val="20"/>
        </w:rPr>
        <w:t xml:space="preserve"> (post orifice installation) (      </w:t>
      </w:r>
      <w:r w:rsidRPr="00C60A99">
        <w:rPr>
          <w:sz w:val="20"/>
          <w:szCs w:val="20"/>
        </w:rPr>
        <w:t xml:space="preserve">) through two control river reaches with no obstructions (A and C) and one treatment reach with tide gates (B) in the lower River Meon, Hampshire, UK in April 2011 and 2012.  </w:t>
      </w:r>
    </w:p>
    <w:p w:rsidR="00C60A99" w:rsidRDefault="00C60A99" w:rsidP="00525E94"/>
    <w:p w:rsidR="00A92636" w:rsidRDefault="00A92636" w:rsidP="00525E94">
      <w:r w:rsidRPr="00965C94">
        <w:t xml:space="preserve">Mean (± SD) </w:t>
      </w:r>
      <w:r>
        <w:t>Q</w:t>
      </w:r>
      <w:r w:rsidRPr="00432197">
        <w:rPr>
          <w:vertAlign w:val="subscript"/>
        </w:rPr>
        <w:t>fish</w:t>
      </w:r>
      <w:r>
        <w:t xml:space="preserve"> did not differ between reaches (</w:t>
      </w:r>
      <w:r w:rsidRPr="00EC3C99">
        <w:rPr>
          <w:i/>
          <w:iCs/>
        </w:rPr>
        <w:t>F</w:t>
      </w:r>
      <w:r w:rsidR="00924524">
        <w:rPr>
          <w:vertAlign w:val="subscript"/>
        </w:rPr>
        <w:t>1.3</w:t>
      </w:r>
      <w:r>
        <w:rPr>
          <w:vertAlign w:val="subscript"/>
        </w:rPr>
        <w:t>, 60.16</w:t>
      </w:r>
      <w:r>
        <w:t xml:space="preserve"> = 1.68</w:t>
      </w:r>
      <w:r w:rsidRPr="00EC3C99">
        <w:t xml:space="preserve">, </w:t>
      </w:r>
      <w:r w:rsidRPr="00EC3C99">
        <w:rPr>
          <w:i/>
          <w:iCs/>
        </w:rPr>
        <w:t>P</w:t>
      </w:r>
      <w:r>
        <w:t xml:space="preserve"> &gt;</w:t>
      </w:r>
      <w:r w:rsidRPr="00EC3C99">
        <w:t xml:space="preserve"> 0.05</w:t>
      </w:r>
      <w:r>
        <w:t>) but did differ between years (</w:t>
      </w:r>
      <w:r w:rsidRPr="009A0BD6">
        <w:rPr>
          <w:i/>
          <w:iCs/>
        </w:rPr>
        <w:t>F</w:t>
      </w:r>
      <w:r>
        <w:rPr>
          <w:vertAlign w:val="subscript"/>
        </w:rPr>
        <w:t>1, 46</w:t>
      </w:r>
      <w:r>
        <w:t xml:space="preserve"> </w:t>
      </w:r>
      <w:r w:rsidRPr="00600252">
        <w:t xml:space="preserve">= 1743.09, </w:t>
      </w:r>
      <w:r w:rsidRPr="00600252">
        <w:rPr>
          <w:i/>
          <w:iCs/>
        </w:rPr>
        <w:t>P</w:t>
      </w:r>
      <w:r w:rsidRPr="00600252">
        <w:t xml:space="preserve"> &lt; 0.001) with year 1 (0.88 [± 0.04] m</w:t>
      </w:r>
      <w:r w:rsidRPr="00600252">
        <w:rPr>
          <w:vertAlign w:val="superscript"/>
        </w:rPr>
        <w:t>3</w:t>
      </w:r>
      <w:r w:rsidRPr="00600252">
        <w:t xml:space="preserve"> s</w:t>
      </w:r>
      <w:r w:rsidRPr="00600252">
        <w:rPr>
          <w:vertAlign w:val="superscript"/>
        </w:rPr>
        <w:t>-1</w:t>
      </w:r>
      <w:r w:rsidRPr="00600252">
        <w:t xml:space="preserve">) being higher than </w:t>
      </w:r>
      <w:r w:rsidRPr="00600252">
        <w:lastRenderedPageBreak/>
        <w:t>year 2 (0.42 [± 0.04] m</w:t>
      </w:r>
      <w:r w:rsidRPr="00600252">
        <w:rPr>
          <w:vertAlign w:val="superscript"/>
        </w:rPr>
        <w:t>3</w:t>
      </w:r>
      <w:r w:rsidRPr="00600252">
        <w:t xml:space="preserve"> s</w:t>
      </w:r>
      <w:r w:rsidRPr="00600252">
        <w:rPr>
          <w:vertAlign w:val="superscript"/>
        </w:rPr>
        <w:t>-1</w:t>
      </w:r>
      <w:r w:rsidRPr="00600252">
        <w:t>) (Table 2).</w:t>
      </w:r>
      <w:r>
        <w:t xml:space="preserve">  </w:t>
      </w:r>
      <w:r w:rsidRPr="00600252">
        <w:t>Mean (± SD) Temp</w:t>
      </w:r>
      <w:r w:rsidRPr="00600252">
        <w:rPr>
          <w:vertAlign w:val="subscript"/>
        </w:rPr>
        <w:t>fish</w:t>
      </w:r>
      <w:r w:rsidRPr="00600252">
        <w:t xml:space="preserve"> was lower in reach A (11.49 [± 1.79] </w:t>
      </w:r>
      <w:r w:rsidRPr="00600252">
        <w:rPr>
          <w:vertAlign w:val="superscript"/>
        </w:rPr>
        <w:t>o</w:t>
      </w:r>
      <w:r w:rsidRPr="00600252">
        <w:t xml:space="preserve">C) than reach B (11.81 [± 2.02] </w:t>
      </w:r>
      <w:r w:rsidRPr="00600252">
        <w:rPr>
          <w:vertAlign w:val="superscript"/>
        </w:rPr>
        <w:t>o</w:t>
      </w:r>
      <w:r w:rsidRPr="00600252">
        <w:t>C) (</w:t>
      </w:r>
      <w:r w:rsidRPr="00600252">
        <w:rPr>
          <w:i/>
          <w:iCs/>
        </w:rPr>
        <w:t>F</w:t>
      </w:r>
      <w:r w:rsidR="00924524">
        <w:rPr>
          <w:vertAlign w:val="subscript"/>
        </w:rPr>
        <w:t>1.6, 72.2</w:t>
      </w:r>
      <w:r w:rsidRPr="00600252">
        <w:t xml:space="preserve"> = 4.08, </w:t>
      </w:r>
      <w:r w:rsidRPr="00600252">
        <w:rPr>
          <w:i/>
          <w:iCs/>
        </w:rPr>
        <w:t>P</w:t>
      </w:r>
      <w:r w:rsidRPr="00600252">
        <w:t xml:space="preserve"> &lt; 0.05) and differed between years (</w:t>
      </w:r>
      <w:r w:rsidRPr="00600252">
        <w:rPr>
          <w:i/>
          <w:iCs/>
        </w:rPr>
        <w:t>F</w:t>
      </w:r>
      <w:r w:rsidRPr="00600252">
        <w:rPr>
          <w:vertAlign w:val="subscript"/>
        </w:rPr>
        <w:t>1, 46</w:t>
      </w:r>
      <w:r w:rsidRPr="00600252">
        <w:t xml:space="preserve"> = 72.71, </w:t>
      </w:r>
      <w:r w:rsidRPr="00600252">
        <w:rPr>
          <w:i/>
          <w:iCs/>
        </w:rPr>
        <w:t>P</w:t>
      </w:r>
      <w:r w:rsidRPr="00600252">
        <w:t xml:space="preserve"> &lt; 0.001) with year 1 (13.25 [1.68] </w:t>
      </w:r>
      <w:r w:rsidRPr="00600252">
        <w:rPr>
          <w:vertAlign w:val="superscript"/>
        </w:rPr>
        <w:t>o</w:t>
      </w:r>
      <w:r w:rsidRPr="00600252">
        <w:t xml:space="preserve">C) being higher than year 2 (10.33 [± 0.86] </w:t>
      </w:r>
      <w:r w:rsidRPr="00600252">
        <w:rPr>
          <w:vertAlign w:val="superscript"/>
        </w:rPr>
        <w:t>o</w:t>
      </w:r>
      <w:r w:rsidRPr="00600252">
        <w:t>C) (Table 2).</w:t>
      </w:r>
      <w:r>
        <w:t xml:space="preserve"> </w:t>
      </w:r>
    </w:p>
    <w:p w:rsidR="00A92636" w:rsidRPr="00AC1FAC" w:rsidRDefault="00A92636" w:rsidP="00525E94">
      <w:pPr>
        <w:rPr>
          <w:highlight w:val="lightGray"/>
        </w:rPr>
      </w:pPr>
    </w:p>
    <w:p w:rsidR="00A92636" w:rsidRDefault="00A92636" w:rsidP="00525E94">
      <w:r w:rsidRPr="006F44C0">
        <w:t>When data from both years were aggregated, Q</w:t>
      </w:r>
      <w:r w:rsidRPr="006F44C0">
        <w:rPr>
          <w:vertAlign w:val="subscript"/>
        </w:rPr>
        <w:t>fish</w:t>
      </w:r>
      <w:r w:rsidRPr="006F44C0">
        <w:t>, Temp</w:t>
      </w:r>
      <w:r w:rsidRPr="006F44C0">
        <w:rPr>
          <w:vertAlign w:val="subscript"/>
        </w:rPr>
        <w:t>fish</w:t>
      </w:r>
      <w:r w:rsidRPr="006F44C0">
        <w:t xml:space="preserve">, GO% and N% accounted for 19.8% of the variance in speed of migration through reach A and 40.8% through reach B, with GO% being the only significant correlate (reach A: </w:t>
      </w:r>
      <w:r w:rsidRPr="006F44C0">
        <w:rPr>
          <w:i/>
        </w:rPr>
        <w:t>B</w:t>
      </w:r>
      <w:r w:rsidRPr="006F44C0">
        <w:t xml:space="preserve"> = 0.002, CI = 0.000 – 0.003, </w:t>
      </w:r>
      <w:r w:rsidRPr="006F44C0">
        <w:rPr>
          <w:i/>
        </w:rPr>
        <w:t>P</w:t>
      </w:r>
      <w:r w:rsidRPr="006F44C0">
        <w:t xml:space="preserve"> &lt; 0.05; reach B: </w:t>
      </w:r>
      <w:r w:rsidRPr="006F44C0">
        <w:rPr>
          <w:i/>
        </w:rPr>
        <w:t>B</w:t>
      </w:r>
      <w:r w:rsidRPr="006F44C0">
        <w:t xml:space="preserve"> = 0.001, CI = 0.000 – 0.002, </w:t>
      </w:r>
      <w:r w:rsidRPr="006F44C0">
        <w:rPr>
          <w:i/>
        </w:rPr>
        <w:t>P</w:t>
      </w:r>
      <w:r w:rsidRPr="006F44C0">
        <w:t xml:space="preserve"> &lt; 0.001), with the exception of </w:t>
      </w:r>
      <w:r w:rsidRPr="00004C2C">
        <w:t>N% in reach B</w:t>
      </w:r>
      <w:r w:rsidRPr="006F44C0">
        <w:t xml:space="preserve"> (</w:t>
      </w:r>
      <w:r w:rsidRPr="006F44C0">
        <w:rPr>
          <w:i/>
        </w:rPr>
        <w:t>B</w:t>
      </w:r>
      <w:r>
        <w:t xml:space="preserve"> = 0.000, CI = 0.000 – 0.001</w:t>
      </w:r>
      <w:r w:rsidRPr="006F44C0">
        <w:t xml:space="preserve">, </w:t>
      </w:r>
      <w:r w:rsidRPr="006F44C0">
        <w:rPr>
          <w:i/>
        </w:rPr>
        <w:t>P</w:t>
      </w:r>
      <w:r w:rsidRPr="006F44C0">
        <w:t xml:space="preserve"> = 0.05).</w:t>
      </w:r>
      <w:r w:rsidRPr="00180AA6">
        <w:t xml:space="preserve"> </w:t>
      </w:r>
    </w:p>
    <w:p w:rsidR="00924524" w:rsidRDefault="00924524" w:rsidP="00525E94"/>
    <w:p w:rsidR="00A92636" w:rsidRPr="009A2004" w:rsidRDefault="00A92636" w:rsidP="00525E94">
      <w:pPr>
        <w:rPr>
          <w:rFonts w:ascii="Tahoma" w:hAnsi="Tahoma" w:cs="Tahoma"/>
          <w:sz w:val="20"/>
          <w:szCs w:val="20"/>
        </w:rPr>
      </w:pPr>
      <w:r w:rsidRPr="006F44C0">
        <w:t>Q</w:t>
      </w:r>
      <w:r w:rsidRPr="006F44C0">
        <w:rPr>
          <w:vertAlign w:val="subscript"/>
        </w:rPr>
        <w:t>fish</w:t>
      </w:r>
      <w:r w:rsidRPr="006F44C0">
        <w:t>, Temp</w:t>
      </w:r>
      <w:r w:rsidRPr="006F44C0">
        <w:rPr>
          <w:vertAlign w:val="subscript"/>
        </w:rPr>
        <w:t>fish</w:t>
      </w:r>
      <w:r w:rsidRPr="006F44C0">
        <w:t xml:space="preserve">, GO% and N% explained 34.8% and 49.3% of the variation in speed of migration through reach A, and 46.9% and 64.8% through reach B, in years 1 and 2, respectively.  GO% was the most significant correlate in reach B in both years (year 1:  </w:t>
      </w:r>
      <w:r w:rsidRPr="006F44C0">
        <w:rPr>
          <w:i/>
        </w:rPr>
        <w:t>B</w:t>
      </w:r>
      <w:r w:rsidRPr="006F44C0">
        <w:t xml:space="preserve"> = 0.001, CI = 0.000 – 0.001, </w:t>
      </w:r>
      <w:r w:rsidRPr="006F44C0">
        <w:rPr>
          <w:i/>
        </w:rPr>
        <w:t>P</w:t>
      </w:r>
      <w:r w:rsidRPr="006F44C0">
        <w:t xml:space="preserve"> &lt; 0.05; year 2: </w:t>
      </w:r>
      <w:r w:rsidRPr="006F44C0">
        <w:rPr>
          <w:i/>
        </w:rPr>
        <w:t>B</w:t>
      </w:r>
      <w:r w:rsidRPr="006F44C0">
        <w:t xml:space="preserve"> = 0.002, CI = 0.001 – 0.003, </w:t>
      </w:r>
      <w:r w:rsidRPr="006F44C0">
        <w:rPr>
          <w:i/>
        </w:rPr>
        <w:t>P</w:t>
      </w:r>
      <w:r w:rsidRPr="006F44C0">
        <w:t xml:space="preserve"> &lt; 0.01) and reach </w:t>
      </w:r>
      <w:proofErr w:type="gramStart"/>
      <w:r w:rsidRPr="006F44C0">
        <w:t>A</w:t>
      </w:r>
      <w:proofErr w:type="gramEnd"/>
      <w:r w:rsidRPr="006F44C0">
        <w:t xml:space="preserve"> in year 2 (</w:t>
      </w:r>
      <w:r w:rsidRPr="006F44C0">
        <w:rPr>
          <w:i/>
        </w:rPr>
        <w:t>B</w:t>
      </w:r>
      <w:r w:rsidRPr="006F44C0">
        <w:t xml:space="preserve"> = 0.004, CI = 0.002 – 0.007, </w:t>
      </w:r>
      <w:r w:rsidRPr="006F44C0">
        <w:rPr>
          <w:i/>
        </w:rPr>
        <w:t>P</w:t>
      </w:r>
      <w:r w:rsidRPr="006F44C0">
        <w:t xml:space="preserve"> &lt; 0.01).  Speed of migration was </w:t>
      </w:r>
      <w:r>
        <w:t>posi</w:t>
      </w:r>
      <w:r w:rsidRPr="006F44C0">
        <w:t>tively related to N% through reach A in year 1 (</w:t>
      </w:r>
      <w:r w:rsidRPr="006F44C0">
        <w:rPr>
          <w:i/>
        </w:rPr>
        <w:t>B</w:t>
      </w:r>
      <w:r w:rsidRPr="006F44C0">
        <w:t xml:space="preserve"> = 0.002, CI = 0.000 – 0.004, </w:t>
      </w:r>
      <w:r w:rsidRPr="006F44C0">
        <w:rPr>
          <w:i/>
        </w:rPr>
        <w:t>P</w:t>
      </w:r>
      <w:r w:rsidRPr="006F44C0">
        <w:t xml:space="preserve"> &lt; 0.05) and reach B in year 2 (</w:t>
      </w:r>
      <w:r w:rsidRPr="006F44C0">
        <w:rPr>
          <w:i/>
        </w:rPr>
        <w:t>B</w:t>
      </w:r>
      <w:r w:rsidRPr="006F44C0">
        <w:t xml:space="preserve"> = 0.001, CI = 0.000 – 0.002, </w:t>
      </w:r>
      <w:r w:rsidRPr="006F44C0">
        <w:rPr>
          <w:i/>
        </w:rPr>
        <w:t>P</w:t>
      </w:r>
      <w:r w:rsidRPr="006F44C0">
        <w:t xml:space="preserve"> &lt; 0.05).</w:t>
      </w:r>
      <w:r w:rsidRPr="00E6035F">
        <w:rPr>
          <w:rFonts w:ascii="Tahoma" w:hAnsi="Tahoma" w:cs="Tahoma"/>
          <w:sz w:val="20"/>
          <w:szCs w:val="20"/>
        </w:rPr>
        <w:t xml:space="preserve"> </w:t>
      </w:r>
    </w:p>
    <w:p w:rsidR="00A92636" w:rsidRDefault="00A92636" w:rsidP="00525E94"/>
    <w:p w:rsidR="00A92636" w:rsidRDefault="00A92636" w:rsidP="00525E94">
      <w:r>
        <w:t xml:space="preserve">There was no difference in speed of migration </w:t>
      </w:r>
      <w:r w:rsidRPr="001D1803">
        <w:t xml:space="preserve">through reach B </w:t>
      </w:r>
      <w:r>
        <w:t xml:space="preserve">between fish entering during day or night (year 1: </w:t>
      </w:r>
      <w:r w:rsidRPr="00D20727">
        <w:rPr>
          <w:i/>
          <w:iCs/>
        </w:rPr>
        <w:t>t</w:t>
      </w:r>
      <w:r w:rsidR="00924524">
        <w:rPr>
          <w:vertAlign w:val="subscript"/>
        </w:rPr>
        <w:t>13.2</w:t>
      </w:r>
      <w:r w:rsidRPr="00D20727">
        <w:t xml:space="preserve"> </w:t>
      </w:r>
      <w:r>
        <w:t xml:space="preserve">= -1.34, </w:t>
      </w:r>
      <w:r w:rsidRPr="00D20727">
        <w:rPr>
          <w:i/>
          <w:iCs/>
        </w:rPr>
        <w:t>P</w:t>
      </w:r>
      <w:r>
        <w:t xml:space="preserve"> &gt; 0.05; year 2: </w:t>
      </w:r>
      <w:r w:rsidRPr="00D20727">
        <w:rPr>
          <w:i/>
          <w:iCs/>
        </w:rPr>
        <w:t>t</w:t>
      </w:r>
      <w:r w:rsidR="00924524">
        <w:rPr>
          <w:vertAlign w:val="subscript"/>
        </w:rPr>
        <w:t>11.2</w:t>
      </w:r>
      <w:r w:rsidRPr="00D20727">
        <w:t xml:space="preserve"> </w:t>
      </w:r>
      <w:r>
        <w:t xml:space="preserve">= 1.58, </w:t>
      </w:r>
      <w:r w:rsidRPr="00D20727">
        <w:rPr>
          <w:i/>
          <w:iCs/>
        </w:rPr>
        <w:t>P</w:t>
      </w:r>
      <w:r>
        <w:t xml:space="preserve"> &gt; 0.05), </w:t>
      </w:r>
      <w:r w:rsidRPr="00B74057">
        <w:t>or when the gates were open</w:t>
      </w:r>
      <w:r>
        <w:t xml:space="preserve"> or closed</w:t>
      </w:r>
      <w:r w:rsidRPr="001D1803">
        <w:t xml:space="preserve"> </w:t>
      </w:r>
      <w:r>
        <w:t xml:space="preserve">(year 1: </w:t>
      </w:r>
      <w:r w:rsidRPr="00D20727">
        <w:rPr>
          <w:i/>
          <w:iCs/>
        </w:rPr>
        <w:t>t</w:t>
      </w:r>
      <w:r w:rsidR="00924524">
        <w:rPr>
          <w:vertAlign w:val="subscript"/>
        </w:rPr>
        <w:t>8.3</w:t>
      </w:r>
      <w:r w:rsidRPr="00D20727">
        <w:t xml:space="preserve"> </w:t>
      </w:r>
      <w:r>
        <w:t xml:space="preserve">= -1.72, </w:t>
      </w:r>
      <w:r w:rsidRPr="00D20727">
        <w:rPr>
          <w:i/>
          <w:iCs/>
        </w:rPr>
        <w:t>P</w:t>
      </w:r>
      <w:r>
        <w:t xml:space="preserve"> &gt; 0.05; year 2: </w:t>
      </w:r>
      <w:r w:rsidRPr="00D20727">
        <w:rPr>
          <w:i/>
          <w:iCs/>
        </w:rPr>
        <w:t>t</w:t>
      </w:r>
      <w:r w:rsidR="00924524">
        <w:rPr>
          <w:vertAlign w:val="subscript"/>
        </w:rPr>
        <w:t>13.0</w:t>
      </w:r>
      <w:r w:rsidRPr="00D20727">
        <w:t xml:space="preserve"> </w:t>
      </w:r>
      <w:r>
        <w:t xml:space="preserve">= -1.84, </w:t>
      </w:r>
      <w:r w:rsidRPr="00D20727">
        <w:rPr>
          <w:i/>
          <w:iCs/>
        </w:rPr>
        <w:t>P</w:t>
      </w:r>
      <w:r>
        <w:t xml:space="preserve"> &gt; 0.05)</w:t>
      </w:r>
      <w:r w:rsidRPr="002460E0">
        <w:t>.</w:t>
      </w:r>
      <w:r w:rsidRPr="001D1803">
        <w:t xml:space="preserve">  </w:t>
      </w:r>
      <w:r>
        <w:t>Four smolts (</w:t>
      </w:r>
      <w:r w:rsidRPr="001D1803">
        <w:t xml:space="preserve">17.4%) that entered reach B at night whilst the tide gates were closed subsequently passed </w:t>
      </w:r>
      <w:r>
        <w:t>during the day.</w:t>
      </w:r>
    </w:p>
    <w:p w:rsidR="00A92636" w:rsidRDefault="00A92636" w:rsidP="00525E94"/>
    <w:p w:rsidR="00A92636" w:rsidRDefault="00A92636" w:rsidP="00525E94">
      <w:r>
        <w:t xml:space="preserve">When closed, mean (± SD) water temperature upstream of the tide gates in year 2 did not differ from downstream (10.2 ± 1.0 </w:t>
      </w:r>
      <w:r w:rsidRPr="00AE03B7">
        <w:rPr>
          <w:vertAlign w:val="superscript"/>
        </w:rPr>
        <w:t>o</w:t>
      </w:r>
      <w:r>
        <w:t xml:space="preserve">C, </w:t>
      </w:r>
      <w:r w:rsidRPr="0093011A">
        <w:rPr>
          <w:i/>
          <w:iCs/>
        </w:rPr>
        <w:t>t</w:t>
      </w:r>
      <w:r w:rsidRPr="0093011A">
        <w:rPr>
          <w:vertAlign w:val="subscript"/>
        </w:rPr>
        <w:t>3130</w:t>
      </w:r>
      <w:r>
        <w:t xml:space="preserve"> = -0.31</w:t>
      </w:r>
      <w:r w:rsidRPr="0093011A">
        <w:t xml:space="preserve">, </w:t>
      </w:r>
      <w:r w:rsidRPr="0093011A">
        <w:rPr>
          <w:i/>
          <w:iCs/>
        </w:rPr>
        <w:t>P</w:t>
      </w:r>
      <w:r w:rsidRPr="0093011A">
        <w:t xml:space="preserve"> &gt; 0.05).  </w:t>
      </w:r>
      <w:r>
        <w:t>Mean</w:t>
      </w:r>
      <w:r w:rsidRPr="0093011A">
        <w:t xml:space="preserve"> (± SD) conductivity upstream of closed gates in year 2 (29.9 ± 10.4 </w:t>
      </w:r>
      <w:proofErr w:type="spellStart"/>
      <w:r w:rsidRPr="0093011A">
        <w:t>mS</w:t>
      </w:r>
      <w:proofErr w:type="spellEnd"/>
      <w:r w:rsidR="003B56CC">
        <w:t xml:space="preserve"> cm</w:t>
      </w:r>
      <w:r w:rsidR="003B56CC" w:rsidRPr="003B56CC">
        <w:rPr>
          <w:vertAlign w:val="superscript"/>
        </w:rPr>
        <w:t>-1</w:t>
      </w:r>
      <w:r w:rsidRPr="0093011A">
        <w:t xml:space="preserve">) was marginally lower than downstream (31.6 ± 10.3 </w:t>
      </w:r>
      <w:proofErr w:type="spellStart"/>
      <w:r w:rsidRPr="0093011A">
        <w:t>mS</w:t>
      </w:r>
      <w:proofErr w:type="spellEnd"/>
      <w:r w:rsidR="003B56CC">
        <w:t xml:space="preserve"> cm</w:t>
      </w:r>
      <w:r w:rsidR="003B56CC" w:rsidRPr="003B56CC">
        <w:rPr>
          <w:vertAlign w:val="superscript"/>
        </w:rPr>
        <w:t>-1</w:t>
      </w:r>
      <w:r w:rsidRPr="0093011A">
        <w:t>) (</w:t>
      </w:r>
      <w:r w:rsidRPr="0093011A">
        <w:rPr>
          <w:i/>
          <w:iCs/>
        </w:rPr>
        <w:t>t</w:t>
      </w:r>
      <w:r w:rsidRPr="0093011A">
        <w:rPr>
          <w:vertAlign w:val="subscript"/>
        </w:rPr>
        <w:t>3130</w:t>
      </w:r>
      <w:r>
        <w:t xml:space="preserve"> = -4.53</w:t>
      </w:r>
      <w:r w:rsidRPr="0093011A">
        <w:t xml:space="preserve">, </w:t>
      </w:r>
      <w:r w:rsidRPr="0093011A">
        <w:rPr>
          <w:i/>
          <w:iCs/>
        </w:rPr>
        <w:t>P</w:t>
      </w:r>
      <w:r w:rsidRPr="0093011A">
        <w:t xml:space="preserve"> &lt; 0.05).</w:t>
      </w:r>
      <w:r>
        <w:t xml:space="preserve">  </w:t>
      </w:r>
    </w:p>
    <w:p w:rsidR="00A92636" w:rsidRDefault="00A92636" w:rsidP="00525E94"/>
    <w:p w:rsidR="00C60A99" w:rsidRDefault="00A92636" w:rsidP="00AC7FBD">
      <w:pPr>
        <w:rPr>
          <w:szCs w:val="22"/>
        </w:rPr>
      </w:pPr>
      <w:r>
        <w:t>Whilst in reach B, m</w:t>
      </w:r>
      <w:r w:rsidRPr="00E82188">
        <w:t xml:space="preserve">ore fish were first </w:t>
      </w:r>
      <w:r>
        <w:t>detected by</w:t>
      </w:r>
      <w:r w:rsidRPr="00E82188">
        <w:t xml:space="preserve"> </w:t>
      </w:r>
      <w:r w:rsidRPr="00B80E94">
        <w:t>receiver 4</w:t>
      </w:r>
      <w:r w:rsidRPr="00E82188">
        <w:t xml:space="preserve"> when the tide gates were open than closed </w:t>
      </w:r>
      <w:r>
        <w:t>in year 2 (84</w:t>
      </w:r>
      <w:r w:rsidRPr="00E82188">
        <w:t>.0%) compared to year 1 (</w:t>
      </w:r>
      <w:r>
        <w:t>60.9</w:t>
      </w:r>
      <w:r w:rsidRPr="00E82188">
        <w:t xml:space="preserve">%) </w:t>
      </w:r>
      <w:proofErr w:type="gramStart"/>
      <w:r w:rsidRPr="00E82188">
        <w:t>(Table 3</w:t>
      </w:r>
      <w:r>
        <w:t>; Fig. 4</w:t>
      </w:r>
      <w:r w:rsidRPr="00E82188">
        <w:t>).</w:t>
      </w:r>
      <w:proofErr w:type="gramEnd"/>
      <w:r w:rsidRPr="00E82188">
        <w:t xml:space="preserve">  Fish that first approached when the gates were open were more likely to take longer than one tidal cycle to </w:t>
      </w:r>
      <w:r w:rsidRPr="00E82188">
        <w:lastRenderedPageBreak/>
        <w:t>pass in year 2 (</w:t>
      </w:r>
      <w:r>
        <w:t>66.7</w:t>
      </w:r>
      <w:r w:rsidRPr="00E82188">
        <w:t>%</w:t>
      </w:r>
      <w:r>
        <w:t>) than in year 1 (28.6</w:t>
      </w:r>
      <w:r w:rsidRPr="00B80E94">
        <w:t xml:space="preserve">%).  </w:t>
      </w:r>
      <w:r w:rsidRPr="00B80E94">
        <w:rPr>
          <w:szCs w:val="22"/>
        </w:rPr>
        <w:t>When fish were first detected at receiver 4 when the gates were open, the mean (± SD) time taken to pass downstream was 4.73 (± 9.36) h in year 1, and 22.63 (± 34.25) h in year 2.</w:t>
      </w:r>
    </w:p>
    <w:p w:rsidR="0080298A" w:rsidRDefault="0080298A" w:rsidP="00AC7FBD">
      <w:pPr>
        <w:rPr>
          <w:szCs w:val="22"/>
        </w:rPr>
      </w:pPr>
    </w:p>
    <w:p w:rsidR="009866D1" w:rsidRDefault="009866D1" w:rsidP="00AC7FBD">
      <w:pPr>
        <w:rPr>
          <w:szCs w:val="22"/>
        </w:rPr>
      </w:pPr>
    </w:p>
    <w:p w:rsidR="009866D1" w:rsidRPr="009866D1" w:rsidRDefault="009866D1" w:rsidP="00AC7FBD">
      <w:pPr>
        <w:rPr>
          <w:sz w:val="20"/>
          <w:szCs w:val="20"/>
        </w:rPr>
      </w:pPr>
      <w:proofErr w:type="gramStart"/>
      <w:r w:rsidRPr="009866D1">
        <w:rPr>
          <w:b/>
          <w:bCs/>
          <w:sz w:val="20"/>
          <w:szCs w:val="20"/>
        </w:rPr>
        <w:t>Table 3.</w:t>
      </w:r>
      <w:proofErr w:type="gramEnd"/>
      <w:r w:rsidRPr="009866D1">
        <w:rPr>
          <w:sz w:val="20"/>
          <w:szCs w:val="20"/>
        </w:rPr>
        <w:t xml:space="preserve"> Sea trout smolt delay before passage through the tide gate structure in the River Meon, UK in year 1 (April 2011, pre orifice installation) and year 2 (April 2012, post orifice installation) and gate position when first detected at receiver 4 (immediately upstream of the tide gates).</w:t>
      </w:r>
    </w:p>
    <w:p w:rsidR="0080298A" w:rsidRDefault="0080298A" w:rsidP="00AC7FBD">
      <w:pPr>
        <w:rPr>
          <w:szCs w:val="22"/>
        </w:rPr>
      </w:pPr>
    </w:p>
    <w:tbl>
      <w:tblPr>
        <w:tblW w:w="7843" w:type="dxa"/>
        <w:tblInd w:w="93" w:type="dxa"/>
        <w:tblLook w:val="04A0" w:firstRow="1" w:lastRow="0" w:firstColumn="1" w:lastColumn="0" w:noHBand="0" w:noVBand="1"/>
      </w:tblPr>
      <w:tblGrid>
        <w:gridCol w:w="1018"/>
        <w:gridCol w:w="1525"/>
        <w:gridCol w:w="2420"/>
        <w:gridCol w:w="960"/>
        <w:gridCol w:w="960"/>
        <w:gridCol w:w="960"/>
      </w:tblGrid>
      <w:tr w:rsidR="0080298A" w:rsidRPr="0080298A" w:rsidTr="0080298A">
        <w:trPr>
          <w:trHeight w:val="300"/>
        </w:trPr>
        <w:tc>
          <w:tcPr>
            <w:tcW w:w="1018" w:type="dxa"/>
            <w:vMerge w:val="restart"/>
            <w:tcBorders>
              <w:top w:val="single" w:sz="4" w:space="0" w:color="auto"/>
              <w:left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Category</w:t>
            </w:r>
          </w:p>
        </w:tc>
        <w:tc>
          <w:tcPr>
            <w:tcW w:w="1525" w:type="dxa"/>
            <w:vMerge w:val="restart"/>
            <w:tcBorders>
              <w:top w:val="single" w:sz="4" w:space="0" w:color="auto"/>
              <w:left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Gate Position</w:t>
            </w:r>
          </w:p>
        </w:tc>
        <w:tc>
          <w:tcPr>
            <w:tcW w:w="2420" w:type="dxa"/>
            <w:vMerge w:val="restart"/>
            <w:tcBorders>
              <w:top w:val="single" w:sz="4" w:space="0" w:color="auto"/>
              <w:left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Delay Before Passage</w:t>
            </w:r>
          </w:p>
        </w:tc>
        <w:tc>
          <w:tcPr>
            <w:tcW w:w="960" w:type="dxa"/>
            <w:vMerge w:val="restart"/>
            <w:tcBorders>
              <w:top w:val="single" w:sz="4" w:space="0" w:color="auto"/>
              <w:left w:val="nil"/>
              <w:right w:val="nil"/>
            </w:tcBorders>
            <w:shd w:val="clear" w:color="auto" w:fill="auto"/>
            <w:noWrap/>
            <w:vAlign w:val="center"/>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Fig.</w:t>
            </w:r>
          </w:p>
        </w:tc>
        <w:tc>
          <w:tcPr>
            <w:tcW w:w="1920" w:type="dxa"/>
            <w:gridSpan w:val="2"/>
            <w:tcBorders>
              <w:top w:val="single" w:sz="4" w:space="0" w:color="auto"/>
              <w:left w:val="nil"/>
              <w:bottom w:val="single" w:sz="4" w:space="0" w:color="auto"/>
              <w:right w:val="nil"/>
            </w:tcBorders>
            <w:shd w:val="clear" w:color="auto" w:fill="auto"/>
            <w:noWrap/>
            <w:vAlign w:val="bottom"/>
            <w:hideMark/>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Number of Fish</w:t>
            </w:r>
          </w:p>
        </w:tc>
      </w:tr>
      <w:tr w:rsidR="0080298A" w:rsidRPr="0080298A" w:rsidTr="00A40FFA">
        <w:trPr>
          <w:trHeight w:val="330"/>
        </w:trPr>
        <w:tc>
          <w:tcPr>
            <w:tcW w:w="1018" w:type="dxa"/>
            <w:vMerge/>
            <w:tcBorders>
              <w:left w:val="nil"/>
              <w:bottom w:val="single" w:sz="4" w:space="0" w:color="auto"/>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p>
        </w:tc>
        <w:tc>
          <w:tcPr>
            <w:tcW w:w="1525" w:type="dxa"/>
            <w:vMerge/>
            <w:tcBorders>
              <w:left w:val="nil"/>
              <w:bottom w:val="single" w:sz="4" w:space="0" w:color="auto"/>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p>
        </w:tc>
        <w:tc>
          <w:tcPr>
            <w:tcW w:w="2420" w:type="dxa"/>
            <w:vMerge/>
            <w:tcBorders>
              <w:left w:val="nil"/>
              <w:bottom w:val="single" w:sz="4" w:space="0" w:color="auto"/>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p>
        </w:tc>
        <w:tc>
          <w:tcPr>
            <w:tcW w:w="960" w:type="dxa"/>
            <w:vMerge/>
            <w:tcBorders>
              <w:left w:val="nil"/>
              <w:bottom w:val="single" w:sz="4" w:space="0" w:color="auto"/>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p>
        </w:tc>
        <w:tc>
          <w:tcPr>
            <w:tcW w:w="960" w:type="dxa"/>
            <w:tcBorders>
              <w:top w:val="single" w:sz="4" w:space="0" w:color="auto"/>
              <w:left w:val="nil"/>
              <w:bottom w:val="single" w:sz="4" w:space="0" w:color="auto"/>
              <w:right w:val="nil"/>
            </w:tcBorders>
            <w:shd w:val="clear" w:color="auto" w:fill="auto"/>
            <w:noWrap/>
            <w:vAlign w:val="bottom"/>
            <w:hideMark/>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Year 1</w:t>
            </w:r>
          </w:p>
        </w:tc>
        <w:tc>
          <w:tcPr>
            <w:tcW w:w="960" w:type="dxa"/>
            <w:tcBorders>
              <w:top w:val="single" w:sz="4" w:space="0" w:color="auto"/>
              <w:left w:val="nil"/>
              <w:bottom w:val="single" w:sz="4" w:space="0" w:color="auto"/>
              <w:right w:val="nil"/>
            </w:tcBorders>
            <w:shd w:val="clear" w:color="auto" w:fill="auto"/>
            <w:noWrap/>
            <w:vAlign w:val="bottom"/>
            <w:hideMark/>
          </w:tcPr>
          <w:p w:rsidR="0080298A" w:rsidRPr="0080298A" w:rsidRDefault="0080298A" w:rsidP="0080298A">
            <w:pPr>
              <w:spacing w:line="240" w:lineRule="auto"/>
              <w:jc w:val="center"/>
              <w:rPr>
                <w:rFonts w:ascii="Calibri" w:hAnsi="Calibri" w:cs="Calibri"/>
                <w:color w:val="000000"/>
                <w:lang w:eastAsia="zh-CN"/>
              </w:rPr>
            </w:pPr>
            <w:r w:rsidRPr="0080298A">
              <w:rPr>
                <w:rFonts w:ascii="Calibri" w:hAnsi="Calibri" w:cs="Calibri"/>
                <w:color w:val="000000"/>
                <w:szCs w:val="22"/>
                <w:lang w:eastAsia="zh-CN"/>
              </w:rPr>
              <w:t>Year 2</w:t>
            </w:r>
          </w:p>
        </w:tc>
      </w:tr>
      <w:tr w:rsidR="0080298A" w:rsidRPr="0080298A" w:rsidTr="0080298A">
        <w:trPr>
          <w:trHeight w:val="330"/>
        </w:trPr>
        <w:tc>
          <w:tcPr>
            <w:tcW w:w="1018" w:type="dxa"/>
            <w:tcBorders>
              <w:top w:val="single" w:sz="4" w:space="0" w:color="auto"/>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1</w:t>
            </w:r>
          </w:p>
        </w:tc>
        <w:tc>
          <w:tcPr>
            <w:tcW w:w="1525" w:type="dxa"/>
            <w:tcBorders>
              <w:top w:val="single" w:sz="4" w:space="0" w:color="auto"/>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Open</w:t>
            </w:r>
          </w:p>
        </w:tc>
        <w:tc>
          <w:tcPr>
            <w:tcW w:w="2420" w:type="dxa"/>
            <w:tcBorders>
              <w:top w:val="single" w:sz="4" w:space="0" w:color="auto"/>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&lt; 1 h</w:t>
            </w:r>
          </w:p>
        </w:tc>
        <w:tc>
          <w:tcPr>
            <w:tcW w:w="960" w:type="dxa"/>
            <w:tcBorders>
              <w:top w:val="single" w:sz="4" w:space="0" w:color="auto"/>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4a</w:t>
            </w:r>
          </w:p>
        </w:tc>
        <w:tc>
          <w:tcPr>
            <w:tcW w:w="960" w:type="dxa"/>
            <w:tcBorders>
              <w:top w:val="single" w:sz="4" w:space="0" w:color="auto"/>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7</w:t>
            </w:r>
          </w:p>
        </w:tc>
        <w:tc>
          <w:tcPr>
            <w:tcW w:w="960" w:type="dxa"/>
            <w:tcBorders>
              <w:top w:val="single" w:sz="4" w:space="0" w:color="auto"/>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4</w:t>
            </w:r>
          </w:p>
        </w:tc>
      </w:tr>
      <w:tr w:rsidR="0080298A" w:rsidRPr="0080298A" w:rsidTr="001D5F3C">
        <w:trPr>
          <w:trHeight w:val="300"/>
        </w:trPr>
        <w:tc>
          <w:tcPr>
            <w:tcW w:w="1018"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2</w:t>
            </w:r>
          </w:p>
        </w:tc>
        <w:tc>
          <w:tcPr>
            <w:tcW w:w="1525" w:type="dxa"/>
            <w:tcBorders>
              <w:top w:val="nil"/>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Open</w:t>
            </w:r>
          </w:p>
        </w:tc>
        <w:tc>
          <w:tcPr>
            <w:tcW w:w="242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1 h to end of tidal cycle</w:t>
            </w:r>
          </w:p>
        </w:tc>
        <w:tc>
          <w:tcPr>
            <w:tcW w:w="96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4b</w:t>
            </w:r>
          </w:p>
        </w:tc>
        <w:tc>
          <w:tcPr>
            <w:tcW w:w="96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3</w:t>
            </w:r>
          </w:p>
        </w:tc>
        <w:tc>
          <w:tcPr>
            <w:tcW w:w="96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3</w:t>
            </w:r>
          </w:p>
        </w:tc>
      </w:tr>
      <w:tr w:rsidR="0080298A" w:rsidRPr="0080298A" w:rsidTr="001D5F3C">
        <w:trPr>
          <w:trHeight w:val="300"/>
        </w:trPr>
        <w:tc>
          <w:tcPr>
            <w:tcW w:w="1018"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3</w:t>
            </w:r>
          </w:p>
        </w:tc>
        <w:tc>
          <w:tcPr>
            <w:tcW w:w="1525" w:type="dxa"/>
            <w:tcBorders>
              <w:top w:val="nil"/>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Open</w:t>
            </w:r>
          </w:p>
        </w:tc>
        <w:tc>
          <w:tcPr>
            <w:tcW w:w="242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&gt; 1 tidal cycle</w:t>
            </w:r>
          </w:p>
        </w:tc>
        <w:tc>
          <w:tcPr>
            <w:tcW w:w="96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4c</w:t>
            </w:r>
          </w:p>
        </w:tc>
        <w:tc>
          <w:tcPr>
            <w:tcW w:w="96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4</w:t>
            </w:r>
          </w:p>
        </w:tc>
        <w:tc>
          <w:tcPr>
            <w:tcW w:w="96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14</w:t>
            </w:r>
          </w:p>
        </w:tc>
      </w:tr>
      <w:tr w:rsidR="0080298A" w:rsidRPr="0080298A" w:rsidTr="001D5F3C">
        <w:trPr>
          <w:trHeight w:val="300"/>
        </w:trPr>
        <w:tc>
          <w:tcPr>
            <w:tcW w:w="1018"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4</w:t>
            </w:r>
          </w:p>
        </w:tc>
        <w:tc>
          <w:tcPr>
            <w:tcW w:w="1525" w:type="dxa"/>
            <w:tcBorders>
              <w:top w:val="nil"/>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Closed</w:t>
            </w:r>
          </w:p>
        </w:tc>
        <w:tc>
          <w:tcPr>
            <w:tcW w:w="242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&lt; 1 h</w:t>
            </w:r>
          </w:p>
        </w:tc>
        <w:tc>
          <w:tcPr>
            <w:tcW w:w="96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4d</w:t>
            </w:r>
          </w:p>
        </w:tc>
        <w:tc>
          <w:tcPr>
            <w:tcW w:w="96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6</w:t>
            </w:r>
          </w:p>
        </w:tc>
        <w:tc>
          <w:tcPr>
            <w:tcW w:w="96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1</w:t>
            </w:r>
          </w:p>
        </w:tc>
      </w:tr>
      <w:tr w:rsidR="0080298A" w:rsidRPr="0080298A" w:rsidTr="001D5F3C">
        <w:trPr>
          <w:trHeight w:val="300"/>
        </w:trPr>
        <w:tc>
          <w:tcPr>
            <w:tcW w:w="1018"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5</w:t>
            </w:r>
          </w:p>
        </w:tc>
        <w:tc>
          <w:tcPr>
            <w:tcW w:w="1525" w:type="dxa"/>
            <w:tcBorders>
              <w:top w:val="nil"/>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Closed</w:t>
            </w:r>
          </w:p>
        </w:tc>
        <w:tc>
          <w:tcPr>
            <w:tcW w:w="242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1 h to end of tidal cycle</w:t>
            </w:r>
          </w:p>
        </w:tc>
        <w:tc>
          <w:tcPr>
            <w:tcW w:w="96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4e</w:t>
            </w:r>
          </w:p>
        </w:tc>
        <w:tc>
          <w:tcPr>
            <w:tcW w:w="96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2</w:t>
            </w:r>
          </w:p>
        </w:tc>
        <w:tc>
          <w:tcPr>
            <w:tcW w:w="960" w:type="dxa"/>
            <w:tcBorders>
              <w:top w:val="nil"/>
              <w:left w:val="nil"/>
              <w:bottom w:val="nil"/>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1</w:t>
            </w:r>
          </w:p>
        </w:tc>
      </w:tr>
      <w:tr w:rsidR="0080298A" w:rsidRPr="0080298A" w:rsidTr="0080298A">
        <w:trPr>
          <w:trHeight w:val="300"/>
        </w:trPr>
        <w:tc>
          <w:tcPr>
            <w:tcW w:w="1018" w:type="dxa"/>
            <w:tcBorders>
              <w:top w:val="nil"/>
              <w:left w:val="nil"/>
              <w:bottom w:val="single" w:sz="4" w:space="0" w:color="auto"/>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6</w:t>
            </w:r>
          </w:p>
        </w:tc>
        <w:tc>
          <w:tcPr>
            <w:tcW w:w="1525" w:type="dxa"/>
            <w:tcBorders>
              <w:top w:val="nil"/>
              <w:left w:val="nil"/>
              <w:bottom w:val="single" w:sz="4" w:space="0" w:color="auto"/>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Closed</w:t>
            </w:r>
          </w:p>
        </w:tc>
        <w:tc>
          <w:tcPr>
            <w:tcW w:w="2420" w:type="dxa"/>
            <w:tcBorders>
              <w:top w:val="nil"/>
              <w:left w:val="nil"/>
              <w:bottom w:val="single" w:sz="4" w:space="0" w:color="auto"/>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&gt; 1 tidal cycle</w:t>
            </w:r>
          </w:p>
        </w:tc>
        <w:tc>
          <w:tcPr>
            <w:tcW w:w="960" w:type="dxa"/>
            <w:tcBorders>
              <w:top w:val="nil"/>
              <w:left w:val="nil"/>
              <w:bottom w:val="single" w:sz="4" w:space="0" w:color="auto"/>
              <w:right w:val="nil"/>
            </w:tcBorders>
            <w:shd w:val="clear" w:color="auto" w:fill="auto"/>
            <w:noWrap/>
            <w:vAlign w:val="bottom"/>
            <w:hideMark/>
          </w:tcPr>
          <w:p w:rsidR="0080298A" w:rsidRPr="0080298A" w:rsidRDefault="0080298A" w:rsidP="0080298A">
            <w:pPr>
              <w:spacing w:line="240" w:lineRule="auto"/>
              <w:rPr>
                <w:rFonts w:ascii="Calibri" w:hAnsi="Calibri" w:cs="Calibri"/>
                <w:color w:val="000000"/>
                <w:lang w:eastAsia="zh-CN"/>
              </w:rPr>
            </w:pPr>
            <w:r w:rsidRPr="0080298A">
              <w:rPr>
                <w:rFonts w:ascii="Calibri" w:hAnsi="Calibri" w:cs="Calibri"/>
                <w:color w:val="000000"/>
                <w:szCs w:val="22"/>
                <w:lang w:eastAsia="zh-CN"/>
              </w:rPr>
              <w:t>4f</w:t>
            </w:r>
          </w:p>
        </w:tc>
        <w:tc>
          <w:tcPr>
            <w:tcW w:w="960" w:type="dxa"/>
            <w:tcBorders>
              <w:top w:val="nil"/>
              <w:left w:val="nil"/>
              <w:bottom w:val="single" w:sz="4" w:space="0" w:color="auto"/>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1</w:t>
            </w:r>
          </w:p>
        </w:tc>
        <w:tc>
          <w:tcPr>
            <w:tcW w:w="960" w:type="dxa"/>
            <w:tcBorders>
              <w:top w:val="nil"/>
              <w:left w:val="nil"/>
              <w:bottom w:val="single" w:sz="4" w:space="0" w:color="auto"/>
              <w:right w:val="nil"/>
            </w:tcBorders>
            <w:shd w:val="clear" w:color="auto" w:fill="auto"/>
            <w:noWrap/>
            <w:vAlign w:val="bottom"/>
            <w:hideMark/>
          </w:tcPr>
          <w:p w:rsidR="0080298A" w:rsidRPr="0080298A" w:rsidRDefault="0080298A" w:rsidP="0080298A">
            <w:pPr>
              <w:spacing w:line="240" w:lineRule="auto"/>
              <w:jc w:val="right"/>
              <w:rPr>
                <w:rFonts w:ascii="Calibri" w:hAnsi="Calibri" w:cs="Calibri"/>
                <w:color w:val="000000"/>
                <w:lang w:eastAsia="zh-CN"/>
              </w:rPr>
            </w:pPr>
            <w:r w:rsidRPr="0080298A">
              <w:rPr>
                <w:rFonts w:ascii="Calibri" w:hAnsi="Calibri" w:cs="Calibri"/>
                <w:color w:val="000000"/>
                <w:szCs w:val="22"/>
                <w:lang w:eastAsia="zh-CN"/>
              </w:rPr>
              <w:t>2</w:t>
            </w:r>
          </w:p>
        </w:tc>
      </w:tr>
    </w:tbl>
    <w:p w:rsidR="00C60A99" w:rsidRDefault="00C60A99" w:rsidP="00AC7FBD">
      <w:pPr>
        <w:rPr>
          <w:szCs w:val="22"/>
        </w:rPr>
      </w:pPr>
    </w:p>
    <w:p w:rsidR="00C60A99" w:rsidRDefault="00C60A99" w:rsidP="00AC7FBD">
      <w:pPr>
        <w:rPr>
          <w:szCs w:val="22"/>
        </w:rPr>
        <w:sectPr w:rsidR="00C60A99" w:rsidSect="001C0240">
          <w:headerReference w:type="default" r:id="rId11"/>
          <w:footerReference w:type="default" r:id="rId12"/>
          <w:pgSz w:w="11906" w:h="16838"/>
          <w:pgMar w:top="1701" w:right="1701" w:bottom="1701" w:left="1701" w:header="709" w:footer="709" w:gutter="0"/>
          <w:cols w:space="708"/>
          <w:docGrid w:linePitch="360"/>
        </w:sectPr>
      </w:pPr>
    </w:p>
    <w:p w:rsidR="00C60A99" w:rsidRDefault="00C60A99" w:rsidP="00C60A99">
      <w:pPr>
        <w:ind w:left="-142"/>
        <w:rPr>
          <w:szCs w:val="22"/>
        </w:rPr>
      </w:pPr>
      <w:r>
        <w:rPr>
          <w:rFonts w:eastAsiaTheme="minorEastAsia"/>
          <w:noProof/>
          <w:lang w:eastAsia="zh-CN"/>
        </w:rPr>
        <w:lastRenderedPageBreak/>
        <w:drawing>
          <wp:inline distT="0" distB="0" distL="0" distR="0" wp14:anchorId="2B60FBCA" wp14:editId="42A82D08">
            <wp:extent cx="2731135" cy="228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1135" cy="2286000"/>
                    </a:xfrm>
                    <a:prstGeom prst="rect">
                      <a:avLst/>
                    </a:prstGeom>
                    <a:noFill/>
                  </pic:spPr>
                </pic:pic>
              </a:graphicData>
            </a:graphic>
          </wp:inline>
        </w:drawing>
      </w:r>
      <w:r>
        <w:rPr>
          <w:rFonts w:eastAsiaTheme="minorEastAsia"/>
          <w:noProof/>
          <w:lang w:eastAsia="zh-CN"/>
        </w:rPr>
        <w:drawing>
          <wp:inline distT="0" distB="0" distL="0" distR="0" wp14:anchorId="16C7814B" wp14:editId="7EB7DC41">
            <wp:extent cx="2743200" cy="2286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2286000"/>
                    </a:xfrm>
                    <a:prstGeom prst="rect">
                      <a:avLst/>
                    </a:prstGeom>
                    <a:noFill/>
                  </pic:spPr>
                </pic:pic>
              </a:graphicData>
            </a:graphic>
          </wp:inline>
        </w:drawing>
      </w:r>
    </w:p>
    <w:p w:rsidR="00C60A99" w:rsidRPr="00152924" w:rsidRDefault="009866D1" w:rsidP="00152924">
      <w:pPr>
        <w:ind w:left="-142"/>
        <w:rPr>
          <w:szCs w:val="22"/>
        </w:rPr>
        <w:sectPr w:rsidR="00C60A99" w:rsidRPr="00152924" w:rsidSect="00152924">
          <w:pgSz w:w="11906" w:h="16838"/>
          <w:pgMar w:top="709" w:right="1701" w:bottom="993" w:left="1701" w:header="709" w:footer="709" w:gutter="0"/>
          <w:cols w:space="708"/>
          <w:docGrid w:linePitch="360"/>
        </w:sectPr>
      </w:pPr>
      <w:r>
        <w:rPr>
          <w:rFonts w:ascii="Century751 BT" w:eastAsiaTheme="minorEastAsia" w:hAnsi="Century751 BT"/>
          <w:b/>
          <w:bCs/>
          <w:noProof/>
          <w:lang w:eastAsia="zh-CN"/>
        </w:rPr>
        <mc:AlternateContent>
          <mc:Choice Requires="wps">
            <w:drawing>
              <wp:anchor distT="0" distB="0" distL="114300" distR="114300" simplePos="0" relativeHeight="251665408" behindDoc="0" locked="0" layoutInCell="1" allowOverlap="1" wp14:anchorId="36897784" wp14:editId="52BAD693">
                <wp:simplePos x="0" y="0"/>
                <wp:positionH relativeFrom="column">
                  <wp:posOffset>3996690</wp:posOffset>
                </wp:positionH>
                <wp:positionV relativeFrom="paragraph">
                  <wp:posOffset>2818765</wp:posOffset>
                </wp:positionV>
                <wp:extent cx="200025" cy="0"/>
                <wp:effectExtent l="0" t="0" r="9525" b="19050"/>
                <wp:wrapNone/>
                <wp:docPr id="15" name="Straight Connector 15"/>
                <wp:cNvGraphicFramePr/>
                <a:graphic xmlns:a="http://schemas.openxmlformats.org/drawingml/2006/main">
                  <a:graphicData uri="http://schemas.microsoft.com/office/word/2010/wordprocessingShape">
                    <wps:wsp>
                      <wps:cNvCnPr/>
                      <wps:spPr>
                        <a:xfrm flipV="1">
                          <a:off x="0" y="0"/>
                          <a:ext cx="200025" cy="0"/>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5"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7pt,221.95pt" to="330.45pt,2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" strokecolor="#a5a5a5 [2092]" strokeweight="1.5pt"/>
            </w:pict>
          </mc:Fallback>
        </mc:AlternateContent>
      </w:r>
      <w:r w:rsidRPr="00152924">
        <w:rPr>
          <w:rFonts w:ascii="Century751 BT" w:eastAsiaTheme="minorEastAsia" w:hAnsi="Century751 BT"/>
          <w:b/>
          <w:bCs/>
          <w:noProof/>
          <w:lang w:eastAsia="zh-CN"/>
        </w:rPr>
        <mc:AlternateContent>
          <mc:Choice Requires="wps">
            <w:drawing>
              <wp:anchor distT="0" distB="0" distL="114300" distR="114300" simplePos="0" relativeHeight="251663360" behindDoc="0" locked="0" layoutInCell="1" allowOverlap="1" wp14:anchorId="2A79E0C5" wp14:editId="20B0B7D7">
                <wp:simplePos x="0" y="0"/>
                <wp:positionH relativeFrom="column">
                  <wp:posOffset>2672715</wp:posOffset>
                </wp:positionH>
                <wp:positionV relativeFrom="paragraph">
                  <wp:posOffset>2209165</wp:posOffset>
                </wp:positionV>
                <wp:extent cx="3038475" cy="2438400"/>
                <wp:effectExtent l="0" t="0" r="9525"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2438400"/>
                        </a:xfrm>
                        <a:prstGeom prst="rect">
                          <a:avLst/>
                        </a:prstGeom>
                        <a:solidFill>
                          <a:srgbClr val="FFFFFF"/>
                        </a:solidFill>
                        <a:ln w="9525">
                          <a:noFill/>
                          <a:miter lim="800000"/>
                          <a:headEnd/>
                          <a:tailEnd/>
                        </a:ln>
                      </wps:spPr>
                      <wps:txbx>
                        <w:txbxContent>
                          <w:p w:rsidR="00152924" w:rsidRPr="009B1A83" w:rsidRDefault="00152924" w:rsidP="00152924">
                            <w:pPr>
                              <w:pStyle w:val="NoSpacing"/>
                            </w:pPr>
                            <w:proofErr w:type="gramStart"/>
                            <w:r w:rsidRPr="00152924">
                              <w:rPr>
                                <w:b/>
                                <w:bCs/>
                                <w:sz w:val="20"/>
                                <w:szCs w:val="20"/>
                              </w:rPr>
                              <w:t>Fig. 4.</w:t>
                            </w:r>
                            <w:proofErr w:type="gramEnd"/>
                            <w:r w:rsidRPr="00152924">
                              <w:rPr>
                                <w:sz w:val="20"/>
                                <w:szCs w:val="20"/>
                              </w:rPr>
                              <w:t xml:space="preserve"> Sea trout smolt movements (</w:t>
                            </w:r>
                            <w:r>
                              <w:rPr>
                                <w:sz w:val="20"/>
                                <w:szCs w:val="20"/>
                              </w:rPr>
                              <w:t xml:space="preserve"> </w:t>
                            </w:r>
                            <w:r w:rsidRPr="00152924">
                              <w:rPr>
                                <w:sz w:val="20"/>
                                <w:szCs w:val="20"/>
                              </w:rPr>
                              <w:t xml:space="preserve">  </w:t>
                            </w:r>
                            <w:r>
                              <w:rPr>
                                <w:sz w:val="20"/>
                                <w:szCs w:val="20"/>
                              </w:rPr>
                              <w:t xml:space="preserve">    </w:t>
                            </w:r>
                            <w:r w:rsidRPr="00152924">
                              <w:rPr>
                                <w:sz w:val="20"/>
                                <w:szCs w:val="20"/>
                              </w:rPr>
                              <w:t xml:space="preserve"> ) during approach to, and passage through, the top-hung tide gate structure in the lower River Meon, Hampshire, UK, during gate angles (  </w:t>
                            </w:r>
                            <w:r>
                              <w:rPr>
                                <w:sz w:val="20"/>
                                <w:szCs w:val="20"/>
                              </w:rPr>
                              <w:t xml:space="preserve">    </w:t>
                            </w:r>
                            <w:r w:rsidRPr="00152924">
                              <w:rPr>
                                <w:sz w:val="20"/>
                                <w:szCs w:val="20"/>
                              </w:rPr>
                              <w:t xml:space="preserve">  ) that vary with the tidal cycle. Smolt movement patterns were classified into 6 groups, each demonstrated by an individual fish: (a) minimal delay before passage (within 1 h) with gate open on approach to structure (detection at receiver 4); (b) intermediate delay (passage after 1 h and within the same tidal cycle) with gate open; (c) extensive delay (passage after more than one tidal cycle) with gate open; (d) no delay before passage with gate closed on approach; (e) intermediate delay before passage with gate closed; (f) extensive delay before passage with gate closed.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0.45pt;margin-top:173.95pt;width:239.25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" stroked="f">
                <v:textbox>
                  <w:txbxContent>
                    <w:p w:rsidR="00152924" w:rsidRPr="009B1A83" w:rsidRDefault="00152924" w:rsidP="00152924">
                      <w:pPr>
                        <w:pStyle w:val="NoSpacing"/>
                      </w:pPr>
                      <w:proofErr w:type="gramStart"/>
                      <w:r w:rsidRPr="00152924">
                        <w:rPr>
                          <w:b/>
                          <w:bCs/>
                          <w:sz w:val="20"/>
                          <w:szCs w:val="20"/>
                        </w:rPr>
                        <w:t>Fig. 4.</w:t>
                      </w:r>
                      <w:proofErr w:type="gramEnd"/>
                      <w:r w:rsidRPr="00152924">
                        <w:rPr>
                          <w:sz w:val="20"/>
                          <w:szCs w:val="20"/>
                        </w:rPr>
                        <w:t xml:space="preserve"> Sea trout smolt movements (</w:t>
                      </w:r>
                      <w:r>
                        <w:rPr>
                          <w:sz w:val="20"/>
                          <w:szCs w:val="20"/>
                        </w:rPr>
                        <w:t xml:space="preserve"> </w:t>
                      </w:r>
                      <w:r w:rsidRPr="00152924">
                        <w:rPr>
                          <w:sz w:val="20"/>
                          <w:szCs w:val="20"/>
                        </w:rPr>
                        <w:t xml:space="preserve">  </w:t>
                      </w:r>
                      <w:r>
                        <w:rPr>
                          <w:sz w:val="20"/>
                          <w:szCs w:val="20"/>
                        </w:rPr>
                        <w:t xml:space="preserve">    </w:t>
                      </w:r>
                      <w:r w:rsidRPr="00152924">
                        <w:rPr>
                          <w:sz w:val="20"/>
                          <w:szCs w:val="20"/>
                        </w:rPr>
                        <w:t xml:space="preserve"> ) during approach to, and passage through, the top-hung tide gate structure in the lower River Meon, Hampshire, UK, during gate angles (  </w:t>
                      </w:r>
                      <w:r>
                        <w:rPr>
                          <w:sz w:val="20"/>
                          <w:szCs w:val="20"/>
                        </w:rPr>
                        <w:t xml:space="preserve">    </w:t>
                      </w:r>
                      <w:r w:rsidRPr="00152924">
                        <w:rPr>
                          <w:sz w:val="20"/>
                          <w:szCs w:val="20"/>
                        </w:rPr>
                        <w:t xml:space="preserve">  ) that vary with the tidal cycle. Smolt movement patterns were classified into 6 groups, each demonstrated by an individual fish: (a) minimal delay before passage (within 1 h) with gate open on approach to structure (detection at receiver 4); (b) intermediate delay (passage after 1 h and within the same tidal cycle) with gate open; (c) extensive delay (passage after more than one tidal cycle) with gate open; (d) no delay before passage with gate closed on approach; (e) intermediate delay before passage with gate closed; (f) extensive delay before passage with gate closed.</w:t>
                      </w:r>
                    </w:p>
                  </w:txbxContent>
                </v:textbox>
              </v:shape>
            </w:pict>
          </mc:Fallback>
        </mc:AlternateContent>
      </w:r>
      <w:r w:rsidR="00152924">
        <w:rPr>
          <w:rFonts w:ascii="Century751 BT" w:eastAsiaTheme="minorEastAsia" w:hAnsi="Century751 BT"/>
          <w:b/>
          <w:bCs/>
          <w:noProof/>
          <w:lang w:eastAsia="zh-CN"/>
        </w:rPr>
        <mc:AlternateContent>
          <mc:Choice Requires="wps">
            <w:drawing>
              <wp:anchor distT="0" distB="0" distL="114300" distR="114300" simplePos="0" relativeHeight="251664384" behindDoc="0" locked="0" layoutInCell="1" allowOverlap="1" wp14:anchorId="0417EF7A" wp14:editId="254ADFF5">
                <wp:simplePos x="0" y="0"/>
                <wp:positionH relativeFrom="column">
                  <wp:posOffset>4615815</wp:posOffset>
                </wp:positionH>
                <wp:positionV relativeFrom="paragraph">
                  <wp:posOffset>2352040</wp:posOffset>
                </wp:positionV>
                <wp:extent cx="20955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2095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45pt,185.2pt" to="379.95pt,1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" strokecolor="black [3213]" strokeweight="1.5pt"/>
            </w:pict>
          </mc:Fallback>
        </mc:AlternateContent>
      </w:r>
      <w:r w:rsidR="00152924">
        <w:rPr>
          <w:rFonts w:eastAsiaTheme="minorEastAsia"/>
          <w:noProof/>
          <w:lang w:eastAsia="zh-CN"/>
        </w:rPr>
        <w:drawing>
          <wp:inline distT="0" distB="0" distL="0" distR="0" wp14:anchorId="2BC8A4E6" wp14:editId="4B6AE47F">
            <wp:extent cx="2731135" cy="229870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1135" cy="2298700"/>
                    </a:xfrm>
                    <a:prstGeom prst="rect">
                      <a:avLst/>
                    </a:prstGeom>
                    <a:noFill/>
                  </pic:spPr>
                </pic:pic>
              </a:graphicData>
            </a:graphic>
          </wp:inline>
        </w:drawing>
      </w:r>
      <w:r w:rsidR="00C60A99">
        <w:rPr>
          <w:rFonts w:eastAsiaTheme="minorEastAsia"/>
          <w:noProof/>
          <w:lang w:eastAsia="zh-CN"/>
        </w:rPr>
        <w:drawing>
          <wp:inline distT="0" distB="0" distL="0" distR="0" wp14:anchorId="5ECCA6EA" wp14:editId="6C2C437C">
            <wp:extent cx="2731135" cy="2286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31135" cy="2286000"/>
                    </a:xfrm>
                    <a:prstGeom prst="rect">
                      <a:avLst/>
                    </a:prstGeom>
                    <a:noFill/>
                  </pic:spPr>
                </pic:pic>
              </a:graphicData>
            </a:graphic>
          </wp:inline>
        </w:drawing>
      </w:r>
      <w:r w:rsidR="00C60A99">
        <w:rPr>
          <w:rFonts w:eastAsiaTheme="minorEastAsia"/>
          <w:noProof/>
          <w:lang w:eastAsia="zh-CN"/>
        </w:rPr>
        <w:drawing>
          <wp:inline distT="0" distB="0" distL="0" distR="0" wp14:anchorId="7925DC23" wp14:editId="3C7B20BA">
            <wp:extent cx="2743200" cy="2286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2286000"/>
                    </a:xfrm>
                    <a:prstGeom prst="rect">
                      <a:avLst/>
                    </a:prstGeom>
                    <a:noFill/>
                  </pic:spPr>
                </pic:pic>
              </a:graphicData>
            </a:graphic>
          </wp:inline>
        </w:drawing>
      </w:r>
      <w:r w:rsidR="00152924">
        <w:rPr>
          <w:rFonts w:eastAsiaTheme="minorEastAsia"/>
          <w:noProof/>
          <w:lang w:eastAsia="zh-CN"/>
        </w:rPr>
        <w:drawing>
          <wp:inline distT="0" distB="0" distL="0" distR="0" wp14:anchorId="6E22FA36" wp14:editId="4EE5CA46">
            <wp:extent cx="4913630" cy="2273935"/>
            <wp:effectExtent l="0" t="0" r="127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3630" cy="2273935"/>
                    </a:xfrm>
                    <a:prstGeom prst="rect">
                      <a:avLst/>
                    </a:prstGeom>
                    <a:noFill/>
                  </pic:spPr>
                </pic:pic>
              </a:graphicData>
            </a:graphic>
          </wp:inline>
        </w:drawing>
      </w:r>
    </w:p>
    <w:p w:rsidR="00A92636" w:rsidRPr="00A51ACF" w:rsidRDefault="00A92636" w:rsidP="00F60862">
      <w:pPr>
        <w:pStyle w:val="Heading2"/>
        <w:rPr>
          <w:szCs w:val="22"/>
        </w:rPr>
      </w:pPr>
      <w:r w:rsidRPr="007A5A20">
        <w:lastRenderedPageBreak/>
        <w:t>4. Discussion</w:t>
      </w:r>
    </w:p>
    <w:p w:rsidR="00A92636" w:rsidRDefault="00A92636" w:rsidP="00525E94"/>
    <w:p w:rsidR="00A92636" w:rsidRDefault="00A92636" w:rsidP="00525E94">
      <w:r w:rsidRPr="00301D9B">
        <w:t xml:space="preserve">Although tide gates are used worldwide (e.g. Belgium, Mouton et al., 2011; North America, </w:t>
      </w:r>
      <w:proofErr w:type="spellStart"/>
      <w:r w:rsidRPr="00301D9B">
        <w:t>Giannico</w:t>
      </w:r>
      <w:proofErr w:type="spellEnd"/>
      <w:r w:rsidRPr="00301D9B">
        <w:t xml:space="preserve"> and Souder, 2005; Australia, Kroon and Ansell, 2006; New</w:t>
      </w:r>
      <w:r>
        <w:t xml:space="preserve"> Zealand, </w:t>
      </w:r>
      <w:proofErr w:type="spellStart"/>
      <w:r>
        <w:t>Doehring</w:t>
      </w:r>
      <w:proofErr w:type="spellEnd"/>
      <w:r>
        <w:t xml:space="preserve"> et al., 2011</w:t>
      </w:r>
      <w:r w:rsidRPr="00301D9B">
        <w:t xml:space="preserve">), </w:t>
      </w:r>
      <w:r w:rsidRPr="00F74219">
        <w:t>this study is the first to quantify their impact on diadromous fish passage</w:t>
      </w:r>
      <w:r>
        <w:t xml:space="preserve"> </w:t>
      </w:r>
      <w:r w:rsidRPr="00307867">
        <w:t>efficiency and delay</w:t>
      </w:r>
      <w:r>
        <w:t>.  While p</w:t>
      </w:r>
      <w:r w:rsidRPr="00301D9B">
        <w:t>assage efficiency was hig</w:t>
      </w:r>
      <w:r>
        <w:t xml:space="preserve">h in both years (95.8% - 100.0%), sea trout smolts experienced considerable delay at the tide gates, </w:t>
      </w:r>
      <w:r w:rsidRPr="00F91D8B">
        <w:t>and this was not reduced by installation of orifices designed to increase fluvial connectivity.</w:t>
      </w:r>
    </w:p>
    <w:p w:rsidR="00A92636" w:rsidRDefault="00A92636" w:rsidP="00525E94"/>
    <w:p w:rsidR="00A92636" w:rsidRDefault="00A92636" w:rsidP="00160343">
      <w:r>
        <w:t xml:space="preserve">Mitigation of obstructions to fish passage is a key fisheries management challenge </w:t>
      </w:r>
      <w:r>
        <w:rPr>
          <w:noProof/>
        </w:rPr>
        <w:t>(Kemp and O'Hanley, 2010)</w:t>
      </w:r>
      <w:r w:rsidRPr="009455E0">
        <w:t>. While evaluation of the effectiveness of various mitigation measures, i.e. different fish pass and screen designs, are relatively common</w:t>
      </w:r>
      <w:r>
        <w:t xml:space="preserve"> (e.g. Noonan et al., 2012)</w:t>
      </w:r>
      <w:r w:rsidRPr="009455E0">
        <w:t xml:space="preserve">, the impact of unmitigated infrastructure </w:t>
      </w:r>
      <w:r>
        <w:t xml:space="preserve">on downstream salmonid migration </w:t>
      </w:r>
      <w:r w:rsidRPr="009455E0">
        <w:t xml:space="preserve">is seldom quantified </w:t>
      </w:r>
      <w:r w:rsidRPr="00962512">
        <w:t xml:space="preserve">(see </w:t>
      </w:r>
      <w:proofErr w:type="spellStart"/>
      <w:r w:rsidRPr="00962512">
        <w:t>Aarestrup</w:t>
      </w:r>
      <w:proofErr w:type="spellEnd"/>
      <w:r w:rsidRPr="00962512">
        <w:t xml:space="preserve"> and </w:t>
      </w:r>
      <w:proofErr w:type="spellStart"/>
      <w:r w:rsidRPr="00962512">
        <w:t>Koed</w:t>
      </w:r>
      <w:proofErr w:type="spellEnd"/>
      <w:r w:rsidRPr="00962512">
        <w:t>, 2003, for an exception</w:t>
      </w:r>
      <w:r>
        <w:t xml:space="preserve">).  </w:t>
      </w:r>
      <w:r w:rsidRPr="000B2FFC">
        <w:t>Instead, assumptions of impact tend to be accepted based on anecdote or broad scale qualitative observation of changes in abundance and diversity of target species.  In this study, the passage efficiency at temporal barriers to fish migration created by tide gates was high.</w:t>
      </w:r>
      <w:r w:rsidRPr="007501D2">
        <w:t xml:space="preserve">  </w:t>
      </w:r>
    </w:p>
    <w:p w:rsidR="00A92636" w:rsidRDefault="00A92636" w:rsidP="00525E94"/>
    <w:p w:rsidR="00A92636" w:rsidRPr="00DD4EA9" w:rsidRDefault="00A92636" w:rsidP="00160343">
      <w:pPr>
        <w:rPr>
          <w:highlight w:val="lightGray"/>
        </w:rPr>
      </w:pPr>
      <w:r w:rsidRPr="007501D2">
        <w:t xml:space="preserve">Passage via small-scale weirs and sluices at dams may represent an appropriate analogue with which to compare the results obtained, although comprehensive quantification of these structures is </w:t>
      </w:r>
      <w:r>
        <w:t xml:space="preserve">also </w:t>
      </w:r>
      <w:r w:rsidRPr="007501D2">
        <w:t xml:space="preserve">scarce.  Where such studies have been conducted, passage efficiencies </w:t>
      </w:r>
      <w:r>
        <w:t>are variable.  For example, a</w:t>
      </w:r>
      <w:r w:rsidRPr="007501D2">
        <w:t xml:space="preserve">t the </w:t>
      </w:r>
      <w:proofErr w:type="spellStart"/>
      <w:r w:rsidRPr="007501D2">
        <w:t>Hunderfossen</w:t>
      </w:r>
      <w:proofErr w:type="spellEnd"/>
      <w:r w:rsidRPr="007501D2">
        <w:t xml:space="preserve"> dam in south-east Norway, 100% of radio tagged hatchery-reared sea trout smolts passed via bottom and surface release spill gates</w:t>
      </w:r>
      <w:r>
        <w:t xml:space="preserve"> </w:t>
      </w:r>
      <w:r>
        <w:rPr>
          <w:noProof/>
        </w:rPr>
        <w:t>(Arnekleiv et al., 2007)</w:t>
      </w:r>
      <w:r w:rsidRPr="007501D2">
        <w:t xml:space="preserve">.  For wild and stocked sea trout smolts, </w:t>
      </w:r>
      <w:r w:rsidRPr="00971D28">
        <w:t>respectively,</w:t>
      </w:r>
      <w:r w:rsidRPr="007501D2">
        <w:t xml:space="preserve"> the passage effici</w:t>
      </w:r>
      <w:r>
        <w:t>encies of low-head weirs ranged from 46</w:t>
      </w:r>
      <w:r w:rsidRPr="007501D2">
        <w:t xml:space="preserve"> to 90% (low flows) and 92 to 100% (standard flows) on the River Tweed, UK </w:t>
      </w:r>
      <w:r>
        <w:rPr>
          <w:noProof/>
        </w:rPr>
        <w:t>(Gauld et al., 2013)</w:t>
      </w:r>
      <w:r>
        <w:t xml:space="preserve">, and </w:t>
      </w:r>
      <w:r w:rsidRPr="00296174">
        <w:t>29 to 82%</w:t>
      </w:r>
      <w:r>
        <w:t xml:space="preserve"> for stocked sea trout smolts </w:t>
      </w:r>
      <w:r w:rsidRPr="007501D2">
        <w:t xml:space="preserve">in two Danish rivers </w:t>
      </w:r>
      <w:r>
        <w:rPr>
          <w:noProof/>
        </w:rPr>
        <w:t>(Aarestrup and Koed, 2003)</w:t>
      </w:r>
      <w:r w:rsidRPr="007501D2">
        <w:t xml:space="preserve">.  </w:t>
      </w:r>
      <w:r>
        <w:t xml:space="preserve">Even fewer studies </w:t>
      </w:r>
      <w:r w:rsidRPr="007501D2">
        <w:t>consider salmonid passage efficiency at temporal estuarine barriers.  In one example</w:t>
      </w:r>
      <w:r>
        <w:t>,</w:t>
      </w:r>
      <w:r w:rsidRPr="007501D2">
        <w:t xml:space="preserve"> 100% (1994) and 78.3% (1995) of Atlantic salmon, </w:t>
      </w:r>
      <w:proofErr w:type="spellStart"/>
      <w:r w:rsidRPr="0095359B">
        <w:rPr>
          <w:i/>
          <w:iCs/>
        </w:rPr>
        <w:t>Salmo</w:t>
      </w:r>
      <w:proofErr w:type="spellEnd"/>
      <w:r w:rsidRPr="0095359B">
        <w:rPr>
          <w:i/>
          <w:iCs/>
        </w:rPr>
        <w:t xml:space="preserve"> </w:t>
      </w:r>
      <w:proofErr w:type="spellStart"/>
      <w:r w:rsidRPr="0095359B">
        <w:rPr>
          <w:i/>
          <w:iCs/>
        </w:rPr>
        <w:t>salar</w:t>
      </w:r>
      <w:proofErr w:type="spellEnd"/>
      <w:r w:rsidRPr="007501D2">
        <w:t>, and sea trout smolt</w:t>
      </w:r>
      <w:r>
        <w:t>s passed the Tawe barrage,</w:t>
      </w:r>
      <w:r w:rsidRPr="007501D2">
        <w:t xml:space="preserve"> UK </w:t>
      </w:r>
      <w:r>
        <w:rPr>
          <w:noProof/>
        </w:rPr>
        <w:t>(Moore et al., 1996)</w:t>
      </w:r>
      <w:r w:rsidRPr="007501D2">
        <w:t>.  As with tide gates, opportunities for fish to pass the barrage vi</w:t>
      </w:r>
      <w:r>
        <w:t xml:space="preserve">a a navigation lock or over </w:t>
      </w:r>
      <w:r w:rsidRPr="007501D2">
        <w:t>weirs and a fish pass</w:t>
      </w:r>
      <w:r>
        <w:t xml:space="preserve"> </w:t>
      </w:r>
      <w:r w:rsidRPr="007501D2">
        <w:t xml:space="preserve">were intermittent.   </w:t>
      </w:r>
      <w:r w:rsidRPr="000B2FFC">
        <w:t>The high passa</w:t>
      </w:r>
      <w:r>
        <w:t xml:space="preserve">ge efficiencies recorded in the current </w:t>
      </w:r>
      <w:r w:rsidRPr="000B2FFC">
        <w:t>study may to some extent be explained by the relatively large mean aperture</w:t>
      </w:r>
      <w:r>
        <w:t>s</w:t>
      </w:r>
      <w:r w:rsidRPr="000B2FFC">
        <w:t xml:space="preserve"> </w:t>
      </w:r>
      <w:r>
        <w:t xml:space="preserve">of the gates </w:t>
      </w:r>
      <w:r w:rsidRPr="000B2FFC">
        <w:t xml:space="preserve">when </w:t>
      </w:r>
      <w:r w:rsidRPr="000B2FFC">
        <w:lastRenderedPageBreak/>
        <w:t xml:space="preserve">open (42 - 45 </w:t>
      </w:r>
      <w:r w:rsidRPr="000B2FFC">
        <w:rPr>
          <w:vertAlign w:val="superscript"/>
        </w:rPr>
        <w:t>o</w:t>
      </w:r>
      <w:r w:rsidRPr="000B2FFC">
        <w:t>).  Lower passage efficiencies may be expected for alternative tide gate designs, including other top-hung gates that only open wide during the early stages of the ebb tide.</w:t>
      </w:r>
      <w:r w:rsidRPr="007501D2">
        <w:t xml:space="preserve">   </w:t>
      </w:r>
    </w:p>
    <w:p w:rsidR="00A92636" w:rsidRDefault="00A92636" w:rsidP="00525E94"/>
    <w:p w:rsidR="00A92636" w:rsidRDefault="00A92636" w:rsidP="00160343">
      <w:r w:rsidRPr="00BB585B">
        <w:t>Despite high passage efficiency, smolts were substantially delayed at the tide gates.  The tempora</w:t>
      </w:r>
      <w:r>
        <w:t xml:space="preserve">l functioning of the gates </w:t>
      </w:r>
      <w:r w:rsidRPr="00BB585B">
        <w:t>exerted the greatest influence on speed of migration in both the upstream control and treatment reaches</w:t>
      </w:r>
      <w:r>
        <w:t>.</w:t>
      </w:r>
      <w:r w:rsidRPr="00BB585B">
        <w:t xml:space="preserve"> </w:t>
      </w:r>
      <w:r>
        <w:t xml:space="preserve"> Tide gates physically </w:t>
      </w:r>
      <w:r w:rsidRPr="00BB585B">
        <w:t>block the movement of fish when closed</w:t>
      </w:r>
      <w:r>
        <w:t xml:space="preserve"> whilst </w:t>
      </w:r>
      <w:r w:rsidRPr="00BB585B">
        <w:t>modify</w:t>
      </w:r>
      <w:r>
        <w:t>ing</w:t>
      </w:r>
      <w:r w:rsidRPr="00BB585B">
        <w:t xml:space="preserve"> tidal migratory cues </w:t>
      </w:r>
      <w:r>
        <w:rPr>
          <w:noProof/>
        </w:rPr>
        <w:t>(Russell et al., 1998)</w:t>
      </w:r>
      <w:r w:rsidRPr="00BB585B">
        <w:t xml:space="preserve">, flow velocities, and thermal and salinity gradients </w:t>
      </w:r>
      <w:r>
        <w:rPr>
          <w:noProof/>
        </w:rPr>
        <w:t>(Giannico and Souder, 2005)</w:t>
      </w:r>
      <w:r w:rsidRPr="00BB585B">
        <w:t xml:space="preserve">, all of which may </w:t>
      </w:r>
      <w:r>
        <w:t>influence speed of migration.</w:t>
      </w:r>
      <w:r w:rsidRPr="00BB585B">
        <w:t xml:space="preserve">  Changes in flow regimes </w:t>
      </w:r>
      <w:r>
        <w:rPr>
          <w:noProof/>
        </w:rPr>
        <w:t>(Arnell, 2004)</w:t>
      </w:r>
      <w:r w:rsidRPr="00BB585B">
        <w:t xml:space="preserve">, increasing demand for abstraction </w:t>
      </w:r>
      <w:r>
        <w:rPr>
          <w:noProof/>
        </w:rPr>
        <w:t>(Weatherhead and Knox, 2000; Wilby et al., 2006)</w:t>
      </w:r>
      <w:r w:rsidRPr="00BB585B">
        <w:t xml:space="preserve">, and sea level rise </w:t>
      </w:r>
      <w:r>
        <w:rPr>
          <w:noProof/>
        </w:rPr>
        <w:t>(Nicholls et al., 1999)</w:t>
      </w:r>
      <w:r w:rsidRPr="00BB585B">
        <w:t xml:space="preserve"> will likely cause tide gates to remain closed for longer in the future.  </w:t>
      </w:r>
    </w:p>
    <w:p w:rsidR="00A92636" w:rsidRDefault="00A92636" w:rsidP="00525E94"/>
    <w:p w:rsidR="00A92636" w:rsidRDefault="00A92636" w:rsidP="00160343">
      <w:r w:rsidRPr="006257BD">
        <w:t xml:space="preserve">Speed of migration </w:t>
      </w:r>
      <w:r>
        <w:t>in the present study</w:t>
      </w:r>
      <w:r w:rsidRPr="006257BD">
        <w:t xml:space="preserve"> was greater at night, supporting the results of a number of </w:t>
      </w:r>
      <w:r>
        <w:t xml:space="preserve">smolt </w:t>
      </w:r>
      <w:r w:rsidRPr="006257BD">
        <w:t>studies (</w:t>
      </w:r>
      <w:r>
        <w:t xml:space="preserve">e.g. sea trout, </w:t>
      </w:r>
      <w:r w:rsidRPr="006257BD">
        <w:t>Moore et al., 1998</w:t>
      </w:r>
      <w:r>
        <w:t>;</w:t>
      </w:r>
      <w:r w:rsidRPr="00C9129A">
        <w:t xml:space="preserve"> </w:t>
      </w:r>
      <w:r>
        <w:t xml:space="preserve">Atlantic salmon, </w:t>
      </w:r>
      <w:proofErr w:type="spellStart"/>
      <w:r>
        <w:t>Thorstad</w:t>
      </w:r>
      <w:proofErr w:type="spellEnd"/>
      <w:r>
        <w:t xml:space="preserve"> et al., 2012</w:t>
      </w:r>
      <w:r w:rsidRPr="006257BD">
        <w:t xml:space="preserve">).  </w:t>
      </w:r>
      <w:r>
        <w:t>It is proposed that n</w:t>
      </w:r>
      <w:r w:rsidRPr="006257BD">
        <w:t>octurnal migration may be an adaptive strategy to avoid visual pr</w:t>
      </w:r>
      <w:r>
        <w:t xml:space="preserve">edators </w:t>
      </w:r>
      <w:r>
        <w:rPr>
          <w:noProof/>
        </w:rPr>
        <w:t>(McCormick et al., 1998)</w:t>
      </w:r>
      <w:r w:rsidRPr="006257BD">
        <w:t xml:space="preserve"> and UV radiation damage </w:t>
      </w:r>
      <w:r>
        <w:rPr>
          <w:noProof/>
        </w:rPr>
        <w:t>(Zagarese and Williamson, 2001)</w:t>
      </w:r>
      <w:r w:rsidRPr="006257BD">
        <w:t xml:space="preserve"> in the absence of increased water depths and turbidity.  A number of fish that approached closed tide gates at night were delayed until they </w:t>
      </w:r>
      <w:r>
        <w:t>were able to subsequently pass</w:t>
      </w:r>
      <w:r w:rsidRPr="006257BD">
        <w:t xml:space="preserve"> the open structures </w:t>
      </w:r>
      <w:r>
        <w:t>the following day.</w:t>
      </w:r>
    </w:p>
    <w:p w:rsidR="00A92636" w:rsidRDefault="00A92636" w:rsidP="00525E94"/>
    <w:p w:rsidR="00A92636" w:rsidRDefault="00A92636" w:rsidP="00160343">
      <w:r w:rsidRPr="006257BD">
        <w:t xml:space="preserve">Even when tide gates were open, the majority of smolts did not pass immediately, reflecting the influence of migratory behaviour.  Salmonid smolts actively avoid continuous overhead cover </w:t>
      </w:r>
      <w:r>
        <w:rPr>
          <w:noProof/>
        </w:rPr>
        <w:t xml:space="preserve">(Greenberg </w:t>
      </w:r>
      <w:r w:rsidR="00F60862">
        <w:rPr>
          <w:noProof/>
        </w:rPr>
        <w:t>et al., 2012; Kemp et al., 2005a</w:t>
      </w:r>
      <w:r>
        <w:rPr>
          <w:noProof/>
        </w:rPr>
        <w:t>)</w:t>
      </w:r>
      <w:r w:rsidRPr="006257BD">
        <w:t xml:space="preserve"> and accelerating flow </w:t>
      </w:r>
      <w:r>
        <w:rPr>
          <w:noProof/>
        </w:rPr>
        <w:t xml:space="preserve">(Haro </w:t>
      </w:r>
      <w:r w:rsidR="00F60862">
        <w:rPr>
          <w:noProof/>
        </w:rPr>
        <w:t>et al., 1998; Kemp et al., 2005b</w:t>
      </w:r>
      <w:r>
        <w:rPr>
          <w:noProof/>
        </w:rPr>
        <w:t>)</w:t>
      </w:r>
      <w:r>
        <w:t>,</w:t>
      </w:r>
      <w:r w:rsidRPr="006257BD">
        <w:t xml:space="preserve"> features commonly created at tide gates.  Further, larger scale site specific characteristics may have been influential.  Changes in direction of flow and water levels, as the tide gates open and close, may have the potential to cause disorientation.    </w:t>
      </w:r>
    </w:p>
    <w:p w:rsidR="00A92636" w:rsidRDefault="00A92636" w:rsidP="00525E94"/>
    <w:p w:rsidR="00A92636" w:rsidRDefault="00A92636" w:rsidP="00160343">
      <w:r w:rsidRPr="006257BD">
        <w:t xml:space="preserve">Delay can have a number of negative impacts, such as increasing predation risk, particularly from piscivorous birds </w:t>
      </w:r>
      <w:r>
        <w:rPr>
          <w:noProof/>
        </w:rPr>
        <w:t>(Koed et al., 2006; McKay et al., 2003; Stewart et al., 2005)</w:t>
      </w:r>
      <w:r w:rsidRPr="006257BD">
        <w:t xml:space="preserve"> such as those which inhabit Titchfield Haven Nature Reserve</w:t>
      </w:r>
      <w:r>
        <w:t>.  Delay can</w:t>
      </w:r>
      <w:r w:rsidRPr="006257BD">
        <w:t xml:space="preserve"> also increase energy expenditure </w:t>
      </w:r>
      <w:r>
        <w:rPr>
          <w:noProof/>
        </w:rPr>
        <w:t>(Congleton et al., 2002)</w:t>
      </w:r>
      <w:r w:rsidR="00924524">
        <w:rPr>
          <w:noProof/>
        </w:rPr>
        <w:t>,</w:t>
      </w:r>
      <w:r>
        <w:t xml:space="preserve"> </w:t>
      </w:r>
      <w:r w:rsidRPr="00307867">
        <w:t xml:space="preserve">susceptibility to disease </w:t>
      </w:r>
      <w:r w:rsidRPr="00307867">
        <w:rPr>
          <w:noProof/>
        </w:rPr>
        <w:t>(Plumb et al., 2006)</w:t>
      </w:r>
      <w:r w:rsidRPr="00307867">
        <w:t>,</w:t>
      </w:r>
      <w:r>
        <w:t xml:space="preserve"> </w:t>
      </w:r>
      <w:r w:rsidRPr="006257BD">
        <w:t xml:space="preserve">and cause mismatch </w:t>
      </w:r>
      <w:r w:rsidRPr="00643543">
        <w:t>between the onset of oceanic feeding and productivity</w:t>
      </w:r>
      <w:r w:rsidRPr="006257BD">
        <w:t xml:space="preserve"> </w:t>
      </w:r>
      <w:r>
        <w:rPr>
          <w:noProof/>
        </w:rPr>
        <w:t>(Jonsson and Jonsson, 2004)</w:t>
      </w:r>
      <w:r w:rsidR="00924524">
        <w:rPr>
          <w:noProof/>
        </w:rPr>
        <w:t>,</w:t>
      </w:r>
      <w:r w:rsidRPr="006257BD">
        <w:t xml:space="preserve"> decreasing post smolt survival </w:t>
      </w:r>
      <w:r>
        <w:rPr>
          <w:noProof/>
        </w:rPr>
        <w:t>(Budy et al., 2002)</w:t>
      </w:r>
      <w:r w:rsidRPr="006257BD">
        <w:t>.</w:t>
      </w:r>
    </w:p>
    <w:p w:rsidR="00A92636" w:rsidRDefault="00A92636" w:rsidP="00525E94"/>
    <w:p w:rsidR="00A92636" w:rsidRDefault="00A92636" w:rsidP="00D9571B">
      <w:r w:rsidRPr="006257BD">
        <w:t>Modification of tide gates through installation o</w:t>
      </w:r>
      <w:r>
        <w:t xml:space="preserve">f the orifices did not </w:t>
      </w:r>
      <w:r w:rsidR="003B56CC">
        <w:t>in</w:t>
      </w:r>
      <w:r>
        <w:t>crease speed of migration</w:t>
      </w:r>
      <w:r w:rsidR="00924524">
        <w:t>.</w:t>
      </w:r>
      <w:r w:rsidR="00E879FF">
        <w:t xml:space="preserve">  However, river discharge </w:t>
      </w:r>
      <w:r w:rsidR="00D9571B">
        <w:t>varied between years</w:t>
      </w:r>
      <w:r w:rsidR="00E879FF" w:rsidRPr="00725C7F">
        <w:t>,</w:t>
      </w:r>
      <w:r w:rsidR="00E879FF">
        <w:t xml:space="preserve"> and therefore further assessment should be carried out to </w:t>
      </w:r>
      <w:r w:rsidR="00D9571B">
        <w:t>establish the orifices’ impact under a</w:t>
      </w:r>
      <w:r w:rsidR="00E879FF">
        <w:t xml:space="preserve"> wider range of hydrological conditions.  </w:t>
      </w:r>
      <w:r w:rsidR="00F91D8B">
        <w:t>S</w:t>
      </w:r>
      <w:r w:rsidRPr="006257BD">
        <w:t>aline intrusion upstream of the gates</w:t>
      </w:r>
      <w:r>
        <w:t xml:space="preserve"> was high</w:t>
      </w:r>
      <w:r w:rsidRPr="006257BD">
        <w:t xml:space="preserve"> post modification.  Enhanced opportunity for </w:t>
      </w:r>
      <w:r>
        <w:t>g</w:t>
      </w:r>
      <w:r w:rsidRPr="006257BD">
        <w:t xml:space="preserve">radual acclimation to sea water </w:t>
      </w:r>
      <w:r>
        <w:t>upstream of tide gates will likely be</w:t>
      </w:r>
      <w:r w:rsidRPr="006257BD">
        <w:t xml:space="preserve"> advantage</w:t>
      </w:r>
      <w:r>
        <w:t>ous, reducing the potential for osmotic shock when</w:t>
      </w:r>
      <w:r w:rsidRPr="006257BD">
        <w:t xml:space="preserve"> encountering an abrupt salinity transition, </w:t>
      </w:r>
      <w:r>
        <w:t xml:space="preserve">a </w:t>
      </w:r>
      <w:r w:rsidRPr="006257BD">
        <w:t>condition that may reduce swimmin</w:t>
      </w:r>
      <w:r>
        <w:t xml:space="preserve">g </w:t>
      </w:r>
      <w:r w:rsidRPr="00AB331F">
        <w:t>performance</w:t>
      </w:r>
      <w:r>
        <w:t xml:space="preserve"> (</w:t>
      </w:r>
      <w:proofErr w:type="spellStart"/>
      <w:r>
        <w:t>Brauner</w:t>
      </w:r>
      <w:proofErr w:type="spellEnd"/>
      <w:r>
        <w:t xml:space="preserve"> et al., 1992, 1994)</w:t>
      </w:r>
      <w:r w:rsidRPr="004D0EF2">
        <w:t>,</w:t>
      </w:r>
      <w:r>
        <w:t xml:space="preserve"> ability to </w:t>
      </w:r>
      <w:r w:rsidRPr="006257BD">
        <w:t>evade predators</w:t>
      </w:r>
      <w:r>
        <w:t xml:space="preserve"> </w:t>
      </w:r>
      <w:r>
        <w:rPr>
          <w:noProof/>
        </w:rPr>
        <w:t>(Handeland et al., 1996)</w:t>
      </w:r>
      <w:r>
        <w:t xml:space="preserve"> </w:t>
      </w:r>
      <w:r w:rsidRPr="000B3A9E">
        <w:t xml:space="preserve">and overall survival </w:t>
      </w:r>
      <w:r>
        <w:rPr>
          <w:noProof/>
        </w:rPr>
        <w:t>(Otto, 1971)</w:t>
      </w:r>
      <w:r w:rsidRPr="000B3A9E">
        <w:t>.</w:t>
      </w:r>
    </w:p>
    <w:p w:rsidR="00A92636" w:rsidRDefault="00A92636" w:rsidP="00525E94"/>
    <w:p w:rsidR="00A92636" w:rsidRPr="007A5A20" w:rsidRDefault="00A92636" w:rsidP="00F60862">
      <w:pPr>
        <w:pStyle w:val="Heading3"/>
      </w:pPr>
      <w:r w:rsidRPr="007A5A20">
        <w:t>4.1. Conclusions</w:t>
      </w:r>
    </w:p>
    <w:p w:rsidR="00A92636" w:rsidRDefault="00A92636" w:rsidP="00525E94"/>
    <w:p w:rsidR="00A92636" w:rsidRDefault="00A92636" w:rsidP="00525E94">
      <w:r>
        <w:t>In this study, the first to fully quantify the impact of tide gates on diadromous fish passage efficiency and delay, the following was found:</w:t>
      </w:r>
    </w:p>
    <w:p w:rsidR="00A92636" w:rsidRDefault="00A92636" w:rsidP="00525E94"/>
    <w:p w:rsidR="00F74C49" w:rsidRDefault="00F74C49" w:rsidP="00F74C49">
      <w:pPr>
        <w:pStyle w:val="ListParagraph"/>
        <w:numPr>
          <w:ilvl w:val="0"/>
          <w:numId w:val="25"/>
        </w:numPr>
      </w:pPr>
      <w:r w:rsidRPr="00F74C49">
        <w:t>Sea trout smolt passage eff</w:t>
      </w:r>
      <w:r>
        <w:t>iciency at tide gates was high.</w:t>
      </w:r>
    </w:p>
    <w:p w:rsidR="00F74C49" w:rsidRDefault="00F74C49" w:rsidP="00F74C49">
      <w:pPr>
        <w:pStyle w:val="ListParagraph"/>
        <w:numPr>
          <w:ilvl w:val="0"/>
          <w:numId w:val="25"/>
        </w:numPr>
      </w:pPr>
      <w:r w:rsidRPr="00F74C49">
        <w:t>Gates delayed smolt m</w:t>
      </w:r>
      <w:r>
        <w:t>igration.</w:t>
      </w:r>
    </w:p>
    <w:p w:rsidR="00F74C49" w:rsidRDefault="00F74C49" w:rsidP="00F74C49">
      <w:pPr>
        <w:pStyle w:val="ListParagraph"/>
        <w:numPr>
          <w:ilvl w:val="0"/>
          <w:numId w:val="25"/>
        </w:numPr>
      </w:pPr>
      <w:r w:rsidRPr="00F74C49">
        <w:t>The period of gate closure was the most significant factor in</w:t>
      </w:r>
      <w:r>
        <w:t xml:space="preserve"> </w:t>
      </w:r>
      <w:r w:rsidRPr="00F74C49">
        <w:t>migratory delay, suggesting that smolts would benefit from the</w:t>
      </w:r>
      <w:r>
        <w:t xml:space="preserve"> </w:t>
      </w:r>
      <w:r w:rsidRPr="00F74C49">
        <w:t>installation of modifications or gates that remain open for a</w:t>
      </w:r>
      <w:r>
        <w:t xml:space="preserve"> </w:t>
      </w:r>
      <w:r w:rsidRPr="00F74C49">
        <w:t>longer proportion of the tidal cycle, such as retarders, side-hung</w:t>
      </w:r>
      <w:r>
        <w:t xml:space="preserve"> </w:t>
      </w:r>
      <w:r w:rsidRPr="00F74C49">
        <w:t>d</w:t>
      </w:r>
      <w:r>
        <w:t>oors, or self-regulating gates.</w:t>
      </w:r>
    </w:p>
    <w:p w:rsidR="00F74C49" w:rsidRDefault="00F74C49" w:rsidP="00F74C49">
      <w:pPr>
        <w:pStyle w:val="ListParagraph"/>
        <w:numPr>
          <w:ilvl w:val="0"/>
          <w:numId w:val="25"/>
        </w:numPr>
      </w:pPr>
      <w:r w:rsidRPr="00F74C49">
        <w:t>Even in the vicinity of open gates, smolt migration was delayed,</w:t>
      </w:r>
      <w:r>
        <w:t xml:space="preserve"> </w:t>
      </w:r>
      <w:r w:rsidRPr="00F74C49">
        <w:t>illustrating the influe</w:t>
      </w:r>
      <w:r>
        <w:t>nce of a behavioural component.</w:t>
      </w:r>
    </w:p>
    <w:p w:rsidR="00F74C49" w:rsidRDefault="00F74C49" w:rsidP="00F74C49">
      <w:pPr>
        <w:pStyle w:val="ListParagraph"/>
        <w:numPr>
          <w:ilvl w:val="0"/>
          <w:numId w:val="25"/>
        </w:numPr>
      </w:pPr>
      <w:r w:rsidRPr="00F74C49">
        <w:t>The installation of orifices into tide gates to extend the period of</w:t>
      </w:r>
      <w:r>
        <w:t xml:space="preserve"> </w:t>
      </w:r>
      <w:r w:rsidRPr="00F74C49">
        <w:t xml:space="preserve">connectivity and extent of saline </w:t>
      </w:r>
      <w:r>
        <w:t>intrusion did not reduce delay.</w:t>
      </w:r>
    </w:p>
    <w:p w:rsidR="00F74C49" w:rsidRDefault="00F74C49" w:rsidP="00F74C49">
      <w:pPr>
        <w:pStyle w:val="ListParagraph"/>
        <w:numPr>
          <w:ilvl w:val="0"/>
          <w:numId w:val="25"/>
        </w:numPr>
      </w:pPr>
      <w:r w:rsidRPr="00F74C49">
        <w:t>Further research is needed to assess the impact of tide</w:t>
      </w:r>
      <w:r>
        <w:t xml:space="preserve"> </w:t>
      </w:r>
      <w:r w:rsidRPr="00F74C49">
        <w:t>gates on other life stages and species. Assessment of the</w:t>
      </w:r>
      <w:r>
        <w:t xml:space="preserve"> </w:t>
      </w:r>
      <w:r w:rsidRPr="00F74C49">
        <w:t>orifices would benefit from supplementary study across a</w:t>
      </w:r>
      <w:r>
        <w:t xml:space="preserve"> </w:t>
      </w:r>
      <w:r w:rsidRPr="00F74C49">
        <w:t>variety of hydrological regimes, and fine-scale investigation</w:t>
      </w:r>
      <w:r>
        <w:t xml:space="preserve"> </w:t>
      </w:r>
      <w:r w:rsidRPr="00F74C49">
        <w:t>into fish behaviour at tide gates is also required to improve</w:t>
      </w:r>
      <w:r>
        <w:t xml:space="preserve"> </w:t>
      </w:r>
      <w:r w:rsidRPr="00F74C49">
        <w:t>development of appropriate environmental impact mitigation</w:t>
      </w:r>
      <w:r>
        <w:t xml:space="preserve"> </w:t>
      </w:r>
      <w:r w:rsidRPr="00F74C49">
        <w:t>technology.</w:t>
      </w:r>
    </w:p>
    <w:p w:rsidR="00F74C49" w:rsidRPr="005A27C7" w:rsidRDefault="00F74C49" w:rsidP="00525E94"/>
    <w:p w:rsidR="00152924" w:rsidRDefault="00152924">
      <w:pPr>
        <w:spacing w:after="200" w:line="276" w:lineRule="auto"/>
        <w:rPr>
          <w:rFonts w:eastAsiaTheme="minorEastAsia" w:cs="Arial"/>
          <w:b/>
          <w:bCs/>
          <w:sz w:val="28"/>
          <w:lang w:eastAsia="en-GB"/>
        </w:rPr>
      </w:pPr>
      <w:r>
        <w:rPr>
          <w:rFonts w:eastAsiaTheme="minorEastAsia"/>
        </w:rPr>
        <w:br w:type="page"/>
      </w:r>
    </w:p>
    <w:p w:rsidR="00A92636" w:rsidRPr="007A5A20" w:rsidRDefault="00A92636" w:rsidP="00F60862">
      <w:pPr>
        <w:pStyle w:val="Heading2"/>
        <w:rPr>
          <w:rFonts w:eastAsiaTheme="minorEastAsia"/>
        </w:rPr>
      </w:pPr>
      <w:r w:rsidRPr="007A5A20">
        <w:rPr>
          <w:rFonts w:eastAsiaTheme="minorEastAsia"/>
        </w:rPr>
        <w:lastRenderedPageBreak/>
        <w:t>Acknowledgements</w:t>
      </w:r>
    </w:p>
    <w:p w:rsidR="00A92636" w:rsidRPr="00301D9B" w:rsidRDefault="00A92636" w:rsidP="00525E94">
      <w:pPr>
        <w:rPr>
          <w:lang w:eastAsia="en-GB"/>
        </w:rPr>
      </w:pPr>
    </w:p>
    <w:p w:rsidR="00A92636" w:rsidRDefault="00A92636" w:rsidP="00525E94">
      <w:r w:rsidRPr="00301D9B">
        <w:t xml:space="preserve">This project was funded by the University of Southampton, the Environment Agency and the </w:t>
      </w:r>
      <w:proofErr w:type="spellStart"/>
      <w:r w:rsidRPr="00301D9B">
        <w:t>Interreg</w:t>
      </w:r>
      <w:proofErr w:type="spellEnd"/>
      <w:r w:rsidRPr="00301D9B">
        <w:t xml:space="preserve"> IVB Living North Sea Project.  The authors would also like to thank the Environment Agency, Titchfield Haven Nature Reserve, Abbey Farm, Park Gate Royal British Legion Angling Club and Hill Head Harbour Sailing Club for assistance with access and equipment deployment, Cefas for lending equipment and Ms Joana </w:t>
      </w:r>
      <w:proofErr w:type="spellStart"/>
      <w:r w:rsidRPr="00301D9B">
        <w:t>Nunes</w:t>
      </w:r>
      <w:proofErr w:type="spellEnd"/>
      <w:r w:rsidRPr="00301D9B">
        <w:t xml:space="preserve"> and Mr Ralph Wright for assistance in the field.</w:t>
      </w:r>
    </w:p>
    <w:p w:rsidR="00A92636" w:rsidRPr="007A5A20" w:rsidRDefault="00A92636" w:rsidP="00F60862">
      <w:pPr>
        <w:pStyle w:val="Heading2"/>
      </w:pPr>
      <w:r>
        <w:br w:type="page"/>
      </w:r>
      <w:r w:rsidRPr="007A5A20">
        <w:lastRenderedPageBreak/>
        <w:t>References</w:t>
      </w:r>
    </w:p>
    <w:p w:rsidR="00A92636" w:rsidRDefault="00A92636" w:rsidP="00A92636"/>
    <w:p w:rsidR="00A92636" w:rsidRPr="00160343" w:rsidRDefault="00A92636" w:rsidP="00F60862">
      <w:pPr>
        <w:pStyle w:val="EndNoteBibliography"/>
        <w:ind w:left="720" w:hanging="720"/>
      </w:pPr>
      <w:bookmarkStart w:id="1" w:name="_ENREF_1"/>
      <w:r w:rsidRPr="00160343">
        <w:t>Aarestrup, K., Koed, A., 2003. Survival of migrating sea trout (</w:t>
      </w:r>
      <w:r w:rsidRPr="00160343">
        <w:rPr>
          <w:i/>
        </w:rPr>
        <w:t>Salmo trutta</w:t>
      </w:r>
      <w:r w:rsidRPr="00160343">
        <w:t>) and Atlantic salmon (</w:t>
      </w:r>
      <w:r w:rsidRPr="00160343">
        <w:rPr>
          <w:i/>
        </w:rPr>
        <w:t>Salmo salar</w:t>
      </w:r>
      <w:r w:rsidRPr="00160343">
        <w:t>) smolts negotiating weirs in small Danish rivers. Ecol. Freshwat. Fish 12, 169-176.</w:t>
      </w:r>
      <w:bookmarkEnd w:id="1"/>
    </w:p>
    <w:p w:rsidR="00A92636" w:rsidRPr="00160343" w:rsidRDefault="00A92636" w:rsidP="00F60862">
      <w:pPr>
        <w:pStyle w:val="EndNoteBibliography"/>
        <w:ind w:left="720" w:hanging="720"/>
      </w:pPr>
      <w:bookmarkStart w:id="2" w:name="_ENREF_2"/>
      <w:r w:rsidRPr="00160343">
        <w:t>Arnekleiv, J.V., Kraabol, M., Museth, J., 2007. Efforts to aid downstream migrating brown trout (</w:t>
      </w:r>
      <w:r w:rsidRPr="00160343">
        <w:rPr>
          <w:i/>
        </w:rPr>
        <w:t>Salmo trutta</w:t>
      </w:r>
      <w:r w:rsidRPr="00160343">
        <w:t xml:space="preserve"> L.) kelts and smolts passing a hydroelectric dam and a spillway. Hydrobiologia 582, 5-15.</w:t>
      </w:r>
      <w:bookmarkEnd w:id="2"/>
    </w:p>
    <w:p w:rsidR="00A92636" w:rsidRPr="00160343" w:rsidRDefault="00A92636" w:rsidP="00F60862">
      <w:pPr>
        <w:pStyle w:val="EndNoteBibliography"/>
        <w:ind w:left="720" w:hanging="720"/>
      </w:pPr>
      <w:bookmarkStart w:id="3" w:name="_ENREF_3"/>
      <w:r w:rsidRPr="00160343">
        <w:t>Arnell, N.W., 2004. Climate-change impacts on river flows in Britain: The UKCIP02 scenarios. Water and Environment Journal 18, 112-117.</w:t>
      </w:r>
      <w:bookmarkEnd w:id="3"/>
    </w:p>
    <w:p w:rsidR="00A92636" w:rsidRPr="00160343" w:rsidRDefault="00A92636" w:rsidP="00F60862">
      <w:pPr>
        <w:pStyle w:val="EndNoteBibliography"/>
        <w:ind w:left="720" w:hanging="720"/>
        <w:rPr>
          <w:lang w:val="de-DE"/>
        </w:rPr>
      </w:pPr>
      <w:bookmarkStart w:id="4" w:name="_ENREF_4"/>
      <w:r w:rsidRPr="00160343">
        <w:t xml:space="preserve">Berggren, T.J., Filardo, M.J., 1993. An analysis of variable influencing the migration of juvenile salmonids in the Columbia River basin. </w:t>
      </w:r>
      <w:r w:rsidRPr="00160343">
        <w:rPr>
          <w:lang w:val="de-DE"/>
        </w:rPr>
        <w:t>N. Am. J. Fish. Manage. 13, 48-63.</w:t>
      </w:r>
      <w:bookmarkEnd w:id="4"/>
    </w:p>
    <w:p w:rsidR="00A92636" w:rsidRPr="00160343" w:rsidRDefault="00A92636" w:rsidP="00F60862">
      <w:pPr>
        <w:pStyle w:val="EndNoteBibliography"/>
        <w:ind w:left="720" w:hanging="720"/>
      </w:pPr>
      <w:bookmarkStart w:id="5" w:name="_ENREF_5"/>
      <w:r w:rsidRPr="00160343">
        <w:rPr>
          <w:lang w:val="de-DE"/>
        </w:rPr>
        <w:t xml:space="preserve">Boyd, C.E., Tucker, C.S., 1998. </w:t>
      </w:r>
      <w:r w:rsidRPr="00160343">
        <w:t>Pond aquaculture water quality management. Kluwer Academic Publishers, Boston.</w:t>
      </w:r>
      <w:bookmarkEnd w:id="5"/>
    </w:p>
    <w:p w:rsidR="00A92636" w:rsidRPr="00160343" w:rsidRDefault="00A92636" w:rsidP="00F60862">
      <w:pPr>
        <w:pStyle w:val="EndNoteBibliography"/>
        <w:ind w:left="720" w:hanging="720"/>
      </w:pPr>
      <w:bookmarkStart w:id="6" w:name="_ENREF_6"/>
      <w:r w:rsidRPr="00160343">
        <w:t>Boys, C.A., Kroon, F.J., Glasby, T.M., Wilkinson, K., 2012. Improved fish and crustacean passage in tidal creeks following floodgate remediation. J. Appl. Ecol. 49, 223-233.</w:t>
      </w:r>
      <w:bookmarkEnd w:id="6"/>
    </w:p>
    <w:p w:rsidR="00A92636" w:rsidRPr="00160343" w:rsidRDefault="00A92636" w:rsidP="00F60862">
      <w:pPr>
        <w:pStyle w:val="EndNoteBibliography"/>
        <w:ind w:left="720" w:hanging="720"/>
      </w:pPr>
      <w:bookmarkStart w:id="7" w:name="_ENREF_7"/>
      <w:r w:rsidRPr="00160343">
        <w:t>Brauner, C.J., Iwama, G.K., Randall, D.J., 1994. The effect of short-duration seawater exposure on the swimming performance of wild and hatchery-reared juvenile coho salmon (</w:t>
      </w:r>
      <w:r w:rsidRPr="00160343">
        <w:rPr>
          <w:i/>
        </w:rPr>
        <w:t>Oncorhynchus kisutch</w:t>
      </w:r>
      <w:r w:rsidRPr="00160343">
        <w:t>) during smoltification. Can. J. Fish. Aquat. Sci. 51, 2188-2194.</w:t>
      </w:r>
      <w:bookmarkEnd w:id="7"/>
    </w:p>
    <w:p w:rsidR="00A92636" w:rsidRPr="00160343" w:rsidRDefault="00A92636" w:rsidP="00F60862">
      <w:pPr>
        <w:pStyle w:val="EndNoteBibliography"/>
        <w:ind w:left="720" w:hanging="720"/>
      </w:pPr>
      <w:bookmarkStart w:id="8" w:name="_ENREF_8"/>
      <w:r w:rsidRPr="00160343">
        <w:t>Brauner, C.J., Shrimpton, J.M., Randall, D.J., 1992. Effect of short-duration seawater exposure on plasma ion concentrations and swimming performance in coho salmon (</w:t>
      </w:r>
      <w:r w:rsidRPr="00160343">
        <w:rPr>
          <w:i/>
        </w:rPr>
        <w:t>Oncorhynchus kisutch</w:t>
      </w:r>
      <w:r w:rsidRPr="00160343">
        <w:t>) parr. Can. J. Fish. Aquat. Sci. 49, 2399-2405.</w:t>
      </w:r>
      <w:bookmarkEnd w:id="8"/>
    </w:p>
    <w:p w:rsidR="00A92636" w:rsidRPr="00160343" w:rsidRDefault="00A92636" w:rsidP="00F60862">
      <w:pPr>
        <w:pStyle w:val="EndNoteBibliography"/>
        <w:ind w:left="720" w:hanging="720"/>
      </w:pPr>
      <w:bookmarkStart w:id="9" w:name="_ENREF_9"/>
      <w:r w:rsidRPr="00160343">
        <w:t>Budy, P., Thiede, G.P., Bouwes, N., Petrosky, C.E., Schaller, H., 2002. Evidence linking delayed mortality of Snake River salmon to their earlier hydrosystem experience. N. Am. J. Fish. Manage. 22, 35-51.</w:t>
      </w:r>
      <w:bookmarkEnd w:id="9"/>
    </w:p>
    <w:p w:rsidR="00A92636" w:rsidRPr="00160343" w:rsidRDefault="00A92636" w:rsidP="00F60862">
      <w:pPr>
        <w:pStyle w:val="EndNoteBibliography"/>
        <w:ind w:left="720" w:hanging="720"/>
      </w:pPr>
      <w:bookmarkStart w:id="10" w:name="_ENREF_10"/>
      <w:r w:rsidRPr="00160343">
        <w:t>Clough, S.C., Turnpenny, A.W.H., 2001. Swimming speeds of freshwater fish: Phase 1. Environment Agency, Bristol.</w:t>
      </w:r>
      <w:bookmarkEnd w:id="10"/>
    </w:p>
    <w:p w:rsidR="00A92636" w:rsidRPr="00160343" w:rsidRDefault="00A92636" w:rsidP="00F60862">
      <w:pPr>
        <w:pStyle w:val="EndNoteBibliography"/>
        <w:ind w:left="720" w:hanging="720"/>
      </w:pPr>
      <w:bookmarkStart w:id="11" w:name="_ENREF_11"/>
      <w:r w:rsidRPr="00160343">
        <w:t>Congleton, J.L., Wagner, T., Evavold, J., Fryer, D., Sun, B., 2002. Evaluation of physiological changes in migrating juvenile salmonids and effects on performance and survival. Report to the U.S. Army Corps of Engineers, Washington.</w:t>
      </w:r>
      <w:bookmarkEnd w:id="11"/>
    </w:p>
    <w:p w:rsidR="00A92636" w:rsidRDefault="00A92636" w:rsidP="00F60862">
      <w:pPr>
        <w:pStyle w:val="EndNoteBibliography"/>
        <w:ind w:left="720" w:hanging="720"/>
      </w:pPr>
      <w:bookmarkStart w:id="12" w:name="_ENREF_12"/>
      <w:r w:rsidRPr="00160343">
        <w:t>Davidsen, J., Svenning, M.A., Orell, P., Yoccoz, N., Dempson, J.B., Niemela, E., Klemetsen, A., Lamberg, A., Erkinaro, J., 2005. Spatial and temporal migration of wild Atlantic salmon smolts determined from a video camera array in the sub-Arctic River Tana. Fisheries Research 74, 210-222.</w:t>
      </w:r>
      <w:bookmarkEnd w:id="12"/>
    </w:p>
    <w:p w:rsidR="00F01025" w:rsidRPr="00160343" w:rsidRDefault="00F01025" w:rsidP="00F60862">
      <w:pPr>
        <w:pStyle w:val="EndNoteBibliography"/>
        <w:ind w:left="720" w:hanging="720"/>
      </w:pPr>
      <w:r w:rsidRPr="00F01025">
        <w:t>Dietrich, J.P., Van Gaest, A.L., Strickland, S.A., Arkoosh, M.R., 2014. The impact of temperature stress and pesticide exposure on mortality and disease susceptibility of endangered Pacific salmon. Chemosphere 108, 353-359.</w:t>
      </w:r>
    </w:p>
    <w:p w:rsidR="00A92636" w:rsidRPr="00160343" w:rsidRDefault="00A92636" w:rsidP="00F60862">
      <w:pPr>
        <w:pStyle w:val="EndNoteBibliography"/>
        <w:ind w:left="720" w:hanging="720"/>
      </w:pPr>
      <w:bookmarkStart w:id="13" w:name="_ENREF_13"/>
      <w:r w:rsidRPr="00160343">
        <w:t>Doehring, K., Young, R.G., Hay, J., Quarterman, A.J., 2011. Suitability of Dual-frequency Identification Sonar (DIDSON) to monitor juvenile fish movement at floodgates. N. Z. J. Mar. Freshwat. Res. 45, 413-422.</w:t>
      </w:r>
      <w:bookmarkEnd w:id="13"/>
    </w:p>
    <w:p w:rsidR="00A92636" w:rsidRPr="00160343" w:rsidRDefault="00A92636" w:rsidP="00F60862">
      <w:pPr>
        <w:pStyle w:val="EndNoteBibliography"/>
        <w:ind w:left="720" w:hanging="720"/>
      </w:pPr>
      <w:bookmarkStart w:id="14" w:name="_ENREF_14"/>
      <w:r w:rsidRPr="00160343">
        <w:t>Easton, C., Marshall, A., 2000. Control of acidic drain-water-breeding mosquitoes in New South Wales, Australia, by installing controlled leakage holes in tidal flap gates. J. Am. Mosq. Control Assoc. 16, 19-21.</w:t>
      </w:r>
      <w:bookmarkEnd w:id="14"/>
    </w:p>
    <w:p w:rsidR="00A92636" w:rsidRPr="00160343" w:rsidRDefault="00A92636" w:rsidP="00F60862">
      <w:pPr>
        <w:pStyle w:val="EndNoteBibliography"/>
        <w:ind w:left="720" w:hanging="720"/>
      </w:pPr>
      <w:bookmarkStart w:id="15" w:name="_ENREF_15"/>
      <w:r w:rsidRPr="00160343">
        <w:t>Gauld, N.R., Campbell, R.N.B., Lucas, M.C., 2013. Reduced flow impacts salmonid smolt emigration in a river with low-head weirs. Sci. Total Environ. 458, 435-443.</w:t>
      </w:r>
      <w:bookmarkEnd w:id="15"/>
    </w:p>
    <w:p w:rsidR="00A92636" w:rsidRPr="00160343" w:rsidRDefault="00A92636" w:rsidP="00F60862">
      <w:pPr>
        <w:pStyle w:val="EndNoteBibliography"/>
        <w:ind w:left="720" w:hanging="720"/>
      </w:pPr>
      <w:bookmarkStart w:id="16" w:name="_ENREF_16"/>
      <w:r w:rsidRPr="00160343">
        <w:t>Geen, G.H., 1975. Ecological consequences of proposed Moran Dam on Fraser River. Journal of the Fisheries Research Board of Canada 32, 126-135.</w:t>
      </w:r>
      <w:bookmarkEnd w:id="16"/>
    </w:p>
    <w:p w:rsidR="00A92636" w:rsidRPr="00160343" w:rsidRDefault="00A92636" w:rsidP="00F60862">
      <w:pPr>
        <w:pStyle w:val="EndNoteBibliography"/>
        <w:ind w:left="720" w:hanging="720"/>
      </w:pPr>
      <w:bookmarkStart w:id="17" w:name="_ENREF_17"/>
      <w:r w:rsidRPr="00160343">
        <w:rPr>
          <w:lang w:val="it-IT"/>
        </w:rPr>
        <w:lastRenderedPageBreak/>
        <w:t xml:space="preserve">Giannico, G., Souder, J.A., 2005. </w:t>
      </w:r>
      <w:r w:rsidRPr="00160343">
        <w:t>Tide Gates in the Pacific Northwest: Operation, Types, and Environmental Effects. Oregon State University, Oregon.</w:t>
      </w:r>
      <w:bookmarkEnd w:id="17"/>
    </w:p>
    <w:p w:rsidR="00A92636" w:rsidRPr="00160343" w:rsidRDefault="00A92636" w:rsidP="00F60862">
      <w:pPr>
        <w:pStyle w:val="EndNoteBibliography"/>
        <w:ind w:left="720" w:hanging="720"/>
      </w:pPr>
      <w:bookmarkStart w:id="18" w:name="_ENREF_18"/>
      <w:r w:rsidRPr="00160343">
        <w:t>Greenberg, L.A., Calles, O., Andersson, J., Engqvist, T., 2012. Effect of trash diverters and overhead cover on downstream migrating brown trout smolts. Ecol. Eng. 48, 25-29.</w:t>
      </w:r>
      <w:bookmarkEnd w:id="18"/>
    </w:p>
    <w:p w:rsidR="00A92636" w:rsidRPr="00160343" w:rsidRDefault="00A92636" w:rsidP="00F60862">
      <w:pPr>
        <w:pStyle w:val="EndNoteBibliography"/>
        <w:ind w:left="720" w:hanging="720"/>
      </w:pPr>
      <w:bookmarkStart w:id="19" w:name="_ENREF_19"/>
      <w:r w:rsidRPr="00160343">
        <w:t>Halls, A.S., Hoggarth, D.D., Debnath, K., 1998. Impact of flood control schemes on river fish migrations and species assemblages in Bangladesh. J. Fish Biol. 53, 358-380.</w:t>
      </w:r>
      <w:bookmarkEnd w:id="19"/>
    </w:p>
    <w:p w:rsidR="00A92636" w:rsidRPr="00160343" w:rsidRDefault="00A92636" w:rsidP="00F60862">
      <w:pPr>
        <w:pStyle w:val="EndNoteBibliography"/>
        <w:ind w:left="720" w:hanging="720"/>
      </w:pPr>
      <w:bookmarkStart w:id="20" w:name="_ENREF_20"/>
      <w:r w:rsidRPr="00160343">
        <w:t>Handeland, S.O., Jarvi, T., Ferno, A., Stefansson, S.O., 1996. Osmotic stress, antipredator behaviour, and mortality of Atlantic salmon (</w:t>
      </w:r>
      <w:r w:rsidRPr="00160343">
        <w:rPr>
          <w:i/>
        </w:rPr>
        <w:t>Salmo salar</w:t>
      </w:r>
      <w:r w:rsidRPr="00160343">
        <w:t>) smolts. Can. J. Fish. Aquat. Sci. 53, 2673-2680.</w:t>
      </w:r>
      <w:bookmarkEnd w:id="20"/>
    </w:p>
    <w:p w:rsidR="00A92636" w:rsidRPr="00160343" w:rsidRDefault="00A92636" w:rsidP="00F60862">
      <w:pPr>
        <w:pStyle w:val="EndNoteBibliography"/>
        <w:ind w:left="720" w:hanging="720"/>
      </w:pPr>
      <w:bookmarkStart w:id="21" w:name="_ENREF_21"/>
      <w:r w:rsidRPr="00160343">
        <w:t>Haro, A., Odeh, M., Noreika, J., Castro-Santos, T., 1998. Effect of water acceleration on downstream migratory behavior and passage of Atlantic salmon smolts and juvenile American shad at surface bypasses. Trans. Am. Fish. Soc. 127, 118-127.</w:t>
      </w:r>
      <w:bookmarkEnd w:id="21"/>
    </w:p>
    <w:p w:rsidR="00A92636" w:rsidRPr="00160343" w:rsidRDefault="00A92636" w:rsidP="00F60862">
      <w:pPr>
        <w:pStyle w:val="EndNoteBibliography"/>
        <w:ind w:left="720" w:hanging="720"/>
      </w:pPr>
      <w:bookmarkStart w:id="22" w:name="_ENREF_22"/>
      <w:r w:rsidRPr="00160343">
        <w:t>Harris, G., Milner, N., 2006. Sea trout: biology, conservation and management. Blackwell Publishing, Oxford.</w:t>
      </w:r>
      <w:bookmarkEnd w:id="22"/>
    </w:p>
    <w:p w:rsidR="00A92636" w:rsidRPr="00160343" w:rsidRDefault="00A92636" w:rsidP="00F60862">
      <w:pPr>
        <w:pStyle w:val="EndNoteBibliography"/>
        <w:ind w:left="720" w:hanging="720"/>
      </w:pPr>
      <w:bookmarkStart w:id="23" w:name="_ENREF_23"/>
      <w:r w:rsidRPr="00160343">
        <w:t>Harwell, M.R., Rubinstein, E.N., Hayes, W.S., Olds, C.C., 1992. Summarizing Monte-Carlo results in methodological research - the 1-factor and 2-factor fixed effects ANOVA cases. Journal of Educational Statistics 17, 315-339.</w:t>
      </w:r>
      <w:bookmarkEnd w:id="23"/>
    </w:p>
    <w:p w:rsidR="00A92636" w:rsidRPr="00160343" w:rsidRDefault="00A92636" w:rsidP="00F60862">
      <w:pPr>
        <w:pStyle w:val="EndNoteBibliography"/>
        <w:ind w:left="720" w:hanging="720"/>
      </w:pPr>
      <w:bookmarkStart w:id="24" w:name="_ENREF_24"/>
      <w:r w:rsidRPr="00160343">
        <w:t>Im, D., Kang, H., Kim, K.-H., Choi, S.-U., 2011. Changes of river morphology and physical fish habitat following weir removal. Ecol. Eng. 37, 883-892.</w:t>
      </w:r>
      <w:bookmarkEnd w:id="24"/>
    </w:p>
    <w:p w:rsidR="00A92636" w:rsidRPr="00160343" w:rsidRDefault="00A92636" w:rsidP="00F60862">
      <w:pPr>
        <w:pStyle w:val="EndNoteBibliography"/>
        <w:ind w:left="720" w:hanging="720"/>
      </w:pPr>
      <w:bookmarkStart w:id="25" w:name="_ENREF_25"/>
      <w:r w:rsidRPr="00160343">
        <w:t>Jonsson, B., Jonsson, N., 2004. Factors affecting marine production of Atlantic salmon (</w:t>
      </w:r>
      <w:r w:rsidRPr="00160343">
        <w:rPr>
          <w:i/>
        </w:rPr>
        <w:t>Salmo salar</w:t>
      </w:r>
      <w:r w:rsidRPr="00160343">
        <w:t>). Can. J. Fish. Aquat. Sci. 61, 2369-2383.</w:t>
      </w:r>
      <w:bookmarkEnd w:id="25"/>
    </w:p>
    <w:p w:rsidR="00A92636" w:rsidRPr="00160343" w:rsidRDefault="00A92636" w:rsidP="00F60862">
      <w:pPr>
        <w:pStyle w:val="EndNoteBibliography"/>
        <w:ind w:left="720" w:hanging="720"/>
      </w:pPr>
      <w:bookmarkStart w:id="26" w:name="_ENREF_26"/>
      <w:r w:rsidRPr="00160343">
        <w:t>Jonsson, N., 1991. Influence of water flow water temperature and light on fish migration in rivers. Nord. J. Freshwat. Res.</w:t>
      </w:r>
      <w:r w:rsidR="00924524">
        <w:t xml:space="preserve"> 66</w:t>
      </w:r>
      <w:r w:rsidRPr="00160343">
        <w:t>, 20-35.</w:t>
      </w:r>
      <w:bookmarkEnd w:id="26"/>
    </w:p>
    <w:p w:rsidR="00A92636" w:rsidRPr="00160343" w:rsidRDefault="00A92636" w:rsidP="00F60862">
      <w:pPr>
        <w:pStyle w:val="EndNoteBibliography"/>
        <w:ind w:left="720" w:hanging="720"/>
      </w:pPr>
      <w:bookmarkStart w:id="27" w:name="_ENREF_27"/>
      <w:r w:rsidRPr="00160343">
        <w:t>Jubilo, K., Lamarque, F., 1999. Epidemiology and prevention of type C botulism: A literature survey. Gibier Faune Sauvage 16, 81-93.</w:t>
      </w:r>
      <w:bookmarkEnd w:id="27"/>
    </w:p>
    <w:p w:rsidR="00F60862" w:rsidRDefault="00A92636" w:rsidP="00F60862">
      <w:pPr>
        <w:pStyle w:val="EndNoteBibliography"/>
        <w:ind w:left="720" w:hanging="720"/>
      </w:pPr>
      <w:bookmarkStart w:id="28" w:name="_ENREF_28"/>
      <w:r w:rsidRPr="00160343">
        <w:t>Katopodis, C., Williams, J.G., 2012. The development of fish passage research in a historical context. Ecol. Eng. 48, 8-18.</w:t>
      </w:r>
      <w:bookmarkStart w:id="29" w:name="_ENREF_30"/>
      <w:bookmarkEnd w:id="28"/>
      <w:r w:rsidR="00F60862" w:rsidRPr="00F60862">
        <w:t xml:space="preserve"> </w:t>
      </w:r>
    </w:p>
    <w:p w:rsidR="00A92636" w:rsidRPr="00160343" w:rsidRDefault="00F60862" w:rsidP="00F60862">
      <w:pPr>
        <w:pStyle w:val="EndNoteBibliography"/>
        <w:ind w:left="720" w:hanging="720"/>
      </w:pPr>
      <w:r w:rsidRPr="00F60862">
        <w:rPr>
          <w:lang w:val="de-DE"/>
        </w:rPr>
        <w:t xml:space="preserve">Kemp, P.S., Gessel, M.H., Williams, J.G., 2005a. </w:t>
      </w:r>
      <w:r w:rsidRPr="00160343">
        <w:t>Seaward migrating subyearling chinook salmon avoid overhead cover. J. Fish Biol. 67, 1381-1391.</w:t>
      </w:r>
      <w:bookmarkEnd w:id="29"/>
    </w:p>
    <w:p w:rsidR="00A92636" w:rsidRPr="00160343" w:rsidRDefault="00A92636" w:rsidP="00F60862">
      <w:pPr>
        <w:pStyle w:val="EndNoteBibliography"/>
        <w:ind w:left="720" w:hanging="720"/>
      </w:pPr>
      <w:bookmarkStart w:id="30" w:name="_ENREF_29"/>
      <w:r w:rsidRPr="00F60862">
        <w:rPr>
          <w:lang w:val="de-DE"/>
        </w:rPr>
        <w:t>Kemp, P.S., Ges</w:t>
      </w:r>
      <w:r w:rsidR="00F60862" w:rsidRPr="00F60862">
        <w:rPr>
          <w:lang w:val="de-DE"/>
        </w:rPr>
        <w:t>sel, M.H., Williams, J.G., 2005b</w:t>
      </w:r>
      <w:r w:rsidRPr="00F60862">
        <w:rPr>
          <w:lang w:val="de-DE"/>
        </w:rPr>
        <w:t xml:space="preserve">. </w:t>
      </w:r>
      <w:r w:rsidRPr="00160343">
        <w:t>Fine-scale behavioral responses of Pacific salmonid smolts as they encounter divergence and acceleration of flow. Trans. Am. Fish. Soc. 134, 390-398.</w:t>
      </w:r>
      <w:bookmarkEnd w:id="30"/>
    </w:p>
    <w:p w:rsidR="00A92636" w:rsidRPr="00160343" w:rsidRDefault="00A92636" w:rsidP="00F60862">
      <w:pPr>
        <w:pStyle w:val="EndNoteBibliography"/>
        <w:ind w:left="720" w:hanging="720"/>
      </w:pPr>
      <w:bookmarkStart w:id="31" w:name="_ENREF_31"/>
      <w:r w:rsidRPr="00160343">
        <w:t>Kemp, P.S., O'Hanley, J.R., 2010. Procedures for evaluating and prioritising the removal of fish passage barriers: a synthesis. Fish. Manage. Ecol. 17, 297-322.</w:t>
      </w:r>
      <w:bookmarkEnd w:id="31"/>
    </w:p>
    <w:p w:rsidR="00A92636" w:rsidRPr="00160343" w:rsidRDefault="00A92636" w:rsidP="00F60862">
      <w:pPr>
        <w:pStyle w:val="EndNoteBibliography"/>
        <w:ind w:left="720" w:hanging="720"/>
      </w:pPr>
      <w:bookmarkStart w:id="32" w:name="_ENREF_32"/>
      <w:r w:rsidRPr="00160343">
        <w:t>Koed, A., Baktoft, H., Bak, B.D., 2006. Causes of mortality of Atlantic salmon (</w:t>
      </w:r>
      <w:r w:rsidRPr="00160343">
        <w:rPr>
          <w:i/>
        </w:rPr>
        <w:t>Salmo salar</w:t>
      </w:r>
      <w:r w:rsidRPr="00160343">
        <w:t>) and brown trout (</w:t>
      </w:r>
      <w:r w:rsidRPr="00160343">
        <w:rPr>
          <w:i/>
        </w:rPr>
        <w:t>Salmo trutta</w:t>
      </w:r>
      <w:r w:rsidRPr="00160343">
        <w:t>) smolts in a restored river and its estuary. River Res. Appl. 22, 69-78.</w:t>
      </w:r>
      <w:bookmarkEnd w:id="32"/>
    </w:p>
    <w:p w:rsidR="00A92636" w:rsidRPr="00160343" w:rsidRDefault="00A92636" w:rsidP="00F60862">
      <w:pPr>
        <w:pStyle w:val="EndNoteBibliography"/>
        <w:ind w:left="720" w:hanging="720"/>
      </w:pPr>
      <w:bookmarkStart w:id="33" w:name="_ENREF_33"/>
      <w:r w:rsidRPr="00160343">
        <w:t>Konrad, C.P., 2009. Simulating the recovery of suspended sediment transport and river-bed stability in response to dam removal on the Elwha River, Washington. Ecol. Eng. 35, 1104-1115.</w:t>
      </w:r>
      <w:bookmarkEnd w:id="33"/>
    </w:p>
    <w:p w:rsidR="00A92636" w:rsidRPr="00160343" w:rsidRDefault="00A92636" w:rsidP="00F60862">
      <w:pPr>
        <w:pStyle w:val="EndNoteBibliography"/>
        <w:ind w:left="720" w:hanging="720"/>
      </w:pPr>
      <w:bookmarkStart w:id="34" w:name="_ENREF_34"/>
      <w:r w:rsidRPr="00160343">
        <w:t>Kroon, F.J., Ansell, D.H., 2006. A comparison of species assemblages between drainage systems with and without floodgates: implications for coastal floodplain management. Can. J. Fish. Aquat. Sci. 63, 2400-2417.</w:t>
      </w:r>
      <w:bookmarkEnd w:id="34"/>
    </w:p>
    <w:p w:rsidR="00A92636" w:rsidRPr="00160343" w:rsidRDefault="00A92636" w:rsidP="00F60862">
      <w:pPr>
        <w:pStyle w:val="EndNoteBibliography"/>
        <w:ind w:left="720" w:hanging="720"/>
      </w:pPr>
      <w:bookmarkStart w:id="35" w:name="_ENREF_35"/>
      <w:r w:rsidRPr="00160343">
        <w:t>Larinier, M., 2002. Fishways - General considerations. Bull. Fr. Peche Piscic. 364 suppl., 21-27.</w:t>
      </w:r>
      <w:bookmarkEnd w:id="35"/>
    </w:p>
    <w:p w:rsidR="00A92636" w:rsidRPr="00160343" w:rsidRDefault="00A92636" w:rsidP="00F60862">
      <w:pPr>
        <w:pStyle w:val="EndNoteBibliography"/>
        <w:ind w:left="720" w:hanging="720"/>
      </w:pPr>
      <w:bookmarkStart w:id="36" w:name="_ENREF_36"/>
      <w:r w:rsidRPr="00160343">
        <w:t>McCormick, S.D., Hansen, L.P., Quinn, T.P., Saunders, R.L., 1998. Movement, migration, and smolting of Atlantic salmon (</w:t>
      </w:r>
      <w:r w:rsidRPr="00160343">
        <w:rPr>
          <w:i/>
        </w:rPr>
        <w:t>Salmo salar</w:t>
      </w:r>
      <w:r w:rsidRPr="00160343">
        <w:t>). Can. J. Fish. Aquat. Sci. 55, 77-92.</w:t>
      </w:r>
      <w:bookmarkEnd w:id="36"/>
    </w:p>
    <w:p w:rsidR="00A92636" w:rsidRPr="00160343" w:rsidRDefault="00A92636" w:rsidP="00F60862">
      <w:pPr>
        <w:pStyle w:val="EndNoteBibliography"/>
        <w:ind w:left="720" w:hanging="720"/>
      </w:pPr>
      <w:bookmarkStart w:id="37" w:name="_ENREF_37"/>
      <w:r w:rsidRPr="00160343">
        <w:t xml:space="preserve">McKay, H.V., Robinson, K.A., Carss, D.N., Parrott, D., 2003. The limitations of pellet analysis in the study of cormorant </w:t>
      </w:r>
      <w:r w:rsidRPr="00160343">
        <w:rPr>
          <w:i/>
        </w:rPr>
        <w:t>Phalacrocorax</w:t>
      </w:r>
      <w:r w:rsidRPr="00160343">
        <w:t xml:space="preserve"> spp. diet. Vogelwelt 124, 227-236.</w:t>
      </w:r>
      <w:bookmarkEnd w:id="37"/>
    </w:p>
    <w:p w:rsidR="00A92636" w:rsidRPr="00160343" w:rsidRDefault="00A92636" w:rsidP="00F60862">
      <w:pPr>
        <w:pStyle w:val="EndNoteBibliography"/>
        <w:ind w:left="720" w:hanging="720"/>
      </w:pPr>
      <w:bookmarkStart w:id="38" w:name="_ENREF_38"/>
      <w:r w:rsidRPr="00160343">
        <w:lastRenderedPageBreak/>
        <w:t>Moore, A., Ives, M., Scott, M., Bamber, S., 1998. The migratory behaviour of wild sea trout (</w:t>
      </w:r>
      <w:r w:rsidRPr="00160343">
        <w:rPr>
          <w:i/>
        </w:rPr>
        <w:t xml:space="preserve">Salmo trutta </w:t>
      </w:r>
      <w:r w:rsidRPr="00160343">
        <w:t>L.) smolts in the estuary of the River Conwy, North Wales. Aquaculture 168, 57-68.</w:t>
      </w:r>
      <w:bookmarkEnd w:id="38"/>
    </w:p>
    <w:p w:rsidR="00A92636" w:rsidRPr="00160343" w:rsidRDefault="00A92636" w:rsidP="00F60862">
      <w:pPr>
        <w:pStyle w:val="EndNoteBibliography"/>
        <w:ind w:left="720" w:hanging="720"/>
      </w:pPr>
      <w:bookmarkStart w:id="39" w:name="_ENREF_39"/>
      <w:r w:rsidRPr="00160343">
        <w:t>Moore, A., Stonehewer, R., Kell, L.T., Challiss, M.J., Ives, M., Russell, I.C., Riley, W.D., Mee, D.M., 1996. The movements of emigrating salmonid smolts in relation to the Tawe Barrage, Swansea. In: Burt N., Watts J., (Eds.), Barrages: Engineering Design &amp; Environmental Impacts</w:t>
      </w:r>
      <w:r w:rsidR="00924524">
        <w:t xml:space="preserve">.  John Wiley &amp; Sons Ltd, Chichester, UK, </w:t>
      </w:r>
      <w:r w:rsidRPr="00160343">
        <w:t xml:space="preserve"> 409-417.</w:t>
      </w:r>
      <w:bookmarkEnd w:id="39"/>
    </w:p>
    <w:p w:rsidR="00A92636" w:rsidRPr="00160343" w:rsidRDefault="00A92636" w:rsidP="00F60862">
      <w:pPr>
        <w:pStyle w:val="EndNoteBibliography"/>
        <w:ind w:left="720" w:hanging="720"/>
      </w:pPr>
      <w:bookmarkStart w:id="40" w:name="_ENREF_40"/>
      <w:r w:rsidRPr="00160343">
        <w:rPr>
          <w:lang w:val="de-DE"/>
        </w:rPr>
        <w:t xml:space="preserve">Mouton, A.M., Stevens, M., Van den Neucker, T., Buysse, D., Coeck, J., 2011. </w:t>
      </w:r>
      <w:r w:rsidRPr="00160343">
        <w:t>Adjusted barrier management to improve glass eel migration at an estuarine barrier. Marine Ecology-Progress Series 439, 213-222.</w:t>
      </w:r>
      <w:bookmarkEnd w:id="40"/>
    </w:p>
    <w:p w:rsidR="00A92636" w:rsidRPr="00160343" w:rsidRDefault="00A92636" w:rsidP="00F60862">
      <w:pPr>
        <w:pStyle w:val="EndNoteBibliography"/>
        <w:ind w:left="720" w:hanging="720"/>
      </w:pPr>
      <w:bookmarkStart w:id="41" w:name="_ENREF_41"/>
      <w:r w:rsidRPr="00160343">
        <w:t>Nicholls, R.J., Hoozemans, F.M.J., Marchand, M., 1999. Increasing flood risk and wetland losses due to global sea-level rise: regional and global analyses. Global Environ. Change 9, S69-S87.</w:t>
      </w:r>
      <w:bookmarkEnd w:id="41"/>
    </w:p>
    <w:p w:rsidR="00A92636" w:rsidRPr="00160343" w:rsidRDefault="00A92636" w:rsidP="00F60862">
      <w:pPr>
        <w:pStyle w:val="EndNoteBibliography"/>
        <w:ind w:left="720" w:hanging="720"/>
      </w:pPr>
      <w:bookmarkStart w:id="42" w:name="_ENREF_42"/>
      <w:r w:rsidRPr="00160343">
        <w:t>Noonan, M.J., Grant, J.W.A., Jackson, C.D., 2012. A quantitative assessment of fish passage efficiency. Fish Fish. 13, 450-464.</w:t>
      </w:r>
      <w:bookmarkEnd w:id="42"/>
    </w:p>
    <w:p w:rsidR="00A92636" w:rsidRPr="00160343" w:rsidRDefault="00A92636" w:rsidP="00F60862">
      <w:pPr>
        <w:pStyle w:val="EndNoteBibliography"/>
        <w:ind w:left="720" w:hanging="720"/>
      </w:pPr>
      <w:bookmarkStart w:id="43" w:name="_ENREF_43"/>
      <w:r w:rsidRPr="00160343">
        <w:t>Osborne, M.F.M., 1961. The hydrodynamical performance of migratory salmon. J. Exp. Biol. 38, 365-390.</w:t>
      </w:r>
      <w:bookmarkEnd w:id="43"/>
    </w:p>
    <w:p w:rsidR="00A92636" w:rsidRPr="00160343" w:rsidRDefault="00A92636" w:rsidP="00F60862">
      <w:pPr>
        <w:pStyle w:val="EndNoteBibliography"/>
        <w:ind w:left="720" w:hanging="720"/>
      </w:pPr>
      <w:bookmarkStart w:id="44" w:name="_ENREF_44"/>
      <w:r w:rsidRPr="00160343">
        <w:t>Otto, R.G., 1971. Effects of salinity on survival and growth of pre-smolt coho salmon (</w:t>
      </w:r>
      <w:r w:rsidRPr="00160343">
        <w:rPr>
          <w:i/>
        </w:rPr>
        <w:t>Oncorhynchus kisutch</w:t>
      </w:r>
      <w:r w:rsidRPr="00160343">
        <w:t>). Journal of the Fisheries Research Board of Canada 28, 343-349.</w:t>
      </w:r>
      <w:bookmarkEnd w:id="44"/>
    </w:p>
    <w:p w:rsidR="00A92636" w:rsidRPr="00160343" w:rsidRDefault="00A92636" w:rsidP="00F60862">
      <w:pPr>
        <w:pStyle w:val="EndNoteBibliography"/>
        <w:ind w:left="720" w:hanging="720"/>
      </w:pPr>
      <w:bookmarkStart w:id="45" w:name="_ENREF_45"/>
      <w:r w:rsidRPr="00160343">
        <w:t>Plumb, J.M., Perry, R.W., Adams, N.S., Rondorf, D.W., 2006. The effects of river impoundment and hatchery rearing on the migration behavior of juvenile steelhead in the lower Snake River, Washington. N. Am. J. Fish. Manage. 26, 438-452.</w:t>
      </w:r>
      <w:bookmarkEnd w:id="45"/>
    </w:p>
    <w:p w:rsidR="00A92636" w:rsidRPr="00160343" w:rsidRDefault="00A92636" w:rsidP="00F60862">
      <w:pPr>
        <w:pStyle w:val="EndNoteBibliography"/>
        <w:ind w:left="720" w:hanging="720"/>
      </w:pPr>
      <w:bookmarkStart w:id="46" w:name="_ENREF_46"/>
      <w:r w:rsidRPr="00160343">
        <w:t>Poff, N.L., Hart, D.D., 2002. How dams vary and why it matters for the emerging science of dam removal. Bioscience 52, 659-668.</w:t>
      </w:r>
      <w:bookmarkEnd w:id="46"/>
    </w:p>
    <w:p w:rsidR="00F3367C" w:rsidRDefault="00A92636" w:rsidP="00F60862">
      <w:pPr>
        <w:pStyle w:val="EndNoteBibliography"/>
        <w:ind w:left="720" w:hanging="720"/>
      </w:pPr>
      <w:bookmarkStart w:id="47" w:name="_ENREF_47"/>
      <w:r w:rsidRPr="00160343">
        <w:t>Pollard, D.A., Hannan, J.C., 1994. The ecological effects of structural flood mitigation works on fish habitats and fish communities in the lower Clarence River system of South-Eastern Australia. Estuaries 17, 427-461.</w:t>
      </w:r>
      <w:bookmarkEnd w:id="47"/>
    </w:p>
    <w:p w:rsidR="00F3367C" w:rsidRPr="00F3367C" w:rsidRDefault="00F3367C" w:rsidP="00F60862">
      <w:pPr>
        <w:pStyle w:val="EndNoteBibliography"/>
        <w:ind w:left="720" w:hanging="720"/>
      </w:pPr>
      <w:r w:rsidRPr="00F3367C">
        <w:t>Portnoy, J.W., 1991. Summer oxygen depletion in a diked New England estuary. Estuaries 14, 122-129.</w:t>
      </w:r>
    </w:p>
    <w:p w:rsidR="00A92636" w:rsidRPr="00160343" w:rsidRDefault="00A92636" w:rsidP="00F60862">
      <w:pPr>
        <w:pStyle w:val="EndNoteBibliography"/>
        <w:ind w:left="720" w:hanging="720"/>
      </w:pPr>
      <w:bookmarkStart w:id="48" w:name="_ENREF_48"/>
      <w:r w:rsidRPr="00160343">
        <w:t>Raposa, K., 2002. Early responses of fishes and crustaceans to restoration of a tidally restricted New England salt marsh. Restor. Ecol. 10, 665-676.</w:t>
      </w:r>
      <w:bookmarkEnd w:id="48"/>
    </w:p>
    <w:p w:rsidR="00A92636" w:rsidRDefault="00A92636" w:rsidP="00F60862">
      <w:pPr>
        <w:pStyle w:val="EndNoteBibliography"/>
        <w:ind w:left="720" w:hanging="720"/>
      </w:pPr>
      <w:bookmarkStart w:id="49" w:name="_ENREF_49"/>
      <w:r w:rsidRPr="00160343">
        <w:t>Raymond, H.L., 1979. Effects of dams and impoundments on migrations of juvenile Chinook salmon and steelhead from the Snake River, 1966 to 1975. Trans. Am. Fish. Soc. 108, 505-529.</w:t>
      </w:r>
      <w:bookmarkEnd w:id="49"/>
    </w:p>
    <w:p w:rsidR="00F01025" w:rsidRPr="00160343" w:rsidRDefault="00F01025" w:rsidP="00F60862">
      <w:pPr>
        <w:pStyle w:val="EndNoteBibliography"/>
        <w:ind w:left="720" w:hanging="720"/>
      </w:pPr>
      <w:r w:rsidRPr="00F01025">
        <w:t>Rees, E.E., Ibarra, R., Medina, M., Sanchez, J., Jakob, E., Vanderstichel, R., St-Hilaire, S., 2014. Transmission of Piscirickettsia salmonis among salt water salmonid farms in Chile. Aquaculture 428, 189-194.</w:t>
      </w:r>
    </w:p>
    <w:p w:rsidR="00A92636" w:rsidRPr="00160343" w:rsidRDefault="00A92636" w:rsidP="00F60862">
      <w:pPr>
        <w:pStyle w:val="EndNoteBibliography"/>
        <w:ind w:left="720" w:hanging="720"/>
      </w:pPr>
      <w:bookmarkStart w:id="50" w:name="_ENREF_50"/>
      <w:r w:rsidRPr="00160343">
        <w:t>Ritter, A.F., Wasson, K., Lonhart, S.I., Preisler, R.K., Woolfolk, A., Griffith, K.A., Connors, S., Heiman, K.W., 2008. Ecological signatures of anthropogenically altered tidal exchange in estuarine ecosystems. Estuaries and Coasts 31, 554-571.</w:t>
      </w:r>
      <w:bookmarkEnd w:id="50"/>
    </w:p>
    <w:p w:rsidR="00A92636" w:rsidRPr="00160343" w:rsidRDefault="00A92636" w:rsidP="00F60862">
      <w:pPr>
        <w:pStyle w:val="EndNoteBibliography"/>
        <w:ind w:left="720" w:hanging="720"/>
        <w:rPr>
          <w:lang w:val="de-DE"/>
        </w:rPr>
      </w:pPr>
      <w:bookmarkStart w:id="51" w:name="_ENREF_51"/>
      <w:r w:rsidRPr="00160343">
        <w:t xml:space="preserve">Roegner, G.C., Dawley, E.W., Russell, M., Whiting, A., Teel, D.J., 2010. Juvenile salmonid use of reconnected tidal freshwater wetlands in Grays River, Lower Columbia River Basin. </w:t>
      </w:r>
      <w:r w:rsidRPr="00160343">
        <w:rPr>
          <w:lang w:val="de-DE"/>
        </w:rPr>
        <w:t>Trans. Am. Fish. Soc. 139, 1211-1232.</w:t>
      </w:r>
      <w:bookmarkEnd w:id="51"/>
    </w:p>
    <w:p w:rsidR="00A92636" w:rsidRPr="00160343" w:rsidRDefault="00A92636" w:rsidP="00F60862">
      <w:pPr>
        <w:pStyle w:val="EndNoteBibliography"/>
        <w:ind w:left="720" w:hanging="720"/>
      </w:pPr>
      <w:bookmarkStart w:id="52" w:name="_ENREF_52"/>
      <w:r w:rsidRPr="00160343">
        <w:rPr>
          <w:lang w:val="de-DE"/>
        </w:rPr>
        <w:t xml:space="preserve">Rozas, L.P., Minello, T.J., 1998. </w:t>
      </w:r>
      <w:r w:rsidRPr="00160343">
        <w:t>Nekton use of salt marsh, seagrass, and nonvegetated habitats in a south Texas (USA) estuary. Bull. Mar. Sci. 63, 481-501.</w:t>
      </w:r>
      <w:bookmarkEnd w:id="52"/>
    </w:p>
    <w:p w:rsidR="00A92636" w:rsidRPr="00160343" w:rsidRDefault="00A92636" w:rsidP="00F60862">
      <w:pPr>
        <w:pStyle w:val="EndNoteBibliography"/>
        <w:ind w:left="720" w:hanging="720"/>
      </w:pPr>
      <w:bookmarkStart w:id="53" w:name="_ENREF_53"/>
      <w:r w:rsidRPr="00160343">
        <w:t>Russell, I.C., Moore, A., Ives, S., Kell, L.T., Ives, M.J., Stonehewer, R.O., 1998. The migratory behaviour of juvenile and adult salmonids in relation to an estuarine barrage. Hydrobiologia 371-372, 321-333.</w:t>
      </w:r>
      <w:bookmarkEnd w:id="53"/>
    </w:p>
    <w:p w:rsidR="00A92636" w:rsidRPr="00160343" w:rsidRDefault="00A92636" w:rsidP="00F60862">
      <w:pPr>
        <w:pStyle w:val="EndNoteBibliography"/>
        <w:ind w:left="720" w:hanging="720"/>
      </w:pPr>
      <w:bookmarkStart w:id="54" w:name="_ENREF_54"/>
      <w:r w:rsidRPr="00160343">
        <w:lastRenderedPageBreak/>
        <w:t>Russon, I.J., Kemp, P.S., 2011. Advancing provision of multi-species fish passage: Behaviour of adult European eel (</w:t>
      </w:r>
      <w:r w:rsidRPr="00160343">
        <w:rPr>
          <w:i/>
        </w:rPr>
        <w:t>Anguilla anguilla</w:t>
      </w:r>
      <w:r w:rsidRPr="00160343">
        <w:t>) and brown trout (</w:t>
      </w:r>
      <w:r w:rsidRPr="00160343">
        <w:rPr>
          <w:i/>
        </w:rPr>
        <w:t>Salmo trutta</w:t>
      </w:r>
      <w:r w:rsidRPr="00160343">
        <w:t>) in response to accelerating flow. Ecol. Eng. 37, 2018-2024.</w:t>
      </w:r>
      <w:bookmarkEnd w:id="54"/>
    </w:p>
    <w:p w:rsidR="00A92636" w:rsidRPr="00160343" w:rsidRDefault="00A92636" w:rsidP="00F60862">
      <w:pPr>
        <w:pStyle w:val="EndNoteBibliography"/>
        <w:ind w:left="720" w:hanging="720"/>
      </w:pPr>
      <w:bookmarkStart w:id="55" w:name="_ENREF_55"/>
      <w:r w:rsidRPr="00160343">
        <w:t>Schilt, C.R., 2007. Developing fish passage and protection at hydropower dams. Appl. Anim. Behav. Sci. 104, 295-325.</w:t>
      </w:r>
      <w:bookmarkEnd w:id="55"/>
    </w:p>
    <w:p w:rsidR="00A92636" w:rsidRPr="00160343" w:rsidRDefault="00A92636" w:rsidP="00F60862">
      <w:pPr>
        <w:pStyle w:val="EndNoteBibliography"/>
        <w:ind w:left="720" w:hanging="720"/>
      </w:pPr>
      <w:bookmarkStart w:id="56" w:name="_ENREF_56"/>
      <w:r w:rsidRPr="00160343">
        <w:t>Sheer, M.B., Steel, E.A., 2006. Lost watersheds: Barriers, aquatic habitat connectivity, and salmon persistence in the Willamette and Lower Columbia River basins. Trans. Am. Fish. Soc. 135, 1654-1669.</w:t>
      </w:r>
      <w:bookmarkEnd w:id="56"/>
    </w:p>
    <w:p w:rsidR="00A92636" w:rsidRPr="00160343" w:rsidRDefault="00A92636" w:rsidP="00F60862">
      <w:pPr>
        <w:pStyle w:val="EndNoteBibliography"/>
        <w:ind w:left="720" w:hanging="720"/>
      </w:pPr>
      <w:bookmarkStart w:id="57" w:name="_ENREF_57"/>
      <w:r w:rsidRPr="00160343">
        <w:t>Stewart, D.C., Middlemas, S.J., Gardiner, W.R., Mackay, S., Armstrong, J.D., 2005. Diet and prey selection of cormorants (</w:t>
      </w:r>
      <w:r w:rsidRPr="00160343">
        <w:rPr>
          <w:i/>
        </w:rPr>
        <w:t>Phalacrocorax carbo</w:t>
      </w:r>
      <w:r w:rsidRPr="00160343">
        <w:t>) at Loch Leven, a major stocked trout fishery. J. Zool. 267, 191-201.</w:t>
      </w:r>
      <w:bookmarkEnd w:id="57"/>
    </w:p>
    <w:p w:rsidR="00A92636" w:rsidRPr="00160343" w:rsidRDefault="00A92636" w:rsidP="00F60862">
      <w:pPr>
        <w:pStyle w:val="EndNoteBibliography"/>
        <w:ind w:left="720" w:hanging="720"/>
      </w:pPr>
      <w:bookmarkStart w:id="58" w:name="_ENREF_58"/>
      <w:r w:rsidRPr="00160343">
        <w:t>Svendsen, J.C., Eskesen, A.O., Aarestrup, K., Koed, A., Jordan, A.D., 2007. Evidence for non-random spatial positioning of migrating smolts (Salmonidae) in a small lowland stream. Freshwat. Biol. 52, 1147-1158.</w:t>
      </w:r>
      <w:bookmarkEnd w:id="58"/>
    </w:p>
    <w:p w:rsidR="006B2CB7" w:rsidRDefault="00A92636" w:rsidP="00F60862">
      <w:pPr>
        <w:pStyle w:val="EndNoteBibliography"/>
        <w:ind w:left="720" w:hanging="720"/>
      </w:pPr>
      <w:bookmarkStart w:id="59" w:name="_ENREF_59"/>
      <w:r w:rsidRPr="00160343">
        <w:t xml:space="preserve">Thorstad, E.B., Whoriskey, F., Uglem, I., Moore, A., Rikardsen, A.H., Finstad, B., 2012b. A critical life stage of the Atlantic salmon </w:t>
      </w:r>
      <w:r w:rsidRPr="00160343">
        <w:rPr>
          <w:i/>
        </w:rPr>
        <w:t>Salmo salar</w:t>
      </w:r>
      <w:r w:rsidRPr="00160343">
        <w:t>: behaviour and survival during the smolt and initial post-smolt migration. J. Fish Biol. 81, 500-542.</w:t>
      </w:r>
      <w:bookmarkEnd w:id="59"/>
    </w:p>
    <w:p w:rsidR="006B2CB7" w:rsidRPr="00160343" w:rsidRDefault="006B2CB7" w:rsidP="00F60862">
      <w:pPr>
        <w:pStyle w:val="EndNoteBibliography"/>
        <w:ind w:left="720" w:hanging="720"/>
      </w:pPr>
      <w:r w:rsidRPr="006B2CB7">
        <w:t xml:space="preserve">Tonnes, D.M., 2007. Fish use and water quality in select channels regulated by tide gates within the Snohomish River estuary. In: Giannico G., Cooper R., (Eds.), Proceedings </w:t>
      </w:r>
      <w:r>
        <w:t>of the West Coast Symposium on The e</w:t>
      </w:r>
      <w:r w:rsidRPr="006B2CB7">
        <w:t>ffects of tide gates on estuarine habitats and fishes. Oregon State University: Oregon, 41-86.</w:t>
      </w:r>
    </w:p>
    <w:p w:rsidR="00A92636" w:rsidRPr="00160343" w:rsidRDefault="00A92636" w:rsidP="00F60862">
      <w:pPr>
        <w:pStyle w:val="EndNoteBibliography"/>
        <w:ind w:left="720" w:hanging="720"/>
      </w:pPr>
      <w:bookmarkStart w:id="60" w:name="_ENREF_60"/>
      <w:r w:rsidRPr="00160343">
        <w:t>Weatherhead, E.K., Knox, J.W., 2000. Predicting and mapping the future demand for irrigation water in England and Wales. Agric. Water Manage. 43, 203-218.</w:t>
      </w:r>
      <w:bookmarkEnd w:id="60"/>
    </w:p>
    <w:p w:rsidR="00A92636" w:rsidRPr="00160343" w:rsidRDefault="00A92636" w:rsidP="00F60862">
      <w:pPr>
        <w:pStyle w:val="EndNoteBibliography"/>
        <w:ind w:left="720" w:hanging="720"/>
      </w:pPr>
      <w:bookmarkStart w:id="61" w:name="_ENREF_61"/>
      <w:r w:rsidRPr="00160343">
        <w:t>Wilby, R.L., Orr, H.G., Hedger, M., Forrow, D., Blackmore, M., 2006. Risks posed by climate change to the delivery of Water Framework Directive objectives in the UK. Environ. Int. 32, 1043-1055.</w:t>
      </w:r>
      <w:bookmarkEnd w:id="61"/>
    </w:p>
    <w:p w:rsidR="00A92636" w:rsidRPr="00160343" w:rsidRDefault="00A92636" w:rsidP="00F60862">
      <w:pPr>
        <w:pStyle w:val="EndNoteBibliography"/>
        <w:ind w:left="720" w:hanging="720"/>
      </w:pPr>
      <w:bookmarkStart w:id="62" w:name="_ENREF_62"/>
      <w:r w:rsidRPr="00160343">
        <w:t>Zagarese, H.E., Williamson, C.E., 2001. The implications of solar UV radiation exposure for fish and fisheries. Fish Fish. 2, 250-260.</w:t>
      </w:r>
      <w:bookmarkEnd w:id="62"/>
    </w:p>
    <w:p w:rsidR="003320F3" w:rsidRDefault="00A92636" w:rsidP="00F60862">
      <w:pPr>
        <w:pStyle w:val="EndNoteBibliography"/>
        <w:ind w:left="720" w:hanging="720"/>
      </w:pPr>
      <w:bookmarkStart w:id="63" w:name="_ENREF_63"/>
      <w:r w:rsidRPr="00160343">
        <w:t>Zaugg, W.S., Prentice, E.F., Waknitz, F.W., 1985. Importance of river migration to the development of seawater tolerance in Columbia River anadromous salmonids. Aquaculture 51, 33-47.</w:t>
      </w:r>
      <w:bookmarkEnd w:id="63"/>
    </w:p>
    <w:sectPr w:rsidR="003320F3" w:rsidSect="001C024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8C" w:rsidRDefault="0059478C">
      <w:pPr>
        <w:spacing w:line="240" w:lineRule="auto"/>
      </w:pPr>
      <w:r>
        <w:separator/>
      </w:r>
    </w:p>
  </w:endnote>
  <w:endnote w:type="continuationSeparator" w:id="0">
    <w:p w:rsidR="0059478C" w:rsidRDefault="005947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1002A87" w:usb1="00000000" w:usb2="00000000" w:usb3="00000000" w:csb0="000100FF" w:csb1="00000000"/>
  </w:font>
  <w:font w:name="Century751 BT">
    <w:charset w:val="00"/>
    <w:family w:val="roman"/>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223" w:rsidRDefault="00077223">
    <w:pPr>
      <w:pStyle w:val="Footer"/>
    </w:pPr>
    <w:r>
      <w:tab/>
    </w:r>
    <w:r w:rsidR="00034502">
      <w:fldChar w:fldCharType="begin"/>
    </w:r>
    <w:r w:rsidR="00034502">
      <w:instrText xml:space="preserve"> PAGE   \* MERGEFORMAT </w:instrText>
    </w:r>
    <w:r w:rsidR="00034502">
      <w:fldChar w:fldCharType="separate"/>
    </w:r>
    <w:r w:rsidR="00B24CD9">
      <w:rPr>
        <w:noProof/>
      </w:rPr>
      <w:t>1</w:t>
    </w:r>
    <w:r w:rsidR="00034502">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8C" w:rsidRDefault="0059478C">
      <w:pPr>
        <w:spacing w:line="240" w:lineRule="auto"/>
      </w:pPr>
      <w:r>
        <w:separator/>
      </w:r>
    </w:p>
  </w:footnote>
  <w:footnote w:type="continuationSeparator" w:id="0">
    <w:p w:rsidR="0059478C" w:rsidRDefault="005947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3DE" w:rsidRPr="005A71C4" w:rsidRDefault="00B24CD9" w:rsidP="005A761A">
    <w:pPr>
      <w:pStyle w:val="Header"/>
      <w:tabs>
        <w:tab w:val="clear" w:pos="4153"/>
        <w:tab w:val="clear" w:pos="8306"/>
        <w:tab w:val="center" w:pos="4253"/>
        <w:tab w:val="right" w:pos="8505"/>
      </w:tabs>
      <w:rPr>
        <w:rFonts w:cstheme="minorHAnsi"/>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4EE"/>
    <w:multiLevelType w:val="hybridMultilevel"/>
    <w:tmpl w:val="0EA665A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nsid w:val="04387C2E"/>
    <w:multiLevelType w:val="hybridMultilevel"/>
    <w:tmpl w:val="AE5EE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C75ECF"/>
    <w:multiLevelType w:val="hybridMultilevel"/>
    <w:tmpl w:val="BAB07A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1D80542"/>
    <w:multiLevelType w:val="hybridMultilevel"/>
    <w:tmpl w:val="E270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348307E"/>
    <w:multiLevelType w:val="hybridMultilevel"/>
    <w:tmpl w:val="04DA8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941040"/>
    <w:multiLevelType w:val="hybridMultilevel"/>
    <w:tmpl w:val="5230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86E3E4B"/>
    <w:multiLevelType w:val="hybridMultilevel"/>
    <w:tmpl w:val="DAA6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3B7B83"/>
    <w:multiLevelType w:val="hybridMultilevel"/>
    <w:tmpl w:val="11589A9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8519AD"/>
    <w:multiLevelType w:val="hybridMultilevel"/>
    <w:tmpl w:val="8D3A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327F61"/>
    <w:multiLevelType w:val="hybridMultilevel"/>
    <w:tmpl w:val="10A83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094063"/>
    <w:multiLevelType w:val="hybridMultilevel"/>
    <w:tmpl w:val="6E3C65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7E4690F"/>
    <w:multiLevelType w:val="hybridMultilevel"/>
    <w:tmpl w:val="704C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AA574B"/>
    <w:multiLevelType w:val="hybridMultilevel"/>
    <w:tmpl w:val="2194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C12EBD"/>
    <w:multiLevelType w:val="hybridMultilevel"/>
    <w:tmpl w:val="9240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B948D8"/>
    <w:multiLevelType w:val="hybridMultilevel"/>
    <w:tmpl w:val="8DA69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FAF2A33"/>
    <w:multiLevelType w:val="hybridMultilevel"/>
    <w:tmpl w:val="B966F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674661E"/>
    <w:multiLevelType w:val="hybridMultilevel"/>
    <w:tmpl w:val="CFF80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6891DB4"/>
    <w:multiLevelType w:val="hybridMultilevel"/>
    <w:tmpl w:val="80141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9240FC6"/>
    <w:multiLevelType w:val="hybridMultilevel"/>
    <w:tmpl w:val="82CA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3BA146C"/>
    <w:multiLevelType w:val="hybridMultilevel"/>
    <w:tmpl w:val="3C5CF6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6272E1F"/>
    <w:multiLevelType w:val="hybridMultilevel"/>
    <w:tmpl w:val="478415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97863F4"/>
    <w:multiLevelType w:val="hybridMultilevel"/>
    <w:tmpl w:val="93629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DBE6527"/>
    <w:multiLevelType w:val="hybridMultilevel"/>
    <w:tmpl w:val="B71C3D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73636C4A"/>
    <w:multiLevelType w:val="hybridMultilevel"/>
    <w:tmpl w:val="48BA8BE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nsid w:val="7A3C2637"/>
    <w:multiLevelType w:val="hybridMultilevel"/>
    <w:tmpl w:val="A2B68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4"/>
  </w:num>
  <w:num w:numId="4">
    <w:abstractNumId w:val="2"/>
  </w:num>
  <w:num w:numId="5">
    <w:abstractNumId w:val="23"/>
  </w:num>
  <w:num w:numId="6">
    <w:abstractNumId w:val="19"/>
  </w:num>
  <w:num w:numId="7">
    <w:abstractNumId w:val="6"/>
  </w:num>
  <w:num w:numId="8">
    <w:abstractNumId w:val="18"/>
  </w:num>
  <w:num w:numId="9">
    <w:abstractNumId w:val="24"/>
  </w:num>
  <w:num w:numId="10">
    <w:abstractNumId w:val="8"/>
  </w:num>
  <w:num w:numId="11">
    <w:abstractNumId w:val="1"/>
  </w:num>
  <w:num w:numId="12">
    <w:abstractNumId w:val="9"/>
  </w:num>
  <w:num w:numId="13">
    <w:abstractNumId w:val="17"/>
  </w:num>
  <w:num w:numId="14">
    <w:abstractNumId w:val="11"/>
  </w:num>
  <w:num w:numId="15">
    <w:abstractNumId w:val="10"/>
  </w:num>
  <w:num w:numId="16">
    <w:abstractNumId w:val="7"/>
  </w:num>
  <w:num w:numId="17">
    <w:abstractNumId w:val="22"/>
  </w:num>
  <w:num w:numId="18">
    <w:abstractNumId w:val="16"/>
  </w:num>
  <w:num w:numId="19">
    <w:abstractNumId w:val="0"/>
  </w:num>
  <w:num w:numId="20">
    <w:abstractNumId w:val="5"/>
  </w:num>
  <w:num w:numId="21">
    <w:abstractNumId w:val="21"/>
  </w:num>
  <w:num w:numId="22">
    <w:abstractNumId w:val="13"/>
  </w:num>
  <w:num w:numId="23">
    <w:abstractNumId w:val="3"/>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A92636"/>
    <w:rsid w:val="0000339D"/>
    <w:rsid w:val="00021BCC"/>
    <w:rsid w:val="00024748"/>
    <w:rsid w:val="00034502"/>
    <w:rsid w:val="00043827"/>
    <w:rsid w:val="00043BA3"/>
    <w:rsid w:val="00050EED"/>
    <w:rsid w:val="00053557"/>
    <w:rsid w:val="0005704E"/>
    <w:rsid w:val="00062BDE"/>
    <w:rsid w:val="00077223"/>
    <w:rsid w:val="000B2055"/>
    <w:rsid w:val="000C22A7"/>
    <w:rsid w:val="000D6A8D"/>
    <w:rsid w:val="000E4E73"/>
    <w:rsid w:val="000F7B7C"/>
    <w:rsid w:val="00100225"/>
    <w:rsid w:val="00101068"/>
    <w:rsid w:val="00105869"/>
    <w:rsid w:val="001103E3"/>
    <w:rsid w:val="00123209"/>
    <w:rsid w:val="00132D20"/>
    <w:rsid w:val="00136943"/>
    <w:rsid w:val="00144EE4"/>
    <w:rsid w:val="00152924"/>
    <w:rsid w:val="00163424"/>
    <w:rsid w:val="00163771"/>
    <w:rsid w:val="0016516B"/>
    <w:rsid w:val="00177BD6"/>
    <w:rsid w:val="00177E22"/>
    <w:rsid w:val="0018352D"/>
    <w:rsid w:val="00192F0C"/>
    <w:rsid w:val="00193E8D"/>
    <w:rsid w:val="001A4F55"/>
    <w:rsid w:val="001B7915"/>
    <w:rsid w:val="001C0240"/>
    <w:rsid w:val="001C18A3"/>
    <w:rsid w:val="001E036B"/>
    <w:rsid w:val="001E0956"/>
    <w:rsid w:val="001E40E6"/>
    <w:rsid w:val="001F1620"/>
    <w:rsid w:val="001F5A95"/>
    <w:rsid w:val="0020393D"/>
    <w:rsid w:val="002257C4"/>
    <w:rsid w:val="00245755"/>
    <w:rsid w:val="002460D5"/>
    <w:rsid w:val="0025373A"/>
    <w:rsid w:val="00256E3C"/>
    <w:rsid w:val="00270925"/>
    <w:rsid w:val="00270B04"/>
    <w:rsid w:val="002C4334"/>
    <w:rsid w:val="002D2C4B"/>
    <w:rsid w:val="002E4D9F"/>
    <w:rsid w:val="002F13C0"/>
    <w:rsid w:val="002F4BE6"/>
    <w:rsid w:val="00300F5E"/>
    <w:rsid w:val="00307CE9"/>
    <w:rsid w:val="00311105"/>
    <w:rsid w:val="0032710C"/>
    <w:rsid w:val="0033245A"/>
    <w:rsid w:val="0035103A"/>
    <w:rsid w:val="00364439"/>
    <w:rsid w:val="00370F40"/>
    <w:rsid w:val="003746DB"/>
    <w:rsid w:val="003861F3"/>
    <w:rsid w:val="0039671C"/>
    <w:rsid w:val="003A3427"/>
    <w:rsid w:val="003A64A4"/>
    <w:rsid w:val="003B56CC"/>
    <w:rsid w:val="003E12CC"/>
    <w:rsid w:val="003E2647"/>
    <w:rsid w:val="003E4492"/>
    <w:rsid w:val="00403417"/>
    <w:rsid w:val="00404951"/>
    <w:rsid w:val="0042294E"/>
    <w:rsid w:val="00434DE5"/>
    <w:rsid w:val="004365C0"/>
    <w:rsid w:val="00440F54"/>
    <w:rsid w:val="00441830"/>
    <w:rsid w:val="00467D69"/>
    <w:rsid w:val="00472F0A"/>
    <w:rsid w:val="00483BC5"/>
    <w:rsid w:val="004B7920"/>
    <w:rsid w:val="004C1091"/>
    <w:rsid w:val="004C4B6F"/>
    <w:rsid w:val="004E268C"/>
    <w:rsid w:val="004F6512"/>
    <w:rsid w:val="005041B2"/>
    <w:rsid w:val="00506735"/>
    <w:rsid w:val="00516D30"/>
    <w:rsid w:val="00527856"/>
    <w:rsid w:val="00536D9D"/>
    <w:rsid w:val="00545047"/>
    <w:rsid w:val="005642CE"/>
    <w:rsid w:val="0056516D"/>
    <w:rsid w:val="005710E3"/>
    <w:rsid w:val="0058696F"/>
    <w:rsid w:val="0059478C"/>
    <w:rsid w:val="005A27C7"/>
    <w:rsid w:val="005A425B"/>
    <w:rsid w:val="005B4D8C"/>
    <w:rsid w:val="005C171B"/>
    <w:rsid w:val="005C7F3C"/>
    <w:rsid w:val="005D13A8"/>
    <w:rsid w:val="005D52FA"/>
    <w:rsid w:val="005D7839"/>
    <w:rsid w:val="00612BB5"/>
    <w:rsid w:val="00613B6C"/>
    <w:rsid w:val="00615484"/>
    <w:rsid w:val="00626F0B"/>
    <w:rsid w:val="00673C11"/>
    <w:rsid w:val="00676296"/>
    <w:rsid w:val="00697BED"/>
    <w:rsid w:val="006B2CB7"/>
    <w:rsid w:val="006C3524"/>
    <w:rsid w:val="006D7E4D"/>
    <w:rsid w:val="006F3A02"/>
    <w:rsid w:val="006F6A82"/>
    <w:rsid w:val="00704C8B"/>
    <w:rsid w:val="00722426"/>
    <w:rsid w:val="00725C7F"/>
    <w:rsid w:val="00734421"/>
    <w:rsid w:val="0073755E"/>
    <w:rsid w:val="00744884"/>
    <w:rsid w:val="00760CB9"/>
    <w:rsid w:val="007638A1"/>
    <w:rsid w:val="00766F98"/>
    <w:rsid w:val="00793395"/>
    <w:rsid w:val="00796D99"/>
    <w:rsid w:val="007B5ED3"/>
    <w:rsid w:val="007D166D"/>
    <w:rsid w:val="007D3478"/>
    <w:rsid w:val="007E2F02"/>
    <w:rsid w:val="007E424F"/>
    <w:rsid w:val="007F26B9"/>
    <w:rsid w:val="007F4E50"/>
    <w:rsid w:val="007F5FA9"/>
    <w:rsid w:val="0080298A"/>
    <w:rsid w:val="00807168"/>
    <w:rsid w:val="00807B69"/>
    <w:rsid w:val="008343D8"/>
    <w:rsid w:val="00841750"/>
    <w:rsid w:val="00844EF2"/>
    <w:rsid w:val="00863F03"/>
    <w:rsid w:val="00876E3E"/>
    <w:rsid w:val="00884312"/>
    <w:rsid w:val="00886403"/>
    <w:rsid w:val="008A7C74"/>
    <w:rsid w:val="008B4449"/>
    <w:rsid w:val="008B72EA"/>
    <w:rsid w:val="008D62C9"/>
    <w:rsid w:val="00900246"/>
    <w:rsid w:val="0090591C"/>
    <w:rsid w:val="00907E65"/>
    <w:rsid w:val="0091144D"/>
    <w:rsid w:val="00913935"/>
    <w:rsid w:val="00924524"/>
    <w:rsid w:val="00934732"/>
    <w:rsid w:val="0093652C"/>
    <w:rsid w:val="00947D66"/>
    <w:rsid w:val="00951C62"/>
    <w:rsid w:val="00955E36"/>
    <w:rsid w:val="00973F66"/>
    <w:rsid w:val="0097688F"/>
    <w:rsid w:val="009866D1"/>
    <w:rsid w:val="00987832"/>
    <w:rsid w:val="009943BD"/>
    <w:rsid w:val="009A20C8"/>
    <w:rsid w:val="009A5F1D"/>
    <w:rsid w:val="009C0F37"/>
    <w:rsid w:val="009D061B"/>
    <w:rsid w:val="009D2701"/>
    <w:rsid w:val="00A0106A"/>
    <w:rsid w:val="00A16C94"/>
    <w:rsid w:val="00A22B13"/>
    <w:rsid w:val="00A57DED"/>
    <w:rsid w:val="00A614D1"/>
    <w:rsid w:val="00A765D5"/>
    <w:rsid w:val="00A826B5"/>
    <w:rsid w:val="00A87EC3"/>
    <w:rsid w:val="00A91D61"/>
    <w:rsid w:val="00A92636"/>
    <w:rsid w:val="00A950F7"/>
    <w:rsid w:val="00AA3D09"/>
    <w:rsid w:val="00AC7FBD"/>
    <w:rsid w:val="00AD0770"/>
    <w:rsid w:val="00AD0EDA"/>
    <w:rsid w:val="00AD413A"/>
    <w:rsid w:val="00AD4A15"/>
    <w:rsid w:val="00AE40A5"/>
    <w:rsid w:val="00AF1CCC"/>
    <w:rsid w:val="00B050CE"/>
    <w:rsid w:val="00B1495F"/>
    <w:rsid w:val="00B24CD9"/>
    <w:rsid w:val="00B3529D"/>
    <w:rsid w:val="00B57167"/>
    <w:rsid w:val="00B61AC6"/>
    <w:rsid w:val="00B77F36"/>
    <w:rsid w:val="00B829A1"/>
    <w:rsid w:val="00B8477A"/>
    <w:rsid w:val="00B93448"/>
    <w:rsid w:val="00BA0976"/>
    <w:rsid w:val="00BA5036"/>
    <w:rsid w:val="00BB15F3"/>
    <w:rsid w:val="00BD1331"/>
    <w:rsid w:val="00BE4F70"/>
    <w:rsid w:val="00C132E2"/>
    <w:rsid w:val="00C142AF"/>
    <w:rsid w:val="00C158B1"/>
    <w:rsid w:val="00C2264B"/>
    <w:rsid w:val="00C22851"/>
    <w:rsid w:val="00C33473"/>
    <w:rsid w:val="00C54688"/>
    <w:rsid w:val="00C60A99"/>
    <w:rsid w:val="00C76E29"/>
    <w:rsid w:val="00C80CA8"/>
    <w:rsid w:val="00C923C5"/>
    <w:rsid w:val="00CC3AE9"/>
    <w:rsid w:val="00CC59C5"/>
    <w:rsid w:val="00CC66F5"/>
    <w:rsid w:val="00CD0CE7"/>
    <w:rsid w:val="00CD25F4"/>
    <w:rsid w:val="00CF488C"/>
    <w:rsid w:val="00D02AEE"/>
    <w:rsid w:val="00D0385D"/>
    <w:rsid w:val="00D13C2D"/>
    <w:rsid w:val="00D23E9C"/>
    <w:rsid w:val="00D37159"/>
    <w:rsid w:val="00D62112"/>
    <w:rsid w:val="00D74D75"/>
    <w:rsid w:val="00D84F5F"/>
    <w:rsid w:val="00D9571B"/>
    <w:rsid w:val="00DC5D09"/>
    <w:rsid w:val="00DD6CAC"/>
    <w:rsid w:val="00DE0BE4"/>
    <w:rsid w:val="00DE676B"/>
    <w:rsid w:val="00DF1C35"/>
    <w:rsid w:val="00DF4949"/>
    <w:rsid w:val="00E23C5D"/>
    <w:rsid w:val="00E32F68"/>
    <w:rsid w:val="00E37A13"/>
    <w:rsid w:val="00E46AC0"/>
    <w:rsid w:val="00E52775"/>
    <w:rsid w:val="00E57D37"/>
    <w:rsid w:val="00E7176B"/>
    <w:rsid w:val="00E75139"/>
    <w:rsid w:val="00E75374"/>
    <w:rsid w:val="00E8645A"/>
    <w:rsid w:val="00E879FF"/>
    <w:rsid w:val="00E900B9"/>
    <w:rsid w:val="00E944DE"/>
    <w:rsid w:val="00E96FDD"/>
    <w:rsid w:val="00EA2686"/>
    <w:rsid w:val="00EB307F"/>
    <w:rsid w:val="00EB638A"/>
    <w:rsid w:val="00EC6C59"/>
    <w:rsid w:val="00EF5602"/>
    <w:rsid w:val="00EF7F5F"/>
    <w:rsid w:val="00F01025"/>
    <w:rsid w:val="00F15EC3"/>
    <w:rsid w:val="00F22A2C"/>
    <w:rsid w:val="00F2375A"/>
    <w:rsid w:val="00F3367C"/>
    <w:rsid w:val="00F34376"/>
    <w:rsid w:val="00F572FF"/>
    <w:rsid w:val="00F60862"/>
    <w:rsid w:val="00F67C75"/>
    <w:rsid w:val="00F72552"/>
    <w:rsid w:val="00F734D5"/>
    <w:rsid w:val="00F74C49"/>
    <w:rsid w:val="00F77FA9"/>
    <w:rsid w:val="00F91D8B"/>
    <w:rsid w:val="00FA729A"/>
    <w:rsid w:val="00FD09F3"/>
    <w:rsid w:val="00FE41B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862"/>
    <w:pPr>
      <w:spacing w:after="0" w:line="360" w:lineRule="auto"/>
    </w:pPr>
    <w:rPr>
      <w:rFonts w:eastAsia="Times New Roman" w:cs="Times New Roman"/>
      <w:szCs w:val="24"/>
      <w:lang w:eastAsia="en-US"/>
    </w:rPr>
  </w:style>
  <w:style w:type="paragraph" w:styleId="Heading1">
    <w:name w:val="heading 1"/>
    <w:basedOn w:val="Normal"/>
    <w:next w:val="Normal"/>
    <w:link w:val="Heading1Char"/>
    <w:uiPriority w:val="9"/>
    <w:qFormat/>
    <w:rsid w:val="00A92636"/>
    <w:pPr>
      <w:keepNext/>
      <w:spacing w:line="240" w:lineRule="auto"/>
      <w:outlineLvl w:val="0"/>
    </w:pPr>
    <w:rPr>
      <w:rFonts w:cs="Arial"/>
      <w:b/>
      <w:bCs/>
      <w:kern w:val="32"/>
      <w:sz w:val="36"/>
      <w:szCs w:val="32"/>
    </w:rPr>
  </w:style>
  <w:style w:type="paragraph" w:styleId="Heading2">
    <w:name w:val="heading 2"/>
    <w:basedOn w:val="Normal"/>
    <w:next w:val="Normal"/>
    <w:link w:val="Heading2Char"/>
    <w:uiPriority w:val="9"/>
    <w:qFormat/>
    <w:rsid w:val="00A92636"/>
    <w:pPr>
      <w:outlineLvl w:val="1"/>
    </w:pPr>
    <w:rPr>
      <w:rFonts w:cs="Arial"/>
      <w:b/>
      <w:bCs/>
      <w:sz w:val="28"/>
      <w:lang w:eastAsia="en-GB"/>
    </w:rPr>
  </w:style>
  <w:style w:type="paragraph" w:styleId="Heading3">
    <w:name w:val="heading 3"/>
    <w:basedOn w:val="Normal"/>
    <w:next w:val="Normal"/>
    <w:link w:val="Heading3Char"/>
    <w:uiPriority w:val="9"/>
    <w:qFormat/>
    <w:rsid w:val="00A92636"/>
    <w:pPr>
      <w:keepNext/>
      <w:outlineLvl w:val="2"/>
    </w:pPr>
    <w:rPr>
      <w:rFonts w:cs="Arial"/>
      <w:b/>
      <w:bCs/>
      <w:szCs w:val="26"/>
    </w:rPr>
  </w:style>
  <w:style w:type="paragraph" w:styleId="Heading4">
    <w:name w:val="heading 4"/>
    <w:basedOn w:val="Normal"/>
    <w:next w:val="Normal"/>
    <w:link w:val="Heading4Char"/>
    <w:uiPriority w:val="9"/>
    <w:unhideWhenUsed/>
    <w:qFormat/>
    <w:rsid w:val="00A92636"/>
    <w:pPr>
      <w:keepNext/>
      <w:keepLines/>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2636"/>
    <w:pPr>
      <w:spacing w:after="0" w:line="240" w:lineRule="auto"/>
    </w:pPr>
    <w:rPr>
      <w:lang w:val="en-US" w:eastAsia="en-US"/>
    </w:rPr>
  </w:style>
  <w:style w:type="character" w:customStyle="1" w:styleId="NoSpacingChar">
    <w:name w:val="No Spacing Char"/>
    <w:basedOn w:val="DefaultParagraphFont"/>
    <w:link w:val="NoSpacing"/>
    <w:uiPriority w:val="1"/>
    <w:rsid w:val="00A92636"/>
    <w:rPr>
      <w:lang w:val="en-US" w:eastAsia="en-US"/>
    </w:rPr>
  </w:style>
  <w:style w:type="character" w:customStyle="1" w:styleId="Heading1Char">
    <w:name w:val="Heading 1 Char"/>
    <w:basedOn w:val="DefaultParagraphFont"/>
    <w:link w:val="Heading1"/>
    <w:uiPriority w:val="9"/>
    <w:rsid w:val="00A92636"/>
    <w:rPr>
      <w:rFonts w:eastAsia="Times New Roman" w:cs="Arial"/>
      <w:b/>
      <w:bCs/>
      <w:kern w:val="32"/>
      <w:sz w:val="36"/>
      <w:szCs w:val="32"/>
      <w:lang w:eastAsia="en-US"/>
    </w:rPr>
  </w:style>
  <w:style w:type="character" w:customStyle="1" w:styleId="Heading2Char">
    <w:name w:val="Heading 2 Char"/>
    <w:basedOn w:val="DefaultParagraphFont"/>
    <w:link w:val="Heading2"/>
    <w:uiPriority w:val="9"/>
    <w:rsid w:val="00A92636"/>
    <w:rPr>
      <w:rFonts w:eastAsia="Times New Roman" w:cs="Arial"/>
      <w:b/>
      <w:bCs/>
      <w:sz w:val="28"/>
      <w:szCs w:val="24"/>
      <w:lang w:eastAsia="en-GB"/>
    </w:rPr>
  </w:style>
  <w:style w:type="character" w:customStyle="1" w:styleId="Heading3Char">
    <w:name w:val="Heading 3 Char"/>
    <w:basedOn w:val="DefaultParagraphFont"/>
    <w:link w:val="Heading3"/>
    <w:uiPriority w:val="9"/>
    <w:rsid w:val="00A92636"/>
    <w:rPr>
      <w:rFonts w:eastAsia="Times New Roman" w:cs="Arial"/>
      <w:b/>
      <w:bCs/>
      <w:sz w:val="24"/>
      <w:szCs w:val="26"/>
      <w:lang w:eastAsia="en-US"/>
    </w:rPr>
  </w:style>
  <w:style w:type="character" w:customStyle="1" w:styleId="Heading4Char">
    <w:name w:val="Heading 4 Char"/>
    <w:basedOn w:val="DefaultParagraphFont"/>
    <w:link w:val="Heading4"/>
    <w:uiPriority w:val="9"/>
    <w:rsid w:val="00A92636"/>
    <w:rPr>
      <w:rFonts w:eastAsiaTheme="majorEastAsia" w:cstheme="majorBidi"/>
      <w:b/>
      <w:bCs/>
      <w:i/>
      <w:iCs/>
      <w:sz w:val="24"/>
      <w:szCs w:val="24"/>
      <w:lang w:eastAsia="en-US"/>
    </w:rPr>
  </w:style>
  <w:style w:type="paragraph" w:styleId="BodyText">
    <w:name w:val="Body Text"/>
    <w:basedOn w:val="Normal"/>
    <w:link w:val="BodyTextChar"/>
    <w:semiHidden/>
    <w:rsid w:val="00A92636"/>
    <w:rPr>
      <w:szCs w:val="22"/>
      <w:lang w:eastAsia="en-GB"/>
    </w:rPr>
  </w:style>
  <w:style w:type="character" w:customStyle="1" w:styleId="BodyTextChar">
    <w:name w:val="Body Text Char"/>
    <w:basedOn w:val="DefaultParagraphFont"/>
    <w:link w:val="BodyText"/>
    <w:semiHidden/>
    <w:rsid w:val="00A92636"/>
    <w:rPr>
      <w:rFonts w:eastAsia="Times New Roman" w:cs="Times New Roman"/>
      <w:sz w:val="24"/>
      <w:lang w:eastAsia="en-GB"/>
    </w:rPr>
  </w:style>
  <w:style w:type="paragraph" w:styleId="BodyTextIndent">
    <w:name w:val="Body Text Indent"/>
    <w:basedOn w:val="Normal"/>
    <w:link w:val="BodyTextIndentChar"/>
    <w:semiHidden/>
    <w:rsid w:val="00A92636"/>
    <w:pPr>
      <w:spacing w:after="120"/>
      <w:ind w:left="283"/>
    </w:pPr>
  </w:style>
  <w:style w:type="character" w:customStyle="1" w:styleId="BodyTextIndentChar">
    <w:name w:val="Body Text Indent Char"/>
    <w:basedOn w:val="DefaultParagraphFont"/>
    <w:link w:val="BodyTextIndent"/>
    <w:semiHidden/>
    <w:rsid w:val="00A92636"/>
    <w:rPr>
      <w:rFonts w:eastAsia="Times New Roman" w:cs="Times New Roman"/>
      <w:sz w:val="24"/>
      <w:szCs w:val="24"/>
      <w:lang w:eastAsia="en-US"/>
    </w:rPr>
  </w:style>
  <w:style w:type="paragraph" w:styleId="BalloonText">
    <w:name w:val="Balloon Text"/>
    <w:basedOn w:val="Normal"/>
    <w:link w:val="BalloonTextChar"/>
    <w:semiHidden/>
    <w:rsid w:val="00A92636"/>
    <w:rPr>
      <w:rFonts w:ascii="Tahoma" w:hAnsi="Tahoma" w:cs="Tahoma"/>
      <w:sz w:val="16"/>
      <w:szCs w:val="16"/>
    </w:rPr>
  </w:style>
  <w:style w:type="character" w:customStyle="1" w:styleId="BalloonTextChar">
    <w:name w:val="Balloon Text Char"/>
    <w:basedOn w:val="DefaultParagraphFont"/>
    <w:link w:val="BalloonText"/>
    <w:semiHidden/>
    <w:rsid w:val="00A92636"/>
    <w:rPr>
      <w:rFonts w:ascii="Tahoma" w:eastAsia="Times New Roman" w:hAnsi="Tahoma" w:cs="Tahoma"/>
      <w:sz w:val="16"/>
      <w:szCs w:val="16"/>
      <w:lang w:eastAsia="en-US"/>
    </w:rPr>
  </w:style>
  <w:style w:type="paragraph" w:styleId="Footer">
    <w:name w:val="footer"/>
    <w:basedOn w:val="Normal"/>
    <w:link w:val="FooterChar"/>
    <w:uiPriority w:val="99"/>
    <w:rsid w:val="00A92636"/>
    <w:pPr>
      <w:tabs>
        <w:tab w:val="center" w:pos="4153"/>
        <w:tab w:val="right" w:pos="8306"/>
      </w:tabs>
    </w:pPr>
  </w:style>
  <w:style w:type="character" w:customStyle="1" w:styleId="FooterChar">
    <w:name w:val="Footer Char"/>
    <w:basedOn w:val="DefaultParagraphFont"/>
    <w:link w:val="Footer"/>
    <w:uiPriority w:val="99"/>
    <w:rsid w:val="00A92636"/>
    <w:rPr>
      <w:rFonts w:eastAsia="Times New Roman" w:cs="Times New Roman"/>
      <w:sz w:val="24"/>
      <w:szCs w:val="24"/>
      <w:lang w:eastAsia="en-US"/>
    </w:rPr>
  </w:style>
  <w:style w:type="character" w:styleId="PageNumber">
    <w:name w:val="page number"/>
    <w:rsid w:val="00A92636"/>
    <w:rPr>
      <w:rFonts w:ascii="Lucida Sans" w:hAnsi="Lucida Sans"/>
      <w:sz w:val="20"/>
    </w:rPr>
  </w:style>
  <w:style w:type="paragraph" w:styleId="DocumentMap">
    <w:name w:val="Document Map"/>
    <w:basedOn w:val="Normal"/>
    <w:link w:val="DocumentMapChar"/>
    <w:semiHidden/>
    <w:rsid w:val="00A9263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92636"/>
    <w:rPr>
      <w:rFonts w:ascii="Tahoma" w:eastAsia="Times New Roman" w:hAnsi="Tahoma" w:cs="Tahoma"/>
      <w:sz w:val="20"/>
      <w:szCs w:val="20"/>
      <w:shd w:val="clear" w:color="auto" w:fill="000080"/>
      <w:lang w:eastAsia="en-US"/>
    </w:rPr>
  </w:style>
  <w:style w:type="paragraph" w:styleId="Header">
    <w:name w:val="header"/>
    <w:basedOn w:val="Normal"/>
    <w:link w:val="HeaderChar"/>
    <w:rsid w:val="00A92636"/>
    <w:pPr>
      <w:tabs>
        <w:tab w:val="center" w:pos="4153"/>
        <w:tab w:val="right" w:pos="8306"/>
      </w:tabs>
    </w:pPr>
  </w:style>
  <w:style w:type="character" w:customStyle="1" w:styleId="HeaderChar">
    <w:name w:val="Header Char"/>
    <w:basedOn w:val="DefaultParagraphFont"/>
    <w:link w:val="Header"/>
    <w:rsid w:val="00A92636"/>
    <w:rPr>
      <w:rFonts w:eastAsia="Times New Roman" w:cs="Times New Roman"/>
      <w:sz w:val="24"/>
      <w:szCs w:val="24"/>
      <w:lang w:eastAsia="en-US"/>
    </w:rPr>
  </w:style>
  <w:style w:type="paragraph" w:styleId="Caption">
    <w:name w:val="caption"/>
    <w:basedOn w:val="Normal"/>
    <w:next w:val="Normal"/>
    <w:rsid w:val="00A92636"/>
    <w:pPr>
      <w:spacing w:before="120"/>
      <w:jc w:val="center"/>
    </w:pPr>
    <w:rPr>
      <w:szCs w:val="26"/>
    </w:rPr>
  </w:style>
  <w:style w:type="character" w:styleId="Hyperlink">
    <w:name w:val="Hyperlink"/>
    <w:basedOn w:val="DefaultParagraphFont"/>
    <w:uiPriority w:val="99"/>
    <w:rsid w:val="00A92636"/>
    <w:rPr>
      <w:rFonts w:ascii="Lucida Sans" w:hAnsi="Lucida Sans"/>
      <w:color w:val="0000FF"/>
      <w:sz w:val="20"/>
      <w:u w:val="single"/>
    </w:rPr>
  </w:style>
  <w:style w:type="table" w:styleId="TableGrid">
    <w:name w:val="Table Grid"/>
    <w:basedOn w:val="TableNormal"/>
    <w:rsid w:val="00A92636"/>
    <w:pPr>
      <w:adjustRightInd w:val="0"/>
      <w:spacing w:before="40" w:after="40" w:line="240" w:lineRule="auto"/>
    </w:pPr>
    <w:rPr>
      <w:rFonts w:ascii="Lucida Sans" w:eastAsia="Times New Roman" w:hAnsi="Lucida Sans" w:cs="Times New Roman"/>
      <w:sz w:val="20"/>
      <w:szCs w:val="20"/>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Normal-SingleSpace">
    <w:name w:val="Normal - Single Space"/>
    <w:basedOn w:val="Normal"/>
    <w:rsid w:val="00A92636"/>
    <w:pPr>
      <w:spacing w:line="240" w:lineRule="auto"/>
    </w:pPr>
  </w:style>
  <w:style w:type="paragraph" w:customStyle="1" w:styleId="TableCell">
    <w:name w:val="Table Cell"/>
    <w:basedOn w:val="Normal-SingleSpace"/>
    <w:rsid w:val="00A92636"/>
    <w:pPr>
      <w:spacing w:before="40" w:after="40"/>
      <w:jc w:val="center"/>
    </w:pPr>
  </w:style>
  <w:style w:type="table" w:customStyle="1" w:styleId="FigureNoOutline">
    <w:name w:val="Figure No Outline"/>
    <w:basedOn w:val="TableNormal"/>
    <w:rsid w:val="00A92636"/>
    <w:pPr>
      <w:spacing w:after="0" w:line="240" w:lineRule="auto"/>
    </w:pPr>
    <w:rPr>
      <w:rFonts w:ascii="Lucida Sans" w:eastAsia="Times New Roman" w:hAnsi="Lucida Sans" w:cs="Times New Roman"/>
      <w:sz w:val="20"/>
      <w:szCs w:val="20"/>
    </w:rPr>
    <w:tblPr>
      <w:tblCellMar>
        <w:left w:w="0" w:type="dxa"/>
        <w:right w:w="0" w:type="dxa"/>
      </w:tblCellMar>
    </w:tblPr>
  </w:style>
  <w:style w:type="table" w:customStyle="1" w:styleId="FigureOutline">
    <w:name w:val="Figure Outline"/>
    <w:basedOn w:val="TableNormal"/>
    <w:rsid w:val="00A92636"/>
    <w:pPr>
      <w:spacing w:after="0" w:line="240" w:lineRule="auto"/>
    </w:pPr>
    <w:rPr>
      <w:rFonts w:ascii="Lucida Sans" w:eastAsia="Times New Roman" w:hAnsi="Lucida Sans" w:cs="Times New Roman"/>
      <w:sz w:val="20"/>
      <w:szCs w:val="20"/>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semiHidden/>
    <w:rsid w:val="00A92636"/>
  </w:style>
  <w:style w:type="paragraph" w:customStyle="1" w:styleId="Contents">
    <w:name w:val="Contents"/>
    <w:rsid w:val="00A92636"/>
    <w:pPr>
      <w:spacing w:after="0" w:line="240" w:lineRule="auto"/>
    </w:pPr>
    <w:rPr>
      <w:rFonts w:ascii="Lucida Sans" w:eastAsia="Times New Roman" w:hAnsi="Lucida Sans" w:cs="Arial"/>
      <w:b/>
      <w:bCs/>
      <w:kern w:val="32"/>
      <w:sz w:val="36"/>
      <w:szCs w:val="32"/>
      <w:lang w:val="en-US" w:eastAsia="en-US"/>
    </w:rPr>
  </w:style>
  <w:style w:type="paragraph" w:customStyle="1" w:styleId="TitlePage">
    <w:name w:val="TitlePage"/>
    <w:rsid w:val="00A92636"/>
    <w:pPr>
      <w:spacing w:after="0" w:line="240" w:lineRule="auto"/>
      <w:jc w:val="center"/>
    </w:pPr>
    <w:rPr>
      <w:rFonts w:ascii="Lucida Sans" w:eastAsia="Times New Roman" w:hAnsi="Lucida Sans" w:cs="Times New Roman"/>
      <w:szCs w:val="24"/>
      <w:lang w:val="en-US" w:eastAsia="en-US"/>
    </w:rPr>
  </w:style>
  <w:style w:type="paragraph" w:customStyle="1" w:styleId="Quotation">
    <w:name w:val="Quotation"/>
    <w:basedOn w:val="Normal"/>
    <w:rsid w:val="00A92636"/>
    <w:pPr>
      <w:ind w:left="567"/>
    </w:pPr>
    <w:rPr>
      <w:i/>
      <w:iCs/>
    </w:rPr>
  </w:style>
  <w:style w:type="paragraph" w:styleId="Title">
    <w:name w:val="Title"/>
    <w:basedOn w:val="Normal"/>
    <w:next w:val="Normal"/>
    <w:link w:val="TitleChar"/>
    <w:rsid w:val="00A92636"/>
    <w:pPr>
      <w:spacing w:before="240" w:after="60"/>
      <w:outlineLvl w:val="0"/>
    </w:pPr>
    <w:rPr>
      <w:rFonts w:eastAsiaTheme="majorEastAsia" w:cstheme="majorBidi"/>
      <w:b/>
      <w:bCs/>
      <w:kern w:val="28"/>
      <w:sz w:val="32"/>
      <w:szCs w:val="32"/>
    </w:rPr>
  </w:style>
  <w:style w:type="character" w:customStyle="1" w:styleId="TitleChar">
    <w:name w:val="Title Char"/>
    <w:basedOn w:val="DefaultParagraphFont"/>
    <w:link w:val="Title"/>
    <w:rsid w:val="00A92636"/>
    <w:rPr>
      <w:rFonts w:eastAsiaTheme="majorEastAsia" w:cstheme="majorBidi"/>
      <w:b/>
      <w:bCs/>
      <w:kern w:val="28"/>
      <w:sz w:val="32"/>
      <w:szCs w:val="32"/>
      <w:lang w:eastAsia="en-US"/>
    </w:rPr>
  </w:style>
  <w:style w:type="numbering" w:customStyle="1" w:styleId="NoList1">
    <w:name w:val="No List1"/>
    <w:next w:val="NoList"/>
    <w:uiPriority w:val="99"/>
    <w:semiHidden/>
    <w:unhideWhenUsed/>
    <w:rsid w:val="00A92636"/>
  </w:style>
  <w:style w:type="paragraph" w:customStyle="1" w:styleId="ListParagraph1">
    <w:name w:val="List Paragraph1"/>
    <w:basedOn w:val="Normal"/>
    <w:next w:val="ListParagraph"/>
    <w:uiPriority w:val="34"/>
    <w:qFormat/>
    <w:rsid w:val="00A92636"/>
    <w:pPr>
      <w:ind w:left="720"/>
      <w:contextualSpacing/>
      <w:jc w:val="both"/>
    </w:pPr>
    <w:rPr>
      <w:rFonts w:eastAsia="Calibri" w:cs="Arial"/>
      <w:szCs w:val="22"/>
    </w:rPr>
  </w:style>
  <w:style w:type="paragraph" w:styleId="ListParagraph">
    <w:name w:val="List Paragraph"/>
    <w:basedOn w:val="Normal"/>
    <w:uiPriority w:val="34"/>
    <w:qFormat/>
    <w:rsid w:val="00A92636"/>
    <w:pPr>
      <w:ind w:left="720"/>
      <w:contextualSpacing/>
    </w:pPr>
  </w:style>
  <w:style w:type="table" w:customStyle="1" w:styleId="TableGrid1">
    <w:name w:val="Table Grid1"/>
    <w:basedOn w:val="TableNormal"/>
    <w:next w:val="TableGrid"/>
    <w:uiPriority w:val="59"/>
    <w:rsid w:val="00A9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A92636"/>
    <w:rPr>
      <w:i/>
      <w:iCs/>
      <w:color w:val="000000" w:themeColor="text1"/>
    </w:rPr>
  </w:style>
  <w:style w:type="character" w:customStyle="1" w:styleId="QuoteChar">
    <w:name w:val="Quote Char"/>
    <w:basedOn w:val="DefaultParagraphFont"/>
    <w:link w:val="Quote"/>
    <w:uiPriority w:val="29"/>
    <w:rsid w:val="00A92636"/>
    <w:rPr>
      <w:rFonts w:eastAsia="Times New Roman" w:cs="Times New Roman"/>
      <w:i/>
      <w:iCs/>
      <w:color w:val="000000" w:themeColor="text1"/>
      <w:sz w:val="24"/>
      <w:szCs w:val="24"/>
      <w:lang w:eastAsia="en-US"/>
    </w:rPr>
  </w:style>
  <w:style w:type="paragraph" w:styleId="NormalWeb">
    <w:name w:val="Normal (Web)"/>
    <w:basedOn w:val="Normal"/>
    <w:uiPriority w:val="99"/>
    <w:unhideWhenUsed/>
    <w:rsid w:val="00A92636"/>
    <w:pPr>
      <w:spacing w:before="100" w:beforeAutospacing="1" w:after="100" w:afterAutospacing="1" w:line="240" w:lineRule="auto"/>
    </w:pPr>
    <w:rPr>
      <w:rFonts w:ascii="Times New Roman" w:eastAsiaTheme="minorEastAsia" w:hAnsi="Times New Roman"/>
      <w:lang w:eastAsia="en-GB"/>
    </w:rPr>
  </w:style>
  <w:style w:type="paragraph" w:styleId="Date">
    <w:name w:val="Date"/>
    <w:basedOn w:val="Normal"/>
    <w:next w:val="Normal"/>
    <w:link w:val="DateChar"/>
    <w:rsid w:val="00A92636"/>
  </w:style>
  <w:style w:type="character" w:customStyle="1" w:styleId="DateChar">
    <w:name w:val="Date Char"/>
    <w:basedOn w:val="DefaultParagraphFont"/>
    <w:link w:val="Date"/>
    <w:rsid w:val="00A92636"/>
    <w:rPr>
      <w:rFonts w:eastAsia="Times New Roman" w:cs="Times New Roman"/>
      <w:sz w:val="24"/>
      <w:szCs w:val="24"/>
      <w:lang w:eastAsia="en-US"/>
    </w:rPr>
  </w:style>
  <w:style w:type="paragraph" w:customStyle="1" w:styleId="EndNoteBibliographyTitle">
    <w:name w:val="EndNote Bibliography Title"/>
    <w:basedOn w:val="Normal"/>
    <w:link w:val="EndNoteBibliographyTitleChar"/>
    <w:rsid w:val="00A92636"/>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92636"/>
    <w:rPr>
      <w:rFonts w:ascii="Calibri" w:eastAsia="Times New Roman" w:hAnsi="Calibri" w:cs="Times New Roman"/>
      <w:noProof/>
      <w:szCs w:val="24"/>
      <w:lang w:val="en-US" w:eastAsia="en-US"/>
    </w:rPr>
  </w:style>
  <w:style w:type="paragraph" w:customStyle="1" w:styleId="EndNoteBibliography">
    <w:name w:val="EndNote Bibliography"/>
    <w:basedOn w:val="Normal"/>
    <w:link w:val="EndNoteBibliographyChar"/>
    <w:rsid w:val="00A9263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92636"/>
    <w:rPr>
      <w:rFonts w:ascii="Calibri" w:eastAsia="Times New Roman" w:hAnsi="Calibri" w:cs="Times New Roman"/>
      <w:noProof/>
      <w:szCs w:val="24"/>
      <w:lang w:val="en-US" w:eastAsia="en-US"/>
    </w:rPr>
  </w:style>
  <w:style w:type="character" w:styleId="CommentReference">
    <w:name w:val="annotation reference"/>
    <w:basedOn w:val="DefaultParagraphFont"/>
    <w:uiPriority w:val="99"/>
    <w:rsid w:val="00A92636"/>
    <w:rPr>
      <w:rFonts w:cs="Times New Roman"/>
      <w:sz w:val="16"/>
      <w:szCs w:val="16"/>
    </w:rPr>
  </w:style>
  <w:style w:type="paragraph" w:styleId="CommentText">
    <w:name w:val="annotation text"/>
    <w:basedOn w:val="Normal"/>
    <w:link w:val="CommentTextChar"/>
    <w:uiPriority w:val="99"/>
    <w:rsid w:val="00A92636"/>
    <w:rPr>
      <w:rFonts w:ascii="Calibri" w:hAnsi="Calibri"/>
      <w:sz w:val="20"/>
      <w:szCs w:val="20"/>
    </w:rPr>
  </w:style>
  <w:style w:type="character" w:customStyle="1" w:styleId="CommentTextChar">
    <w:name w:val="Comment Text Char"/>
    <w:basedOn w:val="DefaultParagraphFont"/>
    <w:link w:val="CommentText"/>
    <w:uiPriority w:val="99"/>
    <w:rsid w:val="00A92636"/>
    <w:rPr>
      <w:rFonts w:ascii="Calibri" w:eastAsia="Times New Roman" w:hAnsi="Calibri" w:cs="Times New Roman"/>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able of figures"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862"/>
    <w:pPr>
      <w:spacing w:after="0" w:line="360" w:lineRule="auto"/>
    </w:pPr>
    <w:rPr>
      <w:rFonts w:eastAsia="Times New Roman" w:cs="Times New Roman"/>
      <w:szCs w:val="24"/>
      <w:lang w:eastAsia="en-US"/>
    </w:rPr>
  </w:style>
  <w:style w:type="paragraph" w:styleId="Heading1">
    <w:name w:val="heading 1"/>
    <w:basedOn w:val="Normal"/>
    <w:next w:val="Normal"/>
    <w:link w:val="Heading1Char"/>
    <w:uiPriority w:val="9"/>
    <w:qFormat/>
    <w:rsid w:val="00A92636"/>
    <w:pPr>
      <w:keepNext/>
      <w:spacing w:line="240" w:lineRule="auto"/>
      <w:outlineLvl w:val="0"/>
    </w:pPr>
    <w:rPr>
      <w:rFonts w:cs="Arial"/>
      <w:b/>
      <w:bCs/>
      <w:kern w:val="32"/>
      <w:sz w:val="36"/>
      <w:szCs w:val="32"/>
    </w:rPr>
  </w:style>
  <w:style w:type="paragraph" w:styleId="Heading2">
    <w:name w:val="heading 2"/>
    <w:basedOn w:val="Normal"/>
    <w:next w:val="Normal"/>
    <w:link w:val="Heading2Char"/>
    <w:uiPriority w:val="9"/>
    <w:qFormat/>
    <w:rsid w:val="00A92636"/>
    <w:pPr>
      <w:outlineLvl w:val="1"/>
    </w:pPr>
    <w:rPr>
      <w:rFonts w:cs="Arial"/>
      <w:b/>
      <w:bCs/>
      <w:sz w:val="28"/>
      <w:lang w:eastAsia="en-GB"/>
    </w:rPr>
  </w:style>
  <w:style w:type="paragraph" w:styleId="Heading3">
    <w:name w:val="heading 3"/>
    <w:basedOn w:val="Normal"/>
    <w:next w:val="Normal"/>
    <w:link w:val="Heading3Char"/>
    <w:uiPriority w:val="9"/>
    <w:qFormat/>
    <w:rsid w:val="00A92636"/>
    <w:pPr>
      <w:keepNext/>
      <w:outlineLvl w:val="2"/>
    </w:pPr>
    <w:rPr>
      <w:rFonts w:cs="Arial"/>
      <w:b/>
      <w:bCs/>
      <w:szCs w:val="26"/>
    </w:rPr>
  </w:style>
  <w:style w:type="paragraph" w:styleId="Heading4">
    <w:name w:val="heading 4"/>
    <w:basedOn w:val="Normal"/>
    <w:next w:val="Normal"/>
    <w:link w:val="Heading4Char"/>
    <w:uiPriority w:val="9"/>
    <w:unhideWhenUsed/>
    <w:qFormat/>
    <w:rsid w:val="00A92636"/>
    <w:pPr>
      <w:keepNext/>
      <w:keepLines/>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2636"/>
    <w:pPr>
      <w:spacing w:after="0" w:line="240" w:lineRule="auto"/>
    </w:pPr>
    <w:rPr>
      <w:lang w:val="en-US" w:eastAsia="en-US"/>
    </w:rPr>
  </w:style>
  <w:style w:type="character" w:customStyle="1" w:styleId="NoSpacingChar">
    <w:name w:val="No Spacing Char"/>
    <w:basedOn w:val="DefaultParagraphFont"/>
    <w:link w:val="NoSpacing"/>
    <w:uiPriority w:val="1"/>
    <w:rsid w:val="00A92636"/>
    <w:rPr>
      <w:lang w:val="en-US" w:eastAsia="en-US"/>
    </w:rPr>
  </w:style>
  <w:style w:type="character" w:customStyle="1" w:styleId="Heading1Char">
    <w:name w:val="Heading 1 Char"/>
    <w:basedOn w:val="DefaultParagraphFont"/>
    <w:link w:val="Heading1"/>
    <w:uiPriority w:val="9"/>
    <w:rsid w:val="00A92636"/>
    <w:rPr>
      <w:rFonts w:eastAsia="Times New Roman" w:cs="Arial"/>
      <w:b/>
      <w:bCs/>
      <w:kern w:val="32"/>
      <w:sz w:val="36"/>
      <w:szCs w:val="32"/>
      <w:lang w:eastAsia="en-US"/>
    </w:rPr>
  </w:style>
  <w:style w:type="character" w:customStyle="1" w:styleId="Heading2Char">
    <w:name w:val="Heading 2 Char"/>
    <w:basedOn w:val="DefaultParagraphFont"/>
    <w:link w:val="Heading2"/>
    <w:uiPriority w:val="9"/>
    <w:rsid w:val="00A92636"/>
    <w:rPr>
      <w:rFonts w:eastAsia="Times New Roman" w:cs="Arial"/>
      <w:b/>
      <w:bCs/>
      <w:sz w:val="28"/>
      <w:szCs w:val="24"/>
      <w:lang w:eastAsia="en-GB"/>
    </w:rPr>
  </w:style>
  <w:style w:type="character" w:customStyle="1" w:styleId="Heading3Char">
    <w:name w:val="Heading 3 Char"/>
    <w:basedOn w:val="DefaultParagraphFont"/>
    <w:link w:val="Heading3"/>
    <w:uiPriority w:val="9"/>
    <w:rsid w:val="00A92636"/>
    <w:rPr>
      <w:rFonts w:eastAsia="Times New Roman" w:cs="Arial"/>
      <w:b/>
      <w:bCs/>
      <w:sz w:val="24"/>
      <w:szCs w:val="26"/>
      <w:lang w:eastAsia="en-US"/>
    </w:rPr>
  </w:style>
  <w:style w:type="character" w:customStyle="1" w:styleId="Heading4Char">
    <w:name w:val="Heading 4 Char"/>
    <w:basedOn w:val="DefaultParagraphFont"/>
    <w:link w:val="Heading4"/>
    <w:uiPriority w:val="9"/>
    <w:rsid w:val="00A92636"/>
    <w:rPr>
      <w:rFonts w:eastAsiaTheme="majorEastAsia" w:cstheme="majorBidi"/>
      <w:b/>
      <w:bCs/>
      <w:i/>
      <w:iCs/>
      <w:sz w:val="24"/>
      <w:szCs w:val="24"/>
      <w:lang w:eastAsia="en-US"/>
    </w:rPr>
  </w:style>
  <w:style w:type="paragraph" w:styleId="BodyText">
    <w:name w:val="Body Text"/>
    <w:basedOn w:val="Normal"/>
    <w:link w:val="BodyTextChar"/>
    <w:semiHidden/>
    <w:rsid w:val="00A92636"/>
    <w:rPr>
      <w:szCs w:val="22"/>
      <w:lang w:eastAsia="en-GB"/>
    </w:rPr>
  </w:style>
  <w:style w:type="character" w:customStyle="1" w:styleId="BodyTextChar">
    <w:name w:val="Body Text Char"/>
    <w:basedOn w:val="DefaultParagraphFont"/>
    <w:link w:val="BodyText"/>
    <w:semiHidden/>
    <w:rsid w:val="00A92636"/>
    <w:rPr>
      <w:rFonts w:eastAsia="Times New Roman" w:cs="Times New Roman"/>
      <w:sz w:val="24"/>
      <w:lang w:eastAsia="en-GB"/>
    </w:rPr>
  </w:style>
  <w:style w:type="paragraph" w:styleId="BodyTextIndent">
    <w:name w:val="Body Text Indent"/>
    <w:basedOn w:val="Normal"/>
    <w:link w:val="BodyTextIndentChar"/>
    <w:semiHidden/>
    <w:rsid w:val="00A92636"/>
    <w:pPr>
      <w:spacing w:after="120"/>
      <w:ind w:left="283"/>
    </w:pPr>
  </w:style>
  <w:style w:type="character" w:customStyle="1" w:styleId="BodyTextIndentChar">
    <w:name w:val="Body Text Indent Char"/>
    <w:basedOn w:val="DefaultParagraphFont"/>
    <w:link w:val="BodyTextIndent"/>
    <w:semiHidden/>
    <w:rsid w:val="00A92636"/>
    <w:rPr>
      <w:rFonts w:eastAsia="Times New Roman" w:cs="Times New Roman"/>
      <w:sz w:val="24"/>
      <w:szCs w:val="24"/>
      <w:lang w:eastAsia="en-US"/>
    </w:rPr>
  </w:style>
  <w:style w:type="paragraph" w:styleId="BalloonText">
    <w:name w:val="Balloon Text"/>
    <w:basedOn w:val="Normal"/>
    <w:link w:val="BalloonTextChar"/>
    <w:semiHidden/>
    <w:rsid w:val="00A92636"/>
    <w:rPr>
      <w:rFonts w:ascii="Tahoma" w:hAnsi="Tahoma" w:cs="Tahoma"/>
      <w:sz w:val="16"/>
      <w:szCs w:val="16"/>
    </w:rPr>
  </w:style>
  <w:style w:type="character" w:customStyle="1" w:styleId="BalloonTextChar">
    <w:name w:val="Balloon Text Char"/>
    <w:basedOn w:val="DefaultParagraphFont"/>
    <w:link w:val="BalloonText"/>
    <w:semiHidden/>
    <w:rsid w:val="00A92636"/>
    <w:rPr>
      <w:rFonts w:ascii="Tahoma" w:eastAsia="Times New Roman" w:hAnsi="Tahoma" w:cs="Tahoma"/>
      <w:sz w:val="16"/>
      <w:szCs w:val="16"/>
      <w:lang w:eastAsia="en-US"/>
    </w:rPr>
  </w:style>
  <w:style w:type="paragraph" w:styleId="Footer">
    <w:name w:val="footer"/>
    <w:basedOn w:val="Normal"/>
    <w:link w:val="FooterChar"/>
    <w:uiPriority w:val="99"/>
    <w:rsid w:val="00A92636"/>
    <w:pPr>
      <w:tabs>
        <w:tab w:val="center" w:pos="4153"/>
        <w:tab w:val="right" w:pos="8306"/>
      </w:tabs>
    </w:pPr>
  </w:style>
  <w:style w:type="character" w:customStyle="1" w:styleId="FooterChar">
    <w:name w:val="Footer Char"/>
    <w:basedOn w:val="DefaultParagraphFont"/>
    <w:link w:val="Footer"/>
    <w:uiPriority w:val="99"/>
    <w:rsid w:val="00A92636"/>
    <w:rPr>
      <w:rFonts w:eastAsia="Times New Roman" w:cs="Times New Roman"/>
      <w:sz w:val="24"/>
      <w:szCs w:val="24"/>
      <w:lang w:eastAsia="en-US"/>
    </w:rPr>
  </w:style>
  <w:style w:type="character" w:styleId="PageNumber">
    <w:name w:val="page number"/>
    <w:rsid w:val="00A92636"/>
    <w:rPr>
      <w:rFonts w:ascii="Lucida Sans" w:hAnsi="Lucida Sans"/>
      <w:sz w:val="20"/>
    </w:rPr>
  </w:style>
  <w:style w:type="paragraph" w:styleId="DocumentMap">
    <w:name w:val="Document Map"/>
    <w:basedOn w:val="Normal"/>
    <w:link w:val="DocumentMapChar"/>
    <w:semiHidden/>
    <w:rsid w:val="00A9263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92636"/>
    <w:rPr>
      <w:rFonts w:ascii="Tahoma" w:eastAsia="Times New Roman" w:hAnsi="Tahoma" w:cs="Tahoma"/>
      <w:sz w:val="20"/>
      <w:szCs w:val="20"/>
      <w:shd w:val="clear" w:color="auto" w:fill="000080"/>
      <w:lang w:eastAsia="en-US"/>
    </w:rPr>
  </w:style>
  <w:style w:type="paragraph" w:styleId="Header">
    <w:name w:val="header"/>
    <w:basedOn w:val="Normal"/>
    <w:link w:val="HeaderChar"/>
    <w:rsid w:val="00A92636"/>
    <w:pPr>
      <w:tabs>
        <w:tab w:val="center" w:pos="4153"/>
        <w:tab w:val="right" w:pos="8306"/>
      </w:tabs>
    </w:pPr>
  </w:style>
  <w:style w:type="character" w:customStyle="1" w:styleId="HeaderChar">
    <w:name w:val="Header Char"/>
    <w:basedOn w:val="DefaultParagraphFont"/>
    <w:link w:val="Header"/>
    <w:rsid w:val="00A92636"/>
    <w:rPr>
      <w:rFonts w:eastAsia="Times New Roman" w:cs="Times New Roman"/>
      <w:sz w:val="24"/>
      <w:szCs w:val="24"/>
      <w:lang w:eastAsia="en-US"/>
    </w:rPr>
  </w:style>
  <w:style w:type="paragraph" w:styleId="Caption">
    <w:name w:val="caption"/>
    <w:basedOn w:val="Normal"/>
    <w:next w:val="Normal"/>
    <w:rsid w:val="00A92636"/>
    <w:pPr>
      <w:spacing w:before="120"/>
      <w:jc w:val="center"/>
    </w:pPr>
    <w:rPr>
      <w:szCs w:val="26"/>
    </w:rPr>
  </w:style>
  <w:style w:type="character" w:styleId="Hyperlink">
    <w:name w:val="Hyperlink"/>
    <w:basedOn w:val="DefaultParagraphFont"/>
    <w:uiPriority w:val="99"/>
    <w:rsid w:val="00A92636"/>
    <w:rPr>
      <w:rFonts w:ascii="Lucida Sans" w:hAnsi="Lucida Sans"/>
      <w:color w:val="0000FF"/>
      <w:sz w:val="20"/>
      <w:u w:val="single"/>
    </w:rPr>
  </w:style>
  <w:style w:type="table" w:styleId="TableGrid">
    <w:name w:val="Table Grid"/>
    <w:basedOn w:val="TableNormal"/>
    <w:rsid w:val="00A92636"/>
    <w:pPr>
      <w:adjustRightInd w:val="0"/>
      <w:spacing w:before="40" w:after="40" w:line="240" w:lineRule="auto"/>
    </w:pPr>
    <w:rPr>
      <w:rFonts w:ascii="Lucida Sans" w:eastAsia="Times New Roman" w:hAnsi="Lucida Sans" w:cs="Times New Roman"/>
      <w:sz w:val="20"/>
      <w:szCs w:val="20"/>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Normal-SingleSpace">
    <w:name w:val="Normal - Single Space"/>
    <w:basedOn w:val="Normal"/>
    <w:rsid w:val="00A92636"/>
    <w:pPr>
      <w:spacing w:line="240" w:lineRule="auto"/>
    </w:pPr>
  </w:style>
  <w:style w:type="paragraph" w:customStyle="1" w:styleId="TableCell">
    <w:name w:val="Table Cell"/>
    <w:basedOn w:val="Normal-SingleSpace"/>
    <w:rsid w:val="00A92636"/>
    <w:pPr>
      <w:spacing w:before="40" w:after="40"/>
      <w:jc w:val="center"/>
    </w:pPr>
  </w:style>
  <w:style w:type="table" w:customStyle="1" w:styleId="FigureNoOutline">
    <w:name w:val="Figure No Outline"/>
    <w:basedOn w:val="TableNormal"/>
    <w:rsid w:val="00A92636"/>
    <w:pPr>
      <w:spacing w:after="0" w:line="240" w:lineRule="auto"/>
    </w:pPr>
    <w:rPr>
      <w:rFonts w:ascii="Lucida Sans" w:eastAsia="Times New Roman" w:hAnsi="Lucida Sans" w:cs="Times New Roman"/>
      <w:sz w:val="20"/>
      <w:szCs w:val="20"/>
    </w:rPr>
    <w:tblPr>
      <w:tblCellMar>
        <w:left w:w="0" w:type="dxa"/>
        <w:right w:w="0" w:type="dxa"/>
      </w:tblCellMar>
    </w:tblPr>
  </w:style>
  <w:style w:type="table" w:customStyle="1" w:styleId="FigureOutline">
    <w:name w:val="Figure Outline"/>
    <w:basedOn w:val="TableNormal"/>
    <w:rsid w:val="00A92636"/>
    <w:pPr>
      <w:spacing w:after="0" w:line="240" w:lineRule="auto"/>
    </w:pPr>
    <w:rPr>
      <w:rFonts w:ascii="Lucida Sans" w:eastAsia="Times New Roman" w:hAnsi="Lucida Sans" w:cs="Times New Roman"/>
      <w:sz w:val="20"/>
      <w:szCs w:val="20"/>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semiHidden/>
    <w:rsid w:val="00A92636"/>
  </w:style>
  <w:style w:type="paragraph" w:customStyle="1" w:styleId="Contents">
    <w:name w:val="Contents"/>
    <w:rsid w:val="00A92636"/>
    <w:pPr>
      <w:spacing w:after="0" w:line="240" w:lineRule="auto"/>
    </w:pPr>
    <w:rPr>
      <w:rFonts w:ascii="Lucida Sans" w:eastAsia="Times New Roman" w:hAnsi="Lucida Sans" w:cs="Arial"/>
      <w:b/>
      <w:bCs/>
      <w:kern w:val="32"/>
      <w:sz w:val="36"/>
      <w:szCs w:val="32"/>
      <w:lang w:val="en-US" w:eastAsia="en-US"/>
    </w:rPr>
  </w:style>
  <w:style w:type="paragraph" w:customStyle="1" w:styleId="TitlePage">
    <w:name w:val="TitlePage"/>
    <w:rsid w:val="00A92636"/>
    <w:pPr>
      <w:spacing w:after="0" w:line="240" w:lineRule="auto"/>
      <w:jc w:val="center"/>
    </w:pPr>
    <w:rPr>
      <w:rFonts w:ascii="Lucida Sans" w:eastAsia="Times New Roman" w:hAnsi="Lucida Sans" w:cs="Times New Roman"/>
      <w:szCs w:val="24"/>
      <w:lang w:val="en-US" w:eastAsia="en-US"/>
    </w:rPr>
  </w:style>
  <w:style w:type="paragraph" w:customStyle="1" w:styleId="Quotation">
    <w:name w:val="Quotation"/>
    <w:basedOn w:val="Normal"/>
    <w:rsid w:val="00A92636"/>
    <w:pPr>
      <w:ind w:left="567"/>
    </w:pPr>
    <w:rPr>
      <w:i/>
      <w:iCs/>
    </w:rPr>
  </w:style>
  <w:style w:type="paragraph" w:styleId="Title">
    <w:name w:val="Title"/>
    <w:basedOn w:val="Normal"/>
    <w:next w:val="Normal"/>
    <w:link w:val="TitleChar"/>
    <w:rsid w:val="00A92636"/>
    <w:pPr>
      <w:spacing w:before="240" w:after="60"/>
      <w:outlineLvl w:val="0"/>
    </w:pPr>
    <w:rPr>
      <w:rFonts w:eastAsiaTheme="majorEastAsia" w:cstheme="majorBidi"/>
      <w:b/>
      <w:bCs/>
      <w:kern w:val="28"/>
      <w:sz w:val="32"/>
      <w:szCs w:val="32"/>
    </w:rPr>
  </w:style>
  <w:style w:type="character" w:customStyle="1" w:styleId="TitleChar">
    <w:name w:val="Title Char"/>
    <w:basedOn w:val="DefaultParagraphFont"/>
    <w:link w:val="Title"/>
    <w:rsid w:val="00A92636"/>
    <w:rPr>
      <w:rFonts w:eastAsiaTheme="majorEastAsia" w:cstheme="majorBidi"/>
      <w:b/>
      <w:bCs/>
      <w:kern w:val="28"/>
      <w:sz w:val="32"/>
      <w:szCs w:val="32"/>
      <w:lang w:eastAsia="en-US"/>
    </w:rPr>
  </w:style>
  <w:style w:type="numbering" w:customStyle="1" w:styleId="NoList1">
    <w:name w:val="No List1"/>
    <w:next w:val="NoList"/>
    <w:uiPriority w:val="99"/>
    <w:semiHidden/>
    <w:unhideWhenUsed/>
    <w:rsid w:val="00A92636"/>
  </w:style>
  <w:style w:type="paragraph" w:customStyle="1" w:styleId="ListParagraph1">
    <w:name w:val="List Paragraph1"/>
    <w:basedOn w:val="Normal"/>
    <w:next w:val="ListParagraph"/>
    <w:uiPriority w:val="34"/>
    <w:qFormat/>
    <w:rsid w:val="00A92636"/>
    <w:pPr>
      <w:ind w:left="720"/>
      <w:contextualSpacing/>
      <w:jc w:val="both"/>
    </w:pPr>
    <w:rPr>
      <w:rFonts w:eastAsia="Calibri" w:cs="Arial"/>
      <w:szCs w:val="22"/>
    </w:rPr>
  </w:style>
  <w:style w:type="paragraph" w:styleId="ListParagraph">
    <w:name w:val="List Paragraph"/>
    <w:basedOn w:val="Normal"/>
    <w:uiPriority w:val="34"/>
    <w:qFormat/>
    <w:rsid w:val="00A92636"/>
    <w:pPr>
      <w:ind w:left="720"/>
      <w:contextualSpacing/>
    </w:pPr>
  </w:style>
  <w:style w:type="table" w:customStyle="1" w:styleId="TableGrid1">
    <w:name w:val="Table Grid1"/>
    <w:basedOn w:val="TableNormal"/>
    <w:next w:val="TableGrid"/>
    <w:uiPriority w:val="59"/>
    <w:rsid w:val="00A92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A92636"/>
    <w:rPr>
      <w:i/>
      <w:iCs/>
      <w:color w:val="000000" w:themeColor="text1"/>
    </w:rPr>
  </w:style>
  <w:style w:type="character" w:customStyle="1" w:styleId="QuoteChar">
    <w:name w:val="Quote Char"/>
    <w:basedOn w:val="DefaultParagraphFont"/>
    <w:link w:val="Quote"/>
    <w:uiPriority w:val="29"/>
    <w:rsid w:val="00A92636"/>
    <w:rPr>
      <w:rFonts w:eastAsia="Times New Roman" w:cs="Times New Roman"/>
      <w:i/>
      <w:iCs/>
      <w:color w:val="000000" w:themeColor="text1"/>
      <w:sz w:val="24"/>
      <w:szCs w:val="24"/>
      <w:lang w:eastAsia="en-US"/>
    </w:rPr>
  </w:style>
  <w:style w:type="paragraph" w:styleId="NormalWeb">
    <w:name w:val="Normal (Web)"/>
    <w:basedOn w:val="Normal"/>
    <w:uiPriority w:val="99"/>
    <w:unhideWhenUsed/>
    <w:rsid w:val="00A92636"/>
    <w:pPr>
      <w:spacing w:before="100" w:beforeAutospacing="1" w:after="100" w:afterAutospacing="1" w:line="240" w:lineRule="auto"/>
    </w:pPr>
    <w:rPr>
      <w:rFonts w:ascii="Times New Roman" w:eastAsiaTheme="minorEastAsia" w:hAnsi="Times New Roman"/>
      <w:lang w:eastAsia="en-GB"/>
    </w:rPr>
  </w:style>
  <w:style w:type="paragraph" w:styleId="Date">
    <w:name w:val="Date"/>
    <w:basedOn w:val="Normal"/>
    <w:next w:val="Normal"/>
    <w:link w:val="DateChar"/>
    <w:rsid w:val="00A92636"/>
  </w:style>
  <w:style w:type="character" w:customStyle="1" w:styleId="DateChar">
    <w:name w:val="Date Char"/>
    <w:basedOn w:val="DefaultParagraphFont"/>
    <w:link w:val="Date"/>
    <w:rsid w:val="00A92636"/>
    <w:rPr>
      <w:rFonts w:eastAsia="Times New Roman" w:cs="Times New Roman"/>
      <w:sz w:val="24"/>
      <w:szCs w:val="24"/>
      <w:lang w:eastAsia="en-US"/>
    </w:rPr>
  </w:style>
  <w:style w:type="paragraph" w:customStyle="1" w:styleId="EndNoteBibliographyTitle">
    <w:name w:val="EndNote Bibliography Title"/>
    <w:basedOn w:val="Normal"/>
    <w:link w:val="EndNoteBibliographyTitleChar"/>
    <w:rsid w:val="00A92636"/>
    <w:pPr>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A92636"/>
    <w:rPr>
      <w:rFonts w:ascii="Calibri" w:eastAsia="Times New Roman" w:hAnsi="Calibri" w:cs="Times New Roman"/>
      <w:noProof/>
      <w:szCs w:val="24"/>
      <w:lang w:val="en-US" w:eastAsia="en-US"/>
    </w:rPr>
  </w:style>
  <w:style w:type="paragraph" w:customStyle="1" w:styleId="EndNoteBibliography">
    <w:name w:val="EndNote Bibliography"/>
    <w:basedOn w:val="Normal"/>
    <w:link w:val="EndNoteBibliographyChar"/>
    <w:rsid w:val="00A92636"/>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A92636"/>
    <w:rPr>
      <w:rFonts w:ascii="Calibri" w:eastAsia="Times New Roman" w:hAnsi="Calibri" w:cs="Times New Roman"/>
      <w:noProof/>
      <w:szCs w:val="24"/>
      <w:lang w:val="en-US" w:eastAsia="en-US"/>
    </w:rPr>
  </w:style>
  <w:style w:type="character" w:styleId="CommentReference">
    <w:name w:val="annotation reference"/>
    <w:basedOn w:val="DefaultParagraphFont"/>
    <w:uiPriority w:val="99"/>
    <w:rsid w:val="00A92636"/>
    <w:rPr>
      <w:rFonts w:cs="Times New Roman"/>
      <w:sz w:val="16"/>
      <w:szCs w:val="16"/>
    </w:rPr>
  </w:style>
  <w:style w:type="paragraph" w:styleId="CommentText">
    <w:name w:val="annotation text"/>
    <w:basedOn w:val="Normal"/>
    <w:link w:val="CommentTextChar"/>
    <w:uiPriority w:val="99"/>
    <w:rsid w:val="00A92636"/>
    <w:rPr>
      <w:rFonts w:ascii="Calibri" w:hAnsi="Calibri"/>
      <w:sz w:val="20"/>
      <w:szCs w:val="20"/>
    </w:rPr>
  </w:style>
  <w:style w:type="character" w:customStyle="1" w:styleId="CommentTextChar">
    <w:name w:val="Comment Text Char"/>
    <w:basedOn w:val="DefaultParagraphFont"/>
    <w:link w:val="CommentText"/>
    <w:uiPriority w:val="99"/>
    <w:rsid w:val="00A92636"/>
    <w:rPr>
      <w:rFonts w:ascii="Calibri" w:eastAsia="Times New Roman" w:hAnsi="Calibri"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tif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6492</Words>
  <Characters>37006</Characters>
  <Application>Microsoft Office Word</Application>
  <DocSecurity>4</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43412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G.V.</dc:creator>
  <cp:lastModifiedBy>de Montfalcon</cp:lastModifiedBy>
  <cp:revision>2</cp:revision>
  <dcterms:created xsi:type="dcterms:W3CDTF">2014-09-24T15:57:00Z</dcterms:created>
  <dcterms:modified xsi:type="dcterms:W3CDTF">2014-09-24T15:57:00Z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632992754</vt:i4>
  </property>
  <property fmtid="{D5CDD505-2E9C-101B-9397-08002B2CF9AE}" pid="3" name="_NewReviewCycle">
    <vt:lpwstr/>
  </property>
  <property fmtid="{D5CDD505-2E9C-101B-9397-08002B2CF9AE}" pid="4" name="_EmailSubject">
    <vt:lpwstr>Trout paper</vt:lpwstr>
  </property>
  <property fmtid="{D5CDD505-2E9C-101B-9397-08002B2CF9AE}" pid="5" name="_AuthorEmail">
    <vt:lpwstr>gvw1e09@soton.ac.uk</vt:lpwstr>
  </property>
  <property fmtid="{D5CDD505-2E9C-101B-9397-08002B2CF9AE}" pid="6" name="_AuthorEmailDisplayName">
    <vt:lpwstr>Wright G.V.</vt:lpwstr>
  </property>
  <property fmtid="{D5CDD505-2E9C-101B-9397-08002B2CF9AE}" pid="7" name="_ReviewingToolsShownOnce">
    <vt:lpwstr/>
  </property>
</Properties>
</file>