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03A" w:rsidRDefault="001D503A" w:rsidP="001D503A">
      <w:pPr>
        <w:pStyle w:val="Heading1"/>
        <w:jc w:val="right"/>
      </w:pPr>
      <w:bookmarkStart w:id="0" w:name="_GoBack"/>
      <w:bookmarkEnd w:id="0"/>
      <w:r>
        <w:t xml:space="preserve">University of Southampton </w:t>
      </w:r>
    </w:p>
    <w:p w:rsidR="001D503A" w:rsidRDefault="001D503A" w:rsidP="001D503A">
      <w:pPr>
        <w:pStyle w:val="Heading1"/>
      </w:pPr>
      <w:r>
        <w:t>RCUK Policy on Open Access: compliance monitoring</w:t>
      </w:r>
    </w:p>
    <w:p w:rsidR="001D503A" w:rsidRDefault="001D503A" w:rsidP="001D503A"/>
    <w:p w:rsidR="001D503A" w:rsidRDefault="001D503A" w:rsidP="00F90B6B">
      <w:r>
        <w:t>This report summarises the work at the University of Southampton in implementing</w:t>
      </w:r>
      <w:r w:rsidR="00F90B6B">
        <w:t xml:space="preserve"> the RCUK policy on open access during t</w:t>
      </w:r>
      <w:r w:rsidR="00E076B5">
        <w:t>he period April 2013 to July 201</w:t>
      </w:r>
      <w:r w:rsidR="00F90B6B">
        <w:t xml:space="preserve">4.  </w:t>
      </w:r>
      <w:r w:rsidR="006C2864">
        <w:t>Readers are requested to note the following comments which set the cont</w:t>
      </w:r>
      <w:r w:rsidR="00F90B6B">
        <w:t>ext for the information provided.</w:t>
      </w:r>
    </w:p>
    <w:p w:rsidR="001D503A" w:rsidRPr="001D503A" w:rsidRDefault="001D503A" w:rsidP="001D503A">
      <w:pPr>
        <w:rPr>
          <w:rFonts w:asciiTheme="majorHAnsi" w:hAnsiTheme="majorHAnsi"/>
          <w:color w:val="4F81BD" w:themeColor="accent1"/>
          <w:sz w:val="26"/>
          <w:szCs w:val="26"/>
        </w:rPr>
      </w:pPr>
      <w:r w:rsidRPr="001D503A">
        <w:rPr>
          <w:rFonts w:asciiTheme="majorHAnsi" w:hAnsiTheme="majorHAnsi"/>
          <w:color w:val="4F81BD" w:themeColor="accent1"/>
          <w:sz w:val="26"/>
          <w:szCs w:val="26"/>
        </w:rPr>
        <w:t xml:space="preserve">Philosophy of approach </w:t>
      </w:r>
    </w:p>
    <w:p w:rsidR="001D503A" w:rsidRDefault="001D503A" w:rsidP="001D503A">
      <w:r>
        <w:t xml:space="preserve">The University of Southampton has a preference for green open access, but also supports gold open access and in particular high quality open access journals with appropriate business models that ensure value for money. We aim to continue to improve compliance whilst supporting the freedom of researchers to select the most appropriate established and emerging publications in their disciplines. Our emphasis in this first phase has been on promoting open access rather than identifying non-compliance. </w:t>
      </w:r>
    </w:p>
    <w:p w:rsidR="001D503A" w:rsidRPr="001D503A" w:rsidRDefault="001D503A" w:rsidP="001D503A">
      <w:pPr>
        <w:rPr>
          <w:rFonts w:asciiTheme="majorHAnsi" w:hAnsiTheme="majorHAnsi"/>
          <w:color w:val="4F81BD" w:themeColor="accent1"/>
          <w:sz w:val="26"/>
          <w:szCs w:val="26"/>
        </w:rPr>
      </w:pPr>
      <w:r w:rsidRPr="001D503A">
        <w:rPr>
          <w:rFonts w:asciiTheme="majorHAnsi" w:hAnsiTheme="majorHAnsi"/>
          <w:color w:val="4F81BD" w:themeColor="accent1"/>
          <w:sz w:val="26"/>
          <w:szCs w:val="26"/>
        </w:rPr>
        <w:t>Caveats on source data</w:t>
      </w:r>
    </w:p>
    <w:p w:rsidR="001D503A" w:rsidRDefault="001D503A" w:rsidP="001D503A">
      <w:r>
        <w:t xml:space="preserve">The total number of RCUK funded publications for the University of Southampton is taken from journal articles and conference proceedings with any author affiliated to the University and mapped as funded by RCUK in Thomson Reuters Web of Science Core Collection, plus additional publications meeting the same criteria not indexed by Thomson Reuters but listed in the University of Southampton Institutional Repository. </w:t>
      </w:r>
    </w:p>
    <w:p w:rsidR="001D503A" w:rsidRPr="001D503A" w:rsidRDefault="001D503A" w:rsidP="001D503A">
      <w:pPr>
        <w:rPr>
          <w:rFonts w:asciiTheme="majorHAnsi" w:hAnsiTheme="majorHAnsi"/>
          <w:color w:val="4F81BD" w:themeColor="accent1"/>
          <w:sz w:val="26"/>
          <w:szCs w:val="26"/>
        </w:rPr>
      </w:pPr>
      <w:r w:rsidRPr="001D503A">
        <w:rPr>
          <w:rFonts w:asciiTheme="majorHAnsi" w:hAnsiTheme="majorHAnsi"/>
          <w:color w:val="4F81BD" w:themeColor="accent1"/>
          <w:sz w:val="26"/>
          <w:szCs w:val="26"/>
        </w:rPr>
        <w:t xml:space="preserve">Caveats on compliance with Licences </w:t>
      </w:r>
    </w:p>
    <w:p w:rsidR="001D503A" w:rsidRDefault="001D503A" w:rsidP="001D503A">
      <w:r>
        <w:t>We have endeavoured to ensure that all our RCUK</w:t>
      </w:r>
      <w:r w:rsidR="00D0035F">
        <w:t xml:space="preserve"> funded APCs have included a CC </w:t>
      </w:r>
      <w:r>
        <w:t>BY licence. This has involved manual checks and contacting publishers after p</w:t>
      </w:r>
      <w:r w:rsidR="00D0035F">
        <w:t xml:space="preserve">ayment to change licences to CC </w:t>
      </w:r>
      <w:r>
        <w:t xml:space="preserve">BY. It is hard to be certain the extent to which this is publisher error, or the complexity of licence choice presented to authors who select the wrong licence as part of the submission process. </w:t>
      </w:r>
    </w:p>
    <w:p w:rsidR="001D503A" w:rsidRDefault="002D0DAE" w:rsidP="001D503A">
      <w:r>
        <w:t>We will attach a CC BY-</w:t>
      </w:r>
      <w:r w:rsidR="001D503A">
        <w:t xml:space="preserve">NC licence or equivalent to green open access copies where we have evidence that we are able to do this, but the majority of publishers do not provide information about reuse licence options. For this element of compliance to work fully more discussions with publishers are needed to clarify rights. Authors should not need to negotiate this individually.  </w:t>
      </w:r>
    </w:p>
    <w:p w:rsidR="006C2864" w:rsidRDefault="006C2864" w:rsidP="001D503A">
      <w:pPr>
        <w:rPr>
          <w:rFonts w:asciiTheme="majorHAnsi" w:hAnsiTheme="majorHAnsi"/>
          <w:color w:val="4F81BD" w:themeColor="accent1"/>
          <w:sz w:val="26"/>
          <w:szCs w:val="26"/>
        </w:rPr>
      </w:pPr>
      <w:r w:rsidRPr="006C2864">
        <w:rPr>
          <w:rFonts w:asciiTheme="majorHAnsi" w:hAnsiTheme="majorHAnsi"/>
          <w:color w:val="4F81BD" w:themeColor="accent1"/>
          <w:sz w:val="26"/>
          <w:szCs w:val="26"/>
        </w:rPr>
        <w:t>Looking forward</w:t>
      </w:r>
    </w:p>
    <w:p w:rsidR="00D0035F" w:rsidRDefault="00F90B6B" w:rsidP="001534DE">
      <w:r>
        <w:t>Academic staff, faculty administrators, and Professional Services staff have all learned a great deal over the initial period of implementation of the policy.  The University has invested in systems and procedures to support the policy, which have evolved over the period</w:t>
      </w:r>
      <w:r w:rsidR="00865669">
        <w:t xml:space="preserve"> as we have learned from our experience</w:t>
      </w:r>
      <w:r>
        <w:t xml:space="preserve">.  </w:t>
      </w:r>
      <w:r w:rsidR="00865669">
        <w:t xml:space="preserve">  </w:t>
      </w:r>
      <w:r w:rsidR="003E5178">
        <w:t>We are pleased to report that we have achieved the compliance rate set as our target in the first year of the policy.</w:t>
      </w:r>
      <w:r w:rsidR="001534DE">
        <w:t xml:space="preserve"> </w:t>
      </w:r>
    </w:p>
    <w:p w:rsidR="00527A3F" w:rsidRDefault="00865669" w:rsidP="00F97BC4">
      <w:r>
        <w:lastRenderedPageBreak/>
        <w:t xml:space="preserve">We are committed to </w:t>
      </w:r>
      <w:r w:rsidR="003E5178">
        <w:t xml:space="preserve">further </w:t>
      </w:r>
      <w:r>
        <w:t>promoting open access both institutionally, working formally and informally with our research community, and nationally, for example by contributing to the End-to-</w:t>
      </w:r>
      <w:r w:rsidR="003E5178">
        <w:t>End</w:t>
      </w:r>
      <w:r w:rsidR="003E5178" w:rsidRPr="00865669">
        <w:t xml:space="preserve"> Open</w:t>
      </w:r>
      <w:r w:rsidRPr="00865669">
        <w:t xml:space="preserve"> Access Process Review and Improvements</w:t>
      </w:r>
      <w:r>
        <w:t xml:space="preserve"> OA Pathfinder project, and are in a strong position to </w:t>
      </w:r>
      <w:r w:rsidR="00F97BC4">
        <w:t xml:space="preserve">do so </w:t>
      </w:r>
      <w:r>
        <w:t>during the current review period.</w:t>
      </w:r>
    </w:p>
    <w:p w:rsidR="00527A3F" w:rsidRDefault="00527A3F" w:rsidP="00527A3F">
      <w:pPr>
        <w:rPr>
          <w:sz w:val="20"/>
          <w:szCs w:val="20"/>
        </w:rPr>
      </w:pPr>
    </w:p>
    <w:p w:rsidR="00527A3F" w:rsidRPr="00595FAB" w:rsidRDefault="00EB5E83" w:rsidP="00527A3F">
      <w:pPr>
        <w:rPr>
          <w:sz w:val="20"/>
          <w:szCs w:val="20"/>
        </w:rPr>
      </w:pPr>
      <w:proofErr w:type="spellStart"/>
      <w:proofErr w:type="gramStart"/>
      <w:r>
        <w:rPr>
          <w:sz w:val="20"/>
          <w:szCs w:val="20"/>
        </w:rPr>
        <w:t>r</w:t>
      </w:r>
      <w:r w:rsidR="00527A3F" w:rsidRPr="00595FAB">
        <w:rPr>
          <w:sz w:val="20"/>
          <w:szCs w:val="20"/>
        </w:rPr>
        <w:t>lw</w:t>
      </w:r>
      <w:r>
        <w:rPr>
          <w:sz w:val="20"/>
          <w:szCs w:val="20"/>
        </w:rPr>
        <w:t>,</w:t>
      </w:r>
      <w:proofErr w:type="gramEnd"/>
      <w:r>
        <w:rPr>
          <w:sz w:val="20"/>
          <w:szCs w:val="20"/>
        </w:rPr>
        <w:t>whw</w:t>
      </w:r>
      <w:proofErr w:type="spellEnd"/>
      <w:r w:rsidR="00527A3F" w:rsidRPr="00595FAB">
        <w:rPr>
          <w:sz w:val="20"/>
          <w:szCs w:val="20"/>
        </w:rPr>
        <w:t xml:space="preserve"> 11/9/14 rev 12/9/14</w:t>
      </w:r>
      <w:r>
        <w:rPr>
          <w:sz w:val="20"/>
          <w:szCs w:val="20"/>
        </w:rPr>
        <w:t>, rev 26/9/14</w:t>
      </w:r>
    </w:p>
    <w:p w:rsidR="002B7D47" w:rsidRPr="00595FAB" w:rsidRDefault="002B7D47" w:rsidP="00595FAB">
      <w:r>
        <w:rPr>
          <w:rFonts w:asciiTheme="majorHAnsi" w:hAnsiTheme="majorHAnsi"/>
          <w:color w:val="365F91" w:themeColor="accent1" w:themeShade="BF"/>
          <w:sz w:val="28"/>
          <w:szCs w:val="28"/>
        </w:rPr>
        <w:br w:type="page"/>
      </w:r>
    </w:p>
    <w:p w:rsidR="002B7D47" w:rsidRPr="00DB6B5D" w:rsidRDefault="002B7D47" w:rsidP="002B7D47">
      <w:pPr>
        <w:rPr>
          <w:color w:val="365F91" w:themeColor="accent1" w:themeShade="BF"/>
        </w:rPr>
      </w:pPr>
      <w:r w:rsidRPr="00DB6B5D">
        <w:rPr>
          <w:rFonts w:asciiTheme="majorHAnsi" w:hAnsiTheme="majorHAnsi"/>
          <w:color w:val="365F91" w:themeColor="accent1" w:themeShade="BF"/>
          <w:sz w:val="28"/>
          <w:szCs w:val="28"/>
        </w:rPr>
        <w:lastRenderedPageBreak/>
        <w:t xml:space="preserve">Annex </w:t>
      </w:r>
      <w:proofErr w:type="gramStart"/>
      <w:r w:rsidRPr="00DB6B5D">
        <w:rPr>
          <w:rFonts w:asciiTheme="majorHAnsi" w:hAnsiTheme="majorHAnsi"/>
          <w:color w:val="365F91" w:themeColor="accent1" w:themeShade="BF"/>
          <w:sz w:val="28"/>
          <w:szCs w:val="28"/>
        </w:rPr>
        <w:t>A  Financial</w:t>
      </w:r>
      <w:proofErr w:type="gramEnd"/>
      <w:r w:rsidRPr="00DB6B5D">
        <w:rPr>
          <w:rFonts w:asciiTheme="majorHAnsi" w:hAnsiTheme="majorHAnsi"/>
          <w:color w:val="365F91" w:themeColor="accent1" w:themeShade="BF"/>
          <w:sz w:val="28"/>
          <w:szCs w:val="28"/>
        </w:rPr>
        <w:t xml:space="preserve"> Data Collection</w:t>
      </w:r>
    </w:p>
    <w:p w:rsidR="002B7D47" w:rsidRPr="00DB6B5D" w:rsidRDefault="002B7D47" w:rsidP="002B7D47">
      <w:pPr>
        <w:rPr>
          <w:rFonts w:asciiTheme="majorHAnsi" w:hAnsiTheme="majorHAnsi"/>
          <w:color w:val="4F81BD" w:themeColor="accent1"/>
          <w:sz w:val="26"/>
          <w:szCs w:val="26"/>
        </w:rPr>
      </w:pPr>
      <w:r w:rsidRPr="00DB6B5D">
        <w:rPr>
          <w:rFonts w:asciiTheme="majorHAnsi" w:hAnsiTheme="majorHAnsi"/>
          <w:color w:val="4F81BD" w:themeColor="accent1"/>
          <w:sz w:val="26"/>
          <w:szCs w:val="26"/>
        </w:rPr>
        <w:t xml:space="preserve">Section </w:t>
      </w:r>
      <w:proofErr w:type="gramStart"/>
      <w:r w:rsidRPr="00DB6B5D">
        <w:rPr>
          <w:rFonts w:asciiTheme="majorHAnsi" w:hAnsiTheme="majorHAnsi"/>
          <w:color w:val="4F81BD" w:themeColor="accent1"/>
          <w:sz w:val="26"/>
          <w:szCs w:val="26"/>
        </w:rPr>
        <w:t>A – Expenditure</w:t>
      </w:r>
      <w:proofErr w:type="gramEnd"/>
      <w:r w:rsidRPr="00DB6B5D">
        <w:rPr>
          <w:rFonts w:asciiTheme="majorHAnsi" w:hAnsiTheme="majorHAnsi"/>
          <w:color w:val="4F81BD" w:themeColor="accent1"/>
          <w:sz w:val="26"/>
          <w:szCs w:val="26"/>
        </w:rPr>
        <w:t xml:space="preserve"> by publisher</w:t>
      </w:r>
    </w:p>
    <w:tbl>
      <w:tblPr>
        <w:tblW w:w="7860" w:type="dxa"/>
        <w:tblInd w:w="93" w:type="dxa"/>
        <w:tblLook w:val="04A0" w:firstRow="1" w:lastRow="0" w:firstColumn="1" w:lastColumn="0" w:noHBand="0" w:noVBand="1"/>
      </w:tblPr>
      <w:tblGrid>
        <w:gridCol w:w="5540"/>
        <w:gridCol w:w="1360"/>
        <w:gridCol w:w="960"/>
      </w:tblGrid>
      <w:tr w:rsidR="0095493B" w:rsidTr="0095493B">
        <w:trPr>
          <w:trHeight w:val="300"/>
        </w:trPr>
        <w:tc>
          <w:tcPr>
            <w:tcW w:w="5540" w:type="dxa"/>
            <w:vMerge w:val="restart"/>
            <w:tcBorders>
              <w:top w:val="single" w:sz="8" w:space="0" w:color="auto"/>
              <w:left w:val="single" w:sz="8" w:space="0" w:color="auto"/>
              <w:bottom w:val="single" w:sz="8" w:space="0" w:color="000000"/>
              <w:right w:val="single" w:sz="8" w:space="0" w:color="auto"/>
            </w:tcBorders>
            <w:noWrap/>
            <w:hideMark/>
          </w:tcPr>
          <w:p w:rsidR="0095493B" w:rsidRDefault="0095493B">
            <w:pPr>
              <w:spacing w:after="0" w:line="240" w:lineRule="auto"/>
              <w:rPr>
                <w:rFonts w:ascii="Calibri" w:eastAsia="Times New Roman" w:hAnsi="Calibri" w:cs="Times New Roman"/>
                <w:color w:val="000000"/>
              </w:rPr>
            </w:pPr>
            <w:r>
              <w:rPr>
                <w:rFonts w:ascii="Calibri" w:eastAsia="Times New Roman" w:hAnsi="Calibri" w:cs="Times New Roman"/>
                <w:color w:val="000000"/>
              </w:rPr>
              <w:t> </w:t>
            </w:r>
          </w:p>
        </w:tc>
        <w:tc>
          <w:tcPr>
            <w:tcW w:w="1360" w:type="dxa"/>
            <w:tcBorders>
              <w:top w:val="single" w:sz="8" w:space="0" w:color="auto"/>
              <w:left w:val="nil"/>
              <w:bottom w:val="nil"/>
              <w:right w:val="single" w:sz="8" w:space="0" w:color="auto"/>
            </w:tcBorders>
            <w:noWrap/>
            <w:vAlign w:val="center"/>
            <w:hideMark/>
          </w:tcPr>
          <w:p w:rsidR="0095493B" w:rsidRDefault="0095493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Amount</w:t>
            </w:r>
          </w:p>
        </w:tc>
        <w:tc>
          <w:tcPr>
            <w:tcW w:w="960" w:type="dxa"/>
            <w:vMerge w:val="restart"/>
            <w:tcBorders>
              <w:top w:val="single" w:sz="8" w:space="0" w:color="auto"/>
              <w:left w:val="single" w:sz="8" w:space="0" w:color="auto"/>
              <w:bottom w:val="single" w:sz="8" w:space="0" w:color="000000"/>
              <w:right w:val="single" w:sz="8" w:space="0" w:color="auto"/>
            </w:tcBorders>
            <w:vAlign w:val="center"/>
            <w:hideMark/>
          </w:tcPr>
          <w:p w:rsidR="0095493B" w:rsidRDefault="0095493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No of Articles</w:t>
            </w:r>
          </w:p>
        </w:tc>
      </w:tr>
      <w:tr w:rsidR="0095493B" w:rsidTr="0095493B">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95493B" w:rsidRDefault="0095493B">
            <w:pPr>
              <w:spacing w:after="0" w:line="240" w:lineRule="auto"/>
              <w:rPr>
                <w:rFonts w:ascii="Calibri" w:eastAsia="Times New Roman" w:hAnsi="Calibri" w:cs="Times New Roman"/>
                <w:color w:val="000000"/>
              </w:rPr>
            </w:pPr>
          </w:p>
        </w:tc>
        <w:tc>
          <w:tcPr>
            <w:tcW w:w="1360" w:type="dxa"/>
            <w:tcBorders>
              <w:top w:val="nil"/>
              <w:left w:val="nil"/>
              <w:bottom w:val="single" w:sz="8" w:space="0" w:color="auto"/>
              <w:right w:val="single" w:sz="8" w:space="0" w:color="auto"/>
            </w:tcBorders>
            <w:noWrap/>
            <w:vAlign w:val="center"/>
            <w:hideMark/>
          </w:tcPr>
          <w:p w:rsidR="0095493B" w:rsidRDefault="0095493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5493B" w:rsidRDefault="0095493B">
            <w:pPr>
              <w:spacing w:after="0" w:line="240" w:lineRule="auto"/>
              <w:rPr>
                <w:rFonts w:ascii="Calibri" w:eastAsia="Times New Roman" w:hAnsi="Calibri" w:cs="Times New Roman"/>
                <w:color w:val="000000"/>
              </w:rPr>
            </w:pPr>
          </w:p>
        </w:tc>
      </w:tr>
      <w:tr w:rsidR="0095493B" w:rsidTr="0095493B">
        <w:trPr>
          <w:trHeight w:val="315"/>
        </w:trPr>
        <w:tc>
          <w:tcPr>
            <w:tcW w:w="5540" w:type="dxa"/>
            <w:tcBorders>
              <w:top w:val="nil"/>
              <w:left w:val="single" w:sz="8" w:space="0" w:color="auto"/>
              <w:bottom w:val="single" w:sz="8" w:space="0" w:color="auto"/>
              <w:right w:val="single" w:sz="8" w:space="0" w:color="auto"/>
            </w:tcBorders>
            <w:noWrap/>
            <w:vAlign w:val="center"/>
            <w:hideMark/>
          </w:tcPr>
          <w:p w:rsidR="0095493B" w:rsidRDefault="0095493B">
            <w:pPr>
              <w:spacing w:after="0" w:line="240" w:lineRule="auto"/>
              <w:rPr>
                <w:rFonts w:ascii="Calibri" w:eastAsia="Times New Roman" w:hAnsi="Calibri" w:cs="Times New Roman"/>
                <w:color w:val="000000"/>
              </w:rPr>
            </w:pPr>
            <w:r>
              <w:rPr>
                <w:rFonts w:ascii="Calibri" w:eastAsia="Times New Roman" w:hAnsi="Calibri" w:cs="Times New Roman"/>
                <w:color w:val="000000"/>
              </w:rPr>
              <w:t>American Chemical Society</w:t>
            </w:r>
          </w:p>
        </w:tc>
        <w:tc>
          <w:tcPr>
            <w:tcW w:w="1360" w:type="dxa"/>
            <w:tcBorders>
              <w:top w:val="nil"/>
              <w:left w:val="nil"/>
              <w:bottom w:val="single" w:sz="8" w:space="0" w:color="auto"/>
              <w:right w:val="single" w:sz="8" w:space="0" w:color="auto"/>
            </w:tcBorders>
            <w:noWrap/>
            <w:vAlign w:val="center"/>
            <w:hideMark/>
          </w:tcPr>
          <w:p w:rsidR="0095493B" w:rsidRDefault="00AD47E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15,107.86</w:t>
            </w:r>
          </w:p>
        </w:tc>
        <w:tc>
          <w:tcPr>
            <w:tcW w:w="960" w:type="dxa"/>
            <w:tcBorders>
              <w:top w:val="nil"/>
              <w:left w:val="nil"/>
              <w:bottom w:val="single" w:sz="8" w:space="0" w:color="auto"/>
              <w:right w:val="single" w:sz="8" w:space="0" w:color="auto"/>
            </w:tcBorders>
            <w:vAlign w:val="center"/>
            <w:hideMark/>
          </w:tcPr>
          <w:p w:rsidR="0095493B" w:rsidRDefault="00AD47E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w:t>
            </w:r>
          </w:p>
        </w:tc>
      </w:tr>
      <w:tr w:rsidR="0095493B" w:rsidTr="0095493B">
        <w:trPr>
          <w:trHeight w:val="315"/>
        </w:trPr>
        <w:tc>
          <w:tcPr>
            <w:tcW w:w="5540" w:type="dxa"/>
            <w:tcBorders>
              <w:top w:val="nil"/>
              <w:left w:val="single" w:sz="8" w:space="0" w:color="auto"/>
              <w:bottom w:val="single" w:sz="8" w:space="0" w:color="auto"/>
              <w:right w:val="single" w:sz="8" w:space="0" w:color="auto"/>
            </w:tcBorders>
            <w:noWrap/>
            <w:vAlign w:val="center"/>
            <w:hideMark/>
          </w:tcPr>
          <w:p w:rsidR="0095493B" w:rsidRDefault="0095493B">
            <w:pPr>
              <w:spacing w:after="0" w:line="240" w:lineRule="auto"/>
              <w:rPr>
                <w:rFonts w:ascii="Calibri" w:eastAsia="Times New Roman" w:hAnsi="Calibri" w:cs="Times New Roman"/>
                <w:color w:val="000000"/>
              </w:rPr>
            </w:pPr>
            <w:r>
              <w:rPr>
                <w:rFonts w:ascii="Calibri" w:eastAsia="Times New Roman" w:hAnsi="Calibri" w:cs="Times New Roman"/>
                <w:color w:val="000000"/>
              </w:rPr>
              <w:t>American Physical Society</w:t>
            </w:r>
          </w:p>
        </w:tc>
        <w:tc>
          <w:tcPr>
            <w:tcW w:w="1360" w:type="dxa"/>
            <w:tcBorders>
              <w:top w:val="nil"/>
              <w:left w:val="nil"/>
              <w:bottom w:val="single" w:sz="8" w:space="0" w:color="auto"/>
              <w:right w:val="single" w:sz="8" w:space="0" w:color="auto"/>
            </w:tcBorders>
            <w:noWrap/>
            <w:vAlign w:val="center"/>
            <w:hideMark/>
          </w:tcPr>
          <w:p w:rsidR="0095493B" w:rsidRDefault="0095493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1,015.13</w:t>
            </w:r>
          </w:p>
        </w:tc>
        <w:tc>
          <w:tcPr>
            <w:tcW w:w="960" w:type="dxa"/>
            <w:tcBorders>
              <w:top w:val="nil"/>
              <w:left w:val="nil"/>
              <w:bottom w:val="single" w:sz="8" w:space="0" w:color="auto"/>
              <w:right w:val="single" w:sz="8" w:space="0" w:color="auto"/>
            </w:tcBorders>
            <w:vAlign w:val="center"/>
            <w:hideMark/>
          </w:tcPr>
          <w:p w:rsidR="0095493B" w:rsidRDefault="0095493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p>
        </w:tc>
      </w:tr>
      <w:tr w:rsidR="0095493B" w:rsidTr="0095493B">
        <w:trPr>
          <w:trHeight w:val="315"/>
        </w:trPr>
        <w:tc>
          <w:tcPr>
            <w:tcW w:w="5540" w:type="dxa"/>
            <w:tcBorders>
              <w:top w:val="nil"/>
              <w:left w:val="single" w:sz="8" w:space="0" w:color="auto"/>
              <w:bottom w:val="single" w:sz="8" w:space="0" w:color="auto"/>
              <w:right w:val="single" w:sz="8" w:space="0" w:color="auto"/>
            </w:tcBorders>
            <w:noWrap/>
            <w:vAlign w:val="center"/>
            <w:hideMark/>
          </w:tcPr>
          <w:p w:rsidR="0095493B" w:rsidRDefault="0095493B">
            <w:pPr>
              <w:spacing w:after="0" w:line="240" w:lineRule="auto"/>
              <w:rPr>
                <w:rFonts w:ascii="Calibri" w:eastAsia="Times New Roman" w:hAnsi="Calibri" w:cs="Times New Roman"/>
                <w:color w:val="000000"/>
              </w:rPr>
            </w:pPr>
            <w:r>
              <w:rPr>
                <w:rFonts w:ascii="Calibri" w:eastAsia="Times New Roman" w:hAnsi="Calibri" w:cs="Times New Roman"/>
                <w:color w:val="000000"/>
              </w:rPr>
              <w:t>American Society for Biochemistry and Molecular Biology</w:t>
            </w:r>
          </w:p>
        </w:tc>
        <w:tc>
          <w:tcPr>
            <w:tcW w:w="1360" w:type="dxa"/>
            <w:tcBorders>
              <w:top w:val="nil"/>
              <w:left w:val="nil"/>
              <w:bottom w:val="single" w:sz="8" w:space="0" w:color="auto"/>
              <w:right w:val="single" w:sz="8" w:space="0" w:color="auto"/>
            </w:tcBorders>
            <w:noWrap/>
            <w:vAlign w:val="center"/>
            <w:hideMark/>
          </w:tcPr>
          <w:p w:rsidR="0095493B" w:rsidRDefault="0095493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1,276.06</w:t>
            </w:r>
          </w:p>
        </w:tc>
        <w:tc>
          <w:tcPr>
            <w:tcW w:w="960" w:type="dxa"/>
            <w:tcBorders>
              <w:top w:val="nil"/>
              <w:left w:val="nil"/>
              <w:bottom w:val="single" w:sz="8" w:space="0" w:color="auto"/>
              <w:right w:val="single" w:sz="8" w:space="0" w:color="auto"/>
            </w:tcBorders>
            <w:vAlign w:val="center"/>
            <w:hideMark/>
          </w:tcPr>
          <w:p w:rsidR="0095493B" w:rsidRDefault="0095493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p>
        </w:tc>
      </w:tr>
      <w:tr w:rsidR="0095493B" w:rsidTr="0095493B">
        <w:trPr>
          <w:trHeight w:val="315"/>
        </w:trPr>
        <w:tc>
          <w:tcPr>
            <w:tcW w:w="5540" w:type="dxa"/>
            <w:tcBorders>
              <w:top w:val="nil"/>
              <w:left w:val="single" w:sz="8" w:space="0" w:color="auto"/>
              <w:bottom w:val="single" w:sz="8" w:space="0" w:color="auto"/>
              <w:right w:val="single" w:sz="8" w:space="0" w:color="auto"/>
            </w:tcBorders>
            <w:noWrap/>
            <w:vAlign w:val="center"/>
            <w:hideMark/>
          </w:tcPr>
          <w:p w:rsidR="0095493B" w:rsidRDefault="0095493B">
            <w:pPr>
              <w:spacing w:after="0" w:line="240" w:lineRule="auto"/>
              <w:rPr>
                <w:rFonts w:ascii="Calibri" w:eastAsia="Times New Roman" w:hAnsi="Calibri" w:cs="Times New Roman"/>
                <w:color w:val="000000"/>
              </w:rPr>
            </w:pPr>
            <w:r>
              <w:rPr>
                <w:rFonts w:ascii="Calibri" w:eastAsia="Times New Roman" w:hAnsi="Calibri" w:cs="Times New Roman"/>
                <w:color w:val="000000"/>
              </w:rPr>
              <w:t>BioMed Central Ltd</w:t>
            </w:r>
          </w:p>
        </w:tc>
        <w:tc>
          <w:tcPr>
            <w:tcW w:w="1360" w:type="dxa"/>
            <w:tcBorders>
              <w:top w:val="nil"/>
              <w:left w:val="nil"/>
              <w:bottom w:val="single" w:sz="8" w:space="0" w:color="auto"/>
              <w:right w:val="single" w:sz="8" w:space="0" w:color="auto"/>
            </w:tcBorders>
            <w:noWrap/>
            <w:vAlign w:val="center"/>
            <w:hideMark/>
          </w:tcPr>
          <w:p w:rsidR="0095493B" w:rsidRDefault="00A67DF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w:t>
            </w:r>
            <w:r w:rsidR="00F45B67">
              <w:rPr>
                <w:rFonts w:ascii="Calibri" w:eastAsia="Times New Roman" w:hAnsi="Calibri" w:cs="Times New Roman"/>
                <w:color w:val="000000"/>
              </w:rPr>
              <w:t>213.00</w:t>
            </w:r>
          </w:p>
        </w:tc>
        <w:tc>
          <w:tcPr>
            <w:tcW w:w="960" w:type="dxa"/>
            <w:tcBorders>
              <w:top w:val="nil"/>
              <w:left w:val="nil"/>
              <w:bottom w:val="single" w:sz="8" w:space="0" w:color="auto"/>
              <w:right w:val="single" w:sz="8" w:space="0" w:color="auto"/>
            </w:tcBorders>
            <w:vAlign w:val="center"/>
            <w:hideMark/>
          </w:tcPr>
          <w:p w:rsidR="0095493B" w:rsidRDefault="00F45B6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w:t>
            </w:r>
          </w:p>
        </w:tc>
      </w:tr>
      <w:tr w:rsidR="0095493B" w:rsidTr="0095493B">
        <w:trPr>
          <w:trHeight w:val="315"/>
        </w:trPr>
        <w:tc>
          <w:tcPr>
            <w:tcW w:w="5540" w:type="dxa"/>
            <w:tcBorders>
              <w:top w:val="nil"/>
              <w:left w:val="single" w:sz="8" w:space="0" w:color="auto"/>
              <w:bottom w:val="single" w:sz="8" w:space="0" w:color="auto"/>
              <w:right w:val="single" w:sz="8" w:space="0" w:color="auto"/>
            </w:tcBorders>
            <w:noWrap/>
            <w:vAlign w:val="center"/>
            <w:hideMark/>
          </w:tcPr>
          <w:p w:rsidR="0095493B" w:rsidRDefault="0095493B">
            <w:pPr>
              <w:spacing w:after="0" w:line="240" w:lineRule="auto"/>
              <w:rPr>
                <w:rFonts w:ascii="Calibri" w:eastAsia="Times New Roman" w:hAnsi="Calibri" w:cs="Times New Roman"/>
                <w:color w:val="000000"/>
              </w:rPr>
            </w:pPr>
            <w:r>
              <w:rPr>
                <w:rFonts w:ascii="Calibri" w:eastAsia="Times New Roman" w:hAnsi="Calibri" w:cs="Times New Roman"/>
                <w:color w:val="000000"/>
              </w:rPr>
              <w:t>BMJ Publishing Group</w:t>
            </w:r>
          </w:p>
        </w:tc>
        <w:tc>
          <w:tcPr>
            <w:tcW w:w="1360" w:type="dxa"/>
            <w:tcBorders>
              <w:top w:val="nil"/>
              <w:left w:val="nil"/>
              <w:bottom w:val="single" w:sz="8" w:space="0" w:color="auto"/>
              <w:right w:val="single" w:sz="8" w:space="0" w:color="auto"/>
            </w:tcBorders>
            <w:noWrap/>
            <w:vAlign w:val="center"/>
            <w:hideMark/>
          </w:tcPr>
          <w:p w:rsidR="0095493B" w:rsidRDefault="0095493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7,325.99</w:t>
            </w:r>
          </w:p>
        </w:tc>
        <w:tc>
          <w:tcPr>
            <w:tcW w:w="960" w:type="dxa"/>
            <w:tcBorders>
              <w:top w:val="nil"/>
              <w:left w:val="nil"/>
              <w:bottom w:val="single" w:sz="8" w:space="0" w:color="auto"/>
              <w:right w:val="single" w:sz="8" w:space="0" w:color="auto"/>
            </w:tcBorders>
            <w:vAlign w:val="center"/>
            <w:hideMark/>
          </w:tcPr>
          <w:p w:rsidR="0095493B" w:rsidRDefault="0095493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w:t>
            </w:r>
          </w:p>
        </w:tc>
      </w:tr>
      <w:tr w:rsidR="0095493B" w:rsidTr="0095493B">
        <w:trPr>
          <w:trHeight w:val="315"/>
        </w:trPr>
        <w:tc>
          <w:tcPr>
            <w:tcW w:w="5540" w:type="dxa"/>
            <w:tcBorders>
              <w:top w:val="nil"/>
              <w:left w:val="single" w:sz="8" w:space="0" w:color="auto"/>
              <w:bottom w:val="single" w:sz="8" w:space="0" w:color="auto"/>
              <w:right w:val="single" w:sz="8" w:space="0" w:color="auto"/>
            </w:tcBorders>
            <w:noWrap/>
            <w:vAlign w:val="center"/>
            <w:hideMark/>
          </w:tcPr>
          <w:p w:rsidR="0095493B" w:rsidRDefault="0095493B">
            <w:pPr>
              <w:spacing w:after="0" w:line="240" w:lineRule="auto"/>
              <w:rPr>
                <w:rFonts w:ascii="Calibri" w:eastAsia="Times New Roman" w:hAnsi="Calibri" w:cs="Times New Roman"/>
                <w:color w:val="000000"/>
              </w:rPr>
            </w:pPr>
            <w:r>
              <w:rPr>
                <w:rFonts w:ascii="Calibri" w:eastAsia="Times New Roman" w:hAnsi="Calibri" w:cs="Times New Roman"/>
                <w:color w:val="000000"/>
              </w:rPr>
              <w:t>Cambridge University Press (Journals)</w:t>
            </w:r>
          </w:p>
        </w:tc>
        <w:tc>
          <w:tcPr>
            <w:tcW w:w="1360" w:type="dxa"/>
            <w:tcBorders>
              <w:top w:val="nil"/>
              <w:left w:val="nil"/>
              <w:bottom w:val="single" w:sz="8" w:space="0" w:color="auto"/>
              <w:right w:val="single" w:sz="8" w:space="0" w:color="auto"/>
            </w:tcBorders>
            <w:noWrap/>
            <w:vAlign w:val="center"/>
            <w:hideMark/>
          </w:tcPr>
          <w:p w:rsidR="0095493B" w:rsidRDefault="0095493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4,068.00</w:t>
            </w:r>
          </w:p>
        </w:tc>
        <w:tc>
          <w:tcPr>
            <w:tcW w:w="960" w:type="dxa"/>
            <w:tcBorders>
              <w:top w:val="nil"/>
              <w:left w:val="nil"/>
              <w:bottom w:val="single" w:sz="8" w:space="0" w:color="auto"/>
              <w:right w:val="single" w:sz="8" w:space="0" w:color="auto"/>
            </w:tcBorders>
            <w:vAlign w:val="center"/>
            <w:hideMark/>
          </w:tcPr>
          <w:p w:rsidR="0095493B" w:rsidRDefault="0095493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w:t>
            </w:r>
          </w:p>
        </w:tc>
      </w:tr>
      <w:tr w:rsidR="0095493B" w:rsidTr="0095493B">
        <w:trPr>
          <w:trHeight w:val="315"/>
        </w:trPr>
        <w:tc>
          <w:tcPr>
            <w:tcW w:w="5540" w:type="dxa"/>
            <w:tcBorders>
              <w:top w:val="nil"/>
              <w:left w:val="single" w:sz="8" w:space="0" w:color="auto"/>
              <w:bottom w:val="single" w:sz="8" w:space="0" w:color="auto"/>
              <w:right w:val="single" w:sz="8" w:space="0" w:color="auto"/>
            </w:tcBorders>
            <w:noWrap/>
            <w:vAlign w:val="center"/>
            <w:hideMark/>
          </w:tcPr>
          <w:p w:rsidR="0095493B" w:rsidRDefault="0095493B">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Copernicus </w:t>
            </w:r>
            <w:proofErr w:type="spellStart"/>
            <w:r>
              <w:rPr>
                <w:rFonts w:ascii="Calibri" w:eastAsia="Times New Roman" w:hAnsi="Calibri" w:cs="Times New Roman"/>
                <w:color w:val="000000"/>
              </w:rPr>
              <w:t>GmBH</w:t>
            </w:r>
            <w:proofErr w:type="spellEnd"/>
          </w:p>
        </w:tc>
        <w:tc>
          <w:tcPr>
            <w:tcW w:w="1360" w:type="dxa"/>
            <w:tcBorders>
              <w:top w:val="nil"/>
              <w:left w:val="nil"/>
              <w:bottom w:val="single" w:sz="8" w:space="0" w:color="auto"/>
              <w:right w:val="single" w:sz="8" w:space="0" w:color="auto"/>
            </w:tcBorders>
            <w:noWrap/>
            <w:vAlign w:val="center"/>
            <w:hideMark/>
          </w:tcPr>
          <w:p w:rsidR="0095493B" w:rsidRDefault="0095493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1,063.08</w:t>
            </w:r>
          </w:p>
        </w:tc>
        <w:tc>
          <w:tcPr>
            <w:tcW w:w="960" w:type="dxa"/>
            <w:tcBorders>
              <w:top w:val="nil"/>
              <w:left w:val="nil"/>
              <w:bottom w:val="single" w:sz="8" w:space="0" w:color="auto"/>
              <w:right w:val="single" w:sz="8" w:space="0" w:color="auto"/>
            </w:tcBorders>
            <w:vAlign w:val="center"/>
            <w:hideMark/>
          </w:tcPr>
          <w:p w:rsidR="0095493B" w:rsidRDefault="0095493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p>
        </w:tc>
      </w:tr>
      <w:tr w:rsidR="0095493B" w:rsidTr="0095493B">
        <w:trPr>
          <w:trHeight w:val="315"/>
        </w:trPr>
        <w:tc>
          <w:tcPr>
            <w:tcW w:w="5540" w:type="dxa"/>
            <w:tcBorders>
              <w:top w:val="nil"/>
              <w:left w:val="single" w:sz="8" w:space="0" w:color="auto"/>
              <w:bottom w:val="single" w:sz="8" w:space="0" w:color="auto"/>
              <w:right w:val="single" w:sz="8" w:space="0" w:color="auto"/>
            </w:tcBorders>
            <w:noWrap/>
            <w:vAlign w:val="center"/>
            <w:hideMark/>
          </w:tcPr>
          <w:p w:rsidR="0095493B" w:rsidRDefault="0095493B">
            <w:pPr>
              <w:spacing w:after="0" w:line="240" w:lineRule="auto"/>
              <w:rPr>
                <w:rFonts w:ascii="Calibri" w:eastAsia="Times New Roman" w:hAnsi="Calibri" w:cs="Times New Roman"/>
                <w:color w:val="000000"/>
              </w:rPr>
            </w:pPr>
            <w:r>
              <w:rPr>
                <w:rFonts w:ascii="Calibri" w:eastAsia="Times New Roman" w:hAnsi="Calibri" w:cs="Times New Roman"/>
                <w:color w:val="000000"/>
              </w:rPr>
              <w:t>Elsevier</w:t>
            </w:r>
          </w:p>
        </w:tc>
        <w:tc>
          <w:tcPr>
            <w:tcW w:w="1360" w:type="dxa"/>
            <w:tcBorders>
              <w:top w:val="nil"/>
              <w:left w:val="nil"/>
              <w:bottom w:val="single" w:sz="8" w:space="0" w:color="auto"/>
              <w:right w:val="single" w:sz="8" w:space="0" w:color="auto"/>
            </w:tcBorders>
            <w:noWrap/>
            <w:vAlign w:val="center"/>
            <w:hideMark/>
          </w:tcPr>
          <w:p w:rsidR="0095493B" w:rsidRDefault="00F45B6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51774.26</w:t>
            </w:r>
          </w:p>
        </w:tc>
        <w:tc>
          <w:tcPr>
            <w:tcW w:w="960" w:type="dxa"/>
            <w:tcBorders>
              <w:top w:val="nil"/>
              <w:left w:val="nil"/>
              <w:bottom w:val="single" w:sz="8" w:space="0" w:color="auto"/>
              <w:right w:val="single" w:sz="8" w:space="0" w:color="auto"/>
            </w:tcBorders>
            <w:vAlign w:val="center"/>
            <w:hideMark/>
          </w:tcPr>
          <w:p w:rsidR="0095493B" w:rsidRDefault="00F45B6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31</w:t>
            </w:r>
          </w:p>
        </w:tc>
      </w:tr>
      <w:tr w:rsidR="0095493B" w:rsidTr="0095493B">
        <w:trPr>
          <w:trHeight w:val="315"/>
        </w:trPr>
        <w:tc>
          <w:tcPr>
            <w:tcW w:w="5540" w:type="dxa"/>
            <w:tcBorders>
              <w:top w:val="nil"/>
              <w:left w:val="single" w:sz="8" w:space="0" w:color="auto"/>
              <w:bottom w:val="single" w:sz="8" w:space="0" w:color="auto"/>
              <w:right w:val="single" w:sz="8" w:space="0" w:color="auto"/>
            </w:tcBorders>
            <w:noWrap/>
            <w:vAlign w:val="center"/>
            <w:hideMark/>
          </w:tcPr>
          <w:p w:rsidR="0095493B" w:rsidRDefault="0095493B">
            <w:pPr>
              <w:spacing w:after="0" w:line="240" w:lineRule="auto"/>
              <w:rPr>
                <w:rFonts w:ascii="Calibri" w:eastAsia="Times New Roman" w:hAnsi="Calibri" w:cs="Times New Roman"/>
                <w:color w:val="000000"/>
              </w:rPr>
            </w:pPr>
            <w:r>
              <w:rPr>
                <w:rFonts w:ascii="Calibri" w:eastAsia="Times New Roman" w:hAnsi="Calibri" w:cs="Times New Roman"/>
                <w:color w:val="000000"/>
              </w:rPr>
              <w:t>Frontiers Media SA</w:t>
            </w:r>
          </w:p>
        </w:tc>
        <w:tc>
          <w:tcPr>
            <w:tcW w:w="1360" w:type="dxa"/>
            <w:tcBorders>
              <w:top w:val="nil"/>
              <w:left w:val="nil"/>
              <w:bottom w:val="single" w:sz="8" w:space="0" w:color="auto"/>
              <w:right w:val="single" w:sz="8" w:space="0" w:color="auto"/>
            </w:tcBorders>
            <w:noWrap/>
            <w:vAlign w:val="center"/>
            <w:hideMark/>
          </w:tcPr>
          <w:p w:rsidR="0095493B" w:rsidRDefault="0095493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1,276.02</w:t>
            </w:r>
          </w:p>
        </w:tc>
        <w:tc>
          <w:tcPr>
            <w:tcW w:w="960" w:type="dxa"/>
            <w:tcBorders>
              <w:top w:val="nil"/>
              <w:left w:val="nil"/>
              <w:bottom w:val="single" w:sz="8" w:space="0" w:color="auto"/>
              <w:right w:val="single" w:sz="8" w:space="0" w:color="auto"/>
            </w:tcBorders>
            <w:vAlign w:val="center"/>
            <w:hideMark/>
          </w:tcPr>
          <w:p w:rsidR="0095493B" w:rsidRDefault="0095493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p>
        </w:tc>
      </w:tr>
      <w:tr w:rsidR="0095493B" w:rsidTr="0095493B">
        <w:trPr>
          <w:trHeight w:val="315"/>
        </w:trPr>
        <w:tc>
          <w:tcPr>
            <w:tcW w:w="5540" w:type="dxa"/>
            <w:tcBorders>
              <w:top w:val="nil"/>
              <w:left w:val="single" w:sz="8" w:space="0" w:color="auto"/>
              <w:bottom w:val="single" w:sz="8" w:space="0" w:color="auto"/>
              <w:right w:val="single" w:sz="8" w:space="0" w:color="auto"/>
            </w:tcBorders>
            <w:noWrap/>
            <w:vAlign w:val="center"/>
            <w:hideMark/>
          </w:tcPr>
          <w:p w:rsidR="0095493B" w:rsidRDefault="0095493B">
            <w:pPr>
              <w:spacing w:after="0" w:line="240" w:lineRule="auto"/>
              <w:rPr>
                <w:rFonts w:ascii="Calibri" w:eastAsia="Times New Roman" w:hAnsi="Calibri" w:cs="Times New Roman"/>
                <w:color w:val="000000"/>
              </w:rPr>
            </w:pPr>
            <w:r>
              <w:rPr>
                <w:rFonts w:ascii="Calibri" w:eastAsia="Times New Roman" w:hAnsi="Calibri" w:cs="Times New Roman"/>
                <w:color w:val="000000"/>
              </w:rPr>
              <w:t>IEEE</w:t>
            </w:r>
          </w:p>
        </w:tc>
        <w:tc>
          <w:tcPr>
            <w:tcW w:w="1360" w:type="dxa"/>
            <w:tcBorders>
              <w:top w:val="nil"/>
              <w:left w:val="nil"/>
              <w:bottom w:val="single" w:sz="8" w:space="0" w:color="auto"/>
              <w:right w:val="single" w:sz="8" w:space="0" w:color="auto"/>
            </w:tcBorders>
            <w:noWrap/>
            <w:vAlign w:val="center"/>
            <w:hideMark/>
          </w:tcPr>
          <w:p w:rsidR="0095493B" w:rsidRDefault="0095493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1,040.45</w:t>
            </w:r>
          </w:p>
        </w:tc>
        <w:tc>
          <w:tcPr>
            <w:tcW w:w="960" w:type="dxa"/>
            <w:tcBorders>
              <w:top w:val="nil"/>
              <w:left w:val="nil"/>
              <w:bottom w:val="single" w:sz="8" w:space="0" w:color="auto"/>
              <w:right w:val="single" w:sz="8" w:space="0" w:color="auto"/>
            </w:tcBorders>
            <w:vAlign w:val="center"/>
            <w:hideMark/>
          </w:tcPr>
          <w:p w:rsidR="0095493B" w:rsidRDefault="0095493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p>
        </w:tc>
      </w:tr>
      <w:tr w:rsidR="0095493B" w:rsidTr="0095493B">
        <w:trPr>
          <w:trHeight w:val="315"/>
        </w:trPr>
        <w:tc>
          <w:tcPr>
            <w:tcW w:w="5540" w:type="dxa"/>
            <w:tcBorders>
              <w:top w:val="nil"/>
              <w:left w:val="single" w:sz="8" w:space="0" w:color="auto"/>
              <w:bottom w:val="single" w:sz="8" w:space="0" w:color="auto"/>
              <w:right w:val="single" w:sz="8" w:space="0" w:color="auto"/>
            </w:tcBorders>
            <w:noWrap/>
            <w:vAlign w:val="center"/>
            <w:hideMark/>
          </w:tcPr>
          <w:p w:rsidR="0095493B" w:rsidRDefault="0095493B">
            <w:pPr>
              <w:spacing w:after="0" w:line="240" w:lineRule="auto"/>
              <w:rPr>
                <w:rFonts w:ascii="Calibri" w:eastAsia="Times New Roman" w:hAnsi="Calibri" w:cs="Times New Roman"/>
                <w:color w:val="000000"/>
              </w:rPr>
            </w:pPr>
            <w:r>
              <w:rPr>
                <w:rFonts w:ascii="Calibri" w:eastAsia="Times New Roman" w:hAnsi="Calibri" w:cs="Times New Roman"/>
                <w:color w:val="000000"/>
              </w:rPr>
              <w:t>IOP Publishing Ltd</w:t>
            </w:r>
          </w:p>
        </w:tc>
        <w:tc>
          <w:tcPr>
            <w:tcW w:w="1360" w:type="dxa"/>
            <w:tcBorders>
              <w:top w:val="nil"/>
              <w:left w:val="nil"/>
              <w:bottom w:val="single" w:sz="8" w:space="0" w:color="auto"/>
              <w:right w:val="single" w:sz="8" w:space="0" w:color="auto"/>
            </w:tcBorders>
            <w:noWrap/>
            <w:vAlign w:val="center"/>
            <w:hideMark/>
          </w:tcPr>
          <w:p w:rsidR="0095493B" w:rsidRDefault="0095493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660</w:t>
            </w:r>
          </w:p>
        </w:tc>
        <w:tc>
          <w:tcPr>
            <w:tcW w:w="960" w:type="dxa"/>
            <w:tcBorders>
              <w:top w:val="nil"/>
              <w:left w:val="nil"/>
              <w:bottom w:val="single" w:sz="8" w:space="0" w:color="auto"/>
              <w:right w:val="single" w:sz="8" w:space="0" w:color="auto"/>
            </w:tcBorders>
            <w:vAlign w:val="center"/>
            <w:hideMark/>
          </w:tcPr>
          <w:p w:rsidR="0095493B" w:rsidRDefault="0095493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p>
        </w:tc>
      </w:tr>
      <w:tr w:rsidR="0095493B" w:rsidTr="0095493B">
        <w:trPr>
          <w:trHeight w:val="315"/>
        </w:trPr>
        <w:tc>
          <w:tcPr>
            <w:tcW w:w="5540" w:type="dxa"/>
            <w:tcBorders>
              <w:top w:val="nil"/>
              <w:left w:val="single" w:sz="8" w:space="0" w:color="auto"/>
              <w:bottom w:val="single" w:sz="8" w:space="0" w:color="auto"/>
              <w:right w:val="single" w:sz="8" w:space="0" w:color="auto"/>
            </w:tcBorders>
            <w:noWrap/>
            <w:vAlign w:val="center"/>
            <w:hideMark/>
          </w:tcPr>
          <w:p w:rsidR="0095493B" w:rsidRDefault="0095493B">
            <w:pPr>
              <w:spacing w:after="0" w:line="240" w:lineRule="auto"/>
              <w:rPr>
                <w:rFonts w:ascii="Calibri" w:eastAsia="Times New Roman" w:hAnsi="Calibri" w:cs="Times New Roman"/>
                <w:color w:val="000000"/>
              </w:rPr>
            </w:pPr>
            <w:r>
              <w:rPr>
                <w:rFonts w:ascii="Calibri" w:eastAsia="Times New Roman" w:hAnsi="Calibri" w:cs="Times New Roman"/>
                <w:color w:val="000000"/>
              </w:rPr>
              <w:t>John Wiley &amp; Sons</w:t>
            </w:r>
          </w:p>
        </w:tc>
        <w:tc>
          <w:tcPr>
            <w:tcW w:w="1360" w:type="dxa"/>
            <w:tcBorders>
              <w:top w:val="nil"/>
              <w:left w:val="nil"/>
              <w:bottom w:val="single" w:sz="8" w:space="0" w:color="auto"/>
              <w:right w:val="single" w:sz="8" w:space="0" w:color="auto"/>
            </w:tcBorders>
            <w:noWrap/>
            <w:vAlign w:val="center"/>
            <w:hideMark/>
          </w:tcPr>
          <w:p w:rsidR="0095493B" w:rsidRDefault="00F45B6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27,260.73</w:t>
            </w:r>
          </w:p>
        </w:tc>
        <w:tc>
          <w:tcPr>
            <w:tcW w:w="960" w:type="dxa"/>
            <w:tcBorders>
              <w:top w:val="nil"/>
              <w:left w:val="nil"/>
              <w:bottom w:val="single" w:sz="8" w:space="0" w:color="auto"/>
              <w:right w:val="single" w:sz="8" w:space="0" w:color="auto"/>
            </w:tcBorders>
            <w:vAlign w:val="center"/>
            <w:hideMark/>
          </w:tcPr>
          <w:p w:rsidR="0095493B" w:rsidRDefault="00F45B6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14</w:t>
            </w:r>
          </w:p>
        </w:tc>
      </w:tr>
      <w:tr w:rsidR="0095493B" w:rsidTr="0095493B">
        <w:trPr>
          <w:trHeight w:val="315"/>
        </w:trPr>
        <w:tc>
          <w:tcPr>
            <w:tcW w:w="5540" w:type="dxa"/>
            <w:tcBorders>
              <w:top w:val="nil"/>
              <w:left w:val="single" w:sz="8" w:space="0" w:color="auto"/>
              <w:bottom w:val="single" w:sz="8" w:space="0" w:color="auto"/>
              <w:right w:val="single" w:sz="8" w:space="0" w:color="auto"/>
            </w:tcBorders>
            <w:noWrap/>
            <w:vAlign w:val="center"/>
            <w:hideMark/>
          </w:tcPr>
          <w:p w:rsidR="0095493B" w:rsidRDefault="0095493B">
            <w:pPr>
              <w:spacing w:after="0" w:line="240" w:lineRule="auto"/>
              <w:rPr>
                <w:rFonts w:ascii="Calibri" w:eastAsia="Times New Roman" w:hAnsi="Calibri" w:cs="Times New Roman"/>
                <w:color w:val="000000"/>
              </w:rPr>
            </w:pPr>
            <w:r>
              <w:rPr>
                <w:rFonts w:ascii="Calibri" w:eastAsia="Times New Roman" w:hAnsi="Calibri" w:cs="Times New Roman"/>
                <w:color w:val="000000"/>
              </w:rPr>
              <w:t>Journal of Medical Internet Research</w:t>
            </w:r>
          </w:p>
        </w:tc>
        <w:tc>
          <w:tcPr>
            <w:tcW w:w="1360" w:type="dxa"/>
            <w:tcBorders>
              <w:top w:val="nil"/>
              <w:left w:val="nil"/>
              <w:bottom w:val="single" w:sz="8" w:space="0" w:color="auto"/>
              <w:right w:val="single" w:sz="8" w:space="0" w:color="auto"/>
            </w:tcBorders>
            <w:noWrap/>
            <w:vAlign w:val="center"/>
            <w:hideMark/>
          </w:tcPr>
          <w:p w:rsidR="0095493B" w:rsidRDefault="0095493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1,176.33</w:t>
            </w:r>
          </w:p>
        </w:tc>
        <w:tc>
          <w:tcPr>
            <w:tcW w:w="960" w:type="dxa"/>
            <w:tcBorders>
              <w:top w:val="nil"/>
              <w:left w:val="nil"/>
              <w:bottom w:val="single" w:sz="8" w:space="0" w:color="auto"/>
              <w:right w:val="single" w:sz="8" w:space="0" w:color="auto"/>
            </w:tcBorders>
            <w:vAlign w:val="center"/>
            <w:hideMark/>
          </w:tcPr>
          <w:p w:rsidR="0095493B" w:rsidRDefault="0095493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p>
        </w:tc>
      </w:tr>
      <w:tr w:rsidR="0095493B" w:rsidTr="0095493B">
        <w:trPr>
          <w:trHeight w:val="315"/>
        </w:trPr>
        <w:tc>
          <w:tcPr>
            <w:tcW w:w="5540" w:type="dxa"/>
            <w:tcBorders>
              <w:top w:val="nil"/>
              <w:left w:val="single" w:sz="8" w:space="0" w:color="auto"/>
              <w:bottom w:val="single" w:sz="8" w:space="0" w:color="auto"/>
              <w:right w:val="single" w:sz="8" w:space="0" w:color="auto"/>
            </w:tcBorders>
            <w:noWrap/>
            <w:vAlign w:val="center"/>
            <w:hideMark/>
          </w:tcPr>
          <w:p w:rsidR="0095493B" w:rsidRDefault="0095493B">
            <w:pPr>
              <w:spacing w:after="0" w:line="240" w:lineRule="auto"/>
              <w:rPr>
                <w:rFonts w:ascii="Calibri" w:eastAsia="Times New Roman" w:hAnsi="Calibri" w:cs="Times New Roman"/>
                <w:color w:val="000000"/>
              </w:rPr>
            </w:pPr>
            <w:r>
              <w:rPr>
                <w:rFonts w:ascii="Calibri" w:eastAsia="Times New Roman" w:hAnsi="Calibri" w:cs="Times New Roman"/>
                <w:color w:val="000000"/>
              </w:rPr>
              <w:t>Nature Publishing Group</w:t>
            </w:r>
          </w:p>
        </w:tc>
        <w:tc>
          <w:tcPr>
            <w:tcW w:w="1360" w:type="dxa"/>
            <w:tcBorders>
              <w:top w:val="nil"/>
              <w:left w:val="nil"/>
              <w:bottom w:val="single" w:sz="8" w:space="0" w:color="auto"/>
              <w:right w:val="single" w:sz="8" w:space="0" w:color="auto"/>
            </w:tcBorders>
            <w:noWrap/>
            <w:vAlign w:val="center"/>
            <w:hideMark/>
          </w:tcPr>
          <w:p w:rsidR="0095493B" w:rsidRDefault="0095493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18,806.40</w:t>
            </w:r>
          </w:p>
        </w:tc>
        <w:tc>
          <w:tcPr>
            <w:tcW w:w="960" w:type="dxa"/>
            <w:tcBorders>
              <w:top w:val="nil"/>
              <w:left w:val="nil"/>
              <w:bottom w:val="single" w:sz="8" w:space="0" w:color="auto"/>
              <w:right w:val="single" w:sz="8" w:space="0" w:color="auto"/>
            </w:tcBorders>
            <w:vAlign w:val="center"/>
            <w:hideMark/>
          </w:tcPr>
          <w:p w:rsidR="0095493B" w:rsidRDefault="0095493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w:t>
            </w:r>
          </w:p>
        </w:tc>
      </w:tr>
      <w:tr w:rsidR="0095493B" w:rsidTr="0095493B">
        <w:trPr>
          <w:trHeight w:val="315"/>
        </w:trPr>
        <w:tc>
          <w:tcPr>
            <w:tcW w:w="5540" w:type="dxa"/>
            <w:tcBorders>
              <w:top w:val="nil"/>
              <w:left w:val="single" w:sz="8" w:space="0" w:color="auto"/>
              <w:bottom w:val="single" w:sz="8" w:space="0" w:color="auto"/>
              <w:right w:val="single" w:sz="8" w:space="0" w:color="auto"/>
            </w:tcBorders>
            <w:noWrap/>
            <w:vAlign w:val="center"/>
            <w:hideMark/>
          </w:tcPr>
          <w:p w:rsidR="0095493B" w:rsidRDefault="0095493B">
            <w:pPr>
              <w:spacing w:after="0" w:line="240" w:lineRule="auto"/>
              <w:rPr>
                <w:rFonts w:ascii="Calibri" w:eastAsia="Times New Roman" w:hAnsi="Calibri" w:cs="Times New Roman"/>
                <w:color w:val="000000"/>
              </w:rPr>
            </w:pPr>
            <w:r>
              <w:rPr>
                <w:rFonts w:ascii="Calibri" w:eastAsia="Times New Roman" w:hAnsi="Calibri" w:cs="Times New Roman"/>
                <w:color w:val="000000"/>
              </w:rPr>
              <w:t>Optical Society of America</w:t>
            </w:r>
          </w:p>
        </w:tc>
        <w:tc>
          <w:tcPr>
            <w:tcW w:w="1360" w:type="dxa"/>
            <w:tcBorders>
              <w:top w:val="nil"/>
              <w:left w:val="nil"/>
              <w:bottom w:val="single" w:sz="8" w:space="0" w:color="auto"/>
              <w:right w:val="single" w:sz="8" w:space="0" w:color="auto"/>
            </w:tcBorders>
            <w:noWrap/>
            <w:vAlign w:val="center"/>
            <w:hideMark/>
          </w:tcPr>
          <w:p w:rsidR="0095493B" w:rsidRDefault="0095493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813.02</w:t>
            </w:r>
          </w:p>
        </w:tc>
        <w:tc>
          <w:tcPr>
            <w:tcW w:w="960" w:type="dxa"/>
            <w:tcBorders>
              <w:top w:val="nil"/>
              <w:left w:val="nil"/>
              <w:bottom w:val="single" w:sz="8" w:space="0" w:color="auto"/>
              <w:right w:val="single" w:sz="8" w:space="0" w:color="auto"/>
            </w:tcBorders>
            <w:vAlign w:val="center"/>
            <w:hideMark/>
          </w:tcPr>
          <w:p w:rsidR="0095493B" w:rsidRDefault="0095493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p>
        </w:tc>
      </w:tr>
      <w:tr w:rsidR="0095493B" w:rsidTr="0095493B">
        <w:trPr>
          <w:trHeight w:val="315"/>
        </w:trPr>
        <w:tc>
          <w:tcPr>
            <w:tcW w:w="5540" w:type="dxa"/>
            <w:tcBorders>
              <w:top w:val="nil"/>
              <w:left w:val="single" w:sz="8" w:space="0" w:color="auto"/>
              <w:bottom w:val="single" w:sz="8" w:space="0" w:color="auto"/>
              <w:right w:val="single" w:sz="8" w:space="0" w:color="auto"/>
            </w:tcBorders>
            <w:noWrap/>
            <w:vAlign w:val="center"/>
            <w:hideMark/>
          </w:tcPr>
          <w:p w:rsidR="0095493B" w:rsidRDefault="0095493B">
            <w:pPr>
              <w:spacing w:after="0" w:line="240" w:lineRule="auto"/>
              <w:rPr>
                <w:rFonts w:ascii="Calibri" w:eastAsia="Times New Roman" w:hAnsi="Calibri" w:cs="Times New Roman"/>
                <w:color w:val="000000"/>
              </w:rPr>
            </w:pPr>
            <w:r>
              <w:rPr>
                <w:rFonts w:ascii="Calibri" w:eastAsia="Times New Roman" w:hAnsi="Calibri" w:cs="Times New Roman"/>
                <w:color w:val="000000"/>
              </w:rPr>
              <w:t>Oxford Journals</w:t>
            </w:r>
          </w:p>
        </w:tc>
        <w:tc>
          <w:tcPr>
            <w:tcW w:w="1360" w:type="dxa"/>
            <w:tcBorders>
              <w:top w:val="nil"/>
              <w:left w:val="nil"/>
              <w:bottom w:val="single" w:sz="8" w:space="0" w:color="auto"/>
              <w:right w:val="single" w:sz="8" w:space="0" w:color="auto"/>
            </w:tcBorders>
            <w:noWrap/>
            <w:vAlign w:val="center"/>
            <w:hideMark/>
          </w:tcPr>
          <w:p w:rsidR="0095493B" w:rsidRDefault="0095493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2,415.00</w:t>
            </w:r>
          </w:p>
        </w:tc>
        <w:tc>
          <w:tcPr>
            <w:tcW w:w="960" w:type="dxa"/>
            <w:tcBorders>
              <w:top w:val="nil"/>
              <w:left w:val="nil"/>
              <w:bottom w:val="single" w:sz="8" w:space="0" w:color="auto"/>
              <w:right w:val="single" w:sz="8" w:space="0" w:color="auto"/>
            </w:tcBorders>
            <w:vAlign w:val="center"/>
            <w:hideMark/>
          </w:tcPr>
          <w:p w:rsidR="0095493B" w:rsidRDefault="0095493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p>
        </w:tc>
      </w:tr>
      <w:tr w:rsidR="0095493B" w:rsidTr="0095493B">
        <w:trPr>
          <w:trHeight w:val="315"/>
        </w:trPr>
        <w:tc>
          <w:tcPr>
            <w:tcW w:w="5540" w:type="dxa"/>
            <w:tcBorders>
              <w:top w:val="nil"/>
              <w:left w:val="single" w:sz="8" w:space="0" w:color="auto"/>
              <w:bottom w:val="single" w:sz="8" w:space="0" w:color="auto"/>
              <w:right w:val="single" w:sz="8" w:space="0" w:color="auto"/>
            </w:tcBorders>
            <w:noWrap/>
            <w:vAlign w:val="center"/>
            <w:hideMark/>
          </w:tcPr>
          <w:p w:rsidR="0095493B" w:rsidRDefault="0095493B">
            <w:pPr>
              <w:spacing w:after="0" w:line="240" w:lineRule="auto"/>
              <w:rPr>
                <w:rFonts w:ascii="Calibri" w:eastAsia="Times New Roman" w:hAnsi="Calibri" w:cs="Times New Roman"/>
                <w:color w:val="000000"/>
              </w:rPr>
            </w:pPr>
            <w:r>
              <w:rPr>
                <w:rFonts w:ascii="Calibri" w:eastAsia="Times New Roman" w:hAnsi="Calibri" w:cs="Times New Roman"/>
                <w:color w:val="000000"/>
              </w:rPr>
              <w:t>Public Library of Science (</w:t>
            </w:r>
            <w:proofErr w:type="spellStart"/>
            <w:r>
              <w:rPr>
                <w:rFonts w:ascii="Calibri" w:eastAsia="Times New Roman" w:hAnsi="Calibri" w:cs="Times New Roman"/>
                <w:color w:val="000000"/>
              </w:rPr>
              <w:t>PLoS</w:t>
            </w:r>
            <w:proofErr w:type="spellEnd"/>
            <w:r>
              <w:rPr>
                <w:rFonts w:ascii="Calibri" w:eastAsia="Times New Roman" w:hAnsi="Calibri" w:cs="Times New Roman"/>
                <w:color w:val="000000"/>
              </w:rPr>
              <w:t>)</w:t>
            </w:r>
          </w:p>
        </w:tc>
        <w:tc>
          <w:tcPr>
            <w:tcW w:w="1360" w:type="dxa"/>
            <w:tcBorders>
              <w:top w:val="nil"/>
              <w:left w:val="nil"/>
              <w:bottom w:val="single" w:sz="8" w:space="0" w:color="auto"/>
              <w:right w:val="single" w:sz="8" w:space="0" w:color="auto"/>
            </w:tcBorders>
            <w:noWrap/>
            <w:vAlign w:val="center"/>
            <w:hideMark/>
          </w:tcPr>
          <w:p w:rsidR="0095493B" w:rsidRDefault="00F45B6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14,446.32</w:t>
            </w:r>
          </w:p>
        </w:tc>
        <w:tc>
          <w:tcPr>
            <w:tcW w:w="960" w:type="dxa"/>
            <w:tcBorders>
              <w:top w:val="nil"/>
              <w:left w:val="nil"/>
              <w:bottom w:val="single" w:sz="8" w:space="0" w:color="auto"/>
              <w:right w:val="single" w:sz="8" w:space="0" w:color="auto"/>
            </w:tcBorders>
            <w:vAlign w:val="center"/>
            <w:hideMark/>
          </w:tcPr>
          <w:p w:rsidR="0095493B" w:rsidRDefault="00F45B6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16</w:t>
            </w:r>
          </w:p>
        </w:tc>
      </w:tr>
      <w:tr w:rsidR="0095493B" w:rsidTr="0095493B">
        <w:trPr>
          <w:trHeight w:val="315"/>
        </w:trPr>
        <w:tc>
          <w:tcPr>
            <w:tcW w:w="5540" w:type="dxa"/>
            <w:tcBorders>
              <w:top w:val="nil"/>
              <w:left w:val="single" w:sz="8" w:space="0" w:color="auto"/>
              <w:bottom w:val="single" w:sz="8" w:space="0" w:color="auto"/>
              <w:right w:val="single" w:sz="8" w:space="0" w:color="auto"/>
            </w:tcBorders>
            <w:noWrap/>
            <w:vAlign w:val="center"/>
            <w:hideMark/>
          </w:tcPr>
          <w:p w:rsidR="0095493B" w:rsidRDefault="0095493B">
            <w:pPr>
              <w:spacing w:after="0" w:line="240" w:lineRule="auto"/>
              <w:rPr>
                <w:rFonts w:ascii="Calibri" w:eastAsia="Times New Roman" w:hAnsi="Calibri" w:cs="Times New Roman"/>
                <w:color w:val="000000"/>
              </w:rPr>
            </w:pPr>
            <w:r>
              <w:rPr>
                <w:rFonts w:ascii="Calibri" w:eastAsia="Times New Roman" w:hAnsi="Calibri" w:cs="Times New Roman"/>
                <w:color w:val="000000"/>
              </w:rPr>
              <w:t>Royal Society Of Chemistry</w:t>
            </w:r>
          </w:p>
        </w:tc>
        <w:tc>
          <w:tcPr>
            <w:tcW w:w="1360" w:type="dxa"/>
            <w:tcBorders>
              <w:top w:val="nil"/>
              <w:left w:val="nil"/>
              <w:bottom w:val="single" w:sz="8" w:space="0" w:color="auto"/>
              <w:right w:val="single" w:sz="8" w:space="0" w:color="auto"/>
            </w:tcBorders>
            <w:noWrap/>
            <w:vAlign w:val="center"/>
            <w:hideMark/>
          </w:tcPr>
          <w:p w:rsidR="0095493B" w:rsidRDefault="0095493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24,336.00</w:t>
            </w:r>
          </w:p>
        </w:tc>
        <w:tc>
          <w:tcPr>
            <w:tcW w:w="960" w:type="dxa"/>
            <w:tcBorders>
              <w:top w:val="nil"/>
              <w:left w:val="nil"/>
              <w:bottom w:val="single" w:sz="8" w:space="0" w:color="auto"/>
              <w:right w:val="single" w:sz="8" w:space="0" w:color="auto"/>
            </w:tcBorders>
            <w:vAlign w:val="center"/>
            <w:hideMark/>
          </w:tcPr>
          <w:p w:rsidR="0095493B" w:rsidRDefault="0095493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15</w:t>
            </w:r>
          </w:p>
        </w:tc>
      </w:tr>
      <w:tr w:rsidR="0095493B" w:rsidTr="0095493B">
        <w:trPr>
          <w:trHeight w:val="315"/>
        </w:trPr>
        <w:tc>
          <w:tcPr>
            <w:tcW w:w="5540" w:type="dxa"/>
            <w:tcBorders>
              <w:top w:val="nil"/>
              <w:left w:val="single" w:sz="8" w:space="0" w:color="auto"/>
              <w:bottom w:val="single" w:sz="8" w:space="0" w:color="auto"/>
              <w:right w:val="single" w:sz="8" w:space="0" w:color="auto"/>
            </w:tcBorders>
            <w:noWrap/>
            <w:vAlign w:val="center"/>
            <w:hideMark/>
          </w:tcPr>
          <w:p w:rsidR="0095493B" w:rsidRDefault="0095493B">
            <w:pPr>
              <w:spacing w:after="0" w:line="240" w:lineRule="auto"/>
              <w:rPr>
                <w:rFonts w:ascii="Calibri" w:eastAsia="Times New Roman" w:hAnsi="Calibri" w:cs="Times New Roman"/>
                <w:color w:val="000000"/>
              </w:rPr>
            </w:pPr>
            <w:proofErr w:type="spellStart"/>
            <w:r>
              <w:rPr>
                <w:rFonts w:ascii="Calibri" w:eastAsia="Times New Roman" w:hAnsi="Calibri" w:cs="Times New Roman"/>
                <w:color w:val="000000"/>
              </w:rPr>
              <w:t>S.Karger</w:t>
            </w:r>
            <w:proofErr w:type="spellEnd"/>
            <w:r>
              <w:rPr>
                <w:rFonts w:ascii="Calibri" w:eastAsia="Times New Roman" w:hAnsi="Calibri" w:cs="Times New Roman"/>
                <w:color w:val="000000"/>
              </w:rPr>
              <w:t xml:space="preserve"> AG</w:t>
            </w:r>
          </w:p>
        </w:tc>
        <w:tc>
          <w:tcPr>
            <w:tcW w:w="1360" w:type="dxa"/>
            <w:tcBorders>
              <w:top w:val="nil"/>
              <w:left w:val="nil"/>
              <w:bottom w:val="single" w:sz="8" w:space="0" w:color="auto"/>
              <w:right w:val="single" w:sz="8" w:space="0" w:color="auto"/>
            </w:tcBorders>
            <w:noWrap/>
            <w:vAlign w:val="center"/>
            <w:hideMark/>
          </w:tcPr>
          <w:p w:rsidR="0095493B" w:rsidRDefault="0095493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1,693.90</w:t>
            </w:r>
          </w:p>
        </w:tc>
        <w:tc>
          <w:tcPr>
            <w:tcW w:w="960" w:type="dxa"/>
            <w:tcBorders>
              <w:top w:val="nil"/>
              <w:left w:val="nil"/>
              <w:bottom w:val="single" w:sz="8" w:space="0" w:color="auto"/>
              <w:right w:val="single" w:sz="8" w:space="0" w:color="auto"/>
            </w:tcBorders>
            <w:vAlign w:val="center"/>
            <w:hideMark/>
          </w:tcPr>
          <w:p w:rsidR="0095493B" w:rsidRDefault="0095493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p>
        </w:tc>
      </w:tr>
      <w:tr w:rsidR="0095493B" w:rsidTr="0095493B">
        <w:trPr>
          <w:trHeight w:val="315"/>
        </w:trPr>
        <w:tc>
          <w:tcPr>
            <w:tcW w:w="5540" w:type="dxa"/>
            <w:tcBorders>
              <w:top w:val="nil"/>
              <w:left w:val="single" w:sz="8" w:space="0" w:color="auto"/>
              <w:bottom w:val="single" w:sz="8" w:space="0" w:color="auto"/>
              <w:right w:val="single" w:sz="8" w:space="0" w:color="auto"/>
            </w:tcBorders>
            <w:noWrap/>
            <w:vAlign w:val="center"/>
            <w:hideMark/>
          </w:tcPr>
          <w:p w:rsidR="0095493B" w:rsidRDefault="0095493B">
            <w:pPr>
              <w:spacing w:after="0" w:line="240" w:lineRule="auto"/>
              <w:rPr>
                <w:rFonts w:ascii="Calibri" w:eastAsia="Times New Roman" w:hAnsi="Calibri" w:cs="Times New Roman"/>
                <w:color w:val="000000"/>
              </w:rPr>
            </w:pPr>
            <w:r>
              <w:rPr>
                <w:rFonts w:ascii="Calibri" w:eastAsia="Times New Roman" w:hAnsi="Calibri" w:cs="Times New Roman"/>
                <w:color w:val="000000"/>
              </w:rPr>
              <w:t>Springer-</w:t>
            </w:r>
            <w:proofErr w:type="spellStart"/>
            <w:r>
              <w:rPr>
                <w:rFonts w:ascii="Calibri" w:eastAsia="Times New Roman" w:hAnsi="Calibri" w:cs="Times New Roman"/>
                <w:color w:val="000000"/>
              </w:rPr>
              <w:t>Verlag</w:t>
            </w:r>
            <w:proofErr w:type="spellEnd"/>
            <w:r>
              <w:rPr>
                <w:rFonts w:ascii="Calibri" w:eastAsia="Times New Roman" w:hAnsi="Calibri" w:cs="Times New Roman"/>
                <w:color w:val="000000"/>
              </w:rPr>
              <w:t xml:space="preserve"> </w:t>
            </w:r>
            <w:proofErr w:type="spellStart"/>
            <w:r>
              <w:rPr>
                <w:rFonts w:ascii="Calibri" w:eastAsia="Times New Roman" w:hAnsi="Calibri" w:cs="Times New Roman"/>
                <w:color w:val="000000"/>
              </w:rPr>
              <w:t>Gmbh</w:t>
            </w:r>
            <w:proofErr w:type="spellEnd"/>
          </w:p>
        </w:tc>
        <w:tc>
          <w:tcPr>
            <w:tcW w:w="1360" w:type="dxa"/>
            <w:tcBorders>
              <w:top w:val="nil"/>
              <w:left w:val="nil"/>
              <w:bottom w:val="single" w:sz="8" w:space="0" w:color="auto"/>
              <w:right w:val="single" w:sz="8" w:space="0" w:color="auto"/>
            </w:tcBorders>
            <w:noWrap/>
            <w:vAlign w:val="center"/>
            <w:hideMark/>
          </w:tcPr>
          <w:p w:rsidR="0095493B" w:rsidRDefault="0095493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9,416.57</w:t>
            </w:r>
          </w:p>
        </w:tc>
        <w:tc>
          <w:tcPr>
            <w:tcW w:w="960" w:type="dxa"/>
            <w:tcBorders>
              <w:top w:val="nil"/>
              <w:left w:val="nil"/>
              <w:bottom w:val="single" w:sz="8" w:space="0" w:color="auto"/>
              <w:right w:val="single" w:sz="8" w:space="0" w:color="auto"/>
            </w:tcBorders>
            <w:vAlign w:val="center"/>
            <w:hideMark/>
          </w:tcPr>
          <w:p w:rsidR="0095493B" w:rsidRDefault="0095493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w:t>
            </w:r>
          </w:p>
        </w:tc>
      </w:tr>
      <w:tr w:rsidR="0095493B" w:rsidTr="0095493B">
        <w:trPr>
          <w:trHeight w:val="315"/>
        </w:trPr>
        <w:tc>
          <w:tcPr>
            <w:tcW w:w="5540" w:type="dxa"/>
            <w:tcBorders>
              <w:top w:val="nil"/>
              <w:left w:val="single" w:sz="8" w:space="0" w:color="auto"/>
              <w:bottom w:val="single" w:sz="8" w:space="0" w:color="auto"/>
              <w:right w:val="single" w:sz="8" w:space="0" w:color="auto"/>
            </w:tcBorders>
            <w:noWrap/>
            <w:vAlign w:val="center"/>
            <w:hideMark/>
          </w:tcPr>
          <w:p w:rsidR="0095493B" w:rsidRDefault="0095493B">
            <w:pPr>
              <w:spacing w:after="0" w:line="240" w:lineRule="auto"/>
              <w:rPr>
                <w:rFonts w:ascii="Calibri" w:eastAsia="Times New Roman" w:hAnsi="Calibri" w:cs="Times New Roman"/>
                <w:color w:val="000000"/>
              </w:rPr>
            </w:pPr>
            <w:r>
              <w:rPr>
                <w:rFonts w:ascii="Calibri" w:eastAsia="Times New Roman" w:hAnsi="Calibri" w:cs="Times New Roman"/>
                <w:color w:val="000000"/>
              </w:rPr>
              <w:t>Taylor &amp; Francis</w:t>
            </w:r>
          </w:p>
        </w:tc>
        <w:tc>
          <w:tcPr>
            <w:tcW w:w="1360" w:type="dxa"/>
            <w:tcBorders>
              <w:top w:val="nil"/>
              <w:left w:val="nil"/>
              <w:bottom w:val="single" w:sz="8" w:space="0" w:color="auto"/>
              <w:right w:val="single" w:sz="8" w:space="0" w:color="auto"/>
            </w:tcBorders>
            <w:noWrap/>
            <w:vAlign w:val="center"/>
            <w:hideMark/>
          </w:tcPr>
          <w:p w:rsidR="0095493B" w:rsidRDefault="0095493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10,935.02</w:t>
            </w:r>
          </w:p>
        </w:tc>
        <w:tc>
          <w:tcPr>
            <w:tcW w:w="960" w:type="dxa"/>
            <w:tcBorders>
              <w:top w:val="nil"/>
              <w:left w:val="nil"/>
              <w:bottom w:val="single" w:sz="8" w:space="0" w:color="auto"/>
              <w:right w:val="single" w:sz="8" w:space="0" w:color="auto"/>
            </w:tcBorders>
            <w:vAlign w:val="center"/>
            <w:hideMark/>
          </w:tcPr>
          <w:p w:rsidR="0095493B" w:rsidRDefault="00EB5E83">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w:t>
            </w:r>
          </w:p>
        </w:tc>
      </w:tr>
      <w:tr w:rsidR="0095493B" w:rsidTr="0095493B">
        <w:trPr>
          <w:trHeight w:val="315"/>
        </w:trPr>
        <w:tc>
          <w:tcPr>
            <w:tcW w:w="5540" w:type="dxa"/>
            <w:tcBorders>
              <w:top w:val="nil"/>
              <w:left w:val="single" w:sz="8" w:space="0" w:color="auto"/>
              <w:bottom w:val="single" w:sz="8" w:space="0" w:color="auto"/>
              <w:right w:val="single" w:sz="8" w:space="0" w:color="auto"/>
            </w:tcBorders>
            <w:noWrap/>
            <w:vAlign w:val="center"/>
            <w:hideMark/>
          </w:tcPr>
          <w:p w:rsidR="0095493B" w:rsidRDefault="0095493B">
            <w:pPr>
              <w:spacing w:after="0" w:line="240" w:lineRule="auto"/>
              <w:rPr>
                <w:rFonts w:ascii="Calibri" w:eastAsia="Times New Roman" w:hAnsi="Calibri" w:cs="Times New Roman"/>
                <w:color w:val="000000"/>
              </w:rPr>
            </w:pPr>
            <w:r>
              <w:rPr>
                <w:rFonts w:ascii="Calibri" w:eastAsia="Times New Roman" w:hAnsi="Calibri" w:cs="Times New Roman"/>
                <w:color w:val="000000"/>
              </w:rPr>
              <w:t>The Company of Biologists</w:t>
            </w:r>
          </w:p>
        </w:tc>
        <w:tc>
          <w:tcPr>
            <w:tcW w:w="1360" w:type="dxa"/>
            <w:tcBorders>
              <w:top w:val="nil"/>
              <w:left w:val="nil"/>
              <w:bottom w:val="single" w:sz="8" w:space="0" w:color="auto"/>
              <w:right w:val="single" w:sz="8" w:space="0" w:color="auto"/>
            </w:tcBorders>
            <w:noWrap/>
            <w:vAlign w:val="center"/>
            <w:hideMark/>
          </w:tcPr>
          <w:p w:rsidR="0095493B" w:rsidRDefault="0095493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2,400.00</w:t>
            </w:r>
          </w:p>
        </w:tc>
        <w:tc>
          <w:tcPr>
            <w:tcW w:w="960" w:type="dxa"/>
            <w:tcBorders>
              <w:top w:val="nil"/>
              <w:left w:val="nil"/>
              <w:bottom w:val="single" w:sz="8" w:space="0" w:color="auto"/>
              <w:right w:val="single" w:sz="8" w:space="0" w:color="auto"/>
            </w:tcBorders>
            <w:vAlign w:val="center"/>
            <w:hideMark/>
          </w:tcPr>
          <w:p w:rsidR="0095493B" w:rsidRDefault="0095493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p>
        </w:tc>
      </w:tr>
      <w:tr w:rsidR="0095493B" w:rsidTr="0095493B">
        <w:trPr>
          <w:trHeight w:val="315"/>
        </w:trPr>
        <w:tc>
          <w:tcPr>
            <w:tcW w:w="5540" w:type="dxa"/>
            <w:tcBorders>
              <w:top w:val="nil"/>
              <w:left w:val="single" w:sz="8" w:space="0" w:color="auto"/>
              <w:bottom w:val="single" w:sz="8" w:space="0" w:color="auto"/>
              <w:right w:val="single" w:sz="8" w:space="0" w:color="auto"/>
            </w:tcBorders>
            <w:noWrap/>
            <w:vAlign w:val="center"/>
            <w:hideMark/>
          </w:tcPr>
          <w:p w:rsidR="0095493B" w:rsidRDefault="0095493B">
            <w:pPr>
              <w:spacing w:after="0" w:line="240" w:lineRule="auto"/>
              <w:rPr>
                <w:rFonts w:ascii="Calibri" w:eastAsia="Times New Roman" w:hAnsi="Calibri" w:cs="Times New Roman"/>
                <w:color w:val="000000"/>
              </w:rPr>
            </w:pPr>
            <w:r>
              <w:rPr>
                <w:rFonts w:ascii="Calibri" w:eastAsia="Times New Roman" w:hAnsi="Calibri" w:cs="Times New Roman"/>
                <w:color w:val="000000"/>
              </w:rPr>
              <w:t>The Royal Society</w:t>
            </w:r>
          </w:p>
        </w:tc>
        <w:tc>
          <w:tcPr>
            <w:tcW w:w="1360" w:type="dxa"/>
            <w:tcBorders>
              <w:top w:val="nil"/>
              <w:left w:val="nil"/>
              <w:bottom w:val="single" w:sz="8" w:space="0" w:color="auto"/>
              <w:right w:val="single" w:sz="8" w:space="0" w:color="auto"/>
            </w:tcBorders>
            <w:noWrap/>
            <w:vAlign w:val="center"/>
            <w:hideMark/>
          </w:tcPr>
          <w:p w:rsidR="0095493B" w:rsidRDefault="0095493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1,260.00</w:t>
            </w:r>
          </w:p>
        </w:tc>
        <w:tc>
          <w:tcPr>
            <w:tcW w:w="960" w:type="dxa"/>
            <w:tcBorders>
              <w:top w:val="nil"/>
              <w:left w:val="nil"/>
              <w:bottom w:val="single" w:sz="8" w:space="0" w:color="auto"/>
              <w:right w:val="single" w:sz="8" w:space="0" w:color="auto"/>
            </w:tcBorders>
            <w:vAlign w:val="center"/>
            <w:hideMark/>
          </w:tcPr>
          <w:p w:rsidR="0095493B" w:rsidRDefault="0095493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p>
        </w:tc>
      </w:tr>
      <w:tr w:rsidR="0095493B" w:rsidTr="0095493B">
        <w:trPr>
          <w:trHeight w:val="315"/>
        </w:trPr>
        <w:tc>
          <w:tcPr>
            <w:tcW w:w="5540" w:type="dxa"/>
            <w:tcBorders>
              <w:top w:val="nil"/>
              <w:left w:val="single" w:sz="8" w:space="0" w:color="auto"/>
              <w:bottom w:val="single" w:sz="8" w:space="0" w:color="auto"/>
              <w:right w:val="single" w:sz="8" w:space="0" w:color="auto"/>
            </w:tcBorders>
            <w:noWrap/>
            <w:hideMark/>
          </w:tcPr>
          <w:p w:rsidR="0095493B" w:rsidRDefault="0095493B">
            <w:pPr>
              <w:spacing w:after="0" w:line="240" w:lineRule="auto"/>
              <w:rPr>
                <w:rFonts w:ascii="Calibri" w:eastAsia="Times New Roman" w:hAnsi="Calibri" w:cs="Times New Roman"/>
                <w:color w:val="000000"/>
              </w:rPr>
            </w:pPr>
            <w:r>
              <w:rPr>
                <w:rFonts w:ascii="Calibri" w:eastAsia="Times New Roman" w:hAnsi="Calibri" w:cs="Times New Roman"/>
                <w:color w:val="000000"/>
              </w:rPr>
              <w:t> </w:t>
            </w:r>
          </w:p>
        </w:tc>
        <w:tc>
          <w:tcPr>
            <w:tcW w:w="1360" w:type="dxa"/>
            <w:tcBorders>
              <w:top w:val="nil"/>
              <w:left w:val="nil"/>
              <w:bottom w:val="single" w:sz="8" w:space="0" w:color="auto"/>
              <w:right w:val="single" w:sz="8" w:space="0" w:color="auto"/>
            </w:tcBorders>
            <w:noWrap/>
            <w:hideMark/>
          </w:tcPr>
          <w:p w:rsidR="0095493B" w:rsidRDefault="0095493B">
            <w:pPr>
              <w:spacing w:after="0" w:line="240" w:lineRule="auto"/>
              <w:rPr>
                <w:rFonts w:ascii="Calibri" w:eastAsia="Times New Roman" w:hAnsi="Calibri" w:cs="Times New Roman"/>
                <w:color w:val="000000"/>
              </w:rPr>
            </w:pPr>
          </w:p>
        </w:tc>
        <w:tc>
          <w:tcPr>
            <w:tcW w:w="960" w:type="dxa"/>
            <w:tcBorders>
              <w:top w:val="nil"/>
              <w:left w:val="nil"/>
              <w:bottom w:val="single" w:sz="8" w:space="0" w:color="auto"/>
              <w:right w:val="single" w:sz="8" w:space="0" w:color="auto"/>
            </w:tcBorders>
            <w:vAlign w:val="center"/>
            <w:hideMark/>
          </w:tcPr>
          <w:p w:rsidR="0095493B" w:rsidRDefault="0095493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 </w:t>
            </w:r>
          </w:p>
        </w:tc>
      </w:tr>
      <w:tr w:rsidR="0095493B" w:rsidTr="0095493B">
        <w:trPr>
          <w:trHeight w:val="315"/>
        </w:trPr>
        <w:tc>
          <w:tcPr>
            <w:tcW w:w="5540" w:type="dxa"/>
            <w:tcBorders>
              <w:top w:val="nil"/>
              <w:left w:val="single" w:sz="8" w:space="0" w:color="auto"/>
              <w:bottom w:val="single" w:sz="8" w:space="0" w:color="auto"/>
              <w:right w:val="single" w:sz="8" w:space="0" w:color="auto"/>
            </w:tcBorders>
            <w:noWrap/>
            <w:vAlign w:val="center"/>
            <w:hideMark/>
          </w:tcPr>
          <w:p w:rsidR="0095493B" w:rsidRDefault="0095493B">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Total</w:t>
            </w:r>
          </w:p>
        </w:tc>
        <w:tc>
          <w:tcPr>
            <w:tcW w:w="1360" w:type="dxa"/>
            <w:tcBorders>
              <w:top w:val="nil"/>
              <w:left w:val="nil"/>
              <w:bottom w:val="single" w:sz="8" w:space="0" w:color="auto"/>
              <w:right w:val="single" w:sz="8" w:space="0" w:color="auto"/>
            </w:tcBorders>
            <w:noWrap/>
            <w:vAlign w:val="center"/>
            <w:hideMark/>
          </w:tcPr>
          <w:p w:rsidR="0095493B" w:rsidRDefault="00EB5E83">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£205,779.14</w:t>
            </w:r>
          </w:p>
        </w:tc>
        <w:tc>
          <w:tcPr>
            <w:tcW w:w="960" w:type="dxa"/>
            <w:tcBorders>
              <w:top w:val="nil"/>
              <w:left w:val="nil"/>
              <w:bottom w:val="single" w:sz="8" w:space="0" w:color="auto"/>
              <w:right w:val="single" w:sz="8" w:space="0" w:color="auto"/>
            </w:tcBorders>
            <w:vAlign w:val="center"/>
            <w:hideMark/>
          </w:tcPr>
          <w:p w:rsidR="0095493B" w:rsidRDefault="00EB5E83">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1</w:t>
            </w:r>
            <w:r w:rsidR="00AD47E9">
              <w:rPr>
                <w:rFonts w:ascii="Calibri" w:eastAsia="Times New Roman" w:hAnsi="Calibri" w:cs="Times New Roman"/>
                <w:b/>
                <w:bCs/>
                <w:color w:val="000000"/>
              </w:rPr>
              <w:t>27</w:t>
            </w:r>
          </w:p>
        </w:tc>
      </w:tr>
    </w:tbl>
    <w:p w:rsidR="002B7D47" w:rsidRDefault="002B7D47" w:rsidP="002B7D47"/>
    <w:p w:rsidR="002B7D47" w:rsidRDefault="0095493B" w:rsidP="002B7D47">
      <w:r>
        <w:t>N.B.</w:t>
      </w:r>
      <w:r w:rsidR="002B7D47">
        <w:t xml:space="preserve"> includes £19.932.03 for APCs funded </w:t>
      </w:r>
      <w:proofErr w:type="spellStart"/>
      <w:r w:rsidR="002B7D47">
        <w:t>outwith</w:t>
      </w:r>
      <w:proofErr w:type="spellEnd"/>
      <w:r w:rsidR="002B7D47">
        <w:t xml:space="preserve"> RCUK block grant</w:t>
      </w:r>
    </w:p>
    <w:p w:rsidR="002B7D47" w:rsidRPr="00DB6B5D" w:rsidRDefault="002B7D47" w:rsidP="002B7D47">
      <w:pPr>
        <w:rPr>
          <w:rFonts w:asciiTheme="majorHAnsi" w:hAnsiTheme="majorHAnsi"/>
          <w:color w:val="4F81BD" w:themeColor="accent1"/>
          <w:sz w:val="26"/>
          <w:szCs w:val="26"/>
        </w:rPr>
      </w:pPr>
      <w:r w:rsidRPr="00DB6B5D">
        <w:rPr>
          <w:rFonts w:asciiTheme="majorHAnsi" w:hAnsiTheme="majorHAnsi"/>
          <w:color w:val="4F81BD" w:themeColor="accent1"/>
          <w:sz w:val="26"/>
          <w:szCs w:val="26"/>
        </w:rPr>
        <w:t>Section B – Other expenditure analysis</w:t>
      </w:r>
    </w:p>
    <w:tbl>
      <w:tblPr>
        <w:tblStyle w:val="TableGrid"/>
        <w:tblW w:w="0" w:type="auto"/>
        <w:tblInd w:w="2085" w:type="dxa"/>
        <w:tblLook w:val="04A0" w:firstRow="1" w:lastRow="0" w:firstColumn="1" w:lastColumn="0" w:noHBand="0" w:noVBand="1"/>
      </w:tblPr>
      <w:tblGrid>
        <w:gridCol w:w="2714"/>
        <w:gridCol w:w="1113"/>
      </w:tblGrid>
      <w:tr w:rsidR="002B7D47" w:rsidTr="005F54D0">
        <w:tc>
          <w:tcPr>
            <w:tcW w:w="2714" w:type="dxa"/>
          </w:tcPr>
          <w:p w:rsidR="002B7D47" w:rsidRDefault="002B7D47" w:rsidP="005F54D0">
            <w:pPr>
              <w:jc w:val="center"/>
            </w:pPr>
            <w:r>
              <w:t>Item</w:t>
            </w:r>
          </w:p>
        </w:tc>
        <w:tc>
          <w:tcPr>
            <w:tcW w:w="1113" w:type="dxa"/>
          </w:tcPr>
          <w:p w:rsidR="002B7D47" w:rsidRDefault="002B7D47" w:rsidP="005F54D0">
            <w:pPr>
              <w:jc w:val="center"/>
            </w:pPr>
            <w:r>
              <w:t>£</w:t>
            </w:r>
          </w:p>
        </w:tc>
      </w:tr>
      <w:tr w:rsidR="002B7D47" w:rsidTr="005F54D0">
        <w:tc>
          <w:tcPr>
            <w:tcW w:w="2714" w:type="dxa"/>
          </w:tcPr>
          <w:p w:rsidR="002B7D47" w:rsidRDefault="002B7D47" w:rsidP="005F54D0">
            <w:r>
              <w:t>Reverse charge VAT</w:t>
            </w:r>
          </w:p>
        </w:tc>
        <w:tc>
          <w:tcPr>
            <w:tcW w:w="1113" w:type="dxa"/>
          </w:tcPr>
          <w:p w:rsidR="002B7D47" w:rsidRDefault="002B7D47" w:rsidP="005F54D0">
            <w:pPr>
              <w:jc w:val="center"/>
            </w:pPr>
            <w:r>
              <w:t>1,020.00</w:t>
            </w:r>
          </w:p>
        </w:tc>
      </w:tr>
      <w:tr w:rsidR="002B7D47" w:rsidTr="005F54D0">
        <w:tc>
          <w:tcPr>
            <w:tcW w:w="2714" w:type="dxa"/>
          </w:tcPr>
          <w:p w:rsidR="002B7D47" w:rsidRDefault="002B7D47" w:rsidP="005F54D0">
            <w:r>
              <w:t>Salaries</w:t>
            </w:r>
          </w:p>
        </w:tc>
        <w:tc>
          <w:tcPr>
            <w:tcW w:w="1113" w:type="dxa"/>
          </w:tcPr>
          <w:p w:rsidR="002B7D47" w:rsidRDefault="002B7D47" w:rsidP="005F54D0">
            <w:pPr>
              <w:jc w:val="center"/>
            </w:pPr>
            <w:r>
              <w:t>24,960.14</w:t>
            </w:r>
          </w:p>
        </w:tc>
      </w:tr>
      <w:tr w:rsidR="002B7D47" w:rsidTr="005F54D0">
        <w:tc>
          <w:tcPr>
            <w:tcW w:w="2714" w:type="dxa"/>
          </w:tcPr>
          <w:p w:rsidR="002B7D47" w:rsidRDefault="002B7D47" w:rsidP="005F54D0">
            <w:r>
              <w:t>Subscriptions/memberships</w:t>
            </w:r>
          </w:p>
        </w:tc>
        <w:tc>
          <w:tcPr>
            <w:tcW w:w="1113" w:type="dxa"/>
          </w:tcPr>
          <w:p w:rsidR="002B7D47" w:rsidRDefault="002B7D47" w:rsidP="005F54D0">
            <w:pPr>
              <w:jc w:val="center"/>
            </w:pPr>
            <w:r>
              <w:t>8,722.32</w:t>
            </w:r>
          </w:p>
        </w:tc>
      </w:tr>
      <w:tr w:rsidR="002B7D47" w:rsidTr="005F54D0">
        <w:tc>
          <w:tcPr>
            <w:tcW w:w="2714" w:type="dxa"/>
          </w:tcPr>
          <w:p w:rsidR="002B7D47" w:rsidRPr="00846879" w:rsidRDefault="002B7D47" w:rsidP="005F54D0">
            <w:pPr>
              <w:rPr>
                <w:b/>
                <w:bCs/>
              </w:rPr>
            </w:pPr>
            <w:r>
              <w:rPr>
                <w:b/>
                <w:bCs/>
              </w:rPr>
              <w:t>Total</w:t>
            </w:r>
          </w:p>
        </w:tc>
        <w:tc>
          <w:tcPr>
            <w:tcW w:w="1113" w:type="dxa"/>
          </w:tcPr>
          <w:p w:rsidR="002B7D47" w:rsidRPr="00846879" w:rsidRDefault="002B7D47" w:rsidP="005F54D0">
            <w:pPr>
              <w:jc w:val="center"/>
              <w:rPr>
                <w:b/>
                <w:bCs/>
              </w:rPr>
            </w:pPr>
            <w:r w:rsidRPr="00846879">
              <w:rPr>
                <w:b/>
                <w:bCs/>
              </w:rPr>
              <w:t>34,702.46</w:t>
            </w:r>
          </w:p>
        </w:tc>
      </w:tr>
    </w:tbl>
    <w:p w:rsidR="003E5178" w:rsidRDefault="003E5178" w:rsidP="002B7D47"/>
    <w:p w:rsidR="002B7D47" w:rsidRDefault="002B7D47" w:rsidP="002B7D47">
      <w:r w:rsidRPr="008E4EB5">
        <w:rPr>
          <w:i/>
          <w:iCs/>
        </w:rPr>
        <w:lastRenderedPageBreak/>
        <w:t>Reverse charge VAT</w:t>
      </w:r>
      <w:r>
        <w:t xml:space="preserve">   The figure for reverse charges represents as yet unallocated VAT charges.  When an invoice from an international supplier does not include VAT, the institution is required to make a reverse charge if there is a VAT liability.  The sums are only allocated to specific invoices by the Finance Office at quarterly intervals, and this sum represents the VAT liability for invoices paid since the last reconciliation.  It will be allocated to specific publishers in due course.</w:t>
      </w:r>
    </w:p>
    <w:p w:rsidR="002B7D47" w:rsidRDefault="002B7D47" w:rsidP="002B7D47">
      <w:r>
        <w:rPr>
          <w:i/>
          <w:iCs/>
        </w:rPr>
        <w:t xml:space="preserve">Salaries  </w:t>
      </w:r>
      <w:r>
        <w:t>The library has invested staff time in supporting the processes necessary to implement the RCUK policies.  The cost represents 18% FTE of a library administrator, 20% FTE of an academic liaison librarian, both over the period covered by the report, and a small amount of overtime paid to a library assistant.  The role of the liaison librarian has included advocacy and dissemination of the policy.</w:t>
      </w:r>
    </w:p>
    <w:p w:rsidR="003E5178" w:rsidRDefault="002B7D47" w:rsidP="003E5178">
      <w:pPr>
        <w:spacing w:after="0"/>
      </w:pPr>
      <w:r>
        <w:rPr>
          <w:i/>
          <w:iCs/>
        </w:rPr>
        <w:t xml:space="preserve">Subscriptions/memberships  </w:t>
      </w:r>
      <w:r>
        <w:t>Several major publishers have offered subscription packages whereby an initial payment has led to lower APCs for papers submitted to the company’s journals.  Where these have offered good value, we have subscribed, and this cost represents the cost of subscriptions.  The publishers are</w:t>
      </w:r>
    </w:p>
    <w:p w:rsidR="00527A3F" w:rsidRDefault="00527A3F" w:rsidP="003E5178">
      <w:pPr>
        <w:spacing w:after="0"/>
      </w:pPr>
    </w:p>
    <w:p w:rsidR="002B7D47" w:rsidRDefault="002B7D47" w:rsidP="003E5178">
      <w:pPr>
        <w:spacing w:after="0"/>
      </w:pPr>
      <w:r>
        <w:t>Biomed Central &amp; Springer Open – membership scheme – 15% discount on APCs</w:t>
      </w:r>
    </w:p>
    <w:p w:rsidR="002B7D47" w:rsidRDefault="002B7D47" w:rsidP="003E5178">
      <w:pPr>
        <w:spacing w:after="0"/>
      </w:pPr>
      <w:r>
        <w:t>Royal Society – membership scheme – 25% discount on APCs</w:t>
      </w:r>
    </w:p>
    <w:p w:rsidR="002B7D47" w:rsidRDefault="002B7D47" w:rsidP="003E5178">
      <w:pPr>
        <w:spacing w:after="0"/>
      </w:pPr>
      <w:r>
        <w:t xml:space="preserve">Royal Society of </w:t>
      </w:r>
      <w:r w:rsidR="00F97BC4">
        <w:t>Chemistry –</w:t>
      </w:r>
      <w:r w:rsidR="002D0DAE">
        <w:t xml:space="preserve"> </w:t>
      </w:r>
      <w:r>
        <w:t>prepayment (vouchers)</w:t>
      </w:r>
    </w:p>
    <w:p w:rsidR="002B7D47" w:rsidRDefault="002B7D47" w:rsidP="003E5178">
      <w:pPr>
        <w:spacing w:after="0"/>
      </w:pPr>
      <w:r>
        <w:t>Sage Choice – prepayment – 25%</w:t>
      </w:r>
    </w:p>
    <w:p w:rsidR="002B7D47" w:rsidRDefault="002B7D47" w:rsidP="003E5178">
      <w:pPr>
        <w:spacing w:after="0"/>
      </w:pPr>
      <w:r>
        <w:t>Wiley – prepayment – 25% discount on APCs</w:t>
      </w:r>
    </w:p>
    <w:p w:rsidR="002B7D47" w:rsidRDefault="002B7D47" w:rsidP="002B7D47"/>
    <w:p w:rsidR="002B7D47" w:rsidRDefault="002B7D47" w:rsidP="002B7D47">
      <w:pPr>
        <w:rPr>
          <w:rFonts w:asciiTheme="majorHAnsi" w:hAnsiTheme="majorHAnsi"/>
          <w:color w:val="4F81BD" w:themeColor="accent1"/>
          <w:sz w:val="26"/>
          <w:szCs w:val="26"/>
        </w:rPr>
      </w:pPr>
      <w:r>
        <w:rPr>
          <w:rFonts w:asciiTheme="majorHAnsi" w:hAnsiTheme="majorHAnsi"/>
          <w:color w:val="4F81BD" w:themeColor="accent1"/>
          <w:sz w:val="26"/>
          <w:szCs w:val="26"/>
        </w:rPr>
        <w:t>S</w:t>
      </w:r>
      <w:r w:rsidRPr="00DB6B5D">
        <w:rPr>
          <w:rFonts w:asciiTheme="majorHAnsi" w:hAnsiTheme="majorHAnsi"/>
          <w:color w:val="4F81BD" w:themeColor="accent1"/>
          <w:sz w:val="26"/>
          <w:szCs w:val="26"/>
        </w:rPr>
        <w:t>ummary</w:t>
      </w:r>
    </w:p>
    <w:tbl>
      <w:tblPr>
        <w:tblStyle w:val="TableGrid"/>
        <w:tblW w:w="0" w:type="auto"/>
        <w:tblInd w:w="765" w:type="dxa"/>
        <w:tblLook w:val="04A0" w:firstRow="1" w:lastRow="0" w:firstColumn="1" w:lastColumn="0" w:noHBand="0" w:noVBand="1"/>
      </w:tblPr>
      <w:tblGrid>
        <w:gridCol w:w="4621"/>
        <w:gridCol w:w="1724"/>
      </w:tblGrid>
      <w:tr w:rsidR="002B7D47" w:rsidTr="005F54D0">
        <w:tc>
          <w:tcPr>
            <w:tcW w:w="4621" w:type="dxa"/>
          </w:tcPr>
          <w:p w:rsidR="002B7D47" w:rsidRPr="00846879" w:rsidRDefault="002B7D47" w:rsidP="005F54D0"/>
        </w:tc>
        <w:tc>
          <w:tcPr>
            <w:tcW w:w="1724" w:type="dxa"/>
          </w:tcPr>
          <w:p w:rsidR="002B7D47" w:rsidRPr="00846879" w:rsidRDefault="002B7D47" w:rsidP="005F54D0">
            <w:pPr>
              <w:jc w:val="center"/>
            </w:pPr>
            <w:r>
              <w:t>£</w:t>
            </w:r>
          </w:p>
        </w:tc>
      </w:tr>
      <w:tr w:rsidR="002B7D47" w:rsidTr="005F54D0">
        <w:tc>
          <w:tcPr>
            <w:tcW w:w="4621" w:type="dxa"/>
          </w:tcPr>
          <w:p w:rsidR="002B7D47" w:rsidRPr="002D4874" w:rsidRDefault="002B7D47" w:rsidP="005F54D0">
            <w:pPr>
              <w:rPr>
                <w:b/>
                <w:bCs/>
              </w:rPr>
            </w:pPr>
            <w:r w:rsidRPr="002D4874">
              <w:rPr>
                <w:b/>
                <w:bCs/>
              </w:rPr>
              <w:t>Block grant</w:t>
            </w:r>
          </w:p>
        </w:tc>
        <w:tc>
          <w:tcPr>
            <w:tcW w:w="1724" w:type="dxa"/>
          </w:tcPr>
          <w:p w:rsidR="002B7D47" w:rsidRPr="002D4874" w:rsidRDefault="002B7D47" w:rsidP="005F54D0">
            <w:pPr>
              <w:jc w:val="center"/>
              <w:rPr>
                <w:b/>
                <w:bCs/>
              </w:rPr>
            </w:pPr>
            <w:r w:rsidRPr="002D4874">
              <w:rPr>
                <w:b/>
                <w:bCs/>
              </w:rPr>
              <w:t>679,711.33</w:t>
            </w:r>
          </w:p>
        </w:tc>
      </w:tr>
      <w:tr w:rsidR="002B7D47" w:rsidTr="005F54D0">
        <w:tc>
          <w:tcPr>
            <w:tcW w:w="4621" w:type="dxa"/>
          </w:tcPr>
          <w:p w:rsidR="002B7D47" w:rsidRPr="00846879" w:rsidRDefault="002B7D47" w:rsidP="005F54D0">
            <w:r w:rsidRPr="00846879">
              <w:t>Sub-total paid to publishers</w:t>
            </w:r>
          </w:p>
        </w:tc>
        <w:tc>
          <w:tcPr>
            <w:tcW w:w="1724" w:type="dxa"/>
          </w:tcPr>
          <w:p w:rsidR="002B7D47" w:rsidRPr="00846879" w:rsidRDefault="00EB5E83" w:rsidP="001402BA">
            <w:pPr>
              <w:jc w:val="center"/>
            </w:pPr>
            <w:r>
              <w:t>205,779</w:t>
            </w:r>
            <w:r w:rsidR="002B7D47">
              <w:t>.</w:t>
            </w:r>
            <w:r>
              <w:t>14</w:t>
            </w:r>
          </w:p>
        </w:tc>
      </w:tr>
      <w:tr w:rsidR="002B7D47" w:rsidTr="005F54D0">
        <w:tc>
          <w:tcPr>
            <w:tcW w:w="4621" w:type="dxa"/>
          </w:tcPr>
          <w:p w:rsidR="002B7D47" w:rsidRPr="00846879" w:rsidRDefault="002B7D47" w:rsidP="005F54D0">
            <w:r w:rsidRPr="00846879">
              <w:t>Sub-total of other expenditure</w:t>
            </w:r>
          </w:p>
        </w:tc>
        <w:tc>
          <w:tcPr>
            <w:tcW w:w="1724" w:type="dxa"/>
          </w:tcPr>
          <w:p w:rsidR="002B7D47" w:rsidRPr="00846879" w:rsidRDefault="002B7D47" w:rsidP="005F54D0">
            <w:pPr>
              <w:jc w:val="center"/>
            </w:pPr>
            <w:r w:rsidRPr="00846879">
              <w:t>34,702.46</w:t>
            </w:r>
          </w:p>
        </w:tc>
      </w:tr>
      <w:tr w:rsidR="002B7D47" w:rsidTr="005F54D0">
        <w:tc>
          <w:tcPr>
            <w:tcW w:w="4621" w:type="dxa"/>
          </w:tcPr>
          <w:p w:rsidR="002B7D47" w:rsidRDefault="002B7D47" w:rsidP="005F54D0">
            <w:pPr>
              <w:rPr>
                <w:b/>
                <w:bCs/>
              </w:rPr>
            </w:pPr>
            <w:r>
              <w:rPr>
                <w:b/>
                <w:bCs/>
              </w:rPr>
              <w:t>Balance of block grant remaining</w:t>
            </w:r>
          </w:p>
        </w:tc>
        <w:tc>
          <w:tcPr>
            <w:tcW w:w="1724" w:type="dxa"/>
          </w:tcPr>
          <w:p w:rsidR="002B7D47" w:rsidRDefault="00EB5E83" w:rsidP="001402BA">
            <w:pPr>
              <w:jc w:val="center"/>
              <w:rPr>
                <w:b/>
                <w:bCs/>
              </w:rPr>
            </w:pPr>
            <w:r>
              <w:rPr>
                <w:b/>
                <w:bCs/>
              </w:rPr>
              <w:t>439,229</w:t>
            </w:r>
            <w:r w:rsidR="002B7D47">
              <w:rPr>
                <w:b/>
                <w:bCs/>
              </w:rPr>
              <w:t>.</w:t>
            </w:r>
            <w:r>
              <w:rPr>
                <w:b/>
                <w:bCs/>
              </w:rPr>
              <w:t>73</w:t>
            </w:r>
          </w:p>
        </w:tc>
      </w:tr>
    </w:tbl>
    <w:p w:rsidR="002B7D47" w:rsidRDefault="002B7D47" w:rsidP="002B7D47"/>
    <w:p w:rsidR="003E5178" w:rsidRDefault="002B7D47" w:rsidP="003E5178">
      <w:pPr>
        <w:rPr>
          <w:rFonts w:asciiTheme="majorHAnsi" w:eastAsiaTheme="majorEastAsia" w:hAnsiTheme="majorHAnsi" w:cstheme="majorBidi"/>
          <w:b/>
          <w:bCs/>
          <w:color w:val="4F81BD" w:themeColor="accent1"/>
          <w:sz w:val="26"/>
          <w:szCs w:val="26"/>
        </w:rPr>
      </w:pPr>
      <w:r>
        <w:t>The block grant is calculated as the sum of the grant for April 2013 to March 2014 and for April 2014 to July 2014, pro rata sum from the allocation for April 2014 to March 2015</w:t>
      </w:r>
      <w:r w:rsidR="00CC112C">
        <w:t>.</w:t>
      </w:r>
    </w:p>
    <w:p w:rsidR="00527A3F" w:rsidRDefault="00527A3F">
      <w:pPr>
        <w:rPr>
          <w:rFonts w:asciiTheme="majorHAnsi" w:eastAsiaTheme="majorEastAsia" w:hAnsiTheme="majorHAnsi" w:cstheme="majorBidi"/>
          <w:b/>
          <w:bCs/>
          <w:color w:val="4F81BD" w:themeColor="accent1"/>
          <w:sz w:val="26"/>
          <w:szCs w:val="26"/>
        </w:rPr>
      </w:pPr>
      <w:r>
        <w:br w:type="page"/>
      </w:r>
    </w:p>
    <w:p w:rsidR="001D503A" w:rsidRPr="001424D8" w:rsidRDefault="001D503A" w:rsidP="001D503A">
      <w:pPr>
        <w:pStyle w:val="Heading2"/>
      </w:pPr>
      <w:r>
        <w:lastRenderedPageBreak/>
        <w:t xml:space="preserve">Annex B Publication level data </w:t>
      </w:r>
    </w:p>
    <w:p w:rsidR="001522BD" w:rsidRDefault="001522BD"/>
    <w:tbl>
      <w:tblPr>
        <w:tblStyle w:val="TableGrid"/>
        <w:tblW w:w="0" w:type="auto"/>
        <w:tblLook w:val="04A0" w:firstRow="1" w:lastRow="0" w:firstColumn="1" w:lastColumn="0" w:noHBand="0" w:noVBand="1"/>
      </w:tblPr>
      <w:tblGrid>
        <w:gridCol w:w="6912"/>
        <w:gridCol w:w="2330"/>
      </w:tblGrid>
      <w:tr w:rsidR="003E5178" w:rsidTr="00336259">
        <w:tc>
          <w:tcPr>
            <w:tcW w:w="6912" w:type="dxa"/>
          </w:tcPr>
          <w:p w:rsidR="003E5178" w:rsidRPr="0061169C" w:rsidRDefault="003E5178" w:rsidP="00336259">
            <w:pPr>
              <w:jc w:val="center"/>
            </w:pPr>
            <w:r w:rsidRPr="0061169C">
              <w:t>Publications</w:t>
            </w:r>
          </w:p>
        </w:tc>
        <w:tc>
          <w:tcPr>
            <w:tcW w:w="2330" w:type="dxa"/>
          </w:tcPr>
          <w:p w:rsidR="003E5178" w:rsidRPr="0061169C" w:rsidRDefault="003E5178" w:rsidP="00336259">
            <w:pPr>
              <w:jc w:val="center"/>
            </w:pPr>
            <w:r w:rsidRPr="0061169C">
              <w:t>Count</w:t>
            </w:r>
          </w:p>
        </w:tc>
      </w:tr>
      <w:tr w:rsidR="003E5178" w:rsidTr="00336259">
        <w:tc>
          <w:tcPr>
            <w:tcW w:w="6912" w:type="dxa"/>
          </w:tcPr>
          <w:p w:rsidR="003E5178" w:rsidRPr="0061169C" w:rsidRDefault="003E5178" w:rsidP="00336259">
            <w:r>
              <w:t xml:space="preserve">Number of peer-reviewed research papers arising from research council funded research that have been published by University of Southampton researchers </w:t>
            </w:r>
          </w:p>
        </w:tc>
        <w:tc>
          <w:tcPr>
            <w:tcW w:w="2330" w:type="dxa"/>
          </w:tcPr>
          <w:p w:rsidR="003E5178" w:rsidRDefault="003E5178" w:rsidP="00336259">
            <w:pPr>
              <w:jc w:val="center"/>
              <w:rPr>
                <w:rFonts w:asciiTheme="majorHAnsi" w:hAnsiTheme="majorHAnsi"/>
                <w:color w:val="4F81BD" w:themeColor="accent1"/>
                <w:sz w:val="26"/>
                <w:szCs w:val="26"/>
              </w:rPr>
            </w:pPr>
          </w:p>
          <w:p w:rsidR="003E5178" w:rsidRPr="0061169C" w:rsidRDefault="003942A4" w:rsidP="00336259">
            <w:pPr>
              <w:jc w:val="center"/>
              <w:rPr>
                <w:color w:val="4F81BD" w:themeColor="accent1"/>
              </w:rPr>
            </w:pPr>
            <w:r>
              <w:t>1499</w:t>
            </w:r>
          </w:p>
        </w:tc>
      </w:tr>
      <w:tr w:rsidR="003E5178" w:rsidTr="00336259">
        <w:tc>
          <w:tcPr>
            <w:tcW w:w="6912" w:type="dxa"/>
          </w:tcPr>
          <w:p w:rsidR="003E5178" w:rsidRPr="0061169C" w:rsidRDefault="003E5178" w:rsidP="00336259">
            <w:r>
              <w:t>Papers compliant with RCUK policy by gold route</w:t>
            </w:r>
          </w:p>
        </w:tc>
        <w:tc>
          <w:tcPr>
            <w:tcW w:w="2330" w:type="dxa"/>
          </w:tcPr>
          <w:p w:rsidR="003E5178" w:rsidRPr="0061169C" w:rsidRDefault="00EB5E83" w:rsidP="00336259">
            <w:pPr>
              <w:jc w:val="center"/>
            </w:pPr>
            <w:r>
              <w:t>350</w:t>
            </w:r>
          </w:p>
        </w:tc>
      </w:tr>
      <w:tr w:rsidR="003E5178" w:rsidTr="00336259">
        <w:tc>
          <w:tcPr>
            <w:tcW w:w="6912" w:type="dxa"/>
          </w:tcPr>
          <w:p w:rsidR="003E5178" w:rsidRPr="0061169C" w:rsidRDefault="003E5178" w:rsidP="00336259">
            <w:r>
              <w:t>Papers compliant with RCUK policy by green route</w:t>
            </w:r>
          </w:p>
        </w:tc>
        <w:tc>
          <w:tcPr>
            <w:tcW w:w="2330" w:type="dxa"/>
          </w:tcPr>
          <w:p w:rsidR="003E5178" w:rsidRPr="0061169C" w:rsidRDefault="003942A4" w:rsidP="00336259">
            <w:pPr>
              <w:jc w:val="center"/>
            </w:pPr>
            <w:r>
              <w:t>327</w:t>
            </w:r>
          </w:p>
        </w:tc>
      </w:tr>
    </w:tbl>
    <w:p w:rsidR="003E5178" w:rsidRDefault="003E5178" w:rsidP="003E5178"/>
    <w:p w:rsidR="003E5178" w:rsidRDefault="003E5178" w:rsidP="003E5178">
      <w:r>
        <w:t>The report does not include the number of papers published in a journal which is not compliant with the RCUK policy on Open Access.  We do not have the figure for this reporting period, as recording it was not originally requested, and our records are not in a form which enables us to identify this figure retrospectively.</w:t>
      </w:r>
    </w:p>
    <w:p w:rsidR="00560011" w:rsidRDefault="00EB5E83" w:rsidP="00560011">
      <w:r>
        <w:t>This repor</w:t>
      </w:r>
      <w:r w:rsidR="003D5E6E">
        <w:t>t should</w:t>
      </w:r>
      <w:r w:rsidR="00560011">
        <w:t xml:space="preserve"> be read in conjunction with article level underlying data for g</w:t>
      </w:r>
      <w:r w:rsidR="003D5E6E">
        <w:t>reen and gold compliant papers</w:t>
      </w:r>
      <w:r w:rsidR="008E4E09">
        <w:t xml:space="preserve">, </w:t>
      </w:r>
      <w:hyperlink r:id="rId8" w:history="1">
        <w:r w:rsidR="008E4E09" w:rsidRPr="004D0200">
          <w:rPr>
            <w:rStyle w:val="Hyperlink"/>
          </w:rPr>
          <w:t>http://dx.doi.org/10.5258/SOTON/369449</w:t>
        </w:r>
      </w:hyperlink>
      <w:r w:rsidR="008E4E09">
        <w:rPr>
          <w:color w:val="1F497D"/>
        </w:rPr>
        <w:t xml:space="preserve"> </w:t>
      </w:r>
      <w:r w:rsidR="003D5E6E">
        <w:t xml:space="preserve"> and with the related report University of Southampton RCUK Policy on Open Access: call for evidence </w:t>
      </w:r>
      <w:hyperlink r:id="rId9" w:history="1">
        <w:r w:rsidR="003D5E6E" w:rsidRPr="004D0200">
          <w:rPr>
            <w:rStyle w:val="Hyperlink"/>
          </w:rPr>
          <w:t>http://eprints.soton.ac.uk/369447</w:t>
        </w:r>
      </w:hyperlink>
      <w:r w:rsidR="003D5E6E">
        <w:t xml:space="preserve"> </w:t>
      </w:r>
    </w:p>
    <w:p w:rsidR="00F45B67" w:rsidRDefault="00560011" w:rsidP="00CC112C">
      <w:r>
        <w:t xml:space="preserve">There have been some minor corrections to the first version of this report. Some false matches e.g. to the Australian Medical </w:t>
      </w:r>
      <w:r w:rsidR="0071102A">
        <w:t xml:space="preserve">Research </w:t>
      </w:r>
      <w:r>
        <w:t>Council have been removed from the total.  Some payments were wrongly attributed to Wiley instead of Elsevier which is now corrected</w:t>
      </w:r>
      <w:r w:rsidR="00F45B67">
        <w:t>; an</w:t>
      </w:r>
      <w:r>
        <w:t xml:space="preserve"> er</w:t>
      </w:r>
      <w:r w:rsidR="0049551B">
        <w:t xml:space="preserve">ror on an invoice </w:t>
      </w:r>
      <w:r>
        <w:t xml:space="preserve">overstating the number of articles against the cost </w:t>
      </w:r>
      <w:r w:rsidR="00A67DF9">
        <w:t>has resulted in a slightly lower total of actual articles</w:t>
      </w:r>
      <w:r w:rsidR="001534DE">
        <w:t xml:space="preserve"> and the average APC costs given in the call for evidence report have altered slightly as a result</w:t>
      </w:r>
      <w:r w:rsidR="00A67DF9">
        <w:t xml:space="preserve">. </w:t>
      </w:r>
      <w:r w:rsidR="00F45B67">
        <w:t xml:space="preserve">The APC totals for the Royal Society of Chemistry include the cost of voucher purchase. </w:t>
      </w:r>
    </w:p>
    <w:p w:rsidR="00374B7F" w:rsidRDefault="00374B7F" w:rsidP="00CC112C"/>
    <w:p w:rsidR="00374B7F" w:rsidRDefault="00374B7F" w:rsidP="00CC112C"/>
    <w:p w:rsidR="00374B7F" w:rsidRDefault="00374B7F" w:rsidP="00CC112C"/>
    <w:p w:rsidR="00374B7F" w:rsidRDefault="00374B7F" w:rsidP="00CC112C"/>
    <w:p w:rsidR="00374B7F" w:rsidRDefault="00374B7F" w:rsidP="00CC112C"/>
    <w:p w:rsidR="00374B7F" w:rsidRDefault="00374B7F" w:rsidP="00CC112C"/>
    <w:p w:rsidR="00374B7F" w:rsidRDefault="00374B7F" w:rsidP="00CC112C"/>
    <w:p w:rsidR="00374B7F" w:rsidRDefault="00374B7F" w:rsidP="00CC112C"/>
    <w:p w:rsidR="00374B7F" w:rsidRDefault="00374B7F" w:rsidP="00CC112C"/>
    <w:p w:rsidR="00374B7F" w:rsidRDefault="00374B7F" w:rsidP="00CC112C"/>
    <w:p w:rsidR="00374B7F" w:rsidRDefault="00374B7F" w:rsidP="00CC112C">
      <w:r>
        <w:rPr>
          <w:noProof/>
        </w:rPr>
        <w:drawing>
          <wp:inline distT="0" distB="0" distL="0" distR="0">
            <wp:extent cx="828675" cy="266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8675" cy="266700"/>
                    </a:xfrm>
                    <a:prstGeom prst="rect">
                      <a:avLst/>
                    </a:prstGeom>
                    <a:noFill/>
                    <a:ln>
                      <a:noFill/>
                    </a:ln>
                  </pic:spPr>
                </pic:pic>
              </a:graphicData>
            </a:graphic>
          </wp:inline>
        </w:drawing>
      </w:r>
    </w:p>
    <w:sectPr w:rsidR="00374B7F" w:rsidSect="00527A3F">
      <w:foot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9F2" w:rsidRDefault="007849F2">
      <w:pPr>
        <w:spacing w:after="0" w:line="240" w:lineRule="auto"/>
      </w:pPr>
      <w:r>
        <w:separator/>
      </w:r>
    </w:p>
  </w:endnote>
  <w:endnote w:type="continuationSeparator" w:id="0">
    <w:p w:rsidR="007849F2" w:rsidRDefault="00784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9544756"/>
      <w:docPartObj>
        <w:docPartGallery w:val="Page Numbers (Bottom of Page)"/>
        <w:docPartUnique/>
      </w:docPartObj>
    </w:sdtPr>
    <w:sdtEndPr/>
    <w:sdtContent>
      <w:sdt>
        <w:sdtPr>
          <w:id w:val="-1669238322"/>
          <w:docPartObj>
            <w:docPartGallery w:val="Page Numbers (Top of Page)"/>
            <w:docPartUnique/>
          </w:docPartObj>
        </w:sdtPr>
        <w:sdtEndPr/>
        <w:sdtContent>
          <w:p w:rsidR="00921D6E" w:rsidRDefault="00921D6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56F5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56F58">
              <w:rPr>
                <w:b/>
                <w:bCs/>
                <w:noProof/>
              </w:rPr>
              <w:t>5</w:t>
            </w:r>
            <w:r>
              <w:rPr>
                <w:b/>
                <w:bCs/>
                <w:sz w:val="24"/>
                <w:szCs w:val="24"/>
              </w:rPr>
              <w:fldChar w:fldCharType="end"/>
            </w:r>
          </w:p>
        </w:sdtContent>
      </w:sdt>
    </w:sdtContent>
  </w:sdt>
  <w:p w:rsidR="00113294" w:rsidRDefault="00256F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9F2" w:rsidRDefault="007849F2">
      <w:pPr>
        <w:spacing w:after="0" w:line="240" w:lineRule="auto"/>
      </w:pPr>
      <w:r>
        <w:separator/>
      </w:r>
    </w:p>
  </w:footnote>
  <w:footnote w:type="continuationSeparator" w:id="0">
    <w:p w:rsidR="007849F2" w:rsidRDefault="007849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03A"/>
    <w:rsid w:val="00046368"/>
    <w:rsid w:val="001402BA"/>
    <w:rsid w:val="001522BD"/>
    <w:rsid w:val="001534DE"/>
    <w:rsid w:val="001D503A"/>
    <w:rsid w:val="00256F58"/>
    <w:rsid w:val="0029550F"/>
    <w:rsid w:val="002B7D47"/>
    <w:rsid w:val="002D0DAE"/>
    <w:rsid w:val="00374B7F"/>
    <w:rsid w:val="003942A4"/>
    <w:rsid w:val="003D5E6E"/>
    <w:rsid w:val="003E5178"/>
    <w:rsid w:val="0049551B"/>
    <w:rsid w:val="00527A3F"/>
    <w:rsid w:val="00560011"/>
    <w:rsid w:val="00595FAB"/>
    <w:rsid w:val="0061169C"/>
    <w:rsid w:val="006C2864"/>
    <w:rsid w:val="0071102A"/>
    <w:rsid w:val="007849F2"/>
    <w:rsid w:val="00865669"/>
    <w:rsid w:val="00875BAA"/>
    <w:rsid w:val="0088002B"/>
    <w:rsid w:val="008E4E09"/>
    <w:rsid w:val="00921D6E"/>
    <w:rsid w:val="0095493B"/>
    <w:rsid w:val="00A15835"/>
    <w:rsid w:val="00A67DF9"/>
    <w:rsid w:val="00AD47E9"/>
    <w:rsid w:val="00B80BA7"/>
    <w:rsid w:val="00CC112C"/>
    <w:rsid w:val="00D0035F"/>
    <w:rsid w:val="00D65CA0"/>
    <w:rsid w:val="00E076B5"/>
    <w:rsid w:val="00EB5E83"/>
    <w:rsid w:val="00F45B67"/>
    <w:rsid w:val="00F72547"/>
    <w:rsid w:val="00F82910"/>
    <w:rsid w:val="00F90B6B"/>
    <w:rsid w:val="00F97BC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03A"/>
  </w:style>
  <w:style w:type="paragraph" w:styleId="Heading1">
    <w:name w:val="heading 1"/>
    <w:basedOn w:val="Normal"/>
    <w:next w:val="Normal"/>
    <w:link w:val="Heading1Char"/>
    <w:uiPriority w:val="9"/>
    <w:qFormat/>
    <w:rsid w:val="001D50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D503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03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D503A"/>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uiPriority w:val="99"/>
    <w:unhideWhenUsed/>
    <w:rsid w:val="001D50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503A"/>
  </w:style>
  <w:style w:type="table" w:styleId="TableGrid">
    <w:name w:val="Table Grid"/>
    <w:basedOn w:val="TableNormal"/>
    <w:uiPriority w:val="59"/>
    <w:rsid w:val="002B7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51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178"/>
  </w:style>
  <w:style w:type="paragraph" w:styleId="BalloonText">
    <w:name w:val="Balloon Text"/>
    <w:basedOn w:val="Normal"/>
    <w:link w:val="BalloonTextChar"/>
    <w:uiPriority w:val="99"/>
    <w:semiHidden/>
    <w:unhideWhenUsed/>
    <w:rsid w:val="008800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02B"/>
    <w:rPr>
      <w:rFonts w:ascii="Tahoma" w:hAnsi="Tahoma" w:cs="Tahoma"/>
      <w:sz w:val="16"/>
      <w:szCs w:val="16"/>
    </w:rPr>
  </w:style>
  <w:style w:type="character" w:styleId="Hyperlink">
    <w:name w:val="Hyperlink"/>
    <w:basedOn w:val="DefaultParagraphFont"/>
    <w:uiPriority w:val="99"/>
    <w:unhideWhenUsed/>
    <w:rsid w:val="003D5E6E"/>
    <w:rPr>
      <w:color w:val="0000FF" w:themeColor="hyperlink"/>
      <w:u w:val="single"/>
    </w:rPr>
  </w:style>
  <w:style w:type="character" w:styleId="FollowedHyperlink">
    <w:name w:val="FollowedHyperlink"/>
    <w:basedOn w:val="DefaultParagraphFont"/>
    <w:uiPriority w:val="99"/>
    <w:semiHidden/>
    <w:unhideWhenUsed/>
    <w:rsid w:val="008E4E0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03A"/>
  </w:style>
  <w:style w:type="paragraph" w:styleId="Heading1">
    <w:name w:val="heading 1"/>
    <w:basedOn w:val="Normal"/>
    <w:next w:val="Normal"/>
    <w:link w:val="Heading1Char"/>
    <w:uiPriority w:val="9"/>
    <w:qFormat/>
    <w:rsid w:val="001D50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D503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03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D503A"/>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uiPriority w:val="99"/>
    <w:unhideWhenUsed/>
    <w:rsid w:val="001D50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503A"/>
  </w:style>
  <w:style w:type="table" w:styleId="TableGrid">
    <w:name w:val="Table Grid"/>
    <w:basedOn w:val="TableNormal"/>
    <w:uiPriority w:val="59"/>
    <w:rsid w:val="002B7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51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178"/>
  </w:style>
  <w:style w:type="paragraph" w:styleId="BalloonText">
    <w:name w:val="Balloon Text"/>
    <w:basedOn w:val="Normal"/>
    <w:link w:val="BalloonTextChar"/>
    <w:uiPriority w:val="99"/>
    <w:semiHidden/>
    <w:unhideWhenUsed/>
    <w:rsid w:val="008800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02B"/>
    <w:rPr>
      <w:rFonts w:ascii="Tahoma" w:hAnsi="Tahoma" w:cs="Tahoma"/>
      <w:sz w:val="16"/>
      <w:szCs w:val="16"/>
    </w:rPr>
  </w:style>
  <w:style w:type="character" w:styleId="Hyperlink">
    <w:name w:val="Hyperlink"/>
    <w:basedOn w:val="DefaultParagraphFont"/>
    <w:uiPriority w:val="99"/>
    <w:unhideWhenUsed/>
    <w:rsid w:val="003D5E6E"/>
    <w:rPr>
      <w:color w:val="0000FF" w:themeColor="hyperlink"/>
      <w:u w:val="single"/>
    </w:rPr>
  </w:style>
  <w:style w:type="character" w:styleId="FollowedHyperlink">
    <w:name w:val="FollowedHyperlink"/>
    <w:basedOn w:val="DefaultParagraphFont"/>
    <w:uiPriority w:val="99"/>
    <w:semiHidden/>
    <w:unhideWhenUsed/>
    <w:rsid w:val="008E4E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88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5258/SOTON/36944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eprints.soton.ac.uk/3694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F9047-CB51-458E-960F-98A445356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1127</Words>
  <Characters>6430</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7542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Wake R.L.</dc:creator>
  <cp:lastModifiedBy>de Montfalcon</cp:lastModifiedBy>
  <cp:revision>2</cp:revision>
  <cp:lastPrinted>2014-09-26T15:30:00Z</cp:lastPrinted>
  <dcterms:created xsi:type="dcterms:W3CDTF">2014-09-29T15:58:00Z</dcterms:created>
  <dcterms:modified xsi:type="dcterms:W3CDTF">2014-09-29T15:58:00Z</dcterms:modified>
</cp:coreProperties>
</file>