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136" w:rsidRPr="001D400C" w:rsidRDefault="00D431B2" w:rsidP="009C68F7">
      <w:pPr>
        <w:pStyle w:val="Heading1"/>
      </w:pPr>
      <w:r w:rsidRPr="001D400C">
        <w:t xml:space="preserve">A067 </w:t>
      </w:r>
      <w:r w:rsidR="00B43136" w:rsidRPr="001D400C">
        <w:t>A service innovation in the management of temporary neurological disturbances: a new question for NICE guidance to answer?</w:t>
      </w:r>
    </w:p>
    <w:p w:rsidR="009C68F7" w:rsidRDefault="009C68F7" w:rsidP="006E026E">
      <w:pPr>
        <w:pStyle w:val="ListParagraph"/>
        <w:spacing w:line="360" w:lineRule="auto"/>
        <w:ind w:left="0"/>
        <w:jc w:val="both"/>
        <w:rPr>
          <w:bCs/>
          <w:u w:val="single"/>
        </w:rPr>
      </w:pPr>
    </w:p>
    <w:p w:rsidR="009C68F7" w:rsidRPr="00D85A6D" w:rsidRDefault="00F41F84" w:rsidP="006E026E">
      <w:pPr>
        <w:pStyle w:val="ListParagraph"/>
        <w:spacing w:line="360" w:lineRule="auto"/>
        <w:ind w:left="0"/>
        <w:jc w:val="both"/>
        <w:rPr>
          <w:bCs/>
        </w:rPr>
      </w:pPr>
      <w:r w:rsidRPr="00944891">
        <w:rPr>
          <w:bCs/>
        </w:rPr>
        <w:t>Rebecca Kandiyali (1)</w:t>
      </w:r>
      <w:r w:rsidRPr="00420492">
        <w:rPr>
          <w:bCs/>
        </w:rPr>
        <w:t>, Daniel Lasserson (2)</w:t>
      </w:r>
    </w:p>
    <w:p w:rsidR="00F41F84" w:rsidRPr="00F41F84" w:rsidRDefault="00F41F84" w:rsidP="00031DFE">
      <w:pPr>
        <w:pStyle w:val="ListParagraph"/>
        <w:numPr>
          <w:ilvl w:val="0"/>
          <w:numId w:val="7"/>
        </w:numPr>
        <w:spacing w:line="240" w:lineRule="auto"/>
        <w:ind w:left="714" w:hanging="357"/>
        <w:jc w:val="both"/>
        <w:rPr>
          <w:bCs/>
        </w:rPr>
      </w:pPr>
      <w:r w:rsidRPr="00F41F84">
        <w:rPr>
          <w:bCs/>
        </w:rPr>
        <w:t>HEAT,</w:t>
      </w:r>
      <w:r w:rsidR="00420492">
        <w:rPr>
          <w:bCs/>
        </w:rPr>
        <w:t xml:space="preserve"> Primary Care and Population Sciences,</w:t>
      </w:r>
      <w:r w:rsidRPr="00F41F84">
        <w:rPr>
          <w:bCs/>
        </w:rPr>
        <w:t xml:space="preserve"> </w:t>
      </w:r>
      <w:r w:rsidR="00CD59A1">
        <w:rPr>
          <w:bCs/>
        </w:rPr>
        <w:t>University of Southampton</w:t>
      </w:r>
    </w:p>
    <w:p w:rsidR="00F41F84" w:rsidRPr="00B50637" w:rsidRDefault="00420492" w:rsidP="00031DFE">
      <w:pPr>
        <w:pStyle w:val="ListParagraph"/>
        <w:numPr>
          <w:ilvl w:val="0"/>
          <w:numId w:val="7"/>
        </w:numPr>
        <w:spacing w:line="240" w:lineRule="auto"/>
        <w:ind w:left="714" w:hanging="357"/>
        <w:jc w:val="both"/>
        <w:rPr>
          <w:bCs/>
          <w:u w:val="single"/>
        </w:rPr>
      </w:pPr>
      <w:r>
        <w:rPr>
          <w:bCs/>
        </w:rPr>
        <w:t xml:space="preserve">Nuffield Department of Primary Care Health Sciences, </w:t>
      </w:r>
      <w:r w:rsidR="00F41F84">
        <w:rPr>
          <w:bCs/>
        </w:rPr>
        <w:t>University of Oxford</w:t>
      </w:r>
    </w:p>
    <w:p w:rsidR="00B50637" w:rsidRPr="00B50637" w:rsidRDefault="00B50637" w:rsidP="00B50637">
      <w:pPr>
        <w:spacing w:line="240" w:lineRule="auto"/>
        <w:jc w:val="both"/>
        <w:rPr>
          <w:bCs/>
        </w:rPr>
      </w:pPr>
      <w:r w:rsidRPr="00B50637">
        <w:rPr>
          <w:bCs/>
        </w:rPr>
        <w:t>Email for correspondence: r.s.kandiyali@soton.ac.uk</w:t>
      </w:r>
    </w:p>
    <w:p w:rsidR="00F41F84" w:rsidRDefault="00F41F84" w:rsidP="00A861A1">
      <w:pPr>
        <w:pStyle w:val="ListParagraph"/>
        <w:spacing w:line="240" w:lineRule="auto"/>
        <w:ind w:left="0"/>
        <w:jc w:val="both"/>
        <w:rPr>
          <w:i/>
          <w:iCs/>
        </w:rPr>
      </w:pPr>
    </w:p>
    <w:p w:rsidR="00F41F84" w:rsidRPr="002A7F43" w:rsidRDefault="00A51056" w:rsidP="002A7F43">
      <w:pPr>
        <w:pStyle w:val="ListParagraph"/>
        <w:spacing w:line="240" w:lineRule="auto"/>
        <w:ind w:left="0"/>
        <w:jc w:val="both"/>
        <w:rPr>
          <w:i/>
          <w:iCs/>
        </w:rPr>
      </w:pPr>
      <w:r w:rsidRPr="001D400C">
        <w:rPr>
          <w:i/>
          <w:iCs/>
        </w:rPr>
        <w:t xml:space="preserve">Note to readers: This is intended as an ‘ideas piece’ and represents early work in progress. </w:t>
      </w:r>
      <w:r w:rsidR="00945BC4">
        <w:rPr>
          <w:i/>
          <w:iCs/>
        </w:rPr>
        <w:t xml:space="preserve">Please do not quote </w:t>
      </w:r>
      <w:r w:rsidR="0085001F">
        <w:rPr>
          <w:i/>
          <w:iCs/>
        </w:rPr>
        <w:t xml:space="preserve">without </w:t>
      </w:r>
      <w:r w:rsidR="00945BC4">
        <w:rPr>
          <w:i/>
          <w:iCs/>
        </w:rPr>
        <w:t>permission.</w:t>
      </w:r>
      <w:r w:rsidR="00B50637">
        <w:rPr>
          <w:i/>
          <w:iCs/>
        </w:rPr>
        <w:t xml:space="preserve"> </w:t>
      </w:r>
    </w:p>
    <w:p w:rsidR="00486D23" w:rsidRPr="00557A6B" w:rsidRDefault="00486D23" w:rsidP="006E026E">
      <w:pPr>
        <w:pStyle w:val="Heading3"/>
        <w:spacing w:line="360" w:lineRule="auto"/>
        <w:jc w:val="both"/>
        <w:rPr>
          <w:rFonts w:asciiTheme="minorHAnsi" w:hAnsiTheme="minorHAnsi"/>
          <w:b w:val="0"/>
          <w:color w:val="auto"/>
        </w:rPr>
      </w:pPr>
      <w:r w:rsidRPr="001D400C">
        <w:rPr>
          <w:rFonts w:asciiTheme="minorHAnsi" w:hAnsiTheme="minorHAnsi"/>
          <w:color w:val="auto"/>
          <w:u w:val="single"/>
        </w:rPr>
        <w:t>Abstract</w:t>
      </w:r>
      <w:r w:rsidR="00926968" w:rsidRPr="00557A6B">
        <w:rPr>
          <w:rFonts w:asciiTheme="minorHAnsi" w:hAnsiTheme="minorHAnsi"/>
          <w:b w:val="0"/>
          <w:color w:val="auto"/>
        </w:rPr>
        <w:t xml:space="preserve"> (</w:t>
      </w:r>
      <w:r w:rsidR="001D400C" w:rsidRPr="00557A6B">
        <w:rPr>
          <w:rFonts w:asciiTheme="minorHAnsi" w:hAnsiTheme="minorHAnsi"/>
          <w:b w:val="0"/>
          <w:color w:val="auto"/>
        </w:rPr>
        <w:t xml:space="preserve">note: </w:t>
      </w:r>
      <w:r w:rsidR="00926968" w:rsidRPr="00557A6B">
        <w:rPr>
          <w:rFonts w:asciiTheme="minorHAnsi" w:hAnsiTheme="minorHAnsi"/>
          <w:b w:val="0"/>
          <w:color w:val="auto"/>
        </w:rPr>
        <w:t>revised to reflect paper edits)</w:t>
      </w:r>
    </w:p>
    <w:p w:rsidR="00B43136" w:rsidRPr="001D400C" w:rsidRDefault="00B43136" w:rsidP="006E026E">
      <w:pPr>
        <w:pStyle w:val="ListParagraph"/>
        <w:spacing w:line="360" w:lineRule="auto"/>
        <w:ind w:left="0"/>
        <w:jc w:val="both"/>
      </w:pPr>
      <w:r w:rsidRPr="001D400C">
        <w:rPr>
          <w:b/>
          <w:bCs/>
        </w:rPr>
        <w:t>Background:</w:t>
      </w:r>
      <w:r w:rsidRPr="001D400C">
        <w:t xml:space="preserve"> </w:t>
      </w:r>
      <w:r w:rsidRPr="001D400C">
        <w:rPr>
          <w:lang w:val="en-US"/>
        </w:rPr>
        <w:t>Currently, patients with</w:t>
      </w:r>
      <w:r w:rsidR="00C25DD5">
        <w:rPr>
          <w:lang w:val="en-US"/>
        </w:rPr>
        <w:t xml:space="preserve"> false positive</w:t>
      </w:r>
      <w:r w:rsidRPr="001D400C">
        <w:rPr>
          <w:lang w:val="en-US"/>
        </w:rPr>
        <w:t xml:space="preserve"> Transient Ischaemic Attack (TIA) diagnoses fall outside the remit of UK TIA guidance, yet as many as 50% of all suspected TIA cases presenting in Primary Care may be incorrectly diagnosed by their GP. These patients with resolved symptoms are incepted into the TIA service pathway – putting pressure on services – and may potentially discharged without treatment. However, evidence from clinical study settings suggests that this patie</w:t>
      </w:r>
      <w:r w:rsidR="00486D23" w:rsidRPr="001D400C">
        <w:rPr>
          <w:lang w:val="en-US"/>
        </w:rPr>
        <w:t>nt group has heightened cardiac</w:t>
      </w:r>
      <w:r w:rsidRPr="001D400C">
        <w:rPr>
          <w:lang w:val="en-US"/>
        </w:rPr>
        <w:t xml:space="preserve"> risks when compared with the general population of equivalent age. This paper explores whether the focus on TIA overlooks a vulnerable patient population that may presently be under treated and examines the case for service re-design.</w:t>
      </w:r>
    </w:p>
    <w:p w:rsidR="00B43136" w:rsidRPr="001D400C" w:rsidRDefault="00B43136" w:rsidP="006E026E">
      <w:pPr>
        <w:pStyle w:val="ListParagraph"/>
        <w:spacing w:line="360" w:lineRule="auto"/>
        <w:ind w:left="0"/>
        <w:jc w:val="both"/>
        <w:rPr>
          <w:lang w:val="en-US"/>
        </w:rPr>
      </w:pPr>
      <w:r w:rsidRPr="001D400C">
        <w:rPr>
          <w:b/>
          <w:bCs/>
          <w:lang w:val="en-US"/>
        </w:rPr>
        <w:t>Aim</w:t>
      </w:r>
      <w:r w:rsidR="0029309D">
        <w:rPr>
          <w:b/>
          <w:bCs/>
          <w:lang w:val="en-US"/>
        </w:rPr>
        <w:t>s</w:t>
      </w:r>
      <w:r w:rsidRPr="001D400C">
        <w:rPr>
          <w:b/>
          <w:bCs/>
          <w:lang w:val="en-US"/>
        </w:rPr>
        <w:t>:</w:t>
      </w:r>
      <w:r w:rsidRPr="001D400C">
        <w:rPr>
          <w:lang w:val="en-US"/>
        </w:rPr>
        <w:t xml:space="preserve"> </w:t>
      </w:r>
      <w:r w:rsidR="0029309D">
        <w:rPr>
          <w:lang w:val="en-US"/>
        </w:rPr>
        <w:t xml:space="preserve">(Overarching) </w:t>
      </w:r>
      <w:r w:rsidRPr="001D400C">
        <w:rPr>
          <w:lang w:val="en-US"/>
        </w:rPr>
        <w:t xml:space="preserve">To evaluate the </w:t>
      </w:r>
      <w:r w:rsidR="00C77E65" w:rsidRPr="001D400C">
        <w:rPr>
          <w:lang w:val="en-US"/>
        </w:rPr>
        <w:t>implications of alternate service</w:t>
      </w:r>
      <w:r w:rsidR="00420492">
        <w:rPr>
          <w:lang w:val="en-US"/>
        </w:rPr>
        <w:t xml:space="preserve"> </w:t>
      </w:r>
      <w:r w:rsidR="00C77E65" w:rsidRPr="001D400C">
        <w:rPr>
          <w:lang w:val="en-US"/>
        </w:rPr>
        <w:t xml:space="preserve">pathway models </w:t>
      </w:r>
      <w:r w:rsidRPr="001D400C">
        <w:rPr>
          <w:lang w:val="en-US"/>
        </w:rPr>
        <w:t>following temporary neurological disturbances of any origin.</w:t>
      </w:r>
      <w:r w:rsidR="0029309D">
        <w:rPr>
          <w:lang w:val="en-US"/>
        </w:rPr>
        <w:t xml:space="preserve"> (Specific) To examine the feasibility of a potential service innovation in cardiac risk.</w:t>
      </w:r>
    </w:p>
    <w:p w:rsidR="00B43136" w:rsidRPr="001D400C" w:rsidRDefault="00486D23" w:rsidP="006E026E">
      <w:pPr>
        <w:pStyle w:val="ListParagraph"/>
        <w:spacing w:line="360" w:lineRule="auto"/>
        <w:ind w:left="0"/>
        <w:jc w:val="both"/>
        <w:rPr>
          <w:lang w:val="en-US"/>
        </w:rPr>
      </w:pPr>
      <w:r w:rsidRPr="001D400C">
        <w:rPr>
          <w:b/>
          <w:bCs/>
          <w:lang w:val="en-US"/>
        </w:rPr>
        <w:t>Methods:</w:t>
      </w:r>
      <w:r w:rsidRPr="001D400C">
        <w:rPr>
          <w:lang w:val="en-US"/>
        </w:rPr>
        <w:t xml:space="preserve"> </w:t>
      </w:r>
      <w:r w:rsidR="0029309D">
        <w:rPr>
          <w:lang w:val="en-US"/>
        </w:rPr>
        <w:t xml:space="preserve"> </w:t>
      </w:r>
      <w:r w:rsidR="00113E06">
        <w:rPr>
          <w:lang w:val="en-US"/>
        </w:rPr>
        <w:t xml:space="preserve">Conceptual modelling techniques </w:t>
      </w:r>
      <w:r w:rsidR="0029309D">
        <w:rPr>
          <w:lang w:val="en-US"/>
        </w:rPr>
        <w:t>were employed to identify the problem</w:t>
      </w:r>
      <w:r w:rsidR="00B43136" w:rsidRPr="001D400C">
        <w:rPr>
          <w:lang w:val="en-US"/>
        </w:rPr>
        <w:t xml:space="preserve">. </w:t>
      </w:r>
    </w:p>
    <w:p w:rsidR="00557A6B" w:rsidRDefault="00B43136" w:rsidP="006E026E">
      <w:pPr>
        <w:pStyle w:val="ListParagraph"/>
        <w:spacing w:line="360" w:lineRule="auto"/>
        <w:ind w:left="0"/>
        <w:jc w:val="both"/>
        <w:rPr>
          <w:lang w:val="en-US"/>
        </w:rPr>
      </w:pPr>
      <w:r w:rsidRPr="001D400C">
        <w:rPr>
          <w:b/>
          <w:bCs/>
          <w:lang w:val="en-US"/>
        </w:rPr>
        <w:t>Results:</w:t>
      </w:r>
      <w:r w:rsidRPr="001D400C">
        <w:rPr>
          <w:lang w:val="en-US"/>
        </w:rPr>
        <w:t xml:space="preserve"> </w:t>
      </w:r>
      <w:r w:rsidR="00557A6B">
        <w:rPr>
          <w:lang w:val="en-US"/>
        </w:rPr>
        <w:t xml:space="preserve">We identify the data requirements </w:t>
      </w:r>
      <w:r w:rsidR="00557A6B" w:rsidRPr="00DD19AF">
        <w:rPr>
          <w:lang w:val="en-US"/>
        </w:rPr>
        <w:t xml:space="preserve">needed </w:t>
      </w:r>
      <w:r w:rsidR="0029309D" w:rsidRPr="00DD19AF">
        <w:rPr>
          <w:lang w:val="en-US"/>
        </w:rPr>
        <w:t>to implement a decision-analytic</w:t>
      </w:r>
      <w:r w:rsidR="00557A6B" w:rsidRPr="00DD19AF">
        <w:rPr>
          <w:lang w:val="en-US"/>
        </w:rPr>
        <w:t xml:space="preserve"> model and</w:t>
      </w:r>
      <w:r w:rsidR="00557A6B">
        <w:rPr>
          <w:lang w:val="en-US"/>
        </w:rPr>
        <w:t xml:space="preserve"> propose methods for closing evidence gaps.</w:t>
      </w:r>
    </w:p>
    <w:p w:rsidR="00C77E65" w:rsidRPr="001D400C" w:rsidRDefault="00B43136" w:rsidP="006E026E">
      <w:pPr>
        <w:pStyle w:val="ListParagraph"/>
        <w:spacing w:line="360" w:lineRule="auto"/>
        <w:ind w:left="0"/>
        <w:jc w:val="both"/>
      </w:pPr>
      <w:r w:rsidRPr="001D400C">
        <w:rPr>
          <w:b/>
          <w:bCs/>
          <w:lang w:val="en-US"/>
        </w:rPr>
        <w:t>Conclusion</w:t>
      </w:r>
      <w:r w:rsidR="00113E06">
        <w:rPr>
          <w:b/>
          <w:bCs/>
          <w:lang w:val="en-US"/>
        </w:rPr>
        <w:t>s</w:t>
      </w:r>
      <w:r w:rsidRPr="001D400C">
        <w:rPr>
          <w:b/>
          <w:bCs/>
          <w:lang w:val="en-US"/>
        </w:rPr>
        <w:t>:</w:t>
      </w:r>
      <w:r w:rsidRPr="001D400C">
        <w:rPr>
          <w:lang w:val="en-US"/>
        </w:rPr>
        <w:t xml:space="preserve"> </w:t>
      </w:r>
      <w:r w:rsidRPr="001D400C">
        <w:t>This paper provides an important de novo health economic analysis of an important clinical question that was not addressed in the NICE (2008) guidance or elsewhere</w:t>
      </w:r>
      <w:r w:rsidR="00C77E65" w:rsidRPr="001D400C">
        <w:t xml:space="preserve">.  While this preliminary analysis </w:t>
      </w:r>
      <w:r w:rsidRPr="001D400C">
        <w:t xml:space="preserve">may over-simplify the complex interplay of doctors-patients and treatment decisions, it is hoped that this </w:t>
      </w:r>
      <w:r w:rsidR="00C77E65" w:rsidRPr="001D400C">
        <w:t xml:space="preserve">paper </w:t>
      </w:r>
      <w:r w:rsidRPr="001D400C">
        <w:t>will promote discussion about the need for all to consider the ‘real’ population presenting to TIA services.</w:t>
      </w:r>
    </w:p>
    <w:p w:rsidR="006E026E" w:rsidRDefault="006E026E" w:rsidP="006E026E">
      <w:pPr>
        <w:jc w:val="both"/>
      </w:pPr>
      <w:r w:rsidRPr="001D400C">
        <w:br w:type="page"/>
      </w:r>
    </w:p>
    <w:p w:rsidR="00600869" w:rsidRPr="001D400C" w:rsidRDefault="00600869" w:rsidP="00600869">
      <w:pPr>
        <w:pStyle w:val="Heading2"/>
      </w:pPr>
      <w:r>
        <w:lastRenderedPageBreak/>
        <w:t>Glossary</w:t>
      </w:r>
    </w:p>
    <w:tbl>
      <w:tblPr>
        <w:tblStyle w:val="TableGrid"/>
        <w:tblW w:w="0" w:type="auto"/>
        <w:tblInd w:w="720" w:type="dxa"/>
        <w:tblLook w:val="04A0" w:firstRow="1" w:lastRow="0" w:firstColumn="1" w:lastColumn="0" w:noHBand="0" w:noVBand="1"/>
      </w:tblPr>
      <w:tblGrid>
        <w:gridCol w:w="2223"/>
        <w:gridCol w:w="6299"/>
      </w:tblGrid>
      <w:tr w:rsidR="00771144" w:rsidRPr="00771144" w:rsidTr="00F97B17">
        <w:tc>
          <w:tcPr>
            <w:tcW w:w="2223" w:type="dxa"/>
          </w:tcPr>
          <w:p w:rsidR="007447C0" w:rsidRPr="00771144" w:rsidRDefault="007447C0" w:rsidP="00B27541">
            <w:pPr>
              <w:pStyle w:val="Heading4"/>
              <w:outlineLvl w:val="3"/>
              <w:rPr>
                <w:b w:val="0"/>
                <w:i w:val="0"/>
                <w:color w:val="auto"/>
              </w:rPr>
            </w:pPr>
            <w:r w:rsidRPr="00771144">
              <w:rPr>
                <w:b w:val="0"/>
                <w:i w:val="0"/>
                <w:color w:val="auto"/>
              </w:rPr>
              <w:t>TIA</w:t>
            </w:r>
            <w:r w:rsidR="00B27541">
              <w:rPr>
                <w:b w:val="0"/>
                <w:i w:val="0"/>
                <w:color w:val="auto"/>
              </w:rPr>
              <w:t xml:space="preserve"> </w:t>
            </w:r>
          </w:p>
        </w:tc>
        <w:tc>
          <w:tcPr>
            <w:tcW w:w="6299" w:type="dxa"/>
          </w:tcPr>
          <w:p w:rsidR="007447C0" w:rsidRPr="00771144" w:rsidRDefault="007447C0" w:rsidP="002E7098">
            <w:pPr>
              <w:pStyle w:val="Heading4"/>
              <w:outlineLvl w:val="3"/>
              <w:rPr>
                <w:b w:val="0"/>
                <w:i w:val="0"/>
                <w:color w:val="auto"/>
              </w:rPr>
            </w:pPr>
            <w:r w:rsidRPr="00771144">
              <w:rPr>
                <w:b w:val="0"/>
                <w:i w:val="0"/>
                <w:color w:val="auto"/>
              </w:rPr>
              <w:t>Transient ischaemic attack (mini stroke)</w:t>
            </w:r>
            <w:r w:rsidR="00B27541">
              <w:rPr>
                <w:b w:val="0"/>
                <w:i w:val="0"/>
                <w:color w:val="auto"/>
              </w:rPr>
              <w:t xml:space="preserve">. </w:t>
            </w:r>
          </w:p>
        </w:tc>
      </w:tr>
      <w:tr w:rsidR="00771144" w:rsidRPr="00771144" w:rsidTr="00F97B17">
        <w:tc>
          <w:tcPr>
            <w:tcW w:w="2223" w:type="dxa"/>
          </w:tcPr>
          <w:p w:rsidR="007447C0" w:rsidRPr="00771144" w:rsidRDefault="007447C0" w:rsidP="00DB1501">
            <w:pPr>
              <w:pStyle w:val="Heading4"/>
              <w:outlineLvl w:val="3"/>
              <w:rPr>
                <w:b w:val="0"/>
                <w:i w:val="0"/>
                <w:color w:val="auto"/>
              </w:rPr>
            </w:pPr>
            <w:r w:rsidRPr="00771144">
              <w:rPr>
                <w:b w:val="0"/>
                <w:i w:val="0"/>
                <w:color w:val="auto"/>
              </w:rPr>
              <w:t>Transient neurological disturbance</w:t>
            </w:r>
            <w:r w:rsidR="00F97B17" w:rsidRPr="00771144">
              <w:rPr>
                <w:b w:val="0"/>
                <w:i w:val="0"/>
                <w:color w:val="auto"/>
              </w:rPr>
              <w:t xml:space="preserve"> </w:t>
            </w:r>
          </w:p>
        </w:tc>
        <w:tc>
          <w:tcPr>
            <w:tcW w:w="6299" w:type="dxa"/>
          </w:tcPr>
          <w:p w:rsidR="007447C0" w:rsidRPr="00771144" w:rsidRDefault="007447C0" w:rsidP="00DB1501">
            <w:pPr>
              <w:pStyle w:val="Heading4"/>
              <w:outlineLvl w:val="3"/>
              <w:rPr>
                <w:b w:val="0"/>
                <w:i w:val="0"/>
                <w:color w:val="auto"/>
              </w:rPr>
            </w:pPr>
            <w:r w:rsidRPr="00771144">
              <w:rPr>
                <w:b w:val="0"/>
                <w:i w:val="0"/>
                <w:color w:val="auto"/>
              </w:rPr>
              <w:t>Umbrella term for any condition causing temporary neurological symptoms (includes TIA)</w:t>
            </w:r>
            <w:r w:rsidR="00B27541">
              <w:rPr>
                <w:b w:val="0"/>
                <w:i w:val="0"/>
                <w:color w:val="auto"/>
              </w:rPr>
              <w:t>.</w:t>
            </w:r>
          </w:p>
        </w:tc>
      </w:tr>
      <w:tr w:rsidR="00771144" w:rsidRPr="00771144" w:rsidTr="00F97B17">
        <w:tc>
          <w:tcPr>
            <w:tcW w:w="2223" w:type="dxa"/>
          </w:tcPr>
          <w:p w:rsidR="007447C0" w:rsidRPr="00771144" w:rsidRDefault="007447C0" w:rsidP="00DB1501">
            <w:pPr>
              <w:pStyle w:val="Heading4"/>
              <w:outlineLvl w:val="3"/>
              <w:rPr>
                <w:b w:val="0"/>
                <w:i w:val="0"/>
                <w:color w:val="auto"/>
              </w:rPr>
            </w:pPr>
            <w:r w:rsidRPr="00771144">
              <w:rPr>
                <w:b w:val="0"/>
                <w:i w:val="0"/>
                <w:color w:val="auto"/>
              </w:rPr>
              <w:t>TIA mimic</w:t>
            </w:r>
          </w:p>
        </w:tc>
        <w:tc>
          <w:tcPr>
            <w:tcW w:w="6299" w:type="dxa"/>
          </w:tcPr>
          <w:p w:rsidR="007447C0" w:rsidRPr="00771144" w:rsidRDefault="007447C0" w:rsidP="00DB1501">
            <w:pPr>
              <w:pStyle w:val="Heading4"/>
              <w:outlineLvl w:val="3"/>
              <w:rPr>
                <w:b w:val="0"/>
                <w:i w:val="0"/>
                <w:color w:val="auto"/>
              </w:rPr>
            </w:pPr>
            <w:r w:rsidRPr="00771144">
              <w:rPr>
                <w:b w:val="0"/>
                <w:i w:val="0"/>
                <w:color w:val="auto"/>
              </w:rPr>
              <w:t>False positive TIA</w:t>
            </w:r>
            <w:r w:rsidR="00F97B17" w:rsidRPr="00771144">
              <w:rPr>
                <w:b w:val="0"/>
                <w:i w:val="0"/>
                <w:color w:val="auto"/>
              </w:rPr>
              <w:t xml:space="preserve"> (</w:t>
            </w:r>
            <w:proofErr w:type="spellStart"/>
            <w:r w:rsidR="00F97B17" w:rsidRPr="00771144">
              <w:rPr>
                <w:b w:val="0"/>
                <w:i w:val="0"/>
                <w:color w:val="auto"/>
              </w:rPr>
              <w:t>Prescence</w:t>
            </w:r>
            <w:proofErr w:type="spellEnd"/>
            <w:r w:rsidR="00F97B17" w:rsidRPr="00771144">
              <w:rPr>
                <w:b w:val="0"/>
                <w:i w:val="0"/>
                <w:color w:val="auto"/>
              </w:rPr>
              <w:t xml:space="preserve"> of disease based on what the stroke specialist identifies)</w:t>
            </w:r>
            <w:r w:rsidR="00B27541">
              <w:rPr>
                <w:b w:val="0"/>
                <w:i w:val="0"/>
                <w:color w:val="auto"/>
              </w:rPr>
              <w:t>.</w:t>
            </w:r>
            <w:r w:rsidR="00BE3012">
              <w:rPr>
                <w:b w:val="0"/>
                <w:i w:val="0"/>
                <w:color w:val="auto"/>
              </w:rPr>
              <w:t xml:space="preserve"> </w:t>
            </w:r>
          </w:p>
        </w:tc>
      </w:tr>
      <w:tr w:rsidR="00771144" w:rsidRPr="00771144" w:rsidTr="00F97B17">
        <w:tc>
          <w:tcPr>
            <w:tcW w:w="2223" w:type="dxa"/>
          </w:tcPr>
          <w:p w:rsidR="007447C0" w:rsidRPr="00771144" w:rsidRDefault="007447C0" w:rsidP="00DB1501">
            <w:pPr>
              <w:pStyle w:val="Heading4"/>
              <w:outlineLvl w:val="3"/>
              <w:rPr>
                <w:b w:val="0"/>
                <w:i w:val="0"/>
                <w:color w:val="auto"/>
              </w:rPr>
            </w:pPr>
            <w:r w:rsidRPr="00771144">
              <w:rPr>
                <w:b w:val="0"/>
                <w:i w:val="0"/>
                <w:color w:val="auto"/>
              </w:rPr>
              <w:t>Confirmed TIA</w:t>
            </w:r>
          </w:p>
        </w:tc>
        <w:tc>
          <w:tcPr>
            <w:tcW w:w="6299" w:type="dxa"/>
          </w:tcPr>
          <w:p w:rsidR="007447C0" w:rsidRPr="00771144" w:rsidRDefault="007447C0" w:rsidP="00F97B17">
            <w:pPr>
              <w:pStyle w:val="Heading4"/>
              <w:outlineLvl w:val="3"/>
              <w:rPr>
                <w:b w:val="0"/>
                <w:i w:val="0"/>
                <w:color w:val="auto"/>
              </w:rPr>
            </w:pPr>
            <w:r w:rsidRPr="00771144">
              <w:rPr>
                <w:b w:val="0"/>
                <w:i w:val="0"/>
                <w:color w:val="auto"/>
              </w:rPr>
              <w:t xml:space="preserve">True positive </w:t>
            </w:r>
            <w:proofErr w:type="gramStart"/>
            <w:r w:rsidRPr="00771144">
              <w:rPr>
                <w:b w:val="0"/>
                <w:i w:val="0"/>
                <w:color w:val="auto"/>
              </w:rPr>
              <w:t xml:space="preserve">TIA </w:t>
            </w:r>
            <w:r w:rsidR="00F97B17" w:rsidRPr="00771144">
              <w:rPr>
                <w:b w:val="0"/>
                <w:i w:val="0"/>
                <w:color w:val="auto"/>
              </w:rPr>
              <w:t xml:space="preserve"> (</w:t>
            </w:r>
            <w:proofErr w:type="spellStart"/>
            <w:proofErr w:type="gramEnd"/>
            <w:r w:rsidR="00F97B17" w:rsidRPr="00771144">
              <w:rPr>
                <w:b w:val="0"/>
                <w:i w:val="0"/>
                <w:color w:val="auto"/>
              </w:rPr>
              <w:t>Prescence</w:t>
            </w:r>
            <w:proofErr w:type="spellEnd"/>
            <w:r w:rsidR="00F97B17" w:rsidRPr="00771144">
              <w:rPr>
                <w:b w:val="0"/>
                <w:i w:val="0"/>
                <w:color w:val="auto"/>
              </w:rPr>
              <w:t xml:space="preserve"> of disease based on what the stroke specialist identifies)</w:t>
            </w:r>
          </w:p>
        </w:tc>
      </w:tr>
      <w:tr w:rsidR="00771144" w:rsidRPr="00771144" w:rsidTr="00F97B17">
        <w:tc>
          <w:tcPr>
            <w:tcW w:w="2223" w:type="dxa"/>
          </w:tcPr>
          <w:p w:rsidR="00F97B17" w:rsidRPr="00771144" w:rsidRDefault="00F97B17" w:rsidP="00DB1501">
            <w:pPr>
              <w:pStyle w:val="Heading4"/>
              <w:outlineLvl w:val="3"/>
              <w:rPr>
                <w:b w:val="0"/>
                <w:i w:val="0"/>
                <w:color w:val="auto"/>
              </w:rPr>
            </w:pPr>
            <w:r w:rsidRPr="00771144">
              <w:rPr>
                <w:b w:val="0"/>
                <w:i w:val="0"/>
                <w:color w:val="auto"/>
              </w:rPr>
              <w:t>Suspected TIA</w:t>
            </w:r>
          </w:p>
        </w:tc>
        <w:tc>
          <w:tcPr>
            <w:tcW w:w="6299" w:type="dxa"/>
          </w:tcPr>
          <w:p w:rsidR="00F97B17" w:rsidRPr="00771144" w:rsidRDefault="00F97B17" w:rsidP="00F97B17">
            <w:pPr>
              <w:pStyle w:val="Heading4"/>
              <w:outlineLvl w:val="3"/>
              <w:rPr>
                <w:b w:val="0"/>
                <w:i w:val="0"/>
                <w:color w:val="auto"/>
              </w:rPr>
            </w:pPr>
            <w:r w:rsidRPr="00771144">
              <w:rPr>
                <w:b w:val="0"/>
                <w:i w:val="0"/>
                <w:color w:val="auto"/>
              </w:rPr>
              <w:t>Transient neurological disturbances consistent with a diagnosis of TIA. Sum of true positive and false positive TIA. This is also the total or ‘real’ population presenting to TIA services.</w:t>
            </w:r>
          </w:p>
        </w:tc>
      </w:tr>
      <w:tr w:rsidR="00771144" w:rsidRPr="00771144" w:rsidTr="00F97B17">
        <w:trPr>
          <w:trHeight w:val="369"/>
        </w:trPr>
        <w:tc>
          <w:tcPr>
            <w:tcW w:w="2223" w:type="dxa"/>
          </w:tcPr>
          <w:p w:rsidR="00F97B17" w:rsidRPr="00771144" w:rsidRDefault="00F97B17" w:rsidP="00DB1501">
            <w:pPr>
              <w:pStyle w:val="Heading4"/>
              <w:outlineLvl w:val="3"/>
              <w:rPr>
                <w:b w:val="0"/>
                <w:i w:val="0"/>
                <w:color w:val="auto"/>
              </w:rPr>
            </w:pPr>
            <w:r w:rsidRPr="00771144">
              <w:rPr>
                <w:b w:val="0"/>
                <w:i w:val="0"/>
                <w:color w:val="auto"/>
              </w:rPr>
              <w:t>PICO</w:t>
            </w:r>
          </w:p>
        </w:tc>
        <w:tc>
          <w:tcPr>
            <w:tcW w:w="6299" w:type="dxa"/>
          </w:tcPr>
          <w:p w:rsidR="00F97B17" w:rsidRPr="00771144" w:rsidRDefault="00F97B17" w:rsidP="00F97B17">
            <w:pPr>
              <w:pStyle w:val="Heading4"/>
              <w:outlineLvl w:val="3"/>
              <w:rPr>
                <w:b w:val="0"/>
                <w:i w:val="0"/>
                <w:color w:val="auto"/>
              </w:rPr>
            </w:pPr>
            <w:r w:rsidRPr="00771144">
              <w:rPr>
                <w:b w:val="0"/>
                <w:i w:val="0"/>
                <w:color w:val="auto"/>
              </w:rPr>
              <w:t>Way of focussing a study question (mnemonic) commonly used in epidemiology. P = Population, I= Intervention, C= Comparators, O= Outcome of interest</w:t>
            </w:r>
          </w:p>
        </w:tc>
      </w:tr>
    </w:tbl>
    <w:p w:rsidR="007447C0" w:rsidRPr="00771144" w:rsidRDefault="00771144" w:rsidP="00771144">
      <w:pPr>
        <w:pStyle w:val="Heading4"/>
        <w:rPr>
          <w:b w:val="0"/>
          <w:i w:val="0"/>
          <w:color w:val="auto"/>
        </w:rPr>
      </w:pPr>
      <w:r w:rsidRPr="00771144">
        <w:rPr>
          <w:b w:val="0"/>
          <w:i w:val="0"/>
          <w:color w:val="auto"/>
        </w:rPr>
        <w:t xml:space="preserve">Note: </w:t>
      </w:r>
      <w:proofErr w:type="spellStart"/>
      <w:r w:rsidRPr="00771144">
        <w:rPr>
          <w:b w:val="0"/>
          <w:i w:val="0"/>
          <w:color w:val="auto"/>
        </w:rPr>
        <w:t>Tappenden</w:t>
      </w:r>
      <w:proofErr w:type="spellEnd"/>
      <w:r w:rsidRPr="00771144">
        <w:rPr>
          <w:b w:val="0"/>
          <w:i w:val="0"/>
          <w:color w:val="auto"/>
        </w:rPr>
        <w:t xml:space="preserve"> (2005) </w:t>
      </w:r>
      <w:r w:rsidR="00187524">
        <w:rPr>
          <w:b w:val="0"/>
          <w:i w:val="0"/>
          <w:color w:val="auto"/>
        </w:rPr>
        <w:t xml:space="preserve">provides </w:t>
      </w:r>
      <w:r w:rsidRPr="00771144">
        <w:rPr>
          <w:b w:val="0"/>
          <w:i w:val="0"/>
          <w:color w:val="auto"/>
        </w:rPr>
        <w:t xml:space="preserve">a </w:t>
      </w:r>
      <w:r w:rsidR="00187524">
        <w:rPr>
          <w:b w:val="0"/>
          <w:i w:val="0"/>
          <w:color w:val="auto"/>
        </w:rPr>
        <w:t xml:space="preserve">good </w:t>
      </w:r>
      <w:r w:rsidRPr="00771144">
        <w:rPr>
          <w:b w:val="0"/>
          <w:i w:val="0"/>
          <w:color w:val="auto"/>
        </w:rPr>
        <w:t>glossar</w:t>
      </w:r>
      <w:r w:rsidR="00187524">
        <w:rPr>
          <w:b w:val="0"/>
          <w:i w:val="0"/>
          <w:color w:val="auto"/>
        </w:rPr>
        <w:t>y of conceptual modelling terms and is available freely online as part of the HEDS discussion paper series.</w:t>
      </w:r>
    </w:p>
    <w:p w:rsidR="007447C0" w:rsidRDefault="007447C0">
      <w:pPr>
        <w:rPr>
          <w:rFonts w:asciiTheme="majorHAnsi" w:eastAsiaTheme="majorEastAsia" w:hAnsiTheme="majorHAnsi" w:cstheme="majorBidi"/>
          <w:b/>
          <w:bCs/>
          <w:i/>
          <w:iCs/>
          <w:color w:val="5B9BD5" w:themeColor="accent1"/>
        </w:rPr>
      </w:pPr>
      <w:r>
        <w:br w:type="page"/>
      </w:r>
    </w:p>
    <w:p w:rsidR="007447C0" w:rsidRDefault="007447C0" w:rsidP="00DB1501">
      <w:pPr>
        <w:pStyle w:val="Heading4"/>
        <w:ind w:left="720"/>
      </w:pPr>
    </w:p>
    <w:p w:rsidR="007447C0" w:rsidRDefault="007447C0">
      <w:pPr>
        <w:rPr>
          <w:rFonts w:asciiTheme="majorHAnsi" w:eastAsiaTheme="majorEastAsia" w:hAnsiTheme="majorHAnsi" w:cstheme="majorBidi"/>
          <w:b/>
          <w:bCs/>
          <w:i/>
          <w:iCs/>
          <w:color w:val="5B9BD5" w:themeColor="accent1"/>
        </w:rPr>
      </w:pPr>
    </w:p>
    <w:p w:rsidR="006E026E" w:rsidRPr="00593E7C" w:rsidRDefault="00593E7C" w:rsidP="00DB1501">
      <w:pPr>
        <w:pStyle w:val="Heading4"/>
        <w:ind w:left="720"/>
      </w:pPr>
      <w:r>
        <w:t>C</w:t>
      </w:r>
      <w:r w:rsidR="00965B6C" w:rsidRPr="00593E7C">
        <w:t>onceptual model</w:t>
      </w:r>
      <w:r w:rsidR="00F41F84">
        <w:t xml:space="preserve">ling is about moving from a </w:t>
      </w:r>
      <w:r w:rsidRPr="00593E7C">
        <w:t>problem situation, through model requirements to a definition of what is going to be modelled and how (Robinson, 2008)</w:t>
      </w:r>
      <w:r>
        <w:t>.</w:t>
      </w:r>
      <w:r w:rsidR="00C77E65" w:rsidRPr="00593E7C">
        <w:t xml:space="preserve"> </w:t>
      </w:r>
    </w:p>
    <w:p w:rsidR="006E026E" w:rsidRPr="001D400C" w:rsidRDefault="006E026E" w:rsidP="006E026E">
      <w:pPr>
        <w:pStyle w:val="ListParagraph"/>
        <w:spacing w:after="0" w:line="240" w:lineRule="auto"/>
        <w:jc w:val="both"/>
        <w:rPr>
          <w:bCs/>
        </w:rPr>
      </w:pPr>
    </w:p>
    <w:p w:rsidR="000912E3" w:rsidRPr="005269C5" w:rsidRDefault="009343B5" w:rsidP="009C68F7">
      <w:pPr>
        <w:pStyle w:val="Heading2"/>
        <w:numPr>
          <w:ilvl w:val="0"/>
          <w:numId w:val="9"/>
        </w:numPr>
      </w:pPr>
      <w:r w:rsidRPr="005269C5">
        <w:t>Introduction</w:t>
      </w:r>
    </w:p>
    <w:p w:rsidR="00360B0B" w:rsidRDefault="00360B0B" w:rsidP="00893FDE">
      <w:pPr>
        <w:spacing w:line="360" w:lineRule="auto"/>
        <w:jc w:val="both"/>
      </w:pPr>
      <w:r>
        <w:t>It is well known that TIA can be</w:t>
      </w:r>
      <w:r w:rsidR="00BD0066">
        <w:t xml:space="preserve"> an early warning signal for an imminent stroke, and there is a strong evidence</w:t>
      </w:r>
      <w:r w:rsidR="008B3283">
        <w:t xml:space="preserve"> </w:t>
      </w:r>
      <w:r w:rsidR="00BD0066">
        <w:t xml:space="preserve">base identifying the effectiveness of early intervention with medications (antiplatelets, statins and antihypertensives). This evidence </w:t>
      </w:r>
      <w:r w:rsidR="00904127">
        <w:t>led to the development of a National Stroke Strategy in 2007</w:t>
      </w:r>
      <w:r w:rsidR="00B27541">
        <w:t xml:space="preserve"> and NICE guidance in 2008</w:t>
      </w:r>
      <w:r w:rsidR="00904127">
        <w:t xml:space="preserve">. </w:t>
      </w:r>
      <w:r w:rsidR="00B27541">
        <w:t>Subsequent a</w:t>
      </w:r>
      <w:r w:rsidR="00904127">
        <w:t xml:space="preserve">udit </w:t>
      </w:r>
      <w:r w:rsidR="002E7098">
        <w:t xml:space="preserve">confirmed </w:t>
      </w:r>
      <w:r w:rsidR="00904127">
        <w:t>the success</w:t>
      </w:r>
      <w:r w:rsidR="00B27541">
        <w:t xml:space="preserve"> of such guidance</w:t>
      </w:r>
      <w:r w:rsidR="00904127">
        <w:t xml:space="preserve"> in </w:t>
      </w:r>
      <w:proofErr w:type="spellStart"/>
      <w:r w:rsidR="00B27541">
        <w:t>expediating</w:t>
      </w:r>
      <w:proofErr w:type="spellEnd"/>
      <w:r w:rsidR="00B27541">
        <w:t xml:space="preserve"> initiation of treatments </w:t>
      </w:r>
      <w:r>
        <w:t>following TI</w:t>
      </w:r>
      <w:r w:rsidR="00216506">
        <w:t>A</w:t>
      </w:r>
      <w:r>
        <w:t xml:space="preserve"> (NAO</w:t>
      </w:r>
      <w:r w:rsidR="00AA42AC">
        <w:t>,</w:t>
      </w:r>
      <w:r>
        <w:t xml:space="preserve"> </w:t>
      </w:r>
      <w:r w:rsidR="00B27541">
        <w:t>2010</w:t>
      </w:r>
      <w:r>
        <w:t xml:space="preserve">). In this way, the existing </w:t>
      </w:r>
      <w:r w:rsidR="002E7098">
        <w:t>service pathway</w:t>
      </w:r>
      <w:r>
        <w:t xml:space="preserve"> model appears to treat TIA patients efficiently.</w:t>
      </w:r>
      <w:r w:rsidR="00DB62D5">
        <w:t xml:space="preserve"> If it is our desire to prevent stroke following confirmed TIA</w:t>
      </w:r>
      <w:r w:rsidR="00216506">
        <w:t xml:space="preserve">, the </w:t>
      </w:r>
      <w:r w:rsidR="007F2FB5">
        <w:t>decision</w:t>
      </w:r>
      <w:r w:rsidR="00893FDE">
        <w:t xml:space="preserve">-analytic </w:t>
      </w:r>
      <w:r w:rsidR="00216506">
        <w:t xml:space="preserve">models on which </w:t>
      </w:r>
      <w:r w:rsidR="00E65B67">
        <w:t xml:space="preserve">the implemented </w:t>
      </w:r>
      <w:r w:rsidR="002E7098">
        <w:t>service pathway</w:t>
      </w:r>
      <w:r w:rsidR="00DB62D5">
        <w:t xml:space="preserve"> models are based appear fit for purpose</w:t>
      </w:r>
      <w:r w:rsidR="00E65B67">
        <w:t>.</w:t>
      </w:r>
    </w:p>
    <w:p w:rsidR="001E1F3E" w:rsidRDefault="00360B0B" w:rsidP="006E026E">
      <w:pPr>
        <w:spacing w:line="360" w:lineRule="auto"/>
        <w:jc w:val="both"/>
      </w:pPr>
      <w:r>
        <w:t xml:space="preserve">It is much less well known that </w:t>
      </w:r>
      <w:r w:rsidR="00E65B67">
        <w:t xml:space="preserve">approximately fifty per cent </w:t>
      </w:r>
      <w:r>
        <w:t>of patients with GP diagnosed TIA have the wrong diagnosis (</w:t>
      </w:r>
      <w:r w:rsidR="00676114">
        <w:t>also referred to as</w:t>
      </w:r>
      <w:r w:rsidR="00216506">
        <w:t xml:space="preserve"> ‘TIA mimic’</w:t>
      </w:r>
      <w:r>
        <w:t>) and ar</w:t>
      </w:r>
      <w:r w:rsidR="003E373A">
        <w:t xml:space="preserve">e incepted into a pathway that is entirely based </w:t>
      </w:r>
      <w:r>
        <w:t xml:space="preserve">on the needs of the </w:t>
      </w:r>
      <w:r w:rsidR="00E65B67">
        <w:t>correctly diagnosed fifty per cent</w:t>
      </w:r>
      <w:r>
        <w:t>.</w:t>
      </w:r>
      <w:r w:rsidR="003E373A">
        <w:t xml:space="preserve"> To date the view of</w:t>
      </w:r>
      <w:r w:rsidR="00216506">
        <w:t xml:space="preserve"> modellers and policy-makers</w:t>
      </w:r>
      <w:r w:rsidR="003E373A">
        <w:t xml:space="preserve"> on this issue has been somewhat mute</w:t>
      </w:r>
      <w:r w:rsidR="00DB62D5">
        <w:t xml:space="preserve"> on th</w:t>
      </w:r>
      <w:r w:rsidR="00893FDE">
        <w:t>e</w:t>
      </w:r>
      <w:r w:rsidR="00DB62D5">
        <w:t xml:space="preserve"> issue</w:t>
      </w:r>
      <w:r w:rsidR="003E373A">
        <w:t>. One reason for this seems to be that the TIA mimic population is rather protean. Interrogation of referrals to TIA clinics suggests a host of d</w:t>
      </w:r>
      <w:r w:rsidR="00031DFE">
        <w:t>ifferential diagnoses</w:t>
      </w:r>
      <w:r w:rsidR="00E65B67">
        <w:t xml:space="preserve"> (C</w:t>
      </w:r>
      <w:r w:rsidR="00BD61AA">
        <w:t>ameron et al</w:t>
      </w:r>
      <w:r w:rsidR="00AA42AC">
        <w:t>, 2011</w:t>
      </w:r>
      <w:r w:rsidR="00E65B67">
        <w:t>).</w:t>
      </w:r>
      <w:r w:rsidR="00216506">
        <w:t xml:space="preserve"> Modelling all the potential treatment pathways and health states associated with TIA mimic would be </w:t>
      </w:r>
      <w:r w:rsidR="007F2FB5">
        <w:t>an</w:t>
      </w:r>
      <w:r w:rsidR="00216506">
        <w:t xml:space="preserve"> enormous task, which may be unfeasible given the constraints of time and resource.</w:t>
      </w:r>
      <w:r w:rsidR="00567CC5">
        <w:t xml:space="preserve"> </w:t>
      </w:r>
      <w:r w:rsidR="0000110B">
        <w:t>Another reason is that the participants involved in the creation of guidance tend to develop decision-analytic models from appraisal of existing economic evaluations</w:t>
      </w:r>
      <w:r w:rsidR="00E65B67">
        <w:t xml:space="preserve"> (indeed, this is often a requirement of the HTA body)</w:t>
      </w:r>
      <w:r w:rsidR="0000110B">
        <w:t xml:space="preserve"> so there is a kind of historical bias in the evolution of ‘new’ models.</w:t>
      </w:r>
      <w:r w:rsidR="00567CC5">
        <w:t xml:space="preserve"> </w:t>
      </w:r>
      <w:r w:rsidR="00733514">
        <w:t xml:space="preserve"> A further explanation may be that the cut and thrust of guidelines depends on the treating of diseases not symptoms, isolated conditions and not the reality of </w:t>
      </w:r>
      <w:r w:rsidR="00C25DD5">
        <w:t xml:space="preserve">multifactorial risk factors, </w:t>
      </w:r>
      <w:r w:rsidR="00733514">
        <w:t>comorbidities</w:t>
      </w:r>
      <w:r w:rsidR="00E65B67">
        <w:t xml:space="preserve"> and diagnostic uncertainties</w:t>
      </w:r>
      <w:r w:rsidR="00733514">
        <w:t xml:space="preserve">. If the commissioners demand disease-focussed guidance, </w:t>
      </w:r>
      <w:r w:rsidR="00E65B67">
        <w:t>it is not surprising that we produce disease-driven decision-analyses</w:t>
      </w:r>
      <w:r w:rsidR="00733514">
        <w:t xml:space="preserve">. This paper considers whether it is ok </w:t>
      </w:r>
      <w:r w:rsidR="00DB62D5">
        <w:t xml:space="preserve">for us </w:t>
      </w:r>
      <w:r w:rsidR="00733514">
        <w:t>to forget</w:t>
      </w:r>
      <w:r w:rsidR="00DB62D5">
        <w:t xml:space="preserve"> about</w:t>
      </w:r>
      <w:r w:rsidR="00733514">
        <w:t xml:space="preserve"> the patients who </w:t>
      </w:r>
      <w:r w:rsidR="00E65B67">
        <w:t>are misdiagnosed by their GP</w:t>
      </w:r>
      <w:r w:rsidR="00DB62D5">
        <w:t>.</w:t>
      </w:r>
      <w:r w:rsidR="00DB62D5">
        <w:rPr>
          <w:rStyle w:val="FootnoteReference"/>
        </w:rPr>
        <w:footnoteReference w:id="1"/>
      </w:r>
      <w:r w:rsidR="00DB62D5">
        <w:t xml:space="preserve"> </w:t>
      </w:r>
      <w:r w:rsidR="00EC777A">
        <w:t xml:space="preserve"> </w:t>
      </w:r>
      <w:r w:rsidR="00E54CAF">
        <w:t>A more nuanced question would be</w:t>
      </w:r>
      <w:r w:rsidR="001E1F3E">
        <w:t xml:space="preserve">, </w:t>
      </w:r>
      <w:r w:rsidR="001E1F3E" w:rsidRPr="001E1F3E">
        <w:t>‘Are the service delivery models we produce fit for purpose?’</w:t>
      </w:r>
    </w:p>
    <w:p w:rsidR="00B2386E" w:rsidRDefault="001E1F3E" w:rsidP="00944891">
      <w:pPr>
        <w:spacing w:line="360" w:lineRule="auto"/>
        <w:jc w:val="both"/>
      </w:pPr>
      <w:r>
        <w:lastRenderedPageBreak/>
        <w:t>We therefore undertake to find an answer to the above question</w:t>
      </w:r>
      <w:r w:rsidR="00E54CAF">
        <w:t>s</w:t>
      </w:r>
      <w:r>
        <w:t xml:space="preserve">. </w:t>
      </w:r>
      <w:r w:rsidR="009343B5" w:rsidRPr="001D400C">
        <w:t>In operational research there are methods in place for conceptualisation of the decision problem and subsequent modelling. While there are some examples of these having been applied in health-care settings they tend to have been mainly applied to complex systems or processes by simulation modellers</w:t>
      </w:r>
      <w:r w:rsidR="00DA306A" w:rsidRPr="001D400C">
        <w:t xml:space="preserve"> (Robinson</w:t>
      </w:r>
      <w:r w:rsidR="00430FD9" w:rsidRPr="001D400C">
        <w:t xml:space="preserve"> 2008</w:t>
      </w:r>
      <w:r w:rsidR="00DA306A" w:rsidRPr="001D400C">
        <w:t>)</w:t>
      </w:r>
      <w:r w:rsidR="009343B5" w:rsidRPr="001D400C">
        <w:t xml:space="preserve">. </w:t>
      </w:r>
      <w:r w:rsidR="00DA306A" w:rsidRPr="001D400C">
        <w:t>Even where the conceptualisation methods do not</w:t>
      </w:r>
      <w:r w:rsidR="0085291A" w:rsidRPr="001D400C">
        <w:t xml:space="preserve"> presume a simulation type model</w:t>
      </w:r>
      <w:r w:rsidR="002527CB" w:rsidRPr="001D400C">
        <w:t>, t</w:t>
      </w:r>
      <w:r w:rsidR="009343B5" w:rsidRPr="001D400C">
        <w:t>he focus has</w:t>
      </w:r>
      <w:r w:rsidR="002527CB" w:rsidRPr="001D400C">
        <w:t xml:space="preserve"> typically</w:t>
      </w:r>
      <w:r w:rsidR="009343B5" w:rsidRPr="001D400C">
        <w:t xml:space="preserve"> </w:t>
      </w:r>
      <w:r w:rsidR="00DA306A" w:rsidRPr="001D400C">
        <w:t>tended to</w:t>
      </w:r>
      <w:r w:rsidR="00FD170B">
        <w:t xml:space="preserve">wards </w:t>
      </w:r>
      <w:r w:rsidR="00DA306A" w:rsidRPr="001D400C">
        <w:t xml:space="preserve">structuring </w:t>
      </w:r>
      <w:r w:rsidR="009343B5" w:rsidRPr="001D400C">
        <w:t>of the model as opposed to the structuring of the problem</w:t>
      </w:r>
      <w:r w:rsidR="00FF0FBD">
        <w:rPr>
          <w:rStyle w:val="FootnoteReference"/>
        </w:rPr>
        <w:footnoteReference w:id="2"/>
      </w:r>
      <w:r w:rsidR="0085291A" w:rsidRPr="001D400C">
        <w:t xml:space="preserve"> (</w:t>
      </w:r>
      <w:r w:rsidR="00BD61AA">
        <w:t>Robinson</w:t>
      </w:r>
      <w:r w:rsidR="004E5E3B">
        <w:t>,</w:t>
      </w:r>
      <w:r w:rsidR="00BD61AA">
        <w:t xml:space="preserve"> 2010; </w:t>
      </w:r>
      <w:r w:rsidR="004E5E3B">
        <w:t>Roberts et al,</w:t>
      </w:r>
      <w:r w:rsidR="00430FD9" w:rsidRPr="001D400C">
        <w:t xml:space="preserve"> 2012</w:t>
      </w:r>
      <w:r w:rsidR="0085291A" w:rsidRPr="001D400C">
        <w:t>)</w:t>
      </w:r>
      <w:r w:rsidR="00FD170B">
        <w:t>.</w:t>
      </w:r>
      <w:r w:rsidR="00166ED7">
        <w:t xml:space="preserve"> However, more recently there have</w:t>
      </w:r>
      <w:r w:rsidR="00FD170B">
        <w:t xml:space="preserve"> been practical suggestions for approaches r</w:t>
      </w:r>
      <w:r w:rsidR="00AA1C48">
        <w:t>elating to conceptual modelling</w:t>
      </w:r>
      <w:r w:rsidR="00FD170B">
        <w:t xml:space="preserve"> (</w:t>
      </w:r>
      <w:proofErr w:type="spellStart"/>
      <w:r w:rsidR="00FD170B">
        <w:t>Kalten</w:t>
      </w:r>
      <w:r w:rsidR="00BD61AA">
        <w:t>thaler</w:t>
      </w:r>
      <w:proofErr w:type="spellEnd"/>
      <w:r w:rsidR="00BD61AA">
        <w:t xml:space="preserve"> et al</w:t>
      </w:r>
      <w:r w:rsidR="004E5E3B">
        <w:t>,</w:t>
      </w:r>
      <w:r w:rsidR="00BD61AA">
        <w:t xml:space="preserve"> 2011</w:t>
      </w:r>
      <w:r w:rsidR="00AA1C48">
        <w:t>;</w:t>
      </w:r>
      <w:r w:rsidR="004E5E3B">
        <w:t xml:space="preserve"> Roberts et al,</w:t>
      </w:r>
      <w:r w:rsidR="00AA1C48">
        <w:t xml:space="preserve"> 2012;</w:t>
      </w:r>
      <w:r w:rsidR="00BD61AA">
        <w:t xml:space="preserve"> </w:t>
      </w:r>
      <w:proofErr w:type="spellStart"/>
      <w:r w:rsidR="00BD61AA">
        <w:t>Tappenden</w:t>
      </w:r>
      <w:proofErr w:type="spellEnd"/>
      <w:r w:rsidR="004E5E3B">
        <w:t>,</w:t>
      </w:r>
      <w:r w:rsidR="00BD61AA">
        <w:t xml:space="preserve"> 2005</w:t>
      </w:r>
      <w:r w:rsidR="00FD170B">
        <w:t>).</w:t>
      </w:r>
    </w:p>
    <w:p w:rsidR="007B2466" w:rsidRDefault="00AA1C48" w:rsidP="006E026E">
      <w:pPr>
        <w:spacing w:line="360" w:lineRule="auto"/>
        <w:jc w:val="both"/>
      </w:pPr>
      <w:r>
        <w:t>This paper charts the initial development of</w:t>
      </w:r>
      <w:r w:rsidR="009343B5" w:rsidRPr="001D400C">
        <w:t xml:space="preserve"> a conceptual model </w:t>
      </w:r>
      <w:r w:rsidR="0085291A" w:rsidRPr="001D400C">
        <w:t>by way of example in transient</w:t>
      </w:r>
      <w:r w:rsidR="00B965E9">
        <w:t xml:space="preserve"> neurological disturbances</w:t>
      </w:r>
      <w:r>
        <w:t>. We start with the ‘problem situation’</w:t>
      </w:r>
      <w:r w:rsidR="00C25DD5">
        <w:t xml:space="preserve"> and finish</w:t>
      </w:r>
      <w:r>
        <w:t xml:space="preserve"> with a proposal for a service pathway model that considers patients’ cardiac risk. </w:t>
      </w:r>
      <w:r w:rsidR="00B965E9">
        <w:t xml:space="preserve">We conclude by suggesting that there could be unexplored service innovations (both in transient neurological disturbance and possibly in other </w:t>
      </w:r>
      <w:r w:rsidR="00BE0DCA">
        <w:t xml:space="preserve">disease driven </w:t>
      </w:r>
      <w:r w:rsidR="00B965E9">
        <w:t>models</w:t>
      </w:r>
      <w:r w:rsidR="00BE0DCA">
        <w:t xml:space="preserve"> of care</w:t>
      </w:r>
      <w:r w:rsidR="00B965E9">
        <w:t xml:space="preserve">) that could be explored </w:t>
      </w:r>
      <w:r w:rsidR="00BE0DCA">
        <w:t>us</w:t>
      </w:r>
      <w:r w:rsidR="00EB3298">
        <w:t>ing a similar approach</w:t>
      </w:r>
      <w:r w:rsidR="00B965E9">
        <w:t>.</w:t>
      </w:r>
    </w:p>
    <w:p w:rsidR="00B2386E" w:rsidRDefault="009C68F7" w:rsidP="009C68F7">
      <w:pPr>
        <w:pStyle w:val="Heading2"/>
        <w:numPr>
          <w:ilvl w:val="0"/>
          <w:numId w:val="9"/>
        </w:numPr>
      </w:pPr>
      <w:r>
        <w:t>A problem s</w:t>
      </w:r>
      <w:r w:rsidR="00B2386E">
        <w:t>ituation</w:t>
      </w:r>
    </w:p>
    <w:p w:rsidR="0085291A" w:rsidRPr="00B2386E" w:rsidRDefault="00835D94" w:rsidP="00B2386E">
      <w:pPr>
        <w:spacing w:line="360" w:lineRule="auto"/>
        <w:jc w:val="both"/>
        <w:rPr>
          <w:b/>
          <w:bCs/>
        </w:rPr>
      </w:pPr>
      <w:r w:rsidRPr="00B2386E">
        <w:rPr>
          <w:b/>
          <w:bCs/>
        </w:rPr>
        <w:t>Background to TI</w:t>
      </w:r>
      <w:r w:rsidR="0085291A" w:rsidRPr="00B2386E">
        <w:rPr>
          <w:b/>
          <w:bCs/>
        </w:rPr>
        <w:t>A</w:t>
      </w:r>
      <w:r w:rsidR="00F52146" w:rsidRPr="00B2386E">
        <w:rPr>
          <w:b/>
          <w:bCs/>
        </w:rPr>
        <w:t xml:space="preserve"> and the relevance of false positives</w:t>
      </w:r>
    </w:p>
    <w:p w:rsidR="00BE0DCA" w:rsidRDefault="00446D8E" w:rsidP="00446D8E">
      <w:pPr>
        <w:spacing w:line="360" w:lineRule="auto"/>
        <w:jc w:val="both"/>
      </w:pPr>
      <w:r>
        <w:t xml:space="preserve">All TIA mimics </w:t>
      </w:r>
      <w:r w:rsidR="00A51056" w:rsidRPr="001D400C">
        <w:t xml:space="preserve">have some other explanation for their symptoms and importantly not all of these other explanations are benign. In particular, there is emerging evidence that the incorrectly diagnosed may face high </w:t>
      </w:r>
      <w:r w:rsidR="00F878A0" w:rsidRPr="001D400C">
        <w:t>cardiac and other</w:t>
      </w:r>
      <w:r w:rsidR="00A51056" w:rsidRPr="001D400C">
        <w:t xml:space="preserve"> risk</w:t>
      </w:r>
      <w:r>
        <w:t>s</w:t>
      </w:r>
      <w:r w:rsidR="004E5E3B">
        <w:t xml:space="preserve"> (Bos et al, </w:t>
      </w:r>
      <w:r w:rsidR="009C2511">
        <w:t>2007</w:t>
      </w:r>
      <w:r w:rsidR="004E5E3B">
        <w:t>; Cameron et al, 2011</w:t>
      </w:r>
      <w:r w:rsidR="009C2511">
        <w:t>).</w:t>
      </w:r>
      <w:r>
        <w:t xml:space="preserve"> </w:t>
      </w:r>
      <w:r w:rsidR="00A51056" w:rsidRPr="001D400C">
        <w:t xml:space="preserve"> </w:t>
      </w:r>
    </w:p>
    <w:p w:rsidR="00A51056" w:rsidRPr="001D400C" w:rsidRDefault="00A51056" w:rsidP="006E026E">
      <w:pPr>
        <w:spacing w:line="360" w:lineRule="auto"/>
        <w:jc w:val="both"/>
      </w:pPr>
      <w:r w:rsidRPr="001D400C">
        <w:t xml:space="preserve">Under </w:t>
      </w:r>
      <w:r w:rsidR="00EB3298">
        <w:t xml:space="preserve">the </w:t>
      </w:r>
      <w:r w:rsidRPr="001D400C">
        <w:t>current NICE guidance, all patients with symptoms suggestive of TIA are likely to be offered aspirin and referred to a neurologist for review</w:t>
      </w:r>
      <w:r w:rsidR="005B53B4">
        <w:t xml:space="preserve"> of treatments</w:t>
      </w:r>
      <w:r w:rsidR="00EB3298">
        <w:t xml:space="preserve"> (NICE 2008)</w:t>
      </w:r>
      <w:r w:rsidRPr="001D400C">
        <w:t>. While this service pathway has proven effectiveness in preventing stroke, there is no evidence base fo</w:t>
      </w:r>
      <w:r w:rsidR="00EB3298">
        <w:t>r the false-positive population</w:t>
      </w:r>
      <w:r w:rsidR="009C2511">
        <w:t xml:space="preserve"> (</w:t>
      </w:r>
      <w:proofErr w:type="spellStart"/>
      <w:r w:rsidR="009C2511">
        <w:t>Lasserson</w:t>
      </w:r>
      <w:proofErr w:type="spellEnd"/>
      <w:r w:rsidR="009C2511">
        <w:t>, 2013).</w:t>
      </w:r>
      <w:r w:rsidRPr="001D400C">
        <w:t xml:space="preserve"> The challenge to the research-active community is to identify a </w:t>
      </w:r>
      <w:r w:rsidR="00166ED7">
        <w:t xml:space="preserve">decision-analytic </w:t>
      </w:r>
      <w:r w:rsidRPr="001D400C">
        <w:t>model that is efficient for the total</w:t>
      </w:r>
      <w:r w:rsidR="00EB3298">
        <w:t xml:space="preserve"> (</w:t>
      </w:r>
      <w:proofErr w:type="spellStart"/>
      <w:r w:rsidR="00EB3298">
        <w:t>i.e</w:t>
      </w:r>
      <w:proofErr w:type="spellEnd"/>
      <w:r w:rsidR="00EB3298">
        <w:t xml:space="preserve"> true- and false-positive)</w:t>
      </w:r>
      <w:r w:rsidRPr="001D400C">
        <w:t xml:space="preserve"> population presenting with the symptomology of TIA.</w:t>
      </w:r>
    </w:p>
    <w:p w:rsidR="00FC5556" w:rsidRPr="00B2386E" w:rsidRDefault="00B2386E" w:rsidP="009C68F7">
      <w:pPr>
        <w:pStyle w:val="Heading2"/>
        <w:numPr>
          <w:ilvl w:val="0"/>
          <w:numId w:val="9"/>
        </w:numPr>
      </w:pPr>
      <w:r w:rsidRPr="00B2386E">
        <w:t>Moving from a</w:t>
      </w:r>
      <w:r w:rsidR="0085291A" w:rsidRPr="00B2386E">
        <w:t xml:space="preserve"> problem </w:t>
      </w:r>
      <w:r w:rsidRPr="00B2386E">
        <w:t>situation</w:t>
      </w:r>
    </w:p>
    <w:p w:rsidR="00411FED" w:rsidRPr="00BE0DCA" w:rsidRDefault="00CC69F3" w:rsidP="00BE0DCA">
      <w:pPr>
        <w:spacing w:line="360" w:lineRule="auto"/>
        <w:jc w:val="both"/>
        <w:rPr>
          <w:bCs/>
        </w:rPr>
      </w:pPr>
      <w:r w:rsidRPr="00BE0DCA">
        <w:rPr>
          <w:bCs/>
        </w:rPr>
        <w:t xml:space="preserve">In order to begin to </w:t>
      </w:r>
      <w:r w:rsidR="009C1869" w:rsidRPr="00BE0DCA">
        <w:rPr>
          <w:bCs/>
        </w:rPr>
        <w:t xml:space="preserve">identify the </w:t>
      </w:r>
      <w:r w:rsidRPr="00BE0DCA">
        <w:rPr>
          <w:bCs/>
        </w:rPr>
        <w:t xml:space="preserve">problem, we </w:t>
      </w:r>
      <w:r w:rsidR="00463FB8" w:rsidRPr="00BE0DCA">
        <w:rPr>
          <w:bCs/>
        </w:rPr>
        <w:t xml:space="preserve">first </w:t>
      </w:r>
      <w:r w:rsidRPr="00BE0DCA">
        <w:rPr>
          <w:bCs/>
        </w:rPr>
        <w:t>examined the</w:t>
      </w:r>
      <w:r w:rsidR="00463FB8" w:rsidRPr="00BE0DCA">
        <w:rPr>
          <w:bCs/>
        </w:rPr>
        <w:t xml:space="preserve"> methods</w:t>
      </w:r>
      <w:r w:rsidRPr="00BE0DCA">
        <w:rPr>
          <w:bCs/>
        </w:rPr>
        <w:t xml:space="preserve"> literature on the conceptua</w:t>
      </w:r>
      <w:r w:rsidR="00B236D6" w:rsidRPr="00BE0DCA">
        <w:rPr>
          <w:bCs/>
        </w:rPr>
        <w:t xml:space="preserve">lisation of cost-effectiveness </w:t>
      </w:r>
      <w:r w:rsidRPr="00BE0DCA">
        <w:rPr>
          <w:bCs/>
        </w:rPr>
        <w:t>models. G</w:t>
      </w:r>
      <w:r w:rsidR="00FC5556" w:rsidRPr="00BE0DCA">
        <w:rPr>
          <w:bCs/>
        </w:rPr>
        <w:t>uidance</w:t>
      </w:r>
      <w:r w:rsidRPr="00BE0DCA">
        <w:rPr>
          <w:bCs/>
        </w:rPr>
        <w:t xml:space="preserve"> from NICE’s Decision Support Unit</w:t>
      </w:r>
      <w:r w:rsidR="00FC5556" w:rsidRPr="00BE0DCA">
        <w:rPr>
          <w:bCs/>
        </w:rPr>
        <w:t xml:space="preserve"> </w:t>
      </w:r>
      <w:r w:rsidR="00945BC4" w:rsidRPr="00BE0DCA">
        <w:rPr>
          <w:bCs/>
        </w:rPr>
        <w:t xml:space="preserve">(DSU) </w:t>
      </w:r>
      <w:r w:rsidRPr="00BE0DCA">
        <w:rPr>
          <w:bCs/>
        </w:rPr>
        <w:t>suggests that explicit reporting of the model development process can ensure th</w:t>
      </w:r>
      <w:r w:rsidR="00B236D6" w:rsidRPr="00BE0DCA">
        <w:rPr>
          <w:bCs/>
        </w:rPr>
        <w:t xml:space="preserve">at models are useful and contextually valid </w:t>
      </w:r>
      <w:r w:rsidRPr="00BE0DCA">
        <w:rPr>
          <w:bCs/>
        </w:rPr>
        <w:t>(Kaltenthaler</w:t>
      </w:r>
      <w:r w:rsidR="00816CCB">
        <w:rPr>
          <w:bCs/>
        </w:rPr>
        <w:t xml:space="preserve"> et al,</w:t>
      </w:r>
      <w:r w:rsidRPr="00BE0DCA">
        <w:rPr>
          <w:bCs/>
        </w:rPr>
        <w:t xml:space="preserve"> 2011)</w:t>
      </w:r>
      <w:r w:rsidR="00463FB8" w:rsidRPr="00BE0DCA">
        <w:rPr>
          <w:bCs/>
        </w:rPr>
        <w:t xml:space="preserve">. </w:t>
      </w:r>
    </w:p>
    <w:p w:rsidR="009C68F7" w:rsidRPr="009C68F7" w:rsidRDefault="009C1869" w:rsidP="009C68F7">
      <w:pPr>
        <w:spacing w:line="360" w:lineRule="auto"/>
        <w:jc w:val="both"/>
        <w:rPr>
          <w:bCs/>
        </w:rPr>
      </w:pPr>
      <w:r w:rsidRPr="00BE0DCA">
        <w:rPr>
          <w:bCs/>
        </w:rPr>
        <w:lastRenderedPageBreak/>
        <w:t>The</w:t>
      </w:r>
      <w:r w:rsidR="00945BC4" w:rsidRPr="00BE0DCA">
        <w:rPr>
          <w:bCs/>
        </w:rPr>
        <w:t xml:space="preserve"> </w:t>
      </w:r>
      <w:r w:rsidR="00EB3298">
        <w:rPr>
          <w:bCs/>
        </w:rPr>
        <w:t xml:space="preserve">NICE </w:t>
      </w:r>
      <w:r w:rsidR="00945BC4" w:rsidRPr="00BE0DCA">
        <w:rPr>
          <w:bCs/>
        </w:rPr>
        <w:t>DSU</w:t>
      </w:r>
      <w:r w:rsidRPr="00BE0DCA">
        <w:rPr>
          <w:bCs/>
        </w:rPr>
        <w:t xml:space="preserve"> document also describes two distinct conceptualisation models: problem-oriented models and design-oriented models. Problem-oriented models are</w:t>
      </w:r>
      <w:r w:rsidR="00F5011E">
        <w:rPr>
          <w:bCs/>
        </w:rPr>
        <w:t xml:space="preserve"> defined</w:t>
      </w:r>
      <w:r w:rsidR="00113E06">
        <w:rPr>
          <w:bCs/>
        </w:rPr>
        <w:t xml:space="preserve"> </w:t>
      </w:r>
      <w:r w:rsidR="00F5011E">
        <w:rPr>
          <w:bCs/>
        </w:rPr>
        <w:t xml:space="preserve"> </w:t>
      </w:r>
      <w:r w:rsidR="00113E06">
        <w:rPr>
          <w:bCs/>
        </w:rPr>
        <w:t xml:space="preserve">as </w:t>
      </w:r>
      <w:r w:rsidRPr="00BE0DCA">
        <w:rPr>
          <w:bCs/>
        </w:rPr>
        <w:t>‘t</w:t>
      </w:r>
      <w:r w:rsidR="007E629A" w:rsidRPr="00BE0DCA">
        <w:rPr>
          <w:bCs/>
        </w:rPr>
        <w:t>hose associated with developing, sharing and testing one’s understanding of the decision problem and the sys</w:t>
      </w:r>
      <w:r w:rsidRPr="00BE0DCA">
        <w:rPr>
          <w:bCs/>
        </w:rPr>
        <w:t>t</w:t>
      </w:r>
      <w:r w:rsidR="00F5011E">
        <w:rPr>
          <w:bCs/>
        </w:rPr>
        <w:t xml:space="preserve">em in which it exist’ whereas </w:t>
      </w:r>
      <w:r w:rsidRPr="00BE0DCA">
        <w:rPr>
          <w:bCs/>
        </w:rPr>
        <w:t>desig</w:t>
      </w:r>
      <w:r w:rsidR="00F5011E">
        <w:rPr>
          <w:bCs/>
        </w:rPr>
        <w:t>n-oriented</w:t>
      </w:r>
      <w:r w:rsidRPr="00BE0DCA">
        <w:rPr>
          <w:bCs/>
        </w:rPr>
        <w:t xml:space="preserve">  models are  ‘t</w:t>
      </w:r>
      <w:r w:rsidR="007E629A" w:rsidRPr="00BE0DCA">
        <w:rPr>
          <w:bCs/>
        </w:rPr>
        <w:t xml:space="preserve">hose associated with designing, specifying </w:t>
      </w:r>
      <w:r w:rsidRPr="00BE0DCA">
        <w:rPr>
          <w:bCs/>
        </w:rPr>
        <w:t xml:space="preserve">and </w:t>
      </w:r>
      <w:r w:rsidR="007E629A" w:rsidRPr="00BE0DCA">
        <w:rPr>
          <w:bCs/>
        </w:rPr>
        <w:t xml:space="preserve"> justifying the model and its structure</w:t>
      </w:r>
      <w:r w:rsidRPr="00BE0DCA">
        <w:rPr>
          <w:bCs/>
        </w:rPr>
        <w:t>’.</w:t>
      </w:r>
      <w:r w:rsidR="007C3144" w:rsidRPr="00BE0DCA">
        <w:rPr>
          <w:bCs/>
        </w:rPr>
        <w:t xml:space="preserve"> Although distinct, both types of model are useful to the development of </w:t>
      </w:r>
      <w:r w:rsidR="00166ED7">
        <w:rPr>
          <w:bCs/>
        </w:rPr>
        <w:t xml:space="preserve">the decision-analytic </w:t>
      </w:r>
      <w:r w:rsidR="007C3144" w:rsidRPr="00BE0DCA">
        <w:rPr>
          <w:bCs/>
        </w:rPr>
        <w:t xml:space="preserve">model.  </w:t>
      </w:r>
    </w:p>
    <w:p w:rsidR="007A352F" w:rsidRPr="009C68F7" w:rsidRDefault="007C3144" w:rsidP="009C68F7">
      <w:pPr>
        <w:spacing w:line="360" w:lineRule="auto"/>
        <w:jc w:val="both"/>
        <w:rPr>
          <w:bCs/>
        </w:rPr>
      </w:pPr>
      <w:r w:rsidRPr="009C68F7">
        <w:rPr>
          <w:bCs/>
        </w:rPr>
        <w:t xml:space="preserve">For illustrative purposes we provide an example of </w:t>
      </w:r>
      <w:r w:rsidR="00BC379A" w:rsidRPr="009C68F7">
        <w:rPr>
          <w:bCs/>
        </w:rPr>
        <w:t>a</w:t>
      </w:r>
      <w:r w:rsidR="00EA10AF" w:rsidRPr="009C68F7">
        <w:rPr>
          <w:bCs/>
        </w:rPr>
        <w:t xml:space="preserve"> typical problem-</w:t>
      </w:r>
      <w:r w:rsidRPr="009C68F7">
        <w:rPr>
          <w:bCs/>
        </w:rPr>
        <w:t>oriented model</w:t>
      </w:r>
      <w:r w:rsidR="00EA10AF" w:rsidRPr="009C68F7">
        <w:rPr>
          <w:bCs/>
        </w:rPr>
        <w:t xml:space="preserve"> focussing on the disease process</w:t>
      </w:r>
      <w:r w:rsidR="00816CCB">
        <w:rPr>
          <w:bCs/>
        </w:rPr>
        <w:t xml:space="preserve"> (F</w:t>
      </w:r>
      <w:r w:rsidR="00BC379A" w:rsidRPr="009C68F7">
        <w:rPr>
          <w:bCs/>
        </w:rPr>
        <w:t xml:space="preserve">igure 1). Note that this model is the typical model based on the idea of existing guidance and the premise that TIA is ‘an early warning signal for stroke’ (and nothing else). It may be desirable to include things such as stroke recurrence and recovery, but the diagram nevertheless illustrates the major clinical events which are the </w:t>
      </w:r>
      <w:proofErr w:type="spellStart"/>
      <w:r w:rsidR="00BC379A" w:rsidRPr="009C68F7">
        <w:rPr>
          <w:bCs/>
        </w:rPr>
        <w:t>sequelae</w:t>
      </w:r>
      <w:proofErr w:type="spellEnd"/>
      <w:r w:rsidR="00BC379A" w:rsidRPr="009C68F7">
        <w:rPr>
          <w:bCs/>
        </w:rPr>
        <w:t xml:space="preserve"> of </w:t>
      </w:r>
      <w:r w:rsidR="00EB3298">
        <w:rPr>
          <w:bCs/>
        </w:rPr>
        <w:t xml:space="preserve">a </w:t>
      </w:r>
      <w:r w:rsidR="00BC379A" w:rsidRPr="009C68F7">
        <w:rPr>
          <w:bCs/>
        </w:rPr>
        <w:t>confirmed TIA.</w:t>
      </w:r>
    </w:p>
    <w:p w:rsidR="00FF42C0" w:rsidRPr="003E4787" w:rsidRDefault="001D4A6C" w:rsidP="003E4787">
      <w:pPr>
        <w:pStyle w:val="ListParagraph"/>
        <w:spacing w:line="360" w:lineRule="auto"/>
        <w:jc w:val="both"/>
        <w:rPr>
          <w:bCs/>
        </w:rPr>
      </w:pPr>
      <w:r>
        <w:rPr>
          <w:bCs/>
          <w:noProof/>
          <w:lang w:eastAsia="en-GB"/>
        </w:rPr>
        <w:drawing>
          <wp:inline distT="0" distB="0" distL="0" distR="0" wp14:anchorId="54F729DB" wp14:editId="290DA5AE">
            <wp:extent cx="5724525" cy="2676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2676525"/>
                    </a:xfrm>
                    <a:prstGeom prst="rect">
                      <a:avLst/>
                    </a:prstGeom>
                    <a:noFill/>
                    <a:ln>
                      <a:noFill/>
                    </a:ln>
                  </pic:spPr>
                </pic:pic>
              </a:graphicData>
            </a:graphic>
          </wp:inline>
        </w:drawing>
      </w:r>
      <w:r w:rsidR="009C68F7">
        <w:rPr>
          <w:b/>
          <w:bCs/>
        </w:rPr>
        <w:t>Figure 1: Typical disease process</w:t>
      </w:r>
      <w:r w:rsidR="00FF42C0" w:rsidRPr="003E4787">
        <w:rPr>
          <w:b/>
          <w:bCs/>
        </w:rPr>
        <w:t xml:space="preserve"> model in TIA</w:t>
      </w:r>
    </w:p>
    <w:p w:rsidR="00FF42C0" w:rsidRDefault="00FF42C0" w:rsidP="000D4088">
      <w:pPr>
        <w:pStyle w:val="ListParagraph"/>
        <w:spacing w:line="360" w:lineRule="auto"/>
        <w:jc w:val="both"/>
        <w:rPr>
          <w:bCs/>
        </w:rPr>
      </w:pPr>
    </w:p>
    <w:p w:rsidR="00295E06" w:rsidRPr="00295E06" w:rsidRDefault="00295E06" w:rsidP="00295E06">
      <w:pPr>
        <w:pStyle w:val="ListParagraph"/>
        <w:spacing w:line="360" w:lineRule="auto"/>
        <w:jc w:val="both"/>
        <w:rPr>
          <w:bCs/>
        </w:rPr>
      </w:pPr>
      <w:r>
        <w:rPr>
          <w:bCs/>
        </w:rPr>
        <w:t>Note that F</w:t>
      </w:r>
      <w:r w:rsidR="00166ED7" w:rsidRPr="00FD170B">
        <w:rPr>
          <w:bCs/>
        </w:rPr>
        <w:t>igure 1 documents the patients experience in terms of clinical events</w:t>
      </w:r>
      <w:r w:rsidR="00FD170B">
        <w:rPr>
          <w:bCs/>
        </w:rPr>
        <w:t>. This particular model makes the abstraction that the only relevant clinical events are stroke and death. In reality, there may be other relevant clinical events – perhaps too many to reasonably consider in</w:t>
      </w:r>
      <w:r w:rsidR="002214E1">
        <w:rPr>
          <w:bCs/>
        </w:rPr>
        <w:t xml:space="preserve"> </w:t>
      </w:r>
      <w:r w:rsidR="004A6C9B">
        <w:rPr>
          <w:bCs/>
        </w:rPr>
        <w:t xml:space="preserve">a stylized illustration </w:t>
      </w:r>
      <w:r w:rsidR="002214E1">
        <w:rPr>
          <w:bCs/>
        </w:rPr>
        <w:t>of the</w:t>
      </w:r>
      <w:r w:rsidR="00FD170B">
        <w:rPr>
          <w:bCs/>
        </w:rPr>
        <w:t xml:space="preserve"> pro</w:t>
      </w:r>
      <w:r w:rsidR="004A6C9B">
        <w:rPr>
          <w:bCs/>
        </w:rPr>
        <w:t>blem-oriented model!</w:t>
      </w:r>
      <w:r w:rsidR="000D4088">
        <w:rPr>
          <w:bCs/>
        </w:rPr>
        <w:t xml:space="preserve"> However, it seems that it would make sense to ask experts for input on whether they think the current disease</w:t>
      </w:r>
      <w:r w:rsidR="00EA10AF">
        <w:rPr>
          <w:bCs/>
        </w:rPr>
        <w:t xml:space="preserve"> focus of the</w:t>
      </w:r>
      <w:r w:rsidR="000D4088">
        <w:rPr>
          <w:bCs/>
        </w:rPr>
        <w:t xml:space="preserve"> model is a credible model for </w:t>
      </w:r>
      <w:r w:rsidR="000D4088" w:rsidRPr="002214E1">
        <w:rPr>
          <w:bCs/>
          <w:i/>
        </w:rPr>
        <w:t xml:space="preserve">all </w:t>
      </w:r>
      <w:r w:rsidR="002214E1" w:rsidRPr="002214E1">
        <w:rPr>
          <w:bCs/>
          <w:i/>
        </w:rPr>
        <w:t xml:space="preserve">kinds of </w:t>
      </w:r>
      <w:r w:rsidR="000D4088" w:rsidRPr="002214E1">
        <w:rPr>
          <w:bCs/>
          <w:i/>
        </w:rPr>
        <w:t>transient neurological symptoms.</w:t>
      </w:r>
      <w:r w:rsidR="004A6C9B">
        <w:rPr>
          <w:bCs/>
          <w:i/>
        </w:rPr>
        <w:t xml:space="preserve"> </w:t>
      </w:r>
      <w:r w:rsidR="004A6C9B" w:rsidRPr="004A6C9B">
        <w:rPr>
          <w:bCs/>
        </w:rPr>
        <w:t xml:space="preserve">At the very least, it may be possible to expand the current disease-pathway model to include clinical events that are considerably higher in suspected TIA populations than a reference group population (controlling of course for age and sex). </w:t>
      </w:r>
      <w:r w:rsidR="004A6C9B">
        <w:rPr>
          <w:bCs/>
        </w:rPr>
        <w:t xml:space="preserve">Our next step is therefore to engage with experts to identify other relevant events. To this end, we have </w:t>
      </w:r>
      <w:r w:rsidR="004A6C9B">
        <w:rPr>
          <w:bCs/>
        </w:rPr>
        <w:lastRenderedPageBreak/>
        <w:t>brainstormed some questions that would help us with the data requirements of a decision-analytic model</w:t>
      </w:r>
      <w:r>
        <w:rPr>
          <w:bCs/>
        </w:rPr>
        <w:t xml:space="preserve">. </w:t>
      </w:r>
      <w:r w:rsidR="004A6C9B" w:rsidRPr="00295E06">
        <w:rPr>
          <w:bCs/>
        </w:rPr>
        <w:t xml:space="preserve">But, before we do this, we </w:t>
      </w:r>
      <w:r w:rsidRPr="00295E06">
        <w:rPr>
          <w:bCs/>
        </w:rPr>
        <w:t>consi</w:t>
      </w:r>
      <w:r w:rsidR="00431AAC">
        <w:rPr>
          <w:bCs/>
        </w:rPr>
        <w:t xml:space="preserve">der another approach to problem </w:t>
      </w:r>
      <w:r w:rsidRPr="00295E06">
        <w:rPr>
          <w:bCs/>
        </w:rPr>
        <w:t>structuring in HTA via a service pathway model.</w:t>
      </w:r>
    </w:p>
    <w:p w:rsidR="00EA10AF" w:rsidRDefault="00EA10AF" w:rsidP="000D4088">
      <w:pPr>
        <w:pStyle w:val="ListParagraph"/>
        <w:spacing w:line="360" w:lineRule="auto"/>
        <w:jc w:val="both"/>
        <w:rPr>
          <w:bCs/>
        </w:rPr>
      </w:pPr>
    </w:p>
    <w:p w:rsidR="002214E1" w:rsidRDefault="00965B6C" w:rsidP="00B95487">
      <w:pPr>
        <w:pStyle w:val="ListParagraph"/>
        <w:spacing w:line="360" w:lineRule="auto"/>
        <w:jc w:val="both"/>
        <w:rPr>
          <w:bCs/>
        </w:rPr>
      </w:pPr>
      <w:r>
        <w:rPr>
          <w:bCs/>
        </w:rPr>
        <w:t>A distinct but complementary</w:t>
      </w:r>
      <w:r w:rsidR="00EA10AF">
        <w:rPr>
          <w:bCs/>
        </w:rPr>
        <w:t xml:space="preserve"> approach </w:t>
      </w:r>
      <w:r>
        <w:rPr>
          <w:bCs/>
        </w:rPr>
        <w:t>followin</w:t>
      </w:r>
      <w:r w:rsidR="00431AAC">
        <w:rPr>
          <w:bCs/>
        </w:rPr>
        <w:t xml:space="preserve">g identification of the disease </w:t>
      </w:r>
      <w:r>
        <w:rPr>
          <w:bCs/>
        </w:rPr>
        <w:t>proce</w:t>
      </w:r>
      <w:r w:rsidR="00113E06">
        <w:rPr>
          <w:bCs/>
        </w:rPr>
        <w:t xml:space="preserve">ss model is that of the service </w:t>
      </w:r>
      <w:r w:rsidR="00431AAC">
        <w:rPr>
          <w:bCs/>
        </w:rPr>
        <w:t xml:space="preserve">pathway model. If the disease </w:t>
      </w:r>
      <w:r>
        <w:rPr>
          <w:bCs/>
        </w:rPr>
        <w:t>process</w:t>
      </w:r>
      <w:r w:rsidR="00EB3298">
        <w:rPr>
          <w:bCs/>
        </w:rPr>
        <w:t xml:space="preserve"> model</w:t>
      </w:r>
      <w:r>
        <w:rPr>
          <w:bCs/>
        </w:rPr>
        <w:t xml:space="preserve"> isolates the relevant clinical events of the </w:t>
      </w:r>
      <w:r w:rsidR="00431AAC">
        <w:rPr>
          <w:bCs/>
        </w:rPr>
        <w:t xml:space="preserve">individual patient, the service </w:t>
      </w:r>
      <w:r>
        <w:rPr>
          <w:bCs/>
        </w:rPr>
        <w:t>pathway model provides the pathway of how that patient is managed by the health system.</w:t>
      </w:r>
      <w:r w:rsidR="00B95487">
        <w:rPr>
          <w:bCs/>
        </w:rPr>
        <w:t xml:space="preserve"> An example of the service pathway model used in TIA is provided by NICE pathways (NICE</w:t>
      </w:r>
      <w:r w:rsidR="00113E06">
        <w:rPr>
          <w:bCs/>
        </w:rPr>
        <w:t xml:space="preserve"> pathways [online], 2014</w:t>
      </w:r>
      <w:r w:rsidR="00EB3298">
        <w:rPr>
          <w:bCs/>
        </w:rPr>
        <w:t xml:space="preserve">). </w:t>
      </w:r>
      <w:r w:rsidR="00B95487">
        <w:rPr>
          <w:bCs/>
        </w:rPr>
        <w:t>An abridged version of this is presented in Figure 2.</w:t>
      </w:r>
      <w:r w:rsidRPr="00B95487">
        <w:rPr>
          <w:bCs/>
        </w:rPr>
        <w:t xml:space="preserve"> </w:t>
      </w:r>
      <w:r w:rsidR="00B95487" w:rsidRPr="00B95487">
        <w:rPr>
          <w:bCs/>
        </w:rPr>
        <w:t xml:space="preserve">One feature of </w:t>
      </w:r>
      <w:r w:rsidR="002E7098">
        <w:rPr>
          <w:bCs/>
        </w:rPr>
        <w:t>service pathway</w:t>
      </w:r>
      <w:r w:rsidR="00EB3298">
        <w:rPr>
          <w:bCs/>
        </w:rPr>
        <w:t xml:space="preserve"> models and discussed in the DSU guidance </w:t>
      </w:r>
      <w:r w:rsidR="00B95487" w:rsidRPr="00B95487">
        <w:rPr>
          <w:bCs/>
        </w:rPr>
        <w:t>is that they can be useful in enabling identification of the resources used to provide services to suspected TIA patients</w:t>
      </w:r>
      <w:r w:rsidRPr="00B95487">
        <w:rPr>
          <w:bCs/>
        </w:rPr>
        <w:t xml:space="preserve">. However, </w:t>
      </w:r>
      <w:r w:rsidR="00B95487" w:rsidRPr="00B95487">
        <w:rPr>
          <w:bCs/>
        </w:rPr>
        <w:t>i</w:t>
      </w:r>
      <w:r w:rsidRPr="00B95487">
        <w:rPr>
          <w:bCs/>
        </w:rPr>
        <w:t>mplications in terms of</w:t>
      </w:r>
      <w:r w:rsidR="00B95487" w:rsidRPr="00B95487">
        <w:rPr>
          <w:bCs/>
        </w:rPr>
        <w:t xml:space="preserve"> costs and consequences</w:t>
      </w:r>
      <w:r w:rsidRPr="00B95487">
        <w:rPr>
          <w:bCs/>
        </w:rPr>
        <w:t xml:space="preserve"> </w:t>
      </w:r>
      <w:r w:rsidR="00B95487" w:rsidRPr="00B95487">
        <w:rPr>
          <w:bCs/>
        </w:rPr>
        <w:t xml:space="preserve">(outputs of the decision-analytic model) </w:t>
      </w:r>
      <w:r w:rsidRPr="00B95487">
        <w:rPr>
          <w:bCs/>
        </w:rPr>
        <w:t>will be a combination</w:t>
      </w:r>
      <w:r w:rsidR="00431AAC">
        <w:rPr>
          <w:bCs/>
        </w:rPr>
        <w:t xml:space="preserve"> of both disease process and service </w:t>
      </w:r>
      <w:r w:rsidR="00B95487" w:rsidRPr="00B95487">
        <w:rPr>
          <w:bCs/>
        </w:rPr>
        <w:t>pathways: these call on the development of a design-oriented conceptual model.</w:t>
      </w:r>
      <w:r w:rsidR="002214E1">
        <w:rPr>
          <w:bCs/>
        </w:rPr>
        <w:t xml:space="preserve"> </w:t>
      </w:r>
    </w:p>
    <w:p w:rsidR="00FF42C0" w:rsidRDefault="00FF42C0" w:rsidP="00CC69F3">
      <w:pPr>
        <w:pStyle w:val="ListParagraph"/>
        <w:spacing w:line="360" w:lineRule="auto"/>
        <w:jc w:val="both"/>
        <w:rPr>
          <w:b/>
          <w:bCs/>
        </w:rPr>
      </w:pPr>
      <w:r>
        <w:rPr>
          <w:b/>
          <w:bCs/>
          <w:noProof/>
          <w:lang w:eastAsia="en-GB"/>
        </w:rPr>
        <w:drawing>
          <wp:inline distT="0" distB="0" distL="0" distR="0" wp14:anchorId="0B99C600" wp14:editId="254DB3E9">
            <wp:extent cx="5724525" cy="2009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2009775"/>
                    </a:xfrm>
                    <a:prstGeom prst="rect">
                      <a:avLst/>
                    </a:prstGeom>
                    <a:noFill/>
                    <a:ln>
                      <a:noFill/>
                    </a:ln>
                  </pic:spPr>
                </pic:pic>
              </a:graphicData>
            </a:graphic>
          </wp:inline>
        </w:drawing>
      </w:r>
    </w:p>
    <w:p w:rsidR="00CF6A91" w:rsidRDefault="00BD0066" w:rsidP="000A7202">
      <w:pPr>
        <w:pStyle w:val="ListParagraph"/>
        <w:spacing w:line="360" w:lineRule="auto"/>
        <w:jc w:val="both"/>
        <w:rPr>
          <w:b/>
          <w:bCs/>
        </w:rPr>
      </w:pPr>
      <w:r w:rsidRPr="00166ED7">
        <w:rPr>
          <w:b/>
          <w:bCs/>
        </w:rPr>
        <w:t xml:space="preserve">Figure 2: Typical </w:t>
      </w:r>
      <w:r w:rsidR="00166ED7">
        <w:rPr>
          <w:b/>
          <w:bCs/>
        </w:rPr>
        <w:t>service pathway</w:t>
      </w:r>
      <w:r w:rsidR="009C68F7">
        <w:rPr>
          <w:b/>
          <w:bCs/>
        </w:rPr>
        <w:t xml:space="preserve"> </w:t>
      </w:r>
      <w:r w:rsidRPr="00166ED7">
        <w:rPr>
          <w:b/>
          <w:bCs/>
        </w:rPr>
        <w:t>model in TIA/Stroke</w:t>
      </w:r>
      <w:r w:rsidR="002214E1">
        <w:rPr>
          <w:b/>
          <w:bCs/>
        </w:rPr>
        <w:t xml:space="preserve"> (</w:t>
      </w:r>
      <w:r w:rsidR="007F2FB5">
        <w:rPr>
          <w:b/>
          <w:bCs/>
        </w:rPr>
        <w:t>stylised</w:t>
      </w:r>
      <w:r w:rsidR="009C68F7">
        <w:rPr>
          <w:b/>
          <w:bCs/>
        </w:rPr>
        <w:t xml:space="preserve"> version of </w:t>
      </w:r>
      <w:r w:rsidR="002214E1">
        <w:rPr>
          <w:b/>
          <w:bCs/>
        </w:rPr>
        <w:t>NHS pathways)</w:t>
      </w:r>
    </w:p>
    <w:p w:rsidR="000A7202" w:rsidRPr="000A7202" w:rsidRDefault="000A7202" w:rsidP="000A7202">
      <w:pPr>
        <w:pStyle w:val="ListParagraph"/>
        <w:spacing w:line="360" w:lineRule="auto"/>
        <w:ind w:left="0"/>
        <w:jc w:val="both"/>
        <w:rPr>
          <w:b/>
          <w:bCs/>
        </w:rPr>
      </w:pPr>
    </w:p>
    <w:p w:rsidR="00CF6A91" w:rsidRPr="000A7202" w:rsidRDefault="000A7202" w:rsidP="000A7202">
      <w:pPr>
        <w:spacing w:line="360" w:lineRule="auto"/>
        <w:jc w:val="both"/>
        <w:rPr>
          <w:bCs/>
        </w:rPr>
      </w:pPr>
      <w:r w:rsidRPr="000A7202">
        <w:rPr>
          <w:bCs/>
        </w:rPr>
        <w:t>Work in progress of a more design-orientated nature</w:t>
      </w:r>
      <w:r w:rsidR="00CF6A91" w:rsidRPr="000A7202">
        <w:rPr>
          <w:bCs/>
        </w:rPr>
        <w:t xml:space="preserve"> by consider</w:t>
      </w:r>
      <w:r w:rsidRPr="000A7202">
        <w:rPr>
          <w:bCs/>
        </w:rPr>
        <w:t>s</w:t>
      </w:r>
      <w:r w:rsidR="00CF6A91" w:rsidRPr="000A7202">
        <w:rPr>
          <w:bCs/>
        </w:rPr>
        <w:t xml:space="preserve"> the likely evidence </w:t>
      </w:r>
      <w:r w:rsidR="00431AAC">
        <w:rPr>
          <w:bCs/>
        </w:rPr>
        <w:t>requirements of the implemented</w:t>
      </w:r>
      <w:r w:rsidR="00557A6B" w:rsidRPr="000A7202">
        <w:rPr>
          <w:bCs/>
        </w:rPr>
        <w:t xml:space="preserve"> </w:t>
      </w:r>
      <w:r w:rsidR="00CF6A91" w:rsidRPr="000A7202">
        <w:rPr>
          <w:bCs/>
        </w:rPr>
        <w:t>‘hard’ model. Before we do this however, we consider whether it is possible to use a</w:t>
      </w:r>
      <w:r w:rsidR="005C24EF" w:rsidRPr="000A7202">
        <w:rPr>
          <w:bCs/>
        </w:rPr>
        <w:t xml:space="preserve"> </w:t>
      </w:r>
      <w:r w:rsidR="007F2FB5" w:rsidRPr="000A7202">
        <w:rPr>
          <w:bCs/>
        </w:rPr>
        <w:t>simple</w:t>
      </w:r>
      <w:r w:rsidR="00CF6A91" w:rsidRPr="000A7202">
        <w:rPr>
          <w:bCs/>
        </w:rPr>
        <w:t xml:space="preserve"> thought experiment to refine down model options. </w:t>
      </w:r>
    </w:p>
    <w:p w:rsidR="00BC3AB0" w:rsidRDefault="00BC3AB0" w:rsidP="00CF6A91">
      <w:pPr>
        <w:pStyle w:val="ListParagraph"/>
        <w:spacing w:line="360" w:lineRule="auto"/>
        <w:jc w:val="both"/>
        <w:rPr>
          <w:bCs/>
        </w:rPr>
      </w:pPr>
    </w:p>
    <w:p w:rsidR="00431AAC" w:rsidRDefault="00BC3AB0" w:rsidP="00C1248C">
      <w:pPr>
        <w:spacing w:line="360" w:lineRule="auto"/>
        <w:jc w:val="both"/>
        <w:rPr>
          <w:bCs/>
        </w:rPr>
      </w:pPr>
      <w:r>
        <w:rPr>
          <w:bCs/>
        </w:rPr>
        <w:t>The thought experiment goes like this. Imagine that all TIA mimics are benign</w:t>
      </w:r>
      <w:r w:rsidR="005C24EF">
        <w:rPr>
          <w:bCs/>
        </w:rPr>
        <w:t xml:space="preserve"> (</w:t>
      </w:r>
      <w:r w:rsidR="00431AAC">
        <w:rPr>
          <w:bCs/>
        </w:rPr>
        <w:t xml:space="preserve">let’s assume they </w:t>
      </w:r>
      <w:r w:rsidR="005C24EF">
        <w:rPr>
          <w:bCs/>
        </w:rPr>
        <w:t>have a benign diagnosis and prognosis)</w:t>
      </w:r>
      <w:r w:rsidR="00187524">
        <w:rPr>
          <w:bCs/>
        </w:rPr>
        <w:t>. Does it matter</w:t>
      </w:r>
      <w:r>
        <w:rPr>
          <w:bCs/>
        </w:rPr>
        <w:t xml:space="preserve"> if these patients are discharged from clinic? Consider the effect on health outcomes and </w:t>
      </w:r>
      <w:r w:rsidR="007F2FB5">
        <w:rPr>
          <w:bCs/>
        </w:rPr>
        <w:t>costs. What</w:t>
      </w:r>
      <w:r w:rsidR="005C24EF">
        <w:rPr>
          <w:bCs/>
        </w:rPr>
        <w:t xml:space="preserve"> conclusion do you come to? </w:t>
      </w:r>
    </w:p>
    <w:p w:rsidR="005C24EF" w:rsidRDefault="005C24EF" w:rsidP="00C1248C">
      <w:pPr>
        <w:spacing w:line="360" w:lineRule="auto"/>
        <w:jc w:val="both"/>
        <w:rPr>
          <w:bCs/>
        </w:rPr>
      </w:pPr>
      <w:r>
        <w:rPr>
          <w:bCs/>
        </w:rPr>
        <w:lastRenderedPageBreak/>
        <w:t>Intuition would suggest that patients who are fairly well will not be harmed by a referral to TIA clinic, but there is an opportunity cost in terms of the resources used in the TIA clinic appointment as a consequence of the misdiagnosis.</w:t>
      </w:r>
    </w:p>
    <w:p w:rsidR="008D675A" w:rsidRDefault="00BE3012" w:rsidP="00C1248C">
      <w:pPr>
        <w:spacing w:line="360" w:lineRule="auto"/>
        <w:jc w:val="both"/>
        <w:rPr>
          <w:bCs/>
        </w:rPr>
      </w:pPr>
      <w:r>
        <w:rPr>
          <w:bCs/>
        </w:rPr>
        <w:t>Now repeat the exercise</w:t>
      </w:r>
      <w:r w:rsidR="005C24EF">
        <w:rPr>
          <w:bCs/>
        </w:rPr>
        <w:t xml:space="preserve"> for TIA mimics who are seriously ill</w:t>
      </w:r>
      <w:r w:rsidR="008D675A">
        <w:rPr>
          <w:bCs/>
        </w:rPr>
        <w:t xml:space="preserve"> but </w:t>
      </w:r>
      <w:r>
        <w:rPr>
          <w:bCs/>
        </w:rPr>
        <w:t xml:space="preserve">consider </w:t>
      </w:r>
      <w:r w:rsidR="008D675A">
        <w:rPr>
          <w:bCs/>
        </w:rPr>
        <w:t>there is no available treatment for this condition</w:t>
      </w:r>
      <w:r w:rsidR="005C24EF">
        <w:rPr>
          <w:bCs/>
        </w:rPr>
        <w:t>.  I</w:t>
      </w:r>
      <w:r w:rsidR="00431AAC">
        <w:rPr>
          <w:bCs/>
        </w:rPr>
        <w:t>n this case, logic again suggests an earlier diagnosis will not correspond to a</w:t>
      </w:r>
      <w:r>
        <w:rPr>
          <w:bCs/>
        </w:rPr>
        <w:t>n</w:t>
      </w:r>
      <w:r w:rsidR="00431AAC">
        <w:rPr>
          <w:bCs/>
        </w:rPr>
        <w:t xml:space="preserve"> </w:t>
      </w:r>
      <w:r w:rsidR="00EC777A">
        <w:rPr>
          <w:bCs/>
        </w:rPr>
        <w:t xml:space="preserve">improvement </w:t>
      </w:r>
      <w:r w:rsidR="00431AAC">
        <w:rPr>
          <w:bCs/>
        </w:rPr>
        <w:t xml:space="preserve">in </w:t>
      </w:r>
      <w:r w:rsidR="005C24EF">
        <w:rPr>
          <w:bCs/>
        </w:rPr>
        <w:t>health outcome</w:t>
      </w:r>
      <w:r>
        <w:rPr>
          <w:bCs/>
        </w:rPr>
        <w:t>.</w:t>
      </w:r>
      <w:r w:rsidR="00EC777A">
        <w:rPr>
          <w:bCs/>
        </w:rPr>
        <w:t xml:space="preserve"> </w:t>
      </w:r>
      <w:r>
        <w:rPr>
          <w:bCs/>
        </w:rPr>
        <w:t xml:space="preserve">Again there are the </w:t>
      </w:r>
      <w:r w:rsidR="00EC777A">
        <w:rPr>
          <w:bCs/>
        </w:rPr>
        <w:t xml:space="preserve">opportunity costs </w:t>
      </w:r>
      <w:r>
        <w:rPr>
          <w:bCs/>
        </w:rPr>
        <w:t>associated with competing resource use</w:t>
      </w:r>
      <w:r w:rsidR="00EC777A">
        <w:rPr>
          <w:bCs/>
        </w:rPr>
        <w:t>.</w:t>
      </w:r>
    </w:p>
    <w:p w:rsidR="00BC3AB0" w:rsidRPr="00BC3AB0" w:rsidRDefault="008D675A" w:rsidP="00C1248C">
      <w:pPr>
        <w:spacing w:line="360" w:lineRule="auto"/>
        <w:jc w:val="both"/>
        <w:rPr>
          <w:bCs/>
        </w:rPr>
      </w:pPr>
      <w:r>
        <w:rPr>
          <w:bCs/>
        </w:rPr>
        <w:t>In both scenarios so far the rationale for service redesign is non-compelling. There may be some r</w:t>
      </w:r>
      <w:r w:rsidR="00BE3012">
        <w:rPr>
          <w:bCs/>
        </w:rPr>
        <w:t>esource implications relating to</w:t>
      </w:r>
      <w:r>
        <w:rPr>
          <w:bCs/>
        </w:rPr>
        <w:t xml:space="preserve"> earlier diagnosis, but in both cases</w:t>
      </w:r>
      <w:r w:rsidR="002E7098">
        <w:rPr>
          <w:bCs/>
        </w:rPr>
        <w:t xml:space="preserve"> there are not substantial health gains</w:t>
      </w:r>
      <w:r>
        <w:rPr>
          <w:bCs/>
        </w:rPr>
        <w:t>.</w:t>
      </w:r>
      <w:r w:rsidR="002903BC">
        <w:rPr>
          <w:rStyle w:val="FootnoteReference"/>
          <w:bCs/>
        </w:rPr>
        <w:footnoteReference w:id="3"/>
      </w:r>
      <w:r w:rsidR="002903BC">
        <w:rPr>
          <w:bCs/>
        </w:rPr>
        <w:t xml:space="preserve"> </w:t>
      </w:r>
      <w:r w:rsidR="00EC777A">
        <w:rPr>
          <w:bCs/>
        </w:rPr>
        <w:t>Yet hopefully by now you</w:t>
      </w:r>
      <w:r>
        <w:rPr>
          <w:bCs/>
        </w:rPr>
        <w:t xml:space="preserve"> </w:t>
      </w:r>
      <w:r w:rsidR="00EC777A">
        <w:rPr>
          <w:bCs/>
        </w:rPr>
        <w:t xml:space="preserve">will see </w:t>
      </w:r>
      <w:r>
        <w:rPr>
          <w:bCs/>
        </w:rPr>
        <w:t xml:space="preserve">that there is a scenario where re-design appears to be very valid. If a patient has a serious but treatable condition (and specifically if earlier recognition improves health outcomes), it seems plausible that the additional costs in identification may be offset by the gains in health. </w:t>
      </w:r>
      <w:r w:rsidR="00EC777A">
        <w:rPr>
          <w:bCs/>
        </w:rPr>
        <w:t>In summary then this thought experiment demonstrates that</w:t>
      </w:r>
      <w:r w:rsidR="00676114" w:rsidRPr="00676114">
        <w:rPr>
          <w:bCs/>
        </w:rPr>
        <w:t xml:space="preserve"> the opportunity for effective intervention would appear to be high when there is ambiguity in the initial diagnosis and modifiable risk in the prognosis.</w:t>
      </w:r>
    </w:p>
    <w:p w:rsidR="005269C5" w:rsidRPr="00E07F98" w:rsidRDefault="005269C5" w:rsidP="00E07F98">
      <w:pPr>
        <w:rPr>
          <w:b/>
          <w:bCs/>
        </w:rPr>
      </w:pPr>
    </w:p>
    <w:p w:rsidR="009C68F7" w:rsidRPr="009C68F7" w:rsidRDefault="009C68F7" w:rsidP="009C68F7">
      <w:pPr>
        <w:pStyle w:val="Heading2"/>
        <w:numPr>
          <w:ilvl w:val="0"/>
          <w:numId w:val="9"/>
        </w:numPr>
      </w:pPr>
      <w:r>
        <w:t>Model requirements</w:t>
      </w:r>
    </w:p>
    <w:p w:rsidR="00446D8E" w:rsidRPr="000F35A9" w:rsidRDefault="009B2522" w:rsidP="00944891">
      <w:pPr>
        <w:spacing w:line="360" w:lineRule="auto"/>
        <w:jc w:val="both"/>
        <w:rPr>
          <w:b/>
          <w:bCs/>
        </w:rPr>
      </w:pPr>
      <w:r w:rsidRPr="009C68F7">
        <w:rPr>
          <w:bCs/>
        </w:rPr>
        <w:t xml:space="preserve">We examined the available evidence from </w:t>
      </w:r>
      <w:r w:rsidR="00B236D6" w:rsidRPr="009C68F7">
        <w:rPr>
          <w:bCs/>
        </w:rPr>
        <w:t xml:space="preserve">a </w:t>
      </w:r>
      <w:r w:rsidRPr="009C68F7">
        <w:rPr>
          <w:bCs/>
        </w:rPr>
        <w:t xml:space="preserve">range of sources to inform the development of the </w:t>
      </w:r>
      <w:r w:rsidR="00BE0DCA" w:rsidRPr="009C68F7">
        <w:rPr>
          <w:bCs/>
        </w:rPr>
        <w:t>decis</w:t>
      </w:r>
      <w:r w:rsidR="00166ED7" w:rsidRPr="009C68F7">
        <w:rPr>
          <w:bCs/>
        </w:rPr>
        <w:t>i</w:t>
      </w:r>
      <w:r w:rsidR="00446D8E" w:rsidRPr="009C68F7">
        <w:rPr>
          <w:bCs/>
        </w:rPr>
        <w:t>on-anal</w:t>
      </w:r>
      <w:r w:rsidR="00BE0DCA" w:rsidRPr="009C68F7">
        <w:rPr>
          <w:bCs/>
        </w:rPr>
        <w:t xml:space="preserve">ytic </w:t>
      </w:r>
      <w:r w:rsidRPr="009C68F7">
        <w:rPr>
          <w:bCs/>
        </w:rPr>
        <w:t>model</w:t>
      </w:r>
      <w:r w:rsidR="00187524">
        <w:rPr>
          <w:bCs/>
        </w:rPr>
        <w:t>.</w:t>
      </w:r>
      <w:r w:rsidR="00B236D6" w:rsidRPr="009C68F7">
        <w:rPr>
          <w:bCs/>
        </w:rPr>
        <w:t xml:space="preserve"> Evidence</w:t>
      </w:r>
      <w:r w:rsidR="00FC5556" w:rsidRPr="009C68F7">
        <w:rPr>
          <w:bCs/>
        </w:rPr>
        <w:t xml:space="preserve"> included information from exis</w:t>
      </w:r>
      <w:r w:rsidRPr="009C68F7">
        <w:rPr>
          <w:bCs/>
        </w:rPr>
        <w:t>ting economic evaluations</w:t>
      </w:r>
      <w:r w:rsidR="00B236D6" w:rsidRPr="009C68F7">
        <w:rPr>
          <w:bCs/>
        </w:rPr>
        <w:t>, clinical guidelines and empirical clinical studies</w:t>
      </w:r>
      <w:r w:rsidR="009B3E90" w:rsidRPr="009C68F7">
        <w:rPr>
          <w:bCs/>
        </w:rPr>
        <w:t>, but despite the acknowledgement of false positives</w:t>
      </w:r>
      <w:r w:rsidR="00967299" w:rsidRPr="009C68F7">
        <w:rPr>
          <w:bCs/>
        </w:rPr>
        <w:t xml:space="preserve"> in model descriptions, few models considered TIA patients within their scope</w:t>
      </w:r>
      <w:r w:rsidR="00B236D6" w:rsidRPr="009C68F7">
        <w:rPr>
          <w:bCs/>
        </w:rPr>
        <w:t xml:space="preserve">. </w:t>
      </w:r>
      <w:r w:rsidR="00994B52" w:rsidRPr="009C68F7">
        <w:rPr>
          <w:bCs/>
        </w:rPr>
        <w:t>Work is ongoing to gain input from experts, and to include the views of service users.</w:t>
      </w:r>
      <w:r w:rsidR="00EC777A">
        <w:rPr>
          <w:bCs/>
        </w:rPr>
        <w:t xml:space="preserve"> Our objective</w:t>
      </w:r>
      <w:r w:rsidR="007A352F" w:rsidRPr="009C68F7">
        <w:rPr>
          <w:bCs/>
        </w:rPr>
        <w:t xml:space="preserve"> </w:t>
      </w:r>
      <w:r w:rsidR="009B3E90" w:rsidRPr="009C68F7">
        <w:rPr>
          <w:bCs/>
        </w:rPr>
        <w:t xml:space="preserve">is to identify the relevant </w:t>
      </w:r>
      <w:r w:rsidR="00446D8E" w:rsidRPr="009C68F7">
        <w:rPr>
          <w:bCs/>
        </w:rPr>
        <w:t>clinical events and</w:t>
      </w:r>
      <w:r w:rsidR="007A352F" w:rsidRPr="009C68F7">
        <w:rPr>
          <w:bCs/>
        </w:rPr>
        <w:t xml:space="preserve"> </w:t>
      </w:r>
      <w:r w:rsidR="00446D8E" w:rsidRPr="009C68F7">
        <w:rPr>
          <w:bCs/>
        </w:rPr>
        <w:t xml:space="preserve">(non-formalised) </w:t>
      </w:r>
      <w:r w:rsidR="00BE0DCA" w:rsidRPr="009C68F7">
        <w:rPr>
          <w:bCs/>
        </w:rPr>
        <w:t>service</w:t>
      </w:r>
      <w:r w:rsidR="00EC777A">
        <w:rPr>
          <w:bCs/>
        </w:rPr>
        <w:t xml:space="preserve"> </w:t>
      </w:r>
      <w:r w:rsidR="00057FE8" w:rsidRPr="009C68F7">
        <w:rPr>
          <w:bCs/>
        </w:rPr>
        <w:t>pathway</w:t>
      </w:r>
      <w:r w:rsidR="00EC777A">
        <w:rPr>
          <w:bCs/>
        </w:rPr>
        <w:t xml:space="preserve">s in false </w:t>
      </w:r>
      <w:r w:rsidR="00446D8E" w:rsidRPr="009C68F7">
        <w:rPr>
          <w:bCs/>
        </w:rPr>
        <w:t>positive TIA</w:t>
      </w:r>
      <w:r w:rsidR="009B3E90" w:rsidRPr="009C68F7">
        <w:rPr>
          <w:bCs/>
        </w:rPr>
        <w:t xml:space="preserve"> currently</w:t>
      </w:r>
      <w:r w:rsidR="00DB5D1C">
        <w:rPr>
          <w:bCs/>
        </w:rPr>
        <w:t xml:space="preserve"> (again by application of disease process and service pathway approaches to conceptual modelling)</w:t>
      </w:r>
      <w:r w:rsidR="00057FE8" w:rsidRPr="009C68F7">
        <w:rPr>
          <w:bCs/>
        </w:rPr>
        <w:t>.</w:t>
      </w:r>
      <w:r w:rsidR="007A352F" w:rsidRPr="009C68F7">
        <w:rPr>
          <w:bCs/>
        </w:rPr>
        <w:t xml:space="preserve"> </w:t>
      </w:r>
      <w:r w:rsidR="009B3E90" w:rsidRPr="009C68F7">
        <w:rPr>
          <w:bCs/>
        </w:rPr>
        <w:t xml:space="preserve">In addition to this, we want to develop a steering group of interested experts who have experience of treating and managing TIA patients to identify potential service </w:t>
      </w:r>
      <w:r w:rsidR="007F2FB5" w:rsidRPr="009C68F7">
        <w:rPr>
          <w:bCs/>
        </w:rPr>
        <w:t>improvements.</w:t>
      </w:r>
      <w:r w:rsidR="007F2FB5">
        <w:rPr>
          <w:bCs/>
        </w:rPr>
        <w:t xml:space="preserve"> The</w:t>
      </w:r>
      <w:r w:rsidR="00DB5D1C">
        <w:rPr>
          <w:bCs/>
        </w:rPr>
        <w:t xml:space="preserve"> overarching </w:t>
      </w:r>
      <w:r w:rsidR="00EC777A">
        <w:rPr>
          <w:bCs/>
        </w:rPr>
        <w:t xml:space="preserve">objective is </w:t>
      </w:r>
      <w:r w:rsidR="00DB5D1C">
        <w:rPr>
          <w:bCs/>
        </w:rPr>
        <w:t>to identify the interactions between the disease process</w:t>
      </w:r>
      <w:r w:rsidR="007F2FB5">
        <w:rPr>
          <w:bCs/>
        </w:rPr>
        <w:t>, health</w:t>
      </w:r>
      <w:r w:rsidR="00DB5D1C">
        <w:rPr>
          <w:bCs/>
        </w:rPr>
        <w:t xml:space="preserve"> care resources and doctors-patients </w:t>
      </w:r>
      <w:r w:rsidR="007F2FB5">
        <w:rPr>
          <w:bCs/>
        </w:rPr>
        <w:t>on</w:t>
      </w:r>
      <w:r w:rsidR="007F2FB5" w:rsidRPr="009C68F7">
        <w:rPr>
          <w:bCs/>
        </w:rPr>
        <w:t xml:space="preserve"> health</w:t>
      </w:r>
      <w:r w:rsidR="007A352F" w:rsidRPr="009C68F7">
        <w:rPr>
          <w:bCs/>
        </w:rPr>
        <w:t xml:space="preserve"> outcomes and </w:t>
      </w:r>
      <w:r w:rsidR="00DB5D1C">
        <w:rPr>
          <w:bCs/>
        </w:rPr>
        <w:t>costs.</w:t>
      </w:r>
    </w:p>
    <w:p w:rsidR="00893993" w:rsidRPr="002D6887" w:rsidRDefault="009B2522" w:rsidP="009C68F7">
      <w:pPr>
        <w:spacing w:line="360" w:lineRule="auto"/>
        <w:jc w:val="both"/>
      </w:pPr>
      <w:r>
        <w:t>Literature review of exis</w:t>
      </w:r>
      <w:r w:rsidR="00882A87" w:rsidRPr="00882A87">
        <w:t>ting economic evaluat</w:t>
      </w:r>
      <w:r>
        <w:t>ions and clinical guidelines d</w:t>
      </w:r>
      <w:r w:rsidR="00B12775">
        <w:t>id</w:t>
      </w:r>
      <w:r w:rsidR="00882A87" w:rsidRPr="00882A87">
        <w:t xml:space="preserve"> not identify a </w:t>
      </w:r>
      <w:r w:rsidR="002E7098">
        <w:t>service pathway</w:t>
      </w:r>
      <w:r w:rsidR="00882A87" w:rsidRPr="00882A87">
        <w:t xml:space="preserve"> model which </w:t>
      </w:r>
      <w:r>
        <w:t>fully consider</w:t>
      </w:r>
      <w:r w:rsidR="00B12775">
        <w:t>s</w:t>
      </w:r>
      <w:r w:rsidR="00882A87" w:rsidRPr="00882A87">
        <w:t xml:space="preserve"> the trajectory of false-positive patients wi</w:t>
      </w:r>
      <w:r w:rsidR="006B5A2E">
        <w:t>thin the model boundary (Table 1</w:t>
      </w:r>
      <w:r w:rsidR="00882A87" w:rsidRPr="00882A87">
        <w:t xml:space="preserve">). </w:t>
      </w:r>
      <w:r w:rsidR="002D6887" w:rsidRPr="002D6887">
        <w:t xml:space="preserve">The NICE guidelines model (which now reflects implemented best practice) acknowledges the relevance of false positive TIA but fails to consider the relevance of the patient </w:t>
      </w:r>
      <w:r w:rsidR="002D6887" w:rsidRPr="002D6887">
        <w:lastRenderedPageBreak/>
        <w:t xml:space="preserve">sub-group subsequently </w:t>
      </w:r>
      <w:r w:rsidR="00B12775">
        <w:t xml:space="preserve">at any stage </w:t>
      </w:r>
      <w:r w:rsidR="002D6887" w:rsidRPr="002D6887">
        <w:t>in the structural development of the model.</w:t>
      </w:r>
      <w:r w:rsidR="002D6887">
        <w:t xml:space="preserve"> </w:t>
      </w:r>
      <w:r w:rsidR="00B12775">
        <w:t xml:space="preserve"> This oversight may not be that relevant if TIA mimics</w:t>
      </w:r>
      <w:r w:rsidR="00893993">
        <w:t xml:space="preserve"> did not represent a susceptible</w:t>
      </w:r>
      <w:r w:rsidR="00B12775">
        <w:t xml:space="preserve"> group of </w:t>
      </w:r>
      <w:r w:rsidR="00893993">
        <w:t>patients where intervention might benefit patients (considering our thought experiment again).</w:t>
      </w:r>
      <w:r w:rsidR="00B12775">
        <w:t xml:space="preserve"> However, evidence across two paradigms (clinic and population-based observational studies in TIA prognosis) indicates that patients with TIA mimic have high morbidity. (Cameron</w:t>
      </w:r>
      <w:r w:rsidR="007F2FB5">
        <w:t xml:space="preserve"> et al, 2011</w:t>
      </w:r>
      <w:r w:rsidR="00B12775">
        <w:t>, Bos</w:t>
      </w:r>
      <w:r w:rsidR="007F2FB5">
        <w:t xml:space="preserve"> et al, 2008</w:t>
      </w:r>
      <w:r w:rsidR="00B12775">
        <w:t>).</w:t>
      </w:r>
      <w:r w:rsidR="00893993">
        <w:t xml:space="preserve"> The potential for service re-design would seem ripe in relation to documented cardiac risk, given the existing evidence base relating to ear</w:t>
      </w:r>
      <w:r w:rsidR="00DA1C9B">
        <w:t>ly intervention in cardiac risk</w:t>
      </w:r>
      <w:r w:rsidR="00893993">
        <w:t xml:space="preserve">. </w:t>
      </w:r>
    </w:p>
    <w:p w:rsidR="003E4787" w:rsidRDefault="00B236D6" w:rsidP="009C68F7">
      <w:pPr>
        <w:spacing w:line="360" w:lineRule="auto"/>
        <w:jc w:val="both"/>
      </w:pPr>
      <w:r>
        <w:t xml:space="preserve">The current position is therefore that </w:t>
      </w:r>
      <w:r w:rsidR="00882A87" w:rsidRPr="00882A87">
        <w:t xml:space="preserve">the </w:t>
      </w:r>
      <w:r w:rsidR="00882A87">
        <w:t>implemented</w:t>
      </w:r>
      <w:r w:rsidR="009B2522">
        <w:t xml:space="preserve"> (UK)</w:t>
      </w:r>
      <w:r w:rsidR="00882A87">
        <w:t xml:space="preserve"> </w:t>
      </w:r>
      <w:r w:rsidR="002E7098">
        <w:t>service pathway</w:t>
      </w:r>
      <w:r w:rsidR="00882A87">
        <w:t xml:space="preserve"> model</w:t>
      </w:r>
      <w:r w:rsidR="009B2522">
        <w:t xml:space="preserve"> </w:t>
      </w:r>
      <w:r w:rsidR="00893993">
        <w:t xml:space="preserve">(Figure 2) </w:t>
      </w:r>
      <w:r>
        <w:t>does not consider the efficiency of the service in relation to the total population experiencing TIA symptoms.</w:t>
      </w:r>
      <w:r w:rsidR="00882A87" w:rsidRPr="00882A87">
        <w:t xml:space="preserve"> </w:t>
      </w:r>
      <w:r w:rsidR="003E4787" w:rsidRPr="003E4787">
        <w:t>It therefore seems appropriate to examine the feasibility of a de novo model</w:t>
      </w:r>
      <w:r w:rsidR="00893993">
        <w:t xml:space="preserve"> which augments the existing suspected TIA pathway with some form of cardiac risk assessment</w:t>
      </w:r>
      <w:r w:rsidR="003E4787" w:rsidRPr="003E4787">
        <w:t xml:space="preserve">. </w:t>
      </w:r>
    </w:p>
    <w:p w:rsidR="00C06663" w:rsidRDefault="00C06663" w:rsidP="009C68F7">
      <w:pPr>
        <w:spacing w:line="360" w:lineRule="auto"/>
        <w:jc w:val="both"/>
      </w:pPr>
    </w:p>
    <w:p w:rsidR="00944891" w:rsidRPr="00944891" w:rsidRDefault="00944891" w:rsidP="00944891">
      <w:pPr>
        <w:pStyle w:val="ListParagraph"/>
        <w:keepNext/>
        <w:keepLines/>
        <w:numPr>
          <w:ilvl w:val="0"/>
          <w:numId w:val="9"/>
        </w:numPr>
        <w:spacing w:before="200" w:after="0"/>
        <w:outlineLvl w:val="1"/>
        <w:rPr>
          <w:rFonts w:ascii="Calibri Light" w:eastAsia="SimSun" w:hAnsi="Calibri Light" w:cs="Times New Roman"/>
          <w:b/>
          <w:bCs/>
          <w:color w:val="5B9BD5"/>
          <w:sz w:val="26"/>
          <w:szCs w:val="26"/>
        </w:rPr>
      </w:pPr>
      <w:r w:rsidRPr="00944891">
        <w:rPr>
          <w:rFonts w:ascii="Calibri Light" w:eastAsia="SimSun" w:hAnsi="Calibri Light" w:cs="Times New Roman"/>
          <w:b/>
          <w:bCs/>
          <w:color w:val="5B9BD5"/>
          <w:sz w:val="26"/>
          <w:szCs w:val="26"/>
        </w:rPr>
        <w:t>What is going to be modelled – and how?</w:t>
      </w:r>
    </w:p>
    <w:p w:rsidR="00944891" w:rsidRPr="00944891" w:rsidRDefault="00944891" w:rsidP="00944891">
      <w:pPr>
        <w:spacing w:line="360" w:lineRule="auto"/>
        <w:jc w:val="both"/>
        <w:rPr>
          <w:rFonts w:ascii="Calibri" w:eastAsia="Calibri" w:hAnsi="Calibri" w:cs="Arial"/>
          <w:bCs/>
        </w:rPr>
      </w:pPr>
      <w:r w:rsidRPr="00944891">
        <w:rPr>
          <w:rFonts w:ascii="Calibri" w:eastAsia="Calibri" w:hAnsi="Calibri" w:cs="Arial"/>
          <w:bCs/>
        </w:rPr>
        <w:t>Here we consider the key data considerations and challenges that would be associated with considering cardiac risk in all TNA if we extended the boundary of the modelled system to include it.  In this way we begin to ‘draw together’ the disease- and service- pathway models. Table 2 is a method for exploring both the limits of the system. This includes some consideration of the detail in which we interaction between the mechanisms in the health-care system (doctors-patients, resource and disease processes) are represented.</w:t>
      </w:r>
    </w:p>
    <w:p w:rsidR="00C06663" w:rsidRPr="003E4787" w:rsidRDefault="00C06663" w:rsidP="009C68F7">
      <w:pPr>
        <w:spacing w:line="360" w:lineRule="auto"/>
        <w:jc w:val="both"/>
      </w:pPr>
    </w:p>
    <w:p w:rsidR="002D6887" w:rsidRDefault="002D6887" w:rsidP="002D6887">
      <w:pPr>
        <w:spacing w:line="360" w:lineRule="auto"/>
        <w:jc w:val="both"/>
      </w:pPr>
    </w:p>
    <w:p w:rsidR="00B12775" w:rsidRDefault="00B12775" w:rsidP="002D6887">
      <w:pPr>
        <w:spacing w:line="360" w:lineRule="auto"/>
        <w:jc w:val="both"/>
        <w:sectPr w:rsidR="00B12775" w:rsidSect="00486D23">
          <w:footerReference w:type="default" r:id="rId10"/>
          <w:pgSz w:w="11906" w:h="16838"/>
          <w:pgMar w:top="1440" w:right="1440" w:bottom="1440" w:left="1440" w:header="709" w:footer="709" w:gutter="0"/>
          <w:cols w:space="708"/>
          <w:docGrid w:linePitch="360"/>
        </w:sectPr>
      </w:pPr>
    </w:p>
    <w:p w:rsidR="0096071B" w:rsidRDefault="002B3FC0" w:rsidP="002D6887">
      <w:pPr>
        <w:spacing w:line="360" w:lineRule="auto"/>
        <w:jc w:val="both"/>
        <w:rPr>
          <w:b/>
        </w:rPr>
      </w:pPr>
      <w:r w:rsidRPr="009847CF">
        <w:rPr>
          <w:b/>
        </w:rPr>
        <w:lastRenderedPageBreak/>
        <w:t xml:space="preserve">Table 1: </w:t>
      </w:r>
      <w:r w:rsidR="00B40BFA">
        <w:rPr>
          <w:b/>
        </w:rPr>
        <w:t>Consideration of TIA mimics in</w:t>
      </w:r>
      <w:r w:rsidR="009847CF" w:rsidRPr="009847CF">
        <w:rPr>
          <w:b/>
        </w:rPr>
        <w:t xml:space="preserve"> existing economic evaluations (UK)</w:t>
      </w:r>
    </w:p>
    <w:p w:rsidR="00DD19AF" w:rsidRPr="00DD19AF" w:rsidRDefault="00DD19AF" w:rsidP="002D6887">
      <w:pPr>
        <w:spacing w:line="360" w:lineRule="auto"/>
        <w:jc w:val="both"/>
        <w:rPr>
          <w:bCs/>
        </w:rPr>
      </w:pPr>
      <w:r w:rsidRPr="00DD19AF">
        <w:rPr>
          <w:bCs/>
          <w:highlight w:val="yellow"/>
        </w:rPr>
        <w:t>(Table work in progress</w:t>
      </w:r>
      <w:r w:rsidR="00B40BFA">
        <w:rPr>
          <w:bCs/>
          <w:highlight w:val="yellow"/>
        </w:rPr>
        <w:t xml:space="preserve"> – to include other UK evaluations</w:t>
      </w:r>
      <w:r w:rsidRPr="00DD19AF">
        <w:rPr>
          <w:bCs/>
          <w:highlight w:val="yellow"/>
        </w:rPr>
        <w:t>)</w:t>
      </w:r>
    </w:p>
    <w:tbl>
      <w:tblPr>
        <w:tblStyle w:val="TableGrid"/>
        <w:tblW w:w="0" w:type="auto"/>
        <w:tblInd w:w="720" w:type="dxa"/>
        <w:tblLook w:val="04A0" w:firstRow="1" w:lastRow="0" w:firstColumn="1" w:lastColumn="0" w:noHBand="0" w:noVBand="1"/>
      </w:tblPr>
      <w:tblGrid>
        <w:gridCol w:w="761"/>
        <w:gridCol w:w="1368"/>
        <w:gridCol w:w="1158"/>
        <w:gridCol w:w="882"/>
        <w:gridCol w:w="1185"/>
        <w:gridCol w:w="1214"/>
        <w:gridCol w:w="1076"/>
        <w:gridCol w:w="1227"/>
        <w:gridCol w:w="1370"/>
        <w:gridCol w:w="1519"/>
        <w:gridCol w:w="1694"/>
      </w:tblGrid>
      <w:tr w:rsidR="00B40BFA" w:rsidRPr="001D400C" w:rsidTr="00B40BFA">
        <w:tc>
          <w:tcPr>
            <w:tcW w:w="0" w:type="auto"/>
          </w:tcPr>
          <w:p w:rsidR="00B40BFA" w:rsidRPr="00F472F6" w:rsidRDefault="00B40BFA" w:rsidP="009847CF">
            <w:pPr>
              <w:pStyle w:val="ListParagraph"/>
              <w:ind w:left="0"/>
              <w:jc w:val="both"/>
              <w:rPr>
                <w:b/>
                <w:bCs/>
                <w:sz w:val="20"/>
                <w:szCs w:val="20"/>
              </w:rPr>
            </w:pPr>
            <w:r w:rsidRPr="00F472F6">
              <w:rPr>
                <w:b/>
                <w:bCs/>
                <w:sz w:val="20"/>
                <w:szCs w:val="20"/>
              </w:rPr>
              <w:t>Model</w:t>
            </w:r>
          </w:p>
        </w:tc>
        <w:tc>
          <w:tcPr>
            <w:tcW w:w="0" w:type="auto"/>
          </w:tcPr>
          <w:p w:rsidR="00B40BFA" w:rsidRPr="00F472F6" w:rsidRDefault="00B40BFA" w:rsidP="009847CF">
            <w:pPr>
              <w:pStyle w:val="ListParagraph"/>
              <w:ind w:left="0"/>
              <w:jc w:val="both"/>
              <w:rPr>
                <w:b/>
                <w:bCs/>
                <w:sz w:val="20"/>
                <w:szCs w:val="20"/>
              </w:rPr>
            </w:pPr>
            <w:r w:rsidRPr="00F472F6">
              <w:rPr>
                <w:b/>
                <w:bCs/>
                <w:sz w:val="20"/>
                <w:szCs w:val="20"/>
              </w:rPr>
              <w:t>Question</w:t>
            </w:r>
          </w:p>
        </w:tc>
        <w:tc>
          <w:tcPr>
            <w:tcW w:w="0" w:type="auto"/>
          </w:tcPr>
          <w:p w:rsidR="00B40BFA" w:rsidRPr="00F472F6" w:rsidRDefault="00B40BFA" w:rsidP="009847CF">
            <w:pPr>
              <w:pStyle w:val="ListParagraph"/>
              <w:ind w:left="0"/>
              <w:jc w:val="both"/>
              <w:rPr>
                <w:b/>
                <w:bCs/>
                <w:sz w:val="20"/>
                <w:szCs w:val="20"/>
              </w:rPr>
            </w:pPr>
            <w:r w:rsidRPr="00F472F6">
              <w:rPr>
                <w:b/>
                <w:bCs/>
                <w:sz w:val="20"/>
                <w:szCs w:val="20"/>
              </w:rPr>
              <w:t>Population</w:t>
            </w:r>
          </w:p>
        </w:tc>
        <w:tc>
          <w:tcPr>
            <w:tcW w:w="0" w:type="auto"/>
            <w:gridSpan w:val="6"/>
          </w:tcPr>
          <w:p w:rsidR="00B40BFA" w:rsidRPr="00F472F6" w:rsidRDefault="00B40BFA" w:rsidP="009847CF">
            <w:pPr>
              <w:pStyle w:val="ListParagraph"/>
              <w:ind w:left="0"/>
              <w:jc w:val="both"/>
              <w:rPr>
                <w:b/>
                <w:bCs/>
                <w:sz w:val="20"/>
                <w:szCs w:val="20"/>
              </w:rPr>
            </w:pPr>
            <w:r w:rsidRPr="00F472F6">
              <w:rPr>
                <w:b/>
                <w:bCs/>
                <w:sz w:val="20"/>
                <w:szCs w:val="20"/>
              </w:rPr>
              <w:t>TIA mimics considered at all stages of model development process?</w:t>
            </w:r>
          </w:p>
        </w:tc>
        <w:tc>
          <w:tcPr>
            <w:tcW w:w="0" w:type="auto"/>
            <w:gridSpan w:val="2"/>
          </w:tcPr>
          <w:p w:rsidR="00B40BFA" w:rsidRPr="00F472F6" w:rsidRDefault="00B40BFA" w:rsidP="009847CF">
            <w:pPr>
              <w:pStyle w:val="ListParagraph"/>
              <w:ind w:left="0"/>
              <w:jc w:val="both"/>
              <w:rPr>
                <w:b/>
                <w:bCs/>
                <w:sz w:val="20"/>
                <w:szCs w:val="20"/>
              </w:rPr>
            </w:pPr>
            <w:r>
              <w:rPr>
                <w:b/>
                <w:bCs/>
                <w:sz w:val="20"/>
                <w:szCs w:val="20"/>
              </w:rPr>
              <w:t>Impact of TIA mimics considered within issued guidance?</w:t>
            </w:r>
          </w:p>
        </w:tc>
      </w:tr>
      <w:tr w:rsidR="00B40BFA" w:rsidRPr="001D400C" w:rsidTr="00631AD6">
        <w:tc>
          <w:tcPr>
            <w:tcW w:w="0" w:type="auto"/>
          </w:tcPr>
          <w:p w:rsidR="00F472F6" w:rsidRPr="00F472F6" w:rsidRDefault="00F472F6" w:rsidP="009847CF">
            <w:pPr>
              <w:pStyle w:val="ListParagraph"/>
              <w:ind w:left="0"/>
              <w:jc w:val="both"/>
              <w:rPr>
                <w:b/>
                <w:bCs/>
                <w:sz w:val="20"/>
                <w:szCs w:val="20"/>
              </w:rPr>
            </w:pPr>
          </w:p>
        </w:tc>
        <w:tc>
          <w:tcPr>
            <w:tcW w:w="0" w:type="auto"/>
          </w:tcPr>
          <w:p w:rsidR="00F472F6" w:rsidRPr="00F472F6" w:rsidRDefault="00F472F6" w:rsidP="009847CF">
            <w:pPr>
              <w:pStyle w:val="ListParagraph"/>
              <w:ind w:left="0"/>
              <w:jc w:val="both"/>
              <w:rPr>
                <w:b/>
                <w:bCs/>
                <w:sz w:val="20"/>
                <w:szCs w:val="20"/>
              </w:rPr>
            </w:pPr>
          </w:p>
        </w:tc>
        <w:tc>
          <w:tcPr>
            <w:tcW w:w="0" w:type="auto"/>
          </w:tcPr>
          <w:p w:rsidR="00F472F6" w:rsidRPr="00F472F6" w:rsidRDefault="00F472F6" w:rsidP="009847CF">
            <w:pPr>
              <w:pStyle w:val="ListParagraph"/>
              <w:ind w:left="0"/>
              <w:jc w:val="both"/>
              <w:rPr>
                <w:b/>
                <w:bCs/>
                <w:sz w:val="20"/>
                <w:szCs w:val="20"/>
              </w:rPr>
            </w:pPr>
          </w:p>
        </w:tc>
        <w:tc>
          <w:tcPr>
            <w:tcW w:w="0" w:type="auto"/>
          </w:tcPr>
          <w:p w:rsidR="00F472F6" w:rsidRPr="00F472F6" w:rsidRDefault="00F472F6" w:rsidP="009847CF">
            <w:pPr>
              <w:pStyle w:val="ListParagraph"/>
              <w:ind w:left="0"/>
              <w:jc w:val="both"/>
              <w:rPr>
                <w:b/>
                <w:bCs/>
                <w:sz w:val="20"/>
                <w:szCs w:val="20"/>
              </w:rPr>
            </w:pPr>
            <w:r w:rsidRPr="00F472F6">
              <w:rPr>
                <w:b/>
                <w:bCs/>
                <w:sz w:val="20"/>
                <w:szCs w:val="20"/>
              </w:rPr>
              <w:t>Pre-concept</w:t>
            </w:r>
          </w:p>
        </w:tc>
        <w:tc>
          <w:tcPr>
            <w:tcW w:w="0" w:type="auto"/>
          </w:tcPr>
          <w:p w:rsidR="00F472F6" w:rsidRPr="00F472F6" w:rsidRDefault="00F472F6" w:rsidP="009847CF">
            <w:pPr>
              <w:pStyle w:val="ListParagraph"/>
              <w:ind w:left="0"/>
              <w:jc w:val="both"/>
              <w:rPr>
                <w:b/>
                <w:bCs/>
                <w:sz w:val="20"/>
                <w:szCs w:val="20"/>
              </w:rPr>
            </w:pPr>
            <w:r w:rsidRPr="00F472F6">
              <w:rPr>
                <w:b/>
                <w:bCs/>
                <w:sz w:val="20"/>
                <w:szCs w:val="20"/>
              </w:rPr>
              <w:t>Conceptual schema</w:t>
            </w:r>
          </w:p>
        </w:tc>
        <w:tc>
          <w:tcPr>
            <w:tcW w:w="0" w:type="auto"/>
          </w:tcPr>
          <w:p w:rsidR="00F472F6" w:rsidRPr="00F472F6" w:rsidRDefault="00F472F6" w:rsidP="009847CF">
            <w:pPr>
              <w:pStyle w:val="ListParagraph"/>
              <w:ind w:left="0"/>
              <w:jc w:val="both"/>
              <w:rPr>
                <w:b/>
                <w:bCs/>
                <w:sz w:val="20"/>
                <w:szCs w:val="20"/>
              </w:rPr>
            </w:pPr>
            <w:r w:rsidRPr="00F472F6">
              <w:rPr>
                <w:b/>
                <w:bCs/>
                <w:sz w:val="20"/>
                <w:szCs w:val="20"/>
              </w:rPr>
              <w:t>Model schema</w:t>
            </w:r>
          </w:p>
        </w:tc>
        <w:tc>
          <w:tcPr>
            <w:tcW w:w="0" w:type="auto"/>
          </w:tcPr>
          <w:p w:rsidR="00F472F6" w:rsidRPr="00F472F6" w:rsidRDefault="00F472F6" w:rsidP="009847CF">
            <w:pPr>
              <w:pStyle w:val="ListParagraph"/>
              <w:ind w:left="0"/>
              <w:jc w:val="both"/>
              <w:rPr>
                <w:b/>
                <w:bCs/>
                <w:sz w:val="20"/>
                <w:szCs w:val="20"/>
              </w:rPr>
            </w:pPr>
            <w:r w:rsidRPr="00F472F6">
              <w:rPr>
                <w:b/>
                <w:bCs/>
                <w:sz w:val="20"/>
                <w:szCs w:val="20"/>
              </w:rPr>
              <w:t>Estimate of incidence</w:t>
            </w:r>
          </w:p>
        </w:tc>
        <w:tc>
          <w:tcPr>
            <w:tcW w:w="0" w:type="auto"/>
          </w:tcPr>
          <w:p w:rsidR="00F472F6" w:rsidRPr="00F472F6" w:rsidRDefault="00F472F6" w:rsidP="009847CF">
            <w:pPr>
              <w:pStyle w:val="ListParagraph"/>
              <w:ind w:left="0"/>
              <w:jc w:val="both"/>
              <w:rPr>
                <w:b/>
                <w:bCs/>
                <w:sz w:val="20"/>
                <w:szCs w:val="20"/>
              </w:rPr>
            </w:pPr>
            <w:r w:rsidRPr="00F472F6">
              <w:rPr>
                <w:b/>
                <w:bCs/>
                <w:sz w:val="20"/>
                <w:szCs w:val="20"/>
              </w:rPr>
              <w:t>Estimate of event rate</w:t>
            </w:r>
          </w:p>
        </w:tc>
        <w:tc>
          <w:tcPr>
            <w:tcW w:w="0" w:type="auto"/>
          </w:tcPr>
          <w:p w:rsidR="00F472F6" w:rsidRPr="00F472F6" w:rsidRDefault="00F472F6" w:rsidP="009847CF">
            <w:pPr>
              <w:pStyle w:val="ListParagraph"/>
              <w:ind w:left="0"/>
              <w:jc w:val="both"/>
              <w:rPr>
                <w:b/>
                <w:bCs/>
                <w:sz w:val="20"/>
                <w:szCs w:val="20"/>
              </w:rPr>
            </w:pPr>
            <w:r w:rsidRPr="00F472F6">
              <w:rPr>
                <w:b/>
                <w:bCs/>
                <w:sz w:val="20"/>
                <w:szCs w:val="20"/>
              </w:rPr>
              <w:t>Estimate of intervention effectiveness</w:t>
            </w:r>
          </w:p>
        </w:tc>
        <w:tc>
          <w:tcPr>
            <w:tcW w:w="0" w:type="auto"/>
          </w:tcPr>
          <w:p w:rsidR="00F472F6" w:rsidRPr="00F472F6" w:rsidRDefault="00F472F6" w:rsidP="009847CF">
            <w:pPr>
              <w:pStyle w:val="ListParagraph"/>
              <w:ind w:left="0"/>
              <w:jc w:val="both"/>
              <w:rPr>
                <w:b/>
                <w:bCs/>
                <w:sz w:val="20"/>
                <w:szCs w:val="20"/>
              </w:rPr>
            </w:pPr>
            <w:r w:rsidRPr="00F472F6">
              <w:rPr>
                <w:b/>
                <w:bCs/>
                <w:sz w:val="20"/>
                <w:szCs w:val="20"/>
              </w:rPr>
              <w:t>Cost-effectiveness</w:t>
            </w:r>
            <w:r>
              <w:rPr>
                <w:b/>
                <w:bCs/>
                <w:sz w:val="20"/>
                <w:szCs w:val="20"/>
              </w:rPr>
              <w:t xml:space="preserve"> results</w:t>
            </w:r>
          </w:p>
        </w:tc>
        <w:tc>
          <w:tcPr>
            <w:tcW w:w="0" w:type="auto"/>
          </w:tcPr>
          <w:p w:rsidR="00F472F6" w:rsidRPr="00F472F6" w:rsidRDefault="00F472F6" w:rsidP="00F472F6">
            <w:pPr>
              <w:pStyle w:val="ListParagraph"/>
              <w:ind w:left="0"/>
              <w:jc w:val="both"/>
              <w:rPr>
                <w:b/>
                <w:bCs/>
                <w:sz w:val="20"/>
                <w:szCs w:val="20"/>
              </w:rPr>
            </w:pPr>
            <w:r>
              <w:rPr>
                <w:b/>
                <w:bCs/>
                <w:sz w:val="20"/>
                <w:szCs w:val="20"/>
              </w:rPr>
              <w:t>Cost-effectiveness discussion</w:t>
            </w:r>
          </w:p>
        </w:tc>
      </w:tr>
      <w:tr w:rsidR="00B40BFA" w:rsidRPr="001D400C" w:rsidTr="001F620D">
        <w:tc>
          <w:tcPr>
            <w:tcW w:w="0" w:type="auto"/>
          </w:tcPr>
          <w:p w:rsidR="00F472F6" w:rsidRPr="00F472F6" w:rsidRDefault="00F472F6" w:rsidP="009847CF">
            <w:pPr>
              <w:pStyle w:val="ListParagraph"/>
              <w:ind w:left="0"/>
              <w:jc w:val="both"/>
              <w:rPr>
                <w:sz w:val="20"/>
                <w:szCs w:val="20"/>
              </w:rPr>
            </w:pPr>
            <w:r>
              <w:rPr>
                <w:sz w:val="20"/>
                <w:szCs w:val="20"/>
              </w:rPr>
              <w:t>NICE, 2008</w:t>
            </w:r>
          </w:p>
        </w:tc>
        <w:tc>
          <w:tcPr>
            <w:tcW w:w="0" w:type="auto"/>
          </w:tcPr>
          <w:p w:rsidR="00F472F6" w:rsidRPr="00F472F6" w:rsidRDefault="00F472F6" w:rsidP="009847CF">
            <w:pPr>
              <w:pStyle w:val="ListParagraph"/>
              <w:ind w:left="0"/>
              <w:jc w:val="both"/>
              <w:rPr>
                <w:sz w:val="20"/>
                <w:szCs w:val="20"/>
              </w:rPr>
            </w:pPr>
            <w:r w:rsidRPr="00F472F6">
              <w:rPr>
                <w:sz w:val="20"/>
                <w:szCs w:val="20"/>
              </w:rPr>
              <w:t>Immediate access clinics, weekly clinics and GO management</w:t>
            </w:r>
          </w:p>
        </w:tc>
        <w:tc>
          <w:tcPr>
            <w:tcW w:w="0" w:type="auto"/>
          </w:tcPr>
          <w:p w:rsidR="00F472F6" w:rsidRPr="00F472F6" w:rsidRDefault="00F472F6" w:rsidP="009847CF">
            <w:pPr>
              <w:pStyle w:val="ListParagraph"/>
              <w:ind w:left="0"/>
              <w:jc w:val="both"/>
              <w:rPr>
                <w:sz w:val="20"/>
                <w:szCs w:val="20"/>
              </w:rPr>
            </w:pPr>
            <w:r w:rsidRPr="00F472F6">
              <w:rPr>
                <w:sz w:val="20"/>
                <w:szCs w:val="20"/>
              </w:rPr>
              <w:t>TIA (includes some minor stroke)</w:t>
            </w:r>
          </w:p>
        </w:tc>
        <w:tc>
          <w:tcPr>
            <w:tcW w:w="0" w:type="auto"/>
          </w:tcPr>
          <w:p w:rsidR="00F472F6" w:rsidRPr="00F472F6" w:rsidRDefault="00F472F6" w:rsidP="00FF42C0">
            <w:pPr>
              <w:pStyle w:val="ListParagraph"/>
              <w:ind w:left="0"/>
              <w:jc w:val="both"/>
              <w:rPr>
                <w:sz w:val="20"/>
                <w:szCs w:val="20"/>
              </w:rPr>
            </w:pPr>
            <w:r w:rsidRPr="00F472F6">
              <w:rPr>
                <w:sz w:val="20"/>
                <w:szCs w:val="20"/>
              </w:rPr>
              <w:sym w:font="Wingdings" w:char="F0FC"/>
            </w:r>
          </w:p>
        </w:tc>
        <w:tc>
          <w:tcPr>
            <w:tcW w:w="0" w:type="auto"/>
          </w:tcPr>
          <w:p w:rsidR="00F472F6" w:rsidRPr="00F472F6" w:rsidRDefault="00F472F6" w:rsidP="009847CF">
            <w:pPr>
              <w:pStyle w:val="ListParagraph"/>
              <w:ind w:left="0"/>
              <w:jc w:val="both"/>
              <w:rPr>
                <w:rFonts w:cs="Arial"/>
                <w:noProof/>
                <w:sz w:val="20"/>
                <w:szCs w:val="20"/>
                <w:lang w:eastAsia="zh-CN"/>
              </w:rPr>
            </w:pPr>
            <w:r w:rsidRPr="00F472F6">
              <w:rPr>
                <w:rFonts w:cs="Arial"/>
                <w:noProof/>
                <w:sz w:val="20"/>
                <w:szCs w:val="20"/>
                <w:lang w:eastAsia="zh-CN"/>
              </w:rPr>
              <w:t>X</w:t>
            </w:r>
          </w:p>
          <w:p w:rsidR="00F472F6" w:rsidRPr="00F472F6" w:rsidRDefault="00F472F6" w:rsidP="009847CF">
            <w:pPr>
              <w:pStyle w:val="ListParagraph"/>
              <w:ind w:left="0"/>
              <w:jc w:val="both"/>
              <w:rPr>
                <w:rFonts w:cs="Arial"/>
                <w:noProof/>
                <w:sz w:val="20"/>
                <w:szCs w:val="20"/>
                <w:lang w:eastAsia="zh-CN"/>
              </w:rPr>
            </w:pPr>
          </w:p>
          <w:p w:rsidR="00F472F6" w:rsidRPr="00F472F6" w:rsidRDefault="00F472F6" w:rsidP="009847CF">
            <w:pPr>
              <w:pStyle w:val="ListParagraph"/>
              <w:ind w:left="0"/>
              <w:jc w:val="both"/>
              <w:rPr>
                <w:rFonts w:cs="Arial"/>
                <w:noProof/>
                <w:sz w:val="20"/>
                <w:szCs w:val="20"/>
                <w:lang w:eastAsia="zh-CN"/>
              </w:rPr>
            </w:pPr>
            <w:r w:rsidRPr="00F472F6">
              <w:rPr>
                <w:rFonts w:cs="Arial"/>
                <w:noProof/>
                <w:sz w:val="20"/>
                <w:szCs w:val="20"/>
                <w:lang w:eastAsia="zh-CN"/>
              </w:rPr>
              <w:t>No conceptual model is provided</w:t>
            </w:r>
            <w:r w:rsidR="00B40BFA">
              <w:rPr>
                <w:rFonts w:cs="Arial"/>
                <w:noProof/>
                <w:sz w:val="20"/>
                <w:szCs w:val="20"/>
                <w:lang w:eastAsia="zh-CN"/>
              </w:rPr>
              <w:t>.</w:t>
            </w:r>
          </w:p>
        </w:tc>
        <w:tc>
          <w:tcPr>
            <w:tcW w:w="0" w:type="auto"/>
          </w:tcPr>
          <w:p w:rsidR="00F472F6" w:rsidRPr="00F472F6" w:rsidRDefault="00F472F6" w:rsidP="009847CF">
            <w:pPr>
              <w:pStyle w:val="ListParagraph"/>
              <w:ind w:left="0"/>
              <w:jc w:val="both"/>
              <w:rPr>
                <w:sz w:val="20"/>
                <w:szCs w:val="20"/>
              </w:rPr>
            </w:pPr>
            <w:r w:rsidRPr="00F472F6">
              <w:rPr>
                <w:sz w:val="20"/>
                <w:szCs w:val="20"/>
              </w:rPr>
              <w:t>X</w:t>
            </w:r>
          </w:p>
          <w:p w:rsidR="00F472F6" w:rsidRPr="00F472F6" w:rsidRDefault="00F472F6" w:rsidP="009847CF">
            <w:pPr>
              <w:pStyle w:val="ListParagraph"/>
              <w:ind w:left="0"/>
              <w:jc w:val="both"/>
              <w:rPr>
                <w:sz w:val="20"/>
                <w:szCs w:val="20"/>
              </w:rPr>
            </w:pPr>
          </w:p>
          <w:p w:rsidR="00F472F6" w:rsidRPr="00F472F6" w:rsidRDefault="00F472F6" w:rsidP="00B40BFA">
            <w:pPr>
              <w:pStyle w:val="ListParagraph"/>
              <w:ind w:left="0"/>
              <w:jc w:val="both"/>
              <w:rPr>
                <w:sz w:val="20"/>
                <w:szCs w:val="20"/>
              </w:rPr>
            </w:pPr>
            <w:r w:rsidRPr="00F472F6">
              <w:rPr>
                <w:sz w:val="20"/>
                <w:szCs w:val="20"/>
              </w:rPr>
              <w:t>The NICE service pathway model does not account for TIA</w:t>
            </w:r>
            <w:r w:rsidR="00B40BFA">
              <w:rPr>
                <w:sz w:val="20"/>
                <w:szCs w:val="20"/>
              </w:rPr>
              <w:t xml:space="preserve"> </w:t>
            </w:r>
            <w:proofErr w:type="gramStart"/>
            <w:r w:rsidR="00B40BFA">
              <w:rPr>
                <w:sz w:val="20"/>
                <w:szCs w:val="20"/>
              </w:rPr>
              <w:t xml:space="preserve">mimics </w:t>
            </w:r>
            <w:r w:rsidRPr="00F472F6">
              <w:rPr>
                <w:sz w:val="20"/>
                <w:szCs w:val="20"/>
              </w:rPr>
              <w:t xml:space="preserve"> (</w:t>
            </w:r>
            <w:proofErr w:type="gramEnd"/>
            <w:r w:rsidRPr="00F472F6">
              <w:rPr>
                <w:sz w:val="20"/>
                <w:szCs w:val="20"/>
              </w:rPr>
              <w:t>NICE pathways)</w:t>
            </w:r>
            <w:r w:rsidR="00B40BFA">
              <w:rPr>
                <w:sz w:val="20"/>
                <w:szCs w:val="20"/>
              </w:rPr>
              <w:t>.</w:t>
            </w:r>
          </w:p>
        </w:tc>
        <w:tc>
          <w:tcPr>
            <w:tcW w:w="0" w:type="auto"/>
          </w:tcPr>
          <w:p w:rsidR="00F472F6" w:rsidRDefault="00F472F6" w:rsidP="00B77943">
            <w:pPr>
              <w:pStyle w:val="ListParagraph"/>
              <w:ind w:left="0"/>
              <w:jc w:val="both"/>
              <w:rPr>
                <w:sz w:val="20"/>
                <w:szCs w:val="20"/>
              </w:rPr>
            </w:pPr>
            <w:r w:rsidRPr="00F472F6">
              <w:rPr>
                <w:sz w:val="20"/>
                <w:szCs w:val="20"/>
              </w:rPr>
              <w:sym w:font="Wingdings" w:char="F0FC"/>
            </w:r>
          </w:p>
          <w:p w:rsidR="00B40BFA" w:rsidRDefault="00B40BFA" w:rsidP="00B77943">
            <w:pPr>
              <w:pStyle w:val="ListParagraph"/>
              <w:ind w:left="0"/>
              <w:jc w:val="both"/>
              <w:rPr>
                <w:sz w:val="20"/>
                <w:szCs w:val="20"/>
              </w:rPr>
            </w:pPr>
          </w:p>
          <w:p w:rsidR="00B40BFA" w:rsidRPr="00F472F6" w:rsidRDefault="00B40BFA" w:rsidP="00B77943">
            <w:pPr>
              <w:pStyle w:val="ListParagraph"/>
              <w:ind w:left="0"/>
              <w:jc w:val="both"/>
              <w:rPr>
                <w:sz w:val="20"/>
                <w:szCs w:val="20"/>
              </w:rPr>
            </w:pPr>
            <w:r>
              <w:rPr>
                <w:sz w:val="20"/>
                <w:szCs w:val="20"/>
              </w:rPr>
              <w:t>Based on the Oxford Vascular Study (</w:t>
            </w:r>
            <w:proofErr w:type="spellStart"/>
            <w:r>
              <w:rPr>
                <w:sz w:val="20"/>
                <w:szCs w:val="20"/>
              </w:rPr>
              <w:t>Rothwell</w:t>
            </w:r>
            <w:proofErr w:type="spellEnd"/>
            <w:r>
              <w:rPr>
                <w:sz w:val="20"/>
                <w:szCs w:val="20"/>
              </w:rPr>
              <w:t xml:space="preserve"> et al, 2004).</w:t>
            </w:r>
          </w:p>
        </w:tc>
        <w:tc>
          <w:tcPr>
            <w:tcW w:w="0" w:type="auto"/>
          </w:tcPr>
          <w:p w:rsidR="00F472F6" w:rsidRPr="00F472F6" w:rsidRDefault="00F472F6" w:rsidP="00F66891">
            <w:pPr>
              <w:pStyle w:val="ListParagraph"/>
              <w:ind w:left="0"/>
              <w:jc w:val="both"/>
              <w:rPr>
                <w:sz w:val="20"/>
                <w:szCs w:val="20"/>
              </w:rPr>
            </w:pPr>
            <w:r w:rsidRPr="00F472F6">
              <w:rPr>
                <w:sz w:val="20"/>
                <w:szCs w:val="20"/>
              </w:rPr>
              <w:sym w:font="Wingdings" w:char="F0FC"/>
            </w:r>
            <w:r w:rsidRPr="00F472F6">
              <w:rPr>
                <w:sz w:val="20"/>
                <w:szCs w:val="20"/>
              </w:rPr>
              <w:t xml:space="preserve"> </w:t>
            </w:r>
          </w:p>
          <w:p w:rsidR="00F472F6" w:rsidRPr="00F472F6" w:rsidRDefault="00F472F6" w:rsidP="00F66891">
            <w:pPr>
              <w:pStyle w:val="ListParagraph"/>
              <w:ind w:left="0"/>
              <w:jc w:val="both"/>
              <w:rPr>
                <w:sz w:val="20"/>
                <w:szCs w:val="20"/>
              </w:rPr>
            </w:pPr>
          </w:p>
          <w:p w:rsidR="00F472F6" w:rsidRPr="00F472F6" w:rsidRDefault="00B40BFA" w:rsidP="00F66891">
            <w:pPr>
              <w:pStyle w:val="ListParagraph"/>
              <w:ind w:left="0"/>
              <w:jc w:val="both"/>
              <w:rPr>
                <w:sz w:val="20"/>
                <w:szCs w:val="20"/>
              </w:rPr>
            </w:pPr>
            <w:r>
              <w:rPr>
                <w:sz w:val="20"/>
                <w:szCs w:val="20"/>
              </w:rPr>
              <w:t>Not stated explicitly but source data is b</w:t>
            </w:r>
            <w:r w:rsidR="00F472F6" w:rsidRPr="00F472F6">
              <w:rPr>
                <w:sz w:val="20"/>
                <w:szCs w:val="20"/>
              </w:rPr>
              <w:t xml:space="preserve">ased on </w:t>
            </w:r>
            <w:r>
              <w:rPr>
                <w:sz w:val="20"/>
                <w:szCs w:val="20"/>
              </w:rPr>
              <w:t xml:space="preserve">the ‘total’ population presenting to </w:t>
            </w:r>
            <w:r w:rsidR="00F472F6" w:rsidRPr="00F472F6">
              <w:rPr>
                <w:sz w:val="20"/>
                <w:szCs w:val="20"/>
              </w:rPr>
              <w:t>TIA</w:t>
            </w:r>
            <w:r>
              <w:rPr>
                <w:sz w:val="20"/>
                <w:szCs w:val="20"/>
              </w:rPr>
              <w:t xml:space="preserve"> services.</w:t>
            </w:r>
          </w:p>
          <w:p w:rsidR="00F472F6" w:rsidRPr="00F472F6" w:rsidRDefault="00F472F6" w:rsidP="00F66891">
            <w:pPr>
              <w:pStyle w:val="ListParagraph"/>
              <w:ind w:left="0"/>
              <w:jc w:val="both"/>
              <w:rPr>
                <w:sz w:val="20"/>
                <w:szCs w:val="20"/>
              </w:rPr>
            </w:pPr>
          </w:p>
          <w:p w:rsidR="00F472F6" w:rsidRPr="00F472F6" w:rsidRDefault="00F472F6" w:rsidP="00F66891">
            <w:pPr>
              <w:pStyle w:val="ListParagraph"/>
              <w:ind w:left="0"/>
              <w:jc w:val="both"/>
              <w:rPr>
                <w:sz w:val="20"/>
                <w:szCs w:val="20"/>
              </w:rPr>
            </w:pPr>
            <w:r w:rsidRPr="00F472F6">
              <w:rPr>
                <w:sz w:val="20"/>
                <w:szCs w:val="20"/>
              </w:rPr>
              <w:t>Data source: Johnston et al, 2007)</w:t>
            </w:r>
            <w:r w:rsidR="00B40BFA">
              <w:rPr>
                <w:sz w:val="20"/>
                <w:szCs w:val="20"/>
              </w:rPr>
              <w:t>.</w:t>
            </w:r>
          </w:p>
        </w:tc>
        <w:tc>
          <w:tcPr>
            <w:tcW w:w="0" w:type="auto"/>
          </w:tcPr>
          <w:p w:rsidR="00F472F6" w:rsidRPr="00F472F6" w:rsidRDefault="00F472F6" w:rsidP="009847CF">
            <w:pPr>
              <w:pStyle w:val="ListParagraph"/>
              <w:ind w:left="0"/>
              <w:jc w:val="both"/>
              <w:rPr>
                <w:sz w:val="20"/>
                <w:szCs w:val="20"/>
              </w:rPr>
            </w:pPr>
            <w:r w:rsidRPr="00F472F6">
              <w:rPr>
                <w:sz w:val="20"/>
                <w:szCs w:val="20"/>
              </w:rPr>
              <w:t xml:space="preserve">X </w:t>
            </w:r>
          </w:p>
          <w:p w:rsidR="00F472F6" w:rsidRPr="00F472F6" w:rsidRDefault="00F472F6" w:rsidP="00F66891">
            <w:pPr>
              <w:pStyle w:val="ListParagraph"/>
              <w:ind w:left="0"/>
              <w:jc w:val="both"/>
              <w:rPr>
                <w:sz w:val="20"/>
                <w:szCs w:val="20"/>
              </w:rPr>
            </w:pPr>
          </w:p>
          <w:p w:rsidR="00F472F6" w:rsidRPr="00F472F6" w:rsidRDefault="00F472F6" w:rsidP="00F66891">
            <w:pPr>
              <w:pStyle w:val="ListParagraph"/>
              <w:ind w:left="0"/>
              <w:jc w:val="both"/>
              <w:rPr>
                <w:sz w:val="20"/>
                <w:szCs w:val="20"/>
              </w:rPr>
            </w:pPr>
            <w:r w:rsidRPr="00F472F6">
              <w:rPr>
                <w:sz w:val="20"/>
                <w:szCs w:val="20"/>
              </w:rPr>
              <w:t>From studies initiating treatment in confirmed TIA only</w:t>
            </w:r>
            <w:r w:rsidR="00B40BFA">
              <w:rPr>
                <w:sz w:val="20"/>
                <w:szCs w:val="20"/>
              </w:rPr>
              <w:t>.</w:t>
            </w:r>
          </w:p>
        </w:tc>
        <w:tc>
          <w:tcPr>
            <w:tcW w:w="0" w:type="auto"/>
          </w:tcPr>
          <w:p w:rsidR="00F472F6" w:rsidRDefault="00B40BFA" w:rsidP="009847CF">
            <w:pPr>
              <w:pStyle w:val="ListParagraph"/>
              <w:ind w:left="0"/>
              <w:jc w:val="both"/>
              <w:rPr>
                <w:sz w:val="20"/>
                <w:szCs w:val="20"/>
              </w:rPr>
            </w:pPr>
            <w:r>
              <w:rPr>
                <w:sz w:val="20"/>
                <w:szCs w:val="20"/>
              </w:rPr>
              <w:t>X / Unclear</w:t>
            </w:r>
          </w:p>
          <w:p w:rsidR="00B40BFA" w:rsidRDefault="00B40BFA" w:rsidP="009847CF">
            <w:pPr>
              <w:pStyle w:val="ListParagraph"/>
              <w:ind w:left="0"/>
              <w:jc w:val="both"/>
              <w:rPr>
                <w:sz w:val="20"/>
                <w:szCs w:val="20"/>
              </w:rPr>
            </w:pPr>
          </w:p>
          <w:p w:rsidR="00B40BFA" w:rsidRPr="00F472F6" w:rsidRDefault="00B40BFA" w:rsidP="009847CF">
            <w:pPr>
              <w:pStyle w:val="ListParagraph"/>
              <w:ind w:left="0"/>
              <w:jc w:val="both"/>
              <w:rPr>
                <w:sz w:val="20"/>
                <w:szCs w:val="20"/>
              </w:rPr>
            </w:pPr>
            <w:r>
              <w:rPr>
                <w:sz w:val="20"/>
                <w:szCs w:val="20"/>
              </w:rPr>
              <w:t>The ICERs appear to relate to confirmed TIA but the event rate and incidence data appears to be drawn from the ‘total’ population presenting to TIA services.</w:t>
            </w:r>
          </w:p>
        </w:tc>
        <w:tc>
          <w:tcPr>
            <w:tcW w:w="0" w:type="auto"/>
          </w:tcPr>
          <w:p w:rsidR="00F472F6" w:rsidRPr="00F472F6" w:rsidRDefault="00F472F6" w:rsidP="009847CF">
            <w:pPr>
              <w:pStyle w:val="ListParagraph"/>
              <w:ind w:left="0"/>
              <w:jc w:val="both"/>
              <w:rPr>
                <w:sz w:val="20"/>
                <w:szCs w:val="20"/>
              </w:rPr>
            </w:pPr>
            <w:r w:rsidRPr="00F472F6">
              <w:rPr>
                <w:sz w:val="20"/>
                <w:szCs w:val="20"/>
              </w:rPr>
              <w:t>X</w:t>
            </w:r>
          </w:p>
          <w:p w:rsidR="00F472F6" w:rsidRPr="00F472F6" w:rsidRDefault="00F472F6" w:rsidP="009847CF">
            <w:pPr>
              <w:pStyle w:val="ListParagraph"/>
              <w:ind w:left="0"/>
              <w:jc w:val="both"/>
              <w:rPr>
                <w:sz w:val="20"/>
                <w:szCs w:val="20"/>
              </w:rPr>
            </w:pPr>
          </w:p>
          <w:p w:rsidR="00F472F6" w:rsidRPr="00F472F6" w:rsidRDefault="00F472F6" w:rsidP="009847CF">
            <w:pPr>
              <w:pStyle w:val="ListParagraph"/>
              <w:ind w:left="0"/>
              <w:jc w:val="both"/>
              <w:rPr>
                <w:sz w:val="20"/>
                <w:szCs w:val="20"/>
              </w:rPr>
            </w:pPr>
            <w:r w:rsidRPr="00F472F6">
              <w:rPr>
                <w:sz w:val="20"/>
                <w:szCs w:val="20"/>
              </w:rPr>
              <w:t>TIA mimics are not discussed within recommendation to practice</w:t>
            </w:r>
            <w:r w:rsidR="00B40BFA">
              <w:rPr>
                <w:sz w:val="20"/>
                <w:szCs w:val="20"/>
              </w:rPr>
              <w:t>.</w:t>
            </w:r>
          </w:p>
        </w:tc>
      </w:tr>
    </w:tbl>
    <w:p w:rsidR="002D6887" w:rsidRDefault="002D6887" w:rsidP="005269C5">
      <w:pPr>
        <w:spacing w:line="360" w:lineRule="auto"/>
        <w:jc w:val="both"/>
        <w:sectPr w:rsidR="002D6887" w:rsidSect="002B3FC0">
          <w:pgSz w:w="16838" w:h="11906" w:orient="landscape"/>
          <w:pgMar w:top="1440" w:right="1440" w:bottom="1440" w:left="1440" w:header="709" w:footer="709" w:gutter="0"/>
          <w:cols w:space="708"/>
          <w:docGrid w:linePitch="360"/>
        </w:sectPr>
      </w:pPr>
    </w:p>
    <w:p w:rsidR="00882A87" w:rsidRDefault="00882A87" w:rsidP="005269C5">
      <w:pPr>
        <w:spacing w:line="360" w:lineRule="auto"/>
        <w:jc w:val="both"/>
      </w:pPr>
    </w:p>
    <w:p w:rsidR="00967299" w:rsidRPr="00223F01" w:rsidRDefault="00E0592D" w:rsidP="00223F01">
      <w:pPr>
        <w:spacing w:line="360" w:lineRule="auto"/>
        <w:ind w:firstLine="720"/>
        <w:jc w:val="both"/>
        <w:rPr>
          <w:b/>
          <w:u w:val="single"/>
        </w:rPr>
      </w:pPr>
      <w:r w:rsidRPr="00E0592D">
        <w:rPr>
          <w:b/>
          <w:u w:val="single"/>
        </w:rPr>
        <w:t xml:space="preserve">Table 2: </w:t>
      </w:r>
      <w:r w:rsidR="00DB1501">
        <w:rPr>
          <w:b/>
          <w:u w:val="single"/>
        </w:rPr>
        <w:t>Key d</w:t>
      </w:r>
      <w:r w:rsidRPr="00E0592D">
        <w:rPr>
          <w:b/>
          <w:u w:val="single"/>
        </w:rPr>
        <w:t>ata requirements, evidence gaps and proposed methods</w:t>
      </w:r>
      <w:r w:rsidR="007A4533">
        <w:rPr>
          <w:rStyle w:val="FootnoteReference"/>
          <w:b/>
          <w:u w:val="single"/>
        </w:rPr>
        <w:footnoteReference w:id="4"/>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407"/>
        <w:gridCol w:w="3595"/>
        <w:gridCol w:w="4016"/>
      </w:tblGrid>
      <w:tr w:rsidR="00030AB7" w:rsidTr="00536BB8">
        <w:tc>
          <w:tcPr>
            <w:tcW w:w="0" w:type="auto"/>
            <w:tcBorders>
              <w:top w:val="single" w:sz="4" w:space="0" w:color="auto"/>
              <w:bottom w:val="single" w:sz="4" w:space="0" w:color="auto"/>
            </w:tcBorders>
          </w:tcPr>
          <w:p w:rsidR="00967299" w:rsidRPr="00536BB8" w:rsidRDefault="00557A6B" w:rsidP="00536BB8">
            <w:pPr>
              <w:pStyle w:val="ListParagraph"/>
              <w:ind w:left="0"/>
              <w:rPr>
                <w:b/>
                <w:bCs/>
              </w:rPr>
            </w:pPr>
            <w:r>
              <w:rPr>
                <w:b/>
                <w:bCs/>
              </w:rPr>
              <w:t>Requirement</w:t>
            </w:r>
          </w:p>
        </w:tc>
        <w:tc>
          <w:tcPr>
            <w:tcW w:w="0" w:type="auto"/>
            <w:tcBorders>
              <w:top w:val="single" w:sz="4" w:space="0" w:color="auto"/>
              <w:bottom w:val="single" w:sz="4" w:space="0" w:color="auto"/>
            </w:tcBorders>
          </w:tcPr>
          <w:p w:rsidR="00967299" w:rsidRPr="00536BB8" w:rsidRDefault="00967299" w:rsidP="00536BB8">
            <w:pPr>
              <w:pStyle w:val="ListParagraph"/>
              <w:ind w:left="0"/>
              <w:rPr>
                <w:b/>
                <w:bCs/>
              </w:rPr>
            </w:pPr>
            <w:r w:rsidRPr="00536BB8">
              <w:rPr>
                <w:b/>
                <w:bCs/>
              </w:rPr>
              <w:t>Data identified</w:t>
            </w:r>
          </w:p>
        </w:tc>
        <w:tc>
          <w:tcPr>
            <w:tcW w:w="0" w:type="auto"/>
            <w:tcBorders>
              <w:top w:val="single" w:sz="4" w:space="0" w:color="auto"/>
              <w:bottom w:val="single" w:sz="4" w:space="0" w:color="auto"/>
            </w:tcBorders>
          </w:tcPr>
          <w:p w:rsidR="00967299" w:rsidRPr="00536BB8" w:rsidRDefault="00967299" w:rsidP="00536BB8">
            <w:pPr>
              <w:pStyle w:val="ListParagraph"/>
              <w:ind w:left="0"/>
              <w:rPr>
                <w:b/>
                <w:bCs/>
              </w:rPr>
            </w:pPr>
            <w:r w:rsidRPr="00536BB8">
              <w:rPr>
                <w:b/>
                <w:bCs/>
              </w:rPr>
              <w:t>What would be desirable</w:t>
            </w:r>
          </w:p>
        </w:tc>
        <w:tc>
          <w:tcPr>
            <w:tcW w:w="0" w:type="auto"/>
            <w:tcBorders>
              <w:top w:val="single" w:sz="4" w:space="0" w:color="auto"/>
              <w:bottom w:val="single" w:sz="4" w:space="0" w:color="auto"/>
            </w:tcBorders>
          </w:tcPr>
          <w:p w:rsidR="00967299" w:rsidRPr="00536BB8" w:rsidRDefault="00967299" w:rsidP="00536BB8">
            <w:pPr>
              <w:pStyle w:val="ListParagraph"/>
              <w:ind w:left="0"/>
              <w:rPr>
                <w:b/>
                <w:bCs/>
              </w:rPr>
            </w:pPr>
            <w:r w:rsidRPr="00536BB8">
              <w:rPr>
                <w:b/>
                <w:bCs/>
              </w:rPr>
              <w:t>Proposed methods for closing evidence gap</w:t>
            </w:r>
          </w:p>
        </w:tc>
      </w:tr>
      <w:tr w:rsidR="00030AB7" w:rsidTr="002C446D">
        <w:tc>
          <w:tcPr>
            <w:tcW w:w="0" w:type="auto"/>
            <w:tcBorders>
              <w:top w:val="single" w:sz="4" w:space="0" w:color="auto"/>
              <w:bottom w:val="nil"/>
            </w:tcBorders>
          </w:tcPr>
          <w:p w:rsidR="00E0592D" w:rsidRPr="00E0592D" w:rsidRDefault="00E0592D" w:rsidP="00E0592D">
            <w:pPr>
              <w:pStyle w:val="ListParagraph"/>
              <w:numPr>
                <w:ilvl w:val="0"/>
                <w:numId w:val="11"/>
              </w:numPr>
              <w:rPr>
                <w:b/>
                <w:bCs/>
                <w:i/>
              </w:rPr>
            </w:pPr>
            <w:r w:rsidRPr="00E0592D">
              <w:rPr>
                <w:b/>
                <w:bCs/>
                <w:i/>
              </w:rPr>
              <w:t xml:space="preserve">Disease process </w:t>
            </w:r>
          </w:p>
        </w:tc>
        <w:tc>
          <w:tcPr>
            <w:tcW w:w="0" w:type="auto"/>
            <w:tcBorders>
              <w:top w:val="single" w:sz="4" w:space="0" w:color="auto"/>
              <w:bottom w:val="nil"/>
            </w:tcBorders>
          </w:tcPr>
          <w:p w:rsidR="00E0592D" w:rsidRDefault="00E0592D" w:rsidP="00536BB8">
            <w:pPr>
              <w:pStyle w:val="ListParagraph"/>
              <w:ind w:left="0"/>
            </w:pPr>
          </w:p>
        </w:tc>
        <w:tc>
          <w:tcPr>
            <w:tcW w:w="0" w:type="auto"/>
            <w:tcBorders>
              <w:top w:val="single" w:sz="4" w:space="0" w:color="auto"/>
              <w:bottom w:val="nil"/>
            </w:tcBorders>
          </w:tcPr>
          <w:p w:rsidR="00E0592D" w:rsidRDefault="00E0592D" w:rsidP="00536BB8">
            <w:pPr>
              <w:pStyle w:val="ListParagraph"/>
              <w:ind w:left="0"/>
            </w:pPr>
          </w:p>
        </w:tc>
        <w:tc>
          <w:tcPr>
            <w:tcW w:w="0" w:type="auto"/>
            <w:tcBorders>
              <w:top w:val="single" w:sz="4" w:space="0" w:color="auto"/>
              <w:bottom w:val="nil"/>
            </w:tcBorders>
          </w:tcPr>
          <w:p w:rsidR="00E0592D" w:rsidRDefault="00E0592D" w:rsidP="00536BB8">
            <w:pPr>
              <w:pStyle w:val="ListParagraph"/>
              <w:ind w:left="0"/>
            </w:pPr>
          </w:p>
        </w:tc>
      </w:tr>
      <w:tr w:rsidR="00030AB7" w:rsidTr="002C446D">
        <w:tc>
          <w:tcPr>
            <w:tcW w:w="0" w:type="auto"/>
            <w:tcBorders>
              <w:top w:val="nil"/>
              <w:bottom w:val="nil"/>
            </w:tcBorders>
          </w:tcPr>
          <w:p w:rsidR="00967299" w:rsidRPr="00536BB8" w:rsidRDefault="00536BB8" w:rsidP="00536BB8">
            <w:pPr>
              <w:pStyle w:val="ListParagraph"/>
              <w:ind w:left="0"/>
              <w:rPr>
                <w:b/>
                <w:bCs/>
              </w:rPr>
            </w:pPr>
            <w:r w:rsidRPr="00536BB8">
              <w:rPr>
                <w:b/>
                <w:bCs/>
              </w:rPr>
              <w:t>Identification of d</w:t>
            </w:r>
            <w:r w:rsidR="00967299" w:rsidRPr="00536BB8">
              <w:rPr>
                <w:b/>
                <w:bCs/>
              </w:rPr>
              <w:t>ifferential diagnosis</w:t>
            </w:r>
            <w:r w:rsidRPr="00536BB8">
              <w:rPr>
                <w:b/>
                <w:bCs/>
              </w:rPr>
              <w:t xml:space="preserve"> </w:t>
            </w:r>
            <w:r w:rsidR="00DB1501">
              <w:rPr>
                <w:b/>
                <w:bCs/>
              </w:rPr>
              <w:t>in suspected TIA</w:t>
            </w:r>
          </w:p>
        </w:tc>
        <w:tc>
          <w:tcPr>
            <w:tcW w:w="0" w:type="auto"/>
            <w:tcBorders>
              <w:top w:val="nil"/>
              <w:bottom w:val="nil"/>
            </w:tcBorders>
          </w:tcPr>
          <w:p w:rsidR="00967299" w:rsidRDefault="00E0592D" w:rsidP="00536BB8">
            <w:pPr>
              <w:pStyle w:val="ListParagraph"/>
              <w:ind w:left="0"/>
            </w:pPr>
            <w:r>
              <w:t>Review of GP diagnostic accuracy revealed that the q</w:t>
            </w:r>
            <w:r w:rsidR="00536BB8">
              <w:t>uality of the diagnostic coding</w:t>
            </w:r>
            <w:r>
              <w:t xml:space="preserve"> of patients was generally too</w:t>
            </w:r>
            <w:r w:rsidR="00536BB8">
              <w:t xml:space="preserve"> poor</w:t>
            </w:r>
            <w:r>
              <w:t xml:space="preserve"> to make inference</w:t>
            </w:r>
            <w:r w:rsidR="00536BB8">
              <w:t>. Majority of diagnoses non serious.</w:t>
            </w:r>
          </w:p>
        </w:tc>
        <w:tc>
          <w:tcPr>
            <w:tcW w:w="0" w:type="auto"/>
            <w:tcBorders>
              <w:top w:val="nil"/>
              <w:bottom w:val="nil"/>
            </w:tcBorders>
          </w:tcPr>
          <w:p w:rsidR="00967299" w:rsidRDefault="00536BB8" w:rsidP="00536BB8">
            <w:pPr>
              <w:pStyle w:val="ListParagraph"/>
              <w:ind w:left="0"/>
            </w:pPr>
            <w:r>
              <w:t>Empirical quantification in terms of percentages of serious but treatable conditions.</w:t>
            </w:r>
          </w:p>
        </w:tc>
        <w:tc>
          <w:tcPr>
            <w:tcW w:w="0" w:type="auto"/>
            <w:tcBorders>
              <w:top w:val="nil"/>
              <w:bottom w:val="nil"/>
            </w:tcBorders>
          </w:tcPr>
          <w:p w:rsidR="00967299" w:rsidRDefault="00967299" w:rsidP="00536BB8">
            <w:pPr>
              <w:pStyle w:val="ListParagraph"/>
              <w:ind w:left="0"/>
            </w:pPr>
            <w:r>
              <w:t>Might not be necessary to close this gap</w:t>
            </w:r>
            <w:r w:rsidR="00536BB8">
              <w:t xml:space="preserve">. </w:t>
            </w:r>
            <w:r>
              <w:t xml:space="preserve">The diagnostic label </w:t>
            </w:r>
            <w:r w:rsidR="00536BB8">
              <w:t xml:space="preserve">appears </w:t>
            </w:r>
            <w:r>
              <w:t>less important than the prognos</w:t>
            </w:r>
            <w:r w:rsidR="00536BB8">
              <w:t>is: the majority of diagnostic labels could indicate a benign underlying pathology, which is in contrast to the prognosis of TIA mimics (see below).</w:t>
            </w:r>
          </w:p>
        </w:tc>
      </w:tr>
      <w:tr w:rsidR="00030AB7" w:rsidTr="002C446D">
        <w:tc>
          <w:tcPr>
            <w:tcW w:w="0" w:type="auto"/>
            <w:tcBorders>
              <w:top w:val="nil"/>
            </w:tcBorders>
          </w:tcPr>
          <w:p w:rsidR="00967299" w:rsidRPr="00536BB8" w:rsidRDefault="00967299" w:rsidP="00557A6B">
            <w:pPr>
              <w:pStyle w:val="ListParagraph"/>
              <w:ind w:left="0"/>
              <w:rPr>
                <w:b/>
                <w:bCs/>
              </w:rPr>
            </w:pPr>
            <w:r w:rsidRPr="00536BB8">
              <w:rPr>
                <w:b/>
                <w:bCs/>
              </w:rPr>
              <w:t>Prognosis of TIA mimic</w:t>
            </w:r>
            <w:r w:rsidR="00557A6B">
              <w:rPr>
                <w:b/>
                <w:bCs/>
              </w:rPr>
              <w:t xml:space="preserve"> </w:t>
            </w:r>
          </w:p>
        </w:tc>
        <w:tc>
          <w:tcPr>
            <w:tcW w:w="0" w:type="auto"/>
            <w:tcBorders>
              <w:top w:val="nil"/>
            </w:tcBorders>
          </w:tcPr>
          <w:p w:rsidR="00967299" w:rsidRDefault="00967299" w:rsidP="00536BB8">
            <w:pPr>
              <w:pStyle w:val="ListParagraph"/>
              <w:ind w:left="0"/>
            </w:pPr>
            <w:r>
              <w:t>Kaplan Meier curves have been produced from a Scottish TIA clinic and a Dutch population perspective. Adjusted Hazard ratios are available.</w:t>
            </w:r>
          </w:p>
        </w:tc>
        <w:tc>
          <w:tcPr>
            <w:tcW w:w="0" w:type="auto"/>
            <w:tcBorders>
              <w:top w:val="nil"/>
            </w:tcBorders>
          </w:tcPr>
          <w:p w:rsidR="00967299" w:rsidRDefault="00967299" w:rsidP="00536BB8">
            <w:pPr>
              <w:pStyle w:val="ListParagraph"/>
              <w:ind w:left="0"/>
            </w:pPr>
            <w:r>
              <w:t>Probability of cardiac events over time (age/sex adjusted).</w:t>
            </w:r>
          </w:p>
        </w:tc>
        <w:tc>
          <w:tcPr>
            <w:tcW w:w="0" w:type="auto"/>
            <w:tcBorders>
              <w:top w:val="nil"/>
            </w:tcBorders>
          </w:tcPr>
          <w:p w:rsidR="00967299" w:rsidRDefault="00967299" w:rsidP="00536BB8">
            <w:pPr>
              <w:pStyle w:val="ListParagraph"/>
              <w:ind w:left="0"/>
            </w:pPr>
            <w:r>
              <w:t xml:space="preserve">Currently necessary to read off graphs. </w:t>
            </w:r>
          </w:p>
        </w:tc>
      </w:tr>
      <w:tr w:rsidR="00030AB7" w:rsidTr="00536BB8">
        <w:tc>
          <w:tcPr>
            <w:tcW w:w="0" w:type="auto"/>
          </w:tcPr>
          <w:p w:rsidR="00E0592D" w:rsidRPr="00E0592D" w:rsidRDefault="00E0592D" w:rsidP="00E0592D">
            <w:pPr>
              <w:pStyle w:val="ListParagraph"/>
              <w:numPr>
                <w:ilvl w:val="0"/>
                <w:numId w:val="11"/>
              </w:numPr>
              <w:rPr>
                <w:b/>
                <w:bCs/>
                <w:i/>
              </w:rPr>
            </w:pPr>
            <w:r w:rsidRPr="00E0592D">
              <w:rPr>
                <w:b/>
                <w:bCs/>
                <w:i/>
              </w:rPr>
              <w:t>Service pathway</w:t>
            </w:r>
          </w:p>
        </w:tc>
        <w:tc>
          <w:tcPr>
            <w:tcW w:w="0" w:type="auto"/>
          </w:tcPr>
          <w:p w:rsidR="00E0592D" w:rsidRDefault="00E0592D" w:rsidP="00536BB8">
            <w:pPr>
              <w:pStyle w:val="ListParagraph"/>
              <w:ind w:left="0"/>
            </w:pPr>
          </w:p>
        </w:tc>
        <w:tc>
          <w:tcPr>
            <w:tcW w:w="0" w:type="auto"/>
          </w:tcPr>
          <w:p w:rsidR="00E0592D" w:rsidRDefault="00E0592D" w:rsidP="00536BB8">
            <w:pPr>
              <w:pStyle w:val="ListParagraph"/>
              <w:ind w:left="0"/>
            </w:pPr>
          </w:p>
        </w:tc>
        <w:tc>
          <w:tcPr>
            <w:tcW w:w="0" w:type="auto"/>
          </w:tcPr>
          <w:p w:rsidR="00E0592D" w:rsidRDefault="00E0592D" w:rsidP="00536BB8">
            <w:pPr>
              <w:pStyle w:val="ListParagraph"/>
              <w:ind w:left="0"/>
            </w:pPr>
          </w:p>
          <w:p w:rsidR="00223F01" w:rsidRDefault="00223F01" w:rsidP="00536BB8">
            <w:pPr>
              <w:pStyle w:val="ListParagraph"/>
              <w:ind w:left="0"/>
            </w:pPr>
          </w:p>
        </w:tc>
      </w:tr>
      <w:tr w:rsidR="00030AB7" w:rsidTr="00536BB8">
        <w:tc>
          <w:tcPr>
            <w:tcW w:w="0" w:type="auto"/>
          </w:tcPr>
          <w:p w:rsidR="00557A6B" w:rsidRPr="00536BB8" w:rsidRDefault="00557A6B" w:rsidP="00536BB8">
            <w:pPr>
              <w:pStyle w:val="ListParagraph"/>
              <w:ind w:left="0"/>
              <w:rPr>
                <w:b/>
                <w:bCs/>
              </w:rPr>
            </w:pPr>
          </w:p>
        </w:tc>
        <w:tc>
          <w:tcPr>
            <w:tcW w:w="0" w:type="auto"/>
          </w:tcPr>
          <w:p w:rsidR="00557A6B" w:rsidRDefault="00E0592D" w:rsidP="002C446D">
            <w:pPr>
              <w:pStyle w:val="ListParagraph"/>
              <w:ind w:left="0"/>
            </w:pPr>
            <w:r>
              <w:t xml:space="preserve">Decision over </w:t>
            </w:r>
            <w:r w:rsidR="002C446D">
              <w:t>who provides the service and where</w:t>
            </w:r>
          </w:p>
        </w:tc>
        <w:tc>
          <w:tcPr>
            <w:tcW w:w="0" w:type="auto"/>
          </w:tcPr>
          <w:p w:rsidR="00557A6B" w:rsidRDefault="002C446D" w:rsidP="00536BB8">
            <w:pPr>
              <w:pStyle w:val="ListParagraph"/>
              <w:ind w:left="0"/>
            </w:pPr>
            <w:r>
              <w:t xml:space="preserve">Consider both neurologist run and geriatrician run clinics (since geriatricians have </w:t>
            </w:r>
            <w:r w:rsidR="005E434C">
              <w:t xml:space="preserve">stronger </w:t>
            </w:r>
            <w:r>
              <w:t xml:space="preserve">background in general medicine).  </w:t>
            </w:r>
            <w:r w:rsidR="00223F01">
              <w:t>It would be desirable to ‘test’ options in the clinical study setting.</w:t>
            </w:r>
          </w:p>
        </w:tc>
        <w:tc>
          <w:tcPr>
            <w:tcW w:w="0" w:type="auto"/>
          </w:tcPr>
          <w:p w:rsidR="00557A6B" w:rsidRDefault="002C446D" w:rsidP="00536BB8">
            <w:pPr>
              <w:pStyle w:val="ListParagraph"/>
              <w:ind w:left="0"/>
            </w:pPr>
            <w:r>
              <w:t xml:space="preserve">Necessary to get a range of expert opinion. </w:t>
            </w:r>
          </w:p>
        </w:tc>
      </w:tr>
      <w:tr w:rsidR="00030AB7" w:rsidTr="00536BB8">
        <w:tc>
          <w:tcPr>
            <w:tcW w:w="0" w:type="auto"/>
          </w:tcPr>
          <w:p w:rsidR="007A4533" w:rsidRDefault="00030AB7" w:rsidP="00030AB7">
            <w:pPr>
              <w:pStyle w:val="ListParagraph"/>
              <w:numPr>
                <w:ilvl w:val="0"/>
                <w:numId w:val="11"/>
              </w:numPr>
              <w:rPr>
                <w:b/>
                <w:bCs/>
              </w:rPr>
            </w:pPr>
            <w:r>
              <w:rPr>
                <w:b/>
                <w:bCs/>
              </w:rPr>
              <w:t>Interaction of disease process and service pathway</w:t>
            </w:r>
            <w:r w:rsidR="007A4533">
              <w:rPr>
                <w:b/>
                <w:bCs/>
              </w:rPr>
              <w:t xml:space="preserve"> </w:t>
            </w:r>
          </w:p>
          <w:p w:rsidR="00223F01" w:rsidRPr="00536BB8" w:rsidRDefault="00223F01" w:rsidP="00536BB8">
            <w:pPr>
              <w:pStyle w:val="ListParagraph"/>
              <w:ind w:left="0"/>
              <w:rPr>
                <w:b/>
                <w:bCs/>
              </w:rPr>
            </w:pPr>
          </w:p>
        </w:tc>
        <w:tc>
          <w:tcPr>
            <w:tcW w:w="0" w:type="auto"/>
          </w:tcPr>
          <w:p w:rsidR="00223F01" w:rsidRDefault="00223F01" w:rsidP="002C446D">
            <w:pPr>
              <w:pStyle w:val="ListParagraph"/>
              <w:ind w:left="0"/>
            </w:pPr>
          </w:p>
        </w:tc>
        <w:tc>
          <w:tcPr>
            <w:tcW w:w="0" w:type="auto"/>
          </w:tcPr>
          <w:p w:rsidR="007A4533" w:rsidRDefault="007A4533" w:rsidP="00536BB8">
            <w:pPr>
              <w:pStyle w:val="ListParagraph"/>
              <w:ind w:left="0"/>
            </w:pPr>
          </w:p>
        </w:tc>
        <w:tc>
          <w:tcPr>
            <w:tcW w:w="0" w:type="auto"/>
          </w:tcPr>
          <w:p w:rsidR="00223F01" w:rsidRDefault="00223F01" w:rsidP="00536BB8">
            <w:pPr>
              <w:pStyle w:val="ListParagraph"/>
              <w:ind w:left="0"/>
            </w:pPr>
          </w:p>
          <w:p w:rsidR="007A4533" w:rsidRDefault="007A4533" w:rsidP="00536BB8">
            <w:pPr>
              <w:pStyle w:val="ListParagraph"/>
              <w:ind w:left="0"/>
            </w:pPr>
          </w:p>
          <w:p w:rsidR="007A4533" w:rsidRDefault="007A4533" w:rsidP="00536BB8">
            <w:pPr>
              <w:pStyle w:val="ListParagraph"/>
              <w:ind w:left="0"/>
            </w:pPr>
          </w:p>
        </w:tc>
      </w:tr>
      <w:tr w:rsidR="00030AB7" w:rsidTr="007A4533">
        <w:tc>
          <w:tcPr>
            <w:tcW w:w="0" w:type="auto"/>
            <w:tcBorders>
              <w:bottom w:val="single" w:sz="4" w:space="0" w:color="auto"/>
            </w:tcBorders>
          </w:tcPr>
          <w:p w:rsidR="00223F01" w:rsidRPr="00536BB8" w:rsidRDefault="00223F01" w:rsidP="00536BB8">
            <w:pPr>
              <w:pStyle w:val="ListParagraph"/>
              <w:ind w:left="0"/>
              <w:rPr>
                <w:b/>
                <w:bCs/>
              </w:rPr>
            </w:pPr>
          </w:p>
        </w:tc>
        <w:tc>
          <w:tcPr>
            <w:tcW w:w="0" w:type="auto"/>
            <w:tcBorders>
              <w:bottom w:val="single" w:sz="4" w:space="0" w:color="auto"/>
            </w:tcBorders>
          </w:tcPr>
          <w:p w:rsidR="00223F01" w:rsidRDefault="00223F01" w:rsidP="002C446D">
            <w:pPr>
              <w:pStyle w:val="ListParagraph"/>
              <w:ind w:left="0"/>
            </w:pPr>
          </w:p>
        </w:tc>
        <w:tc>
          <w:tcPr>
            <w:tcW w:w="0" w:type="auto"/>
            <w:tcBorders>
              <w:bottom w:val="single" w:sz="4" w:space="0" w:color="auto"/>
            </w:tcBorders>
          </w:tcPr>
          <w:p w:rsidR="00223F01" w:rsidRDefault="00223F01" w:rsidP="00536BB8">
            <w:pPr>
              <w:pStyle w:val="ListParagraph"/>
              <w:ind w:left="0"/>
            </w:pPr>
          </w:p>
        </w:tc>
        <w:tc>
          <w:tcPr>
            <w:tcW w:w="0" w:type="auto"/>
            <w:tcBorders>
              <w:bottom w:val="single" w:sz="4" w:space="0" w:color="auto"/>
            </w:tcBorders>
          </w:tcPr>
          <w:p w:rsidR="00223F01" w:rsidRDefault="00223F01" w:rsidP="00536BB8">
            <w:pPr>
              <w:pStyle w:val="ListParagraph"/>
              <w:ind w:left="0"/>
            </w:pPr>
          </w:p>
        </w:tc>
      </w:tr>
      <w:tr w:rsidR="00030AB7" w:rsidTr="007A4533">
        <w:tc>
          <w:tcPr>
            <w:tcW w:w="0" w:type="auto"/>
            <w:tcBorders>
              <w:bottom w:val="single" w:sz="4" w:space="0" w:color="auto"/>
            </w:tcBorders>
          </w:tcPr>
          <w:p w:rsidR="00030AB7" w:rsidRPr="00536BB8" w:rsidRDefault="00030AB7" w:rsidP="00536BB8">
            <w:pPr>
              <w:pStyle w:val="ListParagraph"/>
              <w:ind w:left="0"/>
              <w:rPr>
                <w:b/>
                <w:bCs/>
              </w:rPr>
            </w:pPr>
          </w:p>
        </w:tc>
        <w:tc>
          <w:tcPr>
            <w:tcW w:w="0" w:type="auto"/>
            <w:tcBorders>
              <w:bottom w:val="single" w:sz="4" w:space="0" w:color="auto"/>
            </w:tcBorders>
          </w:tcPr>
          <w:p w:rsidR="00030AB7" w:rsidRDefault="00030AB7" w:rsidP="002C446D">
            <w:pPr>
              <w:pStyle w:val="ListParagraph"/>
              <w:ind w:left="0"/>
            </w:pPr>
            <w:r>
              <w:t>Cost drivers</w:t>
            </w:r>
          </w:p>
        </w:tc>
        <w:tc>
          <w:tcPr>
            <w:tcW w:w="0" w:type="auto"/>
            <w:tcBorders>
              <w:bottom w:val="single" w:sz="4" w:space="0" w:color="auto"/>
            </w:tcBorders>
          </w:tcPr>
          <w:p w:rsidR="00030AB7" w:rsidRDefault="00030AB7" w:rsidP="005E434C">
            <w:pPr>
              <w:pStyle w:val="ListParagraph"/>
              <w:ind w:left="0"/>
            </w:pPr>
            <w:r>
              <w:t xml:space="preserve">Difference between (likely) increase in costs of assessment and treatment relating to cardiac risk - acute admissions avoided due to </w:t>
            </w:r>
            <w:r w:rsidR="005E434C">
              <w:t>cardiac events</w:t>
            </w:r>
          </w:p>
          <w:p w:rsidR="00030AB7" w:rsidRDefault="00030AB7" w:rsidP="00536BB8">
            <w:pPr>
              <w:pStyle w:val="ListParagraph"/>
              <w:ind w:left="0"/>
            </w:pPr>
          </w:p>
        </w:tc>
        <w:tc>
          <w:tcPr>
            <w:tcW w:w="0" w:type="auto"/>
            <w:tcBorders>
              <w:bottom w:val="single" w:sz="4" w:space="0" w:color="auto"/>
            </w:tcBorders>
          </w:tcPr>
          <w:p w:rsidR="00030AB7" w:rsidRDefault="00B73F51" w:rsidP="00B73F51">
            <w:pPr>
              <w:pStyle w:val="ListParagraph"/>
              <w:ind w:left="0"/>
            </w:pPr>
            <w:r>
              <w:t>To identify guidance in managing cardiac r risk.</w:t>
            </w:r>
          </w:p>
        </w:tc>
      </w:tr>
      <w:tr w:rsidR="006B5A2E" w:rsidTr="00E02ED9">
        <w:trPr>
          <w:trHeight w:val="128"/>
        </w:trPr>
        <w:tc>
          <w:tcPr>
            <w:tcW w:w="0" w:type="auto"/>
            <w:tcBorders>
              <w:top w:val="single" w:sz="4" w:space="0" w:color="auto"/>
              <w:bottom w:val="nil"/>
            </w:tcBorders>
          </w:tcPr>
          <w:p w:rsidR="007A4533" w:rsidRPr="00536BB8" w:rsidRDefault="007A4533" w:rsidP="00536BB8">
            <w:pPr>
              <w:pStyle w:val="ListParagraph"/>
              <w:ind w:left="0"/>
              <w:rPr>
                <w:b/>
                <w:bCs/>
              </w:rPr>
            </w:pPr>
          </w:p>
        </w:tc>
        <w:tc>
          <w:tcPr>
            <w:tcW w:w="0" w:type="auto"/>
            <w:tcBorders>
              <w:top w:val="single" w:sz="4" w:space="0" w:color="auto"/>
              <w:bottom w:val="nil"/>
            </w:tcBorders>
          </w:tcPr>
          <w:p w:rsidR="007A4533" w:rsidRDefault="007A4533" w:rsidP="002C446D">
            <w:pPr>
              <w:pStyle w:val="ListParagraph"/>
              <w:ind w:left="0"/>
            </w:pPr>
            <w:r>
              <w:t xml:space="preserve">Consequences </w:t>
            </w:r>
          </w:p>
        </w:tc>
        <w:tc>
          <w:tcPr>
            <w:tcW w:w="0" w:type="auto"/>
            <w:tcBorders>
              <w:top w:val="single" w:sz="4" w:space="0" w:color="auto"/>
              <w:bottom w:val="nil"/>
            </w:tcBorders>
          </w:tcPr>
          <w:p w:rsidR="007A4533" w:rsidRDefault="007A4533" w:rsidP="00536BB8">
            <w:pPr>
              <w:pStyle w:val="ListParagraph"/>
              <w:ind w:left="0"/>
            </w:pPr>
            <w:r>
              <w:t>Estimates of LYG and QALYG relating to successful early intervention in cardiac risk in the modelled population</w:t>
            </w:r>
          </w:p>
        </w:tc>
        <w:tc>
          <w:tcPr>
            <w:tcW w:w="0" w:type="auto"/>
            <w:tcBorders>
              <w:top w:val="single" w:sz="4" w:space="0" w:color="auto"/>
              <w:bottom w:val="nil"/>
            </w:tcBorders>
          </w:tcPr>
          <w:p w:rsidR="007A4533" w:rsidRDefault="007A4533" w:rsidP="00536BB8">
            <w:pPr>
              <w:pStyle w:val="ListParagraph"/>
              <w:ind w:left="0"/>
            </w:pPr>
          </w:p>
        </w:tc>
      </w:tr>
      <w:tr w:rsidR="006B5A2E" w:rsidTr="007A4533">
        <w:tc>
          <w:tcPr>
            <w:tcW w:w="0" w:type="auto"/>
            <w:tcBorders>
              <w:top w:val="nil"/>
              <w:bottom w:val="single" w:sz="4" w:space="0" w:color="auto"/>
            </w:tcBorders>
          </w:tcPr>
          <w:p w:rsidR="007A4533" w:rsidRPr="00536BB8" w:rsidRDefault="007A4533" w:rsidP="00536BB8">
            <w:pPr>
              <w:pStyle w:val="ListParagraph"/>
              <w:ind w:left="0"/>
              <w:rPr>
                <w:b/>
                <w:bCs/>
              </w:rPr>
            </w:pPr>
          </w:p>
        </w:tc>
        <w:tc>
          <w:tcPr>
            <w:tcW w:w="0" w:type="auto"/>
            <w:tcBorders>
              <w:top w:val="nil"/>
              <w:bottom w:val="single" w:sz="4" w:space="0" w:color="auto"/>
            </w:tcBorders>
          </w:tcPr>
          <w:p w:rsidR="007A4533" w:rsidRDefault="007A4533" w:rsidP="002C446D">
            <w:pPr>
              <w:pStyle w:val="ListParagraph"/>
              <w:ind w:left="0"/>
            </w:pPr>
          </w:p>
        </w:tc>
        <w:tc>
          <w:tcPr>
            <w:tcW w:w="0" w:type="auto"/>
            <w:tcBorders>
              <w:top w:val="nil"/>
              <w:bottom w:val="single" w:sz="4" w:space="0" w:color="auto"/>
            </w:tcBorders>
          </w:tcPr>
          <w:p w:rsidR="007A4533" w:rsidRDefault="007A4533" w:rsidP="00536BB8">
            <w:pPr>
              <w:pStyle w:val="ListParagraph"/>
              <w:ind w:left="0"/>
            </w:pPr>
          </w:p>
        </w:tc>
        <w:tc>
          <w:tcPr>
            <w:tcW w:w="0" w:type="auto"/>
            <w:tcBorders>
              <w:top w:val="nil"/>
              <w:bottom w:val="single" w:sz="4" w:space="0" w:color="auto"/>
            </w:tcBorders>
          </w:tcPr>
          <w:p w:rsidR="007A4533" w:rsidRDefault="007A4533" w:rsidP="00536BB8">
            <w:pPr>
              <w:pStyle w:val="ListParagraph"/>
              <w:ind w:left="0"/>
            </w:pPr>
          </w:p>
        </w:tc>
      </w:tr>
    </w:tbl>
    <w:p w:rsidR="00E02ED9" w:rsidRDefault="00E02ED9" w:rsidP="00E02ED9">
      <w:pPr>
        <w:sectPr w:rsidR="00E02ED9" w:rsidSect="00E02ED9">
          <w:pgSz w:w="16838" w:h="11906" w:orient="landscape"/>
          <w:pgMar w:top="1440" w:right="1440" w:bottom="1440" w:left="1440" w:header="709" w:footer="709" w:gutter="0"/>
          <w:cols w:space="708"/>
          <w:docGrid w:linePitch="360"/>
        </w:sectPr>
      </w:pPr>
    </w:p>
    <w:p w:rsidR="00A9750B" w:rsidRDefault="00A9750B" w:rsidP="00557A6B">
      <w:pPr>
        <w:spacing w:line="360" w:lineRule="auto"/>
      </w:pPr>
    </w:p>
    <w:p w:rsidR="00030AB7" w:rsidRDefault="0053250F" w:rsidP="00030AB7">
      <w:pPr>
        <w:pStyle w:val="Heading3"/>
      </w:pPr>
      <w:r>
        <w:t>Five</w:t>
      </w:r>
      <w:r w:rsidR="00030AB7" w:rsidRPr="00030AB7">
        <w:t xml:space="preserve"> causal relations that are rather complex </w:t>
      </w:r>
    </w:p>
    <w:p w:rsidR="00710C13" w:rsidRPr="00710C13" w:rsidRDefault="00710C13" w:rsidP="00C1248C">
      <w:pPr>
        <w:spacing w:line="360" w:lineRule="auto"/>
      </w:pPr>
      <w:r>
        <w:t>As a spin-off from Table 2 and following the approaches of others, we identify a few of the causal relations we have discussed in meetings. We outline reasons for why understanding the hypothesised relation may be desirable but are yet to consider methods for closing the evidence gaps. In some cases,</w:t>
      </w:r>
      <w:r w:rsidR="007C1573">
        <w:t xml:space="preserve"> where the evidence gaps can’t be closed,</w:t>
      </w:r>
      <w:r>
        <w:t xml:space="preserve"> it may be the r</w:t>
      </w:r>
      <w:r w:rsidR="007C1573">
        <w:t>ole of the model to explore these hypothesised relations as structural and parameter uncertainties.</w:t>
      </w:r>
    </w:p>
    <w:p w:rsidR="00DD2677" w:rsidRDefault="00A9750B" w:rsidP="0053250F">
      <w:pPr>
        <w:pStyle w:val="ListParagraph"/>
        <w:numPr>
          <w:ilvl w:val="0"/>
          <w:numId w:val="12"/>
        </w:numPr>
        <w:spacing w:line="360" w:lineRule="auto"/>
      </w:pPr>
      <w:r>
        <w:t>What is</w:t>
      </w:r>
      <w:r w:rsidR="00DA1C9B">
        <w:t xml:space="preserve"> the effectiveness of</w:t>
      </w:r>
      <w:r>
        <w:t xml:space="preserve"> </w:t>
      </w:r>
      <w:r w:rsidR="00DA1C9B">
        <w:t xml:space="preserve">assessing cardiac </w:t>
      </w:r>
      <w:r w:rsidR="007F2FB5">
        <w:t>risk sooner</w:t>
      </w:r>
      <w:r>
        <w:t xml:space="preserve"> in patients with suspected TIA?</w:t>
      </w:r>
    </w:p>
    <w:p w:rsidR="008B7171" w:rsidRDefault="00537492" w:rsidP="008B7171">
      <w:pPr>
        <w:pStyle w:val="ListParagraph"/>
        <w:numPr>
          <w:ilvl w:val="0"/>
          <w:numId w:val="13"/>
        </w:numPr>
        <w:spacing w:line="360" w:lineRule="auto"/>
      </w:pPr>
      <w:r>
        <w:t xml:space="preserve">Desirable as: A measure of intervention </w:t>
      </w:r>
      <w:r w:rsidR="008B7171">
        <w:t>effectiveness</w:t>
      </w:r>
      <w:r>
        <w:t xml:space="preserve"> is needed to assess benefit of intervention.</w:t>
      </w:r>
    </w:p>
    <w:p w:rsidR="008B7171" w:rsidRDefault="007A4533" w:rsidP="008B7171">
      <w:pPr>
        <w:pStyle w:val="ListParagraph"/>
        <w:numPr>
          <w:ilvl w:val="0"/>
          <w:numId w:val="12"/>
        </w:numPr>
        <w:spacing w:line="360" w:lineRule="auto"/>
      </w:pPr>
      <w:r>
        <w:t>Although disti</w:t>
      </w:r>
      <w:r w:rsidR="00030AB7">
        <w:t>nct, are the diagnoses made by specialists linked to</w:t>
      </w:r>
      <w:r w:rsidR="0053250F">
        <w:t xml:space="preserve"> patient’s subsequent </w:t>
      </w:r>
      <w:r w:rsidR="007F2FB5">
        <w:t xml:space="preserve">prognosis? </w:t>
      </w:r>
    </w:p>
    <w:p w:rsidR="008B7171" w:rsidRDefault="00537492" w:rsidP="008B7171">
      <w:pPr>
        <w:pStyle w:val="ListParagraph"/>
        <w:numPr>
          <w:ilvl w:val="0"/>
          <w:numId w:val="13"/>
        </w:numPr>
        <w:spacing w:line="360" w:lineRule="auto"/>
      </w:pPr>
      <w:r>
        <w:t xml:space="preserve">Desirable as: </w:t>
      </w:r>
      <w:r w:rsidR="008B7171">
        <w:t xml:space="preserve">Intuition would suggest that some diagnoses would imply a prognosis, this could be tackled by longitudinal follow-up of all </w:t>
      </w:r>
      <w:r>
        <w:t>patients referred to TIA clinic. If diagnosis is linked to prognosis knowledge of this could influence who is treated and how.</w:t>
      </w:r>
    </w:p>
    <w:p w:rsidR="008B7171" w:rsidRDefault="00A9750B" w:rsidP="008B7171">
      <w:pPr>
        <w:pStyle w:val="ListParagraph"/>
        <w:numPr>
          <w:ilvl w:val="0"/>
          <w:numId w:val="12"/>
        </w:numPr>
        <w:spacing w:line="360" w:lineRule="auto"/>
      </w:pPr>
      <w:r>
        <w:t xml:space="preserve">Is there a basis for different decision rules </w:t>
      </w:r>
      <w:r w:rsidR="007A4533">
        <w:t xml:space="preserve">in </w:t>
      </w:r>
      <w:r w:rsidR="00030AB7">
        <w:t>TIA mimics</w:t>
      </w:r>
      <w:r>
        <w:t xml:space="preserve"> </w:t>
      </w:r>
      <w:r w:rsidR="00223F01">
        <w:t xml:space="preserve">presenting </w:t>
      </w:r>
      <w:r>
        <w:t>with different symptoms</w:t>
      </w:r>
      <w:r w:rsidR="00223F01">
        <w:t xml:space="preserve"> i.e. non-focal vs. mixed (focal and non-focal) symptoms</w:t>
      </w:r>
      <w:r w:rsidR="007A4533">
        <w:t>?</w:t>
      </w:r>
      <w:r w:rsidR="0053250F">
        <w:rPr>
          <w:rStyle w:val="FootnoteReference"/>
        </w:rPr>
        <w:footnoteReference w:id="5"/>
      </w:r>
    </w:p>
    <w:p w:rsidR="008B7171" w:rsidRDefault="00537492" w:rsidP="00161483">
      <w:pPr>
        <w:pStyle w:val="ListParagraph"/>
        <w:numPr>
          <w:ilvl w:val="0"/>
          <w:numId w:val="13"/>
        </w:numPr>
        <w:spacing w:line="360" w:lineRule="auto"/>
      </w:pPr>
      <w:r>
        <w:t>Desirable as: O</w:t>
      </w:r>
      <w:r w:rsidR="008B7171">
        <w:t>ne population based study suggests that mixed symptoms are associated with particularly poor outcomes. (</w:t>
      </w:r>
      <w:proofErr w:type="spellStart"/>
      <w:r w:rsidR="008B7171">
        <w:t>Bos</w:t>
      </w:r>
      <w:proofErr w:type="spellEnd"/>
      <w:r w:rsidR="00B73F51">
        <w:t xml:space="preserve"> </w:t>
      </w:r>
      <w:r w:rsidR="00F66891">
        <w:t>et al,</w:t>
      </w:r>
      <w:r w:rsidR="008B7171">
        <w:t xml:space="preserve">, </w:t>
      </w:r>
      <w:r w:rsidR="00AA42AC">
        <w:t>2008</w:t>
      </w:r>
      <w:r w:rsidR="008B7171">
        <w:t>)</w:t>
      </w:r>
    </w:p>
    <w:p w:rsidR="00161483" w:rsidRDefault="00223F01" w:rsidP="00161483">
      <w:pPr>
        <w:pStyle w:val="ListParagraph"/>
        <w:numPr>
          <w:ilvl w:val="0"/>
          <w:numId w:val="12"/>
        </w:numPr>
        <w:spacing w:line="360" w:lineRule="auto"/>
      </w:pPr>
      <w:r>
        <w:t>Would service re-design have any impact on the proportion of patients incepted into the</w:t>
      </w:r>
      <w:r w:rsidR="007A4533">
        <w:t xml:space="preserve"> (new)</w:t>
      </w:r>
      <w:r>
        <w:t xml:space="preserve"> pathway?</w:t>
      </w:r>
      <w:r w:rsidR="00161483">
        <w:t xml:space="preserve"> </w:t>
      </w:r>
    </w:p>
    <w:p w:rsidR="008B7171" w:rsidRDefault="00537492" w:rsidP="007363BE">
      <w:pPr>
        <w:pStyle w:val="ListParagraph"/>
        <w:numPr>
          <w:ilvl w:val="0"/>
          <w:numId w:val="13"/>
        </w:numPr>
        <w:spacing w:line="360" w:lineRule="auto"/>
      </w:pPr>
      <w:r>
        <w:t xml:space="preserve">Desirable as: </w:t>
      </w:r>
      <w:r w:rsidR="00161483">
        <w:t>It is hard to anticipate the effect of a change in service design on the numbers of patients likely to be referred for investigations</w:t>
      </w:r>
      <w:r w:rsidR="007363BE">
        <w:t xml:space="preserve"> by GPs</w:t>
      </w:r>
      <w:r w:rsidR="00161483">
        <w:t xml:space="preserve">. It is possible that GPs currently refer patients to TIA clinics because this ensures they are seen </w:t>
      </w:r>
      <w:r w:rsidR="007363BE">
        <w:t>promptly; the high proportion of false-positives may be an artefact of a disease-driven system that ignores patients with suspected TIA.</w:t>
      </w:r>
    </w:p>
    <w:p w:rsidR="009847CF" w:rsidRDefault="007A4533" w:rsidP="007363BE">
      <w:pPr>
        <w:pStyle w:val="ListParagraph"/>
        <w:numPr>
          <w:ilvl w:val="0"/>
          <w:numId w:val="12"/>
        </w:numPr>
        <w:spacing w:line="360" w:lineRule="auto"/>
      </w:pPr>
      <w:r>
        <w:t>Would primary prevention initiatives (e.g. in hypertension</w:t>
      </w:r>
      <w:r w:rsidR="008B7171">
        <w:t>, or else revising referral proformas) potentially negate</w:t>
      </w:r>
      <w:r>
        <w:t xml:space="preserve"> the </w:t>
      </w:r>
      <w:r w:rsidR="008B7171">
        <w:t>need for assessment of cardiac risk</w:t>
      </w:r>
      <w:r>
        <w:t>?</w:t>
      </w:r>
    </w:p>
    <w:p w:rsidR="007363BE" w:rsidRDefault="007363BE" w:rsidP="007363BE">
      <w:pPr>
        <w:pStyle w:val="ListParagraph"/>
        <w:numPr>
          <w:ilvl w:val="0"/>
          <w:numId w:val="13"/>
        </w:numPr>
        <w:spacing w:line="360" w:lineRule="auto"/>
      </w:pPr>
      <w:r>
        <w:t xml:space="preserve">Desirable </w:t>
      </w:r>
      <w:r w:rsidR="00537492">
        <w:t xml:space="preserve">as: Need </w:t>
      </w:r>
      <w:r>
        <w:t>to consider how service innovations elsewhere in the system might impact on modelled outcomes</w:t>
      </w:r>
    </w:p>
    <w:p w:rsidR="002A7F43" w:rsidRDefault="009C68F7" w:rsidP="00944891">
      <w:pPr>
        <w:pStyle w:val="Heading2"/>
        <w:numPr>
          <w:ilvl w:val="0"/>
          <w:numId w:val="9"/>
        </w:numPr>
      </w:pPr>
      <w:r>
        <w:lastRenderedPageBreak/>
        <w:t>Discussion</w:t>
      </w:r>
    </w:p>
    <w:p w:rsidR="00475900" w:rsidRDefault="002A7F43" w:rsidP="002A7F43">
      <w:pPr>
        <w:spacing w:line="360" w:lineRule="auto"/>
      </w:pPr>
      <w:r>
        <w:t>Although this is the discussion, it is also a beginning</w:t>
      </w:r>
      <w:r w:rsidR="00A3548D">
        <w:t xml:space="preserve"> of our modelling journey</w:t>
      </w:r>
      <w:r>
        <w:t>. We have not yet begun to truly evaluate the implications of alternative service pathway models in transient neurological disturbances</w:t>
      </w:r>
      <w:r w:rsidR="00A3548D">
        <w:t>.</w:t>
      </w:r>
      <w:r>
        <w:t xml:space="preserve"> </w:t>
      </w:r>
      <w:r w:rsidR="00A3548D">
        <w:t xml:space="preserve">Nevertheless, </w:t>
      </w:r>
      <w:r>
        <w:t xml:space="preserve">we </w:t>
      </w:r>
      <w:r w:rsidR="007E4B75">
        <w:t>have</w:t>
      </w:r>
      <w:r w:rsidR="00907C54">
        <w:t xml:space="preserve"> provisionally indicated </w:t>
      </w:r>
      <w:r w:rsidR="00907C54" w:rsidRPr="00907C54">
        <w:rPr>
          <w:i/>
        </w:rPr>
        <w:t>what is going to be modelled and how</w:t>
      </w:r>
      <w:r>
        <w:t>.</w:t>
      </w:r>
      <w:r w:rsidR="008B62D7">
        <w:t xml:space="preserve"> We now look to further develop this conceptual model with appropria</w:t>
      </w:r>
      <w:r w:rsidR="007E26CD">
        <w:t>te input from others, and we hope our paper provides a forum for discussion. To this end, we identify some questions below.</w:t>
      </w:r>
    </w:p>
    <w:p w:rsidR="004516BB" w:rsidRDefault="002328F5" w:rsidP="002A7F43">
      <w:pPr>
        <w:spacing w:line="360" w:lineRule="auto"/>
      </w:pPr>
      <w:r>
        <w:t>More generally, this paper</w:t>
      </w:r>
      <w:r w:rsidR="007E26CD">
        <w:t xml:space="preserve"> has</w:t>
      </w:r>
      <w:r>
        <w:t xml:space="preserve"> </w:t>
      </w:r>
      <w:r w:rsidR="007E26CD">
        <w:t>exposed</w:t>
      </w:r>
      <w:r>
        <w:t xml:space="preserve"> a potential problem with guidance based on disease-driven models of care</w:t>
      </w:r>
      <w:r w:rsidR="00475900">
        <w:t xml:space="preserve">. </w:t>
      </w:r>
      <w:r>
        <w:t xml:space="preserve">We suspect there may be other areas of Health </w:t>
      </w:r>
      <w:r w:rsidR="00676114">
        <w:t xml:space="preserve">Services Research </w:t>
      </w:r>
      <w:r>
        <w:t xml:space="preserve">where there could be service innovations if the conceptualisation of the problem was made more explicit. </w:t>
      </w:r>
    </w:p>
    <w:p w:rsidR="00537492" w:rsidRDefault="00537492" w:rsidP="002A7F43">
      <w:pPr>
        <w:spacing w:line="360" w:lineRule="auto"/>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42"/>
      </w:tblGrid>
      <w:tr w:rsidR="006B5A2E" w:rsidRPr="006B5A2E" w:rsidTr="006B5A2E">
        <w:tc>
          <w:tcPr>
            <w:tcW w:w="9242" w:type="dxa"/>
          </w:tcPr>
          <w:p w:rsidR="006B5A2E" w:rsidRPr="006B5A2E" w:rsidRDefault="006B5A2E" w:rsidP="00420492">
            <w:pPr>
              <w:jc w:val="both"/>
              <w:rPr>
                <w:bCs/>
                <w:i/>
              </w:rPr>
            </w:pPr>
          </w:p>
        </w:tc>
      </w:tr>
      <w:tr w:rsidR="006B5A2E" w:rsidRPr="006B5A2E" w:rsidTr="006B5A2E">
        <w:tc>
          <w:tcPr>
            <w:tcW w:w="9242" w:type="dxa"/>
          </w:tcPr>
          <w:p w:rsidR="006B5A2E" w:rsidRPr="006B5A2E" w:rsidRDefault="006B5A2E" w:rsidP="00A8548F">
            <w:pPr>
              <w:jc w:val="both"/>
              <w:rPr>
                <w:bCs/>
                <w:i/>
              </w:rPr>
            </w:pPr>
            <w:r w:rsidRPr="006B5A2E">
              <w:rPr>
                <w:bCs/>
                <w:i/>
              </w:rPr>
              <w:t xml:space="preserve">Possible areas for discussion that we have thought of are : </w:t>
            </w:r>
          </w:p>
        </w:tc>
      </w:tr>
      <w:tr w:rsidR="006B5A2E" w:rsidRPr="006B5A2E" w:rsidTr="006B5A2E">
        <w:tc>
          <w:tcPr>
            <w:tcW w:w="9242" w:type="dxa"/>
          </w:tcPr>
          <w:p w:rsidR="006B5A2E" w:rsidRPr="00B50637" w:rsidRDefault="006B5A2E" w:rsidP="00B50637">
            <w:pPr>
              <w:rPr>
                <w:bCs/>
                <w:i/>
              </w:rPr>
            </w:pPr>
          </w:p>
        </w:tc>
      </w:tr>
      <w:tr w:rsidR="006B5A2E" w:rsidRPr="006B5A2E" w:rsidTr="006B5A2E">
        <w:tc>
          <w:tcPr>
            <w:tcW w:w="9242" w:type="dxa"/>
          </w:tcPr>
          <w:p w:rsidR="006B5A2E" w:rsidRPr="006B5A2E" w:rsidRDefault="006B5A2E" w:rsidP="00B50637">
            <w:pPr>
              <w:numPr>
                <w:ilvl w:val="0"/>
                <w:numId w:val="15"/>
              </w:numPr>
              <w:jc w:val="both"/>
              <w:rPr>
                <w:bCs/>
                <w:i/>
              </w:rPr>
            </w:pPr>
            <w:r w:rsidRPr="006B5A2E">
              <w:rPr>
                <w:bCs/>
                <w:i/>
              </w:rPr>
              <w:t xml:space="preserve">Guidance welcomed on </w:t>
            </w:r>
            <w:r w:rsidR="00B50637">
              <w:rPr>
                <w:bCs/>
                <w:i/>
              </w:rPr>
              <w:t xml:space="preserve">problem structuring </w:t>
            </w:r>
            <w:r w:rsidRPr="006B5A2E">
              <w:rPr>
                <w:bCs/>
                <w:i/>
              </w:rPr>
              <w:t xml:space="preserve">methods </w:t>
            </w:r>
            <w:r w:rsidR="00B50637">
              <w:rPr>
                <w:bCs/>
                <w:i/>
              </w:rPr>
              <w:t xml:space="preserve">in potential service </w:t>
            </w:r>
            <w:r w:rsidRPr="006B5A2E">
              <w:rPr>
                <w:bCs/>
                <w:i/>
              </w:rPr>
              <w:t>pathway models (particularly with respect to involving stakeholders including service users) </w:t>
            </w:r>
          </w:p>
        </w:tc>
      </w:tr>
      <w:tr w:rsidR="006B5A2E" w:rsidRPr="006B5A2E" w:rsidTr="006B5A2E">
        <w:tc>
          <w:tcPr>
            <w:tcW w:w="9242" w:type="dxa"/>
          </w:tcPr>
          <w:p w:rsidR="006B5A2E" w:rsidRPr="006B5A2E" w:rsidRDefault="006B5A2E" w:rsidP="00B50637">
            <w:pPr>
              <w:numPr>
                <w:ilvl w:val="0"/>
                <w:numId w:val="15"/>
              </w:numPr>
              <w:jc w:val="both"/>
              <w:rPr>
                <w:bCs/>
                <w:i/>
              </w:rPr>
            </w:pPr>
            <w:r w:rsidRPr="006B5A2E">
              <w:rPr>
                <w:bCs/>
                <w:i/>
              </w:rPr>
              <w:t xml:space="preserve">Other disease areas where the ‘real’ population receiving an intervention is not the same as the target population </w:t>
            </w:r>
          </w:p>
        </w:tc>
      </w:tr>
      <w:tr w:rsidR="006B5A2E" w:rsidRPr="006B5A2E" w:rsidTr="006B5A2E">
        <w:tc>
          <w:tcPr>
            <w:tcW w:w="9242" w:type="dxa"/>
          </w:tcPr>
          <w:p w:rsidR="006B5A2E" w:rsidRDefault="006B5A2E" w:rsidP="00B50637">
            <w:pPr>
              <w:numPr>
                <w:ilvl w:val="0"/>
                <w:numId w:val="15"/>
              </w:numPr>
              <w:jc w:val="both"/>
              <w:rPr>
                <w:bCs/>
                <w:i/>
              </w:rPr>
            </w:pPr>
            <w:r w:rsidRPr="006B5A2E">
              <w:rPr>
                <w:bCs/>
                <w:i/>
              </w:rPr>
              <w:t>Ideas on the analytical  methods used (those presented and others possible) to suggest that the alternate service pathway models are a feasible option for model development (see Table 2)</w:t>
            </w:r>
          </w:p>
          <w:p w:rsidR="00932B8E" w:rsidRPr="006B5A2E" w:rsidRDefault="00B50637" w:rsidP="00B50637">
            <w:pPr>
              <w:numPr>
                <w:ilvl w:val="0"/>
                <w:numId w:val="15"/>
              </w:numPr>
              <w:jc w:val="both"/>
              <w:rPr>
                <w:bCs/>
                <w:i/>
              </w:rPr>
            </w:pPr>
            <w:r>
              <w:rPr>
                <w:bCs/>
                <w:i/>
              </w:rPr>
              <w:t xml:space="preserve">Idea on next steps – author is engaged in the development of ‘an </w:t>
            </w:r>
            <w:r w:rsidR="00932B8E">
              <w:rPr>
                <w:bCs/>
                <w:i/>
              </w:rPr>
              <w:t>empirical thought experim</w:t>
            </w:r>
            <w:r>
              <w:rPr>
                <w:bCs/>
                <w:i/>
              </w:rPr>
              <w:t>ent’ to test the feasibility of a model of service provision which considers cardiac risk factors</w:t>
            </w:r>
          </w:p>
        </w:tc>
      </w:tr>
    </w:tbl>
    <w:p w:rsidR="00537492" w:rsidRDefault="00B50637" w:rsidP="00DD2677">
      <w:pPr>
        <w:pStyle w:val="Heading2"/>
        <w:sectPr w:rsidR="00537492" w:rsidSect="0085001F">
          <w:pgSz w:w="11906" w:h="16838"/>
          <w:pgMar w:top="1440" w:right="1440" w:bottom="1440" w:left="1440" w:header="708" w:footer="708" w:gutter="0"/>
          <w:cols w:space="708"/>
          <w:docGrid w:linePitch="360"/>
        </w:sectPr>
      </w:pPr>
      <w:r>
        <w:t xml:space="preserve"> </w:t>
      </w:r>
    </w:p>
    <w:p w:rsidR="006B5A2E" w:rsidRDefault="006B5A2E" w:rsidP="00DD2677">
      <w:pPr>
        <w:pStyle w:val="Heading2"/>
      </w:pPr>
    </w:p>
    <w:p w:rsidR="00DD2677" w:rsidRPr="00DD2677" w:rsidRDefault="00DD2677" w:rsidP="00DD2677">
      <w:pPr>
        <w:pStyle w:val="Heading2"/>
      </w:pPr>
      <w:r w:rsidRPr="00DD2677">
        <w:t>References</w:t>
      </w:r>
      <w:r w:rsidR="00E07F98">
        <w:t>/ Bibliography</w:t>
      </w:r>
    </w:p>
    <w:p w:rsidR="00D85A6D" w:rsidRPr="00FF42C0" w:rsidRDefault="00D85A6D" w:rsidP="00DD2677">
      <w:pPr>
        <w:jc w:val="both"/>
        <w:rPr>
          <w:bCs/>
          <w:i/>
        </w:rPr>
      </w:pPr>
    </w:p>
    <w:p w:rsidR="00D85A6D" w:rsidRDefault="00D85A6D" w:rsidP="00D85A6D">
      <w:pPr>
        <w:pStyle w:val="EndNoteBibliography"/>
        <w:spacing w:after="0"/>
      </w:pPr>
      <w:r>
        <w:fldChar w:fldCharType="begin"/>
      </w:r>
      <w:r>
        <w:instrText xml:space="preserve"> ADDIN EN.REFLIST </w:instrText>
      </w:r>
      <w:r>
        <w:fldChar w:fldCharType="separate"/>
      </w:r>
      <w:r w:rsidRPr="00420492">
        <w:t>Bos MJ, van Rijn ME, Witteman JM, Hofman A, Koudstaal PJ, Breteler MB. INcidence and prognosis of transient neurological attacks. JAMA. 2007;298(24):2877-85.</w:t>
      </w:r>
    </w:p>
    <w:p w:rsidR="00A62AAE" w:rsidRPr="00420492" w:rsidRDefault="00A62AAE" w:rsidP="00D85A6D">
      <w:pPr>
        <w:pStyle w:val="EndNoteBibliography"/>
        <w:spacing w:after="0"/>
      </w:pPr>
    </w:p>
    <w:p w:rsidR="00D85A6D" w:rsidRDefault="00D85A6D" w:rsidP="00D85A6D">
      <w:pPr>
        <w:pStyle w:val="EndNoteBibliography"/>
        <w:spacing w:after="0"/>
      </w:pPr>
      <w:r w:rsidRPr="00420492">
        <w:t>Cadilhac DA, Moodie ML, Lalor EE, Bilney LE, Donnan GA, National Stroke F. Improving access to evidence-based acute stroke services: development and evaluation of a health systems model to address equity of access issues. Australian health review : a publication of the Australian Hospital Association. 2006;30(1):109-18.</w:t>
      </w:r>
    </w:p>
    <w:p w:rsidR="00A62AAE" w:rsidRPr="00420492" w:rsidRDefault="00A62AAE" w:rsidP="00D85A6D">
      <w:pPr>
        <w:pStyle w:val="EndNoteBibliography"/>
        <w:spacing w:after="0"/>
      </w:pPr>
    </w:p>
    <w:p w:rsidR="00D85A6D" w:rsidRDefault="00D85A6D" w:rsidP="00D85A6D">
      <w:pPr>
        <w:pStyle w:val="EndNoteBibliography"/>
        <w:spacing w:after="0"/>
      </w:pPr>
      <w:r w:rsidRPr="00420492">
        <w:t>Cameron AC, Dawson J, Quinn TJ, Walters MR, McInnes GT, Morrison D, et al. Long-term outcome following attendance at a transient ischemic attack clinic. International Journal of Stroke. 2011;6(4):306-11.</w:t>
      </w:r>
    </w:p>
    <w:p w:rsidR="00A62AAE" w:rsidRPr="00420492" w:rsidRDefault="00A62AAE" w:rsidP="00D85A6D">
      <w:pPr>
        <w:pStyle w:val="EndNoteBibliography"/>
        <w:spacing w:after="0"/>
      </w:pPr>
    </w:p>
    <w:p w:rsidR="00D85A6D" w:rsidRDefault="00D85A6D" w:rsidP="00D85A6D">
      <w:pPr>
        <w:pStyle w:val="EndNoteBibliography"/>
        <w:spacing w:after="0"/>
      </w:pPr>
      <w:r w:rsidRPr="00420492">
        <w:t>Greenhalgh T, Robert G, Macfarlane F, Bate P, Kyriakidou O. Diffusion of innovations in service organizations: Systematic review and recommendations. Milbank Quarterly. 2004;82(4):581-629.</w:t>
      </w:r>
    </w:p>
    <w:p w:rsidR="00A62AAE" w:rsidRPr="00420492" w:rsidRDefault="00A62AAE" w:rsidP="00D85A6D">
      <w:pPr>
        <w:pStyle w:val="EndNoteBibliography"/>
        <w:spacing w:after="0"/>
      </w:pPr>
    </w:p>
    <w:p w:rsidR="00D85A6D" w:rsidRDefault="00D85A6D" w:rsidP="00D85A6D">
      <w:pPr>
        <w:pStyle w:val="EndNoteBibliography"/>
        <w:spacing w:after="0"/>
      </w:pPr>
      <w:r w:rsidRPr="00420492">
        <w:t>Holmes M, Rathbone J, Littlewood C, Rawdin A, Stevenson M, Stevens J, et al. Routine echocardiography in the management of stroke and transient ischaemic attack: a systematic review and economic evaluation. Health Technology Assessment. 2014;18(16):1-+.</w:t>
      </w:r>
    </w:p>
    <w:p w:rsidR="00A62AAE" w:rsidRPr="00420492" w:rsidRDefault="00A62AAE" w:rsidP="00D85A6D">
      <w:pPr>
        <w:pStyle w:val="EndNoteBibliography"/>
        <w:spacing w:after="0"/>
      </w:pPr>
    </w:p>
    <w:p w:rsidR="00D85A6D" w:rsidRDefault="00D85A6D" w:rsidP="00D85A6D">
      <w:pPr>
        <w:pStyle w:val="EndNoteBibliography"/>
        <w:spacing w:after="0"/>
      </w:pPr>
      <w:r w:rsidRPr="00420492">
        <w:t>Johnston SC, Rothwell PM, Nguyen-Huynh MN, Giles MF, Elkins JS, Bernstein AL, et al. Validation and refinement of scores to predict very early stroke risk after transient ischaemic attack. Lancet. 2007;369(9558):283-92.</w:t>
      </w:r>
    </w:p>
    <w:p w:rsidR="00A62AAE" w:rsidRPr="00420492" w:rsidRDefault="00A62AAE" w:rsidP="00D85A6D">
      <w:pPr>
        <w:pStyle w:val="EndNoteBibliography"/>
        <w:spacing w:after="0"/>
      </w:pPr>
    </w:p>
    <w:p w:rsidR="00D85A6D" w:rsidRPr="00420492" w:rsidRDefault="00D85A6D" w:rsidP="00D85A6D">
      <w:pPr>
        <w:pStyle w:val="EndNoteBibliography"/>
        <w:spacing w:after="0"/>
      </w:pPr>
      <w:r w:rsidRPr="00420492">
        <w:t xml:space="preserve">Kaltenthaler E, Tappenden, P., </w:t>
      </w:r>
      <w:r w:rsidR="00AA42AC">
        <w:t>Paisley, S., Squires,H. Nice DSU Technical s</w:t>
      </w:r>
      <w:r w:rsidRPr="00420492">
        <w:t>upport document 13:</w:t>
      </w:r>
      <w:r w:rsidR="00AA42AC">
        <w:t xml:space="preserve"> </w:t>
      </w:r>
      <w:r w:rsidRPr="00420492">
        <w:t>Identifying and reviewing evidence to inform the conceptualisation and population of cost-effectiveness models. 2011:1-72.</w:t>
      </w:r>
    </w:p>
    <w:p w:rsidR="00162C8D" w:rsidRDefault="00162C8D" w:rsidP="00D85A6D">
      <w:pPr>
        <w:pStyle w:val="EndNoteBibliography"/>
        <w:spacing w:after="0"/>
      </w:pPr>
    </w:p>
    <w:p w:rsidR="00D85A6D" w:rsidRDefault="00D85A6D" w:rsidP="00D85A6D">
      <w:pPr>
        <w:pStyle w:val="EndNoteBibliography"/>
        <w:spacing w:after="0"/>
      </w:pPr>
      <w:r w:rsidRPr="00420492">
        <w:t>Lasserson D. Recognition and management of transient ischaemic attack in primary care. British Journal of General Practice. 2013;63(607):62-3.</w:t>
      </w:r>
    </w:p>
    <w:p w:rsidR="00A62AAE" w:rsidRDefault="00A62AAE" w:rsidP="00D85A6D">
      <w:pPr>
        <w:pStyle w:val="EndNoteBibliography"/>
        <w:spacing w:after="0"/>
      </w:pPr>
    </w:p>
    <w:p w:rsidR="00162C8D" w:rsidRDefault="00162C8D" w:rsidP="00D85A6D">
      <w:pPr>
        <w:pStyle w:val="EndNoteBibliography"/>
        <w:spacing w:after="0"/>
      </w:pPr>
      <w:r>
        <w:t xml:space="preserve">Medline plus 2014. Available: </w:t>
      </w:r>
      <w:r w:rsidRPr="00162C8D">
        <w:t>http://www.nlm.nih.gov/medlineplus/ency/article/003191.htm</w:t>
      </w:r>
      <w:r>
        <w:t>. Accessed 01/5/2014</w:t>
      </w:r>
    </w:p>
    <w:p w:rsidR="00162C8D" w:rsidRDefault="00162C8D" w:rsidP="00D85A6D">
      <w:pPr>
        <w:pStyle w:val="EndNoteBibliography"/>
        <w:spacing w:after="0"/>
      </w:pPr>
    </w:p>
    <w:p w:rsidR="00A62AAE" w:rsidRDefault="00A62AAE" w:rsidP="00D85A6D">
      <w:pPr>
        <w:pStyle w:val="EndNoteBibliography"/>
        <w:spacing w:after="0"/>
      </w:pPr>
      <w:r w:rsidRPr="00A62AAE">
        <w:t>National Audit Office February 2010. Progress in improving stroke care. Report on the findings from our modelling of service provision. www.nao.org.uk/wp-content/uploads/2010/02/0910291.pdf. Accessed 28/05/</w:t>
      </w:r>
      <w:r w:rsidR="00162C8D">
        <w:t>20</w:t>
      </w:r>
      <w:r w:rsidRPr="00A62AAE">
        <w:t>13.</w:t>
      </w:r>
    </w:p>
    <w:p w:rsidR="00C917B2" w:rsidRDefault="00C917B2" w:rsidP="00D85A6D">
      <w:pPr>
        <w:pStyle w:val="EndNoteBibliography"/>
        <w:spacing w:after="0"/>
      </w:pPr>
    </w:p>
    <w:p w:rsidR="00C917B2" w:rsidRDefault="00C917B2" w:rsidP="00D85A6D">
      <w:pPr>
        <w:pStyle w:val="EndNoteBibliography"/>
        <w:spacing w:after="0"/>
      </w:pPr>
      <w:r w:rsidRPr="00C917B2">
        <w:t>NICE 2008. Stroke: diagnosis and initial management of acute stroke and transient ischaemic attack (TIA). NICE guideline Draft for consultation. Available: http://www.nice.org.uk/nicemedia/pdf/cg68niceguideline.pdf. Accessed 04/11/2013.</w:t>
      </w:r>
    </w:p>
    <w:p w:rsidR="00113E06" w:rsidRDefault="00113E06" w:rsidP="00D85A6D">
      <w:pPr>
        <w:pStyle w:val="EndNoteBibliography"/>
        <w:spacing w:after="0"/>
      </w:pPr>
    </w:p>
    <w:p w:rsidR="00113E06" w:rsidRDefault="00113E06" w:rsidP="00D85A6D">
      <w:pPr>
        <w:pStyle w:val="EndNoteBibliography"/>
        <w:spacing w:after="0"/>
      </w:pPr>
      <w:r>
        <w:rPr>
          <w:lang w:val="en-GB"/>
        </w:rPr>
        <w:t xml:space="preserve">NICE pathways. Stroke and TIA pathway [online resource]. Available:  </w:t>
      </w:r>
      <w:hyperlink r:id="rId11" w:history="1">
        <w:r w:rsidRPr="00113E06">
          <w:rPr>
            <w:rStyle w:val="Hyperlink"/>
            <w:bCs/>
            <w:color w:val="auto"/>
            <w:lang w:val="en-GB"/>
          </w:rPr>
          <w:t>http://pathways.nice.org.uk/pathways/stroke</w:t>
        </w:r>
      </w:hyperlink>
      <w:r w:rsidRPr="00113E06">
        <w:rPr>
          <w:bCs/>
          <w:lang w:val="en-GB"/>
        </w:rPr>
        <w:t>.</w:t>
      </w:r>
      <w:r>
        <w:rPr>
          <w:bCs/>
          <w:lang w:val="en-GB"/>
        </w:rPr>
        <w:t xml:space="preserve"> Accessed 01/5/2014.</w:t>
      </w:r>
    </w:p>
    <w:p w:rsidR="00A62AAE" w:rsidRPr="00420492" w:rsidRDefault="00A62AAE" w:rsidP="00D85A6D">
      <w:pPr>
        <w:pStyle w:val="EndNoteBibliography"/>
        <w:spacing w:after="0"/>
      </w:pPr>
    </w:p>
    <w:p w:rsidR="00A62AAE" w:rsidRPr="00420492" w:rsidRDefault="00D85A6D" w:rsidP="00D85A6D">
      <w:pPr>
        <w:pStyle w:val="EndNoteBibliography"/>
        <w:spacing w:after="0"/>
      </w:pPr>
      <w:r w:rsidRPr="00420492">
        <w:t xml:space="preserve">Roberts M, Russell LB, Paltiel AD, Chambers M, McEwan P, Krahn M, et al. Conceptualizing a model: a report of the ISPOR-SMDM Modeling Good Research Practices Task Force--2. Value in health : the </w:t>
      </w:r>
      <w:r w:rsidRPr="00420492">
        <w:lastRenderedPageBreak/>
        <w:t>journal of the International Society for Pharmacoeconomics and Outcomes Research. 2012;15(6):804-11.</w:t>
      </w:r>
    </w:p>
    <w:p w:rsidR="00402EED" w:rsidRDefault="00402EED" w:rsidP="00D85A6D">
      <w:pPr>
        <w:pStyle w:val="EndNoteBibliography"/>
        <w:spacing w:after="0"/>
      </w:pPr>
    </w:p>
    <w:p w:rsidR="00D85A6D" w:rsidRDefault="00D85A6D" w:rsidP="00D85A6D">
      <w:pPr>
        <w:pStyle w:val="EndNoteBibliography"/>
        <w:spacing w:after="0"/>
      </w:pPr>
      <w:r w:rsidRPr="00420492">
        <w:t>Robinson S. Conceptual modelling for simulation Part I: definition and requirements. Journal of the Operational Research Society. 2008;59(3):278-90.</w:t>
      </w:r>
    </w:p>
    <w:p w:rsidR="00402EED" w:rsidRPr="00420492" w:rsidRDefault="00402EED" w:rsidP="00D85A6D">
      <w:pPr>
        <w:pStyle w:val="EndNoteBibliography"/>
        <w:spacing w:after="0"/>
      </w:pPr>
    </w:p>
    <w:p w:rsidR="00D85A6D" w:rsidRDefault="00D85A6D" w:rsidP="00D85A6D">
      <w:pPr>
        <w:pStyle w:val="EndNoteBibliography"/>
        <w:spacing w:after="0"/>
      </w:pPr>
      <w:r w:rsidRPr="00420492">
        <w:t>Robinson S. Conceptual Modelling: Who Needs It? SCS M&amp;S Magazine. 2010:1-7.</w:t>
      </w:r>
    </w:p>
    <w:p w:rsidR="00402EED" w:rsidRPr="00420492" w:rsidRDefault="00402EED" w:rsidP="00D85A6D">
      <w:pPr>
        <w:pStyle w:val="EndNoteBibliography"/>
        <w:spacing w:after="0"/>
      </w:pPr>
    </w:p>
    <w:p w:rsidR="00D85A6D" w:rsidRDefault="00D85A6D" w:rsidP="00D85A6D">
      <w:pPr>
        <w:pStyle w:val="EndNoteBibliography"/>
        <w:spacing w:after="0"/>
      </w:pPr>
      <w:r w:rsidRPr="00420492">
        <w:t>Rothwell PM, Coull AJ, Giles MF, Howard SC, Silver LE, Bull LM, et al. Change in stroke incidence, mortality, case-fatality, severity, and risk factors in Oxfordshire, UK from 1981 to 2004 (Oxford Vascular Study). Lancet. 2004;363(9425):1925-33.</w:t>
      </w:r>
    </w:p>
    <w:p w:rsidR="00402EED" w:rsidRPr="00420492" w:rsidRDefault="00402EED" w:rsidP="00D85A6D">
      <w:pPr>
        <w:pStyle w:val="EndNoteBibliography"/>
        <w:spacing w:after="0"/>
      </w:pPr>
    </w:p>
    <w:p w:rsidR="00D85A6D" w:rsidRDefault="00D85A6D" w:rsidP="00D85A6D">
      <w:pPr>
        <w:pStyle w:val="EndNoteBibliography"/>
        <w:spacing w:after="0"/>
      </w:pPr>
      <w:r w:rsidRPr="00420492">
        <w:t>Squires H, &amp; Tappenden, P. Mathematical modelling and its application to social care. 2011.</w:t>
      </w:r>
    </w:p>
    <w:p w:rsidR="00402EED" w:rsidRPr="00420492" w:rsidRDefault="00402EED" w:rsidP="00D85A6D">
      <w:pPr>
        <w:pStyle w:val="EndNoteBibliography"/>
        <w:spacing w:after="0"/>
      </w:pPr>
    </w:p>
    <w:p w:rsidR="00D85A6D" w:rsidRPr="00420492" w:rsidRDefault="00D85A6D" w:rsidP="00D85A6D">
      <w:pPr>
        <w:pStyle w:val="EndNoteBibliography"/>
        <w:spacing w:after="0"/>
      </w:pPr>
      <w:r w:rsidRPr="00420492">
        <w:t xml:space="preserve">Tappenden P, Glynne-Jones, R., Shorthouse, A., Youssef, J., Squires, H., &amp; Chilcott, J. Colorectal cancer and its detection, diagnosis, treatment and follow-up: </w:t>
      </w:r>
      <w:r w:rsidR="00402EED">
        <w:t>Disease and treatment pathways. HEDS Discussion Paper 12.09.</w:t>
      </w:r>
    </w:p>
    <w:p w:rsidR="00402EED" w:rsidRDefault="00402EED" w:rsidP="00D85A6D">
      <w:pPr>
        <w:pStyle w:val="EndNoteBibliography"/>
        <w:spacing w:after="0"/>
      </w:pPr>
    </w:p>
    <w:p w:rsidR="00D85A6D" w:rsidRPr="00420492" w:rsidRDefault="00D85A6D" w:rsidP="00D85A6D">
      <w:pPr>
        <w:pStyle w:val="EndNoteBibliography"/>
        <w:spacing w:after="0"/>
      </w:pPr>
      <w:r w:rsidRPr="00420492">
        <w:t>Tappenden P. Conceptual modelling for health economic model development</w:t>
      </w:r>
      <w:r w:rsidRPr="00402EED">
        <w:t xml:space="preserve">. </w:t>
      </w:r>
      <w:r w:rsidR="00402EED" w:rsidRPr="00402EED">
        <w:t>HEDS Discussion Paper 12.05</w:t>
      </w:r>
      <w:r w:rsidR="00402EED">
        <w:t>.</w:t>
      </w:r>
    </w:p>
    <w:p w:rsidR="00402EED" w:rsidRDefault="00402EED" w:rsidP="00D85A6D">
      <w:pPr>
        <w:pStyle w:val="EndNoteBibliography"/>
      </w:pPr>
    </w:p>
    <w:p w:rsidR="00A62AAE" w:rsidRDefault="00D85A6D" w:rsidP="00D85A6D">
      <w:pPr>
        <w:pStyle w:val="EndNoteBibliography"/>
      </w:pPr>
      <w:r w:rsidRPr="00420492">
        <w:t>The National Collaborating Centre for Chronic Conditions. Stroke: Diagnosis and initial management of acute stroke and transient ischaemic attack (TIA). 2008.</w:t>
      </w:r>
    </w:p>
    <w:p w:rsidR="002A7F43" w:rsidRPr="00FF42C0" w:rsidRDefault="00D85A6D" w:rsidP="00B73F51">
      <w:pPr>
        <w:jc w:val="both"/>
        <w:rPr>
          <w:bCs/>
          <w:i/>
        </w:rPr>
      </w:pPr>
      <w:r>
        <w:fldChar w:fldCharType="end"/>
      </w:r>
    </w:p>
    <w:sectPr w:rsidR="002A7F43" w:rsidRPr="00FF42C0" w:rsidSect="008500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D8" w:rsidRDefault="007162D8" w:rsidP="00D431B2">
      <w:pPr>
        <w:spacing w:after="0" w:line="240" w:lineRule="auto"/>
      </w:pPr>
      <w:r>
        <w:separator/>
      </w:r>
    </w:p>
  </w:endnote>
  <w:endnote w:type="continuationSeparator" w:id="0">
    <w:p w:rsidR="007162D8" w:rsidRDefault="007162D8" w:rsidP="00D4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099019"/>
      <w:docPartObj>
        <w:docPartGallery w:val="Page Numbers (Bottom of Page)"/>
        <w:docPartUnique/>
      </w:docPartObj>
    </w:sdtPr>
    <w:sdtEndPr>
      <w:rPr>
        <w:noProof/>
      </w:rPr>
    </w:sdtEndPr>
    <w:sdtContent>
      <w:p w:rsidR="00D431B2" w:rsidRDefault="00D431B2">
        <w:pPr>
          <w:pStyle w:val="Footer"/>
          <w:jc w:val="right"/>
        </w:pPr>
        <w:r>
          <w:fldChar w:fldCharType="begin"/>
        </w:r>
        <w:r>
          <w:instrText xml:space="preserve"> PAGE   \* MERGEFORMAT </w:instrText>
        </w:r>
        <w:r>
          <w:fldChar w:fldCharType="separate"/>
        </w:r>
        <w:r w:rsidR="00B921BD">
          <w:rPr>
            <w:noProof/>
          </w:rPr>
          <w:t>15</w:t>
        </w:r>
        <w:r>
          <w:rPr>
            <w:noProof/>
          </w:rPr>
          <w:fldChar w:fldCharType="end"/>
        </w:r>
      </w:p>
    </w:sdtContent>
  </w:sdt>
  <w:p w:rsidR="00D431B2" w:rsidRDefault="00D43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D8" w:rsidRDefault="007162D8" w:rsidP="00D431B2">
      <w:pPr>
        <w:spacing w:after="0" w:line="240" w:lineRule="auto"/>
      </w:pPr>
      <w:r>
        <w:separator/>
      </w:r>
    </w:p>
  </w:footnote>
  <w:footnote w:type="continuationSeparator" w:id="0">
    <w:p w:rsidR="007162D8" w:rsidRDefault="007162D8" w:rsidP="00D431B2">
      <w:pPr>
        <w:spacing w:after="0" w:line="240" w:lineRule="auto"/>
      </w:pPr>
      <w:r>
        <w:continuationSeparator/>
      </w:r>
    </w:p>
  </w:footnote>
  <w:footnote w:id="1">
    <w:p w:rsidR="00DB62D5" w:rsidRDefault="00DB62D5" w:rsidP="00893FDE">
      <w:pPr>
        <w:pStyle w:val="FootnoteText"/>
      </w:pPr>
      <w:r>
        <w:rPr>
          <w:rStyle w:val="FootnoteReference"/>
        </w:rPr>
        <w:footnoteRef/>
      </w:r>
      <w:r>
        <w:t xml:space="preserve"> By us we are referring to those engaged in the HTA development process, and we are primarily referring to guidance/guidelines relating to service delivery models (and our unique example of transient neurologic </w:t>
      </w:r>
      <w:r w:rsidR="00893FDE">
        <w:t>disturbances</w:t>
      </w:r>
      <w:r>
        <w:t>).</w:t>
      </w:r>
    </w:p>
  </w:footnote>
  <w:footnote w:id="2">
    <w:p w:rsidR="00FF0FBD" w:rsidRDefault="00FF0FBD">
      <w:pPr>
        <w:pStyle w:val="FootnoteText"/>
      </w:pPr>
      <w:r>
        <w:rPr>
          <w:rStyle w:val="FootnoteReference"/>
        </w:rPr>
        <w:footnoteRef/>
      </w:r>
      <w:r>
        <w:t xml:space="preserve"> By structuring the problem, we refer to the identification of the problem (i.e. the statement of the research question according to </w:t>
      </w:r>
      <w:r w:rsidR="00E54CAF">
        <w:t>the ‘</w:t>
      </w:r>
      <w:r>
        <w:t>PICO</w:t>
      </w:r>
      <w:r w:rsidR="00E54CAF">
        <w:t xml:space="preserve">’ </w:t>
      </w:r>
      <w:r w:rsidR="00E54CAF" w:rsidRPr="00E54CAF">
        <w:t>mnemonic</w:t>
      </w:r>
      <w:r w:rsidR="00E54CAF">
        <w:t xml:space="preserve"> </w:t>
      </w:r>
      <w:r>
        <w:t xml:space="preserve">or similar criteria) </w:t>
      </w:r>
      <w:r w:rsidR="007F2FB5">
        <w:t>and the</w:t>
      </w:r>
      <w:r>
        <w:t xml:space="preserve"> setting of model </w:t>
      </w:r>
      <w:r w:rsidR="00816CCB">
        <w:t>boundaries (i.e. what the abstractions</w:t>
      </w:r>
      <w:r>
        <w:t xml:space="preserve"> of the model </w:t>
      </w:r>
      <w:r w:rsidR="00816CCB">
        <w:t>are such that</w:t>
      </w:r>
      <w:r>
        <w:t xml:space="preserve"> it a representation of</w:t>
      </w:r>
      <w:r w:rsidR="00816CCB">
        <w:t xml:space="preserve"> reality, rather than reality itself)</w:t>
      </w:r>
      <w:r>
        <w:t xml:space="preserve"> (</w:t>
      </w:r>
      <w:r w:rsidR="00113E06">
        <w:t>Robinson, 2010</w:t>
      </w:r>
      <w:r>
        <w:t>)</w:t>
      </w:r>
      <w:r w:rsidR="00816CCB">
        <w:t>.</w:t>
      </w:r>
    </w:p>
  </w:footnote>
  <w:footnote w:id="3">
    <w:p w:rsidR="002903BC" w:rsidRDefault="002903BC">
      <w:pPr>
        <w:pStyle w:val="FootnoteText"/>
      </w:pPr>
      <w:bookmarkStart w:id="0" w:name="_GoBack"/>
      <w:bookmarkEnd w:id="0"/>
    </w:p>
  </w:footnote>
  <w:footnote w:id="4">
    <w:p w:rsidR="007A4533" w:rsidRDefault="007A4533">
      <w:pPr>
        <w:pStyle w:val="FootnoteText"/>
      </w:pPr>
      <w:r>
        <w:rPr>
          <w:rStyle w:val="FootnoteReference"/>
        </w:rPr>
        <w:footnoteRef/>
      </w:r>
      <w:r>
        <w:t xml:space="preserve"> This table is non-exhaustive.</w:t>
      </w:r>
    </w:p>
  </w:footnote>
  <w:footnote w:id="5">
    <w:p w:rsidR="0053250F" w:rsidRDefault="0053250F">
      <w:pPr>
        <w:pStyle w:val="FootnoteText"/>
      </w:pPr>
      <w:r>
        <w:rPr>
          <w:rStyle w:val="FootnoteReference"/>
        </w:rPr>
        <w:footnoteRef/>
      </w:r>
      <w:r>
        <w:t xml:space="preserve"> Note that a focal transient neurological attack equates to a TIA and the existence of non-focal symptoms usually su</w:t>
      </w:r>
      <w:r w:rsidR="00537492">
        <w:t>ggests a differential diagnosis</w:t>
      </w:r>
      <w:r w:rsidR="00FB6691">
        <w:t xml:space="preserve"> (Cameron</w:t>
      </w:r>
      <w:r w:rsidR="00B73F51">
        <w:t xml:space="preserve"> et al</w:t>
      </w:r>
      <w:r w:rsidR="00AA42AC">
        <w:t>, 2011</w:t>
      </w:r>
      <w:r w:rsidR="00FB6691" w:rsidRPr="001312C4">
        <w:t>)</w:t>
      </w:r>
      <w:r w:rsidR="00537492" w:rsidRPr="001312C4">
        <w:t>.</w:t>
      </w:r>
      <w:r w:rsidR="001312C4" w:rsidRPr="001312C4">
        <w:t xml:space="preserve"> In brief, focal symptoms are those which </w:t>
      </w:r>
      <w:r w:rsidR="001312C4" w:rsidRPr="001312C4">
        <w:rPr>
          <w:i/>
        </w:rPr>
        <w:t>tend to be localised to a particular part of the body (e.g. left side of face or arm</w:t>
      </w:r>
      <w:r w:rsidR="001312C4">
        <w:rPr>
          <w:i/>
        </w:rPr>
        <w:t>, as opposed to global symptoms e.g. confusion (Medline plus,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4054"/>
    <w:multiLevelType w:val="hybridMultilevel"/>
    <w:tmpl w:val="CF48AF7C"/>
    <w:lvl w:ilvl="0" w:tplc="248C70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0C02C4"/>
    <w:multiLevelType w:val="hybridMultilevel"/>
    <w:tmpl w:val="904401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A47567E"/>
    <w:multiLevelType w:val="hybridMultilevel"/>
    <w:tmpl w:val="B1A23732"/>
    <w:lvl w:ilvl="0" w:tplc="3F668C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AC428C"/>
    <w:multiLevelType w:val="hybridMultilevel"/>
    <w:tmpl w:val="DDCEB736"/>
    <w:lvl w:ilvl="0" w:tplc="E626F01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216223F"/>
    <w:multiLevelType w:val="hybridMultilevel"/>
    <w:tmpl w:val="EB98B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3224F90"/>
    <w:multiLevelType w:val="hybridMultilevel"/>
    <w:tmpl w:val="35324AE4"/>
    <w:lvl w:ilvl="0" w:tplc="3F668C24">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DF0990"/>
    <w:multiLevelType w:val="hybridMultilevel"/>
    <w:tmpl w:val="7BDE83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491311E3"/>
    <w:multiLevelType w:val="hybridMultilevel"/>
    <w:tmpl w:val="F5A20308"/>
    <w:lvl w:ilvl="0" w:tplc="CA5A81BE">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51625E2F"/>
    <w:multiLevelType w:val="hybridMultilevel"/>
    <w:tmpl w:val="75D83B44"/>
    <w:lvl w:ilvl="0" w:tplc="87E6F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3827396"/>
    <w:multiLevelType w:val="hybridMultilevel"/>
    <w:tmpl w:val="9474D0D4"/>
    <w:lvl w:ilvl="0" w:tplc="E2021D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95C3BD4"/>
    <w:multiLevelType w:val="hybridMultilevel"/>
    <w:tmpl w:val="101E9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2DE7CDE"/>
    <w:multiLevelType w:val="hybridMultilevel"/>
    <w:tmpl w:val="2F2888B4"/>
    <w:lvl w:ilvl="0" w:tplc="3048BA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B4D7CB9"/>
    <w:multiLevelType w:val="hybridMultilevel"/>
    <w:tmpl w:val="53F432E2"/>
    <w:lvl w:ilvl="0" w:tplc="3F668C2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B763E01"/>
    <w:multiLevelType w:val="hybridMultilevel"/>
    <w:tmpl w:val="A7780FFA"/>
    <w:lvl w:ilvl="0" w:tplc="4FC6B9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C42C30"/>
    <w:multiLevelType w:val="hybridMultilevel"/>
    <w:tmpl w:val="DDCEB736"/>
    <w:lvl w:ilvl="0" w:tplc="E626F01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10"/>
  </w:num>
  <w:num w:numId="7">
    <w:abstractNumId w:val="9"/>
  </w:num>
  <w:num w:numId="8">
    <w:abstractNumId w:val="8"/>
  </w:num>
  <w:num w:numId="9">
    <w:abstractNumId w:val="14"/>
  </w:num>
  <w:num w:numId="10">
    <w:abstractNumId w:val="7"/>
  </w:num>
  <w:num w:numId="11">
    <w:abstractNumId w:val="2"/>
  </w:num>
  <w:num w:numId="12">
    <w:abstractNumId w:val="12"/>
  </w:num>
  <w:num w:numId="13">
    <w:abstractNumId w:val="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9epwtxa75zvptep0ph500evfatx0f0zft2w&quot;&gt;TNA&lt;record-ids&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9343B5"/>
    <w:rsid w:val="0000110B"/>
    <w:rsid w:val="00030AB7"/>
    <w:rsid w:val="00030EE8"/>
    <w:rsid w:val="00031DFE"/>
    <w:rsid w:val="00042394"/>
    <w:rsid w:val="00057FE8"/>
    <w:rsid w:val="00083316"/>
    <w:rsid w:val="000912E3"/>
    <w:rsid w:val="000912E6"/>
    <w:rsid w:val="000A7202"/>
    <w:rsid w:val="000A7428"/>
    <w:rsid w:val="000B4EDA"/>
    <w:rsid w:val="000D4088"/>
    <w:rsid w:val="000F2EB9"/>
    <w:rsid w:val="000F35A9"/>
    <w:rsid w:val="00113E06"/>
    <w:rsid w:val="001312C4"/>
    <w:rsid w:val="0016101E"/>
    <w:rsid w:val="00161483"/>
    <w:rsid w:val="00162C8D"/>
    <w:rsid w:val="00166ED7"/>
    <w:rsid w:val="00185DF7"/>
    <w:rsid w:val="00187524"/>
    <w:rsid w:val="001909A7"/>
    <w:rsid w:val="001D400C"/>
    <w:rsid w:val="001D4A6C"/>
    <w:rsid w:val="001E1F3E"/>
    <w:rsid w:val="00216506"/>
    <w:rsid w:val="002214E1"/>
    <w:rsid w:val="00223F01"/>
    <w:rsid w:val="002328F5"/>
    <w:rsid w:val="002527CB"/>
    <w:rsid w:val="002903BC"/>
    <w:rsid w:val="00291E6F"/>
    <w:rsid w:val="0029309D"/>
    <w:rsid w:val="00295E06"/>
    <w:rsid w:val="002A7F43"/>
    <w:rsid w:val="002B2910"/>
    <w:rsid w:val="002B3FC0"/>
    <w:rsid w:val="002C446D"/>
    <w:rsid w:val="002C731C"/>
    <w:rsid w:val="002D6887"/>
    <w:rsid w:val="002E7098"/>
    <w:rsid w:val="00311502"/>
    <w:rsid w:val="00360B0B"/>
    <w:rsid w:val="00367F4D"/>
    <w:rsid w:val="003E373A"/>
    <w:rsid w:val="003E4787"/>
    <w:rsid w:val="00402EED"/>
    <w:rsid w:val="00411FED"/>
    <w:rsid w:val="00420492"/>
    <w:rsid w:val="00426D23"/>
    <w:rsid w:val="00430FD9"/>
    <w:rsid w:val="00431AAC"/>
    <w:rsid w:val="00446D8E"/>
    <w:rsid w:val="004516BB"/>
    <w:rsid w:val="00463FB8"/>
    <w:rsid w:val="00475882"/>
    <w:rsid w:val="00475900"/>
    <w:rsid w:val="00486D23"/>
    <w:rsid w:val="00491684"/>
    <w:rsid w:val="004A6C9B"/>
    <w:rsid w:val="004B2C42"/>
    <w:rsid w:val="004C6350"/>
    <w:rsid w:val="004E5E3B"/>
    <w:rsid w:val="00520542"/>
    <w:rsid w:val="005269C5"/>
    <w:rsid w:val="00527A98"/>
    <w:rsid w:val="005312B6"/>
    <w:rsid w:val="0053250F"/>
    <w:rsid w:val="00535AF7"/>
    <w:rsid w:val="00536BB8"/>
    <w:rsid w:val="00537492"/>
    <w:rsid w:val="00543021"/>
    <w:rsid w:val="00557A6B"/>
    <w:rsid w:val="00567CC5"/>
    <w:rsid w:val="00570D71"/>
    <w:rsid w:val="00593E7C"/>
    <w:rsid w:val="005A4209"/>
    <w:rsid w:val="005B53B4"/>
    <w:rsid w:val="005C24EF"/>
    <w:rsid w:val="005E434C"/>
    <w:rsid w:val="005F5CBA"/>
    <w:rsid w:val="005F7539"/>
    <w:rsid w:val="00600869"/>
    <w:rsid w:val="00635254"/>
    <w:rsid w:val="00645811"/>
    <w:rsid w:val="00646640"/>
    <w:rsid w:val="00676114"/>
    <w:rsid w:val="00693718"/>
    <w:rsid w:val="006B20F5"/>
    <w:rsid w:val="006B5A2E"/>
    <w:rsid w:val="006B69BE"/>
    <w:rsid w:val="006E026E"/>
    <w:rsid w:val="00710C13"/>
    <w:rsid w:val="00712A1A"/>
    <w:rsid w:val="007162D8"/>
    <w:rsid w:val="00733514"/>
    <w:rsid w:val="007363BE"/>
    <w:rsid w:val="0074233E"/>
    <w:rsid w:val="007447C0"/>
    <w:rsid w:val="00745614"/>
    <w:rsid w:val="00751374"/>
    <w:rsid w:val="007514C1"/>
    <w:rsid w:val="00754F33"/>
    <w:rsid w:val="00755E4D"/>
    <w:rsid w:val="00771144"/>
    <w:rsid w:val="0079303B"/>
    <w:rsid w:val="007A352F"/>
    <w:rsid w:val="007A4533"/>
    <w:rsid w:val="007B2466"/>
    <w:rsid w:val="007C1573"/>
    <w:rsid w:val="007C3144"/>
    <w:rsid w:val="007D7DE5"/>
    <w:rsid w:val="007E26CD"/>
    <w:rsid w:val="007E4B75"/>
    <w:rsid w:val="007E629A"/>
    <w:rsid w:val="007F2FB5"/>
    <w:rsid w:val="008023CC"/>
    <w:rsid w:val="00805D12"/>
    <w:rsid w:val="00807385"/>
    <w:rsid w:val="00816CCB"/>
    <w:rsid w:val="00835D94"/>
    <w:rsid w:val="00844D0E"/>
    <w:rsid w:val="0085001F"/>
    <w:rsid w:val="0085291A"/>
    <w:rsid w:val="00882A87"/>
    <w:rsid w:val="00893993"/>
    <w:rsid w:val="00893FDE"/>
    <w:rsid w:val="008B3283"/>
    <w:rsid w:val="008B3ED3"/>
    <w:rsid w:val="008B62D7"/>
    <w:rsid w:val="008B7171"/>
    <w:rsid w:val="008C2D66"/>
    <w:rsid w:val="008D675A"/>
    <w:rsid w:val="008E3E01"/>
    <w:rsid w:val="00904127"/>
    <w:rsid w:val="00907C54"/>
    <w:rsid w:val="00907F9D"/>
    <w:rsid w:val="00916AB0"/>
    <w:rsid w:val="00926968"/>
    <w:rsid w:val="00932B8E"/>
    <w:rsid w:val="009343B5"/>
    <w:rsid w:val="00935D67"/>
    <w:rsid w:val="00944891"/>
    <w:rsid w:val="00945BC4"/>
    <w:rsid w:val="0096071B"/>
    <w:rsid w:val="009645E1"/>
    <w:rsid w:val="00965B6C"/>
    <w:rsid w:val="00967299"/>
    <w:rsid w:val="0097046D"/>
    <w:rsid w:val="0097109A"/>
    <w:rsid w:val="009847CF"/>
    <w:rsid w:val="00990171"/>
    <w:rsid w:val="009947BD"/>
    <w:rsid w:val="00994B52"/>
    <w:rsid w:val="009A22AE"/>
    <w:rsid w:val="009B2522"/>
    <w:rsid w:val="009B3E90"/>
    <w:rsid w:val="009C1869"/>
    <w:rsid w:val="009C2511"/>
    <w:rsid w:val="009C68F7"/>
    <w:rsid w:val="009D4679"/>
    <w:rsid w:val="00A24F22"/>
    <w:rsid w:val="00A34AAB"/>
    <w:rsid w:val="00A3548D"/>
    <w:rsid w:val="00A51056"/>
    <w:rsid w:val="00A62AAE"/>
    <w:rsid w:val="00A77529"/>
    <w:rsid w:val="00A861A1"/>
    <w:rsid w:val="00A9750B"/>
    <w:rsid w:val="00AA05B3"/>
    <w:rsid w:val="00AA1C48"/>
    <w:rsid w:val="00AA42AC"/>
    <w:rsid w:val="00AC4D48"/>
    <w:rsid w:val="00B12775"/>
    <w:rsid w:val="00B16FD1"/>
    <w:rsid w:val="00B236D6"/>
    <w:rsid w:val="00B2386E"/>
    <w:rsid w:val="00B27541"/>
    <w:rsid w:val="00B33CBA"/>
    <w:rsid w:val="00B36F1A"/>
    <w:rsid w:val="00B40BFA"/>
    <w:rsid w:val="00B43136"/>
    <w:rsid w:val="00B43DF7"/>
    <w:rsid w:val="00B50637"/>
    <w:rsid w:val="00B73F51"/>
    <w:rsid w:val="00B77943"/>
    <w:rsid w:val="00B921BD"/>
    <w:rsid w:val="00B95487"/>
    <w:rsid w:val="00B965E9"/>
    <w:rsid w:val="00BC379A"/>
    <w:rsid w:val="00BC3AB0"/>
    <w:rsid w:val="00BC6505"/>
    <w:rsid w:val="00BD0066"/>
    <w:rsid w:val="00BD61AA"/>
    <w:rsid w:val="00BE044B"/>
    <w:rsid w:val="00BE0DCA"/>
    <w:rsid w:val="00BE3012"/>
    <w:rsid w:val="00C06663"/>
    <w:rsid w:val="00C1248C"/>
    <w:rsid w:val="00C25DD5"/>
    <w:rsid w:val="00C54A74"/>
    <w:rsid w:val="00C77E65"/>
    <w:rsid w:val="00C917B2"/>
    <w:rsid w:val="00CA2C7E"/>
    <w:rsid w:val="00CA67C1"/>
    <w:rsid w:val="00CB69AD"/>
    <w:rsid w:val="00CC69F3"/>
    <w:rsid w:val="00CD59A1"/>
    <w:rsid w:val="00CF6102"/>
    <w:rsid w:val="00CF6A91"/>
    <w:rsid w:val="00D120BA"/>
    <w:rsid w:val="00D22556"/>
    <w:rsid w:val="00D22EAE"/>
    <w:rsid w:val="00D431B2"/>
    <w:rsid w:val="00D74DB7"/>
    <w:rsid w:val="00D83294"/>
    <w:rsid w:val="00D85A6D"/>
    <w:rsid w:val="00DA1C9B"/>
    <w:rsid w:val="00DA306A"/>
    <w:rsid w:val="00DB1501"/>
    <w:rsid w:val="00DB5D1C"/>
    <w:rsid w:val="00DB62D5"/>
    <w:rsid w:val="00DD19AF"/>
    <w:rsid w:val="00DD2677"/>
    <w:rsid w:val="00E02ED9"/>
    <w:rsid w:val="00E0592D"/>
    <w:rsid w:val="00E07F98"/>
    <w:rsid w:val="00E342DB"/>
    <w:rsid w:val="00E47B5E"/>
    <w:rsid w:val="00E54CAF"/>
    <w:rsid w:val="00E65B67"/>
    <w:rsid w:val="00E71A59"/>
    <w:rsid w:val="00EA10AF"/>
    <w:rsid w:val="00EB3298"/>
    <w:rsid w:val="00EC777A"/>
    <w:rsid w:val="00EC788B"/>
    <w:rsid w:val="00F15BE9"/>
    <w:rsid w:val="00F409C2"/>
    <w:rsid w:val="00F41BD3"/>
    <w:rsid w:val="00F41F84"/>
    <w:rsid w:val="00F472F6"/>
    <w:rsid w:val="00F5011E"/>
    <w:rsid w:val="00F52146"/>
    <w:rsid w:val="00F66891"/>
    <w:rsid w:val="00F878A0"/>
    <w:rsid w:val="00F932BF"/>
    <w:rsid w:val="00F97B17"/>
    <w:rsid w:val="00FB0FB5"/>
    <w:rsid w:val="00FB6691"/>
    <w:rsid w:val="00FC5556"/>
    <w:rsid w:val="00FD170B"/>
    <w:rsid w:val="00FF0FBD"/>
    <w:rsid w:val="00FF42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C896A-A847-425D-A2E9-D422B917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F1A"/>
  </w:style>
  <w:style w:type="paragraph" w:styleId="Heading1">
    <w:name w:val="heading 1"/>
    <w:basedOn w:val="Normal"/>
    <w:next w:val="Normal"/>
    <w:link w:val="Heading1Char"/>
    <w:uiPriority w:val="9"/>
    <w:qFormat/>
    <w:rsid w:val="00486D2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86D2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86D2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B150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91A"/>
    <w:pPr>
      <w:ind w:left="720"/>
      <w:contextualSpacing/>
    </w:pPr>
  </w:style>
  <w:style w:type="table" w:styleId="TableGrid">
    <w:name w:val="Table Grid"/>
    <w:basedOn w:val="TableNormal"/>
    <w:uiPriority w:val="39"/>
    <w:rsid w:val="00907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96071B"/>
    <w:pPr>
      <w:spacing w:after="0" w:line="240" w:lineRule="auto"/>
      <w:jc w:val="both"/>
    </w:pPr>
    <w:rPr>
      <w:rFonts w:ascii="Times New Roman" w:eastAsia="Times New Roman" w:hAnsi="Times New Roman" w:cs="Times New Roman"/>
      <w:bCs/>
      <w:noProof/>
      <w:szCs w:val="24"/>
      <w:lang w:val="en-US" w:eastAsia="en-GB" w:bidi="en-US"/>
    </w:rPr>
  </w:style>
  <w:style w:type="character" w:styleId="Hyperlink">
    <w:name w:val="Hyperlink"/>
    <w:basedOn w:val="DefaultParagraphFont"/>
    <w:uiPriority w:val="99"/>
    <w:unhideWhenUsed/>
    <w:rsid w:val="0096071B"/>
    <w:rPr>
      <w:color w:val="0563C1" w:themeColor="hyperlink"/>
      <w:u w:val="single"/>
    </w:rPr>
  </w:style>
  <w:style w:type="paragraph" w:styleId="BalloonText">
    <w:name w:val="Balloon Text"/>
    <w:basedOn w:val="Normal"/>
    <w:link w:val="BalloonTextChar"/>
    <w:uiPriority w:val="99"/>
    <w:semiHidden/>
    <w:unhideWhenUsed/>
    <w:rsid w:val="00B16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D1"/>
    <w:rPr>
      <w:rFonts w:ascii="Tahoma" w:hAnsi="Tahoma" w:cs="Tahoma"/>
      <w:sz w:val="16"/>
      <w:szCs w:val="16"/>
    </w:rPr>
  </w:style>
  <w:style w:type="character" w:customStyle="1" w:styleId="Heading1Char">
    <w:name w:val="Heading 1 Char"/>
    <w:basedOn w:val="DefaultParagraphFont"/>
    <w:link w:val="Heading1"/>
    <w:uiPriority w:val="9"/>
    <w:rsid w:val="00486D2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86D2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486D23"/>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D43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1B2"/>
  </w:style>
  <w:style w:type="paragraph" w:styleId="Footer">
    <w:name w:val="footer"/>
    <w:basedOn w:val="Normal"/>
    <w:link w:val="FooterChar"/>
    <w:uiPriority w:val="99"/>
    <w:unhideWhenUsed/>
    <w:rsid w:val="00D43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1B2"/>
  </w:style>
  <w:style w:type="character" w:styleId="FollowedHyperlink">
    <w:name w:val="FollowedHyperlink"/>
    <w:basedOn w:val="DefaultParagraphFont"/>
    <w:uiPriority w:val="99"/>
    <w:semiHidden/>
    <w:unhideWhenUsed/>
    <w:rsid w:val="006E026E"/>
    <w:rPr>
      <w:color w:val="954F72" w:themeColor="followedHyperlink"/>
      <w:u w:val="single"/>
    </w:rPr>
  </w:style>
  <w:style w:type="paragraph" w:styleId="FootnoteText">
    <w:name w:val="footnote text"/>
    <w:basedOn w:val="Normal"/>
    <w:link w:val="FootnoteTextChar"/>
    <w:uiPriority w:val="99"/>
    <w:semiHidden/>
    <w:unhideWhenUsed/>
    <w:rsid w:val="00DB62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62D5"/>
    <w:rPr>
      <w:sz w:val="20"/>
      <w:szCs w:val="20"/>
    </w:rPr>
  </w:style>
  <w:style w:type="character" w:styleId="FootnoteReference">
    <w:name w:val="footnote reference"/>
    <w:basedOn w:val="DefaultParagraphFont"/>
    <w:uiPriority w:val="99"/>
    <w:semiHidden/>
    <w:unhideWhenUsed/>
    <w:rsid w:val="00DB62D5"/>
    <w:rPr>
      <w:vertAlign w:val="superscript"/>
    </w:rPr>
  </w:style>
  <w:style w:type="character" w:customStyle="1" w:styleId="Heading4Char">
    <w:name w:val="Heading 4 Char"/>
    <w:basedOn w:val="DefaultParagraphFont"/>
    <w:link w:val="Heading4"/>
    <w:uiPriority w:val="9"/>
    <w:rsid w:val="00DB1501"/>
    <w:rPr>
      <w:rFonts w:asciiTheme="majorHAnsi" w:eastAsiaTheme="majorEastAsia" w:hAnsiTheme="majorHAnsi" w:cstheme="majorBidi"/>
      <w:b/>
      <w:bCs/>
      <w:i/>
      <w:iCs/>
      <w:color w:val="5B9BD5" w:themeColor="accent1"/>
    </w:rPr>
  </w:style>
  <w:style w:type="paragraph" w:customStyle="1" w:styleId="EndNoteBibliographyTitle">
    <w:name w:val="EndNote Bibliography Title"/>
    <w:basedOn w:val="Normal"/>
    <w:link w:val="EndNoteBibliographyTitleChar"/>
    <w:rsid w:val="0042049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20492"/>
    <w:rPr>
      <w:rFonts w:ascii="Calibri" w:hAnsi="Calibri"/>
      <w:noProof/>
      <w:lang w:val="en-US"/>
    </w:rPr>
  </w:style>
  <w:style w:type="paragraph" w:customStyle="1" w:styleId="EndNoteBibliography">
    <w:name w:val="EndNote Bibliography"/>
    <w:basedOn w:val="Normal"/>
    <w:link w:val="EndNoteBibliographyChar"/>
    <w:rsid w:val="00420492"/>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420492"/>
    <w:rPr>
      <w:rFonts w:ascii="Calibri" w:hAnsi="Calibri"/>
      <w:noProof/>
      <w:lang w:val="en-US"/>
    </w:rPr>
  </w:style>
  <w:style w:type="character" w:styleId="CommentReference">
    <w:name w:val="annotation reference"/>
    <w:basedOn w:val="DefaultParagraphFont"/>
    <w:uiPriority w:val="99"/>
    <w:semiHidden/>
    <w:unhideWhenUsed/>
    <w:rsid w:val="00944891"/>
    <w:rPr>
      <w:sz w:val="16"/>
      <w:szCs w:val="16"/>
    </w:rPr>
  </w:style>
  <w:style w:type="paragraph" w:styleId="CommentText">
    <w:name w:val="annotation text"/>
    <w:basedOn w:val="Normal"/>
    <w:link w:val="CommentTextChar"/>
    <w:uiPriority w:val="99"/>
    <w:semiHidden/>
    <w:unhideWhenUsed/>
    <w:rsid w:val="00944891"/>
    <w:pPr>
      <w:spacing w:line="240" w:lineRule="auto"/>
    </w:pPr>
    <w:rPr>
      <w:sz w:val="20"/>
      <w:szCs w:val="20"/>
    </w:rPr>
  </w:style>
  <w:style w:type="character" w:customStyle="1" w:styleId="CommentTextChar">
    <w:name w:val="Comment Text Char"/>
    <w:basedOn w:val="DefaultParagraphFont"/>
    <w:link w:val="CommentText"/>
    <w:uiPriority w:val="99"/>
    <w:semiHidden/>
    <w:rsid w:val="00944891"/>
    <w:rPr>
      <w:sz w:val="20"/>
      <w:szCs w:val="20"/>
    </w:rPr>
  </w:style>
  <w:style w:type="paragraph" w:styleId="CommentSubject">
    <w:name w:val="annotation subject"/>
    <w:basedOn w:val="CommentText"/>
    <w:next w:val="CommentText"/>
    <w:link w:val="CommentSubjectChar"/>
    <w:uiPriority w:val="99"/>
    <w:semiHidden/>
    <w:unhideWhenUsed/>
    <w:rsid w:val="00944891"/>
    <w:rPr>
      <w:b/>
      <w:bCs/>
    </w:rPr>
  </w:style>
  <w:style w:type="character" w:customStyle="1" w:styleId="CommentSubjectChar">
    <w:name w:val="Comment Subject Char"/>
    <w:basedOn w:val="CommentTextChar"/>
    <w:link w:val="CommentSubject"/>
    <w:uiPriority w:val="99"/>
    <w:semiHidden/>
    <w:rsid w:val="009448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7171">
      <w:bodyDiv w:val="1"/>
      <w:marLeft w:val="0"/>
      <w:marRight w:val="0"/>
      <w:marTop w:val="0"/>
      <w:marBottom w:val="0"/>
      <w:divBdr>
        <w:top w:val="none" w:sz="0" w:space="0" w:color="auto"/>
        <w:left w:val="none" w:sz="0" w:space="0" w:color="auto"/>
        <w:bottom w:val="none" w:sz="0" w:space="0" w:color="auto"/>
        <w:right w:val="none" w:sz="0" w:space="0" w:color="auto"/>
      </w:divBdr>
    </w:div>
    <w:div w:id="1077023296">
      <w:bodyDiv w:val="1"/>
      <w:marLeft w:val="0"/>
      <w:marRight w:val="0"/>
      <w:marTop w:val="0"/>
      <w:marBottom w:val="0"/>
      <w:divBdr>
        <w:top w:val="none" w:sz="0" w:space="0" w:color="auto"/>
        <w:left w:val="none" w:sz="0" w:space="0" w:color="auto"/>
        <w:bottom w:val="none" w:sz="0" w:space="0" w:color="auto"/>
        <w:right w:val="none" w:sz="0" w:space="0" w:color="auto"/>
      </w:divBdr>
    </w:div>
    <w:div w:id="1569143867">
      <w:bodyDiv w:val="1"/>
      <w:marLeft w:val="0"/>
      <w:marRight w:val="0"/>
      <w:marTop w:val="0"/>
      <w:marBottom w:val="0"/>
      <w:divBdr>
        <w:top w:val="none" w:sz="0" w:space="0" w:color="auto"/>
        <w:left w:val="none" w:sz="0" w:space="0" w:color="auto"/>
        <w:bottom w:val="none" w:sz="0" w:space="0" w:color="auto"/>
        <w:right w:val="none" w:sz="0" w:space="0" w:color="auto"/>
      </w:divBdr>
    </w:div>
    <w:div w:id="2036999841">
      <w:bodyDiv w:val="1"/>
      <w:marLeft w:val="0"/>
      <w:marRight w:val="0"/>
      <w:marTop w:val="0"/>
      <w:marBottom w:val="0"/>
      <w:divBdr>
        <w:top w:val="none" w:sz="0" w:space="0" w:color="auto"/>
        <w:left w:val="none" w:sz="0" w:space="0" w:color="auto"/>
        <w:bottom w:val="none" w:sz="0" w:space="0" w:color="auto"/>
        <w:right w:val="none" w:sz="0" w:space="0" w:color="auto"/>
      </w:divBdr>
    </w:div>
    <w:div w:id="213398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hways.nice.org.uk/pathways/strok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7D0C-3D27-4BB3-A893-06B5E005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3973</Words>
  <Characters>22651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Kandiyali R.S.</dc:creator>
  <cp:lastModifiedBy>Rebecca Kandiyali</cp:lastModifiedBy>
  <cp:revision>3</cp:revision>
  <cp:lastPrinted>2014-05-23T11:57:00Z</cp:lastPrinted>
  <dcterms:created xsi:type="dcterms:W3CDTF">2014-05-28T08:24:00Z</dcterms:created>
  <dcterms:modified xsi:type="dcterms:W3CDTF">2014-05-28T08:27:00Z</dcterms:modified>
</cp:coreProperties>
</file>