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14" w:rsidRPr="001A39AE" w:rsidRDefault="00712D8A" w:rsidP="001A39AE">
      <w:pPr>
        <w:pStyle w:val="ColumnTitle"/>
      </w:pPr>
      <w:r>
        <w:rPr>
          <w:noProof/>
          <w:lang w:eastAsia="en-GB"/>
        </w:rPr>
        <w:drawing>
          <wp:anchor distT="0" distB="0" distL="114300" distR="114300" simplePos="0" relativeHeight="251658752" behindDoc="0" locked="0" layoutInCell="1" allowOverlap="1">
            <wp:simplePos x="0" y="0"/>
            <wp:positionH relativeFrom="column">
              <wp:posOffset>-29210</wp:posOffset>
            </wp:positionH>
            <wp:positionV relativeFrom="paragraph">
              <wp:posOffset>-81915</wp:posOffset>
            </wp:positionV>
            <wp:extent cx="1314450" cy="340995"/>
            <wp:effectExtent l="0" t="0" r="0" b="190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r="1241"/>
                    <a:stretch>
                      <a:fillRect/>
                    </a:stretch>
                  </pic:blipFill>
                  <pic:spPr bwMode="auto">
                    <a:xfrm>
                      <a:off x="0" y="0"/>
                      <a:ext cx="1314450" cy="3409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1245235</wp:posOffset>
                </wp:positionH>
                <wp:positionV relativeFrom="paragraph">
                  <wp:posOffset>118110</wp:posOffset>
                </wp:positionV>
                <wp:extent cx="3159760" cy="0"/>
                <wp:effectExtent l="5080" t="9525" r="6985" b="9525"/>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5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C58F9" id="Line 7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9.3pt" to="346.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"/>
            </w:pict>
          </mc:Fallback>
        </mc:AlternateContent>
      </w:r>
      <w:r w:rsidR="00A20B68">
        <w:t>COMMUNICATION</w:t>
      </w:r>
    </w:p>
    <w:p w:rsidR="00915FA4" w:rsidRPr="007576FA" w:rsidRDefault="0042545B" w:rsidP="00232C14">
      <w:pPr>
        <w:pStyle w:val="ManuscriptID"/>
        <w:sectPr w:rsidR="00915FA4" w:rsidRPr="007576FA" w:rsidSect="0090579F">
          <w:footerReference w:type="even" r:id="rId7"/>
          <w:footerReference w:type="default" r:id="rId8"/>
          <w:type w:val="continuous"/>
          <w:pgSz w:w="11906" w:h="16838" w:code="9"/>
          <w:pgMar w:top="1134" w:right="851" w:bottom="1225" w:left="1077" w:header="709" w:footer="709" w:gutter="0"/>
          <w:cols w:space="284"/>
          <w:docGrid w:linePitch="360"/>
        </w:sectPr>
      </w:pPr>
      <w:r>
        <w:t>DOI: 10.1002/chem</w:t>
      </w:r>
      <w:r w:rsidR="00915FA4" w:rsidRPr="007576FA">
        <w:t>.200</w:t>
      </w:r>
      <w:r w:rsidR="00FC63D2">
        <w:t>((</w:t>
      </w:r>
      <w:r w:rsidR="000C7CB0">
        <w:rPr>
          <w:color w:val="FF0000"/>
        </w:rPr>
        <w:t>will be filled in</w:t>
      </w:r>
      <w:r w:rsidR="00337A27" w:rsidRPr="00337A27">
        <w:rPr>
          <w:color w:val="FF0000"/>
        </w:rPr>
        <w:t xml:space="preserve"> by the editorial staff</w:t>
      </w:r>
      <w:r w:rsidR="00FC63D2">
        <w:t>))</w:t>
      </w:r>
    </w:p>
    <w:p w:rsidR="006024FD" w:rsidRPr="00C8558C" w:rsidRDefault="005A3E5B" w:rsidP="006024FD">
      <w:pPr>
        <w:pStyle w:val="Title1"/>
        <w:rPr>
          <w:lang w:val="en-GB"/>
        </w:rPr>
      </w:pPr>
      <w:r w:rsidRPr="00461FCF">
        <w:rPr>
          <w:lang w:val="en-GB"/>
        </w:rPr>
        <w:lastRenderedPageBreak/>
        <w:t>Synergistic catalysis: Enantioselective addition of alkylbenzoxazoles to enals</w:t>
      </w:r>
    </w:p>
    <w:p w:rsidR="006479FE" w:rsidRDefault="00712D8A" w:rsidP="006479FE">
      <w:pPr>
        <w:pStyle w:val="Authors"/>
      </w:pPr>
      <w:r>
        <w:rPr>
          <w:noProof/>
          <w:lang w:eastAsia="en-GB"/>
        </w:rPr>
        <mc:AlternateContent>
          <mc:Choice Requires="wps">
            <w:drawing>
              <wp:anchor distT="180340" distB="0" distL="114300" distR="180340" simplePos="0" relativeHeight="251653632" behindDoc="0" locked="1" layoutInCell="1" allowOverlap="1">
                <wp:simplePos x="0" y="0"/>
                <wp:positionH relativeFrom="column">
                  <wp:posOffset>-41275</wp:posOffset>
                </wp:positionH>
                <wp:positionV relativeFrom="page">
                  <wp:posOffset>8629015</wp:posOffset>
                </wp:positionV>
                <wp:extent cx="3150235" cy="1278890"/>
                <wp:effectExtent l="4445" t="0" r="0" b="0"/>
                <wp:wrapSquare wrapText="right"/>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3E5B" w:rsidRDefault="00714DC9" w:rsidP="005A3E5B">
                            <w:pPr>
                              <w:pStyle w:val="Adress"/>
                              <w:pBdr>
                                <w:top w:val="single" w:sz="8" w:space="3" w:color="999999"/>
                              </w:pBdr>
                              <w:spacing w:before="0"/>
                              <w:rPr>
                                <w:lang w:val="en-GB"/>
                              </w:rPr>
                            </w:pPr>
                            <w:r w:rsidRPr="00FF7048">
                              <w:rPr>
                                <w:rFonts w:ascii="Times New Roman" w:hAnsi="Times New Roman"/>
                                <w:sz w:val="14"/>
                                <w:szCs w:val="14"/>
                                <w:lang w:val="en-GB"/>
                              </w:rPr>
                              <w:t>[</w:t>
                            </w:r>
                            <w:r w:rsidR="00FC63D2" w:rsidRPr="00FC63D2">
                              <w:rPr>
                                <w:rFonts w:ascii="Times New Roman" w:hAnsi="Times New Roman"/>
                                <w:sz w:val="14"/>
                                <w:szCs w:val="14"/>
                                <w:lang w:val="en-GB"/>
                              </w:rPr>
                              <w:t>a</w:t>
                            </w:r>
                            <w:r w:rsidR="005A3E5B">
                              <w:rPr>
                                <w:rFonts w:ascii="Times New Roman" w:hAnsi="Times New Roman"/>
                                <w:sz w:val="14"/>
                                <w:szCs w:val="14"/>
                                <w:lang w:val="en-GB"/>
                              </w:rPr>
                              <w:t>]</w:t>
                            </w:r>
                            <w:r w:rsidR="005A3E5B">
                              <w:rPr>
                                <w:rFonts w:ascii="Times New Roman" w:hAnsi="Times New Roman"/>
                                <w:sz w:val="14"/>
                                <w:szCs w:val="14"/>
                                <w:lang w:val="en-GB"/>
                              </w:rPr>
                              <w:tab/>
                            </w:r>
                            <w:r w:rsidR="005A3E5B">
                              <w:rPr>
                                <w:lang w:val="en-GB"/>
                              </w:rPr>
                              <w:t xml:space="preserve">M. Meazza, V. Ceban, </w:t>
                            </w:r>
                            <w:r w:rsidR="007962F1">
                              <w:rPr>
                                <w:lang w:val="en-GB"/>
                              </w:rPr>
                              <w:t xml:space="preserve">Dr. </w:t>
                            </w:r>
                            <w:r w:rsidR="005A3E5B">
                              <w:rPr>
                                <w:lang w:val="en-GB"/>
                              </w:rPr>
                              <w:t xml:space="preserve">M. B. Pitak, </w:t>
                            </w:r>
                            <w:r w:rsidR="007962F1">
                              <w:rPr>
                                <w:lang w:val="en-GB"/>
                              </w:rPr>
                              <w:t xml:space="preserve">Prof. Dr. </w:t>
                            </w:r>
                            <w:r w:rsidR="005A3E5B">
                              <w:rPr>
                                <w:lang w:val="en-GB"/>
                              </w:rPr>
                              <w:t xml:space="preserve">S. J. Coles, </w:t>
                            </w:r>
                            <w:r w:rsidR="007962F1">
                              <w:rPr>
                                <w:lang w:val="en-GB"/>
                              </w:rPr>
                              <w:t xml:space="preserve">Prof. Dr. </w:t>
                            </w:r>
                            <w:r w:rsidR="005A3E5B">
                              <w:rPr>
                                <w:lang w:val="en-GB"/>
                              </w:rPr>
                              <w:t>R. Rios</w:t>
                            </w:r>
                            <w:r w:rsidR="005A3E5B" w:rsidRPr="00F81D1A">
                              <w:rPr>
                                <w:lang w:val="en-GB"/>
                              </w:rPr>
                              <w:br/>
                            </w:r>
                            <w:r w:rsidR="005A3E5B" w:rsidRPr="0069160D">
                              <w:rPr>
                                <w:lang w:val="en-GB"/>
                              </w:rPr>
                              <w:t>Faculty of Natural &amp; Environmental Sciences</w:t>
                            </w:r>
                            <w:r w:rsidR="005A3E5B" w:rsidRPr="00F81D1A">
                              <w:rPr>
                                <w:lang w:val="en-GB"/>
                              </w:rPr>
                              <w:br/>
                            </w:r>
                            <w:r w:rsidR="005A3E5B" w:rsidRPr="0069160D">
                              <w:rPr>
                                <w:lang w:val="en-GB"/>
                              </w:rPr>
                              <w:t>University of Southampton</w:t>
                            </w:r>
                            <w:r w:rsidR="005A3E5B">
                              <w:rPr>
                                <w:lang w:val="en-GB"/>
                              </w:rPr>
                              <w:br/>
                            </w:r>
                            <w:r w:rsidR="005A3E5B" w:rsidRPr="0069160D">
                              <w:rPr>
                                <w:lang w:val="en-GB"/>
                              </w:rPr>
                              <w:t>Highfield Campus, Southampton, SO17 1BJ, UK</w:t>
                            </w:r>
                            <w:r w:rsidR="005A3E5B">
                              <w:rPr>
                                <w:lang w:val="en-GB"/>
                              </w:rPr>
                              <w:br/>
                              <w:t xml:space="preserve">E-mail: </w:t>
                            </w:r>
                            <w:hyperlink r:id="rId9" w:tgtFrame="_blank" w:history="1">
                              <w:r w:rsidR="005A3E5B" w:rsidRPr="00D14B5A">
                                <w:rPr>
                                  <w:rStyle w:val="Hyperlink"/>
                                  <w:rFonts w:ascii="Courier New" w:hAnsi="Courier New" w:cs="Courier New"/>
                                  <w:noProof/>
                                  <w:color w:val="366388"/>
                                  <w:lang w:val="en-GB"/>
                                </w:rPr>
                                <w:t>R.Rios-Torres@southampton.ac.uk</w:t>
                              </w:r>
                            </w:hyperlink>
                            <w:r w:rsidR="005A3E5B">
                              <w:rPr>
                                <w:lang w:val="en-GB"/>
                              </w:rPr>
                              <w:br/>
                              <w:t xml:space="preserve">Homepage: </w:t>
                            </w:r>
                            <w:hyperlink r:id="rId10" w:history="1">
                              <w:r w:rsidR="005A3E5B" w:rsidRPr="00865F82">
                                <w:rPr>
                                  <w:rStyle w:val="Hyperlink"/>
                                  <w:lang w:val="en-GB"/>
                                </w:rPr>
                                <w:t>www.riosresearchgroup.com</w:t>
                              </w:r>
                            </w:hyperlink>
                          </w:p>
                          <w:p w:rsidR="00F50082" w:rsidRPr="005A3E5B" w:rsidRDefault="005A3E5B" w:rsidP="005A3E5B">
                            <w:pPr>
                              <w:pStyle w:val="Adress"/>
                              <w:spacing w:line="180" w:lineRule="exact"/>
                              <w:rPr>
                                <w:rFonts w:ascii="Times New Roman" w:hAnsi="Times New Roman"/>
                                <w:sz w:val="14"/>
                                <w:szCs w:val="14"/>
                                <w:lang w:val="en-GB"/>
                              </w:rPr>
                            </w:pPr>
                            <w:r w:rsidRPr="00CA3607">
                              <w:rPr>
                                <w:lang w:val="en-GB"/>
                              </w:rPr>
                              <w:t xml:space="preserve"> </w:t>
                            </w:r>
                            <w:r>
                              <w:rPr>
                                <w:lang w:val="en-GB"/>
                              </w:rPr>
                              <w:tab/>
                            </w:r>
                            <w:r w:rsidR="002B395C" w:rsidRPr="003E13D0">
                              <w:rPr>
                                <w:lang w:val="en-GB"/>
                              </w:rPr>
                              <w:t>Supporting information for this article is available on the WWW under http://www.chemeurj.org/ or from the author.))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3.25pt;margin-top:679.45pt;width:248.05pt;height:100.7pt;z-index:251653632;visibility:visible;mso-wrap-style:square;mso-width-percent:0;mso-height-percent:0;mso-wrap-distance-left:9pt;mso-wrap-distance-top:14.2pt;mso-wrap-distance-right:14.2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byhwIAABg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" stroked="f">
                <v:textbox style="mso-fit-shape-to-text:t">
                  <w:txbxContent>
                    <w:p w:rsidR="005A3E5B" w:rsidRDefault="00714DC9" w:rsidP="005A3E5B">
                      <w:pPr>
                        <w:pStyle w:val="Adress"/>
                        <w:pBdr>
                          <w:top w:val="single" w:sz="8" w:space="3" w:color="999999"/>
                        </w:pBdr>
                        <w:spacing w:before="0"/>
                        <w:rPr>
                          <w:lang w:val="en-GB"/>
                        </w:rPr>
                      </w:pPr>
                      <w:r w:rsidRPr="00FF7048">
                        <w:rPr>
                          <w:rFonts w:ascii="Times New Roman" w:hAnsi="Times New Roman"/>
                          <w:sz w:val="14"/>
                          <w:szCs w:val="14"/>
                          <w:lang w:val="en-GB"/>
                        </w:rPr>
                        <w:t>[</w:t>
                      </w:r>
                      <w:r w:rsidR="00FC63D2" w:rsidRPr="00FC63D2">
                        <w:rPr>
                          <w:rFonts w:ascii="Times New Roman" w:hAnsi="Times New Roman"/>
                          <w:sz w:val="14"/>
                          <w:szCs w:val="14"/>
                          <w:lang w:val="en-GB"/>
                        </w:rPr>
                        <w:t>a</w:t>
                      </w:r>
                      <w:r w:rsidR="005A3E5B">
                        <w:rPr>
                          <w:rFonts w:ascii="Times New Roman" w:hAnsi="Times New Roman"/>
                          <w:sz w:val="14"/>
                          <w:szCs w:val="14"/>
                          <w:lang w:val="en-GB"/>
                        </w:rPr>
                        <w:t>]</w:t>
                      </w:r>
                      <w:r w:rsidR="005A3E5B">
                        <w:rPr>
                          <w:rFonts w:ascii="Times New Roman" w:hAnsi="Times New Roman"/>
                          <w:sz w:val="14"/>
                          <w:szCs w:val="14"/>
                          <w:lang w:val="en-GB"/>
                        </w:rPr>
                        <w:tab/>
                      </w:r>
                      <w:r w:rsidR="005A3E5B">
                        <w:rPr>
                          <w:lang w:val="en-GB"/>
                        </w:rPr>
                        <w:t xml:space="preserve">M. Meazza, V. Ceban, </w:t>
                      </w:r>
                      <w:r w:rsidR="007962F1">
                        <w:rPr>
                          <w:lang w:val="en-GB"/>
                        </w:rPr>
                        <w:t xml:space="preserve">Dr. </w:t>
                      </w:r>
                      <w:r w:rsidR="005A3E5B">
                        <w:rPr>
                          <w:lang w:val="en-GB"/>
                        </w:rPr>
                        <w:t xml:space="preserve">M. B. Pitak, </w:t>
                      </w:r>
                      <w:r w:rsidR="007962F1">
                        <w:rPr>
                          <w:lang w:val="en-GB"/>
                        </w:rPr>
                        <w:t xml:space="preserve">Prof. Dr. </w:t>
                      </w:r>
                      <w:r w:rsidR="005A3E5B">
                        <w:rPr>
                          <w:lang w:val="en-GB"/>
                        </w:rPr>
                        <w:t xml:space="preserve">S. J. Coles, </w:t>
                      </w:r>
                      <w:r w:rsidR="007962F1">
                        <w:rPr>
                          <w:lang w:val="en-GB"/>
                        </w:rPr>
                        <w:t xml:space="preserve">Prof. Dr. </w:t>
                      </w:r>
                      <w:r w:rsidR="005A3E5B">
                        <w:rPr>
                          <w:lang w:val="en-GB"/>
                        </w:rPr>
                        <w:t>R. Rios</w:t>
                      </w:r>
                      <w:r w:rsidR="005A3E5B" w:rsidRPr="00F81D1A">
                        <w:rPr>
                          <w:lang w:val="en-GB"/>
                        </w:rPr>
                        <w:br/>
                      </w:r>
                      <w:r w:rsidR="005A3E5B" w:rsidRPr="0069160D">
                        <w:rPr>
                          <w:lang w:val="en-GB"/>
                        </w:rPr>
                        <w:t>Faculty of Natural &amp; Environmental Sciences</w:t>
                      </w:r>
                      <w:r w:rsidR="005A3E5B" w:rsidRPr="00F81D1A">
                        <w:rPr>
                          <w:lang w:val="en-GB"/>
                        </w:rPr>
                        <w:br/>
                      </w:r>
                      <w:r w:rsidR="005A3E5B" w:rsidRPr="0069160D">
                        <w:rPr>
                          <w:lang w:val="en-GB"/>
                        </w:rPr>
                        <w:t>University of Southampton</w:t>
                      </w:r>
                      <w:r w:rsidR="005A3E5B">
                        <w:rPr>
                          <w:lang w:val="en-GB"/>
                        </w:rPr>
                        <w:br/>
                      </w:r>
                      <w:r w:rsidR="005A3E5B" w:rsidRPr="0069160D">
                        <w:rPr>
                          <w:lang w:val="en-GB"/>
                        </w:rPr>
                        <w:t>Highfield Campus, Southampton, SO17 1BJ, UK</w:t>
                      </w:r>
                      <w:r w:rsidR="005A3E5B">
                        <w:rPr>
                          <w:lang w:val="en-GB"/>
                        </w:rPr>
                        <w:br/>
                        <w:t xml:space="preserve">E-mail: </w:t>
                      </w:r>
                      <w:hyperlink r:id="rId11" w:tgtFrame="_blank" w:history="1">
                        <w:r w:rsidR="005A3E5B" w:rsidRPr="00D14B5A">
                          <w:rPr>
                            <w:rStyle w:val="Hyperlink"/>
                            <w:rFonts w:ascii="Courier New" w:hAnsi="Courier New" w:cs="Courier New"/>
                            <w:noProof/>
                            <w:color w:val="366388"/>
                            <w:lang w:val="en-GB"/>
                          </w:rPr>
                          <w:t>R.Rios-Torres@southampton.ac.uk</w:t>
                        </w:r>
                      </w:hyperlink>
                      <w:r w:rsidR="005A3E5B">
                        <w:rPr>
                          <w:lang w:val="en-GB"/>
                        </w:rPr>
                        <w:br/>
                        <w:t xml:space="preserve">Homepage: </w:t>
                      </w:r>
                      <w:hyperlink r:id="rId12" w:history="1">
                        <w:r w:rsidR="005A3E5B" w:rsidRPr="00865F82">
                          <w:rPr>
                            <w:rStyle w:val="Hyperlink"/>
                            <w:lang w:val="en-GB"/>
                          </w:rPr>
                          <w:t>www.riosresearchgroup.com</w:t>
                        </w:r>
                      </w:hyperlink>
                    </w:p>
                    <w:p w:rsidR="00F50082" w:rsidRPr="005A3E5B" w:rsidRDefault="005A3E5B" w:rsidP="005A3E5B">
                      <w:pPr>
                        <w:pStyle w:val="Adress"/>
                        <w:spacing w:line="180" w:lineRule="exact"/>
                        <w:rPr>
                          <w:rFonts w:ascii="Times New Roman" w:hAnsi="Times New Roman"/>
                          <w:sz w:val="14"/>
                          <w:szCs w:val="14"/>
                          <w:lang w:val="en-GB"/>
                        </w:rPr>
                      </w:pPr>
                      <w:r w:rsidRPr="00CA3607">
                        <w:rPr>
                          <w:lang w:val="en-GB"/>
                        </w:rPr>
                        <w:t xml:space="preserve"> </w:t>
                      </w:r>
                      <w:r>
                        <w:rPr>
                          <w:lang w:val="en-GB"/>
                        </w:rPr>
                        <w:tab/>
                      </w:r>
                      <w:r w:rsidR="002B395C" w:rsidRPr="003E13D0">
                        <w:rPr>
                          <w:lang w:val="en-GB"/>
                        </w:rPr>
                        <w:t>Supporting information for this article is available on the WWW under http://www.chemeurj.org/ or from the author.))</w:t>
                      </w:r>
                    </w:p>
                  </w:txbxContent>
                </v:textbox>
                <w10:wrap type="square" side="right" anchory="page"/>
                <w10:anchorlock/>
              </v:shape>
            </w:pict>
          </mc:Fallback>
        </mc:AlternateContent>
      </w:r>
      <w:r w:rsidR="005A3E5B">
        <w:t xml:space="preserve">Marta Meazza, Victor Ceban, </w:t>
      </w:r>
      <w:r w:rsidR="005A3E5B" w:rsidRPr="00712FE4">
        <w:t xml:space="preserve">Mateusz B. </w:t>
      </w:r>
      <w:r w:rsidR="005A3E5B">
        <w:t>Pitak</w:t>
      </w:r>
      <w:r w:rsidR="005A3E5B" w:rsidRPr="00712FE4">
        <w:t>, Simon J. Coles</w:t>
      </w:r>
      <w:r w:rsidR="005A3E5B">
        <w:t xml:space="preserve"> and Ramon Rios</w:t>
      </w:r>
      <w:r w:rsidR="005A3E5B" w:rsidRPr="00A707DA">
        <w:t>*</w:t>
      </w:r>
    </w:p>
    <w:p w:rsidR="006479FE" w:rsidRPr="006479FE" w:rsidRDefault="006479FE" w:rsidP="006479FE">
      <w:pPr>
        <w:pStyle w:val="Authors"/>
        <w:sectPr w:rsidR="006479FE" w:rsidRPr="006479FE" w:rsidSect="0090579F">
          <w:footerReference w:type="even" r:id="rId13"/>
          <w:footerReference w:type="default" r:id="rId14"/>
          <w:type w:val="continuous"/>
          <w:pgSz w:w="11906" w:h="16838" w:code="9"/>
          <w:pgMar w:top="1134" w:right="851" w:bottom="1225" w:left="1077" w:header="709" w:footer="709" w:gutter="0"/>
          <w:cols w:space="284"/>
          <w:docGrid w:linePitch="360"/>
        </w:sectPr>
      </w:pPr>
    </w:p>
    <w:p w:rsidR="005A3E5B" w:rsidRPr="00C6518F" w:rsidRDefault="005A3E5B" w:rsidP="005A3E5B">
      <w:pPr>
        <w:pStyle w:val="P1withoutIndendation"/>
        <w:rPr>
          <w:bCs/>
          <w:lang w:val="en-GB"/>
        </w:rPr>
      </w:pPr>
      <w:r w:rsidRPr="00461FCF">
        <w:rPr>
          <w:bCs/>
          <w:lang w:val="en-GB"/>
        </w:rPr>
        <w:lastRenderedPageBreak/>
        <w:t xml:space="preserve">In nature, the concurrent activation of nucleophiles and electrophiles using different catalysts is prevalent. For example, in enzymatic processes, several amino acid residues activate nucleophiles and electrophiles simultaneously to facilitate chemical reactions. </w:t>
      </w:r>
      <w:r w:rsidRPr="00C6518F">
        <w:rPr>
          <w:bCs/>
          <w:lang w:val="en-GB"/>
        </w:rPr>
        <w:t>This dual activation is known as synergistic catalysis.</w:t>
      </w:r>
      <w:r w:rsidRPr="00031887">
        <w:rPr>
          <w:bCs/>
          <w:vertAlign w:val="superscript"/>
          <w:lang w:val="en-GB"/>
        </w:rPr>
        <w:t>[1]</w:t>
      </w:r>
      <w:r w:rsidRPr="00C6518F">
        <w:rPr>
          <w:bCs/>
          <w:lang w:val="en-GB"/>
        </w:rPr>
        <w:t xml:space="preserve"> </w:t>
      </w:r>
    </w:p>
    <w:p w:rsidR="005A3E5B" w:rsidRDefault="005A3E5B" w:rsidP="005A3E5B">
      <w:pPr>
        <w:pStyle w:val="P1withoutIndendation"/>
        <w:rPr>
          <w:lang w:val="en-GB"/>
        </w:rPr>
      </w:pPr>
      <w:r w:rsidRPr="00461FCF">
        <w:rPr>
          <w:lang w:val="en-GB"/>
        </w:rPr>
        <w:t xml:space="preserve">The concept </w:t>
      </w:r>
      <w:r>
        <w:rPr>
          <w:lang w:val="en-GB"/>
        </w:rPr>
        <w:t>of activating</w:t>
      </w:r>
      <w:r w:rsidRPr="00461FCF">
        <w:rPr>
          <w:lang w:val="en-GB"/>
        </w:rPr>
        <w:t xml:space="preserve"> the nucleophile and electrophile of a reaction simultaneously has been used for a long time in organic synthesis. The most common approach in organocatalysis</w:t>
      </w:r>
      <w:r w:rsidRPr="00461FCF">
        <w:rPr>
          <w:vertAlign w:val="superscript"/>
          <w:lang w:val="en-GB"/>
        </w:rPr>
        <w:t xml:space="preserve">[2] </w:t>
      </w:r>
      <w:r w:rsidRPr="00461FCF">
        <w:rPr>
          <w:lang w:val="en-GB"/>
        </w:rPr>
        <w:t>has been the use of bifunctional c</w:t>
      </w:r>
      <w:r>
        <w:rPr>
          <w:lang w:val="en-GB"/>
        </w:rPr>
        <w:t>atalysts such as tertiary amine/</w:t>
      </w:r>
      <w:r w:rsidRPr="00461FCF">
        <w:rPr>
          <w:lang w:val="en-GB"/>
        </w:rPr>
        <w:t xml:space="preserve">thiourea catalysts that activate the nucleophiles and electrophiles </w:t>
      </w:r>
      <w:r w:rsidRPr="005857AB">
        <w:rPr>
          <w:i/>
          <w:iCs/>
          <w:lang w:val="en-GB"/>
        </w:rPr>
        <w:t>via</w:t>
      </w:r>
      <w:r w:rsidRPr="00461FCF">
        <w:rPr>
          <w:lang w:val="en-GB"/>
        </w:rPr>
        <w:t xml:space="preserve"> Brönsted base and hydrogen bond donor interactions, respectively. Bifunctional catalysts</w:t>
      </w:r>
      <w:r w:rsidR="00007A3F" w:rsidRPr="00007A3F">
        <w:rPr>
          <w:vertAlign w:val="superscript"/>
          <w:lang w:val="en-GB"/>
        </w:rPr>
        <w:t>[3]</w:t>
      </w:r>
      <w:r w:rsidRPr="00461FCF">
        <w:rPr>
          <w:lang w:val="en-GB"/>
        </w:rPr>
        <w:t xml:space="preserve"> have several advantages such as a well-ordered transition state; however, there are several disadvantages such as the need to synthesize a new catalyst each time one of the subunits needs to be modified. In contrast, synergistic catalysis allows </w:t>
      </w:r>
      <w:r>
        <w:rPr>
          <w:lang w:val="en-GB"/>
        </w:rPr>
        <w:t>optimizing</w:t>
      </w:r>
      <w:r w:rsidRPr="00461FCF">
        <w:rPr>
          <w:lang w:val="en-GB"/>
        </w:rPr>
        <w:t xml:space="preserve"> each </w:t>
      </w:r>
      <w:r>
        <w:rPr>
          <w:lang w:val="en-GB"/>
        </w:rPr>
        <w:t>catalyst almost independently from the other cocatalyst</w:t>
      </w:r>
      <w:r w:rsidRPr="00461FCF">
        <w:rPr>
          <w:lang w:val="en-GB"/>
        </w:rPr>
        <w:t xml:space="preserve"> and</w:t>
      </w:r>
      <w:r>
        <w:rPr>
          <w:lang w:val="en-GB"/>
        </w:rPr>
        <w:t>,</w:t>
      </w:r>
      <w:r w:rsidRPr="00461FCF">
        <w:rPr>
          <w:lang w:val="en-GB"/>
        </w:rPr>
        <w:t xml:space="preserve"> in principle, allows the use of several sources of chirality in each of the cocatalysts, thus improving </w:t>
      </w:r>
      <w:r>
        <w:rPr>
          <w:lang w:val="en-GB"/>
        </w:rPr>
        <w:t xml:space="preserve">the </w:t>
      </w:r>
      <w:r w:rsidRPr="00461FCF">
        <w:rPr>
          <w:lang w:val="en-GB"/>
        </w:rPr>
        <w:t>stereoselectivity</w:t>
      </w:r>
      <w:r>
        <w:rPr>
          <w:lang w:val="en-GB"/>
        </w:rPr>
        <w:t xml:space="preserve">. </w:t>
      </w:r>
    </w:p>
    <w:p w:rsidR="005A3E5B" w:rsidRPr="007962F1" w:rsidRDefault="005A3E5B" w:rsidP="005A3E5B">
      <w:pPr>
        <w:pStyle w:val="P1withoutIndendation"/>
        <w:rPr>
          <w:bCs/>
          <w:lang w:val="en-GB"/>
        </w:rPr>
      </w:pPr>
      <w:r w:rsidRPr="00461FCF">
        <w:rPr>
          <w:bCs/>
          <w:lang w:val="en-GB"/>
        </w:rPr>
        <w:t xml:space="preserve">Recently, in asymmetric synthesis, the use of two catalysts and two catalytic cycles, working in concert to create a single new bond, has emerged as a powerful </w:t>
      </w:r>
      <w:r>
        <w:rPr>
          <w:bCs/>
          <w:lang w:val="en-GB"/>
        </w:rPr>
        <w:t>strategy</w:t>
      </w:r>
      <w:r w:rsidRPr="00461FCF">
        <w:rPr>
          <w:bCs/>
          <w:lang w:val="en-GB"/>
        </w:rPr>
        <w:t xml:space="preserve"> for developing new reactions. This concurrent activation of both the nucleophile and electrophile using different catalysts enhanced the chemical reactivity and allowed the synthesis of difficult scaffolds (Figure 1). One of the first examples in asymmetric synthesis based on synergistic catalysis was reported by Cordova and coworkers in 2006. They developed the direct </w:t>
      </w:r>
      <w:r w:rsidRPr="00EB79E7">
        <w:rPr>
          <w:rFonts w:ascii="Symbol" w:hAnsi="Symbol"/>
          <w:bCs/>
        </w:rPr>
        <w:t></w:t>
      </w:r>
      <w:r w:rsidRPr="00461FCF">
        <w:rPr>
          <w:bCs/>
          <w:lang w:val="en-GB"/>
        </w:rPr>
        <w:t>-allylic alkylation of unactivated aldehydes with allyl acetates using both enamine and Pd catalysis.</w:t>
      </w:r>
      <w:r w:rsidR="006028F3">
        <w:rPr>
          <w:bCs/>
          <w:vertAlign w:val="superscript"/>
          <w:lang w:val="en-GB"/>
        </w:rPr>
        <w:t>[4</w:t>
      </w:r>
      <w:r w:rsidRPr="00461FCF">
        <w:rPr>
          <w:bCs/>
          <w:vertAlign w:val="superscript"/>
          <w:lang w:val="en-GB"/>
        </w:rPr>
        <w:t>]</w:t>
      </w:r>
      <w:r w:rsidRPr="00461FCF">
        <w:rPr>
          <w:bCs/>
          <w:lang w:val="en-GB"/>
        </w:rPr>
        <w:t xml:space="preserve"> Later, Zhang reported an efficient asymmetric variant using Cordova’s synergistic strategy and Pd catalysts bearing C</w:t>
      </w:r>
      <w:r w:rsidRPr="00461FCF">
        <w:rPr>
          <w:bCs/>
          <w:vertAlign w:val="subscript"/>
          <w:lang w:val="en-GB"/>
        </w:rPr>
        <w:t>2</w:t>
      </w:r>
      <w:r w:rsidRPr="00461FCF">
        <w:rPr>
          <w:bCs/>
          <w:lang w:val="en-GB"/>
        </w:rPr>
        <w:t>-symmetrical chiral metallocene ligands.</w:t>
      </w:r>
      <w:r w:rsidR="006028F3">
        <w:rPr>
          <w:bCs/>
          <w:vertAlign w:val="superscript"/>
          <w:lang w:val="en-GB"/>
        </w:rPr>
        <w:t>[5</w:t>
      </w:r>
      <w:r w:rsidRPr="00461FCF">
        <w:rPr>
          <w:bCs/>
          <w:vertAlign w:val="superscript"/>
          <w:lang w:val="en-GB"/>
        </w:rPr>
        <w:t>]</w:t>
      </w:r>
      <w:r w:rsidRPr="00461FCF">
        <w:rPr>
          <w:bCs/>
          <w:lang w:val="en-GB"/>
        </w:rPr>
        <w:t xml:space="preserve"> MacMillan and Sibi reported </w:t>
      </w:r>
      <w:r w:rsidRPr="007962F1">
        <w:rPr>
          <w:bCs/>
          <w:lang w:val="en-GB"/>
        </w:rPr>
        <w:t>examples of asymmetric synergistic catalysis based on enamine catalysis and metal-bonded electrophiles.</w:t>
      </w:r>
      <w:r w:rsidR="006028F3" w:rsidRPr="007962F1">
        <w:rPr>
          <w:bCs/>
          <w:vertAlign w:val="superscript"/>
          <w:lang w:val="en-GB"/>
        </w:rPr>
        <w:t>[6</w:t>
      </w:r>
      <w:r w:rsidRPr="007962F1">
        <w:rPr>
          <w:bCs/>
          <w:vertAlign w:val="superscript"/>
          <w:lang w:val="en-GB"/>
        </w:rPr>
        <w:t xml:space="preserve">] </w:t>
      </w:r>
      <w:r w:rsidR="00A61ED2" w:rsidRPr="007962F1">
        <w:rPr>
          <w:bCs/>
          <w:lang w:val="en-GB"/>
        </w:rPr>
        <w:t>In this area</w:t>
      </w:r>
      <w:r w:rsidR="003D7401" w:rsidRPr="007962F1">
        <w:rPr>
          <w:bCs/>
          <w:lang w:val="en-GB"/>
        </w:rPr>
        <w:t>,</w:t>
      </w:r>
      <w:r w:rsidR="00A61ED2" w:rsidRPr="007962F1">
        <w:rPr>
          <w:bCs/>
          <w:lang w:val="en-GB"/>
        </w:rPr>
        <w:t xml:space="preserve"> List a</w:t>
      </w:r>
      <w:r w:rsidR="003D7401" w:rsidRPr="007962F1">
        <w:rPr>
          <w:bCs/>
          <w:lang w:val="en-GB"/>
        </w:rPr>
        <w:t>lso reported his research effor</w:t>
      </w:r>
      <w:r w:rsidR="00A61ED2" w:rsidRPr="007962F1">
        <w:rPr>
          <w:bCs/>
          <w:lang w:val="en-GB"/>
        </w:rPr>
        <w:t xml:space="preserve">ts joining phosphoric </w:t>
      </w:r>
      <w:r w:rsidR="00A61ED2" w:rsidRPr="007962F1">
        <w:rPr>
          <w:bCs/>
          <w:lang w:val="en-GB"/>
        </w:rPr>
        <w:lastRenderedPageBreak/>
        <w:t>acid</w:t>
      </w:r>
      <w:r w:rsidR="003D7401" w:rsidRPr="007962F1">
        <w:rPr>
          <w:bCs/>
          <w:lang w:val="en-GB"/>
        </w:rPr>
        <w:t xml:space="preserve"> derivatives and transition metal catalysts with excellent results in allylation, overman rearrangement and epoxidation reactions.</w:t>
      </w:r>
      <w:r w:rsidR="003D7401" w:rsidRPr="007962F1">
        <w:rPr>
          <w:bCs/>
          <w:vertAlign w:val="superscript"/>
          <w:lang w:val="en-GB"/>
        </w:rPr>
        <w:t xml:space="preserve">[7] </w:t>
      </w:r>
      <w:r w:rsidR="003D7401" w:rsidRPr="007962F1">
        <w:rPr>
          <w:bCs/>
          <w:lang w:val="en-GB"/>
        </w:rPr>
        <w:t>O</w:t>
      </w:r>
      <w:r w:rsidRPr="007962F1">
        <w:rPr>
          <w:bCs/>
          <w:lang w:val="en-GB"/>
        </w:rPr>
        <w:t xml:space="preserve">n the other hand, synergistic catalysis using </w:t>
      </w:r>
      <w:r w:rsidRPr="007962F1">
        <w:rPr>
          <w:bCs/>
        </w:rPr>
        <w:sym w:font="Symbol" w:char="F061"/>
      </w:r>
      <w:r w:rsidRPr="007962F1">
        <w:rPr>
          <w:bCs/>
          <w:lang w:val="en-GB"/>
        </w:rPr>
        <w:t>,</w:t>
      </w:r>
      <w:r w:rsidRPr="007962F1">
        <w:rPr>
          <w:bCs/>
        </w:rPr>
        <w:sym w:font="Symbol" w:char="F062"/>
      </w:r>
      <w:r w:rsidRPr="007962F1">
        <w:rPr>
          <w:bCs/>
          <w:lang w:val="en-GB"/>
        </w:rPr>
        <w:t xml:space="preserve">-unsaturated carbonyl compounds has attracted much interest recently. The pioneering works of Cordova in </w:t>
      </w:r>
      <w:r w:rsidRPr="007962F1">
        <w:rPr>
          <w:rFonts w:ascii="Symbol" w:hAnsi="Symbol"/>
          <w:bCs/>
        </w:rPr>
        <w:t></w:t>
      </w:r>
      <w:r w:rsidRPr="007962F1">
        <w:rPr>
          <w:bCs/>
          <w:lang w:val="en-GB"/>
        </w:rPr>
        <w:t xml:space="preserve">-silylation or </w:t>
      </w:r>
      <w:r w:rsidRPr="007962F1">
        <w:rPr>
          <w:rFonts w:ascii="Symbol" w:hAnsi="Symbol"/>
          <w:bCs/>
        </w:rPr>
        <w:t></w:t>
      </w:r>
      <w:r w:rsidRPr="007962F1">
        <w:rPr>
          <w:bCs/>
          <w:lang w:val="en-GB"/>
        </w:rPr>
        <w:t xml:space="preserve">-borylation using iminium and </w:t>
      </w:r>
      <w:r w:rsidRPr="007962F1">
        <w:rPr>
          <w:lang w:val="en-GB"/>
        </w:rPr>
        <w:t>transition-metal activation</w:t>
      </w:r>
      <w:r w:rsidRPr="007962F1">
        <w:rPr>
          <w:bCs/>
          <w:lang w:val="en-GB"/>
        </w:rPr>
        <w:t xml:space="preserve"> demonstrated the importance of this approach.</w:t>
      </w:r>
      <w:r w:rsidR="003D7401" w:rsidRPr="007962F1">
        <w:rPr>
          <w:bCs/>
          <w:vertAlign w:val="superscript"/>
          <w:lang w:val="en-GB"/>
        </w:rPr>
        <w:t>[8</w:t>
      </w:r>
      <w:r w:rsidRPr="007962F1">
        <w:rPr>
          <w:bCs/>
          <w:vertAlign w:val="superscript"/>
          <w:lang w:val="en-GB"/>
        </w:rPr>
        <w:t>]</w:t>
      </w:r>
    </w:p>
    <w:p w:rsidR="005A3E5B" w:rsidRPr="007962F1" w:rsidRDefault="005A3E5B" w:rsidP="005A3E5B">
      <w:pPr>
        <w:pStyle w:val="P1withoutIndendation"/>
        <w:rPr>
          <w:lang w:val="en-GB"/>
        </w:rPr>
      </w:pPr>
      <w:r w:rsidRPr="007962F1">
        <w:rPr>
          <w:lang w:val="en-GB"/>
        </w:rPr>
        <w:t xml:space="preserve">Recently, our research group became interested in developing new methodologies for the synthesis of chiral azaarenes. Despite the fact that </w:t>
      </w:r>
      <w:r w:rsidRPr="007962F1">
        <w:rPr>
          <w:bCs/>
          <w:lang w:val="en-GB"/>
        </w:rPr>
        <w:t>alkylbenzoxazoles are an interesting class of heterocycles because of their importance in agro- and medicinal chemistry,</w:t>
      </w:r>
      <w:r w:rsidRPr="007962F1">
        <w:rPr>
          <w:lang w:val="en-GB"/>
        </w:rPr>
        <w:t xml:space="preserve"> only a few enantioselective methodologies have been developed for their synthesis. Recently, Lam and coworkers reported the addition of alkylazaarenes to nitrostyrenes catalyzed by Pd-bisoxazoline complexes to afford excellent results.</w:t>
      </w:r>
      <w:r w:rsidR="003D7401" w:rsidRPr="007962F1">
        <w:rPr>
          <w:vertAlign w:val="superscript"/>
          <w:lang w:val="en-GB"/>
        </w:rPr>
        <w:t>[9</w:t>
      </w:r>
      <w:r w:rsidRPr="007962F1">
        <w:rPr>
          <w:vertAlign w:val="superscript"/>
          <w:lang w:val="en-GB"/>
        </w:rPr>
        <w:t>]</w:t>
      </w:r>
      <w:r w:rsidRPr="007962F1">
        <w:rPr>
          <w:lang w:val="en-GB"/>
        </w:rPr>
        <w:t xml:space="preserve"> Recently, we reported the addition of alkylbenzoxazoles to Morita–Baylis–Hillman (MBH) carbonates, based on a synergistic approach, in a highly diastereoselective manner.</w:t>
      </w:r>
      <w:r w:rsidR="003D7401" w:rsidRPr="007962F1">
        <w:rPr>
          <w:vertAlign w:val="superscript"/>
          <w:lang w:val="en-GB"/>
        </w:rPr>
        <w:t>[10</w:t>
      </w:r>
      <w:r w:rsidRPr="007962F1">
        <w:rPr>
          <w:vertAlign w:val="superscript"/>
          <w:lang w:val="en-GB"/>
        </w:rPr>
        <w:t>]</w:t>
      </w:r>
      <w:r w:rsidRPr="007962F1">
        <w:rPr>
          <w:lang w:val="en-GB"/>
        </w:rPr>
        <w:t xml:space="preserve"> </w:t>
      </w:r>
    </w:p>
    <w:p w:rsidR="005A3E5B" w:rsidRPr="007962F1" w:rsidRDefault="005A3E5B" w:rsidP="005A3E5B">
      <w:pPr>
        <w:pStyle w:val="P1withoutIndendation"/>
        <w:rPr>
          <w:lang w:val="en-GB"/>
        </w:rPr>
      </w:pPr>
      <w:r w:rsidRPr="007962F1">
        <w:rPr>
          <w:lang w:val="en-GB"/>
        </w:rPr>
        <w:t>Based on these previous studies and our own experience in organocatalysis,</w:t>
      </w:r>
      <w:r w:rsidR="003D7401" w:rsidRPr="007962F1">
        <w:rPr>
          <w:vertAlign w:val="superscript"/>
          <w:lang w:val="en-GB"/>
        </w:rPr>
        <w:t>[11</w:t>
      </w:r>
      <w:r w:rsidRPr="007962F1">
        <w:rPr>
          <w:vertAlign w:val="superscript"/>
          <w:lang w:val="en-GB"/>
        </w:rPr>
        <w:t>]</w:t>
      </w:r>
      <w:r w:rsidRPr="007962F1">
        <w:rPr>
          <w:lang w:val="en-GB"/>
        </w:rPr>
        <w:t xml:space="preserve"> we envisioned that the metal activation of benzoxazoles would work in concordance with enantioselective organocatalytic processes in order to build a new C–C bond in an enantioselective manner. </w:t>
      </w:r>
    </w:p>
    <w:p w:rsidR="005A3E5B" w:rsidRPr="007962F1" w:rsidRDefault="005A3E5B" w:rsidP="005A3E5B">
      <w:pPr>
        <w:pStyle w:val="P1withoutIndendation"/>
        <w:rPr>
          <w:bCs/>
          <w:lang w:val="en-GB"/>
        </w:rPr>
      </w:pPr>
      <w:r w:rsidRPr="007962F1">
        <w:rPr>
          <w:bCs/>
          <w:lang w:val="en-GB"/>
        </w:rPr>
        <w:t xml:space="preserve">In this paper, we report the first example of enantioselective alkylazaarene addition to enals using synergistic catalysis. This catalytic enantioselective methodology affords highly functionalized chiral alkylazaarenes and may potentially lead to the development of new scaffolds of interest in the agrochemical and pharmaceutical industries. </w:t>
      </w:r>
    </w:p>
    <w:p w:rsidR="005A3E5B" w:rsidRDefault="005A3E5B" w:rsidP="005A3E5B">
      <w:pPr>
        <w:pStyle w:val="P1withoutIndendation"/>
        <w:rPr>
          <w:lang w:val="en-GB"/>
        </w:rPr>
      </w:pPr>
      <w:r w:rsidRPr="007962F1">
        <w:rPr>
          <w:lang w:val="en-GB"/>
        </w:rPr>
        <w:t>We focused our research efforts on the combination of the metal-Lewis-acid</w:t>
      </w:r>
      <w:r w:rsidRPr="007962F1" w:rsidDel="005E1229">
        <w:rPr>
          <w:lang w:val="en-GB"/>
        </w:rPr>
        <w:t xml:space="preserve"> </w:t>
      </w:r>
      <w:r w:rsidRPr="007962F1">
        <w:rPr>
          <w:lang w:val="en-GB"/>
        </w:rPr>
        <w:t>activation of alkylazaarenes and the secondary-amine</w:t>
      </w:r>
      <w:r w:rsidRPr="007962F1" w:rsidDel="005E1229">
        <w:rPr>
          <w:lang w:val="en-GB"/>
        </w:rPr>
        <w:t xml:space="preserve"> </w:t>
      </w:r>
      <w:r w:rsidRPr="007962F1">
        <w:rPr>
          <w:lang w:val="en-GB"/>
        </w:rPr>
        <w:t>activation of enals. The proposed mechanism is shown in Figure 1.</w:t>
      </w: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bookmarkStart w:id="0" w:name="_GoBack"/>
    </w:p>
    <w:bookmarkEnd w:id="0"/>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Default="005A3E5B" w:rsidP="005A3E5B">
      <w:pPr>
        <w:pStyle w:val="P1withoutIndendation"/>
        <w:rPr>
          <w:lang w:val="en-GB"/>
        </w:rPr>
      </w:pPr>
    </w:p>
    <w:p w:rsidR="005A3E5B" w:rsidRPr="001C46E3" w:rsidRDefault="005A3E5B" w:rsidP="005A3E5B">
      <w:pPr>
        <w:pStyle w:val="FigureCaption"/>
      </w:pPr>
      <w:r w:rsidRPr="00506EDB">
        <w:rPr>
          <w:b/>
          <w:i/>
        </w:rPr>
        <w:t>Figure 1</w:t>
      </w:r>
      <w:r>
        <w:rPr>
          <w:b/>
          <w:i/>
        </w:rPr>
        <w:t>.</w:t>
      </w:r>
      <w:r w:rsidRPr="00506EDB">
        <w:t xml:space="preserve"> </w:t>
      </w:r>
      <w:r>
        <w:t>Proposed mechanism</w:t>
      </w:r>
    </w:p>
    <w:p w:rsidR="005A3E5B" w:rsidRPr="00BA51D7" w:rsidRDefault="005A3E5B" w:rsidP="00CC2162">
      <w:pPr>
        <w:pStyle w:val="P1withoutIndendation"/>
        <w:ind w:firstLine="284"/>
        <w:rPr>
          <w:bCs/>
          <w:lang w:val="en-GB"/>
        </w:rPr>
      </w:pPr>
      <w:r w:rsidRPr="00BA51D7">
        <w:rPr>
          <w:bCs/>
          <w:lang w:val="en-GB"/>
        </w:rPr>
        <w:t xml:space="preserve">As shown in Figure 1, we envisioned that </w:t>
      </w:r>
      <w:r>
        <w:rPr>
          <w:bCs/>
          <w:lang w:val="en-GB"/>
        </w:rPr>
        <w:t xml:space="preserve">the </w:t>
      </w:r>
      <w:r w:rsidRPr="00BA51D7">
        <w:rPr>
          <w:bCs/>
          <w:lang w:val="en-GB"/>
        </w:rPr>
        <w:t xml:space="preserve">metal Lewis acids would interact with the alkylbenzoxazole (compound </w:t>
      </w:r>
      <w:r w:rsidRPr="00BA51D7">
        <w:rPr>
          <w:b/>
          <w:bCs/>
          <w:lang w:val="en-GB"/>
        </w:rPr>
        <w:t>1</w:t>
      </w:r>
      <w:r w:rsidRPr="00BA51D7">
        <w:rPr>
          <w:bCs/>
          <w:lang w:val="en-GB"/>
        </w:rPr>
        <w:t xml:space="preserve">) by coordinating to the nitrogen of </w:t>
      </w:r>
      <w:r w:rsidRPr="00BA51D7">
        <w:rPr>
          <w:b/>
          <w:bCs/>
          <w:lang w:val="en-GB"/>
        </w:rPr>
        <w:t>1</w:t>
      </w:r>
      <w:r w:rsidRPr="00BA51D7">
        <w:rPr>
          <w:bCs/>
          <w:lang w:val="en-GB"/>
        </w:rPr>
        <w:t xml:space="preserve">, thus increasing the acidity of the </w:t>
      </w:r>
      <w:r w:rsidRPr="006E0955">
        <w:rPr>
          <w:rFonts w:ascii="Symbol" w:hAnsi="Symbol"/>
          <w:bCs/>
        </w:rPr>
        <w:t></w:t>
      </w:r>
      <w:r w:rsidRPr="00BA51D7">
        <w:rPr>
          <w:bCs/>
          <w:lang w:val="en-GB"/>
        </w:rPr>
        <w:t xml:space="preserve">-carbon of </w:t>
      </w:r>
      <w:r w:rsidRPr="00BA51D7">
        <w:rPr>
          <w:b/>
          <w:bCs/>
          <w:lang w:val="en-GB"/>
        </w:rPr>
        <w:t>1</w:t>
      </w:r>
      <w:r w:rsidRPr="00BA51D7">
        <w:rPr>
          <w:bCs/>
          <w:lang w:val="en-GB"/>
        </w:rPr>
        <w:t>. After treating the metal</w:t>
      </w:r>
      <w:r>
        <w:rPr>
          <w:bCs/>
          <w:lang w:val="en-GB"/>
        </w:rPr>
        <w:t>l</w:t>
      </w:r>
      <w:r w:rsidRPr="00BA51D7">
        <w:rPr>
          <w:bCs/>
          <w:lang w:val="en-GB"/>
        </w:rPr>
        <w:t xml:space="preserve">ated alkylbenzoxazole (compound </w:t>
      </w:r>
      <w:r w:rsidR="0013288F">
        <w:rPr>
          <w:b/>
          <w:bCs/>
          <w:lang w:val="en-GB"/>
        </w:rPr>
        <w:t>5</w:t>
      </w:r>
      <w:r>
        <w:rPr>
          <w:bCs/>
          <w:lang w:val="en-GB"/>
        </w:rPr>
        <w:t xml:space="preserve">) with a base, a </w:t>
      </w:r>
      <w:r w:rsidRPr="00BA51D7">
        <w:rPr>
          <w:bCs/>
          <w:lang w:val="en-GB"/>
        </w:rPr>
        <w:t xml:space="preserve">nucleophile (compound </w:t>
      </w:r>
      <w:r w:rsidR="00D15662">
        <w:rPr>
          <w:b/>
          <w:bCs/>
          <w:lang w:val="en-GB"/>
        </w:rPr>
        <w:t>6</w:t>
      </w:r>
      <w:r w:rsidRPr="00BA51D7">
        <w:rPr>
          <w:bCs/>
          <w:lang w:val="en-GB"/>
        </w:rPr>
        <w:t>)</w:t>
      </w:r>
      <w:r>
        <w:rPr>
          <w:bCs/>
          <w:lang w:val="en-GB"/>
        </w:rPr>
        <w:t xml:space="preserve">, suitable </w:t>
      </w:r>
      <w:r w:rsidRPr="00BA51D7">
        <w:rPr>
          <w:bCs/>
          <w:lang w:val="en-GB"/>
        </w:rPr>
        <w:t>to react with the electrophile (enal)</w:t>
      </w:r>
      <w:r>
        <w:rPr>
          <w:bCs/>
          <w:lang w:val="en-GB"/>
        </w:rPr>
        <w:t>, was obtained</w:t>
      </w:r>
      <w:r w:rsidRPr="00BA51D7">
        <w:rPr>
          <w:bCs/>
          <w:lang w:val="en-GB"/>
        </w:rPr>
        <w:t xml:space="preserve">. The enal reacts with the secondary amine (organocatalyst) to form the corresponding activated iminium form (compound </w:t>
      </w:r>
      <w:r w:rsidR="00D15662" w:rsidRPr="00D15662">
        <w:rPr>
          <w:b/>
          <w:bCs/>
          <w:lang w:val="en-GB"/>
        </w:rPr>
        <w:t>7</w:t>
      </w:r>
      <w:r w:rsidRPr="00BA51D7">
        <w:rPr>
          <w:bCs/>
          <w:lang w:val="en-GB"/>
        </w:rPr>
        <w:t>). The (</w:t>
      </w:r>
      <w:r w:rsidRPr="00BA51D7">
        <w:rPr>
          <w:bCs/>
          <w:i/>
          <w:lang w:val="en-GB"/>
        </w:rPr>
        <w:t>S</w:t>
      </w:r>
      <w:r w:rsidRPr="00BA51D7">
        <w:rPr>
          <w:bCs/>
          <w:lang w:val="en-GB"/>
        </w:rPr>
        <w:t xml:space="preserve">)-catalyst efficiently shields one face of the enal. After the addition, the hydrolysis of compound </w:t>
      </w:r>
      <w:r w:rsidR="00D15662">
        <w:rPr>
          <w:b/>
          <w:bCs/>
          <w:lang w:val="en-GB"/>
        </w:rPr>
        <w:t>8</w:t>
      </w:r>
      <w:r w:rsidRPr="00BA51D7">
        <w:rPr>
          <w:bCs/>
          <w:lang w:val="en-GB"/>
        </w:rPr>
        <w:t xml:space="preserve"> affords compound </w:t>
      </w:r>
      <w:r w:rsidR="00D15662">
        <w:rPr>
          <w:b/>
          <w:bCs/>
          <w:lang w:val="en-GB"/>
        </w:rPr>
        <w:t>4</w:t>
      </w:r>
      <w:r w:rsidRPr="00BA51D7">
        <w:rPr>
          <w:bCs/>
          <w:lang w:val="en-GB"/>
        </w:rPr>
        <w:t xml:space="preserve"> and releases the catalyst, thus completing the </w:t>
      </w:r>
      <w:r>
        <w:rPr>
          <w:bCs/>
          <w:lang w:val="en-GB"/>
        </w:rPr>
        <w:t xml:space="preserve">second </w:t>
      </w:r>
      <w:r w:rsidRPr="00BA51D7">
        <w:rPr>
          <w:bCs/>
          <w:lang w:val="en-GB"/>
        </w:rPr>
        <w:t>catalytic cycle.</w:t>
      </w:r>
    </w:p>
    <w:p w:rsidR="005A3E5B" w:rsidRDefault="005A3E5B" w:rsidP="005A3E5B">
      <w:pPr>
        <w:pStyle w:val="P1withoutIndendation"/>
        <w:rPr>
          <w:bCs/>
          <w:lang w:val="en-GB"/>
        </w:rPr>
      </w:pPr>
      <w:r w:rsidRPr="00BA51D7">
        <w:rPr>
          <w:bCs/>
          <w:lang w:val="en-GB"/>
        </w:rPr>
        <w:t xml:space="preserve">First, we investigated the reaction of enal </w:t>
      </w:r>
      <w:r w:rsidRPr="00BA51D7">
        <w:rPr>
          <w:b/>
          <w:lang w:val="en-GB"/>
        </w:rPr>
        <w:t>2a</w:t>
      </w:r>
      <w:r w:rsidRPr="00BA51D7">
        <w:rPr>
          <w:bCs/>
          <w:lang w:val="en-GB"/>
        </w:rPr>
        <w:t xml:space="preserve"> with 2-ethyl-6-nitrobenzoxazole (</w:t>
      </w:r>
      <w:r w:rsidRPr="00BA51D7">
        <w:rPr>
          <w:b/>
          <w:lang w:val="en-GB"/>
        </w:rPr>
        <w:t>1a</w:t>
      </w:r>
      <w:r w:rsidRPr="00BA51D7">
        <w:rPr>
          <w:lang w:val="en-GB"/>
        </w:rPr>
        <w:t>)</w:t>
      </w:r>
      <w:r w:rsidRPr="00BA51D7">
        <w:rPr>
          <w:bCs/>
          <w:lang w:val="en-GB"/>
        </w:rPr>
        <w:t xml:space="preserve"> in the presence of different metal Lewis acids, solvents, and organic Lewis bases. We selected compound </w:t>
      </w:r>
      <w:r w:rsidRPr="00BA51D7">
        <w:rPr>
          <w:b/>
          <w:lang w:val="en-GB"/>
        </w:rPr>
        <w:t>1a</w:t>
      </w:r>
      <w:r>
        <w:rPr>
          <w:bCs/>
          <w:lang w:val="en-GB"/>
        </w:rPr>
        <w:t xml:space="preserve"> because</w:t>
      </w:r>
      <w:r w:rsidRPr="00BA51D7">
        <w:rPr>
          <w:bCs/>
          <w:lang w:val="en-GB"/>
        </w:rPr>
        <w:t xml:space="preserve"> the presence of an electron-withdrawing gr</w:t>
      </w:r>
      <w:r>
        <w:rPr>
          <w:bCs/>
          <w:lang w:val="en-GB"/>
        </w:rPr>
        <w:t>oup in the benzoxazole ring</w:t>
      </w:r>
      <w:r w:rsidRPr="00BA51D7">
        <w:rPr>
          <w:bCs/>
          <w:lang w:val="en-GB"/>
        </w:rPr>
        <w:t xml:space="preserve"> increases the acidity of the </w:t>
      </w:r>
      <w:r w:rsidRPr="00EB79E7">
        <w:rPr>
          <w:bCs/>
        </w:rPr>
        <w:sym w:font="Symbol" w:char="F020"/>
      </w:r>
      <w:r w:rsidRPr="00EB79E7">
        <w:rPr>
          <w:bCs/>
        </w:rPr>
        <w:sym w:font="Symbol" w:char="F061"/>
      </w:r>
      <w:r>
        <w:rPr>
          <w:bCs/>
          <w:lang w:val="en-GB"/>
        </w:rPr>
        <w:t>-CH, thus making the</w:t>
      </w:r>
      <w:r w:rsidRPr="00BA51D7">
        <w:rPr>
          <w:bCs/>
          <w:lang w:val="en-GB"/>
        </w:rPr>
        <w:t xml:space="preserve"> compound more reactive. Moreover, the final aldehyde products decompose very fast; therefore, we </w:t>
      </w:r>
      <w:r>
        <w:rPr>
          <w:bCs/>
          <w:lang w:val="en-GB"/>
        </w:rPr>
        <w:t>subjected</w:t>
      </w:r>
      <w:r w:rsidRPr="00BA51D7">
        <w:rPr>
          <w:bCs/>
          <w:lang w:val="en-GB"/>
        </w:rPr>
        <w:t xml:space="preserve"> the aldehydes “</w:t>
      </w:r>
      <w:r w:rsidRPr="00BA51D7">
        <w:rPr>
          <w:bCs/>
          <w:i/>
          <w:lang w:val="en-GB"/>
        </w:rPr>
        <w:t>in situ</w:t>
      </w:r>
      <w:r>
        <w:rPr>
          <w:bCs/>
          <w:lang w:val="en-GB"/>
        </w:rPr>
        <w:t>” to</w:t>
      </w:r>
      <w:r w:rsidRPr="00BA51D7">
        <w:rPr>
          <w:bCs/>
          <w:lang w:val="en-GB"/>
        </w:rPr>
        <w:t xml:space="preserve"> a Wittig reaction that affords bench-stable compounds. As shown in Table 1, the best so</w:t>
      </w:r>
      <w:r>
        <w:rPr>
          <w:bCs/>
          <w:lang w:val="en-GB"/>
        </w:rPr>
        <w:t xml:space="preserve">lvent for the reaction was </w:t>
      </w:r>
      <w:r w:rsidRPr="00516B64">
        <w:rPr>
          <w:lang w:val="en-GB"/>
        </w:rPr>
        <w:t>EtOAc</w:t>
      </w:r>
      <w:r w:rsidRPr="00BA51D7">
        <w:rPr>
          <w:bCs/>
          <w:lang w:val="en-GB"/>
        </w:rPr>
        <w:t xml:space="preserve">, affording the final products in </w:t>
      </w:r>
      <w:r>
        <w:rPr>
          <w:bCs/>
          <w:lang w:val="en-GB"/>
        </w:rPr>
        <w:t>moderate conversions</w:t>
      </w:r>
      <w:r w:rsidRPr="00BA51D7">
        <w:rPr>
          <w:bCs/>
          <w:lang w:val="en-GB"/>
        </w:rPr>
        <w:t xml:space="preserve"> and with reasonable </w:t>
      </w:r>
      <w:r>
        <w:rPr>
          <w:bCs/>
          <w:lang w:val="en-GB"/>
        </w:rPr>
        <w:t>stereoselectivity. Instead, CH</w:t>
      </w:r>
      <w:r w:rsidRPr="000A4E25">
        <w:rPr>
          <w:bCs/>
          <w:vertAlign w:val="subscript"/>
          <w:lang w:val="en-GB"/>
        </w:rPr>
        <w:t>3</w:t>
      </w:r>
      <w:r>
        <w:rPr>
          <w:bCs/>
          <w:lang w:val="en-GB"/>
        </w:rPr>
        <w:t xml:space="preserve">CN or DMSO gave higher conversions but almost racemic compounds </w:t>
      </w:r>
      <w:r w:rsidRPr="00BA51D7">
        <w:rPr>
          <w:bCs/>
          <w:lang w:val="en-GB"/>
        </w:rPr>
        <w:t xml:space="preserve">(Table 1, entries 1–5). After screening several metals, </w:t>
      </w:r>
      <w:r>
        <w:rPr>
          <w:bCs/>
          <w:lang w:val="en-GB"/>
        </w:rPr>
        <w:t xml:space="preserve">it resulted that </w:t>
      </w:r>
      <w:r w:rsidRPr="00BA51D7">
        <w:rPr>
          <w:bCs/>
          <w:lang w:val="en-GB"/>
        </w:rPr>
        <w:t>only Pd(OAc)</w:t>
      </w:r>
      <w:r w:rsidRPr="00BA51D7">
        <w:rPr>
          <w:bCs/>
          <w:vertAlign w:val="subscript"/>
          <w:lang w:val="en-GB"/>
        </w:rPr>
        <w:t>2</w:t>
      </w:r>
      <w:r w:rsidRPr="00BA51D7">
        <w:rPr>
          <w:bCs/>
          <w:lang w:val="en-GB"/>
        </w:rPr>
        <w:t xml:space="preserve"> afforded the final products, while Ag, Yb, Ni, or Cu salts did not afford the desired product (Table 1, entries 6–9). Moreover, the addition of </w:t>
      </w:r>
      <w:r>
        <w:rPr>
          <w:bCs/>
          <w:lang w:val="en-GB"/>
        </w:rPr>
        <w:t>the base was crucial as</w:t>
      </w:r>
      <w:r w:rsidRPr="00BA51D7">
        <w:rPr>
          <w:bCs/>
          <w:lang w:val="en-GB"/>
        </w:rPr>
        <w:t xml:space="preserve"> the reaction did not proceed in the absence of a base. 50 mol% Et</w:t>
      </w:r>
      <w:r w:rsidRPr="00BA51D7">
        <w:rPr>
          <w:bCs/>
          <w:vertAlign w:val="subscript"/>
          <w:lang w:val="en-GB"/>
        </w:rPr>
        <w:t>3</w:t>
      </w:r>
      <w:r w:rsidRPr="00BA51D7">
        <w:rPr>
          <w:bCs/>
          <w:lang w:val="en-GB"/>
        </w:rPr>
        <w:t>N was found to be the optimal base. The reaction had some disadvantages: the reaction time was crucial; higher reaction times resulted in lower stereoselectivity. Thus, we assumed that the reaction suffers from an epimerization process, affording racemic mixtures. Temperature also had a pivotal importance. To accelerate the reaction, heating was required; however, high temperatures resulted in low diastereoselectivity. After extensive study of the re</w:t>
      </w:r>
      <w:r>
        <w:rPr>
          <w:bCs/>
          <w:lang w:val="en-GB"/>
        </w:rPr>
        <w:t>action conditions,</w:t>
      </w:r>
      <w:r w:rsidRPr="00BA51D7">
        <w:rPr>
          <w:bCs/>
          <w:lang w:val="en-GB"/>
        </w:rPr>
        <w:t xml:space="preserve"> the best result was obtained using acetonitrile as the solvent</w:t>
      </w:r>
      <w:r>
        <w:rPr>
          <w:bCs/>
          <w:lang w:val="en-GB"/>
        </w:rPr>
        <w:t xml:space="preserve"> at 3</w:t>
      </w:r>
      <w:r w:rsidRPr="00BA51D7">
        <w:rPr>
          <w:bCs/>
          <w:lang w:val="en-GB"/>
        </w:rPr>
        <w:t xml:space="preserve">5 </w:t>
      </w:r>
      <w:r w:rsidRPr="00EB79E7">
        <w:rPr>
          <w:bCs/>
        </w:rPr>
        <w:sym w:font="Symbol" w:char="F0B0"/>
      </w:r>
      <w:r w:rsidRPr="00BA51D7">
        <w:rPr>
          <w:bCs/>
          <w:lang w:val="en-GB"/>
        </w:rPr>
        <w:t>C, 20 mol% amine catalyst, 5 mol% Pd(OAc)</w:t>
      </w:r>
      <w:r w:rsidRPr="00BA51D7">
        <w:rPr>
          <w:bCs/>
          <w:vertAlign w:val="subscript"/>
          <w:lang w:val="en-GB"/>
        </w:rPr>
        <w:t>2</w:t>
      </w:r>
      <w:r w:rsidRPr="00BA51D7">
        <w:rPr>
          <w:bCs/>
          <w:lang w:val="en-GB"/>
        </w:rPr>
        <w:t>, and 50 mol% Et</w:t>
      </w:r>
      <w:r w:rsidRPr="00BA51D7">
        <w:rPr>
          <w:bCs/>
          <w:vertAlign w:val="subscript"/>
          <w:lang w:val="en-GB"/>
        </w:rPr>
        <w:t>3</w:t>
      </w:r>
      <w:r>
        <w:rPr>
          <w:bCs/>
          <w:lang w:val="en-GB"/>
        </w:rPr>
        <w:t>N</w:t>
      </w:r>
      <w:r w:rsidRPr="00BA51D7">
        <w:rPr>
          <w:bCs/>
          <w:lang w:val="en-GB"/>
        </w:rPr>
        <w:t xml:space="preserve">. We tested several diphenylprolinol derivatives as the secondary amine; the </w:t>
      </w:r>
      <w:r w:rsidRPr="00BA51D7">
        <w:rPr>
          <w:bCs/>
          <w:i/>
          <w:lang w:val="en-GB"/>
        </w:rPr>
        <w:t>tert</w:t>
      </w:r>
      <w:r w:rsidRPr="00BA51D7">
        <w:rPr>
          <w:bCs/>
          <w:lang w:val="en-GB"/>
        </w:rPr>
        <w:t xml:space="preserve">-butyldimethylsilyl </w:t>
      </w:r>
      <w:r w:rsidRPr="00BA51D7">
        <w:rPr>
          <w:bCs/>
          <w:lang w:val="en-GB"/>
        </w:rPr>
        <w:lastRenderedPageBreak/>
        <w:t>derivatives afforded better stereoselectivity when used with ACN as the solvent (Table</w:t>
      </w:r>
      <w:r>
        <w:rPr>
          <w:bCs/>
          <w:lang w:val="en-GB"/>
        </w:rPr>
        <w:t xml:space="preserve"> </w:t>
      </w:r>
      <w:r w:rsidR="007962F1">
        <w:rPr>
          <w:bCs/>
          <w:lang w:val="en-GB"/>
        </w:rPr>
        <w:t>1, entry 15</w:t>
      </w:r>
      <w:r w:rsidRPr="00BA51D7">
        <w:rPr>
          <w:bCs/>
          <w:lang w:val="en-GB"/>
        </w:rPr>
        <w:t>)</w:t>
      </w:r>
      <w:r>
        <w:rPr>
          <w:bCs/>
          <w:lang w:val="en-GB"/>
        </w:rPr>
        <w:t>.</w:t>
      </w:r>
    </w:p>
    <w:p w:rsidR="00D15662" w:rsidRDefault="00D15662" w:rsidP="005A3E5B">
      <w:pPr>
        <w:pStyle w:val="P1withoutIndendation"/>
        <w:rPr>
          <w:bCs/>
          <w:lang w:val="en-GB"/>
        </w:rPr>
      </w:pPr>
    </w:p>
    <w:p w:rsidR="005A3E5B" w:rsidRDefault="00A60C00" w:rsidP="005A3E5B">
      <w:pPr>
        <w:pStyle w:val="TableCaption"/>
      </w:pPr>
      <w:r>
        <w:rPr>
          <w:noProof/>
          <w:lang w:val="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0;text-align:left;margin-left:-265.4pt;margin-top:-10.9pt;width:250.4pt;height:203.5pt;z-index:251659776;mso-position-horizontal-relative:text;mso-position-vertical-relative:text">
            <v:imagedata r:id="rId15" o:title=""/>
          </v:shape>
          <o:OLEObject Type="Embed" ProgID="ChemDraw.Document.6.0" ShapeID="_x0000_s1103" DrawAspect="Content" ObjectID="_1474715682" r:id="rId16"/>
        </w:object>
      </w:r>
      <w:r>
        <w:rPr>
          <w:noProof/>
        </w:rPr>
        <w:object w:dxaOrig="1440" w:dyaOrig="1440">
          <v:shape id="_x0000_s1102" type="#_x0000_t75" style="position:absolute;left:0;text-align:left;margin-left:0;margin-top:15.3pt;width:250.75pt;height:81.8pt;z-index:251657728;mso-position-horizontal-relative:text;mso-position-vertical-relative:text">
            <v:imagedata r:id="rId17" o:title=""/>
          </v:shape>
          <o:OLEObject Type="Embed" ProgID="ChemDraw.Document.6.0" ShapeID="_x0000_s1102" DrawAspect="Content" ObjectID="_1474715683" r:id="rId18"/>
        </w:object>
      </w:r>
      <w:r w:rsidR="005A3E5B" w:rsidRPr="005F19CB">
        <w:rPr>
          <w:b/>
          <w:i/>
        </w:rPr>
        <w:t>Table 1.</w:t>
      </w:r>
      <w:r w:rsidR="005A3E5B">
        <w:t xml:space="preserve"> Optimization</w:t>
      </w:r>
      <w:r w:rsidR="005A3E5B" w:rsidRPr="00B1608E">
        <w:rPr>
          <w:vertAlign w:val="superscript"/>
        </w:rPr>
        <w:t>a</w:t>
      </w:r>
    </w:p>
    <w:p w:rsidR="005A3E5B" w:rsidRDefault="005A3E5B" w:rsidP="005A3E5B">
      <w:pPr>
        <w:pStyle w:val="TableCaption"/>
      </w:pPr>
    </w:p>
    <w:p w:rsidR="005A3E5B" w:rsidRDefault="005A3E5B" w:rsidP="005A3E5B">
      <w:pPr>
        <w:pStyle w:val="TableCaption"/>
      </w:pPr>
    </w:p>
    <w:p w:rsidR="005A3E5B" w:rsidRDefault="005A3E5B" w:rsidP="005A3E5B">
      <w:pPr>
        <w:pStyle w:val="TableCaption"/>
      </w:pPr>
    </w:p>
    <w:p w:rsidR="005A3E5B" w:rsidRDefault="005A3E5B" w:rsidP="005A3E5B">
      <w:pPr>
        <w:pStyle w:val="TableCaption"/>
      </w:pPr>
    </w:p>
    <w:tbl>
      <w:tblPr>
        <w:tblW w:w="5211" w:type="dxa"/>
        <w:tblLook w:val="01E0" w:firstRow="1" w:lastRow="1" w:firstColumn="1" w:lastColumn="1" w:noHBand="0" w:noVBand="0"/>
      </w:tblPr>
      <w:tblGrid>
        <w:gridCol w:w="624"/>
        <w:gridCol w:w="801"/>
        <w:gridCol w:w="901"/>
        <w:gridCol w:w="570"/>
        <w:gridCol w:w="657"/>
        <w:gridCol w:w="576"/>
        <w:gridCol w:w="541"/>
        <w:gridCol w:w="541"/>
      </w:tblGrid>
      <w:tr w:rsidR="005A3E5B" w:rsidRPr="00EA067A" w:rsidTr="0000183D">
        <w:tc>
          <w:tcPr>
            <w:tcW w:w="623" w:type="dxa"/>
            <w:tcBorders>
              <w:top w:val="single" w:sz="8" w:space="0" w:color="808080"/>
              <w:bottom w:val="single" w:sz="8" w:space="0" w:color="808080"/>
            </w:tcBorders>
          </w:tcPr>
          <w:p w:rsidR="005A3E5B" w:rsidRPr="00EA067A" w:rsidRDefault="005A3E5B" w:rsidP="0000183D">
            <w:pPr>
              <w:pStyle w:val="TableHead"/>
            </w:pPr>
            <w:r>
              <w:t>Entry</w:t>
            </w:r>
          </w:p>
        </w:tc>
        <w:tc>
          <w:tcPr>
            <w:tcW w:w="0" w:type="auto"/>
            <w:tcBorders>
              <w:top w:val="single" w:sz="8" w:space="0" w:color="808080"/>
              <w:bottom w:val="single" w:sz="8" w:space="0" w:color="808080"/>
            </w:tcBorders>
          </w:tcPr>
          <w:p w:rsidR="005A3E5B" w:rsidRPr="00EA067A" w:rsidRDefault="005A3E5B" w:rsidP="0000183D">
            <w:pPr>
              <w:pStyle w:val="TableHead"/>
            </w:pPr>
            <w:r>
              <w:t>Solvent</w:t>
            </w:r>
          </w:p>
        </w:tc>
        <w:tc>
          <w:tcPr>
            <w:tcW w:w="0" w:type="auto"/>
            <w:tcBorders>
              <w:top w:val="single" w:sz="8" w:space="0" w:color="808080"/>
              <w:bottom w:val="single" w:sz="8" w:space="0" w:color="808080"/>
            </w:tcBorders>
          </w:tcPr>
          <w:p w:rsidR="005A3E5B" w:rsidRPr="00EA067A" w:rsidRDefault="005A3E5B" w:rsidP="0000183D">
            <w:pPr>
              <w:pStyle w:val="TableHead"/>
            </w:pPr>
            <w:r>
              <w:t>Metal</w:t>
            </w:r>
          </w:p>
        </w:tc>
        <w:tc>
          <w:tcPr>
            <w:tcW w:w="0" w:type="auto"/>
            <w:tcBorders>
              <w:top w:val="single" w:sz="8" w:space="0" w:color="808080"/>
              <w:bottom w:val="single" w:sz="8" w:space="0" w:color="808080"/>
            </w:tcBorders>
          </w:tcPr>
          <w:p w:rsidR="005A3E5B" w:rsidRDefault="005A3E5B" w:rsidP="0000183D">
            <w:pPr>
              <w:pStyle w:val="TableHead"/>
            </w:pPr>
            <w:r>
              <w:t>Temp</w:t>
            </w:r>
          </w:p>
        </w:tc>
        <w:tc>
          <w:tcPr>
            <w:tcW w:w="0" w:type="auto"/>
            <w:tcBorders>
              <w:top w:val="single" w:sz="8" w:space="0" w:color="808080"/>
              <w:bottom w:val="single" w:sz="8" w:space="0" w:color="808080"/>
            </w:tcBorders>
          </w:tcPr>
          <w:p w:rsidR="005A3E5B" w:rsidRDefault="005A3E5B" w:rsidP="0000183D">
            <w:pPr>
              <w:pStyle w:val="TableHead"/>
            </w:pPr>
            <w:r>
              <w:t>Yield</w:t>
            </w:r>
            <w:r>
              <w:rPr>
                <w:vertAlign w:val="superscript"/>
              </w:rPr>
              <w:t>a</w:t>
            </w:r>
          </w:p>
        </w:tc>
        <w:tc>
          <w:tcPr>
            <w:tcW w:w="0" w:type="auto"/>
            <w:tcBorders>
              <w:top w:val="single" w:sz="8" w:space="0" w:color="808080"/>
              <w:bottom w:val="single" w:sz="8" w:space="0" w:color="808080"/>
            </w:tcBorders>
          </w:tcPr>
          <w:p w:rsidR="005A3E5B" w:rsidRDefault="005A3E5B" w:rsidP="0000183D">
            <w:pPr>
              <w:pStyle w:val="TableHead"/>
            </w:pPr>
            <w:r>
              <w:t>d.r.</w:t>
            </w:r>
            <w:r>
              <w:rPr>
                <w:vertAlign w:val="superscript"/>
              </w:rPr>
              <w:t>b</w:t>
            </w:r>
          </w:p>
        </w:tc>
        <w:tc>
          <w:tcPr>
            <w:tcW w:w="0" w:type="auto"/>
            <w:tcBorders>
              <w:top w:val="single" w:sz="8" w:space="0" w:color="808080"/>
              <w:bottom w:val="single" w:sz="8" w:space="0" w:color="808080"/>
            </w:tcBorders>
          </w:tcPr>
          <w:p w:rsidR="005A3E5B" w:rsidRPr="00EA067A" w:rsidRDefault="005A3E5B" w:rsidP="0000183D">
            <w:pPr>
              <w:pStyle w:val="TableHead"/>
            </w:pPr>
            <w:r>
              <w:rPr>
                <w:i/>
                <w:iCs/>
              </w:rPr>
              <w:t>e</w:t>
            </w:r>
            <w:r w:rsidRPr="009463BC">
              <w:rPr>
                <w:i/>
                <w:iCs/>
              </w:rPr>
              <w:t>e</w:t>
            </w:r>
            <w:r>
              <w:rPr>
                <w:vertAlign w:val="superscript"/>
              </w:rPr>
              <w:t>c</w:t>
            </w:r>
          </w:p>
        </w:tc>
        <w:tc>
          <w:tcPr>
            <w:tcW w:w="0" w:type="auto"/>
            <w:tcBorders>
              <w:top w:val="single" w:sz="8" w:space="0" w:color="808080"/>
              <w:bottom w:val="single" w:sz="8" w:space="0" w:color="808080"/>
            </w:tcBorders>
          </w:tcPr>
          <w:p w:rsidR="005A3E5B" w:rsidRDefault="005A3E5B" w:rsidP="0000183D">
            <w:pPr>
              <w:pStyle w:val="TableHead"/>
            </w:pPr>
            <w:r>
              <w:rPr>
                <w:i/>
                <w:iCs/>
              </w:rPr>
              <w:t>e</w:t>
            </w:r>
            <w:r w:rsidRPr="009463BC">
              <w:rPr>
                <w:i/>
                <w:iCs/>
              </w:rPr>
              <w:t>e</w:t>
            </w:r>
            <w:r>
              <w:rPr>
                <w:vertAlign w:val="superscript"/>
              </w:rPr>
              <w:t>c</w:t>
            </w:r>
          </w:p>
        </w:tc>
      </w:tr>
      <w:tr w:rsidR="005A3E5B" w:rsidRPr="00EA067A" w:rsidTr="0000183D">
        <w:tc>
          <w:tcPr>
            <w:tcW w:w="623" w:type="dxa"/>
            <w:tcBorders>
              <w:top w:val="single" w:sz="8" w:space="0" w:color="808080"/>
            </w:tcBorders>
            <w:vAlign w:val="center"/>
          </w:tcPr>
          <w:p w:rsidR="005A3E5B" w:rsidRPr="00EA067A" w:rsidRDefault="005A3E5B" w:rsidP="0000183D">
            <w:pPr>
              <w:pStyle w:val="TableBody"/>
            </w:pPr>
            <w:r>
              <w:t>1</w:t>
            </w:r>
            <w:r>
              <w:rPr>
                <w:vertAlign w:val="superscript"/>
              </w:rPr>
              <w:t>d</w:t>
            </w:r>
          </w:p>
        </w:tc>
        <w:tc>
          <w:tcPr>
            <w:tcW w:w="0" w:type="auto"/>
            <w:tcBorders>
              <w:top w:val="single" w:sz="8" w:space="0" w:color="808080"/>
            </w:tcBorders>
            <w:vAlign w:val="center"/>
          </w:tcPr>
          <w:p w:rsidR="005A3E5B" w:rsidRPr="00EA067A" w:rsidRDefault="005A3E5B" w:rsidP="0000183D">
            <w:pPr>
              <w:pStyle w:val="TableBody"/>
            </w:pPr>
            <w:r>
              <w:t>CHCl</w:t>
            </w:r>
            <w:r w:rsidRPr="009C2BB5">
              <w:rPr>
                <w:vertAlign w:val="subscript"/>
              </w:rPr>
              <w:t>3</w:t>
            </w:r>
          </w:p>
        </w:tc>
        <w:tc>
          <w:tcPr>
            <w:tcW w:w="0" w:type="auto"/>
            <w:tcBorders>
              <w:top w:val="single" w:sz="8" w:space="0" w:color="808080"/>
            </w:tcBorders>
            <w:vAlign w:val="center"/>
          </w:tcPr>
          <w:p w:rsidR="005A3E5B" w:rsidRPr="00EA067A" w:rsidRDefault="005A3E5B" w:rsidP="0000183D">
            <w:pPr>
              <w:pStyle w:val="TableBody"/>
            </w:pPr>
            <w:r>
              <w:t>Pd(OAc)</w:t>
            </w:r>
            <w:r w:rsidRPr="009C2BB5">
              <w:rPr>
                <w:vertAlign w:val="subscript"/>
              </w:rPr>
              <w:t>2</w:t>
            </w:r>
          </w:p>
        </w:tc>
        <w:tc>
          <w:tcPr>
            <w:tcW w:w="0" w:type="auto"/>
            <w:tcBorders>
              <w:top w:val="single" w:sz="8" w:space="0" w:color="808080"/>
            </w:tcBorders>
            <w:vAlign w:val="center"/>
          </w:tcPr>
          <w:p w:rsidR="005A3E5B" w:rsidRPr="00EA067A" w:rsidRDefault="005A3E5B" w:rsidP="0000183D">
            <w:pPr>
              <w:pStyle w:val="TableBody"/>
            </w:pPr>
            <w:r>
              <w:t>40</w:t>
            </w:r>
            <w:r w:rsidRPr="009C2BB5">
              <w:rPr>
                <w:vertAlign w:val="superscript"/>
              </w:rPr>
              <w:t>o</w:t>
            </w:r>
            <w:r>
              <w:t>C</w:t>
            </w:r>
          </w:p>
        </w:tc>
        <w:tc>
          <w:tcPr>
            <w:tcW w:w="0" w:type="auto"/>
            <w:tcBorders>
              <w:top w:val="single" w:sz="8" w:space="0" w:color="808080"/>
            </w:tcBorders>
            <w:vAlign w:val="center"/>
          </w:tcPr>
          <w:p w:rsidR="005A3E5B" w:rsidRPr="00EA067A" w:rsidRDefault="005A3E5B" w:rsidP="0000183D">
            <w:pPr>
              <w:pStyle w:val="TableBody"/>
            </w:pPr>
            <w:r>
              <w:t>n.r.</w:t>
            </w:r>
          </w:p>
        </w:tc>
        <w:tc>
          <w:tcPr>
            <w:tcW w:w="0" w:type="auto"/>
            <w:tcBorders>
              <w:top w:val="single" w:sz="8" w:space="0" w:color="808080"/>
            </w:tcBorders>
            <w:vAlign w:val="center"/>
          </w:tcPr>
          <w:p w:rsidR="005A3E5B" w:rsidRPr="00EA067A" w:rsidRDefault="005A3E5B" w:rsidP="0000183D">
            <w:pPr>
              <w:pStyle w:val="TableBody"/>
            </w:pPr>
            <w:r>
              <w:t>-</w:t>
            </w:r>
          </w:p>
        </w:tc>
        <w:tc>
          <w:tcPr>
            <w:tcW w:w="0" w:type="auto"/>
            <w:tcBorders>
              <w:top w:val="single" w:sz="8" w:space="0" w:color="808080"/>
            </w:tcBorders>
            <w:vAlign w:val="center"/>
          </w:tcPr>
          <w:p w:rsidR="005A3E5B" w:rsidRPr="00EA067A" w:rsidRDefault="005A3E5B" w:rsidP="0000183D">
            <w:pPr>
              <w:pStyle w:val="TableBody"/>
            </w:pPr>
            <w:r>
              <w:t>-</w:t>
            </w:r>
          </w:p>
        </w:tc>
        <w:tc>
          <w:tcPr>
            <w:tcW w:w="0" w:type="auto"/>
            <w:tcBorders>
              <w:top w:val="single" w:sz="8" w:space="0" w:color="808080"/>
            </w:tcBorders>
            <w:vAlign w:val="center"/>
          </w:tcPr>
          <w:p w:rsidR="005A3E5B" w:rsidRDefault="005A3E5B" w:rsidP="0000183D">
            <w:pPr>
              <w:pStyle w:val="TableBody"/>
            </w:pPr>
            <w:r>
              <w:t>-</w:t>
            </w:r>
          </w:p>
        </w:tc>
      </w:tr>
      <w:tr w:rsidR="005A3E5B" w:rsidRPr="00EA067A" w:rsidTr="0000183D">
        <w:tc>
          <w:tcPr>
            <w:tcW w:w="623" w:type="dxa"/>
            <w:vAlign w:val="center"/>
          </w:tcPr>
          <w:p w:rsidR="005A3E5B" w:rsidRPr="00EA067A" w:rsidRDefault="005A3E5B" w:rsidP="0000183D">
            <w:pPr>
              <w:pStyle w:val="TableBody"/>
            </w:pPr>
            <w:r>
              <w:t>2</w:t>
            </w:r>
            <w:r>
              <w:rPr>
                <w:vertAlign w:val="superscript"/>
              </w:rPr>
              <w:t>d</w:t>
            </w:r>
          </w:p>
        </w:tc>
        <w:tc>
          <w:tcPr>
            <w:tcW w:w="0" w:type="auto"/>
            <w:vAlign w:val="center"/>
          </w:tcPr>
          <w:p w:rsidR="005A3E5B" w:rsidRPr="00EA067A" w:rsidRDefault="005A3E5B" w:rsidP="0000183D">
            <w:pPr>
              <w:pStyle w:val="TableBody"/>
            </w:pPr>
            <w:r>
              <w:t>EtOAc</w:t>
            </w:r>
          </w:p>
        </w:tc>
        <w:tc>
          <w:tcPr>
            <w:tcW w:w="0" w:type="auto"/>
            <w:vAlign w:val="center"/>
          </w:tcPr>
          <w:p w:rsidR="005A3E5B" w:rsidRPr="00EA067A" w:rsidRDefault="005A3E5B" w:rsidP="0000183D">
            <w:pPr>
              <w:pStyle w:val="TableBody"/>
            </w:pPr>
            <w:r>
              <w:t>Pd(OAc)</w:t>
            </w:r>
            <w:r w:rsidRPr="009C2BB5">
              <w:rPr>
                <w:vertAlign w:val="subscript"/>
              </w:rPr>
              <w:t>2</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32%</w:t>
            </w:r>
          </w:p>
        </w:tc>
        <w:tc>
          <w:tcPr>
            <w:tcW w:w="0" w:type="auto"/>
            <w:vAlign w:val="center"/>
          </w:tcPr>
          <w:p w:rsidR="005A3E5B" w:rsidRPr="00EA067A" w:rsidRDefault="005A3E5B" w:rsidP="0000183D">
            <w:pPr>
              <w:pStyle w:val="TableBody"/>
            </w:pPr>
            <w:r>
              <w:t>2:1</w:t>
            </w:r>
          </w:p>
        </w:tc>
        <w:tc>
          <w:tcPr>
            <w:tcW w:w="0" w:type="auto"/>
            <w:vAlign w:val="center"/>
          </w:tcPr>
          <w:p w:rsidR="005A3E5B" w:rsidRPr="00EA067A" w:rsidRDefault="005A3E5B" w:rsidP="0000183D">
            <w:pPr>
              <w:pStyle w:val="TableBody"/>
            </w:pPr>
            <w:r>
              <w:t xml:space="preserve">53% </w:t>
            </w:r>
          </w:p>
        </w:tc>
        <w:tc>
          <w:tcPr>
            <w:tcW w:w="0" w:type="auto"/>
            <w:vAlign w:val="center"/>
          </w:tcPr>
          <w:p w:rsidR="005A3E5B" w:rsidRDefault="005A3E5B" w:rsidP="0000183D">
            <w:pPr>
              <w:pStyle w:val="TableBody"/>
            </w:pPr>
            <w:r>
              <w:t>47%</w:t>
            </w:r>
          </w:p>
        </w:tc>
      </w:tr>
      <w:tr w:rsidR="005A3E5B" w:rsidRPr="00EA067A" w:rsidTr="0000183D">
        <w:tc>
          <w:tcPr>
            <w:tcW w:w="623" w:type="dxa"/>
            <w:vAlign w:val="center"/>
          </w:tcPr>
          <w:p w:rsidR="005A3E5B" w:rsidRDefault="005A3E5B" w:rsidP="0000183D">
            <w:pPr>
              <w:pStyle w:val="TableBody"/>
            </w:pPr>
            <w:r>
              <w:t>3</w:t>
            </w:r>
            <w:r>
              <w:rPr>
                <w:vertAlign w:val="superscript"/>
              </w:rPr>
              <w:t>d</w:t>
            </w:r>
          </w:p>
        </w:tc>
        <w:tc>
          <w:tcPr>
            <w:tcW w:w="0" w:type="auto"/>
            <w:vAlign w:val="center"/>
          </w:tcPr>
          <w:p w:rsidR="005A3E5B" w:rsidRPr="00EA067A" w:rsidRDefault="005A3E5B" w:rsidP="0000183D">
            <w:pPr>
              <w:pStyle w:val="TableBody"/>
            </w:pPr>
            <w:r>
              <w:t>Toluene</w:t>
            </w:r>
          </w:p>
        </w:tc>
        <w:tc>
          <w:tcPr>
            <w:tcW w:w="0" w:type="auto"/>
            <w:vAlign w:val="center"/>
          </w:tcPr>
          <w:p w:rsidR="005A3E5B" w:rsidRPr="00EA067A" w:rsidRDefault="005A3E5B" w:rsidP="0000183D">
            <w:pPr>
              <w:pStyle w:val="TableBody"/>
            </w:pPr>
            <w:r>
              <w:t>Pd(OAc)</w:t>
            </w:r>
            <w:r w:rsidRPr="009C2BB5">
              <w:rPr>
                <w:vertAlign w:val="subscript"/>
              </w:rPr>
              <w:t>2</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Default="005A3E5B" w:rsidP="0000183D">
            <w:pPr>
              <w:pStyle w:val="TableBody"/>
            </w:pPr>
            <w:r>
              <w:t>-</w:t>
            </w:r>
          </w:p>
        </w:tc>
      </w:tr>
      <w:tr w:rsidR="005A3E5B" w:rsidRPr="00EA067A" w:rsidTr="0000183D">
        <w:tc>
          <w:tcPr>
            <w:tcW w:w="623" w:type="dxa"/>
            <w:vAlign w:val="center"/>
          </w:tcPr>
          <w:p w:rsidR="005A3E5B" w:rsidRDefault="005A3E5B" w:rsidP="0000183D">
            <w:pPr>
              <w:pStyle w:val="TableBody"/>
            </w:pPr>
            <w:r>
              <w:t>4</w:t>
            </w:r>
            <w:r>
              <w:rPr>
                <w:vertAlign w:val="superscript"/>
              </w:rPr>
              <w:t>d</w:t>
            </w:r>
          </w:p>
        </w:tc>
        <w:tc>
          <w:tcPr>
            <w:tcW w:w="0" w:type="auto"/>
            <w:vAlign w:val="center"/>
          </w:tcPr>
          <w:p w:rsidR="005A3E5B" w:rsidRPr="00EA067A" w:rsidRDefault="005A3E5B" w:rsidP="0000183D">
            <w:pPr>
              <w:pStyle w:val="TableBody"/>
            </w:pPr>
            <w:r>
              <w:t>DMSO</w:t>
            </w:r>
          </w:p>
        </w:tc>
        <w:tc>
          <w:tcPr>
            <w:tcW w:w="0" w:type="auto"/>
            <w:vAlign w:val="center"/>
          </w:tcPr>
          <w:p w:rsidR="005A3E5B" w:rsidRPr="00EA067A" w:rsidRDefault="005A3E5B" w:rsidP="0000183D">
            <w:pPr>
              <w:pStyle w:val="TableBody"/>
            </w:pPr>
            <w:r>
              <w:t>Pd(OAc)</w:t>
            </w:r>
            <w:r w:rsidRPr="009C2BB5">
              <w:rPr>
                <w:vertAlign w:val="subscript"/>
              </w:rPr>
              <w:t>2</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72%</w:t>
            </w:r>
          </w:p>
        </w:tc>
        <w:tc>
          <w:tcPr>
            <w:tcW w:w="0" w:type="auto"/>
            <w:vAlign w:val="center"/>
          </w:tcPr>
          <w:p w:rsidR="005A3E5B" w:rsidRPr="00EA067A" w:rsidRDefault="005A3E5B" w:rsidP="0000183D">
            <w:pPr>
              <w:pStyle w:val="TableBody"/>
            </w:pPr>
            <w:r>
              <w:t>1.2:1</w:t>
            </w:r>
          </w:p>
        </w:tc>
        <w:tc>
          <w:tcPr>
            <w:tcW w:w="0" w:type="auto"/>
            <w:vAlign w:val="center"/>
          </w:tcPr>
          <w:p w:rsidR="005A3E5B" w:rsidRPr="00EA067A" w:rsidRDefault="005A3E5B" w:rsidP="0000183D">
            <w:pPr>
              <w:pStyle w:val="TableBody"/>
            </w:pPr>
            <w:r>
              <w:t>Rac</w:t>
            </w:r>
          </w:p>
        </w:tc>
        <w:tc>
          <w:tcPr>
            <w:tcW w:w="0" w:type="auto"/>
            <w:vAlign w:val="center"/>
          </w:tcPr>
          <w:p w:rsidR="005A3E5B" w:rsidRDefault="005A3E5B" w:rsidP="0000183D">
            <w:pPr>
              <w:pStyle w:val="TableBody"/>
            </w:pPr>
            <w:r>
              <w:t>Rac</w:t>
            </w:r>
          </w:p>
        </w:tc>
      </w:tr>
      <w:tr w:rsidR="005A3E5B" w:rsidRPr="00EA067A" w:rsidTr="0000183D">
        <w:tc>
          <w:tcPr>
            <w:tcW w:w="623" w:type="dxa"/>
            <w:vAlign w:val="center"/>
          </w:tcPr>
          <w:p w:rsidR="005A3E5B" w:rsidRDefault="005A3E5B" w:rsidP="0000183D">
            <w:pPr>
              <w:pStyle w:val="TableBody"/>
            </w:pPr>
            <w:r>
              <w:t>5</w:t>
            </w:r>
            <w:r>
              <w:rPr>
                <w:vertAlign w:val="superscript"/>
              </w:rPr>
              <w:t>d</w:t>
            </w:r>
          </w:p>
        </w:tc>
        <w:tc>
          <w:tcPr>
            <w:tcW w:w="0" w:type="auto"/>
            <w:vAlign w:val="center"/>
          </w:tcPr>
          <w:p w:rsidR="005A3E5B" w:rsidRPr="00EA067A" w:rsidRDefault="005A3E5B" w:rsidP="0000183D">
            <w:pPr>
              <w:pStyle w:val="TableBody"/>
            </w:pPr>
            <w:r>
              <w:t>ACN</w:t>
            </w:r>
          </w:p>
        </w:tc>
        <w:tc>
          <w:tcPr>
            <w:tcW w:w="0" w:type="auto"/>
            <w:vAlign w:val="center"/>
          </w:tcPr>
          <w:p w:rsidR="005A3E5B" w:rsidRPr="00EA067A" w:rsidRDefault="005A3E5B" w:rsidP="0000183D">
            <w:pPr>
              <w:pStyle w:val="TableBody"/>
            </w:pPr>
            <w:r>
              <w:t>Pd(OAc)</w:t>
            </w:r>
            <w:r w:rsidRPr="009C2BB5">
              <w:rPr>
                <w:vertAlign w:val="subscript"/>
              </w:rPr>
              <w:t>2</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85%</w:t>
            </w:r>
          </w:p>
        </w:tc>
        <w:tc>
          <w:tcPr>
            <w:tcW w:w="0" w:type="auto"/>
            <w:vAlign w:val="center"/>
          </w:tcPr>
          <w:p w:rsidR="005A3E5B" w:rsidRPr="00EA067A" w:rsidRDefault="005A3E5B" w:rsidP="0000183D">
            <w:pPr>
              <w:pStyle w:val="TableBody"/>
            </w:pPr>
            <w:r>
              <w:t>1.3:1</w:t>
            </w:r>
          </w:p>
        </w:tc>
        <w:tc>
          <w:tcPr>
            <w:tcW w:w="0" w:type="auto"/>
            <w:vAlign w:val="center"/>
          </w:tcPr>
          <w:p w:rsidR="005A3E5B" w:rsidRPr="00EA067A" w:rsidRDefault="005A3E5B" w:rsidP="0000183D">
            <w:pPr>
              <w:pStyle w:val="TableBody"/>
            </w:pPr>
            <w:r>
              <w:t>Rac</w:t>
            </w:r>
          </w:p>
        </w:tc>
        <w:tc>
          <w:tcPr>
            <w:tcW w:w="0" w:type="auto"/>
            <w:vAlign w:val="center"/>
          </w:tcPr>
          <w:p w:rsidR="005A3E5B" w:rsidRPr="00EA067A" w:rsidRDefault="005A3E5B" w:rsidP="0000183D">
            <w:pPr>
              <w:pStyle w:val="TableBody"/>
            </w:pPr>
            <w:r>
              <w:t>Rac</w:t>
            </w:r>
          </w:p>
        </w:tc>
      </w:tr>
      <w:tr w:rsidR="005A3E5B" w:rsidRPr="00EA067A" w:rsidTr="0000183D">
        <w:tc>
          <w:tcPr>
            <w:tcW w:w="623" w:type="dxa"/>
            <w:vAlign w:val="center"/>
          </w:tcPr>
          <w:p w:rsidR="005A3E5B" w:rsidRDefault="005A3E5B" w:rsidP="0000183D">
            <w:pPr>
              <w:pStyle w:val="TableBody"/>
            </w:pPr>
            <w:r>
              <w:t>6</w:t>
            </w:r>
            <w:r>
              <w:rPr>
                <w:vertAlign w:val="superscript"/>
              </w:rPr>
              <w:t>d</w:t>
            </w:r>
          </w:p>
        </w:tc>
        <w:tc>
          <w:tcPr>
            <w:tcW w:w="0" w:type="auto"/>
            <w:vAlign w:val="center"/>
          </w:tcPr>
          <w:p w:rsidR="005A3E5B" w:rsidRPr="00EA067A" w:rsidRDefault="005A3E5B" w:rsidP="0000183D">
            <w:pPr>
              <w:pStyle w:val="TableBody"/>
            </w:pPr>
            <w:r>
              <w:t>EtOAc</w:t>
            </w:r>
          </w:p>
        </w:tc>
        <w:tc>
          <w:tcPr>
            <w:tcW w:w="0" w:type="auto"/>
            <w:vAlign w:val="center"/>
          </w:tcPr>
          <w:p w:rsidR="005A3E5B" w:rsidRPr="00EA067A" w:rsidRDefault="005A3E5B" w:rsidP="0000183D">
            <w:pPr>
              <w:pStyle w:val="TableBody"/>
            </w:pPr>
            <w:r>
              <w:t>CuOTf</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r>
      <w:tr w:rsidR="005A3E5B" w:rsidRPr="00EA067A" w:rsidTr="0000183D">
        <w:tc>
          <w:tcPr>
            <w:tcW w:w="623" w:type="dxa"/>
            <w:vAlign w:val="center"/>
          </w:tcPr>
          <w:p w:rsidR="005A3E5B" w:rsidRDefault="005A3E5B" w:rsidP="0000183D">
            <w:pPr>
              <w:pStyle w:val="TableBody"/>
            </w:pPr>
            <w:r>
              <w:t>7</w:t>
            </w:r>
            <w:r w:rsidRPr="00516B64">
              <w:rPr>
                <w:vertAlign w:val="superscript"/>
              </w:rPr>
              <w:t>d</w:t>
            </w:r>
          </w:p>
        </w:tc>
        <w:tc>
          <w:tcPr>
            <w:tcW w:w="0" w:type="auto"/>
            <w:vAlign w:val="center"/>
          </w:tcPr>
          <w:p w:rsidR="005A3E5B" w:rsidRPr="00EA067A" w:rsidRDefault="005A3E5B" w:rsidP="0000183D">
            <w:pPr>
              <w:pStyle w:val="TableBody"/>
            </w:pPr>
            <w:r>
              <w:t>EtOAc</w:t>
            </w:r>
          </w:p>
        </w:tc>
        <w:tc>
          <w:tcPr>
            <w:tcW w:w="0" w:type="auto"/>
            <w:vAlign w:val="center"/>
          </w:tcPr>
          <w:p w:rsidR="005A3E5B" w:rsidRPr="00EA067A" w:rsidRDefault="005A3E5B" w:rsidP="0000183D">
            <w:pPr>
              <w:pStyle w:val="TableBody"/>
            </w:pPr>
            <w:r>
              <w:t>Yb(Otf)</w:t>
            </w:r>
            <w:r w:rsidRPr="009C2BB5">
              <w:rPr>
                <w:vertAlign w:val="subscript"/>
              </w:rPr>
              <w:t>3</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r>
      <w:tr w:rsidR="005A3E5B" w:rsidRPr="00EA067A" w:rsidTr="0000183D">
        <w:tc>
          <w:tcPr>
            <w:tcW w:w="623" w:type="dxa"/>
            <w:vAlign w:val="center"/>
          </w:tcPr>
          <w:p w:rsidR="005A3E5B" w:rsidRPr="00516B64" w:rsidRDefault="005A3E5B" w:rsidP="0000183D">
            <w:pPr>
              <w:pStyle w:val="TableBody"/>
              <w:rPr>
                <w:vertAlign w:val="superscript"/>
              </w:rPr>
            </w:pPr>
            <w:r>
              <w:t>8</w:t>
            </w:r>
            <w:r w:rsidRPr="00516B64">
              <w:rPr>
                <w:vertAlign w:val="superscript"/>
              </w:rPr>
              <w:t>d</w:t>
            </w:r>
          </w:p>
        </w:tc>
        <w:tc>
          <w:tcPr>
            <w:tcW w:w="0" w:type="auto"/>
            <w:vAlign w:val="center"/>
          </w:tcPr>
          <w:p w:rsidR="005A3E5B" w:rsidRPr="00EA067A" w:rsidRDefault="005A3E5B" w:rsidP="0000183D">
            <w:pPr>
              <w:pStyle w:val="TableBody"/>
            </w:pPr>
            <w:r>
              <w:t>EtOAc</w:t>
            </w:r>
          </w:p>
        </w:tc>
        <w:tc>
          <w:tcPr>
            <w:tcW w:w="0" w:type="auto"/>
            <w:vAlign w:val="center"/>
          </w:tcPr>
          <w:p w:rsidR="005A3E5B" w:rsidRPr="00EA067A" w:rsidRDefault="005A3E5B" w:rsidP="0000183D">
            <w:pPr>
              <w:pStyle w:val="TableBody"/>
            </w:pPr>
            <w:r>
              <w:t>Cu(OAc)</w:t>
            </w:r>
            <w:r w:rsidRPr="009C2BB5">
              <w:rPr>
                <w:vertAlign w:val="subscript"/>
              </w:rPr>
              <w:t>2</w:t>
            </w:r>
          </w:p>
        </w:tc>
        <w:tc>
          <w:tcPr>
            <w:tcW w:w="0" w:type="auto"/>
            <w:vAlign w:val="center"/>
          </w:tcPr>
          <w:p w:rsidR="005A3E5B" w:rsidRPr="00EA067A"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r>
      <w:tr w:rsidR="005A3E5B" w:rsidRPr="00EA067A" w:rsidTr="0000183D">
        <w:tc>
          <w:tcPr>
            <w:tcW w:w="623" w:type="dxa"/>
            <w:vAlign w:val="center"/>
          </w:tcPr>
          <w:p w:rsidR="005A3E5B" w:rsidRDefault="005A3E5B" w:rsidP="0000183D">
            <w:pPr>
              <w:pStyle w:val="TableBody"/>
            </w:pPr>
            <w:r>
              <w:t>9</w:t>
            </w:r>
            <w:r w:rsidRPr="00516B64">
              <w:rPr>
                <w:vertAlign w:val="superscript"/>
              </w:rPr>
              <w:t>d</w:t>
            </w:r>
          </w:p>
        </w:tc>
        <w:tc>
          <w:tcPr>
            <w:tcW w:w="0" w:type="auto"/>
            <w:vAlign w:val="center"/>
          </w:tcPr>
          <w:p w:rsidR="005A3E5B" w:rsidRDefault="005A3E5B" w:rsidP="0000183D">
            <w:pPr>
              <w:pStyle w:val="TableBody"/>
            </w:pPr>
            <w:r>
              <w:t>EtOAc</w:t>
            </w:r>
          </w:p>
        </w:tc>
        <w:tc>
          <w:tcPr>
            <w:tcW w:w="0" w:type="auto"/>
            <w:vAlign w:val="center"/>
          </w:tcPr>
          <w:p w:rsidR="005A3E5B" w:rsidRDefault="005A3E5B" w:rsidP="0000183D">
            <w:pPr>
              <w:pStyle w:val="TableBody"/>
            </w:pPr>
            <w:r>
              <w:t>Ni(OAc)</w:t>
            </w:r>
            <w:r w:rsidRPr="009C2BB5">
              <w:rPr>
                <w:vertAlign w:val="subscript"/>
              </w:rPr>
              <w:t>3</w:t>
            </w:r>
          </w:p>
        </w:tc>
        <w:tc>
          <w:tcPr>
            <w:tcW w:w="0" w:type="auto"/>
            <w:vAlign w:val="center"/>
          </w:tcPr>
          <w:p w:rsidR="005A3E5B"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r>
      <w:tr w:rsidR="005A3E5B" w:rsidRPr="00EA067A" w:rsidTr="0000183D">
        <w:tc>
          <w:tcPr>
            <w:tcW w:w="623" w:type="dxa"/>
            <w:vAlign w:val="center"/>
          </w:tcPr>
          <w:p w:rsidR="005A3E5B" w:rsidRDefault="005A3E5B" w:rsidP="0000183D">
            <w:pPr>
              <w:pStyle w:val="TableBody"/>
            </w:pPr>
            <w:r>
              <w:t>10</w:t>
            </w:r>
            <w:r w:rsidRPr="00516B64">
              <w:rPr>
                <w:vertAlign w:val="superscript"/>
              </w:rPr>
              <w:t>d</w:t>
            </w:r>
          </w:p>
        </w:tc>
        <w:tc>
          <w:tcPr>
            <w:tcW w:w="0" w:type="auto"/>
            <w:vAlign w:val="center"/>
          </w:tcPr>
          <w:p w:rsidR="005A3E5B" w:rsidRDefault="005A3E5B" w:rsidP="0000183D">
            <w:pPr>
              <w:pStyle w:val="TableBody"/>
            </w:pPr>
            <w:r>
              <w:t>EtOAc</w:t>
            </w:r>
          </w:p>
        </w:tc>
        <w:tc>
          <w:tcPr>
            <w:tcW w:w="0" w:type="auto"/>
            <w:vAlign w:val="center"/>
          </w:tcPr>
          <w:p w:rsidR="005A3E5B" w:rsidRDefault="005A3E5B" w:rsidP="0000183D">
            <w:pPr>
              <w:pStyle w:val="TableBody"/>
            </w:pPr>
            <w:r>
              <w:t>AgOAc</w:t>
            </w:r>
          </w:p>
        </w:tc>
        <w:tc>
          <w:tcPr>
            <w:tcW w:w="0" w:type="auto"/>
            <w:vAlign w:val="center"/>
          </w:tcPr>
          <w:p w:rsidR="005A3E5B"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r>
      <w:tr w:rsidR="005A3E5B" w:rsidRPr="00EA067A" w:rsidTr="0000183D">
        <w:tc>
          <w:tcPr>
            <w:tcW w:w="623" w:type="dxa"/>
            <w:vAlign w:val="center"/>
          </w:tcPr>
          <w:p w:rsidR="005A3E5B" w:rsidRDefault="005A3E5B" w:rsidP="0000183D">
            <w:pPr>
              <w:pStyle w:val="TableBody"/>
            </w:pPr>
            <w:r>
              <w:t>12</w:t>
            </w:r>
            <w:r w:rsidRPr="00516B64">
              <w:rPr>
                <w:vertAlign w:val="superscript"/>
              </w:rPr>
              <w:t>d</w:t>
            </w:r>
          </w:p>
        </w:tc>
        <w:tc>
          <w:tcPr>
            <w:tcW w:w="0" w:type="auto"/>
            <w:vAlign w:val="center"/>
          </w:tcPr>
          <w:p w:rsidR="005A3E5B" w:rsidRDefault="005A3E5B" w:rsidP="0000183D">
            <w:pPr>
              <w:pStyle w:val="TableBody"/>
            </w:pPr>
            <w:r>
              <w:t>EtOAc</w:t>
            </w:r>
          </w:p>
        </w:tc>
        <w:tc>
          <w:tcPr>
            <w:tcW w:w="0" w:type="auto"/>
            <w:vAlign w:val="center"/>
          </w:tcPr>
          <w:p w:rsidR="005A3E5B" w:rsidRDefault="005A3E5B" w:rsidP="0000183D">
            <w:pPr>
              <w:pStyle w:val="TableBody"/>
            </w:pPr>
            <w:r>
              <w:t>-</w:t>
            </w:r>
          </w:p>
        </w:tc>
        <w:tc>
          <w:tcPr>
            <w:tcW w:w="0" w:type="auto"/>
            <w:vAlign w:val="center"/>
          </w:tcPr>
          <w:p w:rsidR="005A3E5B" w:rsidRDefault="005A3E5B" w:rsidP="0000183D">
            <w:pPr>
              <w:pStyle w:val="TableBody"/>
            </w:pPr>
            <w:r>
              <w:t>40</w:t>
            </w:r>
            <w:r w:rsidRPr="009C2BB5">
              <w:rPr>
                <w:vertAlign w:val="superscript"/>
              </w:rPr>
              <w:t>o</w:t>
            </w:r>
            <w:r>
              <w:t>C</w:t>
            </w:r>
          </w:p>
        </w:tc>
        <w:tc>
          <w:tcPr>
            <w:tcW w:w="0" w:type="auto"/>
            <w:vAlign w:val="center"/>
          </w:tcPr>
          <w:p w:rsidR="005A3E5B" w:rsidRPr="00EA067A" w:rsidRDefault="005A3E5B" w:rsidP="0000183D">
            <w:pPr>
              <w:pStyle w:val="TableBody"/>
            </w:pPr>
            <w:r>
              <w:t>n.r.</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c>
          <w:tcPr>
            <w:tcW w:w="0" w:type="auto"/>
            <w:vAlign w:val="center"/>
          </w:tcPr>
          <w:p w:rsidR="005A3E5B" w:rsidRPr="00EA067A" w:rsidRDefault="005A3E5B" w:rsidP="0000183D">
            <w:pPr>
              <w:pStyle w:val="TableBody"/>
            </w:pPr>
            <w:r>
              <w:t>-</w:t>
            </w:r>
          </w:p>
        </w:tc>
      </w:tr>
      <w:tr w:rsidR="005A3E5B" w:rsidRPr="00EA067A" w:rsidTr="0000183D">
        <w:tc>
          <w:tcPr>
            <w:tcW w:w="623" w:type="dxa"/>
            <w:vAlign w:val="center"/>
          </w:tcPr>
          <w:p w:rsidR="005A3E5B" w:rsidRDefault="005A3E5B" w:rsidP="0000183D">
            <w:pPr>
              <w:pStyle w:val="TableBody"/>
            </w:pPr>
            <w:r>
              <w:t>13</w:t>
            </w:r>
            <w:r w:rsidRPr="00516B64">
              <w:rPr>
                <w:vertAlign w:val="superscript"/>
              </w:rPr>
              <w:t>e</w:t>
            </w:r>
          </w:p>
        </w:tc>
        <w:tc>
          <w:tcPr>
            <w:tcW w:w="0" w:type="auto"/>
            <w:vAlign w:val="center"/>
          </w:tcPr>
          <w:p w:rsidR="005A3E5B" w:rsidRDefault="005A3E5B" w:rsidP="0000183D">
            <w:pPr>
              <w:pStyle w:val="TableBody"/>
            </w:pPr>
            <w:r>
              <w:t>EtOAc</w:t>
            </w:r>
          </w:p>
        </w:tc>
        <w:tc>
          <w:tcPr>
            <w:tcW w:w="0" w:type="auto"/>
            <w:vAlign w:val="center"/>
          </w:tcPr>
          <w:p w:rsidR="005A3E5B" w:rsidRDefault="005A3E5B" w:rsidP="0000183D">
            <w:pPr>
              <w:pStyle w:val="TableBody"/>
            </w:pPr>
            <w:r>
              <w:t>Pd(OAc)</w:t>
            </w:r>
            <w:r w:rsidRPr="009C2BB5">
              <w:rPr>
                <w:vertAlign w:val="subscript"/>
              </w:rPr>
              <w:t>2</w:t>
            </w:r>
          </w:p>
        </w:tc>
        <w:tc>
          <w:tcPr>
            <w:tcW w:w="0" w:type="auto"/>
            <w:vAlign w:val="center"/>
          </w:tcPr>
          <w:p w:rsidR="005A3E5B" w:rsidRDefault="005A3E5B" w:rsidP="0000183D">
            <w:pPr>
              <w:pStyle w:val="TableBody"/>
            </w:pPr>
            <w:r>
              <w:t>35</w:t>
            </w:r>
            <w:r w:rsidRPr="009C2BB5">
              <w:rPr>
                <w:vertAlign w:val="superscript"/>
              </w:rPr>
              <w:t>o</w:t>
            </w:r>
            <w:r>
              <w:t>C</w:t>
            </w:r>
          </w:p>
        </w:tc>
        <w:tc>
          <w:tcPr>
            <w:tcW w:w="0" w:type="auto"/>
            <w:vAlign w:val="center"/>
          </w:tcPr>
          <w:p w:rsidR="005A3E5B" w:rsidRPr="00EA067A" w:rsidRDefault="005A3E5B" w:rsidP="0000183D">
            <w:pPr>
              <w:pStyle w:val="TableBody"/>
            </w:pPr>
            <w:r>
              <w:t>80%</w:t>
            </w:r>
          </w:p>
        </w:tc>
        <w:tc>
          <w:tcPr>
            <w:tcW w:w="0" w:type="auto"/>
            <w:vAlign w:val="center"/>
          </w:tcPr>
          <w:p w:rsidR="005A3E5B" w:rsidRPr="00EA067A" w:rsidRDefault="005A3E5B" w:rsidP="0000183D">
            <w:pPr>
              <w:pStyle w:val="TableBody"/>
            </w:pPr>
            <w:r>
              <w:t>1.2:1</w:t>
            </w:r>
          </w:p>
        </w:tc>
        <w:tc>
          <w:tcPr>
            <w:tcW w:w="0" w:type="auto"/>
            <w:vAlign w:val="center"/>
          </w:tcPr>
          <w:p w:rsidR="005A3E5B" w:rsidRDefault="005A3E5B" w:rsidP="0000183D">
            <w:pPr>
              <w:pStyle w:val="TableBody"/>
            </w:pPr>
            <w:r>
              <w:t>61%</w:t>
            </w:r>
          </w:p>
        </w:tc>
        <w:tc>
          <w:tcPr>
            <w:tcW w:w="0" w:type="auto"/>
            <w:vAlign w:val="center"/>
          </w:tcPr>
          <w:p w:rsidR="005A3E5B" w:rsidRDefault="005A3E5B" w:rsidP="0000183D">
            <w:pPr>
              <w:pStyle w:val="TableBody"/>
            </w:pPr>
            <w:r>
              <w:t>19%</w:t>
            </w:r>
          </w:p>
        </w:tc>
      </w:tr>
      <w:tr w:rsidR="005A3E5B" w:rsidRPr="00EA067A" w:rsidTr="0000183D">
        <w:tc>
          <w:tcPr>
            <w:tcW w:w="623" w:type="dxa"/>
            <w:vAlign w:val="center"/>
          </w:tcPr>
          <w:p w:rsidR="005A3E5B" w:rsidRDefault="005A3E5B" w:rsidP="0000183D">
            <w:pPr>
              <w:pStyle w:val="TableBody"/>
            </w:pPr>
            <w:r>
              <w:t>14</w:t>
            </w:r>
            <w:r w:rsidRPr="00516B64">
              <w:rPr>
                <w:vertAlign w:val="superscript"/>
              </w:rPr>
              <w:t>f</w:t>
            </w:r>
          </w:p>
        </w:tc>
        <w:tc>
          <w:tcPr>
            <w:tcW w:w="0" w:type="auto"/>
            <w:vAlign w:val="center"/>
          </w:tcPr>
          <w:p w:rsidR="005A3E5B" w:rsidRDefault="005A3E5B" w:rsidP="0000183D">
            <w:pPr>
              <w:pStyle w:val="TableBody"/>
            </w:pPr>
            <w:r>
              <w:t>EtOAc</w:t>
            </w:r>
          </w:p>
        </w:tc>
        <w:tc>
          <w:tcPr>
            <w:tcW w:w="0" w:type="auto"/>
            <w:vAlign w:val="center"/>
          </w:tcPr>
          <w:p w:rsidR="005A3E5B" w:rsidRDefault="005A3E5B" w:rsidP="0000183D">
            <w:pPr>
              <w:pStyle w:val="TableBody"/>
            </w:pPr>
            <w:r>
              <w:t>Pd(OAc)</w:t>
            </w:r>
            <w:r w:rsidRPr="009C2BB5">
              <w:rPr>
                <w:vertAlign w:val="subscript"/>
              </w:rPr>
              <w:t>2</w:t>
            </w:r>
          </w:p>
        </w:tc>
        <w:tc>
          <w:tcPr>
            <w:tcW w:w="0" w:type="auto"/>
            <w:vAlign w:val="center"/>
          </w:tcPr>
          <w:p w:rsidR="005A3E5B" w:rsidRDefault="005A3E5B" w:rsidP="0000183D">
            <w:pPr>
              <w:pStyle w:val="TableBody"/>
            </w:pPr>
            <w:r>
              <w:t>35</w:t>
            </w:r>
            <w:r w:rsidRPr="009C2BB5">
              <w:rPr>
                <w:vertAlign w:val="superscript"/>
              </w:rPr>
              <w:t>o</w:t>
            </w:r>
            <w:r>
              <w:t>C</w:t>
            </w:r>
          </w:p>
        </w:tc>
        <w:tc>
          <w:tcPr>
            <w:tcW w:w="0" w:type="auto"/>
            <w:vAlign w:val="center"/>
          </w:tcPr>
          <w:p w:rsidR="005A3E5B" w:rsidRDefault="005A3E5B" w:rsidP="0000183D">
            <w:pPr>
              <w:pStyle w:val="TableBody"/>
            </w:pPr>
            <w:r>
              <w:t>traces</w:t>
            </w:r>
          </w:p>
        </w:tc>
        <w:tc>
          <w:tcPr>
            <w:tcW w:w="0" w:type="auto"/>
            <w:vAlign w:val="center"/>
          </w:tcPr>
          <w:p w:rsidR="005A3E5B" w:rsidRDefault="005A3E5B" w:rsidP="0000183D">
            <w:pPr>
              <w:pStyle w:val="TableBody"/>
            </w:pPr>
          </w:p>
        </w:tc>
        <w:tc>
          <w:tcPr>
            <w:tcW w:w="0" w:type="auto"/>
            <w:vAlign w:val="center"/>
          </w:tcPr>
          <w:p w:rsidR="005A3E5B" w:rsidRDefault="005A3E5B" w:rsidP="0000183D">
            <w:pPr>
              <w:pStyle w:val="TableBody"/>
            </w:pPr>
            <w:r>
              <w:t>-</w:t>
            </w:r>
          </w:p>
        </w:tc>
        <w:tc>
          <w:tcPr>
            <w:tcW w:w="0" w:type="auto"/>
            <w:vAlign w:val="center"/>
          </w:tcPr>
          <w:p w:rsidR="005A3E5B" w:rsidRDefault="005A3E5B" w:rsidP="0000183D">
            <w:pPr>
              <w:pStyle w:val="TableBody"/>
            </w:pPr>
            <w:r>
              <w:t>-</w:t>
            </w:r>
          </w:p>
        </w:tc>
      </w:tr>
      <w:tr w:rsidR="005A3E5B" w:rsidRPr="00EA067A" w:rsidTr="0000183D">
        <w:tc>
          <w:tcPr>
            <w:tcW w:w="623" w:type="dxa"/>
            <w:tcBorders>
              <w:bottom w:val="single" w:sz="4" w:space="0" w:color="auto"/>
            </w:tcBorders>
            <w:vAlign w:val="center"/>
          </w:tcPr>
          <w:p w:rsidR="005A3E5B" w:rsidRDefault="007962F1" w:rsidP="0000183D">
            <w:pPr>
              <w:pStyle w:val="TableBody"/>
            </w:pPr>
            <w:r>
              <w:t>15</w:t>
            </w:r>
            <w:r w:rsidR="005A3E5B" w:rsidRPr="00516B64">
              <w:rPr>
                <w:vertAlign w:val="superscript"/>
              </w:rPr>
              <w:t>f</w:t>
            </w:r>
            <w:r w:rsidR="005A3E5B">
              <w:rPr>
                <w:vertAlign w:val="superscript"/>
              </w:rPr>
              <w:t>,g</w:t>
            </w:r>
          </w:p>
        </w:tc>
        <w:tc>
          <w:tcPr>
            <w:tcW w:w="0" w:type="auto"/>
            <w:tcBorders>
              <w:bottom w:val="single" w:sz="4" w:space="0" w:color="auto"/>
            </w:tcBorders>
            <w:vAlign w:val="center"/>
          </w:tcPr>
          <w:p w:rsidR="005A3E5B" w:rsidRDefault="005A3E5B" w:rsidP="0000183D">
            <w:pPr>
              <w:pStyle w:val="TableBody"/>
            </w:pPr>
            <w:r>
              <w:t>ACN</w:t>
            </w:r>
          </w:p>
        </w:tc>
        <w:tc>
          <w:tcPr>
            <w:tcW w:w="0" w:type="auto"/>
            <w:tcBorders>
              <w:bottom w:val="single" w:sz="4" w:space="0" w:color="auto"/>
            </w:tcBorders>
            <w:vAlign w:val="center"/>
          </w:tcPr>
          <w:p w:rsidR="005A3E5B" w:rsidRDefault="005A3E5B" w:rsidP="0000183D">
            <w:pPr>
              <w:pStyle w:val="TableBody"/>
            </w:pPr>
            <w:r>
              <w:t>Pd(OAc)</w:t>
            </w:r>
            <w:r w:rsidRPr="009C2BB5">
              <w:rPr>
                <w:vertAlign w:val="subscript"/>
              </w:rPr>
              <w:t>2</w:t>
            </w:r>
          </w:p>
        </w:tc>
        <w:tc>
          <w:tcPr>
            <w:tcW w:w="0" w:type="auto"/>
            <w:tcBorders>
              <w:bottom w:val="single" w:sz="4" w:space="0" w:color="auto"/>
            </w:tcBorders>
            <w:vAlign w:val="center"/>
          </w:tcPr>
          <w:p w:rsidR="005A3E5B" w:rsidRDefault="005A3E5B" w:rsidP="0000183D">
            <w:pPr>
              <w:pStyle w:val="TableBody"/>
            </w:pPr>
            <w:r>
              <w:t>35</w:t>
            </w:r>
            <w:r w:rsidRPr="009C2BB5">
              <w:rPr>
                <w:vertAlign w:val="superscript"/>
              </w:rPr>
              <w:t>o</w:t>
            </w:r>
            <w:r>
              <w:t>C</w:t>
            </w:r>
          </w:p>
        </w:tc>
        <w:tc>
          <w:tcPr>
            <w:tcW w:w="0" w:type="auto"/>
            <w:tcBorders>
              <w:bottom w:val="single" w:sz="4" w:space="0" w:color="auto"/>
            </w:tcBorders>
            <w:vAlign w:val="center"/>
          </w:tcPr>
          <w:p w:rsidR="005A3E5B" w:rsidRPr="00EA067A" w:rsidRDefault="005A3E5B" w:rsidP="0000183D">
            <w:pPr>
              <w:pStyle w:val="TableBody"/>
            </w:pPr>
            <w:r>
              <w:t>84%</w:t>
            </w:r>
          </w:p>
        </w:tc>
        <w:tc>
          <w:tcPr>
            <w:tcW w:w="0" w:type="auto"/>
            <w:tcBorders>
              <w:bottom w:val="single" w:sz="4" w:space="0" w:color="auto"/>
            </w:tcBorders>
            <w:vAlign w:val="center"/>
          </w:tcPr>
          <w:p w:rsidR="005A3E5B" w:rsidRPr="00EA067A" w:rsidRDefault="005A3E5B" w:rsidP="0000183D">
            <w:pPr>
              <w:pStyle w:val="TableBody"/>
            </w:pPr>
            <w:r>
              <w:t>1.3:1</w:t>
            </w:r>
          </w:p>
        </w:tc>
        <w:tc>
          <w:tcPr>
            <w:tcW w:w="0" w:type="auto"/>
            <w:tcBorders>
              <w:bottom w:val="single" w:sz="4" w:space="0" w:color="auto"/>
            </w:tcBorders>
            <w:vAlign w:val="center"/>
          </w:tcPr>
          <w:p w:rsidR="005A3E5B" w:rsidRPr="00EA067A" w:rsidRDefault="005A3E5B" w:rsidP="0000183D">
            <w:pPr>
              <w:pStyle w:val="TableBody"/>
            </w:pPr>
            <w:r>
              <w:t>88%</w:t>
            </w:r>
          </w:p>
        </w:tc>
        <w:tc>
          <w:tcPr>
            <w:tcW w:w="0" w:type="auto"/>
            <w:tcBorders>
              <w:bottom w:val="single" w:sz="4" w:space="0" w:color="auto"/>
            </w:tcBorders>
            <w:vAlign w:val="center"/>
          </w:tcPr>
          <w:p w:rsidR="005A3E5B" w:rsidRPr="00EA067A" w:rsidRDefault="005A3E5B" w:rsidP="0000183D">
            <w:pPr>
              <w:pStyle w:val="TableBody"/>
            </w:pPr>
            <w:r>
              <w:t>68%</w:t>
            </w:r>
          </w:p>
        </w:tc>
      </w:tr>
    </w:tbl>
    <w:p w:rsidR="005A3E5B" w:rsidRPr="00EA067A" w:rsidRDefault="005A3E5B" w:rsidP="005A3E5B">
      <w:pPr>
        <w:pStyle w:val="TableFoot"/>
      </w:pPr>
      <w:r>
        <w:t xml:space="preserve">[a] yields are the sum of pure isolated diastereomers [b] d.r. calculated from the crude NMR comparing the aldehyde signals [c] </w:t>
      </w:r>
      <w:r w:rsidRPr="00AD321E">
        <w:rPr>
          <w:i/>
        </w:rPr>
        <w:t>ee</w:t>
      </w:r>
      <w:r>
        <w:t xml:space="preserve"> were determined by chiral HPLC analysis on the isolated products; [d] </w:t>
      </w:r>
      <w:r w:rsidRPr="00D731C5">
        <w:rPr>
          <w:b/>
          <w:bCs/>
        </w:rPr>
        <w:t>I</w:t>
      </w:r>
      <w:r>
        <w:t xml:space="preserve"> as catalyst; [e] </w:t>
      </w:r>
      <w:r w:rsidRPr="00D731C5">
        <w:rPr>
          <w:b/>
          <w:bCs/>
        </w:rPr>
        <w:t>II</w:t>
      </w:r>
      <w:r>
        <w:t xml:space="preserve"> as catalyst; [f] </w:t>
      </w:r>
      <w:r w:rsidRPr="00D731C5">
        <w:rPr>
          <w:b/>
          <w:bCs/>
        </w:rPr>
        <w:t>III</w:t>
      </w:r>
      <w:r>
        <w:t xml:space="preserve"> as catalyst; [g] reaction time 14h</w:t>
      </w:r>
    </w:p>
    <w:p w:rsidR="005A3E5B" w:rsidRDefault="005A3E5B" w:rsidP="00CC2162">
      <w:pPr>
        <w:pStyle w:val="P1withoutIndendation"/>
        <w:ind w:firstLine="284"/>
        <w:rPr>
          <w:lang w:val="en-GB"/>
        </w:rPr>
      </w:pPr>
      <w:r w:rsidRPr="00BA51D7">
        <w:rPr>
          <w:lang w:val="en-GB"/>
        </w:rPr>
        <w:t>With the optimized reaction conditions in hand, we investigated the substrate scope of the reaction with respect to enal derivatives. As shown in Scheme 1, the reactions afforded the corresponding products in good yields and with good enantioselectivity when different aromatic enals were used (</w:t>
      </w:r>
      <w:r w:rsidRPr="00BA51D7">
        <w:rPr>
          <w:b/>
          <w:lang w:val="en-GB"/>
        </w:rPr>
        <w:t>3a</w:t>
      </w:r>
      <w:r w:rsidR="00367885">
        <w:rPr>
          <w:b/>
          <w:lang w:val="en-GB"/>
        </w:rPr>
        <w:t>a</w:t>
      </w:r>
      <w:r w:rsidRPr="00BA51D7">
        <w:rPr>
          <w:b/>
          <w:lang w:val="en-GB"/>
        </w:rPr>
        <w:t>–3</w:t>
      </w:r>
      <w:r w:rsidR="00367885">
        <w:rPr>
          <w:b/>
          <w:lang w:val="en-GB"/>
        </w:rPr>
        <w:t>a</w:t>
      </w:r>
      <w:r w:rsidRPr="00BA51D7">
        <w:rPr>
          <w:b/>
          <w:lang w:val="en-GB"/>
        </w:rPr>
        <w:t>h</w:t>
      </w:r>
      <w:r w:rsidRPr="00BA51D7">
        <w:rPr>
          <w:lang w:val="en-GB"/>
        </w:rPr>
        <w:t>). In contrast, the reactions of aliphatic enals afforded complex mixtures due to their decomposition</w:t>
      </w:r>
      <w:r w:rsidR="00B4136B">
        <w:rPr>
          <w:lang w:val="en-GB"/>
        </w:rPr>
        <w:t xml:space="preserve"> (</w:t>
      </w:r>
      <w:r w:rsidR="00B4136B" w:rsidRPr="00B4136B">
        <w:rPr>
          <w:b/>
          <w:lang w:val="en-GB"/>
        </w:rPr>
        <w:t>3</w:t>
      </w:r>
      <w:r w:rsidR="00367885">
        <w:rPr>
          <w:b/>
          <w:lang w:val="en-GB"/>
        </w:rPr>
        <w:t>a</w:t>
      </w:r>
      <w:r w:rsidR="00B4136B" w:rsidRPr="00B4136B">
        <w:rPr>
          <w:b/>
          <w:lang w:val="en-GB"/>
        </w:rPr>
        <w:t>i</w:t>
      </w:r>
      <w:r w:rsidR="00B4136B">
        <w:rPr>
          <w:lang w:val="en-GB"/>
        </w:rPr>
        <w:t>)</w:t>
      </w:r>
      <w:r w:rsidRPr="00BA51D7">
        <w:rPr>
          <w:lang w:val="en-GB"/>
        </w:rPr>
        <w:t xml:space="preserve">. However, in almost all the examples, the diastereoselectivity of the reaction was very low. Better results were obtained with 4-halogen-substituted cinnamaldehydes. For example, the fluoro derivative, </w:t>
      </w:r>
      <w:r w:rsidRPr="00BA51D7">
        <w:rPr>
          <w:b/>
          <w:lang w:val="en-GB"/>
        </w:rPr>
        <w:t>3</w:t>
      </w:r>
      <w:r w:rsidR="00367885">
        <w:rPr>
          <w:b/>
          <w:lang w:val="en-GB"/>
        </w:rPr>
        <w:t>a</w:t>
      </w:r>
      <w:r w:rsidRPr="00BA51D7">
        <w:rPr>
          <w:b/>
          <w:lang w:val="en-GB"/>
        </w:rPr>
        <w:t>c</w:t>
      </w:r>
      <w:r w:rsidRPr="00BA51D7">
        <w:rPr>
          <w:lang w:val="en-GB"/>
        </w:rPr>
        <w:t xml:space="preserve">, was obtained in </w:t>
      </w:r>
      <w:r>
        <w:rPr>
          <w:lang w:val="en-GB"/>
        </w:rPr>
        <w:t>81% yield and with 1.1:1 d.r.</w:t>
      </w:r>
      <w:r w:rsidRPr="00BA51D7">
        <w:rPr>
          <w:lang w:val="en-GB"/>
        </w:rPr>
        <w:t xml:space="preserve"> and 86% and 99% </w:t>
      </w:r>
      <w:r w:rsidRPr="00B21E37">
        <w:rPr>
          <w:i/>
          <w:iCs/>
          <w:lang w:val="en-GB"/>
        </w:rPr>
        <w:t>ee</w:t>
      </w:r>
      <w:r w:rsidRPr="00BA51D7">
        <w:rPr>
          <w:lang w:val="en-GB"/>
        </w:rPr>
        <w:t xml:space="preserve">. Compounds </w:t>
      </w:r>
      <w:r w:rsidRPr="00BA51D7">
        <w:rPr>
          <w:b/>
          <w:lang w:val="en-GB"/>
        </w:rPr>
        <w:t>3</w:t>
      </w:r>
      <w:r w:rsidR="00367885">
        <w:rPr>
          <w:b/>
          <w:lang w:val="en-GB"/>
        </w:rPr>
        <w:t>a</w:t>
      </w:r>
      <w:r w:rsidRPr="00BA51D7">
        <w:rPr>
          <w:b/>
          <w:lang w:val="en-GB"/>
        </w:rPr>
        <w:t>d</w:t>
      </w:r>
      <w:r w:rsidRPr="00BA51D7">
        <w:rPr>
          <w:lang w:val="en-GB"/>
        </w:rPr>
        <w:t xml:space="preserve"> and </w:t>
      </w:r>
      <w:r w:rsidRPr="00BA51D7">
        <w:rPr>
          <w:b/>
          <w:lang w:val="en-GB"/>
        </w:rPr>
        <w:t>3</w:t>
      </w:r>
      <w:r w:rsidR="00367885">
        <w:rPr>
          <w:b/>
          <w:lang w:val="en-GB"/>
        </w:rPr>
        <w:t>a</w:t>
      </w:r>
      <w:r w:rsidRPr="00BA51D7">
        <w:rPr>
          <w:b/>
          <w:lang w:val="en-GB"/>
        </w:rPr>
        <w:t>e</w:t>
      </w:r>
      <w:r>
        <w:rPr>
          <w:lang w:val="en-GB"/>
        </w:rPr>
        <w:t xml:space="preserve"> (Cl and Br</w:t>
      </w:r>
      <w:r w:rsidRPr="00BA51D7">
        <w:rPr>
          <w:lang w:val="en-GB"/>
        </w:rPr>
        <w:t xml:space="preserve"> derivatives, respectively) were obtained in similar yields and </w:t>
      </w:r>
      <w:r>
        <w:rPr>
          <w:lang w:val="en-GB"/>
        </w:rPr>
        <w:lastRenderedPageBreak/>
        <w:t>stereoselectivities</w:t>
      </w:r>
      <w:r w:rsidRPr="00BA51D7">
        <w:rPr>
          <w:lang w:val="en-GB"/>
        </w:rPr>
        <w:t xml:space="preserve">. Electron-withdrawing groups in the aromatic ring resulted in </w:t>
      </w:r>
      <w:r>
        <w:rPr>
          <w:lang w:val="en-GB"/>
        </w:rPr>
        <w:t>similar yields and stereoselectivities in the 4-nitro substituted compound (</w:t>
      </w:r>
      <w:r w:rsidRPr="00BA573D">
        <w:rPr>
          <w:b/>
          <w:bCs/>
          <w:lang w:val="en-GB"/>
        </w:rPr>
        <w:t>3f</w:t>
      </w:r>
      <w:r>
        <w:rPr>
          <w:lang w:val="en-GB"/>
        </w:rPr>
        <w:t xml:space="preserve">) but </w:t>
      </w:r>
      <w:r w:rsidRPr="00BA51D7">
        <w:rPr>
          <w:lang w:val="en-GB"/>
        </w:rPr>
        <w:t xml:space="preserve">lower enantioselectivity </w:t>
      </w:r>
      <w:r w:rsidR="0084545D">
        <w:rPr>
          <w:lang w:val="en-GB"/>
        </w:rPr>
        <w:t>when 4-cy</w:t>
      </w:r>
      <w:r>
        <w:rPr>
          <w:lang w:val="en-GB"/>
        </w:rPr>
        <w:t xml:space="preserve">ano cinnamaldehyde was used </w:t>
      </w:r>
      <w:r w:rsidRPr="00BA51D7">
        <w:rPr>
          <w:lang w:val="en-GB"/>
        </w:rPr>
        <w:t>(</w:t>
      </w:r>
      <w:r w:rsidRPr="00BA51D7">
        <w:rPr>
          <w:b/>
          <w:bCs/>
          <w:lang w:val="en-GB"/>
        </w:rPr>
        <w:t>3</w:t>
      </w:r>
      <w:r>
        <w:rPr>
          <w:b/>
          <w:bCs/>
          <w:lang w:val="en-GB"/>
        </w:rPr>
        <w:t>g</w:t>
      </w:r>
      <w:r w:rsidRPr="007962F1">
        <w:rPr>
          <w:lang w:val="en-GB"/>
        </w:rPr>
        <w:t>)</w:t>
      </w:r>
      <w:r w:rsidR="0084545D" w:rsidRPr="007962F1">
        <w:rPr>
          <w:lang w:val="en-GB"/>
        </w:rPr>
        <w:t>.</w:t>
      </w:r>
      <w:r w:rsidR="00D15662" w:rsidRPr="007962F1">
        <w:rPr>
          <w:lang w:val="en-GB"/>
        </w:rPr>
        <w:t xml:space="preserve"> </w:t>
      </w:r>
      <w:r w:rsidR="00C66B6F" w:rsidRPr="007962F1">
        <w:rPr>
          <w:lang w:val="en-GB"/>
        </w:rPr>
        <w:t>It s</w:t>
      </w:r>
      <w:r w:rsidR="00D15662" w:rsidRPr="007962F1">
        <w:rPr>
          <w:lang w:val="en-GB"/>
        </w:rPr>
        <w:t>hould be noticed that</w:t>
      </w:r>
      <w:r w:rsidR="00C66B6F" w:rsidRPr="007962F1">
        <w:rPr>
          <w:lang w:val="en-GB"/>
        </w:rPr>
        <w:t>,</w:t>
      </w:r>
      <w:r w:rsidR="00D15662" w:rsidRPr="007962F1">
        <w:rPr>
          <w:lang w:val="en-GB"/>
        </w:rPr>
        <w:t xml:space="preserve"> in some examples</w:t>
      </w:r>
      <w:r w:rsidR="00C66B6F" w:rsidRPr="007962F1">
        <w:rPr>
          <w:lang w:val="en-GB"/>
        </w:rPr>
        <w:t>,</w:t>
      </w:r>
      <w:r w:rsidR="00D15662" w:rsidRPr="007962F1">
        <w:rPr>
          <w:lang w:val="en-GB"/>
        </w:rPr>
        <w:t xml:space="preserve"> the use of catalyst </w:t>
      </w:r>
      <w:r w:rsidR="00D15662" w:rsidRPr="007962F1">
        <w:rPr>
          <w:b/>
          <w:lang w:val="en-GB"/>
        </w:rPr>
        <w:t>III</w:t>
      </w:r>
      <w:r w:rsidR="00D15662" w:rsidRPr="007962F1">
        <w:rPr>
          <w:lang w:val="en-GB"/>
        </w:rPr>
        <w:t xml:space="preserve"> give</w:t>
      </w:r>
      <w:r w:rsidR="00C66B6F" w:rsidRPr="007962F1">
        <w:rPr>
          <w:lang w:val="en-GB"/>
        </w:rPr>
        <w:t>s</w:t>
      </w:r>
      <w:r w:rsidR="00D15662" w:rsidRPr="007962F1">
        <w:rPr>
          <w:lang w:val="en-GB"/>
        </w:rPr>
        <w:t xml:space="preserve"> longer reaction times (more than 48h) that render wors</w:t>
      </w:r>
      <w:r w:rsidR="00C66B6F" w:rsidRPr="007962F1">
        <w:rPr>
          <w:lang w:val="en-GB"/>
        </w:rPr>
        <w:t>e</w:t>
      </w:r>
      <w:r w:rsidR="00D15662" w:rsidRPr="007962F1">
        <w:rPr>
          <w:lang w:val="en-GB"/>
        </w:rPr>
        <w:t xml:space="preserve"> yields due </w:t>
      </w:r>
      <w:r w:rsidR="00C66B6F" w:rsidRPr="007962F1">
        <w:rPr>
          <w:lang w:val="en-GB"/>
        </w:rPr>
        <w:t xml:space="preserve">to </w:t>
      </w:r>
      <w:r w:rsidR="00D15662" w:rsidRPr="007962F1">
        <w:rPr>
          <w:lang w:val="en-GB"/>
        </w:rPr>
        <w:t xml:space="preserve">the decomposition of the formed aldehyde. In order to shorten the reaction times catalyst </w:t>
      </w:r>
      <w:r w:rsidR="00D15662" w:rsidRPr="007962F1">
        <w:rPr>
          <w:b/>
          <w:lang w:val="en-GB"/>
        </w:rPr>
        <w:t>II</w:t>
      </w:r>
      <w:r w:rsidR="00D15662" w:rsidRPr="007962F1">
        <w:rPr>
          <w:lang w:val="en-GB"/>
        </w:rPr>
        <w:t xml:space="preserve"> was used in these examples (</w:t>
      </w:r>
      <w:r w:rsidR="00D15662" w:rsidRPr="007962F1">
        <w:rPr>
          <w:b/>
          <w:lang w:val="en-GB"/>
        </w:rPr>
        <w:t>3</w:t>
      </w:r>
      <w:r w:rsidR="00367885" w:rsidRPr="007962F1">
        <w:rPr>
          <w:b/>
          <w:lang w:val="en-GB"/>
        </w:rPr>
        <w:t>a</w:t>
      </w:r>
      <w:r w:rsidR="00D15662" w:rsidRPr="007962F1">
        <w:rPr>
          <w:b/>
          <w:lang w:val="en-GB"/>
        </w:rPr>
        <w:t>f</w:t>
      </w:r>
      <w:r w:rsidR="00D15662" w:rsidRPr="007962F1">
        <w:rPr>
          <w:lang w:val="en-GB"/>
        </w:rPr>
        <w:t>) with good overall results in terms of yield and stereoselectivity.</w:t>
      </w:r>
    </w:p>
    <w:p w:rsidR="005A3E5B" w:rsidRDefault="005A3E5B" w:rsidP="005A3E5B">
      <w:pPr>
        <w:pStyle w:val="P1withoutIndendation"/>
        <w:rPr>
          <w:lang w:val="en-GB"/>
        </w:rPr>
      </w:pPr>
    </w:p>
    <w:p w:rsidR="005A3E5B" w:rsidRDefault="00A60C00" w:rsidP="005A3E5B">
      <w:pPr>
        <w:pStyle w:val="SchemeCaption"/>
        <w:rPr>
          <w:b/>
          <w:i/>
        </w:rPr>
      </w:pPr>
      <w:r>
        <w:rPr>
          <w:noProof/>
          <w:lang w:val="de-DE"/>
        </w:rPr>
        <w:object w:dxaOrig="1440" w:dyaOrig="1440">
          <v:shape id="_x0000_s1101" type="#_x0000_t75" style="position:absolute;left:0;text-align:left;margin-left:-9.95pt;margin-top:.15pt;width:248.25pt;height:269.4pt;z-index:251656704;mso-position-horizontal-relative:text;mso-position-vertical-relative:text">
            <v:imagedata r:id="rId19" o:title=""/>
          </v:shape>
          <o:OLEObject Type="Embed" ProgID="ChemDraw.Document.6.0" ShapeID="_x0000_s1101" DrawAspect="Content" ObjectID="_1474715684" r:id="rId20"/>
        </w:object>
      </w: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rPr>
          <w:b/>
          <w:i/>
        </w:rPr>
      </w:pPr>
    </w:p>
    <w:p w:rsidR="005A3E5B" w:rsidRDefault="005A3E5B" w:rsidP="005A3E5B">
      <w:pPr>
        <w:pStyle w:val="SchemeCaption"/>
      </w:pPr>
      <w:r w:rsidRPr="00506EDB">
        <w:rPr>
          <w:b/>
          <w:i/>
        </w:rPr>
        <w:t>Scheme 1</w:t>
      </w:r>
      <w:r>
        <w:rPr>
          <w:b/>
          <w:i/>
        </w:rPr>
        <w:t>.</w:t>
      </w:r>
      <w:r>
        <w:t xml:space="preserve"> Scope of the reaction with several enals. a) </w:t>
      </w:r>
      <w:r w:rsidRPr="00264919">
        <w:rPr>
          <w:szCs w:val="22"/>
          <w:lang w:val="en-US"/>
        </w:rPr>
        <w:t>DIPEA</w:t>
      </w:r>
      <w:r>
        <w:t xml:space="preserve"> as a base b) reaction conducted at 30 </w:t>
      </w:r>
      <w:r w:rsidRPr="00D97BCD">
        <w:rPr>
          <w:vertAlign w:val="superscript"/>
        </w:rPr>
        <w:t>o</w:t>
      </w:r>
      <w:r>
        <w:t xml:space="preserve">C; c) </w:t>
      </w:r>
      <w:r w:rsidRPr="00BA573D">
        <w:rPr>
          <w:b/>
          <w:bCs/>
        </w:rPr>
        <w:t>II</w:t>
      </w:r>
      <w:r>
        <w:t xml:space="preserve"> as catalyst</w:t>
      </w:r>
    </w:p>
    <w:p w:rsidR="0013288F" w:rsidRPr="007962F1" w:rsidRDefault="005A3E5B" w:rsidP="005A3E5B">
      <w:pPr>
        <w:pStyle w:val="P1withIndendation"/>
        <w:rPr>
          <w:lang w:val="en-US"/>
        </w:rPr>
      </w:pPr>
      <w:r w:rsidRPr="00EB79E7">
        <w:rPr>
          <w:lang w:val="en-US"/>
        </w:rPr>
        <w:t xml:space="preserve">Next, we investigated the substrate scope of the reaction with respect to benzoxazole derivatives. As shown in Scheme 2, </w:t>
      </w:r>
      <w:r w:rsidRPr="00EB79E7">
        <w:rPr>
          <w:bCs/>
          <w:lang w:val="en-US"/>
        </w:rPr>
        <w:t>the presence of electron-withdrawing groups in the azaarene ring was crucia</w:t>
      </w:r>
      <w:r w:rsidR="00BB494E">
        <w:rPr>
          <w:bCs/>
          <w:lang w:val="en-US"/>
        </w:rPr>
        <w:t xml:space="preserve">l for the reactivity. </w:t>
      </w:r>
      <w:r w:rsidR="008476CB">
        <w:rPr>
          <w:bCs/>
          <w:lang w:val="en-US"/>
        </w:rPr>
        <w:t>In order to generate more complex scaffolds that</w:t>
      </w:r>
      <w:r w:rsidR="009F6358">
        <w:rPr>
          <w:bCs/>
          <w:lang w:val="en-US"/>
        </w:rPr>
        <w:t xml:space="preserve"> can be further modified we cho</w:t>
      </w:r>
      <w:r w:rsidR="008476CB">
        <w:rPr>
          <w:bCs/>
          <w:lang w:val="en-US"/>
        </w:rPr>
        <w:t xml:space="preserve">se azaarene </w:t>
      </w:r>
      <w:r w:rsidR="008476CB" w:rsidRPr="008476CB">
        <w:rPr>
          <w:b/>
          <w:bCs/>
          <w:lang w:val="en-US"/>
        </w:rPr>
        <w:t>1b</w:t>
      </w:r>
      <w:r w:rsidR="008476CB">
        <w:rPr>
          <w:bCs/>
          <w:lang w:val="en-US"/>
        </w:rPr>
        <w:t xml:space="preserve"> bearing a Cl</w:t>
      </w:r>
      <w:r w:rsidR="009F6358">
        <w:rPr>
          <w:bCs/>
          <w:lang w:val="en-US"/>
        </w:rPr>
        <w:t xml:space="preserve"> atom close to the nitro. We were</w:t>
      </w:r>
      <w:r w:rsidR="008476CB">
        <w:rPr>
          <w:bCs/>
          <w:lang w:val="en-US"/>
        </w:rPr>
        <w:t xml:space="preserve"> very pleased to confirm that the reaction produces the final compound </w:t>
      </w:r>
      <w:r w:rsidR="0013288F">
        <w:rPr>
          <w:b/>
          <w:bCs/>
          <w:lang w:val="en-US"/>
        </w:rPr>
        <w:t>3</w:t>
      </w:r>
      <w:r w:rsidR="00367885">
        <w:rPr>
          <w:b/>
          <w:bCs/>
          <w:lang w:val="en-US"/>
        </w:rPr>
        <w:t>be</w:t>
      </w:r>
      <w:r w:rsidR="008476CB">
        <w:rPr>
          <w:bCs/>
          <w:lang w:val="en-US"/>
        </w:rPr>
        <w:t xml:space="preserve"> with excellent yields, good d.r. and excellent ee in the major diastereomer. </w:t>
      </w:r>
      <w:r w:rsidR="00BB494E">
        <w:rPr>
          <w:bCs/>
          <w:lang w:val="en-US"/>
        </w:rPr>
        <w:t>Compound</w:t>
      </w:r>
      <w:r w:rsidRPr="00EB79E7">
        <w:rPr>
          <w:bCs/>
          <w:lang w:val="en-US"/>
        </w:rPr>
        <w:t xml:space="preserve"> </w:t>
      </w:r>
      <w:r w:rsidR="00367885">
        <w:rPr>
          <w:b/>
          <w:lang w:val="en-US"/>
        </w:rPr>
        <w:t>3de</w:t>
      </w:r>
      <w:r>
        <w:rPr>
          <w:b/>
          <w:lang w:val="en-US"/>
        </w:rPr>
        <w:t>,</w:t>
      </w:r>
      <w:r w:rsidRPr="00EB79E7">
        <w:rPr>
          <w:bCs/>
          <w:lang w:val="en-US"/>
        </w:rPr>
        <w:t xml:space="preserve"> bearing a nitro g</w:t>
      </w:r>
      <w:r w:rsidR="00BB494E">
        <w:rPr>
          <w:bCs/>
          <w:lang w:val="en-US"/>
        </w:rPr>
        <w:t>roup at 3 position of the benzoxazole</w:t>
      </w:r>
      <w:r w:rsidRPr="00EB79E7">
        <w:rPr>
          <w:bCs/>
          <w:lang w:val="en-US"/>
        </w:rPr>
        <w:t xml:space="preserve"> ring</w:t>
      </w:r>
      <w:r>
        <w:rPr>
          <w:bCs/>
          <w:lang w:val="en-US"/>
        </w:rPr>
        <w:t>,</w:t>
      </w:r>
      <w:r w:rsidR="009F6358">
        <w:rPr>
          <w:bCs/>
          <w:lang w:val="en-US"/>
        </w:rPr>
        <w:t xml:space="preserve"> was</w:t>
      </w:r>
      <w:r w:rsidRPr="00EB79E7">
        <w:rPr>
          <w:bCs/>
          <w:lang w:val="en-US"/>
        </w:rPr>
        <w:t xml:space="preserve"> obtained in moderate yields and with moderate-to-low s</w:t>
      </w:r>
      <w:r w:rsidR="00BB494E">
        <w:rPr>
          <w:bCs/>
          <w:lang w:val="en-US"/>
        </w:rPr>
        <w:t>tereoselectivity. The low yield</w:t>
      </w:r>
      <w:r w:rsidRPr="00EB79E7">
        <w:rPr>
          <w:bCs/>
          <w:lang w:val="en-US"/>
        </w:rPr>
        <w:t xml:space="preserve"> can be attributed to the steric effects, causing difficulty in the coordination of the Lewi</w:t>
      </w:r>
      <w:r w:rsidR="00BB494E">
        <w:rPr>
          <w:bCs/>
          <w:lang w:val="en-US"/>
        </w:rPr>
        <w:t>s acid to the benzoxazole ring</w:t>
      </w:r>
      <w:r w:rsidRPr="00EB79E7">
        <w:rPr>
          <w:bCs/>
          <w:lang w:val="en-US"/>
        </w:rPr>
        <w:t>. We also investigated the reaction with other functional groups in the benzoxazole r</w:t>
      </w:r>
      <w:r w:rsidR="009F6358">
        <w:rPr>
          <w:bCs/>
          <w:lang w:val="en-US"/>
        </w:rPr>
        <w:t>ing. The simple benzoxazole was</w:t>
      </w:r>
      <w:r w:rsidRPr="00EB79E7">
        <w:rPr>
          <w:bCs/>
          <w:lang w:val="en-US"/>
        </w:rPr>
        <w:t xml:space="preserve"> unreactive under the reaction conditions (</w:t>
      </w:r>
      <w:r w:rsidR="0013288F" w:rsidRPr="007962F1">
        <w:rPr>
          <w:b/>
          <w:lang w:val="en-US"/>
        </w:rPr>
        <w:t>3</w:t>
      </w:r>
      <w:r w:rsidR="00367885" w:rsidRPr="007962F1">
        <w:rPr>
          <w:b/>
          <w:lang w:val="en-US"/>
        </w:rPr>
        <w:t>ea</w:t>
      </w:r>
      <w:r w:rsidRPr="007962F1">
        <w:rPr>
          <w:bCs/>
          <w:lang w:val="en-US"/>
        </w:rPr>
        <w:t xml:space="preserve">), probably because </w:t>
      </w:r>
      <w:r w:rsidR="009F6358" w:rsidRPr="007962F1">
        <w:rPr>
          <w:bCs/>
          <w:lang w:val="en-US"/>
        </w:rPr>
        <w:t xml:space="preserve">of the </w:t>
      </w:r>
      <w:r w:rsidRPr="007962F1">
        <w:rPr>
          <w:bCs/>
          <w:lang w:val="en-US"/>
        </w:rPr>
        <w:t xml:space="preserve">low acidity of the alkyl azaarenes. Next, we investigated the effect of the substituent in the alkyl position. </w:t>
      </w:r>
      <w:r w:rsidR="008476CB" w:rsidRPr="007962F1">
        <w:rPr>
          <w:bCs/>
          <w:lang w:val="en-US"/>
        </w:rPr>
        <w:t>Our results confirm that larger substituents could be</w:t>
      </w:r>
      <w:r w:rsidRPr="007962F1">
        <w:rPr>
          <w:bCs/>
          <w:lang w:val="en-US"/>
        </w:rPr>
        <w:t xml:space="preserve"> used </w:t>
      </w:r>
      <w:r w:rsidR="009F6358" w:rsidRPr="007962F1">
        <w:rPr>
          <w:bCs/>
          <w:lang w:val="en-US"/>
        </w:rPr>
        <w:t xml:space="preserve">such as </w:t>
      </w:r>
      <w:r w:rsidRPr="007962F1">
        <w:rPr>
          <w:bCs/>
          <w:i/>
          <w:lang w:val="en-US"/>
        </w:rPr>
        <w:t>n</w:t>
      </w:r>
      <w:r w:rsidRPr="007962F1">
        <w:rPr>
          <w:bCs/>
          <w:lang w:val="en-US"/>
        </w:rPr>
        <w:t>-</w:t>
      </w:r>
      <w:r w:rsidR="00AF684D" w:rsidRPr="007962F1">
        <w:rPr>
          <w:bCs/>
          <w:lang w:val="en-US"/>
        </w:rPr>
        <w:t>propyl</w:t>
      </w:r>
      <w:r w:rsidR="009F6358" w:rsidRPr="007962F1">
        <w:rPr>
          <w:bCs/>
          <w:lang w:val="en-US"/>
        </w:rPr>
        <w:t>. T</w:t>
      </w:r>
      <w:r w:rsidRPr="007962F1">
        <w:rPr>
          <w:bCs/>
          <w:lang w:val="en-US"/>
        </w:rPr>
        <w:t xml:space="preserve">he reaction afforded the final product, </w:t>
      </w:r>
      <w:r w:rsidR="0013288F" w:rsidRPr="007962F1">
        <w:rPr>
          <w:b/>
          <w:lang w:val="en-US"/>
        </w:rPr>
        <w:t>3</w:t>
      </w:r>
      <w:r w:rsidR="00367885" w:rsidRPr="007962F1">
        <w:rPr>
          <w:b/>
          <w:lang w:val="en-US"/>
        </w:rPr>
        <w:t>ce</w:t>
      </w:r>
      <w:r w:rsidRPr="007962F1">
        <w:rPr>
          <w:lang w:val="en-US"/>
        </w:rPr>
        <w:t>,</w:t>
      </w:r>
      <w:r w:rsidRPr="007962F1">
        <w:rPr>
          <w:bCs/>
          <w:lang w:val="en-US"/>
        </w:rPr>
        <w:t xml:space="preserve"> in a good yield and enantioselectivity with moderate diastereoselectivity. </w:t>
      </w:r>
      <w:r w:rsidRPr="007962F1">
        <w:rPr>
          <w:lang w:val="en-US"/>
        </w:rPr>
        <w:t xml:space="preserve">Remarkably, </w:t>
      </w:r>
      <w:r w:rsidR="00C66B6F" w:rsidRPr="007962F1">
        <w:t>t</w:t>
      </w:r>
      <w:r w:rsidR="0013288F" w:rsidRPr="007962F1">
        <w:t xml:space="preserve">he reaction with 4-methyl </w:t>
      </w:r>
      <w:r w:rsidR="0013288F" w:rsidRPr="007962F1">
        <w:lastRenderedPageBreak/>
        <w:t>pyridines (</w:t>
      </w:r>
      <w:r w:rsidR="0013288F" w:rsidRPr="007962F1">
        <w:rPr>
          <w:b/>
        </w:rPr>
        <w:t>3</w:t>
      </w:r>
      <w:r w:rsidR="00367885" w:rsidRPr="007962F1">
        <w:rPr>
          <w:b/>
        </w:rPr>
        <w:t>fe</w:t>
      </w:r>
      <w:r w:rsidR="00C66B6F" w:rsidRPr="007962F1">
        <w:t>) ga</w:t>
      </w:r>
      <w:r w:rsidR="0013288F" w:rsidRPr="007962F1">
        <w:t xml:space="preserve">ve longer reaction times (more than 72h) when catalyst </w:t>
      </w:r>
      <w:r w:rsidR="0013288F" w:rsidRPr="007962F1">
        <w:rPr>
          <w:b/>
        </w:rPr>
        <w:t>III</w:t>
      </w:r>
      <w:r w:rsidR="00C66B6F" w:rsidRPr="007962F1">
        <w:t xml:space="preserve"> was used.</w:t>
      </w:r>
      <w:r w:rsidR="0013288F" w:rsidRPr="007962F1">
        <w:t xml:space="preserve"> For this reason catalyst </w:t>
      </w:r>
      <w:r w:rsidR="0013288F" w:rsidRPr="007962F1">
        <w:rPr>
          <w:b/>
        </w:rPr>
        <w:t>II</w:t>
      </w:r>
      <w:r w:rsidR="0013288F" w:rsidRPr="007962F1">
        <w:t xml:space="preserve"> was used instead</w:t>
      </w:r>
      <w:r w:rsidR="00C66B6F" w:rsidRPr="007962F1">
        <w:t>,</w:t>
      </w:r>
      <w:r w:rsidR="0013288F" w:rsidRPr="007962F1">
        <w:t xml:space="preserve"> giving good yields and very good stereoselectivities</w:t>
      </w:r>
      <w:r w:rsidR="0013288F" w:rsidRPr="007962F1">
        <w:rPr>
          <w:lang w:val="en-US"/>
        </w:rPr>
        <w:t xml:space="preserve">, </w:t>
      </w:r>
      <w:r w:rsidRPr="007962F1">
        <w:rPr>
          <w:lang w:val="en-US"/>
        </w:rPr>
        <w:t>while 3-nitro-6-methylpyridine was unreactive (</w:t>
      </w:r>
      <w:r w:rsidR="0013288F" w:rsidRPr="007962F1">
        <w:rPr>
          <w:b/>
          <w:bCs/>
          <w:lang w:val="en-US"/>
        </w:rPr>
        <w:t>3</w:t>
      </w:r>
      <w:r w:rsidR="00367885" w:rsidRPr="007962F1">
        <w:rPr>
          <w:b/>
          <w:bCs/>
          <w:lang w:val="en-US"/>
        </w:rPr>
        <w:t>ga</w:t>
      </w:r>
      <w:r w:rsidR="00C66B6F" w:rsidRPr="007962F1">
        <w:rPr>
          <w:lang w:val="en-US"/>
        </w:rPr>
        <w:t>)</w:t>
      </w:r>
      <w:r w:rsidR="00D15662" w:rsidRPr="007962F1">
        <w:t xml:space="preserve">. </w:t>
      </w:r>
      <w:r w:rsidRPr="007962F1">
        <w:rPr>
          <w:lang w:val="en-US"/>
        </w:rPr>
        <w:t>During the preparation of this manuscript, Wang and coworkers reported the reaction of 3-nitro-4-methylpyridines with enals catalyzed by only a secondary amine in DMSO as the solvent. However, when the reaction was conducted under our reaction conditions but without Pd(OAc)</w:t>
      </w:r>
      <w:r w:rsidRPr="007962F1">
        <w:rPr>
          <w:vertAlign w:val="subscript"/>
          <w:lang w:val="en-US"/>
        </w:rPr>
        <w:t>2</w:t>
      </w:r>
      <w:r w:rsidRPr="007962F1">
        <w:rPr>
          <w:lang w:val="en-US"/>
        </w:rPr>
        <w:t xml:space="preserve">, the reaction failed to afford the addition product. This clearly indicates that synergistic catalysis was needed in our case. </w:t>
      </w:r>
    </w:p>
    <w:p w:rsidR="005A3E5B" w:rsidRPr="007962F1" w:rsidRDefault="005A3E5B" w:rsidP="005A3E5B">
      <w:pPr>
        <w:pStyle w:val="P1withIndendation"/>
      </w:pPr>
      <w:r w:rsidRPr="007962F1">
        <w:rPr>
          <w:lang w:val="en-US"/>
        </w:rPr>
        <w:t>In the case of benzoxazoles, our study shows the necessity of a strong electron-withdrawing group on the heteroarene</w:t>
      </w:r>
      <w:r w:rsidRPr="007962F1">
        <w:t xml:space="preserve">.  </w:t>
      </w:r>
    </w:p>
    <w:p w:rsidR="008476CB" w:rsidRPr="007962F1" w:rsidRDefault="00A60C00" w:rsidP="005A3E5B">
      <w:pPr>
        <w:pStyle w:val="P1withIndendation"/>
      </w:pPr>
      <w:r w:rsidRPr="007962F1">
        <w:rPr>
          <w:noProof/>
          <w:lang w:val="de-DE"/>
        </w:rPr>
        <w:object w:dxaOrig="1440" w:dyaOrig="1440">
          <v:shape id="_x0000_s1100" type="#_x0000_t75" style="position:absolute;left:0;text-align:left;margin-left:-3.9pt;margin-top:6.1pt;width:251.65pt;height:186.25pt;z-index:251655680;mso-position-horizontal-relative:text;mso-position-vertical-relative:text">
            <v:imagedata r:id="rId21" o:title=""/>
          </v:shape>
          <o:OLEObject Type="Embed" ProgID="ChemDraw.Document.6.0" ShapeID="_x0000_s1100" DrawAspect="Content" ObjectID="_1474715685" r:id="rId22"/>
        </w:object>
      </w:r>
    </w:p>
    <w:p w:rsidR="005A3E5B" w:rsidRPr="007962F1" w:rsidRDefault="005A3E5B" w:rsidP="005A3E5B">
      <w:pPr>
        <w:pStyle w:val="P1withIndendation"/>
      </w:pPr>
    </w:p>
    <w:p w:rsidR="005A3E5B" w:rsidRPr="007962F1" w:rsidRDefault="005A3E5B" w:rsidP="005A3E5B">
      <w:pPr>
        <w:pStyle w:val="P1withIndendation"/>
      </w:pPr>
    </w:p>
    <w:p w:rsidR="005A3E5B" w:rsidRPr="007962F1" w:rsidRDefault="005A3E5B" w:rsidP="005A3E5B">
      <w:pPr>
        <w:pStyle w:val="SchemeCaption"/>
        <w:rPr>
          <w:b/>
          <w:i/>
        </w:rPr>
      </w:pPr>
    </w:p>
    <w:p w:rsidR="005A3E5B" w:rsidRPr="007962F1" w:rsidRDefault="005A3E5B" w:rsidP="005A3E5B">
      <w:pPr>
        <w:pStyle w:val="SchemeCaption"/>
        <w:rPr>
          <w:b/>
          <w:i/>
        </w:rPr>
      </w:pPr>
    </w:p>
    <w:p w:rsidR="005A3E5B" w:rsidRPr="007962F1" w:rsidRDefault="005A3E5B" w:rsidP="005A3E5B">
      <w:pPr>
        <w:pStyle w:val="SchemeCaption"/>
        <w:rPr>
          <w:b/>
          <w:i/>
        </w:rPr>
      </w:pPr>
    </w:p>
    <w:p w:rsidR="00BB494E" w:rsidRPr="007962F1" w:rsidRDefault="00BB494E" w:rsidP="005A3E5B">
      <w:pPr>
        <w:pStyle w:val="SchemeCaption"/>
        <w:rPr>
          <w:b/>
          <w:i/>
        </w:rPr>
      </w:pPr>
    </w:p>
    <w:p w:rsidR="005A3E5B" w:rsidRPr="007962F1" w:rsidRDefault="005A3E5B" w:rsidP="005A3E5B">
      <w:pPr>
        <w:pStyle w:val="SchemeCaption"/>
      </w:pPr>
      <w:r w:rsidRPr="007962F1">
        <w:rPr>
          <w:b/>
          <w:i/>
        </w:rPr>
        <w:t>Scheme 2.</w:t>
      </w:r>
      <w:r w:rsidRPr="007962F1">
        <w:t xml:space="preserve"> Scope of the re</w:t>
      </w:r>
      <w:r w:rsidR="003E13D0" w:rsidRPr="007962F1">
        <w:t>action with several azaarenes. a</w:t>
      </w:r>
      <w:r w:rsidRPr="007962F1">
        <w:t xml:space="preserve">) </w:t>
      </w:r>
      <w:r w:rsidRPr="007962F1">
        <w:rPr>
          <w:b/>
          <w:bCs/>
        </w:rPr>
        <w:t>II</w:t>
      </w:r>
      <w:r w:rsidRPr="007962F1">
        <w:t xml:space="preserve"> as a catalyst</w:t>
      </w:r>
    </w:p>
    <w:p w:rsidR="005A3E5B" w:rsidRPr="007962F1" w:rsidRDefault="005A3E5B" w:rsidP="00C66B6F">
      <w:pPr>
        <w:pStyle w:val="TAMainText"/>
        <w:rPr>
          <w:rFonts w:ascii="Times New Roman" w:hAnsi="Times New Roman"/>
          <w:noProof w:val="0"/>
          <w:sz w:val="18"/>
          <w:szCs w:val="18"/>
        </w:rPr>
      </w:pPr>
      <w:r w:rsidRPr="007962F1">
        <w:rPr>
          <w:rFonts w:ascii="Times New Roman" w:hAnsi="Times New Roman"/>
          <w:noProof w:val="0"/>
          <w:sz w:val="18"/>
          <w:szCs w:val="18"/>
        </w:rPr>
        <w:t xml:space="preserve">The absolute configuration of the compounds was determined by comparing the optical rotation of compound </w:t>
      </w:r>
      <w:r w:rsidR="0013288F" w:rsidRPr="007962F1">
        <w:rPr>
          <w:rFonts w:ascii="Times New Roman" w:hAnsi="Times New Roman"/>
          <w:b/>
          <w:bCs/>
          <w:noProof w:val="0"/>
          <w:sz w:val="18"/>
          <w:szCs w:val="18"/>
        </w:rPr>
        <w:t>4</w:t>
      </w:r>
      <w:r w:rsidR="00367885" w:rsidRPr="007962F1">
        <w:rPr>
          <w:rFonts w:ascii="Times New Roman" w:hAnsi="Times New Roman"/>
          <w:b/>
          <w:bCs/>
          <w:noProof w:val="0"/>
          <w:sz w:val="18"/>
          <w:szCs w:val="18"/>
        </w:rPr>
        <w:t>fc</w:t>
      </w:r>
      <w:r w:rsidRPr="007962F1">
        <w:rPr>
          <w:rFonts w:ascii="Times New Roman" w:hAnsi="Times New Roman"/>
          <w:noProof w:val="0"/>
          <w:sz w:val="18"/>
          <w:szCs w:val="18"/>
        </w:rPr>
        <w:t xml:space="preserve"> </w:t>
      </w:r>
      <w:r w:rsidR="0013288F" w:rsidRPr="007962F1">
        <w:rPr>
          <w:rFonts w:ascii="Times New Roman" w:hAnsi="Times New Roman"/>
          <w:noProof w:val="0"/>
          <w:sz w:val="18"/>
          <w:szCs w:val="18"/>
        </w:rPr>
        <w:t xml:space="preserve">(remarkably the aldehyde products derived from pyridines are stable in the reaction conditions and after isolation, in contrast with the compounds derived from benzoxazoles) </w:t>
      </w:r>
      <w:r w:rsidRPr="007962F1">
        <w:rPr>
          <w:rFonts w:ascii="Times New Roman" w:hAnsi="Times New Roman"/>
          <w:noProof w:val="0"/>
          <w:sz w:val="18"/>
          <w:szCs w:val="18"/>
        </w:rPr>
        <w:t>with that of a compound previously reported by Wang (Scheme 3).</w:t>
      </w:r>
      <w:r w:rsidR="003D7401" w:rsidRPr="007962F1">
        <w:rPr>
          <w:rFonts w:ascii="Times New Roman" w:hAnsi="Times New Roman"/>
          <w:noProof w:val="0"/>
          <w:sz w:val="18"/>
          <w:szCs w:val="18"/>
          <w:vertAlign w:val="superscript"/>
        </w:rPr>
        <w:t>[12</w:t>
      </w:r>
      <w:r w:rsidRPr="007962F1">
        <w:rPr>
          <w:rFonts w:ascii="Times New Roman" w:hAnsi="Times New Roman"/>
          <w:noProof w:val="0"/>
          <w:sz w:val="18"/>
          <w:szCs w:val="18"/>
          <w:vertAlign w:val="superscript"/>
        </w:rPr>
        <w:t>]</w:t>
      </w:r>
      <w:r w:rsidRPr="007962F1">
        <w:rPr>
          <w:rFonts w:ascii="Times New Roman" w:hAnsi="Times New Roman"/>
          <w:noProof w:val="0"/>
          <w:sz w:val="18"/>
          <w:szCs w:val="18"/>
        </w:rPr>
        <w:t xml:space="preserve"> The absolute configuration was consistent with the mechanism proposed for the iminium activation with</w:t>
      </w:r>
      <w:r w:rsidR="00985782" w:rsidRPr="007962F1">
        <w:rPr>
          <w:rFonts w:ascii="Times New Roman" w:hAnsi="Times New Roman"/>
          <w:noProof w:val="0"/>
          <w:sz w:val="18"/>
          <w:szCs w:val="18"/>
        </w:rPr>
        <w:t xml:space="preserve"> the</w:t>
      </w:r>
      <w:r w:rsidRPr="007962F1">
        <w:rPr>
          <w:rFonts w:ascii="Times New Roman" w:hAnsi="Times New Roman"/>
          <w:noProof w:val="0"/>
          <w:sz w:val="18"/>
          <w:szCs w:val="18"/>
        </w:rPr>
        <w:t xml:space="preserve"> diphenylprolinol catalysts.</w:t>
      </w:r>
      <w:r w:rsidR="003D7401" w:rsidRPr="007962F1">
        <w:rPr>
          <w:rFonts w:ascii="Times New Roman" w:hAnsi="Times New Roman"/>
          <w:noProof w:val="0"/>
          <w:sz w:val="18"/>
          <w:szCs w:val="18"/>
          <w:vertAlign w:val="superscript"/>
        </w:rPr>
        <w:t>[13</w:t>
      </w:r>
      <w:r w:rsidRPr="007962F1">
        <w:rPr>
          <w:rFonts w:ascii="Times New Roman" w:hAnsi="Times New Roman"/>
          <w:noProof w:val="0"/>
          <w:sz w:val="18"/>
          <w:szCs w:val="18"/>
          <w:vertAlign w:val="superscript"/>
        </w:rPr>
        <w:t>]</w:t>
      </w:r>
      <w:r w:rsidRPr="007962F1">
        <w:rPr>
          <w:rFonts w:ascii="Times New Roman" w:hAnsi="Times New Roman"/>
          <w:noProof w:val="0"/>
          <w:sz w:val="18"/>
          <w:szCs w:val="18"/>
        </w:rPr>
        <w:t xml:space="preserve"> </w:t>
      </w:r>
    </w:p>
    <w:p w:rsidR="005A3E5B" w:rsidRPr="007962F1" w:rsidRDefault="00A60C00" w:rsidP="005A3E5B">
      <w:pPr>
        <w:pStyle w:val="TAMainText"/>
        <w:rPr>
          <w:rFonts w:ascii="Times New Roman" w:hAnsi="Times New Roman"/>
          <w:noProof w:val="0"/>
          <w:sz w:val="18"/>
          <w:szCs w:val="18"/>
        </w:rPr>
      </w:pPr>
      <w:r w:rsidRPr="007962F1">
        <w:object w:dxaOrig="1440" w:dyaOrig="1440">
          <v:shape id="_x0000_s1104" type="#_x0000_t75" style="position:absolute;left:0;text-align:left;margin-left:-2.6pt;margin-top:4.35pt;width:233.5pt;height:57.95pt;z-index:251660800;mso-position-horizontal-relative:text;mso-position-vertical-relative:text">
            <v:imagedata r:id="rId23" o:title=""/>
          </v:shape>
          <o:OLEObject Type="Embed" ProgID="ChemDraw.Document.6.0" ShapeID="_x0000_s1104" DrawAspect="Content" ObjectID="_1474715686" r:id="rId24"/>
        </w:object>
      </w:r>
    </w:p>
    <w:p w:rsidR="005A3E5B" w:rsidRPr="007962F1" w:rsidRDefault="005A3E5B" w:rsidP="005A3E5B">
      <w:pPr>
        <w:pStyle w:val="TAMainText"/>
        <w:rPr>
          <w:rFonts w:ascii="Times New Roman" w:hAnsi="Times New Roman"/>
          <w:noProof w:val="0"/>
          <w:sz w:val="18"/>
          <w:szCs w:val="18"/>
        </w:rPr>
      </w:pPr>
    </w:p>
    <w:p w:rsidR="005A3E5B" w:rsidRPr="007962F1" w:rsidRDefault="005A3E5B" w:rsidP="005A3E5B">
      <w:pPr>
        <w:pStyle w:val="TAMainText"/>
        <w:rPr>
          <w:rFonts w:ascii="Times New Roman" w:hAnsi="Times New Roman"/>
          <w:noProof w:val="0"/>
          <w:sz w:val="18"/>
          <w:szCs w:val="18"/>
        </w:rPr>
      </w:pPr>
    </w:p>
    <w:p w:rsidR="005A3E5B" w:rsidRPr="007962F1" w:rsidRDefault="005A3E5B" w:rsidP="005A3E5B">
      <w:pPr>
        <w:pStyle w:val="TAMainText"/>
        <w:rPr>
          <w:rFonts w:ascii="Times New Roman" w:hAnsi="Times New Roman"/>
          <w:noProof w:val="0"/>
          <w:sz w:val="18"/>
          <w:szCs w:val="18"/>
        </w:rPr>
      </w:pPr>
    </w:p>
    <w:p w:rsidR="00472BA3" w:rsidRPr="007962F1" w:rsidRDefault="00472BA3" w:rsidP="005A3E5B">
      <w:pPr>
        <w:pStyle w:val="SchemeCaption"/>
        <w:rPr>
          <w:b/>
          <w:i/>
        </w:rPr>
      </w:pPr>
    </w:p>
    <w:p w:rsidR="005A3E5B" w:rsidRPr="007962F1" w:rsidRDefault="005A3E5B" w:rsidP="005A3E5B">
      <w:pPr>
        <w:pStyle w:val="SchemeCaption"/>
      </w:pPr>
      <w:r w:rsidRPr="007962F1">
        <w:rPr>
          <w:b/>
          <w:i/>
        </w:rPr>
        <w:t>Scheme 3.</w:t>
      </w:r>
      <w:r w:rsidRPr="007962F1">
        <w:t xml:space="preserve"> Synthesis of </w:t>
      </w:r>
      <w:r w:rsidR="00B4136B" w:rsidRPr="007962F1">
        <w:rPr>
          <w:b/>
          <w:bCs/>
        </w:rPr>
        <w:t>4</w:t>
      </w:r>
      <w:r w:rsidR="00367885" w:rsidRPr="007962F1">
        <w:rPr>
          <w:b/>
          <w:bCs/>
        </w:rPr>
        <w:t>fc</w:t>
      </w:r>
    </w:p>
    <w:p w:rsidR="005A3E5B" w:rsidRPr="005A3E5B" w:rsidRDefault="005A3E5B" w:rsidP="005A3E5B">
      <w:pPr>
        <w:pStyle w:val="TAMainText"/>
        <w:rPr>
          <w:rFonts w:ascii="Times New Roman" w:hAnsi="Times New Roman"/>
          <w:bCs/>
          <w:sz w:val="18"/>
          <w:szCs w:val="18"/>
        </w:rPr>
      </w:pPr>
      <w:r w:rsidRPr="007962F1">
        <w:rPr>
          <w:rFonts w:ascii="Times New Roman" w:hAnsi="Times New Roman"/>
          <w:bCs/>
          <w:noProof w:val="0"/>
          <w:sz w:val="18"/>
          <w:szCs w:val="18"/>
        </w:rPr>
        <w:t>The relative configuration of compound</w:t>
      </w:r>
      <w:r w:rsidR="00985782" w:rsidRPr="007962F1">
        <w:rPr>
          <w:rFonts w:ascii="Times New Roman" w:hAnsi="Times New Roman"/>
          <w:bCs/>
          <w:noProof w:val="0"/>
          <w:sz w:val="18"/>
          <w:szCs w:val="18"/>
        </w:rPr>
        <w:t>s</w:t>
      </w:r>
      <w:r w:rsidRPr="007962F1">
        <w:rPr>
          <w:rFonts w:ascii="Times New Roman" w:hAnsi="Times New Roman"/>
          <w:bCs/>
          <w:noProof w:val="0"/>
          <w:sz w:val="18"/>
          <w:szCs w:val="18"/>
        </w:rPr>
        <w:t xml:space="preserve"> </w:t>
      </w:r>
      <w:r w:rsidRPr="007962F1">
        <w:rPr>
          <w:rFonts w:ascii="Times New Roman" w:hAnsi="Times New Roman"/>
          <w:b/>
          <w:noProof w:val="0"/>
          <w:sz w:val="18"/>
          <w:szCs w:val="18"/>
        </w:rPr>
        <w:t>3</w:t>
      </w:r>
      <w:r w:rsidRPr="007962F1">
        <w:rPr>
          <w:rFonts w:ascii="Times New Roman" w:hAnsi="Times New Roman"/>
          <w:bCs/>
          <w:noProof w:val="0"/>
          <w:sz w:val="18"/>
          <w:szCs w:val="18"/>
        </w:rPr>
        <w:t xml:space="preserve"> </w:t>
      </w:r>
      <w:r w:rsidR="00985782" w:rsidRPr="007962F1">
        <w:rPr>
          <w:rFonts w:ascii="Times New Roman" w:hAnsi="Times New Roman"/>
          <w:bCs/>
          <w:noProof w:val="0"/>
          <w:sz w:val="18"/>
          <w:szCs w:val="18"/>
        </w:rPr>
        <w:t xml:space="preserve">and </w:t>
      </w:r>
      <w:r w:rsidR="00985782" w:rsidRPr="007962F1">
        <w:rPr>
          <w:rFonts w:ascii="Times New Roman" w:hAnsi="Times New Roman"/>
          <w:b/>
          <w:noProof w:val="0"/>
          <w:sz w:val="18"/>
          <w:szCs w:val="18"/>
        </w:rPr>
        <w:t>4</w:t>
      </w:r>
      <w:r w:rsidR="00985782" w:rsidRPr="007962F1">
        <w:rPr>
          <w:rFonts w:ascii="Times New Roman" w:hAnsi="Times New Roman"/>
          <w:bCs/>
          <w:noProof w:val="0"/>
          <w:sz w:val="18"/>
          <w:szCs w:val="18"/>
        </w:rPr>
        <w:t xml:space="preserve"> </w:t>
      </w:r>
      <w:r w:rsidRPr="007962F1">
        <w:rPr>
          <w:rFonts w:ascii="Times New Roman" w:hAnsi="Times New Roman"/>
          <w:bCs/>
          <w:noProof w:val="0"/>
          <w:sz w:val="18"/>
          <w:szCs w:val="18"/>
        </w:rPr>
        <w:t xml:space="preserve">was ascertained by the X-ray diffraction analysis </w:t>
      </w:r>
      <w:r w:rsidR="00985782" w:rsidRPr="007962F1">
        <w:rPr>
          <w:rFonts w:ascii="Times New Roman" w:hAnsi="Times New Roman"/>
          <w:bCs/>
          <w:noProof w:val="0"/>
          <w:sz w:val="18"/>
          <w:szCs w:val="18"/>
        </w:rPr>
        <w:t>of a single crystal of the minor</w:t>
      </w:r>
      <w:r w:rsidRPr="007962F1">
        <w:rPr>
          <w:rFonts w:ascii="Times New Roman" w:hAnsi="Times New Roman"/>
          <w:bCs/>
          <w:noProof w:val="0"/>
          <w:sz w:val="18"/>
          <w:szCs w:val="18"/>
        </w:rPr>
        <w:t xml:space="preserve"> diastereomer of </w:t>
      </w:r>
      <w:r w:rsidRPr="007962F1">
        <w:rPr>
          <w:rFonts w:ascii="Times New Roman" w:hAnsi="Times New Roman"/>
          <w:b/>
          <w:bCs/>
          <w:noProof w:val="0"/>
          <w:sz w:val="18"/>
          <w:szCs w:val="18"/>
        </w:rPr>
        <w:t>3</w:t>
      </w:r>
      <w:r w:rsidR="00367885" w:rsidRPr="007962F1">
        <w:rPr>
          <w:rFonts w:ascii="Times New Roman" w:hAnsi="Times New Roman"/>
          <w:b/>
          <w:bCs/>
          <w:noProof w:val="0"/>
          <w:sz w:val="18"/>
          <w:szCs w:val="18"/>
        </w:rPr>
        <w:t>a</w:t>
      </w:r>
      <w:r w:rsidRPr="007962F1">
        <w:rPr>
          <w:rFonts w:ascii="Times New Roman" w:hAnsi="Times New Roman"/>
          <w:b/>
          <w:bCs/>
          <w:noProof w:val="0"/>
          <w:sz w:val="18"/>
          <w:szCs w:val="18"/>
        </w:rPr>
        <w:t>f</w:t>
      </w:r>
      <w:r w:rsidRPr="007962F1">
        <w:rPr>
          <w:rFonts w:ascii="Times New Roman" w:hAnsi="Times New Roman"/>
          <w:bCs/>
          <w:noProof w:val="0"/>
          <w:sz w:val="18"/>
          <w:szCs w:val="18"/>
        </w:rPr>
        <w:t>. The minor diastereomer of</w:t>
      </w:r>
      <w:r w:rsidRPr="005A3E5B">
        <w:rPr>
          <w:rFonts w:ascii="Times New Roman" w:hAnsi="Times New Roman"/>
          <w:bCs/>
          <w:noProof w:val="0"/>
          <w:sz w:val="18"/>
          <w:szCs w:val="18"/>
        </w:rPr>
        <w:t xml:space="preserve"> the addition product possessed an (</w:t>
      </w:r>
      <w:r w:rsidRPr="005A3E5B">
        <w:rPr>
          <w:rFonts w:ascii="Times New Roman" w:hAnsi="Times New Roman"/>
          <w:bCs/>
          <w:i/>
          <w:iCs/>
          <w:noProof w:val="0"/>
          <w:sz w:val="18"/>
          <w:szCs w:val="18"/>
        </w:rPr>
        <w:t>S,R</w:t>
      </w:r>
      <w:r w:rsidRPr="005A3E5B">
        <w:rPr>
          <w:rFonts w:ascii="Times New Roman" w:hAnsi="Times New Roman"/>
          <w:bCs/>
          <w:noProof w:val="0"/>
          <w:sz w:val="18"/>
          <w:szCs w:val="18"/>
        </w:rPr>
        <w:t>) relative configuration (Figure 2)</w:t>
      </w:r>
      <w:r w:rsidRPr="005A3E5B">
        <w:rPr>
          <w:rFonts w:ascii="Times New Roman" w:hAnsi="Times New Roman"/>
          <w:bCs/>
          <w:sz w:val="18"/>
          <w:szCs w:val="18"/>
        </w:rPr>
        <w:t xml:space="preserve">. </w:t>
      </w:r>
    </w:p>
    <w:p w:rsidR="005A3E5B" w:rsidRPr="005A3E5B" w:rsidRDefault="005A3E5B" w:rsidP="005A3E5B">
      <w:pPr>
        <w:pStyle w:val="TAMainText"/>
        <w:rPr>
          <w:rFonts w:ascii="Times New Roman" w:hAnsi="Times New Roman"/>
          <w:bCs/>
          <w:sz w:val="18"/>
          <w:szCs w:val="18"/>
        </w:rPr>
      </w:pPr>
    </w:p>
    <w:p w:rsidR="002D0B17" w:rsidRPr="005A3E5B" w:rsidRDefault="00712D8A" w:rsidP="005A3E5B">
      <w:pPr>
        <w:pStyle w:val="TAMainText"/>
        <w:rPr>
          <w:sz w:val="14"/>
          <w:szCs w:val="14"/>
        </w:rPr>
      </w:pPr>
      <w:r>
        <w:rPr>
          <w:sz w:val="14"/>
          <w:szCs w:val="14"/>
          <w:lang w:val="en-GB" w:eastAsia="en-GB"/>
        </w:rPr>
        <w:lastRenderedPageBreak/>
        <w:drawing>
          <wp:anchor distT="0" distB="0" distL="114300" distR="114300" simplePos="0" relativeHeight="251662848" behindDoc="1" locked="0" layoutInCell="1" allowOverlap="1">
            <wp:simplePos x="0" y="0"/>
            <wp:positionH relativeFrom="column">
              <wp:posOffset>-53975</wp:posOffset>
            </wp:positionH>
            <wp:positionV relativeFrom="paragraph">
              <wp:posOffset>50800</wp:posOffset>
            </wp:positionV>
            <wp:extent cx="3149600" cy="1403350"/>
            <wp:effectExtent l="0" t="0" r="0" b="6350"/>
            <wp:wrapTight wrapText="bothSides">
              <wp:wrapPolygon edited="0">
                <wp:start x="0" y="0"/>
                <wp:lineTo x="0" y="21405"/>
                <wp:lineTo x="21426" y="21405"/>
                <wp:lineTo x="21426" y="0"/>
                <wp:lineTo x="0" y="0"/>
              </wp:wrapPolygon>
            </wp:wrapTight>
            <wp:docPr id="81" name="Picture 7" descr="compou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ound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49600" cy="1403350"/>
                    </a:xfrm>
                    <a:prstGeom prst="rect">
                      <a:avLst/>
                    </a:prstGeom>
                    <a:noFill/>
                  </pic:spPr>
                </pic:pic>
              </a:graphicData>
            </a:graphic>
            <wp14:sizeRelH relativeFrom="page">
              <wp14:pctWidth>0</wp14:pctWidth>
            </wp14:sizeRelH>
            <wp14:sizeRelV relativeFrom="page">
              <wp14:pctHeight>0</wp14:pctHeight>
            </wp14:sizeRelV>
          </wp:anchor>
        </w:drawing>
      </w:r>
      <w:r w:rsidR="005A3E5B" w:rsidRPr="005A3E5B">
        <w:rPr>
          <w:b/>
          <w:bCs/>
          <w:sz w:val="14"/>
          <w:szCs w:val="14"/>
        </w:rPr>
        <w:t>Figure 2</w:t>
      </w:r>
      <w:r w:rsidR="005A3E5B" w:rsidRPr="005A3E5B">
        <w:rPr>
          <w:sz w:val="14"/>
          <w:szCs w:val="14"/>
        </w:rPr>
        <w:t xml:space="preserve">: X-ray structure of compound </w:t>
      </w:r>
      <w:r w:rsidR="005A3E5B" w:rsidRPr="005A3E5B">
        <w:rPr>
          <w:b/>
          <w:sz w:val="14"/>
          <w:szCs w:val="14"/>
        </w:rPr>
        <w:t>3</w:t>
      </w:r>
      <w:r w:rsidR="00230CA3">
        <w:rPr>
          <w:b/>
          <w:sz w:val="14"/>
          <w:szCs w:val="14"/>
        </w:rPr>
        <w:t>a</w:t>
      </w:r>
      <w:r w:rsidR="005A3E5B" w:rsidRPr="005A3E5B">
        <w:rPr>
          <w:b/>
          <w:sz w:val="14"/>
          <w:szCs w:val="14"/>
        </w:rPr>
        <w:t>f.</w:t>
      </w:r>
      <w:r w:rsidR="005A3E5B" w:rsidRPr="005A3E5B">
        <w:rPr>
          <w:sz w:val="14"/>
          <w:szCs w:val="14"/>
        </w:rPr>
        <w:t xml:space="preserve"> The displacement ellipsoids are drawn at the 50% probability level. </w:t>
      </w:r>
      <w:r w:rsidR="003D7401">
        <w:rPr>
          <w:sz w:val="14"/>
          <w:szCs w:val="14"/>
          <w:vertAlign w:val="superscript"/>
        </w:rPr>
        <w:t>[14</w:t>
      </w:r>
      <w:r w:rsidR="005A3E5B" w:rsidRPr="005A3E5B">
        <w:rPr>
          <w:sz w:val="14"/>
          <w:szCs w:val="14"/>
          <w:vertAlign w:val="superscript"/>
        </w:rPr>
        <w:t>]</w:t>
      </w:r>
    </w:p>
    <w:p w:rsidR="00BE114C" w:rsidRDefault="005A3E5B" w:rsidP="00BE114C">
      <w:pPr>
        <w:pStyle w:val="P1withIndendation"/>
      </w:pPr>
      <w:r w:rsidRPr="001943A4">
        <w:rPr>
          <w:lang w:val="en-US"/>
        </w:rPr>
        <w:t>In summary, we developed a new methodology for the synthesis of chiral azaarene derivatives based on the concept of synergistic catalysis. Two different catalytic cycles: (i) the metal-Lewis-acid activation of azaarenes and (ii) secondary-amine activation of enals worked in concordance to afford the final products in good yields and with moderate-to-excellent</w:t>
      </w:r>
      <w:r w:rsidRPr="001943A4" w:rsidDel="00081DAB">
        <w:rPr>
          <w:lang w:val="en-US"/>
        </w:rPr>
        <w:t xml:space="preserve"> </w:t>
      </w:r>
      <w:r w:rsidRPr="001943A4">
        <w:rPr>
          <w:lang w:val="en-US"/>
        </w:rPr>
        <w:t>enantioselectivity and low diastereoselectivity. The mechanistic studies, synthetic applications, and development of new organocascade reactions based on this concept are currently ongoing in our laboratory</w:t>
      </w:r>
      <w:r w:rsidR="00007A3F">
        <w:rPr>
          <w:lang w:val="en-US"/>
        </w:rPr>
        <w:t>.</w:t>
      </w:r>
    </w:p>
    <w:p w:rsidR="00714DB9" w:rsidRPr="00530284" w:rsidRDefault="006011C8" w:rsidP="001F4EE4">
      <w:pPr>
        <w:pStyle w:val="HExperimentalSection"/>
        <w:rPr>
          <w:lang w:val="en-GB"/>
        </w:rPr>
      </w:pPr>
      <w:r>
        <w:rPr>
          <w:lang w:val="en-GB"/>
        </w:rPr>
        <w:t>Experimental Section</w:t>
      </w:r>
    </w:p>
    <w:p w:rsidR="00CB2DCB" w:rsidRDefault="005A3E5B" w:rsidP="00390DD7">
      <w:pPr>
        <w:pStyle w:val="ExperimentalSection"/>
      </w:pPr>
      <w:r w:rsidRPr="003E13D0">
        <w:t xml:space="preserve">In a vial were added in this sequence: the organic catalyst (20 mol% equiv), </w:t>
      </w:r>
      <w:r w:rsidRPr="005A3E5B">
        <w:rPr>
          <w:lang w:val="de-DE"/>
        </w:rPr>
        <w:t>α</w:t>
      </w:r>
      <w:r w:rsidRPr="003E13D0">
        <w:t>,</w:t>
      </w:r>
      <w:r w:rsidRPr="005A3E5B">
        <w:rPr>
          <w:lang w:val="de-DE"/>
        </w:rPr>
        <w:t>β</w:t>
      </w:r>
      <w:r w:rsidRPr="003E13D0">
        <w:t>-unsaturated aldehyde (2 equiv), azaarene (1 equiv), Pd(OAc)</w:t>
      </w:r>
      <w:r w:rsidRPr="003E13D0">
        <w:rPr>
          <w:vertAlign w:val="subscript"/>
        </w:rPr>
        <w:t>2</w:t>
      </w:r>
      <w:r w:rsidRPr="003E13D0">
        <w:t xml:space="preserve"> (5 mol% equiv) and CH</w:t>
      </w:r>
      <w:r w:rsidRPr="003E13D0">
        <w:rPr>
          <w:vertAlign w:val="subscript"/>
        </w:rPr>
        <w:t>3</w:t>
      </w:r>
      <w:r w:rsidRPr="003E13D0">
        <w:t>CN (1 mL). To the crude solution was finally added TEA (50 mol% equiv). The reaction mixture was stirred at the temperature and time reported in Table 1 and then concentrated in vacuo. In a vial were then added the crude obtained after the first reaction, an excess of methyl triphenylphosphoranylidene acetate (&gt;3 equiv) and DCM as solvent. The reaction mixture was stirred at rt for 48 hours and then concentrated in vacuo. The crude product was purified by flash column chromatography (hexane/EtOAc) to obtain the desired product</w:t>
      </w:r>
      <w:r>
        <w:t>.</w:t>
      </w:r>
    </w:p>
    <w:p w:rsidR="006028F3" w:rsidRDefault="006028F3" w:rsidP="006028F3">
      <w:pPr>
        <w:pStyle w:val="ExperimentalSection"/>
      </w:pPr>
      <w:r w:rsidRPr="006028F3">
        <w:t xml:space="preserve">Single-crystal X-ray diffraction  data of </w:t>
      </w:r>
      <w:r w:rsidRPr="006028F3">
        <w:rPr>
          <w:b/>
          <w:bCs/>
        </w:rPr>
        <w:t>3</w:t>
      </w:r>
      <w:r w:rsidR="00367885">
        <w:rPr>
          <w:b/>
          <w:bCs/>
        </w:rPr>
        <w:t>a</w:t>
      </w:r>
      <w:r w:rsidRPr="006028F3">
        <w:rPr>
          <w:b/>
          <w:bCs/>
        </w:rPr>
        <w:t>f</w:t>
      </w:r>
      <w:r w:rsidRPr="006028F3">
        <w:t xml:space="preserve"> were collected at 100 K on Rigaku AFC12 goniometer equipped with an enhanced sensitivity (HG) Saturn 724+ detector mounted at the window of an FR-E+ Superbright MoK</w:t>
      </w:r>
      <w:r w:rsidRPr="006028F3">
        <w:sym w:font="Symbol" w:char="F061"/>
      </w:r>
      <w:r w:rsidRPr="006028F3">
        <w:t xml:space="preserve"> rotating anode generator with HF Varimax optics. </w:t>
      </w:r>
      <w:r w:rsidR="003D7401">
        <w:rPr>
          <w:vertAlign w:val="superscript"/>
        </w:rPr>
        <w:t>[15</w:t>
      </w:r>
      <w:r w:rsidRPr="006028F3">
        <w:rPr>
          <w:vertAlign w:val="superscript"/>
        </w:rPr>
        <w:t>]</w:t>
      </w:r>
      <w:r>
        <w:rPr>
          <w:vertAlign w:val="superscript"/>
        </w:rPr>
        <w:t xml:space="preserve"> </w:t>
      </w:r>
      <w:r w:rsidRPr="003E13D0">
        <w:t>Unit cell parameters were refined against all data. An empirical absorption correction was carried o</w:t>
      </w:r>
      <w:r w:rsidR="003D7401">
        <w:t>ut using CrystalClear software.</w:t>
      </w:r>
      <w:r w:rsidR="003D7401">
        <w:rPr>
          <w:vertAlign w:val="superscript"/>
        </w:rPr>
        <w:t>[16</w:t>
      </w:r>
      <w:r w:rsidRPr="003E13D0">
        <w:rPr>
          <w:vertAlign w:val="superscript"/>
        </w:rPr>
        <w:t>]</w:t>
      </w:r>
      <w:r w:rsidRPr="003E13D0">
        <w:t xml:space="preserve"> The crystal structure of </w:t>
      </w:r>
      <w:r w:rsidRPr="003E13D0">
        <w:rPr>
          <w:b/>
          <w:bCs/>
        </w:rPr>
        <w:t>3</w:t>
      </w:r>
      <w:r w:rsidR="00367885">
        <w:rPr>
          <w:b/>
          <w:bCs/>
        </w:rPr>
        <w:t>a</w:t>
      </w:r>
      <w:r w:rsidRPr="003E13D0">
        <w:rPr>
          <w:b/>
          <w:bCs/>
        </w:rPr>
        <w:t>f</w:t>
      </w:r>
      <w:r w:rsidRPr="003E13D0">
        <w:t xml:space="preserve"> was solved by charge flipping methods</w:t>
      </w:r>
      <w:r w:rsidR="003D7401">
        <w:rPr>
          <w:vertAlign w:val="superscript"/>
        </w:rPr>
        <w:t>[17</w:t>
      </w:r>
      <w:r w:rsidRPr="003E13D0">
        <w:rPr>
          <w:vertAlign w:val="superscript"/>
        </w:rPr>
        <w:t>]</w:t>
      </w:r>
      <w:r w:rsidRPr="003E13D0">
        <w:t xml:space="preserve"> and refined on Fo</w:t>
      </w:r>
      <w:r w:rsidRPr="003E13D0">
        <w:rPr>
          <w:vertAlign w:val="superscript"/>
        </w:rPr>
        <w:t>2</w:t>
      </w:r>
      <w:r w:rsidRPr="003E13D0">
        <w:t xml:space="preserve"> by full-matrix least-squares refinements using programs of the SHELX-2013 software.</w:t>
      </w:r>
      <w:r w:rsidR="003D7401">
        <w:rPr>
          <w:vertAlign w:val="superscript"/>
        </w:rPr>
        <w:t>[18</w:t>
      </w:r>
      <w:r w:rsidRPr="003E13D0">
        <w:rPr>
          <w:vertAlign w:val="superscript"/>
        </w:rPr>
        <w:t xml:space="preserve">] </w:t>
      </w:r>
      <w:r w:rsidRPr="003E13D0">
        <w:t>All non-hydrogen atoms were refined with anisotropic displacement parameters. All hydrogen atoms were added at calculated positions and refined using a riding model with isotropic displacement parameters based on the equivalent isotropic displacement parameter (U</w:t>
      </w:r>
      <w:r w:rsidRPr="003E13D0">
        <w:rPr>
          <w:vertAlign w:val="subscript"/>
        </w:rPr>
        <w:t>eq</w:t>
      </w:r>
      <w:r w:rsidRPr="003E13D0">
        <w:t>) of the parent atom</w:t>
      </w:r>
    </w:p>
    <w:p w:rsidR="00184380" w:rsidRDefault="00184380" w:rsidP="00184380">
      <w:pPr>
        <w:pStyle w:val="H1"/>
      </w:pPr>
      <w:r>
        <w:t>Acknowledgements</w:t>
      </w:r>
      <w:r w:rsidR="00827A4E">
        <w:t xml:space="preserve"> </w:t>
      </w:r>
    </w:p>
    <w:p w:rsidR="00184380" w:rsidRDefault="005A3E5B" w:rsidP="00390DD7">
      <w:pPr>
        <w:pStyle w:val="ExperimentalSection"/>
      </w:pPr>
      <w:r w:rsidRPr="00D14B5A">
        <w:t xml:space="preserve">V.C, M.M and R.R acknowledge the European Regional Development Fund (ERDF) for co-financing the </w:t>
      </w:r>
      <w:r w:rsidRPr="00D14B5A">
        <w:rPr>
          <w:rFonts w:ascii="Georgia" w:hAnsi="Georgia"/>
          <w:color w:val="1F497D"/>
        </w:rPr>
        <w:t xml:space="preserve">AI-CHEM </w:t>
      </w:r>
      <w:r w:rsidRPr="00D14B5A">
        <w:t>-Chem project (No. 4061) through the INTERREG IV A France (Channel) - England cross-border cooperation Programme.</w:t>
      </w:r>
      <w:r>
        <w:t xml:space="preserve"> We thank India Willans for her assistance in the synthesis of the starting materials </w:t>
      </w:r>
    </w:p>
    <w:p w:rsidR="00E24565" w:rsidRDefault="00E24565" w:rsidP="00E24565">
      <w:pPr>
        <w:pStyle w:val="Keywords"/>
      </w:pPr>
      <w:r w:rsidRPr="009B7AB7">
        <w:rPr>
          <w:b/>
        </w:rPr>
        <w:t>Keywords:</w:t>
      </w:r>
      <w:r w:rsidRPr="009B7AB7">
        <w:t xml:space="preserve"> </w:t>
      </w:r>
      <w:r w:rsidR="00007A3F">
        <w:t>synergistic catalysis</w:t>
      </w:r>
      <w:r w:rsidR="00007A3F" w:rsidRPr="009B7AB7">
        <w:t xml:space="preserve"> </w:t>
      </w:r>
      <w:r w:rsidR="00007A3F" w:rsidRPr="0012678B">
        <w:rPr>
          <w:b/>
        </w:rPr>
        <w:t>·</w:t>
      </w:r>
      <w:r w:rsidR="00007A3F" w:rsidRPr="009B7AB7">
        <w:t xml:space="preserve"> </w:t>
      </w:r>
      <w:r w:rsidR="00007A3F">
        <w:t>iminium catalysis</w:t>
      </w:r>
      <w:r w:rsidR="00007A3F" w:rsidRPr="009B7AB7">
        <w:t xml:space="preserve"> </w:t>
      </w:r>
      <w:r w:rsidR="00007A3F" w:rsidRPr="0012678B">
        <w:rPr>
          <w:b/>
        </w:rPr>
        <w:t>·</w:t>
      </w:r>
      <w:r w:rsidR="00007A3F" w:rsidRPr="009B7AB7">
        <w:t xml:space="preserve"> </w:t>
      </w:r>
      <w:r w:rsidR="00007A3F">
        <w:t>Michael addition</w:t>
      </w:r>
      <w:r w:rsidR="00007A3F" w:rsidRPr="009B7AB7">
        <w:t xml:space="preserve"> </w:t>
      </w:r>
      <w:r w:rsidR="00007A3F" w:rsidRPr="0012678B">
        <w:rPr>
          <w:b/>
        </w:rPr>
        <w:t>·</w:t>
      </w:r>
      <w:r w:rsidR="00007A3F" w:rsidRPr="009B7AB7">
        <w:t xml:space="preserve"> </w:t>
      </w:r>
      <w:r w:rsidR="00007A3F">
        <w:t>alkyl azaarenes</w:t>
      </w:r>
      <w:r w:rsidR="00007A3F" w:rsidRPr="009B7AB7">
        <w:t xml:space="preserve"> </w:t>
      </w:r>
      <w:r w:rsidR="00007A3F" w:rsidRPr="0012678B">
        <w:rPr>
          <w:b/>
        </w:rPr>
        <w:t>·</w:t>
      </w:r>
      <w:r w:rsidR="00007A3F" w:rsidRPr="009B7AB7">
        <w:t xml:space="preserve"> </w:t>
      </w:r>
      <w:r w:rsidR="00007A3F">
        <w:t>Pd catalysis</w:t>
      </w:r>
    </w:p>
    <w:p w:rsidR="005A3E5B" w:rsidRPr="00CD6855" w:rsidRDefault="005A3E5B" w:rsidP="005A3E5B">
      <w:pPr>
        <w:pStyle w:val="References"/>
        <w:pBdr>
          <w:top w:val="single" w:sz="12" w:space="1" w:color="999999"/>
        </w:pBdr>
      </w:pPr>
      <w:r w:rsidRPr="00CD6855">
        <w:t>[1]</w:t>
      </w:r>
      <w:r w:rsidRPr="00CD6855">
        <w:tab/>
        <w:t xml:space="preserve">For an excellent review about synergistic catalysis see:  A. E. Allen, D. W. C. MacMillan, </w:t>
      </w:r>
      <w:r w:rsidRPr="00CD6855">
        <w:rPr>
          <w:i/>
        </w:rPr>
        <w:t xml:space="preserve">Chem. Sci. </w:t>
      </w:r>
      <w:r w:rsidRPr="00CD6855">
        <w:rPr>
          <w:b/>
        </w:rPr>
        <w:t>2012</w:t>
      </w:r>
      <w:r w:rsidRPr="00CD6855">
        <w:t xml:space="preserve">, </w:t>
      </w:r>
      <w:r w:rsidRPr="00CD6855">
        <w:rPr>
          <w:i/>
        </w:rPr>
        <w:t>3</w:t>
      </w:r>
      <w:r w:rsidRPr="00CD6855">
        <w:t>, 633-658</w:t>
      </w:r>
    </w:p>
    <w:p w:rsidR="005A3E5B" w:rsidRDefault="005A3E5B" w:rsidP="005A3E5B">
      <w:pPr>
        <w:pStyle w:val="References"/>
        <w:pBdr>
          <w:top w:val="single" w:sz="12" w:space="1" w:color="999999"/>
        </w:pBdr>
      </w:pPr>
      <w:r>
        <w:t>[2]</w:t>
      </w:r>
      <w:r>
        <w:tab/>
        <w:t xml:space="preserve">For recent reviews of organocatalysis see: </w:t>
      </w:r>
      <w:r w:rsidRPr="00363AAC">
        <w:t xml:space="preserve">a) </w:t>
      </w:r>
      <w:r w:rsidR="00BC46E9">
        <w:t>A. Moyano,</w:t>
      </w:r>
      <w:r>
        <w:t xml:space="preserve"> </w:t>
      </w:r>
      <w:r w:rsidR="00BC46E9">
        <w:t xml:space="preserve">R. </w:t>
      </w:r>
      <w:r w:rsidRPr="00363AAC">
        <w:t xml:space="preserve">Rios, </w:t>
      </w:r>
      <w:r w:rsidRPr="00714958">
        <w:rPr>
          <w:i/>
          <w:iCs/>
        </w:rPr>
        <w:t>Chem. Rev.</w:t>
      </w:r>
      <w:r w:rsidRPr="00363AAC">
        <w:t xml:space="preserve"> </w:t>
      </w:r>
      <w:r w:rsidRPr="00714958">
        <w:rPr>
          <w:b/>
          <w:bCs/>
        </w:rPr>
        <w:t>2011</w:t>
      </w:r>
      <w:r w:rsidRPr="00363AAC">
        <w:t xml:space="preserve">, </w:t>
      </w:r>
      <w:r w:rsidRPr="00714958">
        <w:rPr>
          <w:i/>
          <w:iCs/>
        </w:rPr>
        <w:t>111</w:t>
      </w:r>
      <w:r w:rsidRPr="00363AAC">
        <w:t xml:space="preserve">, 4703-4832; b) </w:t>
      </w:r>
      <w:r w:rsidR="00BC46E9">
        <w:t xml:space="preserve">A.-N. </w:t>
      </w:r>
      <w:r w:rsidRPr="00363AAC">
        <w:t xml:space="preserve">Alba, </w:t>
      </w:r>
      <w:r w:rsidR="00BC46E9">
        <w:t xml:space="preserve">X. </w:t>
      </w:r>
      <w:r w:rsidRPr="00363AAC">
        <w:t xml:space="preserve">Companyo, </w:t>
      </w:r>
      <w:r w:rsidR="00BC46E9">
        <w:t xml:space="preserve">M. </w:t>
      </w:r>
      <w:r w:rsidRPr="00363AAC">
        <w:t xml:space="preserve">Viciano, </w:t>
      </w:r>
      <w:r w:rsidR="00BC46E9">
        <w:t xml:space="preserve">R. </w:t>
      </w:r>
      <w:r w:rsidRPr="00363AAC">
        <w:t xml:space="preserve">Rios,  </w:t>
      </w:r>
      <w:r w:rsidRPr="00714958">
        <w:rPr>
          <w:i/>
          <w:iCs/>
        </w:rPr>
        <w:t xml:space="preserve">Curr. Org. </w:t>
      </w:r>
      <w:r w:rsidRPr="00CD6855">
        <w:rPr>
          <w:i/>
          <w:iCs/>
        </w:rPr>
        <w:t>Chem</w:t>
      </w:r>
      <w:r w:rsidRPr="00CD6855">
        <w:t xml:space="preserve">. </w:t>
      </w:r>
      <w:r w:rsidRPr="00CD6855">
        <w:rPr>
          <w:b/>
          <w:bCs/>
        </w:rPr>
        <w:t>2009</w:t>
      </w:r>
      <w:r w:rsidRPr="00CD6855">
        <w:t xml:space="preserve">, </w:t>
      </w:r>
      <w:r w:rsidRPr="00CD6855">
        <w:rPr>
          <w:i/>
          <w:iCs/>
        </w:rPr>
        <w:t>13</w:t>
      </w:r>
      <w:r w:rsidRPr="00CD6855">
        <w:t xml:space="preserve">, 1432-1474; c) </w:t>
      </w:r>
      <w:r w:rsidR="00BC46E9">
        <w:t xml:space="preserve">D. </w:t>
      </w:r>
      <w:r w:rsidRPr="00CD6855">
        <w:t xml:space="preserve">Enders, </w:t>
      </w:r>
      <w:r w:rsidR="00BC46E9">
        <w:t xml:space="preserve">C. </w:t>
      </w:r>
      <w:r w:rsidRPr="00CD6855">
        <w:t xml:space="preserve">Grondal, </w:t>
      </w:r>
      <w:r w:rsidR="00BC46E9">
        <w:t xml:space="preserve">M. R. M. </w:t>
      </w:r>
      <w:r w:rsidRPr="00CD6855">
        <w:lastRenderedPageBreak/>
        <w:t xml:space="preserve">Huettl, </w:t>
      </w:r>
      <w:r w:rsidRPr="00CD6855">
        <w:rPr>
          <w:i/>
          <w:iCs/>
        </w:rPr>
        <w:t xml:space="preserve">Angew. </w:t>
      </w:r>
      <w:r>
        <w:rPr>
          <w:i/>
          <w:iCs/>
        </w:rPr>
        <w:t>Chem.</w:t>
      </w:r>
      <w:r w:rsidRPr="00714958">
        <w:rPr>
          <w:i/>
          <w:iCs/>
        </w:rPr>
        <w:t xml:space="preserve"> Int. Ed</w:t>
      </w:r>
      <w:r w:rsidRPr="00363AAC">
        <w:t xml:space="preserve">. </w:t>
      </w:r>
      <w:r w:rsidRPr="00714958">
        <w:rPr>
          <w:b/>
          <w:bCs/>
        </w:rPr>
        <w:t>2007</w:t>
      </w:r>
      <w:r w:rsidRPr="00363AAC">
        <w:t xml:space="preserve">, </w:t>
      </w:r>
      <w:r w:rsidRPr="00714958">
        <w:rPr>
          <w:i/>
          <w:iCs/>
        </w:rPr>
        <w:t>46</w:t>
      </w:r>
      <w:r>
        <w:t xml:space="preserve">, 1570-1581, d) H. Pellissier, </w:t>
      </w:r>
      <w:r w:rsidRPr="00A771F5">
        <w:rPr>
          <w:i/>
          <w:iCs/>
        </w:rPr>
        <w:t xml:space="preserve">Terahedron </w:t>
      </w:r>
      <w:r w:rsidRPr="00A771F5">
        <w:rPr>
          <w:b/>
          <w:bCs/>
        </w:rPr>
        <w:t>2012</w:t>
      </w:r>
      <w:r>
        <w:t xml:space="preserve">, 68, 2197-2232. </w:t>
      </w:r>
    </w:p>
    <w:p w:rsidR="00007A3F" w:rsidRDefault="00007A3F" w:rsidP="005A3E5B">
      <w:pPr>
        <w:pStyle w:val="References"/>
        <w:pBdr>
          <w:top w:val="single" w:sz="12" w:space="1" w:color="999999"/>
        </w:pBdr>
      </w:pPr>
      <w:r>
        <w:t>[3]</w:t>
      </w:r>
      <w:r>
        <w:tab/>
        <w:t xml:space="preserve">(a) H. Miyabe and Y. Takemoto, </w:t>
      </w:r>
      <w:r w:rsidRPr="00007A3F">
        <w:rPr>
          <w:i/>
        </w:rPr>
        <w:t>Bull. Chem. Soc. Jpn.,</w:t>
      </w:r>
      <w:r>
        <w:t xml:space="preserve"> </w:t>
      </w:r>
      <w:r w:rsidRPr="00007A3F">
        <w:rPr>
          <w:b/>
        </w:rPr>
        <w:t>2008</w:t>
      </w:r>
      <w:r>
        <w:t xml:space="preserve">, </w:t>
      </w:r>
      <w:r w:rsidRPr="00007A3F">
        <w:rPr>
          <w:i/>
        </w:rPr>
        <w:t>81</w:t>
      </w:r>
      <w:r>
        <w:t xml:space="preserve">, 785; (b) S. J. Connon, </w:t>
      </w:r>
      <w:r w:rsidRPr="00007A3F">
        <w:rPr>
          <w:i/>
        </w:rPr>
        <w:t>Chem. Commun</w:t>
      </w:r>
      <w:r>
        <w:t xml:space="preserve">., </w:t>
      </w:r>
      <w:r w:rsidRPr="00007A3F">
        <w:rPr>
          <w:b/>
        </w:rPr>
        <w:t>2008</w:t>
      </w:r>
      <w:r>
        <w:t>, 2499.</w:t>
      </w:r>
    </w:p>
    <w:p w:rsidR="005A3E5B" w:rsidRPr="0084545D" w:rsidRDefault="006028F3" w:rsidP="005A3E5B">
      <w:pPr>
        <w:pStyle w:val="References"/>
        <w:pBdr>
          <w:top w:val="single" w:sz="12" w:space="1" w:color="999999"/>
        </w:pBdr>
      </w:pPr>
      <w:r w:rsidRPr="0084545D">
        <w:t>[4</w:t>
      </w:r>
      <w:r w:rsidR="005A3E5B" w:rsidRPr="0084545D">
        <w:t>]</w:t>
      </w:r>
      <w:r w:rsidR="005A3E5B" w:rsidRPr="0084545D">
        <w:tab/>
        <w:t xml:space="preserve">I. Ibrahem, A. Cordova, </w:t>
      </w:r>
      <w:r w:rsidR="005A3E5B" w:rsidRPr="0084545D">
        <w:rPr>
          <w:i/>
          <w:iCs/>
        </w:rPr>
        <w:t>Angew. Chem. Int. Ed</w:t>
      </w:r>
      <w:r w:rsidR="005A3E5B" w:rsidRPr="0084545D">
        <w:t xml:space="preserve">. </w:t>
      </w:r>
      <w:r w:rsidR="005A3E5B" w:rsidRPr="0084545D">
        <w:rPr>
          <w:b/>
          <w:bCs/>
        </w:rPr>
        <w:t>2006</w:t>
      </w:r>
      <w:r w:rsidR="005A3E5B" w:rsidRPr="0084545D">
        <w:t xml:space="preserve">, </w:t>
      </w:r>
      <w:r w:rsidR="005A3E5B" w:rsidRPr="0084545D">
        <w:rPr>
          <w:i/>
          <w:iCs/>
        </w:rPr>
        <w:t>45</w:t>
      </w:r>
      <w:r w:rsidR="005A3E5B" w:rsidRPr="0084545D">
        <w:t>, 1952-1956.</w:t>
      </w:r>
    </w:p>
    <w:p w:rsidR="005A3E5B" w:rsidRPr="00D14B5A" w:rsidRDefault="006028F3" w:rsidP="005A3E5B">
      <w:pPr>
        <w:pStyle w:val="References"/>
        <w:pBdr>
          <w:top w:val="single" w:sz="12" w:space="1" w:color="999999"/>
        </w:pBdr>
      </w:pPr>
      <w:r w:rsidRPr="00C66B6F">
        <w:t>[5</w:t>
      </w:r>
      <w:r w:rsidR="005A3E5B" w:rsidRPr="00C66B6F">
        <w:t>]</w:t>
      </w:r>
      <w:r w:rsidR="005A3E5B" w:rsidRPr="00C66B6F">
        <w:tab/>
        <w:t xml:space="preserve">X. Zhao, D. Liu, F. Xie, Y. Liu, W. Zhang, </w:t>
      </w:r>
      <w:r w:rsidR="005A3E5B" w:rsidRPr="00C66B6F">
        <w:rPr>
          <w:i/>
          <w:iCs/>
        </w:rPr>
        <w:t xml:space="preserve">Org. </w:t>
      </w:r>
      <w:r w:rsidR="005A3E5B" w:rsidRPr="00A771F5">
        <w:rPr>
          <w:i/>
          <w:iCs/>
        </w:rPr>
        <w:t>Biomol. Chem.</w:t>
      </w:r>
      <w:r w:rsidR="005A3E5B" w:rsidRPr="00D14B5A">
        <w:t xml:space="preserve">, </w:t>
      </w:r>
      <w:r w:rsidR="005A3E5B" w:rsidRPr="00A771F5">
        <w:rPr>
          <w:b/>
          <w:bCs/>
        </w:rPr>
        <w:t>2011</w:t>
      </w:r>
      <w:r w:rsidR="005A3E5B" w:rsidRPr="00D14B5A">
        <w:t xml:space="preserve">, </w:t>
      </w:r>
      <w:r w:rsidR="005A3E5B" w:rsidRPr="00A771F5">
        <w:rPr>
          <w:i/>
          <w:iCs/>
        </w:rPr>
        <w:t>9</w:t>
      </w:r>
      <w:r w:rsidR="005A3E5B" w:rsidRPr="00D14B5A">
        <w:t>, 1871</w:t>
      </w:r>
      <w:r w:rsidR="005A3E5B">
        <w:t>-1875</w:t>
      </w:r>
      <w:r w:rsidR="005A3E5B" w:rsidRPr="00D14B5A">
        <w:t>.</w:t>
      </w:r>
    </w:p>
    <w:p w:rsidR="005A3E5B" w:rsidRPr="00AA0AE4" w:rsidRDefault="006028F3" w:rsidP="005A3E5B">
      <w:pPr>
        <w:pStyle w:val="References"/>
        <w:pBdr>
          <w:top w:val="single" w:sz="12" w:space="1" w:color="999999"/>
        </w:pBdr>
        <w:rPr>
          <w:rFonts w:ascii="AdvPS497E2" w:hAnsi="AdvPS497E2" w:cs="AdvPS497E2"/>
          <w:szCs w:val="16"/>
          <w:lang w:eastAsia="zh-CN"/>
        </w:rPr>
      </w:pPr>
      <w:r>
        <w:t>[6</w:t>
      </w:r>
      <w:r w:rsidR="005A3E5B" w:rsidRPr="00AA0AE4">
        <w:t>]</w:t>
      </w:r>
      <w:r w:rsidR="005A3E5B" w:rsidRPr="00AA0AE4">
        <w:tab/>
        <w:t xml:space="preserve">See for exemple: a) </w:t>
      </w:r>
      <w:r w:rsidR="005A3E5B">
        <w:rPr>
          <w:rFonts w:ascii="AdvPS497E2" w:hAnsi="AdvPS497E2" w:cs="AdvPS497E2"/>
          <w:szCs w:val="16"/>
          <w:lang w:eastAsia="zh-CN"/>
        </w:rPr>
        <w:t xml:space="preserve">Q. Ding and J. Wu, </w:t>
      </w:r>
      <w:r w:rsidR="005A3E5B" w:rsidRPr="00A771F5">
        <w:rPr>
          <w:rFonts w:ascii="AdvPS497E3" w:hAnsi="AdvPS497E3" w:cs="AdvPS497E3"/>
          <w:i/>
          <w:iCs/>
          <w:szCs w:val="16"/>
          <w:lang w:eastAsia="zh-CN"/>
        </w:rPr>
        <w:t xml:space="preserve">Org. </w:t>
      </w:r>
      <w:r w:rsidR="005A3E5B" w:rsidRPr="00A771F5">
        <w:rPr>
          <w:rFonts w:ascii="AdvPS497E3" w:hAnsi="AdvPS497E3" w:cs="AdvPS497E3"/>
          <w:i/>
          <w:iCs/>
          <w:szCs w:val="16"/>
          <w:lang w:val="de-DE" w:eastAsia="zh-CN"/>
        </w:rPr>
        <w:t>Lett.</w:t>
      </w:r>
      <w:r w:rsidR="005A3E5B" w:rsidRPr="00AA0AE4">
        <w:rPr>
          <w:rFonts w:ascii="AdvPS497E2" w:hAnsi="AdvPS497E2" w:cs="AdvPS497E2"/>
          <w:szCs w:val="16"/>
          <w:lang w:val="de-DE" w:eastAsia="zh-CN"/>
        </w:rPr>
        <w:t xml:space="preserve">, </w:t>
      </w:r>
      <w:r w:rsidR="005A3E5B" w:rsidRPr="00A771F5">
        <w:rPr>
          <w:rFonts w:ascii="AdvPS497E2" w:hAnsi="AdvPS497E2" w:cs="AdvPS497E2"/>
          <w:b/>
          <w:bCs/>
          <w:szCs w:val="16"/>
          <w:lang w:val="de-DE" w:eastAsia="zh-CN"/>
        </w:rPr>
        <w:t>2007</w:t>
      </w:r>
      <w:r w:rsidR="005A3E5B" w:rsidRPr="00AA0AE4">
        <w:rPr>
          <w:rFonts w:ascii="AdvPS497E2" w:hAnsi="AdvPS497E2" w:cs="AdvPS497E2"/>
          <w:szCs w:val="16"/>
          <w:lang w:val="de-DE" w:eastAsia="zh-CN"/>
        </w:rPr>
        <w:t xml:space="preserve">, </w:t>
      </w:r>
      <w:r w:rsidR="005A3E5B" w:rsidRPr="00A771F5">
        <w:rPr>
          <w:rFonts w:ascii="AdvPS497E4" w:hAnsi="AdvPS497E4" w:cs="AdvPS497E4"/>
          <w:i/>
          <w:iCs/>
          <w:szCs w:val="16"/>
          <w:lang w:val="de-DE" w:eastAsia="zh-CN"/>
        </w:rPr>
        <w:t>9</w:t>
      </w:r>
      <w:r w:rsidR="005A3E5B" w:rsidRPr="00AA0AE4">
        <w:rPr>
          <w:rFonts w:ascii="AdvPS497E2" w:hAnsi="AdvPS497E2" w:cs="AdvPS497E2"/>
          <w:szCs w:val="16"/>
          <w:lang w:val="de-DE" w:eastAsia="zh-CN"/>
        </w:rPr>
        <w:t>, 4959</w:t>
      </w:r>
      <w:r w:rsidR="005A3E5B">
        <w:rPr>
          <w:rFonts w:ascii="AdvPS497E2" w:hAnsi="AdvPS497E2" w:cs="AdvPS497E2"/>
          <w:szCs w:val="16"/>
          <w:lang w:val="de-DE" w:eastAsia="zh-CN"/>
        </w:rPr>
        <w:t>-4962</w:t>
      </w:r>
      <w:r w:rsidR="005A3E5B" w:rsidRPr="00AA0AE4">
        <w:rPr>
          <w:rFonts w:ascii="AdvPS497E2" w:hAnsi="AdvPS497E2" w:cs="AdvPS497E2"/>
          <w:szCs w:val="16"/>
          <w:lang w:val="de-DE" w:eastAsia="zh-CN"/>
        </w:rPr>
        <w:t xml:space="preserve">; b) A. E. Allen and D. W. C. MacMillan, </w:t>
      </w:r>
      <w:r w:rsidR="005A3E5B" w:rsidRPr="00A771F5">
        <w:rPr>
          <w:rFonts w:ascii="AdvPS497E2" w:hAnsi="AdvPS497E2" w:cs="AdvPS497E2"/>
          <w:i/>
          <w:iCs/>
          <w:szCs w:val="16"/>
          <w:lang w:val="de-DE" w:eastAsia="zh-CN"/>
        </w:rPr>
        <w:t xml:space="preserve">J. Am. </w:t>
      </w:r>
      <w:r w:rsidR="005A3E5B" w:rsidRPr="00A771F5">
        <w:rPr>
          <w:rFonts w:ascii="AdvPS497E2" w:hAnsi="AdvPS497E2" w:cs="AdvPS497E2"/>
          <w:i/>
          <w:iCs/>
          <w:szCs w:val="16"/>
          <w:lang w:eastAsia="zh-CN"/>
        </w:rPr>
        <w:t>Chem. Soc</w:t>
      </w:r>
      <w:r w:rsidR="005A3E5B" w:rsidRPr="00AA0AE4">
        <w:rPr>
          <w:rFonts w:ascii="AdvPS497E2" w:hAnsi="AdvPS497E2" w:cs="AdvPS497E2"/>
          <w:szCs w:val="16"/>
          <w:lang w:eastAsia="zh-CN"/>
        </w:rPr>
        <w:t xml:space="preserve">., </w:t>
      </w:r>
      <w:r w:rsidR="005A3E5B" w:rsidRPr="00A771F5">
        <w:rPr>
          <w:rFonts w:ascii="AdvPS497E2" w:hAnsi="AdvPS497E2" w:cs="AdvPS497E2"/>
          <w:b/>
          <w:bCs/>
          <w:szCs w:val="16"/>
          <w:lang w:eastAsia="zh-CN"/>
        </w:rPr>
        <w:t>2010</w:t>
      </w:r>
      <w:r w:rsidR="005A3E5B" w:rsidRPr="00AA0AE4">
        <w:rPr>
          <w:rFonts w:ascii="AdvPS497E2" w:hAnsi="AdvPS497E2" w:cs="AdvPS497E2"/>
          <w:szCs w:val="16"/>
          <w:lang w:eastAsia="zh-CN"/>
        </w:rPr>
        <w:t xml:space="preserve">, </w:t>
      </w:r>
      <w:r w:rsidR="005A3E5B" w:rsidRPr="00A771F5">
        <w:rPr>
          <w:rFonts w:ascii="AdvPS497E2" w:hAnsi="AdvPS497E2" w:cs="AdvPS497E2"/>
          <w:i/>
          <w:iCs/>
          <w:szCs w:val="16"/>
          <w:lang w:eastAsia="zh-CN"/>
        </w:rPr>
        <w:t>132</w:t>
      </w:r>
      <w:r w:rsidR="005A3E5B" w:rsidRPr="00AA0AE4">
        <w:rPr>
          <w:rFonts w:ascii="AdvPS497E2" w:hAnsi="AdvPS497E2" w:cs="AdvPS497E2"/>
          <w:szCs w:val="16"/>
          <w:lang w:eastAsia="zh-CN"/>
        </w:rPr>
        <w:t>,</w:t>
      </w:r>
      <w:r w:rsidR="005A3E5B">
        <w:rPr>
          <w:rFonts w:ascii="AdvPS497E2" w:hAnsi="AdvPS497E2" w:cs="AdvPS497E2"/>
          <w:szCs w:val="16"/>
          <w:lang w:eastAsia="zh-CN"/>
        </w:rPr>
        <w:t xml:space="preserve"> </w:t>
      </w:r>
      <w:r w:rsidR="005A3E5B" w:rsidRPr="00AA0AE4">
        <w:rPr>
          <w:rFonts w:ascii="AdvPS497E2" w:hAnsi="AdvPS497E2" w:cs="AdvPS497E2"/>
          <w:szCs w:val="16"/>
          <w:lang w:eastAsia="zh-CN"/>
        </w:rPr>
        <w:t>4986</w:t>
      </w:r>
      <w:r w:rsidR="005A3E5B">
        <w:rPr>
          <w:rFonts w:ascii="AdvPS497E2" w:hAnsi="AdvPS497E2" w:cs="AdvPS497E2"/>
          <w:szCs w:val="16"/>
          <w:lang w:eastAsia="zh-CN"/>
        </w:rPr>
        <w:t xml:space="preserve">-4987; c) </w:t>
      </w:r>
      <w:r w:rsidR="005A3E5B" w:rsidRPr="00AA0AE4">
        <w:rPr>
          <w:rFonts w:ascii="AdvPS497E2" w:hAnsi="AdvPS497E2" w:cs="AdvPS497E2"/>
          <w:szCs w:val="16"/>
          <w:lang w:eastAsia="zh-CN"/>
        </w:rPr>
        <w:t xml:space="preserve">M. Ikeda, Y. Miyake and Y. Nishibayashi, </w:t>
      </w:r>
      <w:r w:rsidR="005A3E5B" w:rsidRPr="00305E34">
        <w:rPr>
          <w:rFonts w:ascii="AdvPS497E2" w:hAnsi="AdvPS497E2" w:cs="AdvPS497E2"/>
          <w:i/>
          <w:iCs/>
          <w:szCs w:val="16"/>
          <w:lang w:eastAsia="zh-CN"/>
        </w:rPr>
        <w:t>Angew. Chem., Int. Ed</w:t>
      </w:r>
      <w:r w:rsidR="005A3E5B" w:rsidRPr="00AA0AE4">
        <w:rPr>
          <w:rFonts w:ascii="AdvPS497E2" w:hAnsi="AdvPS497E2" w:cs="AdvPS497E2"/>
          <w:szCs w:val="16"/>
          <w:lang w:eastAsia="zh-CN"/>
        </w:rPr>
        <w:t>.,</w:t>
      </w:r>
      <w:r w:rsidR="005A3E5B">
        <w:rPr>
          <w:rFonts w:ascii="AdvPS497E2" w:hAnsi="AdvPS497E2" w:cs="AdvPS497E2"/>
          <w:szCs w:val="16"/>
          <w:lang w:eastAsia="zh-CN"/>
        </w:rPr>
        <w:t xml:space="preserve"> </w:t>
      </w:r>
      <w:r w:rsidR="005A3E5B" w:rsidRPr="00305E34">
        <w:rPr>
          <w:rFonts w:ascii="AdvPS497E2" w:hAnsi="AdvPS497E2" w:cs="AdvPS497E2"/>
          <w:b/>
          <w:bCs/>
          <w:szCs w:val="16"/>
          <w:lang w:eastAsia="zh-CN"/>
        </w:rPr>
        <w:t>2010</w:t>
      </w:r>
      <w:r w:rsidR="005A3E5B">
        <w:rPr>
          <w:rFonts w:ascii="AdvPS497E2" w:hAnsi="AdvPS497E2" w:cs="AdvPS497E2"/>
          <w:szCs w:val="16"/>
          <w:lang w:eastAsia="zh-CN"/>
        </w:rPr>
        <w:t>, 49, 7289-7293; (d</w:t>
      </w:r>
      <w:r w:rsidR="005A3E5B" w:rsidRPr="00AA0AE4">
        <w:rPr>
          <w:rFonts w:ascii="AdvPS497E2" w:hAnsi="AdvPS497E2" w:cs="AdvPS497E2"/>
          <w:szCs w:val="16"/>
          <w:lang w:eastAsia="zh-CN"/>
        </w:rPr>
        <w:t>) A. Yoshida, M. Ikeda, G. Hattori, Y. Miyake and</w:t>
      </w:r>
      <w:r w:rsidR="005A3E5B">
        <w:rPr>
          <w:rFonts w:ascii="AdvPS497E2" w:hAnsi="AdvPS497E2" w:cs="AdvPS497E2"/>
          <w:szCs w:val="16"/>
          <w:lang w:eastAsia="zh-CN"/>
        </w:rPr>
        <w:t xml:space="preserve"> </w:t>
      </w:r>
      <w:r w:rsidR="005A3E5B" w:rsidRPr="00AA0AE4">
        <w:rPr>
          <w:rFonts w:ascii="AdvPS497E2" w:hAnsi="AdvPS497E2" w:cs="AdvPS497E2"/>
          <w:szCs w:val="16"/>
          <w:lang w:eastAsia="zh-CN"/>
        </w:rPr>
        <w:t>Y. Nishibayashi</w:t>
      </w:r>
      <w:r w:rsidR="005A3E5B" w:rsidRPr="00305E34">
        <w:rPr>
          <w:rFonts w:ascii="AdvPS497E2" w:hAnsi="AdvPS497E2" w:cs="AdvPS497E2"/>
          <w:i/>
          <w:iCs/>
          <w:szCs w:val="16"/>
          <w:lang w:eastAsia="zh-CN"/>
        </w:rPr>
        <w:t xml:space="preserve">, Org. </w:t>
      </w:r>
      <w:r w:rsidR="005A3E5B" w:rsidRPr="00305E34">
        <w:rPr>
          <w:rFonts w:ascii="AdvPS497E2" w:hAnsi="AdvPS497E2" w:cs="AdvPS497E2"/>
          <w:i/>
          <w:iCs/>
          <w:szCs w:val="16"/>
          <w:lang w:val="de-DE" w:eastAsia="zh-CN"/>
        </w:rPr>
        <w:t>Lett</w:t>
      </w:r>
      <w:r w:rsidR="005A3E5B" w:rsidRPr="00D14B5A">
        <w:rPr>
          <w:rFonts w:ascii="AdvPS497E2" w:hAnsi="AdvPS497E2" w:cs="AdvPS497E2"/>
          <w:szCs w:val="16"/>
          <w:lang w:val="de-DE" w:eastAsia="zh-CN"/>
        </w:rPr>
        <w:t xml:space="preserve">., </w:t>
      </w:r>
      <w:r w:rsidR="005A3E5B" w:rsidRPr="00305E34">
        <w:rPr>
          <w:rFonts w:ascii="AdvPS497E2" w:hAnsi="AdvPS497E2" w:cs="AdvPS497E2"/>
          <w:b/>
          <w:bCs/>
          <w:szCs w:val="16"/>
          <w:lang w:val="de-DE" w:eastAsia="zh-CN"/>
        </w:rPr>
        <w:t>2011</w:t>
      </w:r>
      <w:r w:rsidR="005A3E5B" w:rsidRPr="00D14B5A">
        <w:rPr>
          <w:rFonts w:ascii="AdvPS497E2" w:hAnsi="AdvPS497E2" w:cs="AdvPS497E2"/>
          <w:szCs w:val="16"/>
          <w:lang w:val="de-DE" w:eastAsia="zh-CN"/>
        </w:rPr>
        <w:t xml:space="preserve">, </w:t>
      </w:r>
      <w:r w:rsidR="005A3E5B" w:rsidRPr="00305E34">
        <w:rPr>
          <w:rFonts w:ascii="AdvPS497E2" w:hAnsi="AdvPS497E2" w:cs="AdvPS497E2"/>
          <w:i/>
          <w:iCs/>
          <w:szCs w:val="16"/>
          <w:lang w:val="de-DE" w:eastAsia="zh-CN"/>
        </w:rPr>
        <w:t>13</w:t>
      </w:r>
      <w:r w:rsidR="005A3E5B" w:rsidRPr="00D14B5A">
        <w:rPr>
          <w:rFonts w:ascii="AdvPS497E2" w:hAnsi="AdvPS497E2" w:cs="AdvPS497E2"/>
          <w:szCs w:val="16"/>
          <w:lang w:val="de-DE" w:eastAsia="zh-CN"/>
        </w:rPr>
        <w:t>, 592</w:t>
      </w:r>
      <w:r w:rsidR="005A3E5B">
        <w:rPr>
          <w:rFonts w:ascii="AdvPS497E2" w:hAnsi="AdvPS497E2" w:cs="AdvPS497E2"/>
          <w:szCs w:val="16"/>
          <w:lang w:val="de-DE" w:eastAsia="zh-CN"/>
        </w:rPr>
        <w:t>-595</w:t>
      </w:r>
      <w:r w:rsidR="005A3E5B" w:rsidRPr="00D14B5A">
        <w:rPr>
          <w:rFonts w:ascii="AdvPS497E2" w:hAnsi="AdvPS497E2" w:cs="AdvPS497E2"/>
          <w:szCs w:val="16"/>
          <w:lang w:val="de-DE" w:eastAsia="zh-CN"/>
        </w:rPr>
        <w:t xml:space="preserve">; e) M. P. Sibi and M. Hasegawa, </w:t>
      </w:r>
      <w:r w:rsidR="005A3E5B" w:rsidRPr="00305E34">
        <w:rPr>
          <w:rFonts w:ascii="AdvPS497E3" w:hAnsi="AdvPS497E3" w:cs="AdvPS497E3"/>
          <w:i/>
          <w:iCs/>
          <w:szCs w:val="16"/>
          <w:lang w:val="de-DE" w:eastAsia="zh-CN"/>
        </w:rPr>
        <w:t>J. Am. Chem. Soc</w:t>
      </w:r>
      <w:r w:rsidR="005A3E5B" w:rsidRPr="00D14B5A">
        <w:rPr>
          <w:rFonts w:ascii="AdvPS497E3" w:hAnsi="AdvPS497E3" w:cs="AdvPS497E3"/>
          <w:szCs w:val="16"/>
          <w:lang w:val="de-DE" w:eastAsia="zh-CN"/>
        </w:rPr>
        <w:t>.</w:t>
      </w:r>
      <w:r w:rsidR="005A3E5B" w:rsidRPr="00D14B5A">
        <w:rPr>
          <w:rFonts w:ascii="AdvPS497E2" w:hAnsi="AdvPS497E2" w:cs="AdvPS497E2"/>
          <w:szCs w:val="16"/>
          <w:lang w:val="de-DE" w:eastAsia="zh-CN"/>
        </w:rPr>
        <w:t xml:space="preserve">, </w:t>
      </w:r>
      <w:r w:rsidR="005A3E5B" w:rsidRPr="00305E34">
        <w:rPr>
          <w:rFonts w:ascii="AdvPS497E2" w:hAnsi="AdvPS497E2" w:cs="AdvPS497E2"/>
          <w:b/>
          <w:bCs/>
          <w:szCs w:val="16"/>
          <w:lang w:val="de-DE" w:eastAsia="zh-CN"/>
        </w:rPr>
        <w:t>2007</w:t>
      </w:r>
      <w:r w:rsidR="005A3E5B" w:rsidRPr="00D14B5A">
        <w:rPr>
          <w:rFonts w:ascii="AdvPS497E2" w:hAnsi="AdvPS497E2" w:cs="AdvPS497E2"/>
          <w:szCs w:val="16"/>
          <w:lang w:val="de-DE" w:eastAsia="zh-CN"/>
        </w:rPr>
        <w:t xml:space="preserve">, </w:t>
      </w:r>
      <w:r w:rsidR="005A3E5B" w:rsidRPr="00305E34">
        <w:rPr>
          <w:rFonts w:ascii="AdvPS497E4" w:hAnsi="AdvPS497E4" w:cs="AdvPS497E4"/>
          <w:i/>
          <w:iCs/>
          <w:szCs w:val="16"/>
          <w:lang w:val="de-DE" w:eastAsia="zh-CN"/>
        </w:rPr>
        <w:t>129</w:t>
      </w:r>
      <w:r w:rsidR="005A3E5B" w:rsidRPr="00D14B5A">
        <w:rPr>
          <w:rFonts w:ascii="AdvPS497E2" w:hAnsi="AdvPS497E2" w:cs="AdvPS497E2"/>
          <w:szCs w:val="16"/>
          <w:lang w:val="de-DE" w:eastAsia="zh-CN"/>
        </w:rPr>
        <w:t>, 4124</w:t>
      </w:r>
      <w:r w:rsidR="005A3E5B">
        <w:rPr>
          <w:rFonts w:ascii="AdvPS497E2" w:hAnsi="AdvPS497E2" w:cs="AdvPS497E2"/>
          <w:szCs w:val="16"/>
          <w:lang w:val="de-DE" w:eastAsia="zh-CN"/>
        </w:rPr>
        <w:t>-4125</w:t>
      </w:r>
      <w:r w:rsidR="005A3E5B" w:rsidRPr="00D14B5A">
        <w:rPr>
          <w:rFonts w:ascii="AdvPS497E2" w:hAnsi="AdvPS497E2" w:cs="AdvPS497E2"/>
          <w:szCs w:val="16"/>
          <w:lang w:val="de-DE" w:eastAsia="zh-CN"/>
        </w:rPr>
        <w:t xml:space="preserve">; f) </w:t>
      </w:r>
      <w:r w:rsidR="005A3E5B">
        <w:rPr>
          <w:rFonts w:ascii="AdvPS497E2" w:hAnsi="AdvPS497E2" w:cs="AdvPS497E2"/>
          <w:szCs w:val="16"/>
          <w:lang w:val="de-DE" w:eastAsia="zh-CN"/>
        </w:rPr>
        <w:t xml:space="preserve">A. E. Allen, </w:t>
      </w:r>
      <w:r w:rsidR="005A3E5B" w:rsidRPr="00D14B5A">
        <w:rPr>
          <w:rFonts w:ascii="AdvPS497E2" w:hAnsi="AdvPS497E2" w:cs="AdvPS497E2"/>
          <w:szCs w:val="16"/>
          <w:lang w:val="de-DE" w:eastAsia="zh-CN"/>
        </w:rPr>
        <w:t xml:space="preserve">D. W. C. MacMillan, </w:t>
      </w:r>
      <w:r w:rsidR="005A3E5B" w:rsidRPr="00305E34">
        <w:rPr>
          <w:rFonts w:ascii="AdvPS497E2" w:hAnsi="AdvPS497E2" w:cs="AdvPS497E2"/>
          <w:i/>
          <w:iCs/>
          <w:szCs w:val="16"/>
          <w:lang w:val="de-DE" w:eastAsia="zh-CN"/>
        </w:rPr>
        <w:t xml:space="preserve">J. Am. </w:t>
      </w:r>
      <w:r w:rsidR="005A3E5B" w:rsidRPr="00305E34">
        <w:rPr>
          <w:rFonts w:ascii="AdvPS497E2" w:hAnsi="AdvPS497E2" w:cs="AdvPS497E2"/>
          <w:i/>
          <w:iCs/>
          <w:szCs w:val="16"/>
          <w:lang w:eastAsia="zh-CN"/>
        </w:rPr>
        <w:t>Chem. Soc</w:t>
      </w:r>
      <w:r w:rsidR="005A3E5B" w:rsidRPr="00FF60EC">
        <w:rPr>
          <w:rFonts w:ascii="AdvPS497E2" w:hAnsi="AdvPS497E2" w:cs="AdvPS497E2"/>
          <w:szCs w:val="16"/>
          <w:lang w:eastAsia="zh-CN"/>
        </w:rPr>
        <w:t xml:space="preserve">., </w:t>
      </w:r>
      <w:r w:rsidR="005A3E5B" w:rsidRPr="00305E34">
        <w:rPr>
          <w:rFonts w:ascii="AdvPS497E2" w:hAnsi="AdvPS497E2" w:cs="AdvPS497E2"/>
          <w:b/>
          <w:bCs/>
          <w:szCs w:val="16"/>
          <w:lang w:eastAsia="zh-CN"/>
        </w:rPr>
        <w:t>2011</w:t>
      </w:r>
      <w:r w:rsidR="005A3E5B" w:rsidRPr="00FF60EC">
        <w:rPr>
          <w:rFonts w:ascii="AdvPS497E2" w:hAnsi="AdvPS497E2" w:cs="AdvPS497E2"/>
          <w:szCs w:val="16"/>
          <w:lang w:eastAsia="zh-CN"/>
        </w:rPr>
        <w:t xml:space="preserve">, </w:t>
      </w:r>
      <w:r w:rsidR="005A3E5B" w:rsidRPr="00305E34">
        <w:rPr>
          <w:rFonts w:ascii="AdvPS497E2" w:hAnsi="AdvPS497E2" w:cs="AdvPS497E2"/>
          <w:i/>
          <w:iCs/>
          <w:szCs w:val="16"/>
          <w:lang w:eastAsia="zh-CN"/>
        </w:rPr>
        <w:t>133</w:t>
      </w:r>
      <w:r w:rsidR="005A3E5B" w:rsidRPr="00FF60EC">
        <w:rPr>
          <w:rFonts w:ascii="AdvPS497E2" w:hAnsi="AdvPS497E2" w:cs="AdvPS497E2"/>
          <w:szCs w:val="16"/>
          <w:lang w:eastAsia="zh-CN"/>
        </w:rPr>
        <w:t>,</w:t>
      </w:r>
      <w:r w:rsidR="005A3E5B">
        <w:rPr>
          <w:rFonts w:ascii="AdvPS497E2" w:hAnsi="AdvPS497E2" w:cs="AdvPS497E2"/>
          <w:szCs w:val="16"/>
          <w:lang w:eastAsia="zh-CN"/>
        </w:rPr>
        <w:t xml:space="preserve"> </w:t>
      </w:r>
      <w:r w:rsidR="005A3E5B" w:rsidRPr="00FF60EC">
        <w:rPr>
          <w:rFonts w:ascii="AdvPS497E2" w:hAnsi="AdvPS497E2" w:cs="AdvPS497E2"/>
          <w:szCs w:val="16"/>
          <w:lang w:eastAsia="zh-CN"/>
        </w:rPr>
        <w:t>4260</w:t>
      </w:r>
      <w:r w:rsidR="005A3E5B">
        <w:rPr>
          <w:rFonts w:ascii="AdvPS497E2" w:hAnsi="AdvPS497E2" w:cs="AdvPS497E2"/>
          <w:szCs w:val="16"/>
          <w:lang w:eastAsia="zh-CN"/>
        </w:rPr>
        <w:t xml:space="preserve">-4263; g) D. A. Nicewicz and D. W. C. MacMillan, </w:t>
      </w:r>
      <w:r w:rsidR="005A3E5B" w:rsidRPr="00305E34">
        <w:rPr>
          <w:rFonts w:ascii="AdvPS497E3" w:hAnsi="AdvPS497E3" w:cs="AdvPS497E3"/>
          <w:i/>
          <w:iCs/>
          <w:szCs w:val="16"/>
          <w:lang w:eastAsia="zh-CN"/>
        </w:rPr>
        <w:t>Science</w:t>
      </w:r>
      <w:r w:rsidR="005A3E5B">
        <w:rPr>
          <w:rFonts w:ascii="AdvPS497E2" w:hAnsi="AdvPS497E2" w:cs="AdvPS497E2"/>
          <w:szCs w:val="16"/>
          <w:lang w:eastAsia="zh-CN"/>
        </w:rPr>
        <w:t xml:space="preserve">, </w:t>
      </w:r>
      <w:r w:rsidR="005A3E5B" w:rsidRPr="00305E34">
        <w:rPr>
          <w:rFonts w:ascii="AdvPS497E2" w:hAnsi="AdvPS497E2" w:cs="AdvPS497E2"/>
          <w:b/>
          <w:bCs/>
          <w:szCs w:val="16"/>
          <w:lang w:eastAsia="zh-CN"/>
        </w:rPr>
        <w:t>2008</w:t>
      </w:r>
      <w:r w:rsidR="005A3E5B">
        <w:rPr>
          <w:rFonts w:ascii="AdvPS497E2" w:hAnsi="AdvPS497E2" w:cs="AdvPS497E2"/>
          <w:szCs w:val="16"/>
          <w:lang w:eastAsia="zh-CN"/>
        </w:rPr>
        <w:t xml:space="preserve">, </w:t>
      </w:r>
      <w:r w:rsidR="005A3E5B" w:rsidRPr="00305E34">
        <w:rPr>
          <w:rFonts w:ascii="AdvPS497E4" w:hAnsi="AdvPS497E4" w:cs="AdvPS497E4"/>
          <w:i/>
          <w:iCs/>
          <w:szCs w:val="16"/>
          <w:lang w:eastAsia="zh-CN"/>
        </w:rPr>
        <w:t>322</w:t>
      </w:r>
      <w:r w:rsidR="005A3E5B">
        <w:rPr>
          <w:rFonts w:ascii="AdvPS497E2" w:hAnsi="AdvPS497E2" w:cs="AdvPS497E2"/>
          <w:szCs w:val="16"/>
          <w:lang w:eastAsia="zh-CN"/>
        </w:rPr>
        <w:t>, 77-80.</w:t>
      </w:r>
    </w:p>
    <w:p w:rsidR="003D7401" w:rsidRPr="007962F1" w:rsidRDefault="003D7401" w:rsidP="003D7401">
      <w:pPr>
        <w:pStyle w:val="References"/>
        <w:pBdr>
          <w:top w:val="single" w:sz="12" w:space="1" w:color="999999"/>
        </w:pBdr>
      </w:pPr>
      <w:r w:rsidRPr="00C66B6F">
        <w:rPr>
          <w:lang w:val="de-DE"/>
        </w:rPr>
        <w:t>[7]</w:t>
      </w:r>
      <w:r w:rsidRPr="00C66B6F">
        <w:rPr>
          <w:lang w:val="de-DE"/>
        </w:rPr>
        <w:tab/>
      </w:r>
      <w:r w:rsidRPr="007962F1">
        <w:rPr>
          <w:lang w:val="de-DE"/>
        </w:rPr>
        <w:t xml:space="preserve">a) G. Jiang, B. List </w:t>
      </w:r>
      <w:r w:rsidRPr="007962F1">
        <w:rPr>
          <w:i/>
          <w:lang w:val="de-DE"/>
        </w:rPr>
        <w:t>Angew. Chem. Int. Ed.</w:t>
      </w:r>
      <w:r w:rsidRPr="007962F1">
        <w:rPr>
          <w:lang w:val="de-DE"/>
        </w:rPr>
        <w:t xml:space="preserve"> </w:t>
      </w:r>
      <w:r w:rsidRPr="007962F1">
        <w:rPr>
          <w:b/>
          <w:lang w:val="de-DE"/>
        </w:rPr>
        <w:t>2011</w:t>
      </w:r>
      <w:r w:rsidRPr="007962F1">
        <w:rPr>
          <w:lang w:val="de-DE"/>
        </w:rPr>
        <w:t xml:space="preserve">, </w:t>
      </w:r>
      <w:r w:rsidRPr="007962F1">
        <w:rPr>
          <w:i/>
          <w:lang w:val="de-DE"/>
        </w:rPr>
        <w:t>50</w:t>
      </w:r>
      <w:r w:rsidRPr="007962F1">
        <w:rPr>
          <w:lang w:val="de-DE"/>
        </w:rPr>
        <w:t xml:space="preserve">, 9471-9474; b) </w:t>
      </w:r>
      <w:r w:rsidR="002A1017" w:rsidRPr="007962F1">
        <w:rPr>
          <w:lang w:val="de-DE"/>
        </w:rPr>
        <w:t xml:space="preserve">G. Jiang, R. Halder, Y. Fang, B. List </w:t>
      </w:r>
      <w:r w:rsidRPr="007962F1">
        <w:rPr>
          <w:i/>
          <w:lang w:val="de-DE"/>
        </w:rPr>
        <w:t>Angew. Chem. Int. Ed</w:t>
      </w:r>
      <w:r w:rsidRPr="007962F1">
        <w:rPr>
          <w:lang w:val="de-DE"/>
        </w:rPr>
        <w:t xml:space="preserve">. </w:t>
      </w:r>
      <w:r w:rsidRPr="007962F1">
        <w:rPr>
          <w:b/>
          <w:lang w:val="de-DE"/>
        </w:rPr>
        <w:t>2011</w:t>
      </w:r>
      <w:r w:rsidRPr="007962F1">
        <w:rPr>
          <w:lang w:val="de-DE"/>
        </w:rPr>
        <w:t xml:space="preserve">, </w:t>
      </w:r>
      <w:r w:rsidRPr="007962F1">
        <w:rPr>
          <w:i/>
          <w:lang w:val="de-DE"/>
        </w:rPr>
        <w:t>50</w:t>
      </w:r>
      <w:r w:rsidRPr="007962F1">
        <w:rPr>
          <w:lang w:val="de-DE"/>
        </w:rPr>
        <w:t xml:space="preserve">, 9752-9755; c) </w:t>
      </w:r>
      <w:r w:rsidR="002A1017" w:rsidRPr="007962F1">
        <w:rPr>
          <w:lang w:val="de-DE"/>
        </w:rPr>
        <w:t xml:space="preserve">S. Mukherjee, B. List </w:t>
      </w:r>
      <w:r w:rsidR="002A1017" w:rsidRPr="007962F1">
        <w:rPr>
          <w:i/>
          <w:lang w:val="de-DE"/>
        </w:rPr>
        <w:t xml:space="preserve">J. Am. </w:t>
      </w:r>
      <w:r w:rsidR="002A1017" w:rsidRPr="007962F1">
        <w:rPr>
          <w:i/>
        </w:rPr>
        <w:t>Chem. Soc.</w:t>
      </w:r>
      <w:r w:rsidR="002A1017" w:rsidRPr="007962F1">
        <w:t xml:space="preserve"> </w:t>
      </w:r>
      <w:r w:rsidR="002A1017" w:rsidRPr="007962F1">
        <w:rPr>
          <w:b/>
        </w:rPr>
        <w:t>2007</w:t>
      </w:r>
      <w:r w:rsidR="002A1017" w:rsidRPr="007962F1">
        <w:t xml:space="preserve">, </w:t>
      </w:r>
      <w:r w:rsidR="002A1017" w:rsidRPr="007962F1">
        <w:rPr>
          <w:i/>
        </w:rPr>
        <w:t>129</w:t>
      </w:r>
      <w:r w:rsidR="002A1017" w:rsidRPr="007962F1">
        <w:t xml:space="preserve">, 11336-11337; d) S. Liao, B. List </w:t>
      </w:r>
      <w:r w:rsidR="002A1017" w:rsidRPr="007962F1">
        <w:rPr>
          <w:i/>
        </w:rPr>
        <w:t>Angew. Chem. Int. Ed.</w:t>
      </w:r>
      <w:r w:rsidR="002A1017" w:rsidRPr="007962F1">
        <w:t xml:space="preserve"> </w:t>
      </w:r>
      <w:r w:rsidR="002A1017" w:rsidRPr="007962F1">
        <w:rPr>
          <w:b/>
        </w:rPr>
        <w:t>2010</w:t>
      </w:r>
      <w:r w:rsidR="002A1017" w:rsidRPr="007962F1">
        <w:t xml:space="preserve">, </w:t>
      </w:r>
      <w:r w:rsidR="002A1017" w:rsidRPr="007962F1">
        <w:rPr>
          <w:i/>
        </w:rPr>
        <w:t>49</w:t>
      </w:r>
      <w:r w:rsidR="002A1017" w:rsidRPr="007962F1">
        <w:t xml:space="preserve">, 628-631; e) G. Jiang, B. List </w:t>
      </w:r>
      <w:r w:rsidR="002A1017" w:rsidRPr="007962F1">
        <w:rPr>
          <w:i/>
        </w:rPr>
        <w:t>Adv. Synth. Catal.</w:t>
      </w:r>
      <w:r w:rsidR="002A1017" w:rsidRPr="007962F1">
        <w:t xml:space="preserve"> </w:t>
      </w:r>
      <w:r w:rsidR="002A1017" w:rsidRPr="007962F1">
        <w:rPr>
          <w:b/>
        </w:rPr>
        <w:t>2011</w:t>
      </w:r>
      <w:r w:rsidR="002A1017" w:rsidRPr="007962F1">
        <w:t xml:space="preserve">, </w:t>
      </w:r>
      <w:r w:rsidR="002A1017" w:rsidRPr="007962F1">
        <w:rPr>
          <w:i/>
        </w:rPr>
        <w:t>353</w:t>
      </w:r>
      <w:r w:rsidR="002A1017" w:rsidRPr="007962F1">
        <w:t xml:space="preserve">, 1667-1670; f) G. Jiang, B. List </w:t>
      </w:r>
      <w:r w:rsidR="002A1017" w:rsidRPr="007962F1">
        <w:rPr>
          <w:i/>
        </w:rPr>
        <w:t>Chem. Commun</w:t>
      </w:r>
      <w:r w:rsidR="002A1017" w:rsidRPr="007962F1">
        <w:t xml:space="preserve">. </w:t>
      </w:r>
      <w:r w:rsidR="002A1017" w:rsidRPr="007962F1">
        <w:rPr>
          <w:b/>
        </w:rPr>
        <w:t>2011</w:t>
      </w:r>
      <w:r w:rsidR="002A1017" w:rsidRPr="007962F1">
        <w:t xml:space="preserve">, </w:t>
      </w:r>
      <w:r w:rsidR="002A1017" w:rsidRPr="007962F1">
        <w:rPr>
          <w:i/>
        </w:rPr>
        <w:t>47</w:t>
      </w:r>
      <w:r w:rsidR="002A1017" w:rsidRPr="007962F1">
        <w:t>, 10022-10024.</w:t>
      </w:r>
    </w:p>
    <w:p w:rsidR="005A3E5B" w:rsidRDefault="003D7401" w:rsidP="003D7401">
      <w:pPr>
        <w:pStyle w:val="References"/>
        <w:pBdr>
          <w:top w:val="single" w:sz="12" w:space="1" w:color="999999"/>
        </w:pBdr>
      </w:pPr>
      <w:r w:rsidRPr="007962F1">
        <w:t>[8</w:t>
      </w:r>
      <w:r w:rsidR="005A3E5B" w:rsidRPr="007962F1">
        <w:t>]</w:t>
      </w:r>
      <w:r w:rsidR="005A3E5B" w:rsidRPr="007962F1">
        <w:tab/>
        <w:t xml:space="preserve">a)  I. Ibrahem, G. Ma, S. Afewerki, A. Cordova, </w:t>
      </w:r>
      <w:r w:rsidR="005A3E5B" w:rsidRPr="007962F1">
        <w:rPr>
          <w:i/>
          <w:iCs/>
        </w:rPr>
        <w:t>Angew. Chem., Int. Ed</w:t>
      </w:r>
      <w:r w:rsidR="005A3E5B" w:rsidRPr="007962F1">
        <w:t xml:space="preserve">. </w:t>
      </w:r>
      <w:r w:rsidR="005A3E5B" w:rsidRPr="007962F1">
        <w:rPr>
          <w:b/>
          <w:bCs/>
        </w:rPr>
        <w:t>2013</w:t>
      </w:r>
      <w:r w:rsidR="005A3E5B" w:rsidRPr="007962F1">
        <w:t xml:space="preserve">, </w:t>
      </w:r>
      <w:r w:rsidR="005A3E5B" w:rsidRPr="007962F1">
        <w:rPr>
          <w:i/>
          <w:iCs/>
        </w:rPr>
        <w:t>52</w:t>
      </w:r>
      <w:r w:rsidR="005A3E5B" w:rsidRPr="007962F1">
        <w:t>, 878-882; b) I. Ibrahem</w:t>
      </w:r>
      <w:r w:rsidR="005A3E5B">
        <w:t xml:space="preserve">, S. Santoro, F. Himo, A. Cordova, </w:t>
      </w:r>
      <w:r w:rsidR="005A3E5B" w:rsidRPr="00305E34">
        <w:rPr>
          <w:i/>
          <w:iCs/>
        </w:rPr>
        <w:t>Adv. Synth. Catal.</w:t>
      </w:r>
      <w:r w:rsidR="005A3E5B">
        <w:t xml:space="preserve"> </w:t>
      </w:r>
      <w:r w:rsidR="005A3E5B" w:rsidRPr="00305E34">
        <w:rPr>
          <w:b/>
          <w:bCs/>
        </w:rPr>
        <w:t>2011</w:t>
      </w:r>
      <w:r w:rsidR="005A3E5B">
        <w:t xml:space="preserve">, </w:t>
      </w:r>
      <w:r w:rsidR="005A3E5B" w:rsidRPr="00305E34">
        <w:rPr>
          <w:i/>
          <w:iCs/>
        </w:rPr>
        <w:t>353</w:t>
      </w:r>
      <w:r w:rsidR="005A3E5B">
        <w:t>, 245-252.</w:t>
      </w:r>
    </w:p>
    <w:p w:rsidR="005A3E5B" w:rsidRDefault="003D7401" w:rsidP="005A3E5B">
      <w:pPr>
        <w:pStyle w:val="References"/>
        <w:pBdr>
          <w:top w:val="single" w:sz="12" w:space="1" w:color="999999"/>
        </w:pBdr>
      </w:pPr>
      <w:r>
        <w:t>[9</w:t>
      </w:r>
      <w:r w:rsidR="005A3E5B">
        <w:t>]</w:t>
      </w:r>
      <w:r w:rsidR="005A3E5B">
        <w:tab/>
        <w:t xml:space="preserve">D. Best, S. Kujawa, H. W. Lam, </w:t>
      </w:r>
      <w:r w:rsidR="005A3E5B" w:rsidRPr="00305E34">
        <w:rPr>
          <w:i/>
        </w:rPr>
        <w:t>J. Am. Chem. Soc.</w:t>
      </w:r>
      <w:r w:rsidR="005A3E5B">
        <w:rPr>
          <w:i/>
        </w:rPr>
        <w:t xml:space="preserve"> </w:t>
      </w:r>
      <w:r w:rsidR="005A3E5B">
        <w:rPr>
          <w:b/>
        </w:rPr>
        <w:t>2012</w:t>
      </w:r>
      <w:r w:rsidR="005A3E5B">
        <w:t xml:space="preserve">, </w:t>
      </w:r>
      <w:r w:rsidR="005A3E5B">
        <w:rPr>
          <w:i/>
        </w:rPr>
        <w:t>134</w:t>
      </w:r>
      <w:r w:rsidR="005A3E5B">
        <w:t xml:space="preserve">, 18193-18196. For an excellent </w:t>
      </w:r>
      <w:r w:rsidR="002A1017">
        <w:t>review about</w:t>
      </w:r>
      <w:r w:rsidR="005A3E5B">
        <w:t xml:space="preserve"> the activation of azaarenes by metal see: D. Best, H. W. Lam, </w:t>
      </w:r>
      <w:r w:rsidR="005A3E5B" w:rsidRPr="00C6518F">
        <w:rPr>
          <w:i/>
          <w:iCs/>
        </w:rPr>
        <w:t>J. Org. Chem</w:t>
      </w:r>
      <w:r w:rsidR="005A3E5B">
        <w:t xml:space="preserve">. </w:t>
      </w:r>
      <w:r w:rsidR="005A3E5B" w:rsidRPr="00C6518F">
        <w:rPr>
          <w:b/>
          <w:bCs/>
        </w:rPr>
        <w:t>2014</w:t>
      </w:r>
      <w:r w:rsidR="005A3E5B">
        <w:t>, 831-845.</w:t>
      </w:r>
    </w:p>
    <w:p w:rsidR="00BC46E9" w:rsidRDefault="003D7401" w:rsidP="005A3E5B">
      <w:pPr>
        <w:pStyle w:val="References"/>
        <w:pBdr>
          <w:top w:val="single" w:sz="12" w:space="1" w:color="999999"/>
        </w:pBdr>
        <w:rPr>
          <w:lang w:val="it-IT"/>
        </w:rPr>
      </w:pPr>
      <w:r>
        <w:t>[10</w:t>
      </w:r>
      <w:r w:rsidR="005A3E5B" w:rsidRPr="00A84930">
        <w:t>]</w:t>
      </w:r>
      <w:r w:rsidR="005A3E5B" w:rsidRPr="00A84930">
        <w:tab/>
        <w:t>V. Ceban, P. Putaj, M. Meazza, M. B. Pitak, S. J. Coles, J. Vesely, R. R</w:t>
      </w:r>
      <w:r w:rsidR="005A3E5B">
        <w:t xml:space="preserve">ios, </w:t>
      </w:r>
      <w:r w:rsidR="005A3E5B" w:rsidRPr="00A84930">
        <w:rPr>
          <w:i/>
          <w:iCs/>
        </w:rPr>
        <w:t xml:space="preserve">Chem. </w:t>
      </w:r>
      <w:r w:rsidR="005A3E5B" w:rsidRPr="00AC4439">
        <w:rPr>
          <w:i/>
          <w:iCs/>
          <w:lang w:val="it-IT"/>
        </w:rPr>
        <w:t>Commun</w:t>
      </w:r>
      <w:r w:rsidR="005A3E5B" w:rsidRPr="00AC4439">
        <w:rPr>
          <w:lang w:val="it-IT"/>
        </w:rPr>
        <w:t xml:space="preserve">. </w:t>
      </w:r>
      <w:r w:rsidR="005A3E5B" w:rsidRPr="005D5532">
        <w:rPr>
          <w:b/>
          <w:bCs/>
          <w:lang w:val="it-IT"/>
        </w:rPr>
        <w:t>2014</w:t>
      </w:r>
      <w:r w:rsidR="002A1017">
        <w:rPr>
          <w:lang w:val="it-IT"/>
        </w:rPr>
        <w:t xml:space="preserve">, 50, </w:t>
      </w:r>
      <w:r w:rsidR="00BC46E9">
        <w:rPr>
          <w:lang w:val="it-IT"/>
        </w:rPr>
        <w:t>7447-7450.</w:t>
      </w:r>
    </w:p>
    <w:p w:rsidR="005A3E5B" w:rsidRPr="00C66B6F" w:rsidRDefault="002A1017" w:rsidP="005A3E5B">
      <w:pPr>
        <w:pStyle w:val="References"/>
        <w:pBdr>
          <w:top w:val="single" w:sz="12" w:space="1" w:color="999999"/>
        </w:pBdr>
        <w:rPr>
          <w:lang w:val="it-IT"/>
        </w:rPr>
      </w:pPr>
      <w:r>
        <w:rPr>
          <w:lang w:val="it-IT"/>
        </w:rPr>
        <w:t xml:space="preserve"> </w:t>
      </w:r>
      <w:r w:rsidR="003D7401">
        <w:rPr>
          <w:lang w:val="it-IT"/>
        </w:rPr>
        <w:t>[11</w:t>
      </w:r>
      <w:r w:rsidR="005A3E5B" w:rsidRPr="00785C5F">
        <w:rPr>
          <w:lang w:val="it-IT"/>
        </w:rPr>
        <w:t>]</w:t>
      </w:r>
      <w:r w:rsidR="005A3E5B" w:rsidRPr="00785C5F">
        <w:rPr>
          <w:lang w:val="it-IT"/>
        </w:rPr>
        <w:tab/>
        <w:t xml:space="preserve">a) X. Companyo, A. Zea, A.-N. R. Alba, A. Mazzanti, A. Moyano, R. Rios, </w:t>
      </w:r>
      <w:r w:rsidR="005A3E5B" w:rsidRPr="00785C5F">
        <w:rPr>
          <w:i/>
          <w:lang w:val="it-IT"/>
        </w:rPr>
        <w:t xml:space="preserve">Chem. </w:t>
      </w:r>
      <w:r w:rsidR="005A3E5B" w:rsidRPr="00BA0950">
        <w:rPr>
          <w:i/>
          <w:lang w:val="it-IT"/>
        </w:rPr>
        <w:t xml:space="preserve">Commun. </w:t>
      </w:r>
      <w:r w:rsidR="005A3E5B" w:rsidRPr="00BA0950">
        <w:rPr>
          <w:b/>
          <w:lang w:val="it-IT"/>
        </w:rPr>
        <w:t>2010</w:t>
      </w:r>
      <w:r w:rsidR="005A3E5B" w:rsidRPr="00BA0950">
        <w:rPr>
          <w:lang w:val="it-IT"/>
        </w:rPr>
        <w:t xml:space="preserve">, </w:t>
      </w:r>
      <w:r w:rsidR="005A3E5B" w:rsidRPr="00BA0950">
        <w:rPr>
          <w:i/>
          <w:lang w:val="it-IT"/>
        </w:rPr>
        <w:t>46</w:t>
      </w:r>
      <w:r w:rsidR="005A3E5B" w:rsidRPr="00BA0950">
        <w:rPr>
          <w:lang w:val="it-IT"/>
        </w:rPr>
        <w:t xml:space="preserve">, 6953-6955; b) S. Cihalova, G. Valero, J. Schimer, M. Humpl, M. Dracinsky, A. Moyano, R. Rios, J. Vesely, </w:t>
      </w:r>
      <w:r w:rsidR="005A3E5B" w:rsidRPr="00BA0950">
        <w:rPr>
          <w:i/>
          <w:lang w:val="it-IT"/>
        </w:rPr>
        <w:t xml:space="preserve">Tetrahedron </w:t>
      </w:r>
      <w:r w:rsidR="005A3E5B" w:rsidRPr="00BA0950">
        <w:rPr>
          <w:b/>
          <w:lang w:val="it-IT"/>
        </w:rPr>
        <w:t>2011</w:t>
      </w:r>
      <w:r w:rsidR="005A3E5B" w:rsidRPr="00BA0950">
        <w:rPr>
          <w:lang w:val="it-IT"/>
        </w:rPr>
        <w:t xml:space="preserve">, </w:t>
      </w:r>
      <w:r w:rsidR="005A3E5B" w:rsidRPr="00BA0950">
        <w:rPr>
          <w:i/>
          <w:lang w:val="it-IT"/>
        </w:rPr>
        <w:t>67</w:t>
      </w:r>
      <w:r w:rsidR="005A3E5B" w:rsidRPr="00BA0950">
        <w:rPr>
          <w:lang w:val="it-IT"/>
        </w:rPr>
        <w:t xml:space="preserve">, 8942-8950; c) A. N. R. Alba, G. Valero, T. Calvet, M. Font-Bardia, A. Moyano, R. Rios </w:t>
      </w:r>
      <w:r w:rsidR="005A3E5B" w:rsidRPr="00BA0950">
        <w:rPr>
          <w:i/>
          <w:lang w:val="it-IT"/>
        </w:rPr>
        <w:t>Chem. Eur. J.</w:t>
      </w:r>
      <w:r w:rsidR="005A3E5B" w:rsidRPr="00BA0950">
        <w:rPr>
          <w:lang w:val="it-IT"/>
        </w:rPr>
        <w:t xml:space="preserve"> </w:t>
      </w:r>
      <w:r w:rsidR="005A3E5B" w:rsidRPr="00BA0950">
        <w:rPr>
          <w:b/>
          <w:lang w:val="it-IT"/>
        </w:rPr>
        <w:t>2010</w:t>
      </w:r>
      <w:r w:rsidR="005A3E5B" w:rsidRPr="00BA0950">
        <w:rPr>
          <w:lang w:val="it-IT"/>
        </w:rPr>
        <w:t xml:space="preserve">, </w:t>
      </w:r>
      <w:r w:rsidR="005A3E5B" w:rsidRPr="00BA0950">
        <w:rPr>
          <w:i/>
          <w:lang w:val="it-IT"/>
        </w:rPr>
        <w:t>39</w:t>
      </w:r>
      <w:r w:rsidR="005A3E5B" w:rsidRPr="00BA0950">
        <w:rPr>
          <w:lang w:val="it-IT"/>
        </w:rPr>
        <w:t xml:space="preserve">, 9884-9889; d) X. Companyo, A. Moyano, A. Mazzanti, A. Janecka, R. Rios, </w:t>
      </w:r>
      <w:r w:rsidR="005A3E5B" w:rsidRPr="00BA0950">
        <w:rPr>
          <w:i/>
          <w:lang w:val="it-IT"/>
        </w:rPr>
        <w:t xml:space="preserve">Chem. </w:t>
      </w:r>
      <w:r w:rsidR="005A3E5B" w:rsidRPr="00A27B13">
        <w:rPr>
          <w:i/>
          <w:lang w:val="it-IT"/>
        </w:rPr>
        <w:t>Commun</w:t>
      </w:r>
      <w:r w:rsidR="005A3E5B">
        <w:rPr>
          <w:lang w:val="it-IT"/>
        </w:rPr>
        <w:t xml:space="preserve">. </w:t>
      </w:r>
      <w:r w:rsidR="005A3E5B" w:rsidRPr="0084545D">
        <w:rPr>
          <w:b/>
          <w:lang w:val="it-IT"/>
        </w:rPr>
        <w:t>2013</w:t>
      </w:r>
      <w:r w:rsidR="005A3E5B" w:rsidRPr="0084545D">
        <w:rPr>
          <w:lang w:val="it-IT"/>
        </w:rPr>
        <w:t xml:space="preserve">, </w:t>
      </w:r>
      <w:r w:rsidR="005A3E5B" w:rsidRPr="0084545D">
        <w:rPr>
          <w:i/>
          <w:lang w:val="it-IT"/>
        </w:rPr>
        <w:t>49</w:t>
      </w:r>
      <w:r w:rsidR="005A3E5B" w:rsidRPr="0084545D">
        <w:rPr>
          <w:lang w:val="it-IT"/>
        </w:rPr>
        <w:t xml:space="preserve">, 1184-1186. e) R. Rios, C. Jimeno, P. J. Carroll, P. J. Walsh, </w:t>
      </w:r>
      <w:r w:rsidR="005A3E5B" w:rsidRPr="0084545D">
        <w:rPr>
          <w:i/>
          <w:lang w:val="it-IT"/>
        </w:rPr>
        <w:t xml:space="preserve">J. Am. </w:t>
      </w:r>
      <w:r w:rsidR="005A3E5B" w:rsidRPr="00C66B6F">
        <w:rPr>
          <w:i/>
          <w:lang w:val="it-IT"/>
        </w:rPr>
        <w:t xml:space="preserve">Chem. Soc. </w:t>
      </w:r>
      <w:r w:rsidR="005A3E5B" w:rsidRPr="00C66B6F">
        <w:rPr>
          <w:b/>
          <w:lang w:val="it-IT"/>
        </w:rPr>
        <w:t>2002</w:t>
      </w:r>
      <w:r w:rsidR="005A3E5B" w:rsidRPr="00C66B6F">
        <w:rPr>
          <w:lang w:val="it-IT"/>
        </w:rPr>
        <w:t xml:space="preserve">, </w:t>
      </w:r>
      <w:r w:rsidR="005A3E5B" w:rsidRPr="00C66B6F">
        <w:rPr>
          <w:i/>
          <w:lang w:val="it-IT"/>
        </w:rPr>
        <w:t>124</w:t>
      </w:r>
      <w:r w:rsidR="005A3E5B" w:rsidRPr="00C66B6F">
        <w:rPr>
          <w:lang w:val="it-IT"/>
        </w:rPr>
        <w:t>, 10272-10273.</w:t>
      </w:r>
    </w:p>
    <w:p w:rsidR="005A3E5B" w:rsidRDefault="003D7401" w:rsidP="005A3E5B">
      <w:pPr>
        <w:pStyle w:val="References"/>
        <w:pBdr>
          <w:top w:val="single" w:sz="12" w:space="1" w:color="999999"/>
        </w:pBdr>
        <w:rPr>
          <w:lang w:val="it-IT"/>
        </w:rPr>
      </w:pPr>
      <w:r>
        <w:rPr>
          <w:lang w:val="it-IT"/>
        </w:rPr>
        <w:t>[12</w:t>
      </w:r>
      <w:r w:rsidR="005A3E5B">
        <w:rPr>
          <w:lang w:val="it-IT"/>
        </w:rPr>
        <w:t>]</w:t>
      </w:r>
      <w:r w:rsidR="005A3E5B">
        <w:rPr>
          <w:lang w:val="it-IT"/>
        </w:rPr>
        <w:tab/>
        <w:t xml:space="preserve">T. Li, J. Zhu, D. Wu, X. Li, S. Wang, H. Li, J. Li, W. Wang </w:t>
      </w:r>
      <w:r w:rsidR="005A3E5B" w:rsidRPr="003B0E38">
        <w:rPr>
          <w:i/>
          <w:lang w:val="it-IT"/>
        </w:rPr>
        <w:t>Chem. Eur. J.</w:t>
      </w:r>
      <w:r w:rsidR="005A3E5B">
        <w:rPr>
          <w:lang w:val="it-IT"/>
        </w:rPr>
        <w:t xml:space="preserve"> </w:t>
      </w:r>
      <w:r w:rsidR="005A3E5B" w:rsidRPr="003B0E38">
        <w:rPr>
          <w:b/>
          <w:lang w:val="it-IT"/>
        </w:rPr>
        <w:t>2013</w:t>
      </w:r>
      <w:r w:rsidR="005A3E5B">
        <w:rPr>
          <w:lang w:val="it-IT"/>
        </w:rPr>
        <w:t xml:space="preserve">, </w:t>
      </w:r>
      <w:r w:rsidR="005A3E5B" w:rsidRPr="003B0E38">
        <w:rPr>
          <w:i/>
          <w:lang w:val="it-IT"/>
        </w:rPr>
        <w:t>19</w:t>
      </w:r>
      <w:r w:rsidR="005A3E5B">
        <w:rPr>
          <w:lang w:val="it-IT"/>
        </w:rPr>
        <w:t>, 9147-9150.</w:t>
      </w:r>
    </w:p>
    <w:p w:rsidR="005A3E5B" w:rsidRPr="0084545D" w:rsidRDefault="003D7401" w:rsidP="005A3E5B">
      <w:pPr>
        <w:pStyle w:val="References"/>
        <w:pBdr>
          <w:top w:val="single" w:sz="12" w:space="1" w:color="999999"/>
        </w:pBdr>
        <w:rPr>
          <w:lang w:val="de-DE"/>
        </w:rPr>
      </w:pPr>
      <w:r>
        <w:t>[13</w:t>
      </w:r>
      <w:r w:rsidR="005A3E5B">
        <w:t>]</w:t>
      </w:r>
      <w:r w:rsidR="005A3E5B">
        <w:tab/>
        <w:t>for excellent</w:t>
      </w:r>
      <w:r w:rsidR="005A3E5B" w:rsidRPr="00D14B5A">
        <w:t xml:space="preserve"> review</w:t>
      </w:r>
      <w:r w:rsidR="005A3E5B">
        <w:t>s</w:t>
      </w:r>
      <w:r w:rsidR="005A3E5B" w:rsidRPr="00D14B5A">
        <w:t xml:space="preserve"> about diarylprolinol as catalysts see: C. Palomo, A. Mielgo, </w:t>
      </w:r>
      <w:r w:rsidR="005A3E5B" w:rsidRPr="00D14B5A">
        <w:rPr>
          <w:i/>
        </w:rPr>
        <w:t xml:space="preserve">Angew. </w:t>
      </w:r>
      <w:r w:rsidR="005A3E5B" w:rsidRPr="003E13D0">
        <w:rPr>
          <w:i/>
          <w:lang w:val="de-DE"/>
        </w:rPr>
        <w:t>Chem. Int. Ed. Eng</w:t>
      </w:r>
      <w:r w:rsidR="005A3E5B" w:rsidRPr="003E13D0">
        <w:rPr>
          <w:lang w:val="de-DE"/>
        </w:rPr>
        <w:t xml:space="preserve">. </w:t>
      </w:r>
      <w:r w:rsidR="005A3E5B" w:rsidRPr="003E13D0">
        <w:rPr>
          <w:b/>
          <w:lang w:val="de-DE"/>
        </w:rPr>
        <w:t>2006</w:t>
      </w:r>
      <w:r w:rsidR="005A3E5B" w:rsidRPr="003E13D0">
        <w:rPr>
          <w:lang w:val="de-DE"/>
        </w:rPr>
        <w:t xml:space="preserve">, </w:t>
      </w:r>
      <w:r w:rsidR="005A3E5B" w:rsidRPr="003E13D0">
        <w:rPr>
          <w:i/>
          <w:lang w:val="de-DE"/>
        </w:rPr>
        <w:t>45</w:t>
      </w:r>
      <w:r w:rsidR="005A3E5B" w:rsidRPr="003E13D0">
        <w:rPr>
          <w:lang w:val="de-DE"/>
        </w:rPr>
        <w:t>, 7876-7880; b) L. L. Jensen, G. Dickmeiss, H. Jiang, L. Albrecht, K. A. Jorgensen</w:t>
      </w:r>
      <w:r w:rsidR="00007A3F" w:rsidRPr="003E13D0">
        <w:rPr>
          <w:lang w:val="de-DE"/>
        </w:rPr>
        <w:t>,</w:t>
      </w:r>
      <w:r w:rsidR="005A3E5B" w:rsidRPr="003E13D0">
        <w:rPr>
          <w:lang w:val="de-DE"/>
        </w:rPr>
        <w:t xml:space="preserve"> </w:t>
      </w:r>
      <w:r w:rsidR="005A3E5B" w:rsidRPr="003E13D0">
        <w:rPr>
          <w:i/>
          <w:lang w:val="de-DE"/>
        </w:rPr>
        <w:t xml:space="preserve">Acc. </w:t>
      </w:r>
      <w:r w:rsidR="005A3E5B" w:rsidRPr="0084545D">
        <w:rPr>
          <w:i/>
          <w:lang w:val="de-DE"/>
        </w:rPr>
        <w:t>Chem. Res.</w:t>
      </w:r>
      <w:r w:rsidR="005A3E5B" w:rsidRPr="0084545D">
        <w:rPr>
          <w:lang w:val="de-DE"/>
        </w:rPr>
        <w:t xml:space="preserve"> </w:t>
      </w:r>
      <w:r w:rsidR="005A3E5B" w:rsidRPr="0084545D">
        <w:rPr>
          <w:b/>
          <w:lang w:val="de-DE"/>
        </w:rPr>
        <w:t>2012</w:t>
      </w:r>
      <w:r w:rsidR="005A3E5B" w:rsidRPr="0084545D">
        <w:rPr>
          <w:lang w:val="de-DE"/>
        </w:rPr>
        <w:t xml:space="preserve">, </w:t>
      </w:r>
      <w:r w:rsidR="005A3E5B" w:rsidRPr="0084545D">
        <w:rPr>
          <w:i/>
          <w:lang w:val="de-DE"/>
        </w:rPr>
        <w:t>45</w:t>
      </w:r>
      <w:r w:rsidR="005A3E5B" w:rsidRPr="0084545D">
        <w:rPr>
          <w:lang w:val="de-DE"/>
        </w:rPr>
        <w:t xml:space="preserve">, 248; c) S. Mennino, A. Lattanzi </w:t>
      </w:r>
      <w:r w:rsidR="005A3E5B" w:rsidRPr="0084545D">
        <w:rPr>
          <w:i/>
          <w:lang w:val="de-DE"/>
        </w:rPr>
        <w:t>Chem. Commun</w:t>
      </w:r>
      <w:r w:rsidR="005A3E5B" w:rsidRPr="0084545D">
        <w:rPr>
          <w:lang w:val="de-DE"/>
        </w:rPr>
        <w:t xml:space="preserve">. </w:t>
      </w:r>
      <w:r w:rsidR="005A3E5B" w:rsidRPr="0084545D">
        <w:rPr>
          <w:b/>
          <w:lang w:val="de-DE"/>
        </w:rPr>
        <w:t>2013</w:t>
      </w:r>
      <w:r w:rsidR="005A3E5B" w:rsidRPr="0084545D">
        <w:rPr>
          <w:lang w:val="de-DE"/>
        </w:rPr>
        <w:t xml:space="preserve">, </w:t>
      </w:r>
      <w:r w:rsidR="005A3E5B" w:rsidRPr="0084545D">
        <w:rPr>
          <w:i/>
          <w:lang w:val="de-DE"/>
        </w:rPr>
        <w:t>49</w:t>
      </w:r>
      <w:r w:rsidR="005A3E5B" w:rsidRPr="0084545D">
        <w:rPr>
          <w:lang w:val="de-DE"/>
        </w:rPr>
        <w:t>, 3821.</w:t>
      </w:r>
    </w:p>
    <w:p w:rsidR="005A3E5B" w:rsidRDefault="003D7401" w:rsidP="005A3E5B">
      <w:pPr>
        <w:pStyle w:val="References"/>
        <w:pBdr>
          <w:top w:val="single" w:sz="12" w:space="1" w:color="999999"/>
        </w:pBdr>
        <w:rPr>
          <w:szCs w:val="16"/>
        </w:rPr>
      </w:pPr>
      <w:r>
        <w:rPr>
          <w:lang w:val="de-DE"/>
        </w:rPr>
        <w:t>[14</w:t>
      </w:r>
      <w:r w:rsidR="005A3E5B" w:rsidRPr="0084545D">
        <w:rPr>
          <w:lang w:val="de-DE"/>
        </w:rPr>
        <w:t>]</w:t>
      </w:r>
      <w:r w:rsidR="005A3E5B" w:rsidRPr="0084545D">
        <w:rPr>
          <w:lang w:val="de-DE"/>
        </w:rPr>
        <w:tab/>
      </w:r>
      <w:r w:rsidR="005A3E5B" w:rsidRPr="0084545D">
        <w:rPr>
          <w:szCs w:val="16"/>
          <w:lang w:val="de-DE"/>
        </w:rPr>
        <w:t xml:space="preserve">Crystal data for </w:t>
      </w:r>
      <w:r w:rsidR="005A3E5B" w:rsidRPr="0084545D">
        <w:rPr>
          <w:b/>
          <w:bCs/>
          <w:szCs w:val="16"/>
          <w:lang w:val="de-DE"/>
        </w:rPr>
        <w:t>3</w:t>
      </w:r>
      <w:r w:rsidR="00AF684D">
        <w:rPr>
          <w:b/>
          <w:bCs/>
          <w:szCs w:val="16"/>
          <w:lang w:val="de-DE"/>
        </w:rPr>
        <w:t>a</w:t>
      </w:r>
      <w:r w:rsidR="005A3E5B" w:rsidRPr="0084545D">
        <w:rPr>
          <w:b/>
          <w:bCs/>
          <w:szCs w:val="16"/>
          <w:lang w:val="de-DE"/>
        </w:rPr>
        <w:t>f</w:t>
      </w:r>
      <w:r w:rsidR="005A3E5B" w:rsidRPr="0084545D">
        <w:rPr>
          <w:szCs w:val="16"/>
          <w:lang w:val="de-DE"/>
        </w:rPr>
        <w:t>: C</w:t>
      </w:r>
      <w:r w:rsidR="005A3E5B" w:rsidRPr="0084545D">
        <w:rPr>
          <w:szCs w:val="16"/>
          <w:vertAlign w:val="subscript"/>
          <w:lang w:val="de-DE"/>
        </w:rPr>
        <w:t>21</w:t>
      </w:r>
      <w:r w:rsidR="005A3E5B" w:rsidRPr="0084545D">
        <w:rPr>
          <w:szCs w:val="16"/>
          <w:lang w:val="de-DE"/>
        </w:rPr>
        <w:t>H</w:t>
      </w:r>
      <w:r w:rsidR="005A3E5B" w:rsidRPr="0084545D">
        <w:rPr>
          <w:szCs w:val="16"/>
          <w:vertAlign w:val="subscript"/>
          <w:lang w:val="de-DE"/>
        </w:rPr>
        <w:t>19</w:t>
      </w:r>
      <w:r w:rsidR="005A3E5B" w:rsidRPr="0084545D">
        <w:rPr>
          <w:szCs w:val="16"/>
          <w:lang w:val="de-DE"/>
        </w:rPr>
        <w:t>N</w:t>
      </w:r>
      <w:r w:rsidR="005A3E5B" w:rsidRPr="0084545D">
        <w:rPr>
          <w:szCs w:val="16"/>
          <w:vertAlign w:val="subscript"/>
          <w:lang w:val="de-DE"/>
        </w:rPr>
        <w:t>3</w:t>
      </w:r>
      <w:r w:rsidR="005A3E5B" w:rsidRPr="0084545D">
        <w:rPr>
          <w:szCs w:val="16"/>
          <w:lang w:val="de-DE"/>
        </w:rPr>
        <w:t>O</w:t>
      </w:r>
      <w:r w:rsidR="005A3E5B" w:rsidRPr="0084545D">
        <w:rPr>
          <w:szCs w:val="16"/>
          <w:vertAlign w:val="subscript"/>
          <w:lang w:val="de-DE"/>
        </w:rPr>
        <w:t>7</w:t>
      </w:r>
      <w:r w:rsidR="005A3E5B" w:rsidRPr="0084545D">
        <w:rPr>
          <w:szCs w:val="16"/>
          <w:lang w:val="de-DE"/>
        </w:rPr>
        <w:t>, M</w:t>
      </w:r>
      <w:r w:rsidR="005A3E5B" w:rsidRPr="0084545D">
        <w:rPr>
          <w:szCs w:val="16"/>
          <w:vertAlign w:val="subscript"/>
          <w:lang w:val="de-DE"/>
        </w:rPr>
        <w:t>r</w:t>
      </w:r>
      <w:r w:rsidR="005A3E5B" w:rsidRPr="0084545D">
        <w:rPr>
          <w:szCs w:val="16"/>
          <w:lang w:val="de-DE"/>
        </w:rPr>
        <w:t xml:space="preserve"> = 425.39, light brown lath, 0.20 </w:t>
      </w:r>
      <w:r w:rsidR="005A3E5B" w:rsidRPr="005D2623">
        <w:rPr>
          <w:szCs w:val="16"/>
          <w:lang w:val="fr-FR"/>
        </w:rPr>
        <w:sym w:font="Symbol" w:char="F0B4"/>
      </w:r>
      <w:r w:rsidR="005A3E5B" w:rsidRPr="0084545D">
        <w:rPr>
          <w:szCs w:val="16"/>
          <w:lang w:val="de-DE"/>
        </w:rPr>
        <w:t xml:space="preserve"> 0.03 </w:t>
      </w:r>
      <w:r w:rsidR="005A3E5B" w:rsidRPr="005D2623">
        <w:rPr>
          <w:szCs w:val="16"/>
          <w:lang w:val="fr-FR"/>
        </w:rPr>
        <w:sym w:font="Symbol" w:char="F0B4"/>
      </w:r>
      <w:r w:rsidR="005A3E5B" w:rsidRPr="0084545D">
        <w:rPr>
          <w:szCs w:val="16"/>
          <w:lang w:val="de-DE"/>
        </w:rPr>
        <w:t xml:space="preserve"> 0.01 mm</w:t>
      </w:r>
      <w:r w:rsidR="005A3E5B" w:rsidRPr="0084545D">
        <w:rPr>
          <w:szCs w:val="16"/>
          <w:vertAlign w:val="superscript"/>
          <w:lang w:val="de-DE"/>
        </w:rPr>
        <w:t>3</w:t>
      </w:r>
      <w:r w:rsidR="005A3E5B" w:rsidRPr="0084545D">
        <w:rPr>
          <w:szCs w:val="16"/>
          <w:lang w:val="de-DE"/>
        </w:rPr>
        <w:t xml:space="preserve">, Monoclinic, </w:t>
      </w:r>
      <w:r w:rsidR="005A3E5B" w:rsidRPr="0084545D">
        <w:rPr>
          <w:i/>
          <w:szCs w:val="16"/>
          <w:lang w:val="de-DE"/>
        </w:rPr>
        <w:t>C</w:t>
      </w:r>
      <w:r w:rsidR="005A3E5B" w:rsidRPr="0084545D">
        <w:rPr>
          <w:iCs/>
          <w:szCs w:val="16"/>
          <w:lang w:val="de-DE"/>
        </w:rPr>
        <w:t>2</w:t>
      </w:r>
      <w:r w:rsidR="005A3E5B" w:rsidRPr="0084545D">
        <w:rPr>
          <w:szCs w:val="16"/>
          <w:lang w:val="de-DE"/>
        </w:rPr>
        <w:t xml:space="preserve">, a = 17.969(2), b =  11.0559(15), c  = 19.839(3) </w:t>
      </w:r>
      <w:r w:rsidR="005A3E5B" w:rsidRPr="0084545D">
        <w:rPr>
          <w:color w:val="000000"/>
          <w:szCs w:val="16"/>
          <w:lang w:val="de-DE" w:eastAsia="zh-CN"/>
        </w:rPr>
        <w:t>Å</w:t>
      </w:r>
      <w:r w:rsidR="005A3E5B" w:rsidRPr="0084545D">
        <w:rPr>
          <w:szCs w:val="16"/>
          <w:lang w:val="de-DE"/>
        </w:rPr>
        <w:t xml:space="preserve">,  </w:t>
      </w:r>
      <w:r w:rsidR="005A3E5B" w:rsidRPr="005D2623">
        <w:rPr>
          <w:szCs w:val="16"/>
        </w:rPr>
        <w:sym w:font="Symbol" w:char="F062"/>
      </w:r>
      <w:r w:rsidR="005A3E5B" w:rsidRPr="0084545D">
        <w:rPr>
          <w:szCs w:val="16"/>
          <w:lang w:val="de-DE"/>
        </w:rPr>
        <w:t xml:space="preserve"> = 90.528(6)</w:t>
      </w:r>
      <w:r w:rsidR="005A3E5B" w:rsidRPr="0084545D">
        <w:rPr>
          <w:szCs w:val="16"/>
          <w:vertAlign w:val="superscript"/>
          <w:lang w:val="de-DE"/>
        </w:rPr>
        <w:t>o</w:t>
      </w:r>
      <w:r w:rsidR="005A3E5B" w:rsidRPr="0084545D">
        <w:rPr>
          <w:szCs w:val="16"/>
          <w:lang w:val="de-DE"/>
        </w:rPr>
        <w:t xml:space="preserve">, V =  3941.0(9)  </w:t>
      </w:r>
      <w:r w:rsidR="005A3E5B" w:rsidRPr="0084545D">
        <w:rPr>
          <w:color w:val="000000"/>
          <w:szCs w:val="16"/>
          <w:lang w:val="de-DE" w:eastAsia="zh-CN"/>
        </w:rPr>
        <w:t>Å</w:t>
      </w:r>
      <w:r w:rsidR="005A3E5B" w:rsidRPr="0084545D">
        <w:rPr>
          <w:szCs w:val="16"/>
          <w:vertAlign w:val="superscript"/>
          <w:lang w:val="de-DE"/>
        </w:rPr>
        <w:t xml:space="preserve"> 3</w:t>
      </w:r>
      <w:r w:rsidR="005A3E5B" w:rsidRPr="0084545D">
        <w:rPr>
          <w:szCs w:val="16"/>
          <w:lang w:val="de-DE"/>
        </w:rPr>
        <w:t>, Z = 8,</w:t>
      </w:r>
      <w:r w:rsidR="005A3E5B" w:rsidRPr="0084545D">
        <w:rPr>
          <w:szCs w:val="16"/>
          <w:lang w:val="de-DE"/>
        </w:rPr>
        <w:tab/>
        <w:t>Z’ = 2, D</w:t>
      </w:r>
      <w:r w:rsidR="005A3E5B" w:rsidRPr="0084545D">
        <w:rPr>
          <w:szCs w:val="16"/>
          <w:vertAlign w:val="subscript"/>
          <w:lang w:val="de-DE"/>
        </w:rPr>
        <w:t>c</w:t>
      </w:r>
      <w:r w:rsidR="005A3E5B" w:rsidRPr="0084545D">
        <w:rPr>
          <w:szCs w:val="16"/>
          <w:lang w:val="de-DE"/>
        </w:rPr>
        <w:t xml:space="preserve"> = 1.434g cm</w:t>
      </w:r>
      <w:r w:rsidR="005A3E5B" w:rsidRPr="005D2623">
        <w:rPr>
          <w:szCs w:val="16"/>
          <w:vertAlign w:val="superscript"/>
        </w:rPr>
        <w:sym w:font="Symbol" w:char="F02D"/>
      </w:r>
      <w:r w:rsidR="005A3E5B" w:rsidRPr="0084545D">
        <w:rPr>
          <w:szCs w:val="16"/>
          <w:vertAlign w:val="superscript"/>
          <w:lang w:val="de-DE"/>
        </w:rPr>
        <w:t>3</w:t>
      </w:r>
      <w:r w:rsidR="005A3E5B" w:rsidRPr="0084545D">
        <w:rPr>
          <w:szCs w:val="16"/>
          <w:lang w:val="de-DE"/>
        </w:rPr>
        <w:t xml:space="preserve">, </w:t>
      </w:r>
      <w:r w:rsidR="005A3E5B" w:rsidRPr="005D2623">
        <w:rPr>
          <w:szCs w:val="16"/>
        </w:rPr>
        <w:sym w:font="Symbol" w:char="F06D"/>
      </w:r>
      <w:r w:rsidR="005A3E5B" w:rsidRPr="0084545D">
        <w:rPr>
          <w:szCs w:val="16"/>
          <w:lang w:val="de-DE"/>
        </w:rPr>
        <w:t xml:space="preserve">  = 0.110 mm</w:t>
      </w:r>
      <w:r w:rsidR="005A3E5B" w:rsidRPr="005D2623">
        <w:rPr>
          <w:szCs w:val="16"/>
          <w:vertAlign w:val="superscript"/>
        </w:rPr>
        <w:sym w:font="Symbol" w:char="F02D"/>
      </w:r>
      <w:r w:rsidR="005A3E5B" w:rsidRPr="0084545D">
        <w:rPr>
          <w:szCs w:val="16"/>
          <w:vertAlign w:val="superscript"/>
          <w:lang w:val="de-DE"/>
        </w:rPr>
        <w:t>1</w:t>
      </w:r>
      <w:r w:rsidR="005A3E5B" w:rsidRPr="0084545D">
        <w:rPr>
          <w:szCs w:val="16"/>
          <w:lang w:val="de-DE"/>
        </w:rPr>
        <w:t>, T = 100 K, 25946 collected reflections, 8604 unique reflections (R</w:t>
      </w:r>
      <w:r w:rsidR="005A3E5B" w:rsidRPr="0084545D">
        <w:rPr>
          <w:szCs w:val="16"/>
          <w:vertAlign w:val="subscript"/>
          <w:lang w:val="de-DE"/>
        </w:rPr>
        <w:t>int</w:t>
      </w:r>
      <w:r w:rsidR="005A3E5B" w:rsidRPr="0084545D">
        <w:rPr>
          <w:szCs w:val="16"/>
          <w:lang w:val="de-DE"/>
        </w:rPr>
        <w:t xml:space="preserve"> = 0.0895), 4448 reflections with  F</w:t>
      </w:r>
      <w:r w:rsidR="005A3E5B" w:rsidRPr="0084545D">
        <w:rPr>
          <w:szCs w:val="16"/>
          <w:vertAlign w:val="superscript"/>
          <w:lang w:val="de-DE"/>
        </w:rPr>
        <w:t>2</w:t>
      </w:r>
      <w:r w:rsidR="005A3E5B" w:rsidRPr="0084545D">
        <w:rPr>
          <w:szCs w:val="16"/>
          <w:lang w:val="de-DE"/>
        </w:rPr>
        <w:t>&gt; 2</w:t>
      </w:r>
      <w:r w:rsidR="005A3E5B" w:rsidRPr="005D2623">
        <w:rPr>
          <w:szCs w:val="16"/>
        </w:rPr>
        <w:sym w:font="Symbol" w:char="F073"/>
      </w:r>
      <w:r w:rsidR="005A3E5B" w:rsidRPr="0084545D">
        <w:rPr>
          <w:szCs w:val="16"/>
          <w:lang w:val="de-DE"/>
        </w:rPr>
        <w:t xml:space="preserve">, </w:t>
      </w:r>
      <w:r w:rsidR="005A3E5B" w:rsidRPr="0084545D">
        <w:rPr>
          <w:color w:val="000000"/>
          <w:szCs w:val="16"/>
          <w:lang w:val="de-DE"/>
        </w:rPr>
        <w:t>R(F</w:t>
      </w:r>
      <w:r w:rsidR="005A3E5B" w:rsidRPr="0084545D">
        <w:rPr>
          <w:color w:val="000000"/>
          <w:szCs w:val="16"/>
          <w:vertAlign w:val="superscript"/>
          <w:lang w:val="de-DE"/>
        </w:rPr>
        <w:t>2</w:t>
      </w:r>
      <w:r w:rsidR="005A3E5B" w:rsidRPr="0084545D">
        <w:rPr>
          <w:color w:val="000000"/>
          <w:szCs w:val="16"/>
          <w:lang w:val="de-DE"/>
        </w:rPr>
        <w:t>&gt;2</w:t>
      </w:r>
      <w:r w:rsidR="005A3E5B" w:rsidRPr="005D2623">
        <w:rPr>
          <w:color w:val="000000"/>
          <w:szCs w:val="16"/>
        </w:rPr>
        <w:sym w:font="Symbol" w:char="F073"/>
      </w:r>
      <w:r w:rsidR="005A3E5B" w:rsidRPr="0084545D">
        <w:rPr>
          <w:color w:val="000000"/>
          <w:szCs w:val="16"/>
          <w:lang w:val="de-DE"/>
        </w:rPr>
        <w:t>)</w:t>
      </w:r>
      <w:r w:rsidR="005A3E5B" w:rsidRPr="0084545D">
        <w:rPr>
          <w:color w:val="000000"/>
          <w:szCs w:val="16"/>
          <w:lang w:val="de-DE" w:eastAsia="tr-TR"/>
        </w:rPr>
        <w:t xml:space="preserve"> = 0.0596, wR2 = 0.1285, GoF = 0.893.</w:t>
      </w:r>
      <w:r w:rsidR="005A3E5B" w:rsidRPr="0084545D">
        <w:rPr>
          <w:szCs w:val="16"/>
          <w:lang w:val="de-DE"/>
        </w:rPr>
        <w:t xml:space="preserve"> </w:t>
      </w:r>
      <w:r w:rsidR="005A3E5B" w:rsidRPr="004A491A">
        <w:rPr>
          <w:szCs w:val="16"/>
        </w:rPr>
        <w:t xml:space="preserve">Crystallographic data (excluding structure factors) for the structure </w:t>
      </w:r>
      <w:r w:rsidR="005A3E5B">
        <w:rPr>
          <w:b/>
          <w:szCs w:val="16"/>
        </w:rPr>
        <w:t>3</w:t>
      </w:r>
      <w:r w:rsidR="00367885">
        <w:rPr>
          <w:b/>
          <w:szCs w:val="16"/>
        </w:rPr>
        <w:t>a</w:t>
      </w:r>
      <w:r w:rsidR="005A3E5B">
        <w:rPr>
          <w:b/>
          <w:szCs w:val="16"/>
        </w:rPr>
        <w:t>f</w:t>
      </w:r>
      <w:r w:rsidR="005A3E5B" w:rsidRPr="004A491A">
        <w:rPr>
          <w:szCs w:val="16"/>
        </w:rPr>
        <w:t xml:space="preserve"> have been deposited with the Cambridge Crystallographic Data </w:t>
      </w:r>
      <w:r w:rsidR="005A3E5B" w:rsidRPr="00C40CF7">
        <w:rPr>
          <w:szCs w:val="16"/>
        </w:rPr>
        <w:t xml:space="preserve">Centre with CCDC number </w:t>
      </w:r>
      <w:r w:rsidR="005A3E5B">
        <w:t>1001853</w:t>
      </w:r>
      <w:r w:rsidR="005A3E5B" w:rsidRPr="00C40CF7">
        <w:rPr>
          <w:szCs w:val="16"/>
        </w:rPr>
        <w:t>.</w:t>
      </w:r>
      <w:r w:rsidR="005A3E5B">
        <w:rPr>
          <w:szCs w:val="16"/>
        </w:rPr>
        <w:t xml:space="preserve"> </w:t>
      </w:r>
      <w:r w:rsidR="005A3E5B" w:rsidRPr="004A491A">
        <w:rPr>
          <w:szCs w:val="16"/>
        </w:rPr>
        <w:t xml:space="preserve">Copies of the data can be obtained, free of charge, on application to Cambridge Crystallographic Data Centre, 12 Union Road, Cambridge CB2 1EZ, UK, (fax: +44-(0)1223-336033 or e-mail: </w:t>
      </w:r>
      <w:hyperlink r:id="rId26" w:history="1">
        <w:r w:rsidR="005A3E5B" w:rsidRPr="001451D1">
          <w:rPr>
            <w:rStyle w:val="Hyperlink"/>
            <w:szCs w:val="16"/>
          </w:rPr>
          <w:t>deposit@ccdc.cam.ac.uk</w:t>
        </w:r>
      </w:hyperlink>
      <w:r w:rsidR="005A3E5B" w:rsidRPr="004A491A">
        <w:rPr>
          <w:szCs w:val="16"/>
        </w:rPr>
        <w:t>).</w:t>
      </w:r>
    </w:p>
    <w:p w:rsidR="005A3E5B" w:rsidRPr="001A1F70" w:rsidRDefault="003D7401" w:rsidP="005A3E5B">
      <w:pPr>
        <w:pStyle w:val="References"/>
        <w:pBdr>
          <w:top w:val="single" w:sz="12" w:space="1" w:color="999999"/>
        </w:pBdr>
        <w:rPr>
          <w:szCs w:val="16"/>
        </w:rPr>
      </w:pPr>
      <w:r>
        <w:rPr>
          <w:szCs w:val="16"/>
        </w:rPr>
        <w:t>[15</w:t>
      </w:r>
      <w:r w:rsidR="005A3E5B" w:rsidRPr="001A1F70">
        <w:rPr>
          <w:szCs w:val="16"/>
        </w:rPr>
        <w:t>]</w:t>
      </w:r>
      <w:r w:rsidR="005A3E5B" w:rsidRPr="001A1F70">
        <w:rPr>
          <w:szCs w:val="16"/>
        </w:rPr>
        <w:tab/>
      </w:r>
      <w:r w:rsidR="005A3E5B" w:rsidRPr="001A1F70">
        <w:rPr>
          <w:color w:val="000000"/>
          <w:szCs w:val="16"/>
        </w:rPr>
        <w:t>S.J Coles and P.A. Gale, (2012) Chemical Science, (3), 683-689.</w:t>
      </w:r>
    </w:p>
    <w:p w:rsidR="005A3E5B" w:rsidRPr="001A1F70" w:rsidRDefault="003D7401" w:rsidP="005A3E5B">
      <w:pPr>
        <w:pStyle w:val="References"/>
        <w:pBdr>
          <w:top w:val="single" w:sz="12" w:space="1" w:color="999999"/>
        </w:pBdr>
        <w:rPr>
          <w:szCs w:val="16"/>
        </w:rPr>
      </w:pPr>
      <w:r>
        <w:rPr>
          <w:szCs w:val="16"/>
        </w:rPr>
        <w:t>[16</w:t>
      </w:r>
      <w:r w:rsidR="005A3E5B" w:rsidRPr="001A1F70">
        <w:rPr>
          <w:szCs w:val="16"/>
        </w:rPr>
        <w:t>]</w:t>
      </w:r>
      <w:r w:rsidR="005A3E5B" w:rsidRPr="001A1F70">
        <w:rPr>
          <w:szCs w:val="16"/>
        </w:rPr>
        <w:tab/>
        <w:t>CrystalClear-SM Expert 3.1ba16  (Rigaku, 2012)</w:t>
      </w:r>
      <w:r w:rsidR="005A3E5B">
        <w:rPr>
          <w:szCs w:val="16"/>
        </w:rPr>
        <w:t>.</w:t>
      </w:r>
    </w:p>
    <w:p w:rsidR="005A3E5B" w:rsidRPr="001A1F70" w:rsidRDefault="003D7401" w:rsidP="005A3E5B">
      <w:pPr>
        <w:pStyle w:val="References"/>
        <w:pBdr>
          <w:top w:val="single" w:sz="12" w:space="1" w:color="999999"/>
        </w:pBdr>
        <w:rPr>
          <w:szCs w:val="16"/>
        </w:rPr>
      </w:pPr>
      <w:r>
        <w:rPr>
          <w:szCs w:val="16"/>
        </w:rPr>
        <w:t>[17</w:t>
      </w:r>
      <w:r w:rsidR="005A3E5B" w:rsidRPr="001A1F70">
        <w:rPr>
          <w:szCs w:val="16"/>
        </w:rPr>
        <w:t>]</w:t>
      </w:r>
      <w:r w:rsidR="005A3E5B" w:rsidRPr="001A1F70">
        <w:rPr>
          <w:szCs w:val="16"/>
        </w:rPr>
        <w:tab/>
        <w:t>Superflip, J. Appl. Cryst. 2007, 40, 786-790</w:t>
      </w:r>
      <w:r w:rsidR="005A3E5B">
        <w:rPr>
          <w:szCs w:val="16"/>
        </w:rPr>
        <w:t>.</w:t>
      </w:r>
    </w:p>
    <w:p w:rsidR="000D75B7" w:rsidRDefault="003D7401" w:rsidP="005A3E5B">
      <w:pPr>
        <w:pStyle w:val="References"/>
        <w:pBdr>
          <w:top w:val="single" w:sz="4" w:space="0" w:color="000000"/>
        </w:pBdr>
      </w:pPr>
      <w:r>
        <w:rPr>
          <w:szCs w:val="16"/>
        </w:rPr>
        <w:t>[18</w:t>
      </w:r>
      <w:r w:rsidR="005A3E5B" w:rsidRPr="001A1F70">
        <w:rPr>
          <w:szCs w:val="16"/>
        </w:rPr>
        <w:t>]</w:t>
      </w:r>
      <w:r w:rsidR="005A3E5B" w:rsidRPr="001A1F70">
        <w:rPr>
          <w:szCs w:val="16"/>
        </w:rPr>
        <w:tab/>
        <w:t xml:space="preserve">G.M. Sheldrick,  </w:t>
      </w:r>
      <w:r w:rsidR="005A3E5B" w:rsidRPr="001A1F70">
        <w:rPr>
          <w:i/>
          <w:szCs w:val="16"/>
        </w:rPr>
        <w:t>Acta Cryst,.</w:t>
      </w:r>
      <w:r w:rsidR="005A3E5B" w:rsidRPr="001A1F70">
        <w:rPr>
          <w:szCs w:val="16"/>
        </w:rPr>
        <w:t xml:space="preserve"> 2008, </w:t>
      </w:r>
      <w:r w:rsidR="005A3E5B" w:rsidRPr="001A1F70">
        <w:rPr>
          <w:b/>
          <w:szCs w:val="16"/>
        </w:rPr>
        <w:t>A64</w:t>
      </w:r>
      <w:r w:rsidR="005A3E5B" w:rsidRPr="001A1F70">
        <w:rPr>
          <w:szCs w:val="16"/>
        </w:rPr>
        <w:t>, 112.</w:t>
      </w:r>
    </w:p>
    <w:p w:rsidR="001F4EE4" w:rsidRDefault="001F4EE4" w:rsidP="001F4EE4">
      <w:pPr>
        <w:pStyle w:val="History"/>
        <w:rPr>
          <w:lang w:val="en-GB"/>
        </w:rPr>
      </w:pPr>
      <w:r w:rsidRPr="00DE4E91">
        <w:rPr>
          <w:lang w:val="en-GB"/>
        </w:rPr>
        <w:t>Received: ((</w:t>
      </w:r>
      <w:r w:rsidRPr="005A5B2D">
        <w:rPr>
          <w:color w:val="FF0000"/>
          <w:lang w:val="en-GB"/>
        </w:rPr>
        <w:t>will be filled in by the editorial staff</w:t>
      </w:r>
      <w:r w:rsidRPr="00DE4E91">
        <w:rPr>
          <w:lang w:val="en-GB"/>
        </w:rPr>
        <w:t>))</w:t>
      </w:r>
      <w:r>
        <w:rPr>
          <w:lang w:val="en-GB"/>
        </w:rPr>
        <w:br/>
        <w:t>Revised</w:t>
      </w:r>
      <w:r w:rsidRPr="00DE4E91">
        <w:rPr>
          <w:lang w:val="en-GB"/>
        </w:rPr>
        <w:t>: ((</w:t>
      </w:r>
      <w:r w:rsidRPr="005A5B2D">
        <w:rPr>
          <w:color w:val="FF0000"/>
          <w:lang w:val="en-GB"/>
        </w:rPr>
        <w:t>will be filled in by the edito</w:t>
      </w:r>
      <w:r w:rsidR="00B03934" w:rsidRPr="005A5B2D">
        <w:rPr>
          <w:color w:val="FF0000"/>
          <w:lang w:val="en-GB"/>
        </w:rPr>
        <w:t>rial staff</w:t>
      </w:r>
      <w:r w:rsidR="00B03934">
        <w:rPr>
          <w:lang w:val="en-GB"/>
        </w:rPr>
        <w:t>))</w:t>
      </w:r>
      <w:r w:rsidR="00B03934">
        <w:rPr>
          <w:lang w:val="en-GB"/>
        </w:rPr>
        <w:br/>
        <w:t>Published online:</w:t>
      </w:r>
      <w:r w:rsidRPr="00DE4E91">
        <w:rPr>
          <w:lang w:val="en-GB"/>
        </w:rPr>
        <w:t xml:space="preserve"> ((</w:t>
      </w:r>
      <w:r w:rsidRPr="005A5B2D">
        <w:rPr>
          <w:color w:val="FF0000"/>
          <w:lang w:val="en-GB"/>
        </w:rPr>
        <w:t>will be filled in by the editorial staff</w:t>
      </w:r>
      <w:r w:rsidRPr="00DE4E91">
        <w:rPr>
          <w:lang w:val="en-GB"/>
        </w:rPr>
        <w:t>))</w:t>
      </w:r>
    </w:p>
    <w:p w:rsidR="00764F01" w:rsidRPr="006722A0" w:rsidRDefault="00764F01" w:rsidP="00EF26EB">
      <w:pPr>
        <w:rPr>
          <w:lang w:val="en-GB"/>
        </w:rPr>
      </w:pPr>
    </w:p>
    <w:p w:rsidR="00F7230C" w:rsidRPr="006722A0" w:rsidRDefault="00F7230C" w:rsidP="00EF26EB">
      <w:pPr>
        <w:rPr>
          <w:lang w:val="en-GB"/>
        </w:rPr>
        <w:sectPr w:rsidR="00F7230C" w:rsidRPr="006722A0" w:rsidSect="0090579F">
          <w:type w:val="continuous"/>
          <w:pgSz w:w="11906" w:h="16838" w:code="9"/>
          <w:pgMar w:top="1134" w:right="851" w:bottom="1225" w:left="1077" w:header="709" w:footer="709" w:gutter="0"/>
          <w:cols w:num="2" w:space="397"/>
          <w:docGrid w:linePitch="360"/>
        </w:sectPr>
      </w:pPr>
    </w:p>
    <w:p w:rsidR="005A5B2D" w:rsidRDefault="00712D8A" w:rsidP="00E76CD4">
      <w:pPr>
        <w:rPr>
          <w:lang w:val="en-GB"/>
        </w:rPr>
        <w:sectPr w:rsidR="005A5B2D" w:rsidSect="0090579F">
          <w:type w:val="continuous"/>
          <w:pgSz w:w="11906" w:h="16838" w:code="9"/>
          <w:pgMar w:top="1191" w:right="851" w:bottom="1225" w:left="1077" w:header="709" w:footer="709" w:gutter="0"/>
          <w:cols w:space="720"/>
          <w:docGrid w:linePitch="360"/>
        </w:sectPr>
      </w:pPr>
      <w:r>
        <w:rPr>
          <w:noProof/>
          <w:lang w:val="en-GB" w:eastAsia="en-GB"/>
        </w:rPr>
        <w:lastRenderedPageBreak/>
        <mc:AlternateContent>
          <mc:Choice Requires="wps">
            <w:drawing>
              <wp:anchor distT="0" distB="0" distL="114300" distR="114300" simplePos="0" relativeHeight="251652608" behindDoc="0" locked="0" layoutInCell="1" allowOverlap="1">
                <wp:simplePos x="0" y="0"/>
                <wp:positionH relativeFrom="column">
                  <wp:posOffset>2753360</wp:posOffset>
                </wp:positionH>
                <wp:positionV relativeFrom="paragraph">
                  <wp:posOffset>13970</wp:posOffset>
                </wp:positionV>
                <wp:extent cx="972185" cy="0"/>
                <wp:effectExtent l="8255" t="6985" r="10160" b="1206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F1C3B"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1.1pt" to="29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G6EwIAACkEAAAOAAAAZHJzL2Uyb0RvYy54bWysU8uu2jAQ3VfqP1jeQxKayy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" strokeweight="1pt"/>
            </w:pict>
          </mc:Fallback>
        </mc:AlternateContent>
      </w:r>
    </w:p>
    <w:p w:rsidR="00E76CD4" w:rsidRDefault="00E76CD4" w:rsidP="00E76CD4">
      <w:pPr>
        <w:rPr>
          <w:lang w:val="en-GB"/>
        </w:rPr>
      </w:pPr>
    </w:p>
    <w:p w:rsidR="008408A1" w:rsidRDefault="008408A1" w:rsidP="008408A1">
      <w:pPr>
        <w:rPr>
          <w:b/>
          <w:lang w:val="en-GB"/>
        </w:rPr>
      </w:pPr>
      <w:r w:rsidRPr="00621868">
        <w:rPr>
          <w:b/>
          <w:lang w:val="en-GB"/>
        </w:rPr>
        <w:t>Entry for the Table of Contents</w:t>
      </w:r>
      <w:r>
        <w:rPr>
          <w:lang w:val="en-GB"/>
        </w:rPr>
        <w:t xml:space="preserve"> (Please choose one layout</w:t>
      </w:r>
      <w:r w:rsidR="00830DDE">
        <w:rPr>
          <w:lang w:val="en-GB"/>
        </w:rPr>
        <w:t xml:space="preserve"> only</w:t>
      </w:r>
      <w:r>
        <w:rPr>
          <w:lang w:val="en-GB"/>
        </w:rPr>
        <w:t>)</w:t>
      </w:r>
    </w:p>
    <w:p w:rsidR="008408A1" w:rsidRPr="00621868" w:rsidRDefault="008408A1" w:rsidP="008408A1">
      <w:pPr>
        <w:rPr>
          <w:b/>
          <w:lang w:val="en-GB"/>
        </w:rPr>
      </w:pPr>
    </w:p>
    <w:p w:rsidR="008408A1" w:rsidRPr="00621868" w:rsidRDefault="008408A1" w:rsidP="008408A1">
      <w:pPr>
        <w:spacing w:after="240"/>
        <w:rPr>
          <w:lang w:val="en-GB"/>
        </w:rPr>
      </w:pPr>
      <w:r w:rsidRPr="00621868">
        <w:rPr>
          <w:lang w:val="en-GB"/>
        </w:rPr>
        <w:t>Layout 1:</w:t>
      </w:r>
    </w:p>
    <w:tbl>
      <w:tblPr>
        <w:tblW w:w="10036" w:type="dxa"/>
        <w:tblLayout w:type="fixed"/>
        <w:tblLook w:val="01E0" w:firstRow="1" w:lastRow="1" w:firstColumn="1" w:lastColumn="1" w:noHBand="0" w:noVBand="0"/>
      </w:tblPr>
      <w:tblGrid>
        <w:gridCol w:w="3157"/>
        <w:gridCol w:w="283"/>
        <w:gridCol w:w="3024"/>
        <w:gridCol w:w="289"/>
        <w:gridCol w:w="3283"/>
      </w:tblGrid>
      <w:tr w:rsidR="00862B2D" w:rsidRPr="00C66B6F">
        <w:tc>
          <w:tcPr>
            <w:tcW w:w="3119" w:type="dxa"/>
            <w:tcBorders>
              <w:top w:val="single" w:sz="8" w:space="0" w:color="FF0000"/>
              <w:bottom w:val="single" w:sz="8" w:space="0" w:color="FF0000"/>
            </w:tcBorders>
            <w:shd w:val="clear" w:color="auto" w:fill="auto"/>
            <w:tcMar>
              <w:right w:w="0" w:type="dxa"/>
            </w:tcMar>
          </w:tcPr>
          <w:p w:rsidR="00862B2D" w:rsidRPr="002A2A33" w:rsidRDefault="009F6B9E" w:rsidP="009F6B9E">
            <w:pPr>
              <w:pStyle w:val="ColumnTitleTOC"/>
              <w:spacing w:before="60" w:after="60"/>
              <w:jc w:val="left"/>
              <w:rPr>
                <w:rFonts w:ascii="Times New Roman" w:hAnsi="Times New Roman" w:cs="Times New Roman"/>
                <w:sz w:val="20"/>
                <w:szCs w:val="20"/>
              </w:rPr>
            </w:pPr>
            <w:r>
              <w:rPr>
                <w:rFonts w:ascii="Times New Roman" w:hAnsi="Times New Roman" w:cs="Times New Roman"/>
                <w:sz w:val="20"/>
                <w:szCs w:val="20"/>
              </w:rPr>
              <w:t>Synergistic Catalysis</w:t>
            </w:r>
            <w:r w:rsidR="00862B2D">
              <w:rPr>
                <w:rFonts w:ascii="Times New Roman" w:hAnsi="Times New Roman" w:cs="Times New Roman"/>
                <w:sz w:val="20"/>
                <w:szCs w:val="20"/>
              </w:rPr>
              <w:t xml:space="preserve">  </w:t>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r w:rsidR="00862B2D" w:rsidRPr="007164DD">
              <w:rPr>
                <w:rFonts w:ascii="Times New Roman" w:hAnsi="Times New Roman" w:cs="Times New Roman"/>
                <w:color w:val="FF0000"/>
                <w:sz w:val="20"/>
                <w:szCs w:val="20"/>
              </w:rPr>
              <w:sym w:font="Symbol" w:char="F02D"/>
            </w:r>
          </w:p>
        </w:tc>
        <w:tc>
          <w:tcPr>
            <w:tcW w:w="280" w:type="dxa"/>
            <w:vMerge w:val="restart"/>
            <w:shd w:val="clear" w:color="auto" w:fill="auto"/>
            <w:vAlign w:val="center"/>
          </w:tcPr>
          <w:p w:rsidR="00862B2D" w:rsidRPr="00BE4A2B" w:rsidRDefault="00862B2D" w:rsidP="00A60E0C">
            <w:pPr>
              <w:jc w:val="center"/>
              <w:rPr>
                <w:color w:val="000000"/>
                <w:sz w:val="18"/>
                <w:szCs w:val="18"/>
                <w:lang w:val="en-GB"/>
              </w:rPr>
            </w:pPr>
          </w:p>
        </w:tc>
        <w:tc>
          <w:tcPr>
            <w:tcW w:w="2987" w:type="dxa"/>
            <w:vMerge w:val="restart"/>
            <w:shd w:val="clear" w:color="auto" w:fill="F3F3F3"/>
            <w:vAlign w:val="center"/>
          </w:tcPr>
          <w:p w:rsidR="00862B2D" w:rsidRPr="00BE4A2B" w:rsidRDefault="00A60C00" w:rsidP="00A60E0C">
            <w:pPr>
              <w:jc w:val="center"/>
              <w:rPr>
                <w:color w:val="000000"/>
                <w:sz w:val="18"/>
                <w:szCs w:val="18"/>
                <w:lang w:val="en-GB"/>
              </w:rPr>
            </w:pPr>
            <w:r>
              <w:rPr>
                <w:noProof/>
                <w:color w:val="000000"/>
                <w:sz w:val="18"/>
                <w:szCs w:val="18"/>
                <w:lang w:val="en-GB" w:eastAsia="en-GB"/>
              </w:rPr>
              <w:object w:dxaOrig="1440" w:dyaOrig="1440">
                <v:shape id="_x0000_s1106" type="#_x0000_t75" style="position:absolute;left:0;text-align:left;margin-left:-3.8pt;margin-top:29.7pt;width:144.5pt;height:117.5pt;z-index:251661824;mso-position-horizontal-relative:text;mso-position-vertical-relative:text">
                  <v:imagedata r:id="rId27" o:title=""/>
                </v:shape>
                <o:OLEObject Type="Embed" ProgID="ChemDraw.Document.6.0" ShapeID="_x0000_s1106" DrawAspect="Content" ObjectID="_1474715687" r:id="rId28"/>
              </w:object>
            </w:r>
          </w:p>
        </w:tc>
        <w:tc>
          <w:tcPr>
            <w:tcW w:w="285" w:type="dxa"/>
            <w:vMerge w:val="restart"/>
            <w:shd w:val="clear" w:color="auto" w:fill="auto"/>
            <w:vAlign w:val="center"/>
          </w:tcPr>
          <w:p w:rsidR="00862B2D" w:rsidRPr="00BE4A2B" w:rsidRDefault="00862B2D" w:rsidP="00A60E0C">
            <w:pPr>
              <w:jc w:val="center"/>
              <w:rPr>
                <w:color w:val="000000"/>
                <w:sz w:val="18"/>
                <w:szCs w:val="18"/>
                <w:lang w:val="en-GB"/>
              </w:rPr>
            </w:pPr>
          </w:p>
        </w:tc>
        <w:tc>
          <w:tcPr>
            <w:tcW w:w="3243" w:type="dxa"/>
            <w:vMerge w:val="restart"/>
          </w:tcPr>
          <w:p w:rsidR="00862B2D" w:rsidRPr="000D0065" w:rsidRDefault="00007A3F" w:rsidP="009F6B9E">
            <w:pPr>
              <w:pStyle w:val="TableOfContentText"/>
            </w:pPr>
            <w:r w:rsidRPr="00CB0F05">
              <w:t>We report a novel catalytic enantioselective methodology based on synergistic catalysis. The strategy involves (i) the metal-Lewis-acid activation of alkylazaarenes and (ii) the secondary-amine activation of enals. Consequently, highly functionalized chiral alkylazaarenes were obtained in good yields and with reasonable stereoselectivity</w:t>
            </w:r>
            <w:r w:rsidR="009F6B9E">
              <w:t>.</w:t>
            </w:r>
          </w:p>
        </w:tc>
      </w:tr>
      <w:tr w:rsidR="002F33FA" w:rsidRPr="00C66B6F">
        <w:trPr>
          <w:trHeight w:val="2779"/>
        </w:trPr>
        <w:tc>
          <w:tcPr>
            <w:tcW w:w="3119" w:type="dxa"/>
            <w:tcBorders>
              <w:top w:val="single" w:sz="8" w:space="0" w:color="FF0000"/>
            </w:tcBorders>
            <w:shd w:val="clear" w:color="auto" w:fill="auto"/>
          </w:tcPr>
          <w:p w:rsidR="002F33FA" w:rsidRPr="00954442" w:rsidRDefault="009F6B9E" w:rsidP="00A60E0C">
            <w:pPr>
              <w:pStyle w:val="AuthorsTOC"/>
            </w:pPr>
            <w:r>
              <w:t xml:space="preserve">Marta Meazza, Victor Ceban, </w:t>
            </w:r>
            <w:r w:rsidRPr="00712FE4">
              <w:t xml:space="preserve">Mateusz B. </w:t>
            </w:r>
            <w:r>
              <w:t>Pitak</w:t>
            </w:r>
            <w:r w:rsidRPr="00712FE4">
              <w:t>, Simon J. Coles</w:t>
            </w:r>
            <w:r>
              <w:t xml:space="preserve"> and Ramon Rios</w:t>
            </w:r>
            <w:r w:rsidR="002F33FA">
              <w:t>*</w:t>
            </w:r>
            <w:r w:rsidR="002F33FA" w:rsidRPr="002A2A33">
              <w:rPr>
                <w:i w:val="0"/>
              </w:rPr>
              <w:t>………… Page – Page</w:t>
            </w:r>
          </w:p>
          <w:p w:rsidR="002F33FA" w:rsidRPr="00954442" w:rsidRDefault="009F6B9E" w:rsidP="00A60E0C">
            <w:pPr>
              <w:pStyle w:val="TitleTOC"/>
            </w:pPr>
            <w:r w:rsidRPr="00461FCF">
              <w:t>Synergistic catalysis: Enantioselective addition of alkylbenzoxazoles to enals</w:t>
            </w:r>
          </w:p>
        </w:tc>
        <w:tc>
          <w:tcPr>
            <w:tcW w:w="280" w:type="dxa"/>
            <w:vMerge/>
            <w:shd w:val="clear" w:color="auto" w:fill="auto"/>
          </w:tcPr>
          <w:p w:rsidR="002F33FA" w:rsidRPr="00A70B86" w:rsidRDefault="002F33FA" w:rsidP="00A60E0C">
            <w:pPr>
              <w:rPr>
                <w:lang w:val="en-GB"/>
              </w:rPr>
            </w:pPr>
          </w:p>
        </w:tc>
        <w:tc>
          <w:tcPr>
            <w:tcW w:w="2987" w:type="dxa"/>
            <w:vMerge/>
            <w:shd w:val="clear" w:color="auto" w:fill="F3F3F3"/>
          </w:tcPr>
          <w:p w:rsidR="002F33FA" w:rsidRPr="00A70B86" w:rsidRDefault="002F33FA" w:rsidP="00A60E0C">
            <w:pPr>
              <w:rPr>
                <w:lang w:val="en-GB"/>
              </w:rPr>
            </w:pPr>
          </w:p>
        </w:tc>
        <w:tc>
          <w:tcPr>
            <w:tcW w:w="285" w:type="dxa"/>
            <w:vMerge/>
            <w:shd w:val="clear" w:color="auto" w:fill="auto"/>
          </w:tcPr>
          <w:p w:rsidR="002F33FA" w:rsidRPr="00A70B86" w:rsidRDefault="002F33FA" w:rsidP="00A60E0C">
            <w:pPr>
              <w:rPr>
                <w:lang w:val="en-GB"/>
              </w:rPr>
            </w:pPr>
          </w:p>
        </w:tc>
        <w:tc>
          <w:tcPr>
            <w:tcW w:w="3243" w:type="dxa"/>
            <w:vMerge/>
          </w:tcPr>
          <w:p w:rsidR="002F33FA" w:rsidRPr="00A70B86" w:rsidRDefault="002F33FA" w:rsidP="00A60E0C">
            <w:pPr>
              <w:rPr>
                <w:lang w:val="en-GB"/>
              </w:rPr>
            </w:pPr>
          </w:p>
        </w:tc>
      </w:tr>
    </w:tbl>
    <w:p w:rsidR="008408A1" w:rsidRPr="00B31134" w:rsidRDefault="008408A1" w:rsidP="008408A1">
      <w:pPr>
        <w:rPr>
          <w:lang w:val="en-GB"/>
        </w:rPr>
      </w:pPr>
    </w:p>
    <w:p w:rsidR="008408A1" w:rsidRPr="00B31134" w:rsidRDefault="008408A1" w:rsidP="008408A1">
      <w:pPr>
        <w:rPr>
          <w:lang w:val="en-GB"/>
        </w:rPr>
      </w:pPr>
    </w:p>
    <w:p w:rsidR="008408A1" w:rsidRPr="00DF7867" w:rsidRDefault="008408A1" w:rsidP="008408A1">
      <w:pPr>
        <w:rPr>
          <w:lang w:val="en-GB"/>
        </w:rPr>
      </w:pPr>
    </w:p>
    <w:p w:rsidR="008408A1" w:rsidRPr="00DF7867" w:rsidRDefault="008408A1" w:rsidP="008408A1">
      <w:pPr>
        <w:rPr>
          <w:lang w:val="en-GB"/>
        </w:rPr>
      </w:pPr>
    </w:p>
    <w:p w:rsidR="008408A1" w:rsidRDefault="008408A1" w:rsidP="00E76CD4">
      <w:pPr>
        <w:rPr>
          <w:lang w:val="en-GB"/>
        </w:rPr>
      </w:pPr>
    </w:p>
    <w:sectPr w:rsidR="008408A1" w:rsidSect="0090579F">
      <w:pgSz w:w="11906" w:h="16838" w:code="9"/>
      <w:pgMar w:top="1191" w:right="851" w:bottom="1225" w:left="107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C00" w:rsidRDefault="00A60C00">
      <w:r>
        <w:separator/>
      </w:r>
    </w:p>
  </w:endnote>
  <w:endnote w:type="continuationSeparator" w:id="0">
    <w:p w:rsidR="00A60C00" w:rsidRDefault="00A6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dvPS497E2">
    <w:panose1 w:val="00000000000000000000"/>
    <w:charset w:val="00"/>
    <w:family w:val="roman"/>
    <w:notTrueType/>
    <w:pitch w:val="default"/>
    <w:sig w:usb0="00000003" w:usb1="00000000" w:usb2="00000000" w:usb3="00000000" w:csb0="00000001" w:csb1="00000000"/>
  </w:font>
  <w:font w:name="AdvPS497E3">
    <w:altName w:val="Times New Roman"/>
    <w:panose1 w:val="00000000000000000000"/>
    <w:charset w:val="00"/>
    <w:family w:val="roman"/>
    <w:notTrueType/>
    <w:pitch w:val="default"/>
    <w:sig w:usb0="00000003" w:usb1="00000000" w:usb2="00000000" w:usb3="00000000" w:csb0="00000001" w:csb1="00000000"/>
  </w:font>
  <w:font w:name="AdvPS497E4">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FA4" w:rsidRDefault="00915FA4" w:rsidP="00547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5FA4" w:rsidRDefault="00915FA4" w:rsidP="00547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FA4" w:rsidRDefault="00915FA4" w:rsidP="005472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8D3">
      <w:rPr>
        <w:rStyle w:val="PageNumber"/>
        <w:noProof/>
      </w:rPr>
      <w:t>1</w:t>
    </w:r>
    <w:r>
      <w:rPr>
        <w:rStyle w:val="PageNumber"/>
      </w:rPr>
      <w:fldChar w:fldCharType="end"/>
    </w:r>
  </w:p>
  <w:p w:rsidR="00915FA4" w:rsidRDefault="00915FA4" w:rsidP="005472E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25" w:rsidRDefault="00972425" w:rsidP="00A04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425" w:rsidRDefault="00972425" w:rsidP="0097242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25" w:rsidRDefault="00972425" w:rsidP="00A044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8D3">
      <w:rPr>
        <w:rStyle w:val="PageNumber"/>
        <w:noProof/>
      </w:rPr>
      <w:t>2</w:t>
    </w:r>
    <w:r>
      <w:rPr>
        <w:rStyle w:val="PageNumber"/>
      </w:rPr>
      <w:fldChar w:fldCharType="end"/>
    </w:r>
  </w:p>
  <w:p w:rsidR="00972425" w:rsidRDefault="00972425" w:rsidP="009724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C00" w:rsidRDefault="00A60C00">
      <w:r>
        <w:separator/>
      </w:r>
    </w:p>
  </w:footnote>
  <w:footnote w:type="continuationSeparator" w:id="0">
    <w:p w:rsidR="00A60C00" w:rsidRDefault="00A60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255"/>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5B"/>
    <w:rsid w:val="0000214A"/>
    <w:rsid w:val="0000457A"/>
    <w:rsid w:val="00007A3F"/>
    <w:rsid w:val="00010410"/>
    <w:rsid w:val="00011D51"/>
    <w:rsid w:val="00012F4A"/>
    <w:rsid w:val="000153F8"/>
    <w:rsid w:val="00022DB4"/>
    <w:rsid w:val="00033C26"/>
    <w:rsid w:val="00033D1A"/>
    <w:rsid w:val="00033F43"/>
    <w:rsid w:val="0003437C"/>
    <w:rsid w:val="00036490"/>
    <w:rsid w:val="0004091A"/>
    <w:rsid w:val="00042BF0"/>
    <w:rsid w:val="00045AB9"/>
    <w:rsid w:val="0005096E"/>
    <w:rsid w:val="0005140E"/>
    <w:rsid w:val="00055485"/>
    <w:rsid w:val="00061D24"/>
    <w:rsid w:val="0006281D"/>
    <w:rsid w:val="00063E0F"/>
    <w:rsid w:val="0006489B"/>
    <w:rsid w:val="0006694D"/>
    <w:rsid w:val="000669E3"/>
    <w:rsid w:val="00066B8E"/>
    <w:rsid w:val="00070B55"/>
    <w:rsid w:val="00070E0D"/>
    <w:rsid w:val="00077560"/>
    <w:rsid w:val="0008077D"/>
    <w:rsid w:val="0009539C"/>
    <w:rsid w:val="00095C2F"/>
    <w:rsid w:val="000A37F3"/>
    <w:rsid w:val="000A77DC"/>
    <w:rsid w:val="000B6DF3"/>
    <w:rsid w:val="000C1DBD"/>
    <w:rsid w:val="000C53F1"/>
    <w:rsid w:val="000C7CB0"/>
    <w:rsid w:val="000D4DA1"/>
    <w:rsid w:val="000D70F8"/>
    <w:rsid w:val="000D75B7"/>
    <w:rsid w:val="000D7701"/>
    <w:rsid w:val="000E0979"/>
    <w:rsid w:val="000E0CEA"/>
    <w:rsid w:val="000E0EC4"/>
    <w:rsid w:val="000E1C81"/>
    <w:rsid w:val="000E5FDC"/>
    <w:rsid w:val="000F29A4"/>
    <w:rsid w:val="000F2EA1"/>
    <w:rsid w:val="000F5BD1"/>
    <w:rsid w:val="000F7847"/>
    <w:rsid w:val="00102F17"/>
    <w:rsid w:val="001037A1"/>
    <w:rsid w:val="00103EF7"/>
    <w:rsid w:val="00104119"/>
    <w:rsid w:val="00105F97"/>
    <w:rsid w:val="001158DE"/>
    <w:rsid w:val="00120F2E"/>
    <w:rsid w:val="001237B3"/>
    <w:rsid w:val="0012381E"/>
    <w:rsid w:val="001322FF"/>
    <w:rsid w:val="0013288F"/>
    <w:rsid w:val="0013316F"/>
    <w:rsid w:val="001348CD"/>
    <w:rsid w:val="0014043E"/>
    <w:rsid w:val="00141356"/>
    <w:rsid w:val="00143551"/>
    <w:rsid w:val="00143B89"/>
    <w:rsid w:val="001467D7"/>
    <w:rsid w:val="001475BF"/>
    <w:rsid w:val="00152E6D"/>
    <w:rsid w:val="00155FB7"/>
    <w:rsid w:val="00157C67"/>
    <w:rsid w:val="0016203E"/>
    <w:rsid w:val="001639AE"/>
    <w:rsid w:val="00166BEB"/>
    <w:rsid w:val="00166D41"/>
    <w:rsid w:val="001678B6"/>
    <w:rsid w:val="001732A4"/>
    <w:rsid w:val="001800AA"/>
    <w:rsid w:val="0018165B"/>
    <w:rsid w:val="00184380"/>
    <w:rsid w:val="00186601"/>
    <w:rsid w:val="0019014F"/>
    <w:rsid w:val="00194818"/>
    <w:rsid w:val="00194A21"/>
    <w:rsid w:val="00196DEB"/>
    <w:rsid w:val="00197F42"/>
    <w:rsid w:val="001A0D55"/>
    <w:rsid w:val="001A3120"/>
    <w:rsid w:val="001A39AE"/>
    <w:rsid w:val="001A438D"/>
    <w:rsid w:val="001C21E3"/>
    <w:rsid w:val="001C26A7"/>
    <w:rsid w:val="001D1155"/>
    <w:rsid w:val="001D13EA"/>
    <w:rsid w:val="001D216B"/>
    <w:rsid w:val="001D29CA"/>
    <w:rsid w:val="001D54CA"/>
    <w:rsid w:val="001E164A"/>
    <w:rsid w:val="001F16EF"/>
    <w:rsid w:val="001F1A2D"/>
    <w:rsid w:val="001F4235"/>
    <w:rsid w:val="001F4EE4"/>
    <w:rsid w:val="00213D0E"/>
    <w:rsid w:val="00220527"/>
    <w:rsid w:val="00222D97"/>
    <w:rsid w:val="0022537E"/>
    <w:rsid w:val="0022582C"/>
    <w:rsid w:val="002276A1"/>
    <w:rsid w:val="00230CA3"/>
    <w:rsid w:val="00232C14"/>
    <w:rsid w:val="002362C7"/>
    <w:rsid w:val="00241D85"/>
    <w:rsid w:val="00242E54"/>
    <w:rsid w:val="002433F0"/>
    <w:rsid w:val="00260EDA"/>
    <w:rsid w:val="00261387"/>
    <w:rsid w:val="00261882"/>
    <w:rsid w:val="00265DCA"/>
    <w:rsid w:val="002702BC"/>
    <w:rsid w:val="0027068B"/>
    <w:rsid w:val="00287256"/>
    <w:rsid w:val="00287B32"/>
    <w:rsid w:val="00291DE8"/>
    <w:rsid w:val="002A1017"/>
    <w:rsid w:val="002A2A33"/>
    <w:rsid w:val="002A36FA"/>
    <w:rsid w:val="002A4898"/>
    <w:rsid w:val="002A561E"/>
    <w:rsid w:val="002A60E4"/>
    <w:rsid w:val="002A69D1"/>
    <w:rsid w:val="002B22BA"/>
    <w:rsid w:val="002B25E2"/>
    <w:rsid w:val="002B395C"/>
    <w:rsid w:val="002B7CA9"/>
    <w:rsid w:val="002D0B17"/>
    <w:rsid w:val="002D24CB"/>
    <w:rsid w:val="002D5148"/>
    <w:rsid w:val="002E066F"/>
    <w:rsid w:val="002E2CA8"/>
    <w:rsid w:val="002F0269"/>
    <w:rsid w:val="002F119C"/>
    <w:rsid w:val="002F17FB"/>
    <w:rsid w:val="002F33FA"/>
    <w:rsid w:val="002F6A4C"/>
    <w:rsid w:val="002F73A5"/>
    <w:rsid w:val="003006A7"/>
    <w:rsid w:val="00301167"/>
    <w:rsid w:val="00301D1E"/>
    <w:rsid w:val="00303FBE"/>
    <w:rsid w:val="003079D2"/>
    <w:rsid w:val="003116F4"/>
    <w:rsid w:val="00312ED2"/>
    <w:rsid w:val="00320343"/>
    <w:rsid w:val="0032048F"/>
    <w:rsid w:val="003219A5"/>
    <w:rsid w:val="00322D02"/>
    <w:rsid w:val="00322E1F"/>
    <w:rsid w:val="00323FC3"/>
    <w:rsid w:val="00325147"/>
    <w:rsid w:val="003254D1"/>
    <w:rsid w:val="00325516"/>
    <w:rsid w:val="003275FF"/>
    <w:rsid w:val="0033054D"/>
    <w:rsid w:val="003309A7"/>
    <w:rsid w:val="00331B5E"/>
    <w:rsid w:val="00333FAD"/>
    <w:rsid w:val="0033586B"/>
    <w:rsid w:val="00336A5A"/>
    <w:rsid w:val="00337A27"/>
    <w:rsid w:val="003403BB"/>
    <w:rsid w:val="00340A08"/>
    <w:rsid w:val="003447D7"/>
    <w:rsid w:val="00354B57"/>
    <w:rsid w:val="00364753"/>
    <w:rsid w:val="00364A2A"/>
    <w:rsid w:val="003657B6"/>
    <w:rsid w:val="00366676"/>
    <w:rsid w:val="00367885"/>
    <w:rsid w:val="00375415"/>
    <w:rsid w:val="00376F37"/>
    <w:rsid w:val="0038229C"/>
    <w:rsid w:val="0038506F"/>
    <w:rsid w:val="00390DD7"/>
    <w:rsid w:val="00396BE2"/>
    <w:rsid w:val="003B04BA"/>
    <w:rsid w:val="003B0FC4"/>
    <w:rsid w:val="003B70C8"/>
    <w:rsid w:val="003C134A"/>
    <w:rsid w:val="003C1CCA"/>
    <w:rsid w:val="003C2972"/>
    <w:rsid w:val="003C2C9C"/>
    <w:rsid w:val="003D0F51"/>
    <w:rsid w:val="003D2E7B"/>
    <w:rsid w:val="003D7401"/>
    <w:rsid w:val="003E13D0"/>
    <w:rsid w:val="003E54CD"/>
    <w:rsid w:val="003E7319"/>
    <w:rsid w:val="003F2556"/>
    <w:rsid w:val="003F50D4"/>
    <w:rsid w:val="0040080D"/>
    <w:rsid w:val="0040270E"/>
    <w:rsid w:val="00403876"/>
    <w:rsid w:val="004062B1"/>
    <w:rsid w:val="004070B6"/>
    <w:rsid w:val="004072DD"/>
    <w:rsid w:val="00412559"/>
    <w:rsid w:val="00414412"/>
    <w:rsid w:val="00415971"/>
    <w:rsid w:val="00416B05"/>
    <w:rsid w:val="00422AFE"/>
    <w:rsid w:val="00423593"/>
    <w:rsid w:val="00424978"/>
    <w:rsid w:val="0042545B"/>
    <w:rsid w:val="00427CBD"/>
    <w:rsid w:val="00431151"/>
    <w:rsid w:val="00432307"/>
    <w:rsid w:val="00436338"/>
    <w:rsid w:val="00437B5A"/>
    <w:rsid w:val="004404EE"/>
    <w:rsid w:val="00444E3C"/>
    <w:rsid w:val="00445D5C"/>
    <w:rsid w:val="004465F9"/>
    <w:rsid w:val="004466B0"/>
    <w:rsid w:val="0044738E"/>
    <w:rsid w:val="00454A2D"/>
    <w:rsid w:val="004609E1"/>
    <w:rsid w:val="00460C28"/>
    <w:rsid w:val="00461B31"/>
    <w:rsid w:val="00461BD2"/>
    <w:rsid w:val="00462A09"/>
    <w:rsid w:val="004657E8"/>
    <w:rsid w:val="00467873"/>
    <w:rsid w:val="00467E99"/>
    <w:rsid w:val="00470790"/>
    <w:rsid w:val="00472BA3"/>
    <w:rsid w:val="00473029"/>
    <w:rsid w:val="00473EE4"/>
    <w:rsid w:val="00477B4C"/>
    <w:rsid w:val="00477B99"/>
    <w:rsid w:val="00485C84"/>
    <w:rsid w:val="00486215"/>
    <w:rsid w:val="0048630D"/>
    <w:rsid w:val="004921CF"/>
    <w:rsid w:val="004A0BA8"/>
    <w:rsid w:val="004A489D"/>
    <w:rsid w:val="004A4A2E"/>
    <w:rsid w:val="004A4CD0"/>
    <w:rsid w:val="004A73A8"/>
    <w:rsid w:val="004A75D5"/>
    <w:rsid w:val="004A771F"/>
    <w:rsid w:val="004B004E"/>
    <w:rsid w:val="004B0589"/>
    <w:rsid w:val="004B1783"/>
    <w:rsid w:val="004B65AE"/>
    <w:rsid w:val="004B7661"/>
    <w:rsid w:val="004C1836"/>
    <w:rsid w:val="004C2834"/>
    <w:rsid w:val="004C2FAC"/>
    <w:rsid w:val="004C3CC9"/>
    <w:rsid w:val="004C471F"/>
    <w:rsid w:val="004C5F41"/>
    <w:rsid w:val="004C6D04"/>
    <w:rsid w:val="004D090A"/>
    <w:rsid w:val="004D31C6"/>
    <w:rsid w:val="004D4293"/>
    <w:rsid w:val="004D5ABB"/>
    <w:rsid w:val="004E3F83"/>
    <w:rsid w:val="004E4A53"/>
    <w:rsid w:val="004E4DFF"/>
    <w:rsid w:val="004E74F4"/>
    <w:rsid w:val="004F0129"/>
    <w:rsid w:val="004F257F"/>
    <w:rsid w:val="00501639"/>
    <w:rsid w:val="00501EFF"/>
    <w:rsid w:val="0050277D"/>
    <w:rsid w:val="0050689B"/>
    <w:rsid w:val="005068AA"/>
    <w:rsid w:val="00506EDB"/>
    <w:rsid w:val="00511093"/>
    <w:rsid w:val="00512A8E"/>
    <w:rsid w:val="00520422"/>
    <w:rsid w:val="0052085F"/>
    <w:rsid w:val="0052404D"/>
    <w:rsid w:val="00527BE9"/>
    <w:rsid w:val="00530284"/>
    <w:rsid w:val="0053418A"/>
    <w:rsid w:val="00537F36"/>
    <w:rsid w:val="00541205"/>
    <w:rsid w:val="005433DE"/>
    <w:rsid w:val="0054420E"/>
    <w:rsid w:val="005472E5"/>
    <w:rsid w:val="0055057E"/>
    <w:rsid w:val="00550B0C"/>
    <w:rsid w:val="0055113D"/>
    <w:rsid w:val="005551F3"/>
    <w:rsid w:val="00556A65"/>
    <w:rsid w:val="00561C0E"/>
    <w:rsid w:val="00567C18"/>
    <w:rsid w:val="005735B3"/>
    <w:rsid w:val="005801F0"/>
    <w:rsid w:val="005826CC"/>
    <w:rsid w:val="005839B9"/>
    <w:rsid w:val="00586DF8"/>
    <w:rsid w:val="00591AB8"/>
    <w:rsid w:val="00592ACC"/>
    <w:rsid w:val="00597954"/>
    <w:rsid w:val="005A3E5B"/>
    <w:rsid w:val="005A5B2D"/>
    <w:rsid w:val="005B10C2"/>
    <w:rsid w:val="005B3509"/>
    <w:rsid w:val="005B430B"/>
    <w:rsid w:val="005B5D4F"/>
    <w:rsid w:val="005B6716"/>
    <w:rsid w:val="005B6C80"/>
    <w:rsid w:val="005C4F38"/>
    <w:rsid w:val="005C5196"/>
    <w:rsid w:val="005D43FD"/>
    <w:rsid w:val="005D65E6"/>
    <w:rsid w:val="005F19CB"/>
    <w:rsid w:val="006011C8"/>
    <w:rsid w:val="006024FD"/>
    <w:rsid w:val="006028F3"/>
    <w:rsid w:val="0060310C"/>
    <w:rsid w:val="00605FAC"/>
    <w:rsid w:val="00617AC8"/>
    <w:rsid w:val="006200AB"/>
    <w:rsid w:val="00620450"/>
    <w:rsid w:val="00620911"/>
    <w:rsid w:val="00620C61"/>
    <w:rsid w:val="00627F57"/>
    <w:rsid w:val="006300B1"/>
    <w:rsid w:val="00647525"/>
    <w:rsid w:val="006479FE"/>
    <w:rsid w:val="00654E17"/>
    <w:rsid w:val="0066216C"/>
    <w:rsid w:val="006675EA"/>
    <w:rsid w:val="00671E1E"/>
    <w:rsid w:val="006722A0"/>
    <w:rsid w:val="006724B9"/>
    <w:rsid w:val="00672587"/>
    <w:rsid w:val="0067512C"/>
    <w:rsid w:val="00677AB5"/>
    <w:rsid w:val="006812E2"/>
    <w:rsid w:val="00681A96"/>
    <w:rsid w:val="00685DA5"/>
    <w:rsid w:val="00694EC1"/>
    <w:rsid w:val="006956E5"/>
    <w:rsid w:val="0069644B"/>
    <w:rsid w:val="006976AD"/>
    <w:rsid w:val="00697E3B"/>
    <w:rsid w:val="006A6116"/>
    <w:rsid w:val="006A7E4F"/>
    <w:rsid w:val="006B369F"/>
    <w:rsid w:val="006B4DC6"/>
    <w:rsid w:val="006B4E8D"/>
    <w:rsid w:val="006B5DE9"/>
    <w:rsid w:val="006B6806"/>
    <w:rsid w:val="006B72C2"/>
    <w:rsid w:val="006C2DBE"/>
    <w:rsid w:val="006C5C46"/>
    <w:rsid w:val="006C5F03"/>
    <w:rsid w:val="006C6BFE"/>
    <w:rsid w:val="006C6D39"/>
    <w:rsid w:val="006C7F18"/>
    <w:rsid w:val="006D02C0"/>
    <w:rsid w:val="006D184F"/>
    <w:rsid w:val="006D2D7B"/>
    <w:rsid w:val="006D3595"/>
    <w:rsid w:val="006D6793"/>
    <w:rsid w:val="006E5BEA"/>
    <w:rsid w:val="006F0EB7"/>
    <w:rsid w:val="00700F72"/>
    <w:rsid w:val="00701830"/>
    <w:rsid w:val="00702F63"/>
    <w:rsid w:val="00711E9D"/>
    <w:rsid w:val="00712D8A"/>
    <w:rsid w:val="007130CE"/>
    <w:rsid w:val="00714DB9"/>
    <w:rsid w:val="00714DC9"/>
    <w:rsid w:val="007164DD"/>
    <w:rsid w:val="0071700B"/>
    <w:rsid w:val="00717BD5"/>
    <w:rsid w:val="00720FED"/>
    <w:rsid w:val="007226E8"/>
    <w:rsid w:val="007249D7"/>
    <w:rsid w:val="007252DA"/>
    <w:rsid w:val="00732798"/>
    <w:rsid w:val="00733CDD"/>
    <w:rsid w:val="00737264"/>
    <w:rsid w:val="00740CE1"/>
    <w:rsid w:val="00741B47"/>
    <w:rsid w:val="00746C0D"/>
    <w:rsid w:val="00750326"/>
    <w:rsid w:val="007540C9"/>
    <w:rsid w:val="00757401"/>
    <w:rsid w:val="00757673"/>
    <w:rsid w:val="007576FA"/>
    <w:rsid w:val="00757C71"/>
    <w:rsid w:val="00763D77"/>
    <w:rsid w:val="00763EDE"/>
    <w:rsid w:val="00764F01"/>
    <w:rsid w:val="00765C4D"/>
    <w:rsid w:val="00773D16"/>
    <w:rsid w:val="007740A8"/>
    <w:rsid w:val="00775C8A"/>
    <w:rsid w:val="00775F73"/>
    <w:rsid w:val="007815C4"/>
    <w:rsid w:val="00783FBE"/>
    <w:rsid w:val="0078628B"/>
    <w:rsid w:val="0078784C"/>
    <w:rsid w:val="007958BF"/>
    <w:rsid w:val="007962F1"/>
    <w:rsid w:val="007A2A25"/>
    <w:rsid w:val="007A7E01"/>
    <w:rsid w:val="007B58D3"/>
    <w:rsid w:val="007B6A97"/>
    <w:rsid w:val="007C3D60"/>
    <w:rsid w:val="007C439D"/>
    <w:rsid w:val="007C672F"/>
    <w:rsid w:val="007D0701"/>
    <w:rsid w:val="007E2CB8"/>
    <w:rsid w:val="007E52D5"/>
    <w:rsid w:val="007E6725"/>
    <w:rsid w:val="007E7187"/>
    <w:rsid w:val="007F00BA"/>
    <w:rsid w:val="007F46F6"/>
    <w:rsid w:val="007F66E6"/>
    <w:rsid w:val="007F68CC"/>
    <w:rsid w:val="00804822"/>
    <w:rsid w:val="00813005"/>
    <w:rsid w:val="00813FEF"/>
    <w:rsid w:val="008249B7"/>
    <w:rsid w:val="00826879"/>
    <w:rsid w:val="008272FD"/>
    <w:rsid w:val="00827A4E"/>
    <w:rsid w:val="00830DDE"/>
    <w:rsid w:val="008321C3"/>
    <w:rsid w:val="00832891"/>
    <w:rsid w:val="008339A8"/>
    <w:rsid w:val="00836959"/>
    <w:rsid w:val="008408A1"/>
    <w:rsid w:val="0084545D"/>
    <w:rsid w:val="008476CB"/>
    <w:rsid w:val="00847D4E"/>
    <w:rsid w:val="00851D03"/>
    <w:rsid w:val="008536CE"/>
    <w:rsid w:val="00855988"/>
    <w:rsid w:val="00860C40"/>
    <w:rsid w:val="00862A5B"/>
    <w:rsid w:val="00862B2D"/>
    <w:rsid w:val="00862D4C"/>
    <w:rsid w:val="00865C7C"/>
    <w:rsid w:val="00870558"/>
    <w:rsid w:val="00873E64"/>
    <w:rsid w:val="00875FFC"/>
    <w:rsid w:val="008773A8"/>
    <w:rsid w:val="00886901"/>
    <w:rsid w:val="008935DC"/>
    <w:rsid w:val="00896608"/>
    <w:rsid w:val="008A75A2"/>
    <w:rsid w:val="008C0905"/>
    <w:rsid w:val="008C26A3"/>
    <w:rsid w:val="008C4A56"/>
    <w:rsid w:val="008D05CC"/>
    <w:rsid w:val="008D306F"/>
    <w:rsid w:val="008D3912"/>
    <w:rsid w:val="008E4C32"/>
    <w:rsid w:val="008F3789"/>
    <w:rsid w:val="008F5663"/>
    <w:rsid w:val="008F6D3F"/>
    <w:rsid w:val="008F71A1"/>
    <w:rsid w:val="008F7FE1"/>
    <w:rsid w:val="00900B9E"/>
    <w:rsid w:val="00901A45"/>
    <w:rsid w:val="00902AF3"/>
    <w:rsid w:val="00903D94"/>
    <w:rsid w:val="0090579F"/>
    <w:rsid w:val="0090736F"/>
    <w:rsid w:val="00914627"/>
    <w:rsid w:val="00915FA4"/>
    <w:rsid w:val="009179FB"/>
    <w:rsid w:val="009203FD"/>
    <w:rsid w:val="009264DF"/>
    <w:rsid w:val="00941003"/>
    <w:rsid w:val="009425B3"/>
    <w:rsid w:val="00945BF2"/>
    <w:rsid w:val="0094711E"/>
    <w:rsid w:val="00952951"/>
    <w:rsid w:val="00953A07"/>
    <w:rsid w:val="00954442"/>
    <w:rsid w:val="00957398"/>
    <w:rsid w:val="0096219B"/>
    <w:rsid w:val="00963289"/>
    <w:rsid w:val="009658DA"/>
    <w:rsid w:val="0096675F"/>
    <w:rsid w:val="00966884"/>
    <w:rsid w:val="00971D8C"/>
    <w:rsid w:val="00972425"/>
    <w:rsid w:val="009733F5"/>
    <w:rsid w:val="00985782"/>
    <w:rsid w:val="0098683C"/>
    <w:rsid w:val="009923A9"/>
    <w:rsid w:val="009964CD"/>
    <w:rsid w:val="00997637"/>
    <w:rsid w:val="009A27D2"/>
    <w:rsid w:val="009B5513"/>
    <w:rsid w:val="009B626F"/>
    <w:rsid w:val="009B7251"/>
    <w:rsid w:val="009C0ABF"/>
    <w:rsid w:val="009D14CA"/>
    <w:rsid w:val="009D5757"/>
    <w:rsid w:val="009E1D78"/>
    <w:rsid w:val="009E4B5E"/>
    <w:rsid w:val="009E5B17"/>
    <w:rsid w:val="009E78B5"/>
    <w:rsid w:val="009E798E"/>
    <w:rsid w:val="009F1127"/>
    <w:rsid w:val="009F6358"/>
    <w:rsid w:val="009F6B9E"/>
    <w:rsid w:val="009F6FBF"/>
    <w:rsid w:val="009F70DC"/>
    <w:rsid w:val="00A02C15"/>
    <w:rsid w:val="00A0349A"/>
    <w:rsid w:val="00A04427"/>
    <w:rsid w:val="00A04B91"/>
    <w:rsid w:val="00A069E1"/>
    <w:rsid w:val="00A1019C"/>
    <w:rsid w:val="00A11648"/>
    <w:rsid w:val="00A2029A"/>
    <w:rsid w:val="00A20B68"/>
    <w:rsid w:val="00A24878"/>
    <w:rsid w:val="00A26E89"/>
    <w:rsid w:val="00A30DC0"/>
    <w:rsid w:val="00A32D0C"/>
    <w:rsid w:val="00A3587B"/>
    <w:rsid w:val="00A41956"/>
    <w:rsid w:val="00A43EB3"/>
    <w:rsid w:val="00A47DD9"/>
    <w:rsid w:val="00A50FB9"/>
    <w:rsid w:val="00A51F4E"/>
    <w:rsid w:val="00A5397B"/>
    <w:rsid w:val="00A54DA6"/>
    <w:rsid w:val="00A60C00"/>
    <w:rsid w:val="00A60E0C"/>
    <w:rsid w:val="00A6116D"/>
    <w:rsid w:val="00A61ED2"/>
    <w:rsid w:val="00A652AE"/>
    <w:rsid w:val="00A72188"/>
    <w:rsid w:val="00A734EF"/>
    <w:rsid w:val="00A737D3"/>
    <w:rsid w:val="00A73873"/>
    <w:rsid w:val="00A8041F"/>
    <w:rsid w:val="00A8062A"/>
    <w:rsid w:val="00A807A5"/>
    <w:rsid w:val="00A842F8"/>
    <w:rsid w:val="00A85F7C"/>
    <w:rsid w:val="00A87B0A"/>
    <w:rsid w:val="00A93198"/>
    <w:rsid w:val="00A9668D"/>
    <w:rsid w:val="00A97137"/>
    <w:rsid w:val="00AA1BF0"/>
    <w:rsid w:val="00AA4441"/>
    <w:rsid w:val="00AA5045"/>
    <w:rsid w:val="00AA73FE"/>
    <w:rsid w:val="00AB14AF"/>
    <w:rsid w:val="00AC390C"/>
    <w:rsid w:val="00AC51F3"/>
    <w:rsid w:val="00AC532F"/>
    <w:rsid w:val="00AC710B"/>
    <w:rsid w:val="00AD0B89"/>
    <w:rsid w:val="00AD35EE"/>
    <w:rsid w:val="00AD47D4"/>
    <w:rsid w:val="00AD62D8"/>
    <w:rsid w:val="00AD7E08"/>
    <w:rsid w:val="00AE1546"/>
    <w:rsid w:val="00AE33D9"/>
    <w:rsid w:val="00AE7A63"/>
    <w:rsid w:val="00AF267E"/>
    <w:rsid w:val="00AF684D"/>
    <w:rsid w:val="00AF7CE1"/>
    <w:rsid w:val="00B00E7C"/>
    <w:rsid w:val="00B011E3"/>
    <w:rsid w:val="00B03934"/>
    <w:rsid w:val="00B048B1"/>
    <w:rsid w:val="00B12C6B"/>
    <w:rsid w:val="00B13276"/>
    <w:rsid w:val="00B139D9"/>
    <w:rsid w:val="00B22DD8"/>
    <w:rsid w:val="00B2344B"/>
    <w:rsid w:val="00B26826"/>
    <w:rsid w:val="00B31D15"/>
    <w:rsid w:val="00B31D8E"/>
    <w:rsid w:val="00B351C5"/>
    <w:rsid w:val="00B4136B"/>
    <w:rsid w:val="00B437D7"/>
    <w:rsid w:val="00B43C10"/>
    <w:rsid w:val="00B46744"/>
    <w:rsid w:val="00B477DB"/>
    <w:rsid w:val="00B5050B"/>
    <w:rsid w:val="00B50EBF"/>
    <w:rsid w:val="00B53ED3"/>
    <w:rsid w:val="00B54E3D"/>
    <w:rsid w:val="00B55214"/>
    <w:rsid w:val="00B64AEB"/>
    <w:rsid w:val="00B64D08"/>
    <w:rsid w:val="00B70A39"/>
    <w:rsid w:val="00B72EEE"/>
    <w:rsid w:val="00B76F72"/>
    <w:rsid w:val="00B7755F"/>
    <w:rsid w:val="00B809B1"/>
    <w:rsid w:val="00B824F1"/>
    <w:rsid w:val="00B87183"/>
    <w:rsid w:val="00B92AD4"/>
    <w:rsid w:val="00BB1819"/>
    <w:rsid w:val="00BB494E"/>
    <w:rsid w:val="00BB4EBA"/>
    <w:rsid w:val="00BB5AE0"/>
    <w:rsid w:val="00BB5DA9"/>
    <w:rsid w:val="00BC014F"/>
    <w:rsid w:val="00BC46E9"/>
    <w:rsid w:val="00BD1CD1"/>
    <w:rsid w:val="00BD61A7"/>
    <w:rsid w:val="00BE114C"/>
    <w:rsid w:val="00BE4A2B"/>
    <w:rsid w:val="00BF03A9"/>
    <w:rsid w:val="00BF0F57"/>
    <w:rsid w:val="00BF1A2E"/>
    <w:rsid w:val="00C00948"/>
    <w:rsid w:val="00C06CDB"/>
    <w:rsid w:val="00C06D0F"/>
    <w:rsid w:val="00C070FB"/>
    <w:rsid w:val="00C13799"/>
    <w:rsid w:val="00C2460C"/>
    <w:rsid w:val="00C2552A"/>
    <w:rsid w:val="00C308BE"/>
    <w:rsid w:val="00C31F5F"/>
    <w:rsid w:val="00C40FD8"/>
    <w:rsid w:val="00C413BC"/>
    <w:rsid w:val="00C41733"/>
    <w:rsid w:val="00C462C4"/>
    <w:rsid w:val="00C55A65"/>
    <w:rsid w:val="00C60C71"/>
    <w:rsid w:val="00C632B3"/>
    <w:rsid w:val="00C63B7C"/>
    <w:rsid w:val="00C66B6F"/>
    <w:rsid w:val="00C70D48"/>
    <w:rsid w:val="00C77158"/>
    <w:rsid w:val="00C77DFE"/>
    <w:rsid w:val="00C8558C"/>
    <w:rsid w:val="00C90A57"/>
    <w:rsid w:val="00C92120"/>
    <w:rsid w:val="00C966DA"/>
    <w:rsid w:val="00C976B2"/>
    <w:rsid w:val="00CA1213"/>
    <w:rsid w:val="00CA3607"/>
    <w:rsid w:val="00CA72F1"/>
    <w:rsid w:val="00CB2DCB"/>
    <w:rsid w:val="00CB4591"/>
    <w:rsid w:val="00CC0473"/>
    <w:rsid w:val="00CC2162"/>
    <w:rsid w:val="00CC3ED1"/>
    <w:rsid w:val="00CC4988"/>
    <w:rsid w:val="00CC782C"/>
    <w:rsid w:val="00CD66D5"/>
    <w:rsid w:val="00CE0A40"/>
    <w:rsid w:val="00CE1852"/>
    <w:rsid w:val="00CE2946"/>
    <w:rsid w:val="00CE4329"/>
    <w:rsid w:val="00CF06E8"/>
    <w:rsid w:val="00CF7619"/>
    <w:rsid w:val="00D00EA0"/>
    <w:rsid w:val="00D01A50"/>
    <w:rsid w:val="00D05D33"/>
    <w:rsid w:val="00D15662"/>
    <w:rsid w:val="00D160F3"/>
    <w:rsid w:val="00D177F4"/>
    <w:rsid w:val="00D17B72"/>
    <w:rsid w:val="00D201E6"/>
    <w:rsid w:val="00D20FFB"/>
    <w:rsid w:val="00D23118"/>
    <w:rsid w:val="00D27E2E"/>
    <w:rsid w:val="00D3261D"/>
    <w:rsid w:val="00D33A08"/>
    <w:rsid w:val="00D35F06"/>
    <w:rsid w:val="00D36226"/>
    <w:rsid w:val="00D455D4"/>
    <w:rsid w:val="00D46DC4"/>
    <w:rsid w:val="00D5062B"/>
    <w:rsid w:val="00D60633"/>
    <w:rsid w:val="00D620FF"/>
    <w:rsid w:val="00D63E1C"/>
    <w:rsid w:val="00D65A90"/>
    <w:rsid w:val="00D65BF3"/>
    <w:rsid w:val="00D73D35"/>
    <w:rsid w:val="00D74C34"/>
    <w:rsid w:val="00D7679A"/>
    <w:rsid w:val="00D76A3B"/>
    <w:rsid w:val="00D83505"/>
    <w:rsid w:val="00D91D07"/>
    <w:rsid w:val="00DC273F"/>
    <w:rsid w:val="00DC38B8"/>
    <w:rsid w:val="00DC4475"/>
    <w:rsid w:val="00DC58C0"/>
    <w:rsid w:val="00DE11A5"/>
    <w:rsid w:val="00DE25A0"/>
    <w:rsid w:val="00DE4E91"/>
    <w:rsid w:val="00DF1D27"/>
    <w:rsid w:val="00DF2311"/>
    <w:rsid w:val="00DF39D2"/>
    <w:rsid w:val="00DF56A7"/>
    <w:rsid w:val="00E01912"/>
    <w:rsid w:val="00E04749"/>
    <w:rsid w:val="00E07A22"/>
    <w:rsid w:val="00E21911"/>
    <w:rsid w:val="00E2417A"/>
    <w:rsid w:val="00E24565"/>
    <w:rsid w:val="00E25B4B"/>
    <w:rsid w:val="00E26437"/>
    <w:rsid w:val="00E37F4B"/>
    <w:rsid w:val="00E411A9"/>
    <w:rsid w:val="00E4387D"/>
    <w:rsid w:val="00E43A22"/>
    <w:rsid w:val="00E5325E"/>
    <w:rsid w:val="00E54CEB"/>
    <w:rsid w:val="00E557D7"/>
    <w:rsid w:val="00E55E85"/>
    <w:rsid w:val="00E560EA"/>
    <w:rsid w:val="00E62588"/>
    <w:rsid w:val="00E6313E"/>
    <w:rsid w:val="00E7396A"/>
    <w:rsid w:val="00E73FD6"/>
    <w:rsid w:val="00E74EFA"/>
    <w:rsid w:val="00E76CD4"/>
    <w:rsid w:val="00E86CF4"/>
    <w:rsid w:val="00E91C1D"/>
    <w:rsid w:val="00E94476"/>
    <w:rsid w:val="00EA067A"/>
    <w:rsid w:val="00EA1A26"/>
    <w:rsid w:val="00EA2F92"/>
    <w:rsid w:val="00EA3B95"/>
    <w:rsid w:val="00EA5A23"/>
    <w:rsid w:val="00EA7141"/>
    <w:rsid w:val="00EB5774"/>
    <w:rsid w:val="00EB6169"/>
    <w:rsid w:val="00EB64CF"/>
    <w:rsid w:val="00EB74A3"/>
    <w:rsid w:val="00EC1F3E"/>
    <w:rsid w:val="00EC65CA"/>
    <w:rsid w:val="00ED2C01"/>
    <w:rsid w:val="00ED7B9C"/>
    <w:rsid w:val="00EE3131"/>
    <w:rsid w:val="00EF0F49"/>
    <w:rsid w:val="00EF26EB"/>
    <w:rsid w:val="00EF291C"/>
    <w:rsid w:val="00EF584E"/>
    <w:rsid w:val="00F02583"/>
    <w:rsid w:val="00F14A3D"/>
    <w:rsid w:val="00F1565A"/>
    <w:rsid w:val="00F156C3"/>
    <w:rsid w:val="00F25E14"/>
    <w:rsid w:val="00F444F7"/>
    <w:rsid w:val="00F462EB"/>
    <w:rsid w:val="00F50082"/>
    <w:rsid w:val="00F504C5"/>
    <w:rsid w:val="00F519C6"/>
    <w:rsid w:val="00F51DBD"/>
    <w:rsid w:val="00F55497"/>
    <w:rsid w:val="00F56075"/>
    <w:rsid w:val="00F57A5E"/>
    <w:rsid w:val="00F62599"/>
    <w:rsid w:val="00F62C3C"/>
    <w:rsid w:val="00F63B47"/>
    <w:rsid w:val="00F64602"/>
    <w:rsid w:val="00F65701"/>
    <w:rsid w:val="00F7230C"/>
    <w:rsid w:val="00F74C22"/>
    <w:rsid w:val="00F80B2F"/>
    <w:rsid w:val="00F81D1A"/>
    <w:rsid w:val="00F84389"/>
    <w:rsid w:val="00F851EC"/>
    <w:rsid w:val="00F86B1F"/>
    <w:rsid w:val="00F87AF0"/>
    <w:rsid w:val="00F96F1F"/>
    <w:rsid w:val="00FA0025"/>
    <w:rsid w:val="00FA0E7F"/>
    <w:rsid w:val="00FA24B0"/>
    <w:rsid w:val="00FA4314"/>
    <w:rsid w:val="00FA45BB"/>
    <w:rsid w:val="00FA5099"/>
    <w:rsid w:val="00FA72FD"/>
    <w:rsid w:val="00FB04B7"/>
    <w:rsid w:val="00FB1706"/>
    <w:rsid w:val="00FB698B"/>
    <w:rsid w:val="00FC2F44"/>
    <w:rsid w:val="00FC63D2"/>
    <w:rsid w:val="00FD30D6"/>
    <w:rsid w:val="00FD6378"/>
    <w:rsid w:val="00FE2612"/>
    <w:rsid w:val="00FE2DE8"/>
    <w:rsid w:val="00FF018B"/>
    <w:rsid w:val="00FF0708"/>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colormru v:ext="edit" colors="#eaeaea"/>
    </o:shapedefaults>
    <o:shapelayout v:ext="edit">
      <o:idmap v:ext="edit" data="1"/>
    </o:shapelayout>
  </w:shapeDefaults>
  <w:decimalSymbol w:val="."/>
  <w:listSeparator w:val=","/>
  <w15:docId w15:val="{0FA39DB9-F73A-4D7B-AE1D-22EB0390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autoRedefine/>
    <w:rsid w:val="007576FA"/>
    <w:pPr>
      <w:spacing w:before="230" w:after="230" w:line="300" w:lineRule="exact"/>
    </w:pPr>
    <w:rPr>
      <w:b/>
      <w:sz w:val="28"/>
      <w:szCs w:val="28"/>
    </w:rPr>
  </w:style>
  <w:style w:type="paragraph" w:customStyle="1" w:styleId="Authors">
    <w:name w:val="Authors"/>
    <w:basedOn w:val="Normal"/>
    <w:autoRedefine/>
    <w:rsid w:val="006479FE"/>
    <w:pPr>
      <w:spacing w:before="360" w:after="460" w:line="260" w:lineRule="exact"/>
    </w:pPr>
    <w:rPr>
      <w:b/>
      <w:lang w:val="en-GB"/>
    </w:rPr>
  </w:style>
  <w:style w:type="paragraph" w:customStyle="1" w:styleId="Dedication">
    <w:name w:val="Dedication"/>
    <w:basedOn w:val="Normal"/>
    <w:rsid w:val="009D14CA"/>
    <w:pPr>
      <w:spacing w:before="230" w:after="460" w:line="230" w:lineRule="exact"/>
      <w:contextualSpacing/>
    </w:pPr>
    <w:rPr>
      <w:i/>
      <w:sz w:val="18"/>
    </w:rPr>
  </w:style>
  <w:style w:type="paragraph" w:customStyle="1" w:styleId="P1withoutIndendation">
    <w:name w:val="P1_without_Indendation"/>
    <w:basedOn w:val="Normal"/>
    <w:rsid w:val="009D14CA"/>
    <w:pPr>
      <w:spacing w:line="230" w:lineRule="exact"/>
      <w:jc w:val="both"/>
    </w:pPr>
    <w:rPr>
      <w:sz w:val="18"/>
    </w:rPr>
  </w:style>
  <w:style w:type="paragraph" w:customStyle="1" w:styleId="History">
    <w:name w:val="History"/>
    <w:basedOn w:val="Normal"/>
    <w:autoRedefine/>
    <w:rsid w:val="006011C8"/>
    <w:pPr>
      <w:spacing w:before="230" w:after="460" w:line="180" w:lineRule="exact"/>
      <w:jc w:val="right"/>
    </w:pPr>
    <w:rPr>
      <w:sz w:val="16"/>
      <w:szCs w:val="16"/>
    </w:rPr>
  </w:style>
  <w:style w:type="paragraph" w:styleId="FootnoteText">
    <w:name w:val="footnote text"/>
    <w:basedOn w:val="Normal"/>
    <w:semiHidden/>
    <w:rsid w:val="00F62599"/>
    <w:rPr>
      <w:sz w:val="20"/>
      <w:szCs w:val="20"/>
    </w:rPr>
  </w:style>
  <w:style w:type="character" w:styleId="FootnoteReference">
    <w:name w:val="footnote reference"/>
    <w:semiHidden/>
    <w:rsid w:val="00F62599"/>
    <w:rPr>
      <w:vertAlign w:val="superscript"/>
    </w:rPr>
  </w:style>
  <w:style w:type="paragraph" w:customStyle="1" w:styleId="Adress">
    <w:name w:val="Adress"/>
    <w:basedOn w:val="FootnoteText"/>
    <w:autoRedefine/>
    <w:rsid w:val="00F81D1A"/>
    <w:pPr>
      <w:spacing w:before="230" w:line="200" w:lineRule="exact"/>
      <w:ind w:left="425" w:hanging="425"/>
    </w:pPr>
    <w:rPr>
      <w:rFonts w:ascii="Arial" w:hAnsi="Arial"/>
      <w:sz w:val="16"/>
    </w:rPr>
  </w:style>
  <w:style w:type="paragraph" w:customStyle="1" w:styleId="Footnote">
    <w:name w:val="Footnote"/>
    <w:basedOn w:val="Adress"/>
    <w:autoRedefine/>
    <w:rsid w:val="00FF7048"/>
    <w:pPr>
      <w:spacing w:before="120" w:line="180" w:lineRule="exact"/>
    </w:pPr>
    <w:rPr>
      <w:rFonts w:ascii="Times New Roman" w:hAnsi="Times New Roman"/>
      <w:sz w:val="14"/>
      <w:szCs w:val="14"/>
      <w:lang w:val="en-GB"/>
    </w:rPr>
  </w:style>
  <w:style w:type="paragraph" w:customStyle="1" w:styleId="References">
    <w:name w:val="References"/>
    <w:basedOn w:val="Normal"/>
    <w:autoRedefine/>
    <w:rsid w:val="00390DD7"/>
    <w:pPr>
      <w:pBdr>
        <w:top w:val="single" w:sz="4" w:space="1" w:color="000000"/>
      </w:pBdr>
      <w:spacing w:after="120" w:line="180" w:lineRule="exact"/>
      <w:ind w:left="425" w:hanging="425"/>
      <w:jc w:val="both"/>
    </w:pPr>
    <w:rPr>
      <w:sz w:val="14"/>
      <w:szCs w:val="14"/>
      <w:lang w:val="en-GB"/>
    </w:rPr>
  </w:style>
  <w:style w:type="paragraph" w:customStyle="1" w:styleId="ColumnTitle">
    <w:name w:val="ColumnTitle"/>
    <w:basedOn w:val="Normal"/>
    <w:autoRedefine/>
    <w:rsid w:val="001A39AE"/>
    <w:pPr>
      <w:spacing w:after="240"/>
      <w:jc w:val="right"/>
    </w:pPr>
    <w:rPr>
      <w:rFonts w:ascii="Arial" w:hAnsi="Arial" w:cs="Arial"/>
      <w:b/>
      <w:color w:val="000000"/>
      <w:sz w:val="34"/>
      <w:szCs w:val="34"/>
      <w:lang w:val="en-GB"/>
    </w:rPr>
  </w:style>
  <w:style w:type="paragraph" w:customStyle="1" w:styleId="ExperimentalSection">
    <w:name w:val="ExperimentalSection"/>
    <w:basedOn w:val="Normal"/>
    <w:autoRedefine/>
    <w:rsid w:val="00390DD7"/>
    <w:pPr>
      <w:spacing w:after="240" w:line="180" w:lineRule="exact"/>
      <w:jc w:val="both"/>
    </w:pPr>
    <w:rPr>
      <w:sz w:val="14"/>
      <w:szCs w:val="14"/>
      <w:lang w:val="en-GB"/>
    </w:rPr>
  </w:style>
  <w:style w:type="paragraph" w:customStyle="1" w:styleId="HExperimentalSection">
    <w:name w:val="HExperimental_Section"/>
    <w:basedOn w:val="Normal"/>
    <w:autoRedefine/>
    <w:rsid w:val="001F4EE4"/>
    <w:pPr>
      <w:spacing w:before="460" w:after="230" w:line="230" w:lineRule="atLeast"/>
      <w:jc w:val="center"/>
    </w:pPr>
    <w:rPr>
      <w:b/>
      <w:sz w:val="20"/>
      <w:szCs w:val="20"/>
    </w:rPr>
  </w:style>
  <w:style w:type="paragraph" w:customStyle="1" w:styleId="SchemeCaption">
    <w:name w:val="SchemeCaption"/>
    <w:basedOn w:val="Normal"/>
    <w:autoRedefine/>
    <w:rsid w:val="00C2552A"/>
    <w:pPr>
      <w:spacing w:before="230" w:after="460" w:line="180" w:lineRule="exact"/>
      <w:jc w:val="both"/>
    </w:pPr>
    <w:rPr>
      <w:sz w:val="14"/>
      <w:szCs w:val="14"/>
      <w:lang w:val="en-GB"/>
    </w:rPr>
  </w:style>
  <w:style w:type="paragraph" w:customStyle="1" w:styleId="FigureCaption">
    <w:name w:val="FigureCaption"/>
    <w:basedOn w:val="Normal"/>
    <w:autoRedefine/>
    <w:rsid w:val="00C2552A"/>
    <w:pPr>
      <w:spacing w:before="230" w:after="460" w:line="180" w:lineRule="exact"/>
      <w:jc w:val="both"/>
    </w:pPr>
    <w:rPr>
      <w:sz w:val="14"/>
      <w:szCs w:val="14"/>
      <w:lang w:val="en-GB"/>
    </w:rPr>
  </w:style>
  <w:style w:type="paragraph" w:customStyle="1" w:styleId="TableCaption">
    <w:name w:val="TableCaption"/>
    <w:basedOn w:val="Normal"/>
    <w:autoRedefine/>
    <w:rsid w:val="00C2552A"/>
    <w:pPr>
      <w:spacing w:before="230" w:after="120" w:line="200" w:lineRule="exact"/>
      <w:jc w:val="both"/>
    </w:pPr>
    <w:rPr>
      <w:sz w:val="14"/>
      <w:szCs w:val="14"/>
      <w:lang w:val="en-GB"/>
    </w:rPr>
  </w:style>
  <w:style w:type="paragraph" w:customStyle="1" w:styleId="TableHead">
    <w:name w:val="TableHead"/>
    <w:basedOn w:val="TableCaption"/>
    <w:autoRedefine/>
    <w:rsid w:val="00A734EF"/>
    <w:pPr>
      <w:spacing w:before="120"/>
    </w:pPr>
  </w:style>
  <w:style w:type="paragraph" w:customStyle="1" w:styleId="TableBody">
    <w:name w:val="TableBody"/>
    <w:basedOn w:val="Normal"/>
    <w:autoRedefine/>
    <w:rsid w:val="006C2DBE"/>
    <w:pPr>
      <w:spacing w:before="120" w:after="120" w:line="230" w:lineRule="exact"/>
    </w:pPr>
    <w:rPr>
      <w:rFonts w:ascii="Arial" w:hAnsi="Arial"/>
      <w:sz w:val="16"/>
    </w:rPr>
  </w:style>
  <w:style w:type="paragraph" w:customStyle="1" w:styleId="TableFoot">
    <w:name w:val="TableFoot"/>
    <w:basedOn w:val="Normal"/>
    <w:autoRedefine/>
    <w:rsid w:val="00C2552A"/>
    <w:pPr>
      <w:spacing w:after="460" w:line="230" w:lineRule="exact"/>
      <w:jc w:val="both"/>
    </w:pPr>
    <w:rPr>
      <w:sz w:val="14"/>
      <w:szCs w:val="14"/>
      <w:lang w:val="en-GB"/>
    </w:rPr>
  </w:style>
  <w:style w:type="table" w:styleId="TableGrid">
    <w:name w:val="Table Grid"/>
    <w:basedOn w:val="TableNormal"/>
    <w:rsid w:val="00EA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rsid w:val="00E24565"/>
    <w:pPr>
      <w:shd w:val="clear" w:color="auto" w:fill="C0C0C0"/>
      <w:spacing w:before="240" w:after="360" w:line="220" w:lineRule="exact"/>
    </w:pPr>
    <w:rPr>
      <w:sz w:val="20"/>
      <w:szCs w:val="20"/>
      <w:lang w:val="en-GB"/>
    </w:rPr>
  </w:style>
  <w:style w:type="paragraph" w:customStyle="1" w:styleId="ManuscriptID">
    <w:name w:val="ManuscriptID"/>
    <w:basedOn w:val="Normal"/>
    <w:autoRedefine/>
    <w:rsid w:val="00232C14"/>
    <w:pPr>
      <w:spacing w:before="230" w:after="1440" w:line="230" w:lineRule="exact"/>
      <w:jc w:val="right"/>
    </w:pPr>
    <w:rPr>
      <w:b/>
      <w:sz w:val="15"/>
      <w:szCs w:val="15"/>
      <w:lang w:val="en-GB"/>
    </w:rPr>
  </w:style>
  <w:style w:type="paragraph" w:customStyle="1" w:styleId="AuthorsTOC">
    <w:name w:val="Authors_TOC"/>
    <w:basedOn w:val="Authors"/>
    <w:autoRedefine/>
    <w:rsid w:val="00537F36"/>
    <w:pPr>
      <w:spacing w:before="230" w:after="0" w:line="230" w:lineRule="exact"/>
    </w:pPr>
    <w:rPr>
      <w:b w:val="0"/>
      <w:i/>
      <w:sz w:val="20"/>
      <w:szCs w:val="20"/>
    </w:rPr>
  </w:style>
  <w:style w:type="paragraph" w:customStyle="1" w:styleId="TitleTOC">
    <w:name w:val="Title_TOC"/>
    <w:basedOn w:val="AuthorsTOC"/>
    <w:autoRedefine/>
    <w:rsid w:val="00537F36"/>
    <w:rPr>
      <w:b/>
      <w:i w:val="0"/>
    </w:rPr>
  </w:style>
  <w:style w:type="paragraph" w:customStyle="1" w:styleId="TableOfContentText">
    <w:name w:val="TableOfContentText"/>
    <w:basedOn w:val="AuthorsTOC"/>
    <w:autoRedefine/>
    <w:rsid w:val="00BE4A2B"/>
    <w:pPr>
      <w:spacing w:before="120"/>
    </w:pPr>
    <w:rPr>
      <w:i w:val="0"/>
      <w:color w:val="000000"/>
    </w:rPr>
  </w:style>
  <w:style w:type="character" w:styleId="Hyperlink">
    <w:name w:val="Hyperlink"/>
    <w:rsid w:val="00740CE1"/>
    <w:rPr>
      <w:color w:val="0000FF"/>
      <w:u w:val="single"/>
    </w:rPr>
  </w:style>
  <w:style w:type="paragraph" w:customStyle="1" w:styleId="P1withIndendation">
    <w:name w:val="P1_with_Indendation"/>
    <w:basedOn w:val="TableCaption"/>
    <w:rsid w:val="004A489D"/>
    <w:pPr>
      <w:spacing w:line="230" w:lineRule="exact"/>
      <w:ind w:firstLine="284"/>
    </w:pPr>
    <w:rPr>
      <w:sz w:val="18"/>
    </w:rPr>
  </w:style>
  <w:style w:type="paragraph" w:customStyle="1" w:styleId="LeadIn">
    <w:name w:val="LeadIn"/>
    <w:basedOn w:val="Normal"/>
    <w:rsid w:val="009B7251"/>
    <w:pPr>
      <w:spacing w:after="460" w:line="280" w:lineRule="exact"/>
    </w:pPr>
    <w:rPr>
      <w:i/>
      <w:sz w:val="22"/>
      <w:szCs w:val="22"/>
      <w:lang w:val="en-GB"/>
    </w:rPr>
  </w:style>
  <w:style w:type="paragraph" w:customStyle="1" w:styleId="H1">
    <w:name w:val="H1"/>
    <w:basedOn w:val="Normal"/>
    <w:autoRedefine/>
    <w:rsid w:val="006011C8"/>
    <w:pPr>
      <w:spacing w:before="360" w:after="230" w:line="220" w:lineRule="exact"/>
      <w:jc w:val="center"/>
    </w:pPr>
    <w:rPr>
      <w:b/>
      <w:sz w:val="20"/>
      <w:lang w:val="en-GB"/>
    </w:rPr>
  </w:style>
  <w:style w:type="paragraph" w:customStyle="1" w:styleId="H2">
    <w:name w:val="H2"/>
    <w:basedOn w:val="H1"/>
    <w:rsid w:val="00C966DA"/>
    <w:rPr>
      <w:sz w:val="18"/>
    </w:rPr>
  </w:style>
  <w:style w:type="paragraph" w:customStyle="1" w:styleId="H3">
    <w:name w:val="H3"/>
    <w:basedOn w:val="H2"/>
    <w:rsid w:val="00077560"/>
    <w:pPr>
      <w:spacing w:before="230"/>
    </w:pPr>
    <w:rPr>
      <w:b w:val="0"/>
    </w:rPr>
  </w:style>
  <w:style w:type="paragraph" w:customStyle="1" w:styleId="H4">
    <w:name w:val="H4"/>
    <w:basedOn w:val="H3"/>
    <w:rsid w:val="00EA5A23"/>
  </w:style>
  <w:style w:type="paragraph" w:customStyle="1" w:styleId="H5">
    <w:name w:val="H5"/>
    <w:basedOn w:val="H4"/>
    <w:rsid w:val="00B64D08"/>
  </w:style>
  <w:style w:type="paragraph" w:customStyle="1" w:styleId="Biography">
    <w:name w:val="Biography"/>
    <w:basedOn w:val="TableFoot"/>
    <w:rsid w:val="004A75D5"/>
    <w:pPr>
      <w:shd w:val="clear" w:color="auto" w:fill="C0C0C0"/>
      <w:spacing w:before="200" w:after="200" w:line="200" w:lineRule="exact"/>
    </w:pPr>
    <w:rPr>
      <w:i/>
    </w:rPr>
  </w:style>
  <w:style w:type="paragraph" w:styleId="Caption">
    <w:name w:val="caption"/>
    <w:basedOn w:val="Normal"/>
    <w:next w:val="Normal"/>
    <w:qFormat/>
    <w:rsid w:val="004D31C6"/>
    <w:pPr>
      <w:spacing w:before="120" w:after="120"/>
    </w:pPr>
    <w:rPr>
      <w:b/>
      <w:bCs/>
      <w:sz w:val="20"/>
      <w:szCs w:val="20"/>
    </w:rPr>
  </w:style>
  <w:style w:type="paragraph" w:styleId="Footer">
    <w:name w:val="footer"/>
    <w:basedOn w:val="Normal"/>
    <w:link w:val="FooterChar"/>
    <w:uiPriority w:val="99"/>
    <w:rsid w:val="00972425"/>
    <w:pPr>
      <w:tabs>
        <w:tab w:val="center" w:pos="4536"/>
        <w:tab w:val="right" w:pos="9072"/>
      </w:tabs>
    </w:pPr>
  </w:style>
  <w:style w:type="character" w:styleId="PageNumber">
    <w:name w:val="page number"/>
    <w:basedOn w:val="DefaultParagraphFont"/>
    <w:rsid w:val="00972425"/>
  </w:style>
  <w:style w:type="paragraph" w:customStyle="1" w:styleId="Abstract">
    <w:name w:val="Abstract"/>
    <w:basedOn w:val="Normal"/>
    <w:autoRedefine/>
    <w:rsid w:val="0018165B"/>
    <w:pPr>
      <w:spacing w:before="240" w:line="220" w:lineRule="exact"/>
      <w:jc w:val="both"/>
    </w:pPr>
    <w:rPr>
      <w:sz w:val="20"/>
      <w:szCs w:val="20"/>
      <w:lang w:val="en-GB"/>
    </w:rPr>
  </w:style>
  <w:style w:type="paragraph" w:customStyle="1" w:styleId="HAcknowledgements">
    <w:name w:val="HAcknowledgements"/>
    <w:basedOn w:val="H1"/>
    <w:autoRedefine/>
    <w:rsid w:val="00184380"/>
  </w:style>
  <w:style w:type="paragraph" w:customStyle="1" w:styleId="Acknowledgements">
    <w:name w:val="Acknowledgements"/>
    <w:basedOn w:val="ExperimentalSection"/>
    <w:autoRedefine/>
    <w:rsid w:val="00184380"/>
  </w:style>
  <w:style w:type="paragraph" w:customStyle="1" w:styleId="ColumnTitleTOC">
    <w:name w:val="ColumnTitle_TOC"/>
    <w:basedOn w:val="ColumnTitle"/>
    <w:rsid w:val="001A39AE"/>
  </w:style>
  <w:style w:type="paragraph" w:customStyle="1" w:styleId="SubjectHeadingTOC">
    <w:name w:val="SubjectHeading_TOC"/>
    <w:basedOn w:val="Normal"/>
    <w:rsid w:val="008408A1"/>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862B2D"/>
    <w:pPr>
      <w:spacing w:before="360" w:after="60" w:line="220" w:lineRule="exact"/>
    </w:pPr>
    <w:rPr>
      <w:b/>
      <w:sz w:val="18"/>
      <w:szCs w:val="20"/>
      <w:lang w:val="en-GB"/>
    </w:rPr>
  </w:style>
  <w:style w:type="paragraph" w:customStyle="1" w:styleId="GACatchPhrase">
    <w:name w:val="GACatchPhrase"/>
    <w:basedOn w:val="Normal"/>
    <w:rsid w:val="00862B2D"/>
    <w:pPr>
      <w:spacing w:before="40"/>
      <w:jc w:val="right"/>
    </w:pPr>
    <w:rPr>
      <w:rFonts w:cs="Arial"/>
      <w:b/>
      <w:color w:val="008080"/>
      <w:sz w:val="18"/>
      <w:szCs w:val="16"/>
      <w:lang w:val="en-GB"/>
    </w:rPr>
  </w:style>
  <w:style w:type="paragraph" w:customStyle="1" w:styleId="GAText">
    <w:name w:val="GAText"/>
    <w:basedOn w:val="Normal"/>
    <w:rsid w:val="00862B2D"/>
    <w:pPr>
      <w:spacing w:before="120" w:line="220" w:lineRule="exact"/>
    </w:pPr>
    <w:rPr>
      <w:color w:val="000000"/>
      <w:sz w:val="18"/>
    </w:rPr>
  </w:style>
  <w:style w:type="paragraph" w:customStyle="1" w:styleId="GATitel">
    <w:name w:val="GATitel"/>
    <w:basedOn w:val="GAAuthors"/>
    <w:rsid w:val="00862B2D"/>
    <w:pPr>
      <w:spacing w:before="240"/>
    </w:pPr>
    <w:rPr>
      <w:b w:val="0"/>
    </w:rPr>
  </w:style>
  <w:style w:type="paragraph" w:customStyle="1" w:styleId="GAKeywords">
    <w:name w:val="GAKeywords"/>
    <w:basedOn w:val="Keywords"/>
    <w:rsid w:val="00862B2D"/>
    <w:pPr>
      <w:framePr w:hSpace="141" w:wrap="around" w:hAnchor="text" w:y="673"/>
      <w:shd w:val="clear" w:color="auto" w:fill="auto"/>
      <w:spacing w:before="200" w:after="0"/>
    </w:pPr>
    <w:rPr>
      <w:b/>
      <w:sz w:val="18"/>
      <w:szCs w:val="24"/>
    </w:rPr>
  </w:style>
  <w:style w:type="character" w:customStyle="1" w:styleId="FooterChar">
    <w:name w:val="Footer Char"/>
    <w:link w:val="Footer"/>
    <w:uiPriority w:val="99"/>
    <w:rsid w:val="005A3E5B"/>
    <w:rPr>
      <w:sz w:val="24"/>
      <w:szCs w:val="24"/>
      <w:lang w:val="de-DE" w:eastAsia="ja-JP"/>
    </w:rPr>
  </w:style>
  <w:style w:type="paragraph" w:customStyle="1" w:styleId="TAMainText">
    <w:name w:val="TA_Main_Text"/>
    <w:link w:val="TAMainTextChar"/>
    <w:rsid w:val="005A3E5B"/>
    <w:pPr>
      <w:spacing w:line="240" w:lineRule="exact"/>
      <w:ind w:firstLine="202"/>
      <w:jc w:val="both"/>
    </w:pPr>
    <w:rPr>
      <w:rFonts w:ascii="Times" w:eastAsia="Times New Roman" w:hAnsi="Times"/>
      <w:noProof/>
      <w:lang w:val="en-US" w:eastAsia="en-US"/>
    </w:rPr>
  </w:style>
  <w:style w:type="character" w:customStyle="1" w:styleId="TAMainTextChar">
    <w:name w:val="TA_Main_Text Char"/>
    <w:link w:val="TAMainText"/>
    <w:rsid w:val="005A3E5B"/>
    <w:rPr>
      <w:rFonts w:ascii="Times" w:eastAsia="Times New Roman" w:hAnsi="Times"/>
      <w:noProof/>
      <w:lang w:val="en-US" w:eastAsia="en-US"/>
    </w:rPr>
  </w:style>
  <w:style w:type="paragraph" w:styleId="Header">
    <w:name w:val="header"/>
    <w:basedOn w:val="Normal"/>
    <w:link w:val="HeaderChar"/>
    <w:uiPriority w:val="99"/>
    <w:unhideWhenUsed/>
    <w:rsid w:val="00D15662"/>
    <w:pPr>
      <w:tabs>
        <w:tab w:val="center" w:pos="4513"/>
        <w:tab w:val="right" w:pos="9026"/>
      </w:tabs>
    </w:pPr>
  </w:style>
  <w:style w:type="character" w:customStyle="1" w:styleId="HeaderChar">
    <w:name w:val="Header Char"/>
    <w:basedOn w:val="DefaultParagraphFont"/>
    <w:link w:val="Header"/>
    <w:uiPriority w:val="99"/>
    <w:rsid w:val="00D15662"/>
    <w:rPr>
      <w:sz w:val="24"/>
      <w:szCs w:val="24"/>
      <w:lang w:val="de-DE" w:eastAsia="ja-JP"/>
    </w:rPr>
  </w:style>
  <w:style w:type="paragraph" w:styleId="BalloonText">
    <w:name w:val="Balloon Text"/>
    <w:basedOn w:val="Normal"/>
    <w:link w:val="BalloonTextChar"/>
    <w:uiPriority w:val="99"/>
    <w:semiHidden/>
    <w:unhideWhenUsed/>
    <w:rsid w:val="00C66B6F"/>
    <w:rPr>
      <w:rFonts w:ascii="Tahoma" w:hAnsi="Tahoma" w:cs="Tahoma"/>
      <w:sz w:val="16"/>
      <w:szCs w:val="16"/>
    </w:rPr>
  </w:style>
  <w:style w:type="character" w:customStyle="1" w:styleId="BalloonTextChar">
    <w:name w:val="Balloon Text Char"/>
    <w:basedOn w:val="DefaultParagraphFont"/>
    <w:link w:val="BalloonText"/>
    <w:uiPriority w:val="99"/>
    <w:semiHidden/>
    <w:rsid w:val="00C66B6F"/>
    <w:rPr>
      <w:rFonts w:ascii="Tahoma" w:hAnsi="Tahoma" w:cs="Tahoma"/>
      <w:sz w:val="16"/>
      <w:szCs w:val="16"/>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hyperlink" Target="mailto:deposit@ccdc.cam.ac.uk" TargetMode="External"/><Relationship Id="rId3" Type="http://schemas.openxmlformats.org/officeDocument/2006/relationships/webSettings" Target="webSettings.xml"/><Relationship Id="rId21" Type="http://schemas.openxmlformats.org/officeDocument/2006/relationships/image" Target="media/image5.emf"/><Relationship Id="rId7" Type="http://schemas.openxmlformats.org/officeDocument/2006/relationships/footer" Target="footer1.xml"/><Relationship Id="rId12" Type="http://schemas.openxmlformats.org/officeDocument/2006/relationships/hyperlink" Target="http://www.riosresearchgroup.com" TargetMode="External"/><Relationship Id="rId17" Type="http://schemas.openxmlformats.org/officeDocument/2006/relationships/image" Target="media/image3.emf"/><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Rios-Torres@southampton.ac.uk" TargetMode="External"/><Relationship Id="rId24" Type="http://schemas.openxmlformats.org/officeDocument/2006/relationships/oleObject" Target="embeddings/oleObject5.bin"/><Relationship Id="rId5" Type="http://schemas.openxmlformats.org/officeDocument/2006/relationships/endnotes" Target="endnot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6.bin"/><Relationship Id="rId10" Type="http://schemas.openxmlformats.org/officeDocument/2006/relationships/hyperlink" Target="http://www.riosresearchgroup.com" TargetMode="External"/><Relationship Id="rId19"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hyperlink" Target="mailto:R.Rios-Torres@southampton.ac.uk" TargetMode="External"/><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on\Dropbox\Templates\Chemistry\2111_commun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2111_communication</Template>
  <TotalTime>0</TotalTime>
  <Pages>1</Pages>
  <Words>2981</Words>
  <Characters>16996</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19938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Ramon</dc:creator>
  <cp:lastModifiedBy>Ramon Office</cp:lastModifiedBy>
  <cp:revision>3</cp:revision>
  <cp:lastPrinted>2014-08-26T08:52:00Z</cp:lastPrinted>
  <dcterms:created xsi:type="dcterms:W3CDTF">2014-10-13T13:27:00Z</dcterms:created>
  <dcterms:modified xsi:type="dcterms:W3CDTF">2014-10-13T13:28:00Z</dcterms:modified>
</cp:coreProperties>
</file>