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486" w:rsidRPr="00D04D81" w:rsidRDefault="00325486" w:rsidP="00325486">
      <w:pPr>
        <w:autoSpaceDE w:val="0"/>
        <w:autoSpaceDN w:val="0"/>
        <w:adjustRightInd w:val="0"/>
        <w:rPr>
          <w:rFonts w:ascii="Calibri,Bold" w:eastAsia="SimSun" w:hAnsi="Calibri,Bold" w:cs="Calibri,Bold"/>
          <w:b/>
          <w:bCs/>
          <w:color w:val="FF0000"/>
        </w:rPr>
      </w:pPr>
      <w:bookmarkStart w:id="0" w:name="_GoBack"/>
      <w:bookmarkEnd w:id="0"/>
    </w:p>
    <w:p w:rsidR="00325486" w:rsidRPr="00D04D81" w:rsidRDefault="00325486" w:rsidP="00325486">
      <w:pPr>
        <w:autoSpaceDE w:val="0"/>
        <w:autoSpaceDN w:val="0"/>
        <w:adjustRightInd w:val="0"/>
        <w:rPr>
          <w:rFonts w:ascii="Calibri,Bold" w:eastAsia="SimSun" w:hAnsi="Calibri,Bold" w:cs="Calibri,Bold"/>
          <w:b/>
          <w:bCs/>
          <w:color w:val="FF0000"/>
        </w:rPr>
      </w:pPr>
    </w:p>
    <w:p w:rsidR="00325486" w:rsidRPr="00D04D81" w:rsidRDefault="00325486" w:rsidP="00325486">
      <w:pPr>
        <w:autoSpaceDE w:val="0"/>
        <w:autoSpaceDN w:val="0"/>
        <w:adjustRightInd w:val="0"/>
        <w:rPr>
          <w:rFonts w:ascii="Calibri,Bold" w:eastAsia="SimSun" w:hAnsi="Calibri,Bold" w:cs="Calibri,Bold"/>
          <w:b/>
          <w:bCs/>
          <w:color w:val="FF0000"/>
        </w:rPr>
      </w:pPr>
    </w:p>
    <w:p w:rsidR="00325486" w:rsidRPr="00D04D81" w:rsidRDefault="00325486" w:rsidP="00325486">
      <w:pPr>
        <w:autoSpaceDE w:val="0"/>
        <w:autoSpaceDN w:val="0"/>
        <w:adjustRightInd w:val="0"/>
        <w:rPr>
          <w:rFonts w:ascii="Calibri,Bold" w:eastAsia="SimSun" w:hAnsi="Calibri,Bold" w:cs="Calibri,Bold"/>
          <w:b/>
          <w:bCs/>
          <w:color w:val="FF0000"/>
        </w:rPr>
      </w:pPr>
    </w:p>
    <w:p w:rsidR="00325486" w:rsidRPr="00D04D81" w:rsidRDefault="00325486" w:rsidP="00325486">
      <w:pPr>
        <w:autoSpaceDE w:val="0"/>
        <w:autoSpaceDN w:val="0"/>
        <w:adjustRightInd w:val="0"/>
        <w:rPr>
          <w:rFonts w:ascii="Calibri,Bold" w:eastAsia="SimSun" w:hAnsi="Calibri,Bold" w:cs="Calibri,Bold"/>
          <w:b/>
          <w:bCs/>
          <w:color w:val="FF0000"/>
        </w:rPr>
      </w:pPr>
    </w:p>
    <w:p w:rsidR="00325486" w:rsidRPr="00D04D81" w:rsidRDefault="00325486" w:rsidP="00325486">
      <w:pPr>
        <w:autoSpaceDE w:val="0"/>
        <w:autoSpaceDN w:val="0"/>
        <w:adjustRightInd w:val="0"/>
        <w:jc w:val="center"/>
        <w:rPr>
          <w:rFonts w:ascii="Calibri,Bold" w:eastAsia="SimSun" w:hAnsi="Calibri,Bold" w:cs="Calibri,Bold"/>
          <w:color w:val="FF0000"/>
        </w:rPr>
      </w:pPr>
    </w:p>
    <w:p w:rsidR="00325486" w:rsidRPr="00D04D81" w:rsidRDefault="00325486" w:rsidP="00325486">
      <w:pPr>
        <w:autoSpaceDE w:val="0"/>
        <w:autoSpaceDN w:val="0"/>
        <w:adjustRightInd w:val="0"/>
        <w:jc w:val="center"/>
        <w:rPr>
          <w:rFonts w:ascii="Calibri" w:eastAsia="SimSun" w:hAnsi="Calibri" w:cs="Calibri"/>
          <w:color w:val="FF0000"/>
        </w:rPr>
      </w:pPr>
      <w:r w:rsidRPr="00D04D81">
        <w:rPr>
          <w:rFonts w:ascii="Calibri,Bold" w:eastAsia="SimSun" w:hAnsi="Calibri,Bold" w:cs="Calibri,Bold"/>
          <w:color w:val="FF0000"/>
        </w:rPr>
        <w:t xml:space="preserve">Note: </w:t>
      </w:r>
      <w:r w:rsidRPr="00D04D81">
        <w:rPr>
          <w:rFonts w:eastAsia="SimSun" w:cs="Calibri"/>
          <w:color w:val="FF0000"/>
        </w:rPr>
        <w:t>this is a draft of the journal article:</w:t>
      </w:r>
    </w:p>
    <w:p w:rsidR="00325486" w:rsidRPr="00325486" w:rsidRDefault="00325486" w:rsidP="00325486">
      <w:pPr>
        <w:pStyle w:val="Heading1"/>
        <w:jc w:val="center"/>
        <w:rPr>
          <w:rFonts w:asciiTheme="minorHAnsi" w:eastAsia="SimSun" w:hAnsiTheme="minorHAnsi" w:cs="Calibri,Italic"/>
          <w:b w:val="0"/>
          <w:bCs w:val="0"/>
          <w:i/>
          <w:iCs/>
          <w:color w:val="FF0000"/>
          <w:sz w:val="24"/>
          <w:szCs w:val="24"/>
        </w:rPr>
      </w:pPr>
      <w:proofErr w:type="spellStart"/>
      <w:r>
        <w:rPr>
          <w:rFonts w:asciiTheme="minorHAnsi" w:hAnsiTheme="minorHAnsi"/>
          <w:b w:val="0"/>
          <w:bCs w:val="0"/>
          <w:i/>
          <w:iCs/>
          <w:color w:val="FF0000"/>
          <w:sz w:val="24"/>
          <w:szCs w:val="24"/>
        </w:rPr>
        <w:t>Marjolein</w:t>
      </w:r>
      <w:proofErr w:type="spellEnd"/>
      <w:r>
        <w:rPr>
          <w:rFonts w:asciiTheme="minorHAnsi" w:hAnsiTheme="minorHAnsi"/>
          <w:b w:val="0"/>
          <w:bCs w:val="0"/>
          <w:i/>
          <w:iCs/>
          <w:color w:val="FF0000"/>
          <w:sz w:val="24"/>
          <w:szCs w:val="24"/>
        </w:rPr>
        <w:t xml:space="preserve"> Woodhouse</w:t>
      </w:r>
      <w:r w:rsidRPr="00325486">
        <w:rPr>
          <w:rFonts w:asciiTheme="minorHAnsi" w:hAnsiTheme="minorHAnsi"/>
          <w:b w:val="0"/>
          <w:bCs w:val="0"/>
          <w:i/>
          <w:iCs/>
          <w:color w:val="FF0000"/>
          <w:sz w:val="24"/>
          <w:szCs w:val="24"/>
        </w:rPr>
        <w:t xml:space="preserve">, Peter R. Worsley, David </w:t>
      </w:r>
      <w:proofErr w:type="spellStart"/>
      <w:r w:rsidRPr="00325486">
        <w:rPr>
          <w:rFonts w:asciiTheme="minorHAnsi" w:hAnsiTheme="minorHAnsi"/>
          <w:b w:val="0"/>
          <w:bCs w:val="0"/>
          <w:i/>
          <w:iCs/>
          <w:color w:val="FF0000"/>
          <w:sz w:val="24"/>
          <w:szCs w:val="24"/>
        </w:rPr>
        <w:t>Voegeli</w:t>
      </w:r>
      <w:proofErr w:type="spellEnd"/>
      <w:r w:rsidRPr="00325486">
        <w:rPr>
          <w:rFonts w:asciiTheme="minorHAnsi" w:hAnsiTheme="minorHAnsi"/>
          <w:b w:val="0"/>
          <w:bCs w:val="0"/>
          <w:i/>
          <w:iCs/>
          <w:color w:val="FF0000"/>
          <w:sz w:val="24"/>
          <w:szCs w:val="24"/>
        </w:rPr>
        <w:t xml:space="preserve">, Lisette Schoonhoven, Dan L. Bader </w:t>
      </w:r>
      <w:r w:rsidRPr="00325486">
        <w:rPr>
          <w:rFonts w:asciiTheme="minorHAnsi" w:eastAsia="SimSun" w:hAnsiTheme="minorHAnsi" w:cs="Calibri,Italic"/>
          <w:b w:val="0"/>
          <w:bCs w:val="0"/>
          <w:i/>
          <w:iCs/>
          <w:color w:val="FF0000"/>
          <w:sz w:val="24"/>
          <w:szCs w:val="24"/>
        </w:rPr>
        <w:t>(2015) “</w:t>
      </w:r>
      <w:r w:rsidRPr="00325486">
        <w:rPr>
          <w:rFonts w:asciiTheme="minorHAnsi" w:hAnsiTheme="minorHAnsi"/>
          <w:b w:val="0"/>
          <w:bCs w:val="0"/>
          <w:i/>
          <w:iCs/>
          <w:color w:val="FF0000"/>
          <w:sz w:val="24"/>
          <w:szCs w:val="24"/>
        </w:rPr>
        <w:t>The Physiological Response of Soft Tissue to Periodic Repositioning as a Strategy for Pressure Ulcer Prevention.</w:t>
      </w:r>
      <w:r w:rsidRPr="00325486">
        <w:rPr>
          <w:rFonts w:asciiTheme="minorHAnsi" w:eastAsia="SimSun" w:hAnsiTheme="minorHAnsi" w:cs="Calibri,Italic"/>
          <w:b w:val="0"/>
          <w:bCs w:val="0"/>
          <w:i/>
          <w:iCs/>
          <w:color w:val="FF0000"/>
          <w:sz w:val="24"/>
          <w:szCs w:val="24"/>
        </w:rPr>
        <w:t xml:space="preserve">” </w:t>
      </w:r>
    </w:p>
    <w:p w:rsidR="00325486" w:rsidRPr="00325486" w:rsidRDefault="00325486" w:rsidP="00325486">
      <w:pPr>
        <w:pStyle w:val="Heading1"/>
        <w:jc w:val="center"/>
        <w:rPr>
          <w:rFonts w:asciiTheme="minorHAnsi" w:eastAsia="SimSun" w:hAnsiTheme="minorHAnsi" w:cs="Arial"/>
          <w:b w:val="0"/>
          <w:bCs w:val="0"/>
          <w:i/>
          <w:iCs/>
          <w:color w:val="FF0000"/>
          <w:sz w:val="24"/>
          <w:szCs w:val="24"/>
        </w:rPr>
      </w:pPr>
      <w:r w:rsidRPr="00325486">
        <w:rPr>
          <w:rFonts w:asciiTheme="minorHAnsi" w:eastAsia="SimSun" w:hAnsiTheme="minorHAnsi" w:cs="Calibri,Italic"/>
          <w:i/>
          <w:iCs/>
          <w:color w:val="FF0000"/>
          <w:sz w:val="24"/>
          <w:szCs w:val="24"/>
        </w:rPr>
        <w:t xml:space="preserve">Clinical Biomechanics, </w:t>
      </w:r>
      <w:r w:rsidRPr="00325486">
        <w:rPr>
          <w:rFonts w:asciiTheme="minorHAnsi" w:hAnsiTheme="minorHAnsi"/>
          <w:color w:val="FF0000"/>
          <w:sz w:val="24"/>
          <w:szCs w:val="24"/>
        </w:rPr>
        <w:t>30(2) pp166-74</w:t>
      </w:r>
      <w:r w:rsidRPr="00325486">
        <w:rPr>
          <w:rFonts w:asciiTheme="minorHAnsi" w:eastAsia="SimSun" w:hAnsiTheme="minorHAnsi" w:cs="Calibri,Italic"/>
          <w:i/>
          <w:iCs/>
          <w:color w:val="FF0000"/>
          <w:sz w:val="24"/>
          <w:szCs w:val="24"/>
        </w:rPr>
        <w:t xml:space="preserve"> </w:t>
      </w:r>
    </w:p>
    <w:p w:rsidR="00325486" w:rsidRPr="00325486" w:rsidRDefault="00325486" w:rsidP="00325486">
      <w:pPr>
        <w:autoSpaceDE w:val="0"/>
        <w:autoSpaceDN w:val="0"/>
        <w:adjustRightInd w:val="0"/>
        <w:jc w:val="center"/>
        <w:rPr>
          <w:rFonts w:asciiTheme="minorHAnsi" w:eastAsia="SimSun" w:hAnsiTheme="minorHAnsi" w:cs="Calibri"/>
          <w:color w:val="FF0000"/>
          <w:sz w:val="24"/>
          <w:szCs w:val="24"/>
        </w:rPr>
      </w:pPr>
      <w:r w:rsidRPr="00325486">
        <w:rPr>
          <w:rFonts w:asciiTheme="minorHAnsi" w:eastAsia="SimSun" w:hAnsiTheme="minorHAnsi" w:cs="Calibri"/>
          <w:color w:val="FF0000"/>
          <w:sz w:val="24"/>
          <w:szCs w:val="24"/>
        </w:rPr>
        <w:t>The final, fully proofed and peer-reviewed journal article is available from the publisher online, via</w:t>
      </w:r>
    </w:p>
    <w:p w:rsidR="00325486" w:rsidRPr="00325486" w:rsidRDefault="00325486" w:rsidP="00325486">
      <w:pPr>
        <w:autoSpaceDE w:val="0"/>
        <w:autoSpaceDN w:val="0"/>
        <w:adjustRightInd w:val="0"/>
        <w:jc w:val="center"/>
        <w:rPr>
          <w:rFonts w:asciiTheme="minorHAnsi" w:eastAsia="SimSun" w:hAnsiTheme="minorHAnsi" w:cs="Calibri"/>
          <w:color w:val="FF0000"/>
          <w:sz w:val="24"/>
          <w:szCs w:val="24"/>
        </w:rPr>
      </w:pPr>
      <w:proofErr w:type="gramStart"/>
      <w:r w:rsidRPr="00325486">
        <w:rPr>
          <w:rFonts w:asciiTheme="minorHAnsi" w:eastAsia="SimSun" w:hAnsiTheme="minorHAnsi" w:cs="Calibri"/>
          <w:color w:val="FF0000"/>
          <w:sz w:val="24"/>
          <w:szCs w:val="24"/>
        </w:rPr>
        <w:t>the</w:t>
      </w:r>
      <w:proofErr w:type="gramEnd"/>
      <w:r w:rsidRPr="00325486">
        <w:rPr>
          <w:rFonts w:asciiTheme="minorHAnsi" w:eastAsia="SimSun" w:hAnsiTheme="minorHAnsi" w:cs="Calibri"/>
          <w:color w:val="FF0000"/>
          <w:sz w:val="24"/>
          <w:szCs w:val="24"/>
        </w:rPr>
        <w:t xml:space="preserve"> following link:</w:t>
      </w:r>
    </w:p>
    <w:p w:rsidR="00325486" w:rsidRDefault="00325486" w:rsidP="00325486">
      <w:pPr>
        <w:widowControl w:val="0"/>
        <w:spacing w:line="480" w:lineRule="auto"/>
        <w:jc w:val="center"/>
        <w:rPr>
          <w:rFonts w:eastAsia="PMingLiU"/>
          <w:b/>
        </w:rPr>
      </w:pPr>
      <w:r w:rsidRPr="00325486">
        <w:rPr>
          <w:rFonts w:eastAsia="SimSun" w:cs="Calibri"/>
          <w:color w:val="0000FF"/>
        </w:rPr>
        <w:t>http://www.sciencedirect.com/science/article/pii/S026800331400299X</w:t>
      </w:r>
    </w:p>
    <w:p w:rsidR="00325486" w:rsidRDefault="00325486" w:rsidP="00325486">
      <w:pPr>
        <w:widowControl w:val="0"/>
        <w:spacing w:line="480" w:lineRule="auto"/>
        <w:rPr>
          <w:rFonts w:eastAsia="PMingLiU"/>
          <w:b/>
        </w:rPr>
      </w:pPr>
    </w:p>
    <w:p w:rsidR="00325486" w:rsidRDefault="00325486" w:rsidP="00325486">
      <w:pPr>
        <w:widowControl w:val="0"/>
        <w:spacing w:line="480" w:lineRule="auto"/>
        <w:rPr>
          <w:rFonts w:eastAsia="PMingLiU"/>
          <w:b/>
        </w:rPr>
      </w:pPr>
    </w:p>
    <w:p w:rsidR="00325486" w:rsidRDefault="00325486" w:rsidP="00325486">
      <w:pPr>
        <w:widowControl w:val="0"/>
        <w:spacing w:line="480" w:lineRule="auto"/>
        <w:rPr>
          <w:rFonts w:eastAsia="PMingLiU"/>
          <w:b/>
        </w:rPr>
      </w:pPr>
    </w:p>
    <w:p w:rsidR="00325486" w:rsidRDefault="00325486" w:rsidP="00325486">
      <w:pPr>
        <w:widowControl w:val="0"/>
        <w:spacing w:line="480" w:lineRule="auto"/>
        <w:rPr>
          <w:rFonts w:eastAsia="PMingLiU"/>
          <w:b/>
        </w:rPr>
      </w:pPr>
    </w:p>
    <w:p w:rsidR="00325486" w:rsidRDefault="00325486" w:rsidP="00325486">
      <w:pPr>
        <w:widowControl w:val="0"/>
        <w:spacing w:line="480" w:lineRule="auto"/>
        <w:rPr>
          <w:rFonts w:eastAsia="PMingLiU"/>
          <w:b/>
        </w:rPr>
      </w:pPr>
    </w:p>
    <w:p w:rsidR="00325486" w:rsidRDefault="00325486" w:rsidP="00325486">
      <w:pPr>
        <w:widowControl w:val="0"/>
        <w:spacing w:line="480" w:lineRule="auto"/>
        <w:rPr>
          <w:rFonts w:eastAsia="PMingLiU"/>
          <w:b/>
        </w:rPr>
      </w:pPr>
    </w:p>
    <w:p w:rsidR="00325486" w:rsidRDefault="00325486" w:rsidP="00325486">
      <w:pPr>
        <w:widowControl w:val="0"/>
        <w:spacing w:line="480" w:lineRule="auto"/>
        <w:rPr>
          <w:rFonts w:eastAsia="PMingLiU"/>
          <w:b/>
        </w:rPr>
      </w:pPr>
    </w:p>
    <w:p w:rsidR="00325486" w:rsidRDefault="00325486" w:rsidP="00325486">
      <w:pPr>
        <w:widowControl w:val="0"/>
        <w:spacing w:line="480" w:lineRule="auto"/>
        <w:rPr>
          <w:rFonts w:eastAsia="PMingLiU"/>
          <w:b/>
        </w:rPr>
      </w:pPr>
    </w:p>
    <w:p w:rsidR="00325486" w:rsidRDefault="00325486" w:rsidP="00325486">
      <w:pPr>
        <w:widowControl w:val="0"/>
        <w:spacing w:line="480" w:lineRule="auto"/>
        <w:rPr>
          <w:rFonts w:eastAsia="PMingLiU"/>
          <w:b/>
        </w:rPr>
      </w:pPr>
    </w:p>
    <w:p w:rsidR="00716E5C" w:rsidRPr="00325486" w:rsidRDefault="00716E5C" w:rsidP="00716E5C">
      <w:pPr>
        <w:tabs>
          <w:tab w:val="right" w:pos="9026"/>
        </w:tabs>
        <w:spacing w:line="480" w:lineRule="auto"/>
        <w:rPr>
          <w:rFonts w:asciiTheme="majorHAnsi" w:hAnsiTheme="majorHAnsi" w:cstheme="majorBidi"/>
          <w:b/>
          <w:sz w:val="24"/>
          <w:szCs w:val="24"/>
        </w:rPr>
      </w:pPr>
      <w:r w:rsidRPr="00325486">
        <w:rPr>
          <w:rFonts w:asciiTheme="majorHAnsi" w:hAnsiTheme="majorHAnsi" w:cstheme="majorBidi"/>
          <w:b/>
          <w:sz w:val="24"/>
          <w:szCs w:val="24"/>
        </w:rPr>
        <w:t>Clinical Biomechanics</w:t>
      </w:r>
      <w:r w:rsidRPr="00325486">
        <w:rPr>
          <w:rFonts w:asciiTheme="majorHAnsi" w:hAnsiTheme="majorHAnsi" w:cstheme="majorBidi"/>
          <w:b/>
          <w:sz w:val="24"/>
          <w:szCs w:val="24"/>
        </w:rPr>
        <w:tab/>
      </w:r>
    </w:p>
    <w:p w:rsidR="00716E5C" w:rsidRPr="00325486" w:rsidRDefault="00716E5C" w:rsidP="00716E5C">
      <w:pPr>
        <w:spacing w:line="480" w:lineRule="auto"/>
        <w:rPr>
          <w:rFonts w:asciiTheme="majorHAnsi" w:hAnsiTheme="majorHAnsi" w:cstheme="majorBidi"/>
          <w:b/>
          <w:sz w:val="24"/>
          <w:szCs w:val="24"/>
        </w:rPr>
      </w:pPr>
    </w:p>
    <w:p w:rsidR="00716E5C" w:rsidRPr="00325486" w:rsidRDefault="00716E5C" w:rsidP="00716E5C">
      <w:pPr>
        <w:spacing w:line="480" w:lineRule="auto"/>
        <w:rPr>
          <w:rFonts w:asciiTheme="majorHAnsi" w:hAnsiTheme="majorHAnsi" w:cstheme="majorBidi"/>
          <w:b/>
          <w:sz w:val="24"/>
          <w:szCs w:val="24"/>
        </w:rPr>
      </w:pPr>
      <w:r w:rsidRPr="00325486">
        <w:rPr>
          <w:rFonts w:asciiTheme="majorHAnsi" w:hAnsiTheme="majorHAnsi" w:cstheme="majorBidi"/>
          <w:b/>
          <w:sz w:val="24"/>
          <w:szCs w:val="24"/>
        </w:rPr>
        <w:t xml:space="preserve">Title: The Physiological Response of Soft Tissue to Periodic Repositioning as a Strategy for Pressure Ulcer Prevention </w:t>
      </w:r>
    </w:p>
    <w:p w:rsidR="00716E5C" w:rsidRPr="00325486" w:rsidRDefault="00716E5C" w:rsidP="00716E5C">
      <w:pPr>
        <w:spacing w:line="480" w:lineRule="auto"/>
        <w:rPr>
          <w:rFonts w:asciiTheme="majorHAnsi" w:hAnsiTheme="majorHAnsi" w:cstheme="majorBidi"/>
          <w:b/>
          <w:sz w:val="24"/>
          <w:szCs w:val="24"/>
        </w:rPr>
      </w:pPr>
    </w:p>
    <w:p w:rsidR="00716E5C" w:rsidRPr="00325486" w:rsidRDefault="00716E5C" w:rsidP="00716E5C">
      <w:pPr>
        <w:spacing w:line="480" w:lineRule="auto"/>
        <w:rPr>
          <w:rFonts w:asciiTheme="majorHAnsi" w:hAnsiTheme="majorHAnsi" w:cstheme="majorBidi"/>
          <w:sz w:val="24"/>
          <w:szCs w:val="24"/>
        </w:rPr>
      </w:pPr>
    </w:p>
    <w:p w:rsidR="00716E5C" w:rsidRPr="00325486" w:rsidRDefault="00716E5C" w:rsidP="00716E5C">
      <w:pPr>
        <w:autoSpaceDE w:val="0"/>
        <w:autoSpaceDN w:val="0"/>
        <w:adjustRightInd w:val="0"/>
        <w:spacing w:after="0" w:line="480" w:lineRule="auto"/>
        <w:rPr>
          <w:rFonts w:asciiTheme="majorHAnsi" w:hAnsiTheme="majorHAnsi" w:cstheme="majorBidi"/>
          <w:b/>
          <w:sz w:val="24"/>
          <w:szCs w:val="24"/>
        </w:rPr>
      </w:pPr>
      <w:proofErr w:type="spellStart"/>
      <w:r w:rsidRPr="00325486">
        <w:rPr>
          <w:rFonts w:asciiTheme="majorHAnsi" w:hAnsiTheme="majorHAnsi" w:cstheme="majorBidi"/>
          <w:b/>
          <w:sz w:val="24"/>
          <w:szCs w:val="24"/>
        </w:rPr>
        <w:t>Marjolein</w:t>
      </w:r>
      <w:proofErr w:type="spellEnd"/>
      <w:r w:rsidRPr="00325486">
        <w:rPr>
          <w:rFonts w:asciiTheme="majorHAnsi" w:hAnsiTheme="majorHAnsi" w:cstheme="majorBidi"/>
          <w:b/>
          <w:sz w:val="24"/>
          <w:szCs w:val="24"/>
        </w:rPr>
        <w:t xml:space="preserve"> Woodhouse </w:t>
      </w:r>
      <w:proofErr w:type="spellStart"/>
      <w:r w:rsidRPr="00325486">
        <w:rPr>
          <w:rFonts w:asciiTheme="majorHAnsi" w:hAnsiTheme="majorHAnsi" w:cstheme="majorBidi"/>
          <w:b/>
          <w:sz w:val="24"/>
          <w:szCs w:val="24"/>
        </w:rPr>
        <w:t>PgDip</w:t>
      </w:r>
      <w:proofErr w:type="spellEnd"/>
      <w:r w:rsidRPr="00325486">
        <w:rPr>
          <w:rFonts w:asciiTheme="majorHAnsi" w:hAnsiTheme="majorHAnsi" w:cstheme="majorBidi"/>
          <w:b/>
          <w:sz w:val="24"/>
          <w:szCs w:val="24"/>
        </w:rPr>
        <w:t xml:space="preserve"> </w:t>
      </w:r>
      <w:r w:rsidRPr="00325486">
        <w:rPr>
          <w:rFonts w:asciiTheme="majorHAnsi" w:hAnsiTheme="majorHAnsi" w:cstheme="majorBidi"/>
          <w:b/>
          <w:sz w:val="24"/>
          <w:szCs w:val="24"/>
          <w:vertAlign w:val="superscript"/>
        </w:rPr>
        <w:t>a</w:t>
      </w:r>
      <w:r w:rsidR="008A184F" w:rsidRPr="00325486">
        <w:rPr>
          <w:rFonts w:asciiTheme="majorHAnsi" w:hAnsiTheme="majorHAnsi" w:cstheme="majorBidi"/>
          <w:b/>
          <w:sz w:val="24"/>
          <w:szCs w:val="24"/>
          <w:vertAlign w:val="superscript"/>
        </w:rPr>
        <w:t>b</w:t>
      </w:r>
      <w:r w:rsidRPr="00325486">
        <w:rPr>
          <w:rFonts w:asciiTheme="majorHAnsi" w:hAnsiTheme="majorHAnsi" w:cstheme="majorBidi"/>
          <w:b/>
          <w:sz w:val="24"/>
          <w:szCs w:val="24"/>
        </w:rPr>
        <w:t xml:space="preserve">, Peter R. Worsley PhD </w:t>
      </w:r>
      <w:r w:rsidRPr="00325486">
        <w:rPr>
          <w:rFonts w:asciiTheme="majorHAnsi" w:hAnsiTheme="majorHAnsi" w:cstheme="majorBidi"/>
          <w:b/>
          <w:sz w:val="24"/>
          <w:szCs w:val="24"/>
          <w:vertAlign w:val="superscript"/>
        </w:rPr>
        <w:t>a</w:t>
      </w:r>
      <w:r w:rsidRPr="00325486">
        <w:rPr>
          <w:rFonts w:asciiTheme="majorHAnsi" w:hAnsiTheme="majorHAnsi" w:cstheme="majorBidi"/>
          <w:b/>
          <w:sz w:val="24"/>
          <w:szCs w:val="24"/>
        </w:rPr>
        <w:t xml:space="preserve">, David </w:t>
      </w:r>
      <w:proofErr w:type="spellStart"/>
      <w:r w:rsidRPr="00325486">
        <w:rPr>
          <w:rFonts w:asciiTheme="majorHAnsi" w:hAnsiTheme="majorHAnsi" w:cstheme="majorBidi"/>
          <w:b/>
          <w:sz w:val="24"/>
          <w:szCs w:val="24"/>
        </w:rPr>
        <w:t>Voegeli</w:t>
      </w:r>
      <w:proofErr w:type="spellEnd"/>
      <w:r w:rsidRPr="00325486">
        <w:rPr>
          <w:rFonts w:asciiTheme="majorHAnsi" w:hAnsiTheme="majorHAnsi" w:cstheme="majorBidi"/>
          <w:b/>
          <w:sz w:val="24"/>
          <w:szCs w:val="24"/>
        </w:rPr>
        <w:t xml:space="preserve"> PhD </w:t>
      </w:r>
      <w:r w:rsidRPr="00325486">
        <w:rPr>
          <w:rFonts w:asciiTheme="majorHAnsi" w:hAnsiTheme="majorHAnsi" w:cstheme="majorBidi"/>
          <w:b/>
          <w:sz w:val="24"/>
          <w:szCs w:val="24"/>
          <w:vertAlign w:val="superscript"/>
        </w:rPr>
        <w:t>a</w:t>
      </w:r>
      <w:r w:rsidRPr="00325486">
        <w:rPr>
          <w:rFonts w:asciiTheme="majorHAnsi" w:hAnsiTheme="majorHAnsi" w:cstheme="majorBidi"/>
          <w:b/>
          <w:sz w:val="24"/>
          <w:szCs w:val="24"/>
        </w:rPr>
        <w:t xml:space="preserve">, </w:t>
      </w:r>
      <w:r w:rsidR="002E7D19" w:rsidRPr="00325486">
        <w:rPr>
          <w:rFonts w:asciiTheme="majorHAnsi" w:hAnsiTheme="majorHAnsi" w:cstheme="majorBidi"/>
          <w:b/>
          <w:sz w:val="24"/>
          <w:szCs w:val="24"/>
        </w:rPr>
        <w:t>Lisette Schoonhoven PhD</w:t>
      </w:r>
      <w:r w:rsidR="008A184F" w:rsidRPr="00325486">
        <w:rPr>
          <w:rFonts w:asciiTheme="majorHAnsi" w:hAnsiTheme="majorHAnsi" w:cstheme="majorBidi"/>
          <w:b/>
          <w:sz w:val="24"/>
          <w:szCs w:val="24"/>
          <w:vertAlign w:val="superscript"/>
        </w:rPr>
        <w:t xml:space="preserve"> ac</w:t>
      </w:r>
      <w:r w:rsidR="002E7D19" w:rsidRPr="00325486">
        <w:rPr>
          <w:rFonts w:asciiTheme="majorHAnsi" w:hAnsiTheme="majorHAnsi" w:cstheme="majorBidi"/>
          <w:b/>
          <w:sz w:val="24"/>
          <w:szCs w:val="24"/>
        </w:rPr>
        <w:t xml:space="preserve">, </w:t>
      </w:r>
      <w:r w:rsidRPr="00325486">
        <w:rPr>
          <w:rFonts w:asciiTheme="majorHAnsi" w:hAnsiTheme="majorHAnsi" w:cstheme="majorBidi"/>
          <w:b/>
          <w:sz w:val="24"/>
          <w:szCs w:val="24"/>
        </w:rPr>
        <w:t xml:space="preserve">Dan L. Bader DSc </w:t>
      </w:r>
      <w:r w:rsidRPr="00325486">
        <w:rPr>
          <w:rFonts w:asciiTheme="majorHAnsi" w:hAnsiTheme="majorHAnsi" w:cstheme="majorBidi"/>
          <w:b/>
          <w:sz w:val="24"/>
          <w:szCs w:val="24"/>
          <w:vertAlign w:val="superscript"/>
        </w:rPr>
        <w:t>a</w:t>
      </w:r>
      <w:r w:rsidRPr="00325486">
        <w:rPr>
          <w:rFonts w:asciiTheme="majorHAnsi" w:hAnsiTheme="majorHAnsi" w:cstheme="majorBidi"/>
          <w:b/>
          <w:sz w:val="24"/>
          <w:szCs w:val="24"/>
        </w:rPr>
        <w:t xml:space="preserve">. </w:t>
      </w:r>
    </w:p>
    <w:p w:rsidR="00716E5C" w:rsidRPr="00325486" w:rsidRDefault="00716E5C" w:rsidP="00716E5C">
      <w:pPr>
        <w:autoSpaceDE w:val="0"/>
        <w:autoSpaceDN w:val="0"/>
        <w:adjustRightInd w:val="0"/>
        <w:spacing w:after="0" w:line="480" w:lineRule="auto"/>
        <w:rPr>
          <w:rFonts w:asciiTheme="majorHAnsi" w:hAnsiTheme="majorHAnsi" w:cstheme="majorBidi"/>
          <w:b/>
          <w:sz w:val="24"/>
          <w:szCs w:val="24"/>
        </w:rPr>
      </w:pPr>
    </w:p>
    <w:p w:rsidR="00716E5C" w:rsidRPr="00325486" w:rsidRDefault="00716E5C" w:rsidP="00716E5C">
      <w:pPr>
        <w:autoSpaceDE w:val="0"/>
        <w:autoSpaceDN w:val="0"/>
        <w:adjustRightInd w:val="0"/>
        <w:spacing w:after="0" w:line="480" w:lineRule="auto"/>
        <w:rPr>
          <w:rFonts w:asciiTheme="majorHAnsi" w:hAnsiTheme="majorHAnsi" w:cstheme="majorBidi"/>
          <w:i/>
          <w:iCs/>
          <w:sz w:val="24"/>
          <w:szCs w:val="24"/>
        </w:rPr>
      </w:pPr>
      <w:r w:rsidRPr="00325486">
        <w:rPr>
          <w:rFonts w:asciiTheme="majorHAnsi" w:hAnsiTheme="majorHAnsi" w:cstheme="majorBidi"/>
          <w:i/>
          <w:iCs/>
          <w:sz w:val="24"/>
          <w:szCs w:val="24"/>
        </w:rPr>
        <w:t xml:space="preserve"> </w:t>
      </w:r>
      <w:proofErr w:type="gramStart"/>
      <w:r w:rsidRPr="00325486">
        <w:rPr>
          <w:rFonts w:asciiTheme="majorHAnsi" w:hAnsiTheme="majorHAnsi" w:cstheme="majorBidi"/>
          <w:b/>
          <w:sz w:val="24"/>
          <w:szCs w:val="24"/>
          <w:vertAlign w:val="superscript"/>
        </w:rPr>
        <w:t>a</w:t>
      </w:r>
      <w:proofErr w:type="gramEnd"/>
      <w:r w:rsidRPr="00325486">
        <w:rPr>
          <w:rFonts w:asciiTheme="majorHAnsi" w:hAnsiTheme="majorHAnsi" w:cstheme="majorBidi"/>
          <w:i/>
          <w:sz w:val="24"/>
          <w:szCs w:val="24"/>
        </w:rPr>
        <w:t xml:space="preserve"> Clinical Academic Facility, </w:t>
      </w:r>
      <w:r w:rsidRPr="00325486">
        <w:rPr>
          <w:rFonts w:asciiTheme="majorHAnsi" w:hAnsiTheme="majorHAnsi" w:cstheme="majorBidi"/>
          <w:i/>
          <w:iCs/>
          <w:sz w:val="24"/>
          <w:szCs w:val="24"/>
        </w:rPr>
        <w:t>Faculty of Health Sciences</w:t>
      </w:r>
      <w:r w:rsidRPr="00325486">
        <w:rPr>
          <w:rFonts w:asciiTheme="majorHAnsi" w:hAnsiTheme="majorHAnsi" w:cstheme="majorBidi"/>
          <w:i/>
          <w:sz w:val="24"/>
          <w:szCs w:val="24"/>
        </w:rPr>
        <w:t xml:space="preserve">, </w:t>
      </w:r>
      <w:r w:rsidRPr="00325486">
        <w:rPr>
          <w:rFonts w:asciiTheme="majorHAnsi" w:hAnsiTheme="majorHAnsi" w:cstheme="majorBidi"/>
          <w:i/>
          <w:iCs/>
          <w:sz w:val="24"/>
          <w:szCs w:val="24"/>
        </w:rPr>
        <w:t>University of Southampton</w:t>
      </w:r>
      <w:r w:rsidRPr="00325486">
        <w:rPr>
          <w:rFonts w:asciiTheme="majorHAnsi" w:hAnsiTheme="majorHAnsi" w:cstheme="majorBidi"/>
          <w:i/>
          <w:sz w:val="24"/>
          <w:szCs w:val="24"/>
        </w:rPr>
        <w:t xml:space="preserve">, </w:t>
      </w:r>
      <w:r w:rsidRPr="00325486">
        <w:rPr>
          <w:rFonts w:asciiTheme="majorHAnsi" w:hAnsiTheme="majorHAnsi" w:cstheme="majorBidi"/>
          <w:i/>
          <w:iCs/>
          <w:sz w:val="24"/>
          <w:szCs w:val="24"/>
        </w:rPr>
        <w:t>Southampton</w:t>
      </w:r>
      <w:r w:rsidRPr="00325486">
        <w:rPr>
          <w:rFonts w:asciiTheme="majorHAnsi" w:hAnsiTheme="majorHAnsi" w:cstheme="majorBidi"/>
          <w:i/>
          <w:sz w:val="24"/>
          <w:szCs w:val="24"/>
        </w:rPr>
        <w:t xml:space="preserve">, SO17 1BJ, </w:t>
      </w:r>
      <w:r w:rsidRPr="00325486">
        <w:rPr>
          <w:rFonts w:asciiTheme="majorHAnsi" w:hAnsiTheme="majorHAnsi" w:cstheme="majorBidi"/>
          <w:i/>
          <w:iCs/>
          <w:sz w:val="24"/>
          <w:szCs w:val="24"/>
        </w:rPr>
        <w:t>UK</w:t>
      </w:r>
    </w:p>
    <w:p w:rsidR="008A184F" w:rsidRPr="00325486" w:rsidRDefault="008A184F" w:rsidP="008A184F">
      <w:pPr>
        <w:autoSpaceDE w:val="0"/>
        <w:autoSpaceDN w:val="0"/>
        <w:adjustRightInd w:val="0"/>
        <w:spacing w:after="0" w:line="480" w:lineRule="auto"/>
        <w:rPr>
          <w:rFonts w:asciiTheme="majorHAnsi" w:hAnsiTheme="majorHAnsi" w:cstheme="majorBidi"/>
          <w:i/>
          <w:iCs/>
          <w:sz w:val="24"/>
          <w:szCs w:val="24"/>
        </w:rPr>
      </w:pPr>
      <w:proofErr w:type="gramStart"/>
      <w:r w:rsidRPr="00325486">
        <w:rPr>
          <w:rFonts w:asciiTheme="majorHAnsi" w:hAnsiTheme="majorHAnsi" w:cstheme="majorBidi"/>
          <w:b/>
          <w:sz w:val="24"/>
          <w:szCs w:val="24"/>
          <w:vertAlign w:val="superscript"/>
        </w:rPr>
        <w:lastRenderedPageBreak/>
        <w:t>b</w:t>
      </w:r>
      <w:proofErr w:type="gramEnd"/>
      <w:r w:rsidRPr="00325486">
        <w:rPr>
          <w:rFonts w:asciiTheme="majorHAnsi" w:hAnsiTheme="majorHAnsi" w:cstheme="majorBidi"/>
          <w:i/>
          <w:sz w:val="24"/>
          <w:szCs w:val="24"/>
        </w:rPr>
        <w:t xml:space="preserve"> Solent NHS Trust, </w:t>
      </w:r>
      <w:r w:rsidRPr="00325486">
        <w:rPr>
          <w:rStyle w:val="Strong"/>
          <w:b w:val="0"/>
          <w:bCs w:val="0"/>
          <w:i/>
          <w:iCs/>
          <w:sz w:val="24"/>
          <w:szCs w:val="24"/>
          <w:lang w:val="en"/>
        </w:rPr>
        <w:t>Adelaide Health Centre</w:t>
      </w:r>
      <w:r w:rsidRPr="00325486">
        <w:rPr>
          <w:i/>
          <w:iCs/>
          <w:sz w:val="24"/>
          <w:szCs w:val="24"/>
          <w:lang w:val="en"/>
        </w:rPr>
        <w:t xml:space="preserve">, </w:t>
      </w:r>
      <w:r w:rsidRPr="00325486">
        <w:rPr>
          <w:rStyle w:val="Strong"/>
          <w:b w:val="0"/>
          <w:bCs w:val="0"/>
          <w:i/>
          <w:iCs/>
          <w:sz w:val="24"/>
          <w:szCs w:val="24"/>
          <w:lang w:val="en"/>
        </w:rPr>
        <w:t>Western Community Hospital Campus</w:t>
      </w:r>
      <w:r w:rsidRPr="00325486">
        <w:rPr>
          <w:i/>
          <w:iCs/>
          <w:sz w:val="24"/>
          <w:szCs w:val="24"/>
          <w:lang w:val="en"/>
        </w:rPr>
        <w:br/>
      </w:r>
      <w:r w:rsidRPr="00325486">
        <w:rPr>
          <w:rStyle w:val="Strong"/>
          <w:b w:val="0"/>
          <w:bCs w:val="0"/>
          <w:i/>
          <w:iCs/>
          <w:sz w:val="24"/>
          <w:szCs w:val="24"/>
          <w:lang w:val="en"/>
        </w:rPr>
        <w:t>Millbrook</w:t>
      </w:r>
      <w:r w:rsidRPr="00325486">
        <w:rPr>
          <w:i/>
          <w:iCs/>
          <w:sz w:val="24"/>
          <w:szCs w:val="24"/>
          <w:lang w:val="en"/>
        </w:rPr>
        <w:t xml:space="preserve">, </w:t>
      </w:r>
      <w:r w:rsidRPr="00325486">
        <w:rPr>
          <w:rStyle w:val="Strong"/>
          <w:b w:val="0"/>
          <w:bCs w:val="0"/>
          <w:i/>
          <w:iCs/>
          <w:sz w:val="24"/>
          <w:szCs w:val="24"/>
          <w:lang w:val="en"/>
        </w:rPr>
        <w:t>Southampton</w:t>
      </w:r>
      <w:r w:rsidRPr="00325486">
        <w:rPr>
          <w:i/>
          <w:iCs/>
          <w:sz w:val="24"/>
          <w:szCs w:val="24"/>
          <w:lang w:val="en"/>
        </w:rPr>
        <w:t xml:space="preserve">, </w:t>
      </w:r>
      <w:r w:rsidRPr="00325486">
        <w:rPr>
          <w:rStyle w:val="Strong"/>
          <w:b w:val="0"/>
          <w:bCs w:val="0"/>
          <w:i/>
          <w:iCs/>
          <w:sz w:val="24"/>
          <w:szCs w:val="24"/>
          <w:lang w:val="en"/>
        </w:rPr>
        <w:t>SO16 4XE</w:t>
      </w:r>
    </w:p>
    <w:p w:rsidR="008A184F" w:rsidRPr="00325486" w:rsidRDefault="008A184F" w:rsidP="008A184F">
      <w:pPr>
        <w:autoSpaceDE w:val="0"/>
        <w:autoSpaceDN w:val="0"/>
        <w:adjustRightInd w:val="0"/>
        <w:spacing w:after="0" w:line="480" w:lineRule="auto"/>
        <w:rPr>
          <w:rFonts w:asciiTheme="majorHAnsi" w:hAnsiTheme="majorHAnsi" w:cstheme="majorBidi"/>
          <w:i/>
          <w:iCs/>
          <w:sz w:val="24"/>
          <w:szCs w:val="24"/>
        </w:rPr>
      </w:pPr>
      <w:proofErr w:type="gramStart"/>
      <w:r w:rsidRPr="00325486">
        <w:rPr>
          <w:rFonts w:asciiTheme="majorHAnsi" w:hAnsiTheme="majorHAnsi" w:cstheme="majorBidi"/>
          <w:b/>
          <w:sz w:val="24"/>
          <w:szCs w:val="24"/>
          <w:vertAlign w:val="superscript"/>
        </w:rPr>
        <w:t>c</w:t>
      </w:r>
      <w:proofErr w:type="gramEnd"/>
      <w:r w:rsidRPr="00325486">
        <w:rPr>
          <w:rFonts w:asciiTheme="majorHAnsi" w:hAnsiTheme="majorHAnsi" w:cstheme="majorBidi"/>
          <w:i/>
          <w:sz w:val="24"/>
          <w:szCs w:val="24"/>
        </w:rPr>
        <w:t xml:space="preserve"> </w:t>
      </w:r>
      <w:proofErr w:type="spellStart"/>
      <w:r w:rsidRPr="00325486">
        <w:rPr>
          <w:rStyle w:val="Strong"/>
          <w:rFonts w:asciiTheme="majorHAnsi" w:hAnsiTheme="majorHAnsi" w:cs="Arial"/>
          <w:b w:val="0"/>
          <w:bCs w:val="0"/>
          <w:i/>
          <w:iCs/>
          <w:sz w:val="24"/>
          <w:szCs w:val="24"/>
          <w:lang w:val="en-US"/>
        </w:rPr>
        <w:t>Radboud</w:t>
      </w:r>
      <w:proofErr w:type="spellEnd"/>
      <w:r w:rsidRPr="00325486">
        <w:rPr>
          <w:rStyle w:val="Strong"/>
          <w:rFonts w:asciiTheme="majorHAnsi" w:hAnsiTheme="majorHAnsi" w:cs="Arial"/>
          <w:b w:val="0"/>
          <w:bCs w:val="0"/>
          <w:i/>
          <w:iCs/>
          <w:sz w:val="24"/>
          <w:szCs w:val="24"/>
          <w:lang w:val="en-US"/>
        </w:rPr>
        <w:t xml:space="preserve"> university medical center</w:t>
      </w:r>
      <w:r w:rsidRPr="00325486">
        <w:rPr>
          <w:rFonts w:asciiTheme="majorHAnsi" w:hAnsiTheme="majorHAnsi" w:cs="Arial"/>
          <w:i/>
          <w:iCs/>
          <w:sz w:val="24"/>
          <w:szCs w:val="24"/>
          <w:lang w:val="en-US"/>
        </w:rPr>
        <w:t xml:space="preserve">, </w:t>
      </w:r>
      <w:proofErr w:type="spellStart"/>
      <w:r w:rsidRPr="00325486">
        <w:rPr>
          <w:rFonts w:asciiTheme="majorHAnsi" w:hAnsiTheme="majorHAnsi" w:cs="Arial"/>
          <w:i/>
          <w:iCs/>
          <w:sz w:val="24"/>
          <w:szCs w:val="24"/>
          <w:lang w:val="en-US"/>
        </w:rPr>
        <w:t>P.O.Box</w:t>
      </w:r>
      <w:proofErr w:type="spellEnd"/>
      <w:r w:rsidRPr="00325486">
        <w:rPr>
          <w:rFonts w:asciiTheme="majorHAnsi" w:hAnsiTheme="majorHAnsi" w:cs="Arial"/>
          <w:i/>
          <w:iCs/>
          <w:sz w:val="24"/>
          <w:szCs w:val="24"/>
          <w:lang w:val="en-US"/>
        </w:rPr>
        <w:t xml:space="preserve"> 9101, 6500 HB Nijmegen, The Netherlands</w:t>
      </w:r>
    </w:p>
    <w:p w:rsidR="00716E5C" w:rsidRPr="00325486" w:rsidRDefault="00716E5C" w:rsidP="00716E5C">
      <w:pPr>
        <w:autoSpaceDE w:val="0"/>
        <w:autoSpaceDN w:val="0"/>
        <w:adjustRightInd w:val="0"/>
        <w:spacing w:after="0" w:line="480" w:lineRule="auto"/>
        <w:rPr>
          <w:rFonts w:asciiTheme="majorHAnsi" w:hAnsiTheme="majorHAnsi" w:cstheme="majorBidi"/>
          <w:i/>
          <w:iCs/>
          <w:sz w:val="24"/>
          <w:szCs w:val="24"/>
        </w:rPr>
      </w:pPr>
    </w:p>
    <w:p w:rsidR="00716E5C" w:rsidRPr="00325486" w:rsidRDefault="00716E5C" w:rsidP="00716E5C">
      <w:pPr>
        <w:spacing w:line="480" w:lineRule="auto"/>
        <w:rPr>
          <w:rFonts w:asciiTheme="majorHAnsi" w:hAnsiTheme="majorHAnsi" w:cstheme="majorBidi"/>
          <w:b/>
          <w:sz w:val="24"/>
          <w:szCs w:val="24"/>
        </w:rPr>
      </w:pPr>
      <w:r w:rsidRPr="00325486">
        <w:rPr>
          <w:rFonts w:asciiTheme="majorHAnsi" w:hAnsiTheme="majorHAnsi" w:cstheme="majorBidi"/>
          <w:sz w:val="24"/>
          <w:szCs w:val="24"/>
        </w:rPr>
        <w:t xml:space="preserve">Corresponding Author: Email: </w:t>
      </w:r>
      <w:hyperlink r:id="rId5" w:history="1">
        <w:r w:rsidRPr="00325486">
          <w:rPr>
            <w:rStyle w:val="Hyperlink"/>
            <w:rFonts w:asciiTheme="majorHAnsi" w:hAnsiTheme="majorHAnsi"/>
            <w:sz w:val="24"/>
            <w:szCs w:val="24"/>
          </w:rPr>
          <w:t>p.r.worsley@soton.ac.uk</w:t>
        </w:r>
      </w:hyperlink>
      <w:r w:rsidRPr="00325486">
        <w:rPr>
          <w:rFonts w:asciiTheme="majorHAnsi" w:hAnsiTheme="majorHAnsi" w:cstheme="majorBidi"/>
          <w:sz w:val="24"/>
          <w:szCs w:val="24"/>
        </w:rPr>
        <w:t xml:space="preserve"> Tel: </w:t>
      </w:r>
      <w:r w:rsidRPr="00325486">
        <w:rPr>
          <w:rFonts w:asciiTheme="majorHAnsi" w:hAnsiTheme="majorHAnsi" w:cs="Verdana"/>
          <w:sz w:val="24"/>
          <w:szCs w:val="24"/>
          <w:lang w:val="en-US" w:eastAsia="zh-CN"/>
        </w:rPr>
        <w:t>023 8120</w:t>
      </w:r>
      <w:r w:rsidRPr="00325486">
        <w:rPr>
          <w:rFonts w:asciiTheme="majorHAnsi" w:hAnsiTheme="majorHAnsi" w:cstheme="majorBidi"/>
          <w:sz w:val="24"/>
          <w:szCs w:val="24"/>
        </w:rPr>
        <w:t>8957</w:t>
      </w:r>
    </w:p>
    <w:p w:rsidR="00716E5C" w:rsidRPr="00325486" w:rsidRDefault="00716E5C" w:rsidP="00716E5C">
      <w:pPr>
        <w:spacing w:line="480" w:lineRule="auto"/>
        <w:rPr>
          <w:rFonts w:asciiTheme="majorHAnsi" w:hAnsiTheme="majorHAnsi" w:cstheme="majorBidi"/>
          <w:b/>
          <w:sz w:val="24"/>
          <w:szCs w:val="24"/>
        </w:rPr>
      </w:pPr>
    </w:p>
    <w:p w:rsidR="00716E5C" w:rsidRPr="00325486" w:rsidRDefault="00716E5C" w:rsidP="00716E5C">
      <w:pPr>
        <w:spacing w:line="480" w:lineRule="auto"/>
        <w:rPr>
          <w:rFonts w:asciiTheme="majorHAnsi" w:hAnsiTheme="majorHAnsi" w:cstheme="majorBidi"/>
          <w:b/>
          <w:sz w:val="24"/>
          <w:szCs w:val="24"/>
        </w:rPr>
      </w:pPr>
      <w:r w:rsidRPr="00325486">
        <w:rPr>
          <w:rFonts w:asciiTheme="majorHAnsi" w:hAnsiTheme="majorHAnsi" w:cstheme="majorBidi"/>
          <w:b/>
          <w:sz w:val="24"/>
          <w:szCs w:val="24"/>
        </w:rPr>
        <w:t>Word Count</w:t>
      </w:r>
    </w:p>
    <w:p w:rsidR="00716E5C" w:rsidRPr="00325486" w:rsidRDefault="00716E5C" w:rsidP="00716E5C">
      <w:pPr>
        <w:spacing w:line="480" w:lineRule="auto"/>
        <w:rPr>
          <w:rFonts w:asciiTheme="majorHAnsi" w:hAnsiTheme="majorHAnsi" w:cstheme="majorBidi"/>
          <w:b/>
          <w:sz w:val="24"/>
          <w:szCs w:val="24"/>
        </w:rPr>
      </w:pPr>
      <w:r w:rsidRPr="00325486">
        <w:rPr>
          <w:rFonts w:asciiTheme="majorHAnsi" w:hAnsiTheme="majorHAnsi" w:cstheme="majorBidi"/>
          <w:b/>
          <w:sz w:val="24"/>
          <w:szCs w:val="24"/>
        </w:rPr>
        <w:t>Abstract: 249</w:t>
      </w:r>
    </w:p>
    <w:p w:rsidR="00716E5C" w:rsidRPr="00325486" w:rsidRDefault="00716E5C" w:rsidP="00716E5C">
      <w:pPr>
        <w:spacing w:line="480" w:lineRule="auto"/>
        <w:rPr>
          <w:rFonts w:asciiTheme="majorHAnsi" w:hAnsiTheme="majorHAnsi" w:cstheme="majorBidi"/>
          <w:b/>
          <w:sz w:val="24"/>
          <w:szCs w:val="24"/>
        </w:rPr>
      </w:pPr>
      <w:r w:rsidRPr="00325486">
        <w:rPr>
          <w:rFonts w:asciiTheme="majorHAnsi" w:hAnsiTheme="majorHAnsi" w:cstheme="majorBidi"/>
          <w:b/>
          <w:sz w:val="24"/>
          <w:szCs w:val="24"/>
        </w:rPr>
        <w:t>Manuscript: 3198</w:t>
      </w:r>
    </w:p>
    <w:p w:rsidR="00716E5C" w:rsidRPr="00325486" w:rsidRDefault="00716E5C" w:rsidP="00716E5C">
      <w:pPr>
        <w:rPr>
          <w:rFonts w:asciiTheme="majorHAnsi" w:hAnsiTheme="majorHAnsi"/>
          <w:sz w:val="24"/>
          <w:szCs w:val="24"/>
        </w:rPr>
      </w:pPr>
    </w:p>
    <w:p w:rsidR="00716E5C" w:rsidRPr="00325486" w:rsidRDefault="00716E5C" w:rsidP="00716E5C">
      <w:pPr>
        <w:spacing w:line="480" w:lineRule="auto"/>
        <w:rPr>
          <w:rFonts w:asciiTheme="majorHAnsi" w:hAnsiTheme="majorHAnsi" w:cstheme="majorBidi"/>
          <w:b/>
          <w:sz w:val="24"/>
          <w:szCs w:val="24"/>
        </w:rPr>
      </w:pPr>
      <w:r w:rsidRPr="00325486">
        <w:rPr>
          <w:rFonts w:asciiTheme="majorHAnsi" w:hAnsiTheme="majorHAnsi" w:cstheme="majorBidi"/>
          <w:b/>
          <w:sz w:val="24"/>
          <w:szCs w:val="24"/>
        </w:rPr>
        <w:t xml:space="preserve">Abstract: </w:t>
      </w:r>
    </w:p>
    <w:p w:rsidR="00716E5C" w:rsidRPr="00325486" w:rsidRDefault="00716E5C" w:rsidP="00716E5C">
      <w:pPr>
        <w:autoSpaceDE w:val="0"/>
        <w:autoSpaceDN w:val="0"/>
        <w:adjustRightInd w:val="0"/>
        <w:spacing w:after="0" w:line="480" w:lineRule="auto"/>
        <w:rPr>
          <w:rFonts w:asciiTheme="majorHAnsi" w:hAnsiTheme="majorHAnsi" w:cstheme="majorBidi"/>
          <w:sz w:val="24"/>
          <w:szCs w:val="24"/>
        </w:rPr>
      </w:pPr>
      <w:r w:rsidRPr="00325486">
        <w:rPr>
          <w:rFonts w:asciiTheme="majorHAnsi" w:hAnsiTheme="majorHAnsi" w:cstheme="majorBidi"/>
          <w:i/>
          <w:iCs/>
          <w:sz w:val="24"/>
          <w:szCs w:val="24"/>
        </w:rPr>
        <w:t>Background:</w:t>
      </w:r>
      <w:r w:rsidRPr="00325486">
        <w:rPr>
          <w:rFonts w:asciiTheme="majorHAnsi" w:hAnsiTheme="majorHAnsi" w:cstheme="majorBidi"/>
          <w:sz w:val="24"/>
          <w:szCs w:val="24"/>
        </w:rPr>
        <w:t xml:space="preserve"> Individuals who have reduced mobility are at risk of developing pressure ulcers if they are subjected to sustained static postures. To reduce this risk, clinical guidelines advocate healthcare </w:t>
      </w:r>
      <w:r w:rsidR="00827096" w:rsidRPr="00325486">
        <w:rPr>
          <w:rFonts w:asciiTheme="majorHAnsi" w:hAnsiTheme="majorHAnsi" w:cstheme="majorBidi"/>
          <w:sz w:val="24"/>
          <w:szCs w:val="24"/>
        </w:rPr>
        <w:t>professionals reposition</w:t>
      </w:r>
      <w:r w:rsidRPr="00325486">
        <w:rPr>
          <w:rFonts w:asciiTheme="majorHAnsi" w:hAnsiTheme="majorHAnsi" w:cstheme="majorBidi"/>
          <w:sz w:val="24"/>
          <w:szCs w:val="24"/>
        </w:rPr>
        <w:t xml:space="preserve"> patients regularly. Automated tilting mechanisms have recently been introduced to provide periodic repositioning.  This study compared the performance of such a prototype mattress to conventional manual repositioning. </w:t>
      </w:r>
    </w:p>
    <w:p w:rsidR="00716E5C" w:rsidRPr="00325486" w:rsidRDefault="00716E5C" w:rsidP="00716E5C">
      <w:pPr>
        <w:autoSpaceDE w:val="0"/>
        <w:autoSpaceDN w:val="0"/>
        <w:adjustRightInd w:val="0"/>
        <w:spacing w:after="0" w:line="480" w:lineRule="auto"/>
        <w:rPr>
          <w:rFonts w:asciiTheme="majorHAnsi" w:hAnsiTheme="majorHAnsi" w:cstheme="majorBidi"/>
          <w:sz w:val="24"/>
          <w:szCs w:val="24"/>
        </w:rPr>
      </w:pPr>
    </w:p>
    <w:p w:rsidR="00716E5C" w:rsidRPr="00325486" w:rsidRDefault="00716E5C" w:rsidP="00716E5C">
      <w:pPr>
        <w:spacing w:after="0" w:line="480" w:lineRule="auto"/>
        <w:rPr>
          <w:rFonts w:asciiTheme="majorHAnsi" w:hAnsiTheme="majorHAnsi" w:cstheme="majorBidi"/>
          <w:bCs/>
          <w:sz w:val="24"/>
          <w:szCs w:val="24"/>
        </w:rPr>
      </w:pPr>
      <w:r w:rsidRPr="00325486">
        <w:rPr>
          <w:rFonts w:asciiTheme="majorHAnsi" w:hAnsiTheme="majorHAnsi" w:cstheme="majorBidi"/>
          <w:bCs/>
          <w:sz w:val="24"/>
          <w:szCs w:val="24"/>
        </w:rPr>
        <w:t xml:space="preserve"> </w:t>
      </w:r>
      <w:r w:rsidRPr="00325486">
        <w:rPr>
          <w:rFonts w:asciiTheme="majorHAnsi" w:hAnsiTheme="majorHAnsi" w:cstheme="majorBidi"/>
          <w:bCs/>
          <w:i/>
          <w:iCs/>
          <w:sz w:val="24"/>
          <w:szCs w:val="24"/>
        </w:rPr>
        <w:t>Methods:</w:t>
      </w:r>
      <w:r w:rsidRPr="00325486">
        <w:rPr>
          <w:rFonts w:asciiTheme="majorHAnsi" w:hAnsiTheme="majorHAnsi" w:cstheme="majorBidi"/>
          <w:bCs/>
          <w:sz w:val="24"/>
          <w:szCs w:val="24"/>
        </w:rPr>
        <w:t xml:space="preserve"> Ten healthy participants </w:t>
      </w:r>
      <w:r w:rsidRPr="00325486">
        <w:rPr>
          <w:rFonts w:asciiTheme="majorHAnsi" w:hAnsiTheme="majorHAnsi" w:cstheme="majorBidi"/>
          <w:sz w:val="24"/>
          <w:szCs w:val="24"/>
        </w:rPr>
        <w:t xml:space="preserve">(7 male and 3 female, aged 23-66 years) </w:t>
      </w:r>
      <w:r w:rsidRPr="00325486">
        <w:rPr>
          <w:rFonts w:asciiTheme="majorHAnsi" w:hAnsiTheme="majorHAnsi" w:cstheme="majorBidi"/>
          <w:bCs/>
          <w:sz w:val="24"/>
          <w:szCs w:val="24"/>
        </w:rPr>
        <w:t>were recruited to compare the effects of an automated tilting mattress to standard manual repositioning, using the 30° tilt. Measures during the tilting protocols (supine, right and left tilt) included comfort and safety scores, interface pressures, inclinometer angles and transcutaneous gas tensions (sacrum and shoulder). Data from these outcomes were compared between each protocol.</w:t>
      </w:r>
    </w:p>
    <w:p w:rsidR="00716E5C" w:rsidRPr="00325486" w:rsidRDefault="00716E5C" w:rsidP="00716E5C">
      <w:pPr>
        <w:spacing w:after="0" w:line="480" w:lineRule="auto"/>
        <w:rPr>
          <w:rFonts w:asciiTheme="majorHAnsi" w:hAnsiTheme="majorHAnsi" w:cstheme="majorBidi"/>
          <w:bCs/>
          <w:sz w:val="24"/>
          <w:szCs w:val="24"/>
        </w:rPr>
      </w:pPr>
    </w:p>
    <w:p w:rsidR="00716E5C" w:rsidRPr="00325486" w:rsidRDefault="00716E5C" w:rsidP="00716E5C">
      <w:pPr>
        <w:spacing w:after="0" w:line="480" w:lineRule="auto"/>
        <w:rPr>
          <w:rFonts w:asciiTheme="majorHAnsi" w:hAnsiTheme="majorHAnsi" w:cstheme="majorBidi"/>
          <w:bCs/>
          <w:sz w:val="24"/>
          <w:szCs w:val="24"/>
        </w:rPr>
      </w:pPr>
      <w:r w:rsidRPr="00325486">
        <w:rPr>
          <w:rFonts w:asciiTheme="majorHAnsi" w:hAnsiTheme="majorHAnsi" w:cstheme="majorBidi"/>
          <w:bCs/>
          <w:i/>
          <w:iCs/>
          <w:sz w:val="24"/>
          <w:szCs w:val="24"/>
        </w:rPr>
        <w:t>Findings:</w:t>
      </w:r>
      <w:r w:rsidRPr="00325486">
        <w:rPr>
          <w:rFonts w:asciiTheme="majorHAnsi" w:hAnsiTheme="majorHAnsi" w:cstheme="majorBidi"/>
          <w:bCs/>
          <w:sz w:val="24"/>
          <w:szCs w:val="24"/>
        </w:rPr>
        <w:t xml:space="preserve"> Results indicated no significant differences for either interface pressures or transcutaneous gas responses between the two protocols (p&gt;0.05 in both cases).  Indeed a small proportion of participants (~30%) exhibited changes in transcutaneous oxygen and carbon dioxide values in the shoulder during a right tilt for both protocols.  </w:t>
      </w:r>
      <w:r w:rsidRPr="00325486">
        <w:rPr>
          <w:rFonts w:asciiTheme="majorHAnsi" w:hAnsiTheme="majorHAnsi" w:cstheme="majorBidi"/>
          <w:sz w:val="24"/>
          <w:szCs w:val="24"/>
        </w:rPr>
        <w:t xml:space="preserve">The tilt angles at the sternum and the pelvis were significantly less in the automated tilt compared to the manual tilt (mean difference = 9.4-11.5°, p&lt;0.001). </w:t>
      </w:r>
      <w:r w:rsidRPr="00325486">
        <w:rPr>
          <w:rFonts w:asciiTheme="majorHAnsi" w:hAnsiTheme="majorHAnsi" w:cstheme="majorBidi"/>
          <w:bCs/>
          <w:sz w:val="24"/>
          <w:szCs w:val="24"/>
        </w:rPr>
        <w:t>Participants reported similar comfort scores for both protocols, although perceived safety was reduced on the prototype mattress.</w:t>
      </w:r>
    </w:p>
    <w:p w:rsidR="00716E5C" w:rsidRPr="00325486" w:rsidRDefault="00716E5C" w:rsidP="00716E5C">
      <w:pPr>
        <w:spacing w:after="0" w:line="480" w:lineRule="auto"/>
        <w:rPr>
          <w:rFonts w:asciiTheme="majorHAnsi" w:hAnsiTheme="majorHAnsi" w:cstheme="majorBidi"/>
          <w:bCs/>
          <w:sz w:val="24"/>
          <w:szCs w:val="24"/>
        </w:rPr>
      </w:pPr>
    </w:p>
    <w:p w:rsidR="00716E5C" w:rsidRPr="00325486" w:rsidRDefault="00716E5C" w:rsidP="00716E5C">
      <w:pPr>
        <w:spacing w:after="0" w:line="480" w:lineRule="auto"/>
        <w:rPr>
          <w:rFonts w:asciiTheme="majorHAnsi" w:hAnsiTheme="majorHAnsi" w:cstheme="majorBidi"/>
          <w:bCs/>
          <w:sz w:val="24"/>
          <w:szCs w:val="24"/>
        </w:rPr>
      </w:pPr>
      <w:r w:rsidRPr="00325486">
        <w:rPr>
          <w:rFonts w:asciiTheme="majorHAnsi" w:hAnsiTheme="majorHAnsi" w:cstheme="majorBidi"/>
          <w:bCs/>
          <w:sz w:val="24"/>
          <w:szCs w:val="24"/>
        </w:rPr>
        <w:t xml:space="preserve">  </w:t>
      </w:r>
      <w:r w:rsidRPr="00325486">
        <w:rPr>
          <w:rFonts w:asciiTheme="majorHAnsi" w:hAnsiTheme="majorHAnsi" w:cstheme="majorBidi"/>
          <w:bCs/>
          <w:i/>
          <w:iCs/>
          <w:sz w:val="24"/>
          <w:szCs w:val="24"/>
        </w:rPr>
        <w:t>Interpretation:</w:t>
      </w:r>
      <w:r w:rsidRPr="00325486">
        <w:rPr>
          <w:rFonts w:asciiTheme="majorHAnsi" w:hAnsiTheme="majorHAnsi" w:cstheme="majorBidi"/>
          <w:bCs/>
          <w:sz w:val="24"/>
          <w:szCs w:val="24"/>
        </w:rPr>
        <w:t xml:space="preserve">  Although further studies are required to assess its performance in maintaining tissue viability, an automated tilting mattress offers the potential for periodic repositioning of vulnerable individuals, with potential economic savings to health services. </w:t>
      </w:r>
    </w:p>
    <w:p w:rsidR="00716E5C" w:rsidRPr="00325486" w:rsidRDefault="00716E5C" w:rsidP="00716E5C">
      <w:pPr>
        <w:rPr>
          <w:rFonts w:asciiTheme="majorHAnsi" w:hAnsiTheme="majorHAnsi"/>
          <w:sz w:val="24"/>
          <w:szCs w:val="24"/>
        </w:rPr>
      </w:pPr>
    </w:p>
    <w:p w:rsidR="00716E5C" w:rsidRPr="00325486" w:rsidRDefault="00716E5C" w:rsidP="00716E5C">
      <w:pPr>
        <w:spacing w:line="480" w:lineRule="auto"/>
        <w:rPr>
          <w:rFonts w:asciiTheme="majorHAnsi" w:hAnsiTheme="majorHAnsi" w:cstheme="majorBidi"/>
          <w:b/>
          <w:sz w:val="24"/>
          <w:szCs w:val="24"/>
        </w:rPr>
      </w:pPr>
    </w:p>
    <w:p w:rsidR="00716E5C" w:rsidRPr="00325486" w:rsidRDefault="00716E5C" w:rsidP="00716E5C">
      <w:pPr>
        <w:autoSpaceDE w:val="0"/>
        <w:autoSpaceDN w:val="0"/>
        <w:adjustRightInd w:val="0"/>
        <w:spacing w:after="0" w:line="480" w:lineRule="auto"/>
        <w:rPr>
          <w:rFonts w:asciiTheme="majorHAnsi" w:hAnsiTheme="majorHAnsi" w:cstheme="majorBidi"/>
          <w:sz w:val="24"/>
          <w:szCs w:val="24"/>
        </w:rPr>
      </w:pPr>
      <w:r w:rsidRPr="00325486">
        <w:rPr>
          <w:rFonts w:asciiTheme="majorHAnsi" w:hAnsiTheme="majorHAnsi" w:cstheme="majorBidi"/>
          <w:i/>
          <w:iCs/>
          <w:sz w:val="24"/>
          <w:szCs w:val="24"/>
        </w:rPr>
        <w:t>Keywords</w:t>
      </w:r>
      <w:r w:rsidRPr="00325486">
        <w:rPr>
          <w:rFonts w:asciiTheme="majorHAnsi" w:hAnsiTheme="majorHAnsi" w:cstheme="majorBidi"/>
          <w:sz w:val="24"/>
          <w:szCs w:val="24"/>
        </w:rPr>
        <w:t xml:space="preserve">: Pressure ulcers, pressure redistributing mattress, repositioning, lateral rotation, biomechanics, tissue viability. </w:t>
      </w:r>
    </w:p>
    <w:p w:rsidR="00716E5C" w:rsidRPr="00325486" w:rsidRDefault="00716E5C" w:rsidP="00716E5C">
      <w:pPr>
        <w:rPr>
          <w:rFonts w:asciiTheme="majorHAnsi" w:hAnsiTheme="majorHAnsi"/>
          <w:sz w:val="24"/>
          <w:szCs w:val="24"/>
        </w:rPr>
      </w:pPr>
    </w:p>
    <w:p w:rsidR="00716E5C" w:rsidRPr="00325486" w:rsidRDefault="00716E5C" w:rsidP="00F20BC8">
      <w:pPr>
        <w:spacing w:line="480" w:lineRule="auto"/>
        <w:rPr>
          <w:rFonts w:asciiTheme="majorHAnsi" w:hAnsiTheme="majorHAnsi" w:cstheme="majorBidi"/>
          <w:b/>
          <w:sz w:val="24"/>
          <w:szCs w:val="24"/>
        </w:rPr>
      </w:pPr>
    </w:p>
    <w:p w:rsidR="00716E5C" w:rsidRPr="00325486" w:rsidRDefault="00716E5C" w:rsidP="00F20BC8">
      <w:pPr>
        <w:spacing w:line="480" w:lineRule="auto"/>
        <w:rPr>
          <w:rFonts w:asciiTheme="majorHAnsi" w:hAnsiTheme="majorHAnsi" w:cstheme="majorBidi"/>
          <w:b/>
          <w:sz w:val="24"/>
          <w:szCs w:val="24"/>
        </w:rPr>
      </w:pPr>
    </w:p>
    <w:p w:rsidR="00716E5C" w:rsidRPr="00325486" w:rsidRDefault="00716E5C" w:rsidP="00F20BC8">
      <w:pPr>
        <w:spacing w:line="480" w:lineRule="auto"/>
        <w:rPr>
          <w:rFonts w:asciiTheme="majorHAnsi" w:hAnsiTheme="majorHAnsi" w:cstheme="majorBidi"/>
          <w:b/>
          <w:sz w:val="24"/>
          <w:szCs w:val="24"/>
        </w:rPr>
      </w:pPr>
    </w:p>
    <w:p w:rsidR="00716E5C" w:rsidRPr="00325486" w:rsidRDefault="00716E5C" w:rsidP="00F20BC8">
      <w:pPr>
        <w:spacing w:line="480" w:lineRule="auto"/>
        <w:rPr>
          <w:rFonts w:asciiTheme="majorHAnsi" w:hAnsiTheme="majorHAnsi" w:cstheme="majorBidi"/>
          <w:b/>
          <w:sz w:val="24"/>
          <w:szCs w:val="24"/>
        </w:rPr>
      </w:pPr>
    </w:p>
    <w:p w:rsidR="00716E5C" w:rsidRPr="00325486" w:rsidRDefault="00716E5C" w:rsidP="00F20BC8">
      <w:pPr>
        <w:spacing w:line="480" w:lineRule="auto"/>
        <w:rPr>
          <w:rFonts w:asciiTheme="majorHAnsi" w:hAnsiTheme="majorHAnsi" w:cstheme="majorBidi"/>
          <w:b/>
          <w:sz w:val="24"/>
          <w:szCs w:val="24"/>
        </w:rPr>
      </w:pPr>
    </w:p>
    <w:p w:rsidR="00716E5C" w:rsidRPr="00325486" w:rsidRDefault="00716E5C" w:rsidP="00F20BC8">
      <w:pPr>
        <w:spacing w:line="480" w:lineRule="auto"/>
        <w:rPr>
          <w:rFonts w:asciiTheme="majorHAnsi" w:hAnsiTheme="majorHAnsi" w:cstheme="majorBidi"/>
          <w:b/>
          <w:sz w:val="24"/>
          <w:szCs w:val="24"/>
        </w:rPr>
      </w:pPr>
    </w:p>
    <w:p w:rsidR="00716E5C" w:rsidRPr="00325486" w:rsidRDefault="00716E5C" w:rsidP="00F20BC8">
      <w:pPr>
        <w:spacing w:line="480" w:lineRule="auto"/>
        <w:rPr>
          <w:rFonts w:asciiTheme="majorHAnsi" w:hAnsiTheme="majorHAnsi" w:cstheme="majorBidi"/>
          <w:b/>
          <w:sz w:val="24"/>
          <w:szCs w:val="24"/>
        </w:rPr>
      </w:pPr>
    </w:p>
    <w:p w:rsidR="00716E5C" w:rsidRPr="00325486" w:rsidRDefault="00716E5C" w:rsidP="00F20BC8">
      <w:pPr>
        <w:spacing w:line="480" w:lineRule="auto"/>
        <w:rPr>
          <w:rFonts w:asciiTheme="majorHAnsi" w:hAnsiTheme="majorHAnsi" w:cstheme="majorBidi"/>
          <w:b/>
          <w:sz w:val="24"/>
          <w:szCs w:val="24"/>
        </w:rPr>
      </w:pPr>
    </w:p>
    <w:p w:rsidR="00716E5C" w:rsidRPr="00325486" w:rsidRDefault="00716E5C" w:rsidP="00F20BC8">
      <w:pPr>
        <w:spacing w:line="480" w:lineRule="auto"/>
        <w:rPr>
          <w:rFonts w:asciiTheme="majorHAnsi" w:hAnsiTheme="majorHAnsi" w:cstheme="majorBidi"/>
          <w:b/>
          <w:sz w:val="24"/>
          <w:szCs w:val="24"/>
        </w:rPr>
      </w:pPr>
    </w:p>
    <w:p w:rsidR="00716E5C" w:rsidRPr="00325486" w:rsidRDefault="00716E5C" w:rsidP="00F20BC8">
      <w:pPr>
        <w:spacing w:line="480" w:lineRule="auto"/>
        <w:rPr>
          <w:rFonts w:asciiTheme="majorHAnsi" w:hAnsiTheme="majorHAnsi" w:cstheme="majorBidi"/>
          <w:b/>
          <w:sz w:val="24"/>
          <w:szCs w:val="24"/>
        </w:rPr>
      </w:pPr>
    </w:p>
    <w:p w:rsidR="00716E5C" w:rsidRPr="00325486" w:rsidRDefault="00716E5C" w:rsidP="00F20BC8">
      <w:pPr>
        <w:spacing w:line="480" w:lineRule="auto"/>
        <w:rPr>
          <w:rFonts w:asciiTheme="majorHAnsi" w:hAnsiTheme="majorHAnsi" w:cstheme="majorBidi"/>
          <w:b/>
          <w:sz w:val="24"/>
          <w:szCs w:val="24"/>
        </w:rPr>
      </w:pPr>
    </w:p>
    <w:p w:rsidR="00716E5C" w:rsidRPr="00325486" w:rsidRDefault="00716E5C" w:rsidP="00F20BC8">
      <w:pPr>
        <w:spacing w:line="480" w:lineRule="auto"/>
        <w:rPr>
          <w:rFonts w:asciiTheme="majorHAnsi" w:hAnsiTheme="majorHAnsi" w:cstheme="majorBidi"/>
          <w:b/>
          <w:sz w:val="24"/>
          <w:szCs w:val="24"/>
        </w:rPr>
      </w:pPr>
    </w:p>
    <w:p w:rsidR="00F20BC8" w:rsidRPr="00325486" w:rsidRDefault="00F20BC8" w:rsidP="00F20BC8">
      <w:pPr>
        <w:spacing w:line="480" w:lineRule="auto"/>
        <w:rPr>
          <w:rFonts w:asciiTheme="majorHAnsi" w:hAnsiTheme="majorHAnsi" w:cstheme="majorBidi"/>
          <w:b/>
          <w:sz w:val="24"/>
          <w:szCs w:val="24"/>
        </w:rPr>
      </w:pPr>
      <w:r w:rsidRPr="00325486">
        <w:rPr>
          <w:rFonts w:asciiTheme="majorHAnsi" w:hAnsiTheme="majorHAnsi" w:cstheme="majorBidi"/>
          <w:b/>
          <w:sz w:val="24"/>
          <w:szCs w:val="24"/>
        </w:rPr>
        <w:t>1. Introduction:</w:t>
      </w:r>
    </w:p>
    <w:p w:rsidR="00F20BC8" w:rsidRPr="00325486" w:rsidRDefault="00F20BC8" w:rsidP="00C65543">
      <w:pPr>
        <w:spacing w:line="480" w:lineRule="auto"/>
        <w:rPr>
          <w:rFonts w:asciiTheme="majorHAnsi" w:hAnsiTheme="majorHAnsi" w:cstheme="majorBidi"/>
          <w:sz w:val="24"/>
          <w:szCs w:val="24"/>
        </w:rPr>
      </w:pPr>
      <w:r w:rsidRPr="00325486">
        <w:rPr>
          <w:rFonts w:asciiTheme="majorHAnsi" w:hAnsiTheme="majorHAnsi" w:cstheme="majorBidi"/>
          <w:noProof/>
          <w:sz w:val="24"/>
          <w:szCs w:val="24"/>
        </w:rPr>
        <w:t xml:space="preserve">  Pressure ulcers (PUs) are localised areas of injury to skin and/or underlying tissues, commonly occurring adjacent to bony prominences, which provide a focal point for the compression of soft tissues </w:t>
      </w:r>
      <w:r w:rsidRPr="00325486">
        <w:rPr>
          <w:rFonts w:asciiTheme="majorHAnsi" w:hAnsiTheme="majorHAnsi" w:cstheme="majorBidi"/>
          <w:noProof/>
          <w:sz w:val="24"/>
          <w:szCs w:val="24"/>
        </w:rPr>
        <w:fldChar w:fldCharType="begin"/>
      </w:r>
      <w:r w:rsidR="009D5751" w:rsidRPr="00325486">
        <w:rPr>
          <w:rFonts w:asciiTheme="majorHAnsi" w:hAnsiTheme="majorHAnsi" w:cstheme="majorBidi"/>
          <w:noProof/>
          <w:sz w:val="24"/>
          <w:szCs w:val="24"/>
        </w:rPr>
        <w:instrText xml:space="preserve"> ADDIN EN.CITE &lt;EndNote&gt;&lt;Cite&gt;&lt;Author&gt;EPUAP-NPUAP&lt;/Author&gt;&lt;Year&gt;2009&lt;/Year&gt;&lt;RecNum&gt;2084&lt;/RecNum&gt;&lt;DisplayText&gt;(EPUAP-NPUAP, 2009)&lt;/DisplayText&gt;&lt;record&gt;&lt;rec-number&gt;2084&lt;/rec-number&gt;&lt;foreign-keys&gt;&lt;key app="EN" db-id="ervprze5a95tvoe59pjpvw5gezttve9wxvfs"&gt;2084&lt;/key&gt;&lt;/foreign-keys&gt;&lt;ref-type name="Report"&gt;27&lt;/ref-type&gt;&lt;contributors&gt;&lt;authors&gt;&lt;author&gt;EPUAP-NPUAP,&lt;/author&gt;&lt;/authors&gt;&lt;secondary-authors&gt;&lt;author&gt;European Pressure Ulcer Advisory Panel and National Pressure Ulcer Advisory Panel.&lt;/author&gt;&lt;/secondary-authors&gt;&lt;/contributors&gt;&lt;titles&gt;&lt;title&gt;Prevention and treatment of pressure ulcers: quick reference guide.&lt;/title&gt;&lt;/titles&gt;&lt;dates&gt;&lt;year&gt;2009&lt;/year&gt;&lt;/dates&gt;&lt;pub-location&gt;Washington DC&lt;/pub-location&gt;&lt;urls&gt;&lt;/urls&gt;&lt;/record&gt;&lt;/Cite&gt;&lt;/EndNote&gt;</w:instrText>
      </w:r>
      <w:r w:rsidRPr="00325486">
        <w:rPr>
          <w:rFonts w:asciiTheme="majorHAnsi" w:hAnsiTheme="majorHAnsi" w:cstheme="majorBidi"/>
          <w:noProof/>
          <w:sz w:val="24"/>
          <w:szCs w:val="24"/>
        </w:rPr>
        <w:fldChar w:fldCharType="separate"/>
      </w:r>
      <w:r w:rsidR="009D5751" w:rsidRPr="00325486">
        <w:rPr>
          <w:rFonts w:asciiTheme="majorHAnsi" w:hAnsiTheme="majorHAnsi" w:cstheme="majorBidi"/>
          <w:noProof/>
          <w:sz w:val="24"/>
          <w:szCs w:val="24"/>
        </w:rPr>
        <w:t>(</w:t>
      </w:r>
      <w:hyperlink w:anchor="_ENREF_6" w:tooltip="EPUAP-NPUAP, 2009 #2084" w:history="1">
        <w:r w:rsidR="00C65543" w:rsidRPr="00325486">
          <w:rPr>
            <w:rFonts w:asciiTheme="majorHAnsi" w:hAnsiTheme="majorHAnsi" w:cstheme="majorBidi"/>
            <w:noProof/>
            <w:sz w:val="24"/>
            <w:szCs w:val="24"/>
          </w:rPr>
          <w:t>EPUAP-NPUAP, 2009</w:t>
        </w:r>
      </w:hyperlink>
      <w:r w:rsidR="009D5751" w:rsidRPr="00325486">
        <w:rPr>
          <w:rFonts w:asciiTheme="majorHAnsi" w:hAnsiTheme="majorHAnsi" w:cstheme="majorBidi"/>
          <w:noProof/>
          <w:sz w:val="24"/>
          <w:szCs w:val="24"/>
        </w:rPr>
        <w:t>)</w:t>
      </w:r>
      <w:r w:rsidRPr="00325486">
        <w:rPr>
          <w:rFonts w:asciiTheme="majorHAnsi" w:hAnsiTheme="majorHAnsi" w:cstheme="majorBidi"/>
          <w:noProof/>
          <w:sz w:val="24"/>
          <w:szCs w:val="24"/>
        </w:rPr>
        <w:fldChar w:fldCharType="end"/>
      </w:r>
      <w:r w:rsidRPr="00325486">
        <w:rPr>
          <w:rFonts w:asciiTheme="majorHAnsi" w:hAnsiTheme="majorHAnsi" w:cstheme="majorBidi"/>
          <w:noProof/>
          <w:sz w:val="24"/>
          <w:szCs w:val="24"/>
        </w:rPr>
        <w:t xml:space="preserve">.  PUs </w:t>
      </w:r>
      <w:r w:rsidRPr="00325486">
        <w:rPr>
          <w:rFonts w:asciiTheme="majorHAnsi" w:hAnsiTheme="majorHAnsi" w:cstheme="majorBidi"/>
          <w:sz w:val="24"/>
          <w:szCs w:val="24"/>
        </w:rPr>
        <w:t xml:space="preserve">represent a disabling long term condition that has been recognised as both a Patient Safety and Quality of Care indicator for individuals in both hospital and community settings </w:t>
      </w:r>
      <w:r w:rsidRPr="00325486">
        <w:rPr>
          <w:rFonts w:asciiTheme="majorHAnsi" w:hAnsiTheme="majorHAnsi" w:cstheme="majorBidi"/>
          <w:sz w:val="24"/>
          <w:szCs w:val="24"/>
        </w:rPr>
        <w:fldChar w:fldCharType="begin"/>
      </w:r>
      <w:r w:rsidR="009D5751" w:rsidRPr="00325486">
        <w:rPr>
          <w:rFonts w:asciiTheme="majorHAnsi" w:hAnsiTheme="majorHAnsi" w:cstheme="majorBidi"/>
          <w:sz w:val="24"/>
          <w:szCs w:val="24"/>
        </w:rPr>
        <w:instrText xml:space="preserve"> ADDIN EN.CITE &lt;EndNote&gt;&lt;Cite&gt;&lt;Author&gt;Department of Health&lt;/Author&gt;&lt;Year&gt;2010&lt;/Year&gt;&lt;RecNum&gt;4309&lt;/RecNum&gt;&lt;DisplayText&gt;(Department of Health, 2010)&lt;/DisplayText&gt;&lt;record&gt;&lt;rec-number&gt;4309&lt;/rec-number&gt;&lt;foreign-keys&gt;&lt;key app="EN" db-id="ervprze5a95tvoe59pjpvw5gezttve9wxvfs"&gt;4309&lt;/key&gt;&lt;/foreign-keys&gt;&lt;ref-type name="Government Document"&gt;46&lt;/ref-type&gt;&lt;contributors&gt;&lt;authors&gt;&lt;author&gt;Department of Health,&lt;/author&gt;&lt;/authors&gt;&lt;secondary-authors&gt;&lt;author&gt;Department of Health,&lt;/author&gt;&lt;/secondary-authors&gt;&lt;/contributors&gt;&lt;titles&gt;&lt;title&gt;Essence of Care 2010; Benchmarks for Prevention and Management of Pressure Ulcers&lt;/title&gt;&lt;/titles&gt;&lt;dates&gt;&lt;year&gt;2010&lt;/year&gt;&lt;/dates&gt;&lt;pub-location&gt;United Kingdom,&lt;/pub-location&gt;&lt;publisher&gt;The Stationery Office&lt;/publisher&gt;&lt;urls&gt;&lt;/urls&gt;&lt;/record&gt;&lt;/Cite&gt;&lt;/EndNote&gt;</w:instrText>
      </w:r>
      <w:r w:rsidRPr="00325486">
        <w:rPr>
          <w:rFonts w:asciiTheme="majorHAnsi" w:hAnsiTheme="majorHAnsi" w:cstheme="majorBidi"/>
          <w:sz w:val="24"/>
          <w:szCs w:val="24"/>
        </w:rPr>
        <w:fldChar w:fldCharType="separate"/>
      </w:r>
      <w:r w:rsidR="009D5751" w:rsidRPr="00325486">
        <w:rPr>
          <w:rFonts w:asciiTheme="majorHAnsi" w:hAnsiTheme="majorHAnsi" w:cstheme="majorBidi"/>
          <w:noProof/>
          <w:sz w:val="24"/>
          <w:szCs w:val="24"/>
        </w:rPr>
        <w:t>(</w:t>
      </w:r>
      <w:hyperlink w:anchor="_ENREF_5" w:tooltip="Department of Health, 2010 #4309" w:history="1">
        <w:r w:rsidR="00C65543" w:rsidRPr="00325486">
          <w:rPr>
            <w:rFonts w:asciiTheme="majorHAnsi" w:hAnsiTheme="majorHAnsi" w:cstheme="majorBidi"/>
            <w:noProof/>
            <w:sz w:val="24"/>
            <w:szCs w:val="24"/>
          </w:rPr>
          <w:t>Department of Health, 2010</w:t>
        </w:r>
      </w:hyperlink>
      <w:r w:rsidR="009D5751" w:rsidRPr="00325486">
        <w:rPr>
          <w:rFonts w:asciiTheme="majorHAnsi" w:hAnsiTheme="majorHAnsi" w:cstheme="majorBidi"/>
          <w:noProof/>
          <w:sz w:val="24"/>
          <w:szCs w:val="24"/>
        </w:rPr>
        <w:t>)</w:t>
      </w:r>
      <w:r w:rsidRPr="00325486">
        <w:rPr>
          <w:rFonts w:asciiTheme="majorHAnsi" w:hAnsiTheme="majorHAnsi" w:cstheme="majorBidi"/>
          <w:sz w:val="24"/>
          <w:szCs w:val="24"/>
        </w:rPr>
        <w:fldChar w:fldCharType="end"/>
      </w:r>
      <w:r w:rsidRPr="00325486">
        <w:rPr>
          <w:rFonts w:asciiTheme="majorHAnsi" w:hAnsiTheme="majorHAnsi" w:cstheme="majorBidi"/>
          <w:sz w:val="24"/>
          <w:szCs w:val="24"/>
        </w:rPr>
        <w:t xml:space="preserve">. Additionally, PUs negatively impact on patients rehabilitation and quality of life </w:t>
      </w:r>
      <w:r w:rsidRPr="00325486">
        <w:rPr>
          <w:rFonts w:asciiTheme="majorHAnsi" w:hAnsiTheme="majorHAnsi" w:cstheme="majorBidi"/>
          <w:sz w:val="24"/>
          <w:szCs w:val="24"/>
        </w:rPr>
        <w:fldChar w:fldCharType="begin"/>
      </w:r>
      <w:r w:rsidR="009D5751" w:rsidRPr="00325486">
        <w:rPr>
          <w:rFonts w:asciiTheme="majorHAnsi" w:hAnsiTheme="majorHAnsi" w:cstheme="majorBidi"/>
          <w:sz w:val="24"/>
          <w:szCs w:val="24"/>
        </w:rPr>
        <w:instrText xml:space="preserve"> ADDIN EN.CITE &lt;EndNote&gt;&lt;Cite&gt;&lt;Author&gt;Spilsbury&lt;/Author&gt;&lt;Year&gt;2007&lt;/Year&gt;&lt;RecNum&gt;1881&lt;/RecNum&gt;&lt;DisplayText&gt;(Spilsbury et al., 2007)&lt;/DisplayText&gt;&lt;record&gt;&lt;rec-number&gt;1881&lt;/rec-number&gt;&lt;foreign-keys&gt;&lt;key app="EN" db-id="ervprze5a95tvoe59pjpvw5gezttve9wxvfs"&gt;1881&lt;/key&gt;&lt;/foreign-keys&gt;&lt;ref-type name="Journal Article"&gt;17&lt;/ref-type&gt;&lt;contributors&gt;&lt;authors&gt;&lt;author&gt;Spilsbury, K.&lt;/author&gt;&lt;author&gt;Nelson, A. &lt;/author&gt;&lt;author&gt;Cullum, N.&lt;/author&gt;&lt;author&gt;Nixon, J.&lt;/author&gt;&lt;author&gt;Mason, S.&lt;/author&gt;&lt;/authors&gt;&lt;/contributors&gt;&lt;titles&gt;&lt;title&gt;Pressure ulcers and their treatment and effects on quality of life: hospital inpatient perspectives&lt;/title&gt;&lt;secondary-title&gt;Journal of Advanced Nursing&lt;/secondary-title&gt;&lt;/titles&gt;&lt;periodical&gt;&lt;full-title&gt;Journal of Advanced Nursing&lt;/full-title&gt;&lt;abbr-1&gt;J. Adv. Nurs.&lt;/abbr-1&gt;&lt;abbr-2&gt;J Adv Nurs&lt;/abbr-2&gt;&lt;/periodical&gt;&lt;pages&gt;494-504&lt;/pages&gt;&lt;volume&gt;57&lt;/volume&gt;&lt;number&gt;5&lt;/number&gt;&lt;dates&gt;&lt;year&gt;2007&lt;/year&gt;&lt;/dates&gt;&lt;urls&gt;&lt;/urls&gt;&lt;/record&gt;&lt;/Cite&gt;&lt;/EndNote&gt;</w:instrText>
      </w:r>
      <w:r w:rsidRPr="00325486">
        <w:rPr>
          <w:rFonts w:asciiTheme="majorHAnsi" w:hAnsiTheme="majorHAnsi" w:cstheme="majorBidi"/>
          <w:sz w:val="24"/>
          <w:szCs w:val="24"/>
        </w:rPr>
        <w:fldChar w:fldCharType="separate"/>
      </w:r>
      <w:r w:rsidR="009D5751" w:rsidRPr="00325486">
        <w:rPr>
          <w:rFonts w:asciiTheme="majorHAnsi" w:hAnsiTheme="majorHAnsi" w:cstheme="majorBidi"/>
          <w:noProof/>
          <w:sz w:val="24"/>
          <w:szCs w:val="24"/>
        </w:rPr>
        <w:t>(</w:t>
      </w:r>
      <w:hyperlink w:anchor="_ENREF_21" w:tooltip="Spilsbury, 2007 #1881" w:history="1">
        <w:r w:rsidR="00C65543" w:rsidRPr="00325486">
          <w:rPr>
            <w:rFonts w:asciiTheme="majorHAnsi" w:hAnsiTheme="majorHAnsi" w:cstheme="majorBidi"/>
            <w:noProof/>
            <w:sz w:val="24"/>
            <w:szCs w:val="24"/>
          </w:rPr>
          <w:t>Spilsbury et al., 2007</w:t>
        </w:r>
      </w:hyperlink>
      <w:r w:rsidR="009D5751" w:rsidRPr="00325486">
        <w:rPr>
          <w:rFonts w:asciiTheme="majorHAnsi" w:hAnsiTheme="majorHAnsi" w:cstheme="majorBidi"/>
          <w:noProof/>
          <w:sz w:val="24"/>
          <w:szCs w:val="24"/>
        </w:rPr>
        <w:t>)</w:t>
      </w:r>
      <w:r w:rsidRPr="00325486">
        <w:rPr>
          <w:rFonts w:asciiTheme="majorHAnsi" w:hAnsiTheme="majorHAnsi" w:cstheme="majorBidi"/>
          <w:sz w:val="24"/>
          <w:szCs w:val="24"/>
        </w:rPr>
        <w:fldChar w:fldCharType="end"/>
      </w:r>
      <w:r w:rsidRPr="00325486">
        <w:rPr>
          <w:rFonts w:asciiTheme="majorHAnsi" w:hAnsiTheme="majorHAnsi" w:cstheme="majorBidi"/>
          <w:sz w:val="24"/>
          <w:szCs w:val="24"/>
        </w:rPr>
        <w:t xml:space="preserve">. Despite the increased attention within health services, their incidence rate remains unacceptably high with associated treatment costs estimated at £4 billion per annum in the UK </w:t>
      </w:r>
      <w:r w:rsidRPr="00325486">
        <w:rPr>
          <w:rFonts w:asciiTheme="majorHAnsi" w:hAnsiTheme="majorHAnsi" w:cstheme="majorBidi"/>
          <w:sz w:val="24"/>
          <w:szCs w:val="24"/>
        </w:rPr>
        <w:fldChar w:fldCharType="begin"/>
      </w:r>
      <w:r w:rsidR="009D5751" w:rsidRPr="00325486">
        <w:rPr>
          <w:rFonts w:asciiTheme="majorHAnsi" w:hAnsiTheme="majorHAnsi" w:cstheme="majorBidi"/>
          <w:sz w:val="24"/>
          <w:szCs w:val="24"/>
        </w:rPr>
        <w:instrText xml:space="preserve"> ADDIN EN.CITE &lt;EndNote&gt;&lt;Cite&gt;&lt;Author&gt;National Patient Safety Agency&lt;/Author&gt;&lt;Year&gt;2010&lt;/Year&gt;&lt;RecNum&gt;4315&lt;/RecNum&gt;&lt;DisplayText&gt;(National Patient Safety Agency, 2010)&lt;/DisplayText&gt;&lt;record&gt;&lt;rec-number&gt;4315&lt;/rec-number&gt;&lt;foreign-keys&gt;&lt;key app="EN" db-id="ervprze5a95tvoe59pjpvw5gezttve9wxvfs"&gt;4315&lt;/key&gt;&lt;/foreign-keys&gt;&lt;ref-type name="Web Page"&gt;12&lt;/ref-type&gt;&lt;contributors&gt;&lt;authors&gt;&lt;author&gt;National Patient Safety Agency,&lt;/author&gt;&lt;/authors&gt;&lt;secondary-authors&gt;&lt;author&gt;Department of Health&lt;/author&gt;&lt;/secondary-authors&gt;&lt;/contributors&gt;&lt;titles&gt;&lt;title&gt;npsa.nhs.uk&lt;/title&gt;&lt;/titles&gt;&lt;dates&gt;&lt;year&gt;2010&lt;/year&gt;&lt;/dates&gt;&lt;urls&gt;&lt;/urls&gt;&lt;/record&gt;&lt;/Cite&gt;&lt;/EndNote&gt;</w:instrText>
      </w:r>
      <w:r w:rsidRPr="00325486">
        <w:rPr>
          <w:rFonts w:asciiTheme="majorHAnsi" w:hAnsiTheme="majorHAnsi" w:cstheme="majorBidi"/>
          <w:sz w:val="24"/>
          <w:szCs w:val="24"/>
        </w:rPr>
        <w:fldChar w:fldCharType="separate"/>
      </w:r>
      <w:r w:rsidR="009D5751" w:rsidRPr="00325486">
        <w:rPr>
          <w:rFonts w:asciiTheme="majorHAnsi" w:hAnsiTheme="majorHAnsi" w:cstheme="majorBidi"/>
          <w:noProof/>
          <w:sz w:val="24"/>
          <w:szCs w:val="24"/>
        </w:rPr>
        <w:t>(</w:t>
      </w:r>
      <w:hyperlink w:anchor="_ENREF_16" w:tooltip="National Patient Safety Agency, 2010 #4315" w:history="1">
        <w:r w:rsidR="00C65543" w:rsidRPr="00325486">
          <w:rPr>
            <w:rFonts w:asciiTheme="majorHAnsi" w:hAnsiTheme="majorHAnsi" w:cstheme="majorBidi"/>
            <w:noProof/>
            <w:sz w:val="24"/>
            <w:szCs w:val="24"/>
          </w:rPr>
          <w:t>National Patient Safety Agency, 2010</w:t>
        </w:r>
      </w:hyperlink>
      <w:r w:rsidR="009D5751" w:rsidRPr="00325486">
        <w:rPr>
          <w:rFonts w:asciiTheme="majorHAnsi" w:hAnsiTheme="majorHAnsi" w:cstheme="majorBidi"/>
          <w:noProof/>
          <w:sz w:val="24"/>
          <w:szCs w:val="24"/>
        </w:rPr>
        <w:t>)</w:t>
      </w:r>
      <w:r w:rsidRPr="00325486">
        <w:rPr>
          <w:rFonts w:asciiTheme="majorHAnsi" w:hAnsiTheme="majorHAnsi" w:cstheme="majorBidi"/>
          <w:sz w:val="24"/>
          <w:szCs w:val="24"/>
        </w:rPr>
        <w:fldChar w:fldCharType="end"/>
      </w:r>
      <w:r w:rsidRPr="00325486">
        <w:rPr>
          <w:rFonts w:asciiTheme="majorHAnsi" w:hAnsiTheme="majorHAnsi" w:cstheme="majorBidi"/>
          <w:sz w:val="24"/>
          <w:szCs w:val="24"/>
        </w:rPr>
        <w:t xml:space="preserve"> with higher costs associated with the more severe grades of PU </w:t>
      </w:r>
      <w:r w:rsidRPr="00325486">
        <w:rPr>
          <w:rFonts w:asciiTheme="majorHAnsi" w:hAnsiTheme="majorHAnsi" w:cstheme="majorBidi"/>
          <w:sz w:val="24"/>
          <w:szCs w:val="24"/>
        </w:rPr>
        <w:fldChar w:fldCharType="begin"/>
      </w:r>
      <w:r w:rsidR="009D5751" w:rsidRPr="00325486">
        <w:rPr>
          <w:rFonts w:asciiTheme="majorHAnsi" w:hAnsiTheme="majorHAnsi" w:cstheme="majorBidi"/>
          <w:sz w:val="24"/>
          <w:szCs w:val="24"/>
        </w:rPr>
        <w:instrText xml:space="preserve"> ADDIN EN.CITE &lt;EndNote&gt;&lt;Cite&gt;&lt;Author&gt;Dealey&lt;/Author&gt;&lt;Year&gt;2012&lt;/Year&gt;&lt;RecNum&gt;2070&lt;/RecNum&gt;&lt;DisplayText&gt;(Dealey et al., 2012)&lt;/DisplayText&gt;&lt;record&gt;&lt;rec-number&gt;2070&lt;/rec-number&gt;&lt;foreign-keys&gt;&lt;key app="EN" db-id="ervprze5a95tvoe59pjpvw5gezttve9wxvfs"&gt;2070&lt;/key&gt;&lt;/foreign-keys&gt;&lt;ref-type name="Journal Article"&gt;17&lt;/ref-type&gt;&lt;contributors&gt;&lt;authors&gt;&lt;author&gt;Dealey, C.&lt;/author&gt;&lt;author&gt;Posnett, J.&lt;/author&gt;&lt;author&gt;Walker, A.&lt;/author&gt;&lt;/authors&gt;&lt;/contributors&gt;&lt;titles&gt;&lt;title&gt;The Cost of Pressure Ulcers in the United Kingdom&lt;/title&gt;&lt;secondary-title&gt;Journal of Wound Care&lt;/secondary-title&gt;&lt;/titles&gt;&lt;periodical&gt;&lt;full-title&gt;Journal of Wound Care&lt;/full-title&gt;&lt;abbr-1&gt;J. Wound Care&lt;/abbr-1&gt;&lt;abbr-2&gt;J Wound Care&lt;/abbr-2&gt;&lt;/periodical&gt;&lt;pages&gt;261-266&lt;/pages&gt;&lt;volume&gt;21&lt;/volume&gt;&lt;number&gt;6&lt;/number&gt;&lt;dates&gt;&lt;year&gt;2012&lt;/year&gt;&lt;/dates&gt;&lt;urls&gt;&lt;/urls&gt;&lt;/record&gt;&lt;/Cite&gt;&lt;/EndNote&gt;</w:instrText>
      </w:r>
      <w:r w:rsidRPr="00325486">
        <w:rPr>
          <w:rFonts w:asciiTheme="majorHAnsi" w:hAnsiTheme="majorHAnsi" w:cstheme="majorBidi"/>
          <w:sz w:val="24"/>
          <w:szCs w:val="24"/>
        </w:rPr>
        <w:fldChar w:fldCharType="separate"/>
      </w:r>
      <w:r w:rsidR="009D5751" w:rsidRPr="00325486">
        <w:rPr>
          <w:rFonts w:asciiTheme="majorHAnsi" w:hAnsiTheme="majorHAnsi" w:cstheme="majorBidi"/>
          <w:noProof/>
          <w:sz w:val="24"/>
          <w:szCs w:val="24"/>
        </w:rPr>
        <w:t>(</w:t>
      </w:r>
      <w:hyperlink w:anchor="_ENREF_4" w:tooltip="Dealey, 2012 #2070" w:history="1">
        <w:r w:rsidR="00C65543" w:rsidRPr="00325486">
          <w:rPr>
            <w:rFonts w:asciiTheme="majorHAnsi" w:hAnsiTheme="majorHAnsi" w:cstheme="majorBidi"/>
            <w:noProof/>
            <w:sz w:val="24"/>
            <w:szCs w:val="24"/>
          </w:rPr>
          <w:t>Dealey et al., 2012</w:t>
        </w:r>
      </w:hyperlink>
      <w:r w:rsidR="009D5751" w:rsidRPr="00325486">
        <w:rPr>
          <w:rFonts w:asciiTheme="majorHAnsi" w:hAnsiTheme="majorHAnsi" w:cstheme="majorBidi"/>
          <w:noProof/>
          <w:sz w:val="24"/>
          <w:szCs w:val="24"/>
        </w:rPr>
        <w:t>)</w:t>
      </w:r>
      <w:r w:rsidRPr="00325486">
        <w:rPr>
          <w:rFonts w:asciiTheme="majorHAnsi" w:hAnsiTheme="majorHAnsi" w:cstheme="majorBidi"/>
          <w:sz w:val="24"/>
          <w:szCs w:val="24"/>
        </w:rPr>
        <w:fldChar w:fldCharType="end"/>
      </w:r>
      <w:r w:rsidRPr="00325486">
        <w:rPr>
          <w:rFonts w:asciiTheme="majorHAnsi" w:hAnsiTheme="majorHAnsi" w:cstheme="majorBidi"/>
          <w:sz w:val="24"/>
          <w:szCs w:val="24"/>
        </w:rPr>
        <w:t xml:space="preserve">. </w:t>
      </w:r>
    </w:p>
    <w:p w:rsidR="00F20BC8" w:rsidRPr="00325486" w:rsidRDefault="00F20BC8" w:rsidP="00C65543">
      <w:pPr>
        <w:spacing w:line="480" w:lineRule="auto"/>
        <w:rPr>
          <w:rFonts w:asciiTheme="majorHAnsi" w:hAnsiTheme="majorHAnsi" w:cstheme="majorBidi"/>
          <w:sz w:val="24"/>
          <w:szCs w:val="24"/>
        </w:rPr>
      </w:pPr>
      <w:r w:rsidRPr="00325486">
        <w:rPr>
          <w:rFonts w:asciiTheme="majorHAnsi" w:hAnsiTheme="majorHAnsi" w:cstheme="majorBidi"/>
          <w:sz w:val="24"/>
          <w:szCs w:val="24"/>
        </w:rPr>
        <w:t xml:space="preserve">  International guidelines for pressure ulcer prevention </w:t>
      </w:r>
      <w:r w:rsidRPr="00325486">
        <w:rPr>
          <w:rFonts w:asciiTheme="majorHAnsi" w:hAnsiTheme="majorHAnsi" w:cstheme="majorBidi"/>
          <w:sz w:val="24"/>
          <w:szCs w:val="24"/>
        </w:rPr>
        <w:fldChar w:fldCharType="begin"/>
      </w:r>
      <w:r w:rsidR="009D5751" w:rsidRPr="00325486">
        <w:rPr>
          <w:rFonts w:asciiTheme="majorHAnsi" w:hAnsiTheme="majorHAnsi" w:cstheme="majorBidi"/>
          <w:sz w:val="24"/>
          <w:szCs w:val="24"/>
        </w:rPr>
        <w:instrText xml:space="preserve"> ADDIN EN.CITE &lt;EndNote&gt;&lt;Cite&gt;&lt;Author&gt;European Pressure Ulcer Advisory&lt;/Author&gt;&lt;Year&gt;2009&lt;/Year&gt;&lt;RecNum&gt;2722&lt;/RecNum&gt;&lt;DisplayText&gt;(European Pressure Ulcer Advisory, 2009; National Institute for Health and Clinical Excellence, 2005)&lt;/DisplayText&gt;&lt;record&gt;&lt;rec-number&gt;2722&lt;/rec-number&gt;&lt;foreign-keys&gt;&lt;key app="EN" db-id="ervprze5a95tvoe59pjpvw5gezttve9wxvfs"&gt;2722&lt;/key&gt;&lt;/foreign-keys&gt;&lt;ref-type name="Book"&gt;6&lt;/ref-type&gt;&lt;contributors&gt;&lt;authors&gt;&lt;author&gt;European Pressure Ulcer Advisory, Panel&lt;/author&gt;&lt;/authors&gt;&lt;/contributors&gt;&lt;titles&gt;&lt;title&gt;Prevention of Pressure Ulcers: Quick Reference Guide&lt;/title&gt;&lt;/titles&gt;&lt;dates&gt;&lt;year&gt;2009&lt;/year&gt;&lt;/dates&gt;&lt;urls&gt;&lt;/urls&gt;&lt;/record&gt;&lt;/Cite&gt;&lt;Cite&gt;&lt;Author&gt;National Institute for Health and Clinical Excellence&lt;/Author&gt;&lt;Year&gt;2005&lt;/Year&gt;&lt;RecNum&gt;1865&lt;/RecNum&gt;&lt;record&gt;&lt;rec-number&gt;1865&lt;/rec-number&gt;&lt;foreign-keys&gt;&lt;key app="EN" db-id="ervprze5a95tvoe59pjpvw5gezttve9wxvfs"&gt;1865&lt;/key&gt;&lt;/foreign-keys&gt;&lt;ref-type name="Report"&gt;27&lt;/ref-type&gt;&lt;contributors&gt;&lt;authors&gt;&lt;author&gt;National Institute for Health and Clinical Excellence,&lt;/author&gt;&lt;/authors&gt;&lt;secondary-authors&gt;&lt;author&gt;NICE&lt;/author&gt;&lt;/secondary-authors&gt;&lt;/contributors&gt;&lt;titles&gt;&lt;title&gt;The prevention and treatment of pressure ulcers&lt;/title&gt;&lt;/titles&gt;&lt;dates&gt;&lt;year&gt;2005&lt;/year&gt;&lt;/dates&gt;&lt;publisher&gt;Royal College of Nursing&lt;/publisher&gt;&lt;urls&gt;&lt;/urls&gt;&lt;/record&gt;&lt;/Cite&gt;&lt;/EndNote&gt;</w:instrText>
      </w:r>
      <w:r w:rsidRPr="00325486">
        <w:rPr>
          <w:rFonts w:asciiTheme="majorHAnsi" w:hAnsiTheme="majorHAnsi" w:cstheme="majorBidi"/>
          <w:sz w:val="24"/>
          <w:szCs w:val="24"/>
        </w:rPr>
        <w:fldChar w:fldCharType="separate"/>
      </w:r>
      <w:r w:rsidR="009D5751" w:rsidRPr="00325486">
        <w:rPr>
          <w:rFonts w:asciiTheme="majorHAnsi" w:hAnsiTheme="majorHAnsi" w:cstheme="majorBidi"/>
          <w:noProof/>
          <w:sz w:val="24"/>
          <w:szCs w:val="24"/>
        </w:rPr>
        <w:t>(</w:t>
      </w:r>
      <w:hyperlink w:anchor="_ENREF_7" w:tooltip="European Pressure Ulcer Advisory, 2009 #2722" w:history="1">
        <w:r w:rsidR="00C65543" w:rsidRPr="00325486">
          <w:rPr>
            <w:rFonts w:asciiTheme="majorHAnsi" w:hAnsiTheme="majorHAnsi" w:cstheme="majorBidi"/>
            <w:noProof/>
            <w:sz w:val="24"/>
            <w:szCs w:val="24"/>
          </w:rPr>
          <w:t>European Pressure Ulcer Advisory, 2009</w:t>
        </w:r>
      </w:hyperlink>
      <w:r w:rsidR="009D5751" w:rsidRPr="00325486">
        <w:rPr>
          <w:rFonts w:asciiTheme="majorHAnsi" w:hAnsiTheme="majorHAnsi" w:cstheme="majorBidi"/>
          <w:noProof/>
          <w:sz w:val="24"/>
          <w:szCs w:val="24"/>
        </w:rPr>
        <w:t xml:space="preserve">; </w:t>
      </w:r>
      <w:hyperlink w:anchor="_ENREF_15" w:tooltip="National Institute for Health and Clinical Excellence, 2005 #1865" w:history="1">
        <w:r w:rsidR="00C65543" w:rsidRPr="00325486">
          <w:rPr>
            <w:rFonts w:asciiTheme="majorHAnsi" w:hAnsiTheme="majorHAnsi" w:cstheme="majorBidi"/>
            <w:noProof/>
            <w:sz w:val="24"/>
            <w:szCs w:val="24"/>
          </w:rPr>
          <w:t>National Institute for Health and Clinical Excellence, 2005</w:t>
        </w:r>
      </w:hyperlink>
      <w:r w:rsidR="009D5751" w:rsidRPr="00325486">
        <w:rPr>
          <w:rFonts w:asciiTheme="majorHAnsi" w:hAnsiTheme="majorHAnsi" w:cstheme="majorBidi"/>
          <w:noProof/>
          <w:sz w:val="24"/>
          <w:szCs w:val="24"/>
        </w:rPr>
        <w:t>)</w:t>
      </w:r>
      <w:r w:rsidRPr="00325486">
        <w:rPr>
          <w:rFonts w:asciiTheme="majorHAnsi" w:hAnsiTheme="majorHAnsi" w:cstheme="majorBidi"/>
          <w:sz w:val="24"/>
          <w:szCs w:val="24"/>
        </w:rPr>
        <w:fldChar w:fldCharType="end"/>
      </w:r>
      <w:r w:rsidRPr="00325486">
        <w:rPr>
          <w:rFonts w:asciiTheme="majorHAnsi" w:hAnsiTheme="majorHAnsi" w:cstheme="majorBidi"/>
          <w:sz w:val="24"/>
          <w:szCs w:val="24"/>
        </w:rPr>
        <w:t xml:space="preserve">, recommend frequent repositioning for individuals at risk. This is achieved in practice by periodically redistributing the pressure to enable relief of previously loaded areas. Individuals with reduced </w:t>
      </w:r>
      <w:r w:rsidRPr="00325486">
        <w:rPr>
          <w:rFonts w:asciiTheme="majorHAnsi" w:hAnsiTheme="majorHAnsi" w:cstheme="majorBidi"/>
          <w:sz w:val="24"/>
          <w:szCs w:val="24"/>
        </w:rPr>
        <w:lastRenderedPageBreak/>
        <w:t xml:space="preserve">mobility often require clinicians or carers to assist in postural changes, which are maintained with the use of pillows and/or cushions. Although there is limited evidence surrounding the required frequency of repositioning on various support surfaces, guidance suggests changes in position every 2-4 hours for individuals with reduced mobility </w:t>
      </w:r>
      <w:r w:rsidRPr="00325486">
        <w:rPr>
          <w:rFonts w:asciiTheme="majorHAnsi" w:hAnsiTheme="majorHAnsi" w:cstheme="majorBidi"/>
          <w:sz w:val="24"/>
          <w:szCs w:val="24"/>
        </w:rPr>
        <w:fldChar w:fldCharType="begin"/>
      </w:r>
      <w:r w:rsidR="009D5751" w:rsidRPr="00325486">
        <w:rPr>
          <w:rFonts w:asciiTheme="majorHAnsi" w:hAnsiTheme="majorHAnsi" w:cstheme="majorBidi"/>
          <w:sz w:val="24"/>
          <w:szCs w:val="24"/>
        </w:rPr>
        <w:instrText xml:space="preserve"> ADDIN EN.CITE &lt;EndNote&gt;&lt;Cite&gt;&lt;Author&gt;Vanderwee&lt;/Author&gt;&lt;Year&gt;2007&lt;/Year&gt;&lt;RecNum&gt;4314&lt;/RecNum&gt;&lt;DisplayText&gt;(Vanderwee et al., 2007)&lt;/DisplayText&gt;&lt;record&gt;&lt;rec-number&gt;4314&lt;/rec-number&gt;&lt;foreign-keys&gt;&lt;key app="EN" db-id="ervprze5a95tvoe59pjpvw5gezttve9wxvfs"&gt;4314&lt;/key&gt;&lt;/foreign-keys&gt;&lt;ref-type name="Journal Article"&gt;17&lt;/ref-type&gt;&lt;contributors&gt;&lt;authors&gt;&lt;author&gt;Vanderwee, K.&lt;/author&gt;&lt;author&gt;Grypdonck, M. H. F.&lt;/author&gt;&lt;author&gt;De Bacquer, D.&lt;/author&gt;&lt;author&gt;Defloor, Tom&lt;/author&gt;&lt;/authors&gt;&lt;/contributors&gt;&lt;titles&gt;&lt;title&gt;Effectiveness of turning with unequal time intervals on the incidence of pressure ulcer lesions&lt;/title&gt;&lt;secondary-title&gt;Journal of Advanced Nursing&lt;/secondary-title&gt;&lt;/titles&gt;&lt;periodical&gt;&lt;full-title&gt;Journal of Advanced Nursing&lt;/full-title&gt;&lt;abbr-1&gt;J. Adv. Nurs.&lt;/abbr-1&gt;&lt;abbr-2&gt;J Adv Nurs&lt;/abbr-2&gt;&lt;/periodical&gt;&lt;pages&gt;59-68&lt;/pages&gt;&lt;volume&gt;57&lt;/volume&gt;&lt;number&gt;1&lt;/number&gt;&lt;keywords&gt;&lt;keyword&gt;nursing&lt;/keyword&gt;&lt;keyword&gt;nursing home&lt;/keyword&gt;&lt;keyword&gt;observation&lt;/keyword&gt;&lt;keyword&gt;pressure ulcers&lt;/keyword&gt;&lt;keyword&gt;prevention&lt;/keyword&gt;&lt;keyword&gt;randomized controlled trial&lt;/keyword&gt;&lt;keyword&gt;research report&lt;/keyword&gt;&lt;/keywords&gt;&lt;dates&gt;&lt;year&gt;2007&lt;/year&gt;&lt;/dates&gt;&lt;publisher&gt;Blackwell Publishing Ltd&lt;/publisher&gt;&lt;isbn&gt;1365-2648&lt;/isbn&gt;&lt;urls&gt;&lt;related-urls&gt;&lt;url&gt;http://dx.doi.org/10.1111/j.1365-2648.2006.04060.x&lt;/url&gt;&lt;/related-urls&gt;&lt;/urls&gt;&lt;electronic-resource-num&gt;10.1111/j.1365-2648.2006.04060.x&lt;/electronic-resource-num&gt;&lt;/record&gt;&lt;/Cite&gt;&lt;/EndNote&gt;</w:instrText>
      </w:r>
      <w:r w:rsidRPr="00325486">
        <w:rPr>
          <w:rFonts w:asciiTheme="majorHAnsi" w:hAnsiTheme="majorHAnsi" w:cstheme="majorBidi"/>
          <w:sz w:val="24"/>
          <w:szCs w:val="24"/>
        </w:rPr>
        <w:fldChar w:fldCharType="separate"/>
      </w:r>
      <w:r w:rsidR="009D5751" w:rsidRPr="00325486">
        <w:rPr>
          <w:rFonts w:asciiTheme="majorHAnsi" w:hAnsiTheme="majorHAnsi" w:cstheme="majorBidi"/>
          <w:noProof/>
          <w:sz w:val="24"/>
          <w:szCs w:val="24"/>
        </w:rPr>
        <w:t>(</w:t>
      </w:r>
      <w:hyperlink w:anchor="_ENREF_23" w:tooltip="Vanderwee, 2007 #4314" w:history="1">
        <w:r w:rsidR="00C65543" w:rsidRPr="00325486">
          <w:rPr>
            <w:rFonts w:asciiTheme="majorHAnsi" w:hAnsiTheme="majorHAnsi" w:cstheme="majorBidi"/>
            <w:noProof/>
            <w:sz w:val="24"/>
            <w:szCs w:val="24"/>
          </w:rPr>
          <w:t>Vanderwee et al., 2007</w:t>
        </w:r>
      </w:hyperlink>
      <w:r w:rsidR="009D5751" w:rsidRPr="00325486">
        <w:rPr>
          <w:rFonts w:asciiTheme="majorHAnsi" w:hAnsiTheme="majorHAnsi" w:cstheme="majorBidi"/>
          <w:noProof/>
          <w:sz w:val="24"/>
          <w:szCs w:val="24"/>
        </w:rPr>
        <w:t>)</w:t>
      </w:r>
      <w:r w:rsidRPr="00325486">
        <w:rPr>
          <w:rFonts w:asciiTheme="majorHAnsi" w:hAnsiTheme="majorHAnsi" w:cstheme="majorBidi"/>
          <w:sz w:val="24"/>
          <w:szCs w:val="24"/>
        </w:rPr>
        <w:fldChar w:fldCharType="end"/>
      </w:r>
      <w:r w:rsidRPr="00325486">
        <w:rPr>
          <w:rFonts w:asciiTheme="majorHAnsi" w:hAnsiTheme="majorHAnsi" w:cstheme="majorBidi"/>
          <w:sz w:val="24"/>
          <w:szCs w:val="24"/>
        </w:rPr>
        <w:t xml:space="preserve">. This process of manual repositioning is time consuming and labour intensive. Indeed, a recent study estimated frequent repositioning to cost between €200-250 per patient over a four week period </w:t>
      </w:r>
      <w:r w:rsidRPr="00325486">
        <w:rPr>
          <w:rFonts w:asciiTheme="majorHAnsi" w:hAnsiTheme="majorHAnsi" w:cstheme="majorBidi"/>
          <w:sz w:val="24"/>
          <w:szCs w:val="24"/>
        </w:rPr>
        <w:fldChar w:fldCharType="begin"/>
      </w:r>
      <w:r w:rsidR="009D5751" w:rsidRPr="00325486">
        <w:rPr>
          <w:rFonts w:asciiTheme="majorHAnsi" w:hAnsiTheme="majorHAnsi" w:cstheme="majorBidi"/>
          <w:sz w:val="24"/>
          <w:szCs w:val="24"/>
        </w:rPr>
        <w:instrText xml:space="preserve"> ADDIN EN.CITE &lt;EndNote&gt;&lt;Cite&gt;&lt;Author&gt;Moore&lt;/Author&gt;&lt;Year&gt;2013&lt;/Year&gt;&lt;RecNum&gt;4307&lt;/RecNum&gt;&lt;DisplayText&gt;(Moore et al., 2013)&lt;/DisplayText&gt;&lt;record&gt;&lt;rec-number&gt;4307&lt;/rec-number&gt;&lt;foreign-keys&gt;&lt;key app="EN" db-id="ervprze5a95tvoe59pjpvw5gezttve9wxvfs"&gt;4307&lt;/key&gt;&lt;/foreign-keys&gt;&lt;ref-type name="Journal Article"&gt;17&lt;/ref-type&gt;&lt;contributors&gt;&lt;authors&gt;&lt;author&gt;Moore, Zena&lt;/author&gt;&lt;author&gt;Cowman, Seamus&lt;/author&gt;&lt;author&gt;Posnett, John&lt;/author&gt;&lt;/authors&gt;&lt;/contributors&gt;&lt;titles&gt;&lt;title&gt;An economic analysis of repositioning for the prevention of pressure ulcers&lt;/title&gt;&lt;secondary-title&gt;Journal of Clinical Nursing&lt;/secondary-title&gt;&lt;/titles&gt;&lt;periodical&gt;&lt;full-title&gt;Journal of Clinical Nursing&lt;/full-title&gt;&lt;abbr-1&gt;J. Clin. Nurs.&lt;/abbr-1&gt;&lt;abbr-2&gt;J Clin Nurs&lt;/abbr-2&gt;&lt;/periodical&gt;&lt;pages&gt;2354-2360&lt;/pages&gt;&lt;volume&gt;22&lt;/volume&gt;&lt;number&gt;15-16&lt;/number&gt;&lt;keywords&gt;&lt;keyword&gt;pressure ulcer&lt;/keyword&gt;&lt;keyword&gt;econometrics&lt;/keyword&gt;&lt;keyword&gt;older patients&lt;/keyword&gt;&lt;/keywords&gt;&lt;dates&gt;&lt;year&gt;2013&lt;/year&gt;&lt;/dates&gt;&lt;isbn&gt;1365-2702&lt;/isbn&gt;&lt;urls&gt;&lt;related-urls&gt;&lt;url&gt;http://dx.doi.org/10.1111/j.1365-2702.2012.04310.x&lt;/url&gt;&lt;/related-urls&gt;&lt;/urls&gt;&lt;electronic-resource-num&gt;10.1111/j.1365-2702.2012.04310.x&lt;/electronic-resource-num&gt;&lt;/record&gt;&lt;/Cite&gt;&lt;/EndNote&gt;</w:instrText>
      </w:r>
      <w:r w:rsidRPr="00325486">
        <w:rPr>
          <w:rFonts w:asciiTheme="majorHAnsi" w:hAnsiTheme="majorHAnsi" w:cstheme="majorBidi"/>
          <w:sz w:val="24"/>
          <w:szCs w:val="24"/>
        </w:rPr>
        <w:fldChar w:fldCharType="separate"/>
      </w:r>
      <w:r w:rsidR="009D5751" w:rsidRPr="00325486">
        <w:rPr>
          <w:rFonts w:asciiTheme="majorHAnsi" w:hAnsiTheme="majorHAnsi" w:cstheme="majorBidi"/>
          <w:noProof/>
          <w:sz w:val="24"/>
          <w:szCs w:val="24"/>
        </w:rPr>
        <w:t>(</w:t>
      </w:r>
      <w:hyperlink w:anchor="_ENREF_14" w:tooltip="Moore, 2013 #4307" w:history="1">
        <w:r w:rsidR="00C65543" w:rsidRPr="00325486">
          <w:rPr>
            <w:rFonts w:asciiTheme="majorHAnsi" w:hAnsiTheme="majorHAnsi" w:cstheme="majorBidi"/>
            <w:noProof/>
            <w:sz w:val="24"/>
            <w:szCs w:val="24"/>
          </w:rPr>
          <w:t>Moore et al., 2013</w:t>
        </w:r>
      </w:hyperlink>
      <w:r w:rsidR="009D5751" w:rsidRPr="00325486">
        <w:rPr>
          <w:rFonts w:asciiTheme="majorHAnsi" w:hAnsiTheme="majorHAnsi" w:cstheme="majorBidi"/>
          <w:noProof/>
          <w:sz w:val="24"/>
          <w:szCs w:val="24"/>
        </w:rPr>
        <w:t>)</w:t>
      </w:r>
      <w:r w:rsidRPr="00325486">
        <w:rPr>
          <w:rFonts w:asciiTheme="majorHAnsi" w:hAnsiTheme="majorHAnsi" w:cstheme="majorBidi"/>
          <w:sz w:val="24"/>
          <w:szCs w:val="24"/>
        </w:rPr>
        <w:fldChar w:fldCharType="end"/>
      </w:r>
      <w:r w:rsidRPr="00325486">
        <w:rPr>
          <w:rFonts w:asciiTheme="majorHAnsi" w:hAnsiTheme="majorHAnsi" w:cstheme="majorBidi"/>
          <w:sz w:val="24"/>
          <w:szCs w:val="24"/>
        </w:rPr>
        <w:t xml:space="preserve">. </w:t>
      </w:r>
    </w:p>
    <w:p w:rsidR="00F20BC8" w:rsidRPr="00325486" w:rsidRDefault="00F20BC8" w:rsidP="00C65543">
      <w:pPr>
        <w:spacing w:line="480" w:lineRule="auto"/>
        <w:rPr>
          <w:rFonts w:asciiTheme="majorHAnsi" w:hAnsiTheme="majorHAnsi" w:cstheme="majorBidi"/>
          <w:sz w:val="24"/>
          <w:szCs w:val="24"/>
        </w:rPr>
      </w:pPr>
      <w:r w:rsidRPr="00325486">
        <w:rPr>
          <w:rFonts w:asciiTheme="majorHAnsi" w:hAnsiTheme="majorHAnsi" w:cstheme="majorBidi"/>
          <w:sz w:val="24"/>
          <w:szCs w:val="24"/>
        </w:rPr>
        <w:t xml:space="preserve">   In order to provide repositioning and reduce the burden on healthcare providers, some manufacturers have introduced tilting mechanism in association with support surfaces. These so-called lateral rotation devices are designed to mimic manual repositioning and have been defined by the NPUAP Support Surface Standards Initiative </w:t>
      </w:r>
      <w:r w:rsidRPr="00325486">
        <w:rPr>
          <w:rFonts w:asciiTheme="majorHAnsi" w:hAnsiTheme="majorHAnsi" w:cstheme="majorBidi"/>
          <w:sz w:val="24"/>
          <w:szCs w:val="24"/>
        </w:rPr>
        <w:fldChar w:fldCharType="begin"/>
      </w:r>
      <w:r w:rsidR="009D5751" w:rsidRPr="00325486">
        <w:rPr>
          <w:rFonts w:asciiTheme="majorHAnsi" w:hAnsiTheme="majorHAnsi" w:cstheme="majorBidi"/>
          <w:sz w:val="24"/>
          <w:szCs w:val="24"/>
        </w:rPr>
        <w:instrText xml:space="preserve"> ADDIN EN.CITE &lt;EndNote&gt;&lt;Cite ExcludeAuth="1"&gt;&lt;Author&gt;National Pressure Ulcer Advisory Panel&lt;/Author&gt;&lt;Year&gt;2007&lt;/Year&gt;&lt;RecNum&gt;424&lt;/RecNum&gt;&lt;DisplayText&gt;(2007)&lt;/DisplayText&gt;&lt;record&gt;&lt;rec-number&gt;424&lt;/rec-number&gt;&lt;foreign-keys&gt;&lt;key app="EN" db-id="e0vdzsre6fp2zoer9e8p9rafse22awveffrt"&gt;424&lt;/key&gt;&lt;/foreign-keys&gt;&lt;ref-type name="Web Page"&gt;12&lt;/ref-type&gt;&lt;contributors&gt;&lt;authors&gt;&lt;author&gt;National Pressure Ulcer Advisory Panel,&lt;/author&gt;&lt;/authors&gt;&lt;/contributors&gt;&lt;titles&gt;&lt;title&gt;Support Surface Standards Initiative - Terms and Definitions Related to Support Surfaces&lt;/title&gt;&lt;/titles&gt;&lt;volume&gt;2013&lt;/volume&gt;&lt;number&gt;10/02/2013&lt;/number&gt;&lt;dates&gt;&lt;year&gt;2007&lt;/year&gt;&lt;/dates&gt;&lt;urls&gt;&lt;related-urls&gt;&lt;url&gt;http://www.npuap.org/wp-content/uploads/2012/03/NPUAP_S3I_TD.pdf&lt;/url&gt;&lt;/related-urls&gt;&lt;/urls&gt;&lt;/record&gt;&lt;/Cite&gt;&lt;/EndNote&gt;</w:instrText>
      </w:r>
      <w:r w:rsidRPr="00325486">
        <w:rPr>
          <w:rFonts w:asciiTheme="majorHAnsi" w:hAnsiTheme="majorHAnsi" w:cstheme="majorBidi"/>
          <w:sz w:val="24"/>
          <w:szCs w:val="24"/>
        </w:rPr>
        <w:fldChar w:fldCharType="separate"/>
      </w:r>
      <w:r w:rsidR="009D5751" w:rsidRPr="00325486">
        <w:rPr>
          <w:rFonts w:asciiTheme="majorHAnsi" w:hAnsiTheme="majorHAnsi" w:cstheme="majorBidi"/>
          <w:noProof/>
          <w:sz w:val="24"/>
          <w:szCs w:val="24"/>
        </w:rPr>
        <w:t>(</w:t>
      </w:r>
      <w:hyperlink w:anchor="_ENREF_18" w:tooltip="National Pressure Ulcer Advisory Panel, 2007 #424" w:history="1">
        <w:r w:rsidR="00C65543" w:rsidRPr="00325486">
          <w:rPr>
            <w:rFonts w:asciiTheme="majorHAnsi" w:hAnsiTheme="majorHAnsi" w:cstheme="majorBidi"/>
            <w:noProof/>
            <w:sz w:val="24"/>
            <w:szCs w:val="24"/>
          </w:rPr>
          <w:t>2007</w:t>
        </w:r>
      </w:hyperlink>
      <w:r w:rsidR="009D5751" w:rsidRPr="00325486">
        <w:rPr>
          <w:rFonts w:asciiTheme="majorHAnsi" w:hAnsiTheme="majorHAnsi" w:cstheme="majorBidi"/>
          <w:noProof/>
          <w:sz w:val="24"/>
          <w:szCs w:val="24"/>
        </w:rPr>
        <w:t>)</w:t>
      </w:r>
      <w:r w:rsidRPr="00325486">
        <w:rPr>
          <w:rFonts w:asciiTheme="majorHAnsi" w:hAnsiTheme="majorHAnsi" w:cstheme="majorBidi"/>
          <w:sz w:val="24"/>
          <w:szCs w:val="24"/>
        </w:rPr>
        <w:fldChar w:fldCharType="end"/>
      </w:r>
      <w:r w:rsidRPr="00325486">
        <w:rPr>
          <w:rFonts w:asciiTheme="majorHAnsi" w:hAnsiTheme="majorHAnsi" w:cstheme="majorBidi"/>
          <w:sz w:val="24"/>
          <w:szCs w:val="24"/>
        </w:rPr>
        <w:t xml:space="preserve"> as “…a support surface that provides rotation about a longitudinal axis as characterized by degree of patient tilt, duration and frequency” </w:t>
      </w:r>
      <w:r w:rsidRPr="00325486">
        <w:rPr>
          <w:rFonts w:asciiTheme="majorHAnsi" w:hAnsiTheme="majorHAnsi" w:cstheme="majorBidi"/>
          <w:sz w:val="24"/>
          <w:szCs w:val="24"/>
        </w:rPr>
        <w:fldChar w:fldCharType="begin"/>
      </w:r>
      <w:r w:rsidR="009D5751" w:rsidRPr="00325486">
        <w:rPr>
          <w:rFonts w:asciiTheme="majorHAnsi" w:hAnsiTheme="majorHAnsi" w:cstheme="majorBidi"/>
          <w:sz w:val="24"/>
          <w:szCs w:val="24"/>
        </w:rPr>
        <w:instrText xml:space="preserve"> ADDIN EN.CITE &lt;EndNote&gt;&lt;Cite&gt;&lt;Author&gt;National Pressure Ulcer Advisor Panel&lt;/Author&gt;&lt;Year&gt;2007&lt;/Year&gt;&lt;RecNum&gt;4311&lt;/RecNum&gt;&lt;DisplayText&gt;(National Pressure Ulcer Advisor Panel, 2007)&lt;/DisplayText&gt;&lt;record&gt;&lt;rec-number&gt;4311&lt;/rec-number&gt;&lt;foreign-keys&gt;&lt;key app="EN" db-id="ervprze5a95tvoe59pjpvw5gezttve9wxvfs"&gt;4311&lt;/key&gt;&lt;/foreign-keys&gt;&lt;ref-type name="Standard"&gt;58&lt;/ref-type&gt;&lt;contributors&gt;&lt;authors&gt;&lt;author&gt;National Pressure Ulcer Advisor Panel,&lt;/author&gt;&lt;/authors&gt;&lt;/contributors&gt;&lt;titles&gt;&lt;title&gt;Support Surfaces Standards Initiative&lt;/title&gt;&lt;/titles&gt;&lt;dates&gt;&lt;year&gt;2007&lt;/year&gt;&lt;/dates&gt;&lt;pub-location&gt;Washington, DC, USA&lt;/pub-location&gt;&lt;urls&gt;&lt;/urls&gt;&lt;/record&gt;&lt;/Cite&gt;&lt;/EndNote&gt;</w:instrText>
      </w:r>
      <w:r w:rsidRPr="00325486">
        <w:rPr>
          <w:rFonts w:asciiTheme="majorHAnsi" w:hAnsiTheme="majorHAnsi" w:cstheme="majorBidi"/>
          <w:sz w:val="24"/>
          <w:szCs w:val="24"/>
        </w:rPr>
        <w:fldChar w:fldCharType="separate"/>
      </w:r>
      <w:r w:rsidR="009D5751" w:rsidRPr="00325486">
        <w:rPr>
          <w:rFonts w:asciiTheme="majorHAnsi" w:hAnsiTheme="majorHAnsi" w:cstheme="majorBidi"/>
          <w:noProof/>
          <w:sz w:val="24"/>
          <w:szCs w:val="24"/>
        </w:rPr>
        <w:t>(</w:t>
      </w:r>
      <w:hyperlink w:anchor="_ENREF_17" w:tooltip="National Pressure Ulcer Advisor Panel, 2007 #4311" w:history="1">
        <w:r w:rsidR="00C65543" w:rsidRPr="00325486">
          <w:rPr>
            <w:rFonts w:asciiTheme="majorHAnsi" w:hAnsiTheme="majorHAnsi" w:cstheme="majorBidi"/>
            <w:noProof/>
            <w:sz w:val="24"/>
            <w:szCs w:val="24"/>
          </w:rPr>
          <w:t>National Pressure Ulcer Advisor Panel, 2007</w:t>
        </w:r>
      </w:hyperlink>
      <w:r w:rsidR="009D5751" w:rsidRPr="00325486">
        <w:rPr>
          <w:rFonts w:asciiTheme="majorHAnsi" w:hAnsiTheme="majorHAnsi" w:cstheme="majorBidi"/>
          <w:noProof/>
          <w:sz w:val="24"/>
          <w:szCs w:val="24"/>
        </w:rPr>
        <w:t>)</w:t>
      </w:r>
      <w:r w:rsidRPr="00325486">
        <w:rPr>
          <w:rFonts w:asciiTheme="majorHAnsi" w:hAnsiTheme="majorHAnsi" w:cstheme="majorBidi"/>
          <w:sz w:val="24"/>
          <w:szCs w:val="24"/>
        </w:rPr>
        <w:fldChar w:fldCharType="end"/>
      </w:r>
      <w:r w:rsidRPr="00325486">
        <w:rPr>
          <w:rFonts w:asciiTheme="majorHAnsi" w:hAnsiTheme="majorHAnsi" w:cstheme="majorBidi"/>
          <w:sz w:val="24"/>
          <w:szCs w:val="24"/>
        </w:rPr>
        <w:t xml:space="preserve">. Despite their intended purpose, evidence regarding the efficacy of lateral rotation devices remains predominantly anecdotal in nature. Of the few published studies, </w:t>
      </w:r>
      <w:proofErr w:type="spellStart"/>
      <w:r w:rsidRPr="00325486">
        <w:rPr>
          <w:rFonts w:asciiTheme="majorHAnsi" w:hAnsiTheme="majorHAnsi" w:cstheme="majorBidi"/>
          <w:sz w:val="24"/>
          <w:szCs w:val="24"/>
        </w:rPr>
        <w:t>Melland</w:t>
      </w:r>
      <w:proofErr w:type="spellEnd"/>
      <w:r w:rsidRPr="00325486">
        <w:rPr>
          <w:rFonts w:asciiTheme="majorHAnsi" w:hAnsiTheme="majorHAnsi" w:cstheme="majorBidi"/>
          <w:sz w:val="24"/>
          <w:szCs w:val="24"/>
        </w:rPr>
        <w:t xml:space="preserve"> et al. </w:t>
      </w:r>
      <w:r w:rsidRPr="00325486">
        <w:rPr>
          <w:rFonts w:asciiTheme="majorHAnsi" w:hAnsiTheme="majorHAnsi" w:cstheme="majorBidi"/>
          <w:sz w:val="24"/>
          <w:szCs w:val="24"/>
        </w:rPr>
        <w:fldChar w:fldCharType="begin"/>
      </w:r>
      <w:r w:rsidR="009D5751" w:rsidRPr="00325486">
        <w:rPr>
          <w:rFonts w:asciiTheme="majorHAnsi" w:hAnsiTheme="majorHAnsi" w:cstheme="majorBidi"/>
          <w:sz w:val="24"/>
          <w:szCs w:val="24"/>
        </w:rPr>
        <w:instrText xml:space="preserve"> ADDIN EN.CITE &lt;EndNote&gt;&lt;Cite ExcludeAuth="1"&gt;&lt;Author&gt;Melland&lt;/Author&gt;&lt;Year&gt;1999&lt;/Year&gt;&lt;RecNum&gt;541&lt;/RecNum&gt;&lt;DisplayText&gt;(1999)&lt;/DisplayText&gt;&lt;record&gt;&lt;rec-number&gt;541&lt;/rec-number&gt;&lt;foreign-keys&gt;&lt;key app="EN" db-id="e0vdzsre6fp2zoer9e8p9rafse22awveffrt"&gt;541&lt;/key&gt;&lt;/foreign-keys&gt;&lt;ref-type name="Journal Article"&gt;17&lt;/ref-type&gt;&lt;contributors&gt;&lt;authors&gt;&lt;author&gt;Melland, H. I.&lt;/author&gt;&lt;author&gt;Langemo, D.&lt;/author&gt;&lt;author&gt;Hanson, D.&lt;/author&gt;&lt;author&gt;Olson, B.&lt;/author&gt;&lt;author&gt;Hunter, S.&lt;/author&gt;&lt;/authors&gt;&lt;/contributors&gt;&lt;auth-address&gt;College of Nursing, University of North Dakota, Grand Forks, USA.&lt;/auth-address&gt;&lt;titles&gt;&lt;title&gt;Clinical evaluation of an automated turning bed&lt;/title&gt;&lt;secondary-title&gt;Orthop Nurs&lt;/secondary-title&gt;&lt;/titles&gt;&lt;periodical&gt;&lt;full-title&gt;Orthop Nurs&lt;/full-title&gt;&lt;/periodical&gt;&lt;pages&gt;65-70&lt;/pages&gt;&lt;volume&gt;18&lt;/volume&gt;&lt;number&gt;4&lt;/number&gt;&lt;edition&gt;2000/10/29&lt;/edition&gt;&lt;keywords&gt;&lt;keyword&gt;Adult&lt;/keyword&gt;&lt;keyword&gt;Aged&lt;/keyword&gt;&lt;keyword&gt;Aged, 80 and over&lt;/keyword&gt;&lt;keyword&gt;Bed Rest/adverse effects/nursing/psychology&lt;/keyword&gt;&lt;keyword&gt;Beds&lt;/keyword&gt;&lt;keyword&gt;Female&lt;/keyword&gt;&lt;keyword&gt;Follow-Up Studies&lt;/keyword&gt;&lt;keyword&gt;Health Care Costs/statistics &amp;amp; numerical data&lt;/keyword&gt;&lt;keyword&gt;Humans&lt;/keyword&gt;&lt;keyword&gt;Male&lt;/keyword&gt;&lt;keyword&gt;Middle Aged&lt;/keyword&gt;&lt;keyword&gt;Motion Therapy, Continuous Passive/economics/ instrumentation/psychology&lt;/keyword&gt;&lt;keyword&gt;Patient Satisfaction&lt;/keyword&gt;&lt;keyword&gt;Pressure Ulcer/etiology/prevention &amp;amp; control&lt;/keyword&gt;&lt;keyword&gt;Rotation&lt;/keyword&gt;&lt;/keywords&gt;&lt;dates&gt;&lt;year&gt;1999&lt;/year&gt;&lt;pub-dates&gt;&lt;date&gt;Jul-Aug&lt;/date&gt;&lt;/pub-dates&gt;&lt;/dates&gt;&lt;isbn&gt;0744-6020 (Print)&amp;#xD;0744-6020 (Linking)&lt;/isbn&gt;&lt;accession-num&gt;11052043&lt;/accession-num&gt;&lt;urls&gt;&lt;/urls&gt;&lt;remote-database-provider&gt;NLM&lt;/remote-database-provider&gt;&lt;language&gt;eng&lt;/language&gt;&lt;/record&gt;&lt;/Cite&gt;&lt;/EndNote&gt;</w:instrText>
      </w:r>
      <w:r w:rsidRPr="00325486">
        <w:rPr>
          <w:rFonts w:asciiTheme="majorHAnsi" w:hAnsiTheme="majorHAnsi" w:cstheme="majorBidi"/>
          <w:sz w:val="24"/>
          <w:szCs w:val="24"/>
        </w:rPr>
        <w:fldChar w:fldCharType="separate"/>
      </w:r>
      <w:r w:rsidR="009D5751" w:rsidRPr="00325486">
        <w:rPr>
          <w:rFonts w:asciiTheme="majorHAnsi" w:hAnsiTheme="majorHAnsi" w:cstheme="majorBidi"/>
          <w:noProof/>
          <w:sz w:val="24"/>
          <w:szCs w:val="24"/>
        </w:rPr>
        <w:t>(</w:t>
      </w:r>
      <w:hyperlink w:anchor="_ENREF_12" w:tooltip="Melland, 1999 #541" w:history="1">
        <w:r w:rsidR="00C65543" w:rsidRPr="00325486">
          <w:rPr>
            <w:rFonts w:asciiTheme="majorHAnsi" w:hAnsiTheme="majorHAnsi" w:cstheme="majorBidi"/>
            <w:noProof/>
            <w:sz w:val="24"/>
            <w:szCs w:val="24"/>
          </w:rPr>
          <w:t>1999</w:t>
        </w:r>
      </w:hyperlink>
      <w:r w:rsidR="009D5751" w:rsidRPr="00325486">
        <w:rPr>
          <w:rFonts w:asciiTheme="majorHAnsi" w:hAnsiTheme="majorHAnsi" w:cstheme="majorBidi"/>
          <w:noProof/>
          <w:sz w:val="24"/>
          <w:szCs w:val="24"/>
        </w:rPr>
        <w:t>)</w:t>
      </w:r>
      <w:r w:rsidRPr="00325486">
        <w:rPr>
          <w:rFonts w:asciiTheme="majorHAnsi" w:hAnsiTheme="majorHAnsi" w:cstheme="majorBidi"/>
          <w:sz w:val="24"/>
          <w:szCs w:val="24"/>
        </w:rPr>
        <w:fldChar w:fldCharType="end"/>
      </w:r>
      <w:r w:rsidRPr="00325486">
        <w:rPr>
          <w:rFonts w:asciiTheme="majorHAnsi" w:hAnsiTheme="majorHAnsi" w:cstheme="majorBidi"/>
          <w:sz w:val="24"/>
          <w:szCs w:val="24"/>
        </w:rPr>
        <w:t xml:space="preserve"> evaluated the Freedom Bed™ in 24 adults with degenerative disease, residing at home or in a long-term care facility. The authors reported a significant improvement in sleep quality using the tilting bed, although its performance with respect to maintenance of tissue viability was not fully assessed. Yi et al. </w:t>
      </w:r>
      <w:r w:rsidRPr="00325486">
        <w:rPr>
          <w:rFonts w:asciiTheme="majorHAnsi" w:hAnsiTheme="majorHAnsi" w:cstheme="majorBidi"/>
          <w:sz w:val="24"/>
          <w:szCs w:val="24"/>
        </w:rPr>
        <w:fldChar w:fldCharType="begin">
          <w:fldData xml:space="preserve">PEVuZE5vdGU+PENpdGUgRXhjbHVkZUF1dGg9IjEiPjxBdXRob3I+WWk8L0F1dGhvcj48WWVhcj4y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</w:fldData>
        </w:fldChar>
      </w:r>
      <w:r w:rsidR="009D5751" w:rsidRPr="00325486">
        <w:rPr>
          <w:rFonts w:asciiTheme="majorHAnsi" w:hAnsiTheme="majorHAnsi" w:cstheme="majorBidi"/>
          <w:sz w:val="24"/>
          <w:szCs w:val="24"/>
        </w:rPr>
        <w:instrText xml:space="preserve"> ADDIN EN.CITE </w:instrText>
      </w:r>
      <w:r w:rsidR="009D5751" w:rsidRPr="00325486">
        <w:rPr>
          <w:rFonts w:asciiTheme="majorHAnsi" w:hAnsiTheme="majorHAnsi" w:cstheme="majorBidi"/>
          <w:sz w:val="24"/>
          <w:szCs w:val="24"/>
        </w:rPr>
        <w:fldChar w:fldCharType="begin">
          <w:fldData xml:space="preserve">PEVuZE5vdGU+PENpdGUgRXhjbHVkZUF1dGg9IjEiPjxBdXRob3I+WWk8L0F1dGhvcj48WWVhcj4y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</w:fldData>
        </w:fldChar>
      </w:r>
      <w:r w:rsidR="009D5751" w:rsidRPr="00325486">
        <w:rPr>
          <w:rFonts w:asciiTheme="majorHAnsi" w:hAnsiTheme="majorHAnsi" w:cstheme="majorBidi"/>
          <w:sz w:val="24"/>
          <w:szCs w:val="24"/>
        </w:rPr>
        <w:instrText xml:space="preserve"> ADDIN EN.CITE.DATA </w:instrText>
      </w:r>
      <w:r w:rsidR="009D5751" w:rsidRPr="00325486">
        <w:rPr>
          <w:rFonts w:asciiTheme="majorHAnsi" w:hAnsiTheme="majorHAnsi" w:cstheme="majorBidi"/>
          <w:sz w:val="24"/>
          <w:szCs w:val="24"/>
        </w:rPr>
      </w:r>
      <w:r w:rsidR="009D5751" w:rsidRPr="00325486">
        <w:rPr>
          <w:rFonts w:asciiTheme="majorHAnsi" w:hAnsiTheme="majorHAnsi" w:cstheme="majorBidi"/>
          <w:sz w:val="24"/>
          <w:szCs w:val="24"/>
        </w:rPr>
        <w:fldChar w:fldCharType="end"/>
      </w:r>
      <w:r w:rsidRPr="00325486">
        <w:rPr>
          <w:rFonts w:asciiTheme="majorHAnsi" w:hAnsiTheme="majorHAnsi" w:cstheme="majorBidi"/>
          <w:sz w:val="24"/>
          <w:szCs w:val="24"/>
        </w:rPr>
      </w:r>
      <w:r w:rsidRPr="00325486">
        <w:rPr>
          <w:rFonts w:asciiTheme="majorHAnsi" w:hAnsiTheme="majorHAnsi" w:cstheme="majorBidi"/>
          <w:sz w:val="24"/>
          <w:szCs w:val="24"/>
        </w:rPr>
        <w:fldChar w:fldCharType="separate"/>
      </w:r>
      <w:r w:rsidR="009D5751" w:rsidRPr="00325486">
        <w:rPr>
          <w:rFonts w:asciiTheme="majorHAnsi" w:hAnsiTheme="majorHAnsi" w:cstheme="majorBidi"/>
          <w:noProof/>
          <w:sz w:val="24"/>
          <w:szCs w:val="24"/>
        </w:rPr>
        <w:t>(</w:t>
      </w:r>
      <w:hyperlink w:anchor="_ENREF_24" w:tooltip="Yi, 2009 #320" w:history="1">
        <w:r w:rsidR="00C65543" w:rsidRPr="00325486">
          <w:rPr>
            <w:rFonts w:asciiTheme="majorHAnsi" w:hAnsiTheme="majorHAnsi" w:cstheme="majorBidi"/>
            <w:noProof/>
            <w:sz w:val="24"/>
            <w:szCs w:val="24"/>
          </w:rPr>
          <w:t>2009</w:t>
        </w:r>
      </w:hyperlink>
      <w:r w:rsidR="009D5751" w:rsidRPr="00325486">
        <w:rPr>
          <w:rFonts w:asciiTheme="majorHAnsi" w:hAnsiTheme="majorHAnsi" w:cstheme="majorBidi"/>
          <w:noProof/>
          <w:sz w:val="24"/>
          <w:szCs w:val="24"/>
        </w:rPr>
        <w:t>)</w:t>
      </w:r>
      <w:r w:rsidRPr="00325486">
        <w:rPr>
          <w:rFonts w:asciiTheme="majorHAnsi" w:hAnsiTheme="majorHAnsi" w:cstheme="majorBidi"/>
          <w:sz w:val="24"/>
          <w:szCs w:val="24"/>
        </w:rPr>
        <w:fldChar w:fldCharType="end"/>
      </w:r>
      <w:r w:rsidRPr="00325486">
        <w:rPr>
          <w:rFonts w:asciiTheme="majorHAnsi" w:hAnsiTheme="majorHAnsi" w:cstheme="majorBidi"/>
          <w:sz w:val="24"/>
          <w:szCs w:val="24"/>
        </w:rPr>
        <w:t xml:space="preserve"> investigated the effect of tilting using 3 prototype lateral rotation beds with twenty healthy volunteers using interface pressure as a primary outcome </w:t>
      </w:r>
      <w:r w:rsidRPr="00325486">
        <w:rPr>
          <w:rFonts w:asciiTheme="majorHAnsi" w:hAnsiTheme="majorHAnsi" w:cstheme="majorBidi"/>
          <w:sz w:val="24"/>
          <w:szCs w:val="24"/>
        </w:rPr>
        <w:lastRenderedPageBreak/>
        <w:t xml:space="preserve">measure. Results indicated a significant reduction in peak interface pressure measures in one bed with two segments rotating about one axis compared with the supine position. </w:t>
      </w:r>
    </w:p>
    <w:p w:rsidR="00F20BC8" w:rsidRPr="00325486" w:rsidRDefault="00F20BC8" w:rsidP="00C65543">
      <w:pPr>
        <w:spacing w:line="480" w:lineRule="auto"/>
        <w:rPr>
          <w:rFonts w:asciiTheme="majorHAnsi" w:hAnsiTheme="majorHAnsi" w:cstheme="majorBidi"/>
          <w:sz w:val="24"/>
          <w:szCs w:val="24"/>
        </w:rPr>
      </w:pPr>
      <w:r w:rsidRPr="00325486">
        <w:rPr>
          <w:rFonts w:asciiTheme="majorHAnsi" w:hAnsiTheme="majorHAnsi" w:cstheme="majorBidi"/>
          <w:sz w:val="24"/>
          <w:szCs w:val="24"/>
        </w:rPr>
        <w:t xml:space="preserve">   The performance of support surfaces have been evaluated using several different measurement techniques. One of the most common approaches, adopted in both clinical and research settings, involves measurement of the interface pressure distribution between the surface and a supported individual.  However, it is well established that </w:t>
      </w:r>
      <w:r w:rsidRPr="00325486">
        <w:rPr>
          <w:rFonts w:asciiTheme="majorHAnsi" w:hAnsiTheme="majorHAnsi"/>
          <w:sz w:val="24"/>
          <w:szCs w:val="24"/>
        </w:rPr>
        <w:t xml:space="preserve">interface pressures alone do not alert the clinician to risk of pressure ulcers and the imprecise relationship  between </w:t>
      </w:r>
      <w:r w:rsidRPr="00325486">
        <w:rPr>
          <w:rStyle w:val="singlehighlightclass"/>
          <w:rFonts w:asciiTheme="majorHAnsi" w:hAnsiTheme="majorHAnsi"/>
          <w:sz w:val="24"/>
          <w:szCs w:val="24"/>
        </w:rPr>
        <w:t>pressure</w:t>
      </w:r>
      <w:r w:rsidRPr="00325486">
        <w:rPr>
          <w:rFonts w:asciiTheme="majorHAnsi" w:hAnsiTheme="majorHAnsi"/>
          <w:sz w:val="24"/>
          <w:szCs w:val="24"/>
        </w:rPr>
        <w:t xml:space="preserve"> magnitude and duration limits the predictive or prognostic value of </w:t>
      </w:r>
      <w:r w:rsidRPr="00325486">
        <w:rPr>
          <w:rStyle w:val="singlehighlightclass"/>
          <w:rFonts w:asciiTheme="majorHAnsi" w:hAnsiTheme="majorHAnsi"/>
          <w:sz w:val="24"/>
          <w:szCs w:val="24"/>
        </w:rPr>
        <w:t>the measured parameter</w:t>
      </w:r>
      <w:r w:rsidRPr="00325486">
        <w:rPr>
          <w:rFonts w:asciiTheme="majorHAnsi" w:hAnsiTheme="majorHAnsi"/>
          <w:sz w:val="24"/>
          <w:szCs w:val="24"/>
        </w:rPr>
        <w:fldChar w:fldCharType="begin"/>
      </w:r>
      <w:r w:rsidR="009D5751" w:rsidRPr="00325486">
        <w:rPr>
          <w:rFonts w:asciiTheme="majorHAnsi" w:hAnsiTheme="majorHAnsi"/>
          <w:sz w:val="24"/>
          <w:szCs w:val="24"/>
        </w:rPr>
        <w:instrText xml:space="preserve"> ADDIN EN.CITE &lt;EndNote&gt;&lt;Cite&gt;&lt;Author&gt;Reenalda&lt;/Author&gt;&lt;Year&gt;2009&lt;/Year&gt;&lt;RecNum&gt;4174&lt;/RecNum&gt;&lt;DisplayText&gt;(Reenalda et al., 2009)&lt;/DisplayText&gt;&lt;record&gt;&lt;rec-number&gt;4174&lt;/rec-number&gt;&lt;foreign-keys&gt;&lt;key app="EN" db-id="ervprze5a95tvoe59pjpvw5gezttve9wxvfs"&gt;4174&lt;/key&gt;&lt;/foreign-keys&gt;&lt;ref-type name="Journal Article"&gt;17&lt;/ref-type&gt;&lt;contributors&gt;&lt;authors&gt;&lt;author&gt;Reenalda, Jasper&lt;/author&gt;&lt;author&gt;Jannink, Michiel&lt;/author&gt;&lt;author&gt;Nederhand, Marc&lt;/author&gt;&lt;author&gt;Ijzerman, Maarten&lt;/author&gt;&lt;/authors&gt;&lt;/contributors&gt;&lt;titles&gt;&lt;title&gt;Clinical Use of Interface Pressure to Predict Pressure Ulcer Development: A Systematic Review&lt;/title&gt;&lt;secondary-title&gt;Assistive Technology&lt;/secondary-title&gt;&lt;/titles&gt;&lt;periodical&gt;&lt;full-title&gt;Assistive Technology&lt;/full-title&gt;&lt;abbr-1&gt;Assist. Technol.&lt;/abbr-1&gt;&lt;abbr-2&gt;Assist Technol&lt;/abbr-2&gt;&lt;/periodical&gt;&lt;pages&gt;76-85&lt;/pages&gt;&lt;volume&gt;21&lt;/volume&gt;&lt;number&gt;2&lt;/number&gt;&lt;dates&gt;&lt;year&gt;2009&lt;/year&gt;&lt;pub-dates&gt;&lt;date&gt;2009/06/30&lt;/date&gt;&lt;/pub-dates&gt;&lt;/dates&gt;&lt;publisher&gt;Taylor &amp;amp; Francis&lt;/publisher&gt;&lt;isbn&gt;1040-0435&lt;/isbn&gt;&lt;urls&gt;&lt;related-urls&gt;&lt;url&gt;http://dx.doi.org/10.1080/10400430903050437&lt;/url&gt;&lt;/related-urls&gt;&lt;/urls&gt;&lt;electronic-resource-num&gt;10.1080/10400430903050437&lt;/electronic-resource-num&gt;&lt;access-date&gt;2013/07/24&lt;/access-date&gt;&lt;/record&gt;&lt;/Cite&gt;&lt;/EndNote&gt;</w:instrText>
      </w:r>
      <w:r w:rsidRPr="00325486">
        <w:rPr>
          <w:rFonts w:asciiTheme="majorHAnsi" w:hAnsiTheme="majorHAnsi"/>
          <w:sz w:val="24"/>
          <w:szCs w:val="24"/>
        </w:rPr>
        <w:fldChar w:fldCharType="separate"/>
      </w:r>
      <w:r w:rsidR="009D5751" w:rsidRPr="00325486">
        <w:rPr>
          <w:rFonts w:asciiTheme="majorHAnsi" w:hAnsiTheme="majorHAnsi"/>
          <w:noProof/>
          <w:sz w:val="24"/>
          <w:szCs w:val="24"/>
        </w:rPr>
        <w:t>(</w:t>
      </w:r>
      <w:hyperlink w:anchor="_ENREF_19" w:tooltip="Reenalda, 2009 #4174" w:history="1">
        <w:r w:rsidR="00C65543" w:rsidRPr="00325486">
          <w:rPr>
            <w:rFonts w:asciiTheme="majorHAnsi" w:hAnsiTheme="majorHAnsi"/>
            <w:noProof/>
            <w:sz w:val="24"/>
            <w:szCs w:val="24"/>
          </w:rPr>
          <w:t>Reenalda et al., 2009</w:t>
        </w:r>
      </w:hyperlink>
      <w:r w:rsidR="009D5751" w:rsidRPr="00325486">
        <w:rPr>
          <w:rFonts w:asciiTheme="majorHAnsi" w:hAnsiTheme="majorHAnsi"/>
          <w:noProof/>
          <w:sz w:val="24"/>
          <w:szCs w:val="24"/>
        </w:rPr>
        <w:t>)</w:t>
      </w:r>
      <w:r w:rsidRPr="00325486">
        <w:rPr>
          <w:rFonts w:asciiTheme="majorHAnsi" w:hAnsiTheme="majorHAnsi"/>
          <w:sz w:val="24"/>
          <w:szCs w:val="24"/>
        </w:rPr>
        <w:fldChar w:fldCharType="end"/>
      </w:r>
      <w:r w:rsidRPr="00325486">
        <w:rPr>
          <w:rFonts w:asciiTheme="majorHAnsi" w:hAnsiTheme="majorHAnsi"/>
          <w:sz w:val="24"/>
          <w:szCs w:val="24"/>
        </w:rPr>
        <w:t>.</w:t>
      </w:r>
      <w:r w:rsidRPr="00325486">
        <w:rPr>
          <w:rFonts w:asciiTheme="majorHAnsi" w:hAnsiTheme="majorHAnsi" w:cstheme="majorBidi"/>
          <w:sz w:val="24"/>
          <w:szCs w:val="24"/>
        </w:rPr>
        <w:t xml:space="preserve"> Accordingly, much research has utilised measures of tissue viability, often in the form of transcutaneous gas monitoring, to examine the tissue response to mechanical loads </w:t>
      </w:r>
      <w:r w:rsidRPr="00325486">
        <w:rPr>
          <w:rFonts w:asciiTheme="majorHAnsi" w:hAnsiTheme="majorHAnsi" w:cstheme="majorBidi"/>
          <w:sz w:val="24"/>
          <w:szCs w:val="24"/>
        </w:rPr>
        <w:fldChar w:fldCharType="begin">
          <w:fldData xml:space="preserve">PEVuZE5vdGU+PENpdGU+PEF1dGhvcj5NYWtoc291czwvQXV0aG9yPjxZZWFyPjIwMDc8L1llYXI+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</w:fldData>
        </w:fldChar>
      </w:r>
      <w:r w:rsidR="00C65543" w:rsidRPr="00325486">
        <w:rPr>
          <w:rFonts w:asciiTheme="majorHAnsi" w:hAnsiTheme="majorHAnsi" w:cstheme="majorBidi"/>
          <w:sz w:val="24"/>
          <w:szCs w:val="24"/>
        </w:rPr>
        <w:instrText xml:space="preserve"> ADDIN EN.CITE </w:instrText>
      </w:r>
      <w:r w:rsidR="00C65543" w:rsidRPr="00325486">
        <w:rPr>
          <w:rFonts w:asciiTheme="majorHAnsi" w:hAnsiTheme="majorHAnsi" w:cstheme="majorBidi"/>
          <w:sz w:val="24"/>
          <w:szCs w:val="24"/>
        </w:rPr>
        <w:fldChar w:fldCharType="begin">
          <w:fldData xml:space="preserve">PEVuZE5vdGU+PENpdGU+PEF1dGhvcj5NYWtoc291czwvQXV0aG9yPjxZZWFyPjIwMDc8L1llYXI+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</w:fldData>
        </w:fldChar>
      </w:r>
      <w:r w:rsidR="00C65543" w:rsidRPr="00325486">
        <w:rPr>
          <w:rFonts w:asciiTheme="majorHAnsi" w:hAnsiTheme="majorHAnsi" w:cstheme="majorBidi"/>
          <w:sz w:val="24"/>
          <w:szCs w:val="24"/>
        </w:rPr>
        <w:instrText xml:space="preserve"> ADDIN EN.CITE.DATA </w:instrText>
      </w:r>
      <w:r w:rsidR="00C65543" w:rsidRPr="00325486">
        <w:rPr>
          <w:rFonts w:asciiTheme="majorHAnsi" w:hAnsiTheme="majorHAnsi" w:cstheme="majorBidi"/>
          <w:sz w:val="24"/>
          <w:szCs w:val="24"/>
        </w:rPr>
      </w:r>
      <w:r w:rsidR="00C65543" w:rsidRPr="00325486">
        <w:rPr>
          <w:rFonts w:asciiTheme="majorHAnsi" w:hAnsiTheme="majorHAnsi" w:cstheme="majorBidi"/>
          <w:sz w:val="24"/>
          <w:szCs w:val="24"/>
        </w:rPr>
        <w:fldChar w:fldCharType="end"/>
      </w:r>
      <w:r w:rsidRPr="00325486">
        <w:rPr>
          <w:rFonts w:asciiTheme="majorHAnsi" w:hAnsiTheme="majorHAnsi" w:cstheme="majorBidi"/>
          <w:sz w:val="24"/>
          <w:szCs w:val="24"/>
        </w:rPr>
      </w:r>
      <w:r w:rsidRPr="00325486">
        <w:rPr>
          <w:rFonts w:asciiTheme="majorHAnsi" w:hAnsiTheme="majorHAnsi" w:cstheme="majorBidi"/>
          <w:sz w:val="24"/>
          <w:szCs w:val="24"/>
        </w:rPr>
        <w:fldChar w:fldCharType="separate"/>
      </w:r>
      <w:r w:rsidR="00C65543" w:rsidRPr="00325486">
        <w:rPr>
          <w:rFonts w:asciiTheme="majorHAnsi" w:hAnsiTheme="majorHAnsi" w:cstheme="majorBidi"/>
          <w:noProof/>
          <w:sz w:val="24"/>
          <w:szCs w:val="24"/>
        </w:rPr>
        <w:t>(</w:t>
      </w:r>
      <w:hyperlink w:anchor="_ENREF_3" w:tooltip="Chai, 2013 #2203" w:history="1">
        <w:r w:rsidR="00C65543" w:rsidRPr="00325486">
          <w:rPr>
            <w:rFonts w:asciiTheme="majorHAnsi" w:hAnsiTheme="majorHAnsi" w:cstheme="majorBidi"/>
            <w:noProof/>
            <w:sz w:val="24"/>
            <w:szCs w:val="24"/>
          </w:rPr>
          <w:t>Chai and Bader, 2013</w:t>
        </w:r>
      </w:hyperlink>
      <w:r w:rsidR="00C65543" w:rsidRPr="00325486">
        <w:rPr>
          <w:rFonts w:asciiTheme="majorHAnsi" w:hAnsiTheme="majorHAnsi" w:cstheme="majorBidi"/>
          <w:noProof/>
          <w:sz w:val="24"/>
          <w:szCs w:val="24"/>
        </w:rPr>
        <w:t xml:space="preserve">; </w:t>
      </w:r>
      <w:hyperlink w:anchor="_ENREF_8" w:tooltip="Kim, 2012 #2009" w:history="1">
        <w:r w:rsidR="00C65543" w:rsidRPr="00325486">
          <w:rPr>
            <w:rFonts w:asciiTheme="majorHAnsi" w:hAnsiTheme="majorHAnsi" w:cstheme="majorBidi"/>
            <w:noProof/>
            <w:sz w:val="24"/>
            <w:szCs w:val="24"/>
          </w:rPr>
          <w:t>Kim et al., 2012</w:t>
        </w:r>
      </w:hyperlink>
      <w:r w:rsidR="00C65543" w:rsidRPr="00325486">
        <w:rPr>
          <w:rFonts w:asciiTheme="majorHAnsi" w:hAnsiTheme="majorHAnsi" w:cstheme="majorBidi"/>
          <w:noProof/>
          <w:sz w:val="24"/>
          <w:szCs w:val="24"/>
        </w:rPr>
        <w:t xml:space="preserve">; </w:t>
      </w:r>
      <w:hyperlink w:anchor="_ENREF_11" w:tooltip="Makhsous, 2007 #2071" w:history="1">
        <w:r w:rsidR="00C65543" w:rsidRPr="00325486">
          <w:rPr>
            <w:rFonts w:asciiTheme="majorHAnsi" w:hAnsiTheme="majorHAnsi" w:cstheme="majorBidi"/>
            <w:noProof/>
            <w:sz w:val="24"/>
            <w:szCs w:val="24"/>
          </w:rPr>
          <w:t>Makhsous et al., 2007</w:t>
        </w:r>
      </w:hyperlink>
      <w:r w:rsidR="00C65543" w:rsidRPr="00325486">
        <w:rPr>
          <w:rFonts w:asciiTheme="majorHAnsi" w:hAnsiTheme="majorHAnsi" w:cstheme="majorBidi"/>
          <w:noProof/>
          <w:sz w:val="24"/>
          <w:szCs w:val="24"/>
        </w:rPr>
        <w:t>)</w:t>
      </w:r>
      <w:r w:rsidRPr="00325486">
        <w:rPr>
          <w:rFonts w:asciiTheme="majorHAnsi" w:hAnsiTheme="majorHAnsi" w:cstheme="majorBidi"/>
          <w:sz w:val="24"/>
          <w:szCs w:val="24"/>
        </w:rPr>
        <w:fldChar w:fldCharType="end"/>
      </w:r>
      <w:r w:rsidRPr="00325486">
        <w:rPr>
          <w:rFonts w:asciiTheme="majorHAnsi" w:hAnsiTheme="majorHAnsi" w:cstheme="majorBidi"/>
          <w:sz w:val="24"/>
          <w:szCs w:val="24"/>
        </w:rPr>
        <w:t>. These studies have shown  distinct changes in tissue oxygen (TcPO</w:t>
      </w:r>
      <w:r w:rsidRPr="00325486">
        <w:rPr>
          <w:rFonts w:asciiTheme="majorHAnsi" w:hAnsiTheme="majorHAnsi" w:cstheme="majorBidi"/>
          <w:sz w:val="24"/>
          <w:szCs w:val="24"/>
          <w:vertAlign w:val="subscript"/>
        </w:rPr>
        <w:t>2</w:t>
      </w:r>
      <w:r w:rsidRPr="00325486">
        <w:rPr>
          <w:rFonts w:asciiTheme="majorHAnsi" w:hAnsiTheme="majorHAnsi" w:cstheme="majorBidi"/>
          <w:sz w:val="24"/>
          <w:szCs w:val="24"/>
        </w:rPr>
        <w:t>) and carbon dioxide (TcPCO</w:t>
      </w:r>
      <w:r w:rsidRPr="00325486">
        <w:rPr>
          <w:rFonts w:asciiTheme="majorHAnsi" w:hAnsiTheme="majorHAnsi" w:cstheme="majorBidi"/>
          <w:sz w:val="24"/>
          <w:szCs w:val="24"/>
          <w:vertAlign w:val="subscript"/>
        </w:rPr>
        <w:t>2</w:t>
      </w:r>
      <w:r w:rsidRPr="00325486">
        <w:rPr>
          <w:rFonts w:asciiTheme="majorHAnsi" w:hAnsiTheme="majorHAnsi" w:cstheme="majorBidi"/>
          <w:sz w:val="24"/>
          <w:szCs w:val="24"/>
        </w:rPr>
        <w:t xml:space="preserve">) tensions when measured at differing skin sites subjected to representative external pressures </w:t>
      </w:r>
      <w:r w:rsidRPr="00325486">
        <w:rPr>
          <w:rFonts w:asciiTheme="majorHAnsi" w:hAnsiTheme="majorHAnsi" w:cstheme="majorBidi"/>
          <w:sz w:val="24"/>
          <w:szCs w:val="24"/>
        </w:rPr>
        <w:fldChar w:fldCharType="begin"/>
      </w:r>
      <w:r w:rsidR="009D5751" w:rsidRPr="00325486">
        <w:rPr>
          <w:rFonts w:asciiTheme="majorHAnsi" w:hAnsiTheme="majorHAnsi" w:cstheme="majorBidi"/>
          <w:sz w:val="24"/>
          <w:szCs w:val="24"/>
        </w:rPr>
        <w:instrText xml:space="preserve"> ADDIN EN.CITE &lt;EndNote&gt;&lt;Cite&gt;&lt;Author&gt;Knight&lt;/Author&gt;&lt;Year&gt;2001&lt;/Year&gt;&lt;RecNum&gt;1972&lt;/RecNum&gt;&lt;DisplayText&gt;(Knight et al., 2001)&lt;/DisplayText&gt;&lt;record&gt;&lt;rec-number&gt;1972&lt;/rec-number&gt;&lt;foreign-keys&gt;&lt;key app="EN" db-id="ervprze5a95tvoe59pjpvw5gezttve9wxvfs"&gt;1972&lt;/key&gt;&lt;/foreign-keys&gt;&lt;ref-type name="Journal Article"&gt;17&lt;/ref-type&gt;&lt;contributors&gt;&lt;authors&gt;&lt;author&gt;Knight, S.&lt;/author&gt;&lt;author&gt;Taylor, R.&lt;/author&gt;&lt;author&gt;Polliak, A.&lt;/author&gt;&lt;author&gt;Bader, D.L.&lt;/author&gt;&lt;/authors&gt;&lt;/contributors&gt;&lt;titles&gt;&lt;title&gt;Establishing predictive indicators for the status of loaded soft tissues&lt;/title&gt;&lt;secondary-title&gt;Journal of Applied Physiology&lt;/secondary-title&gt;&lt;/titles&gt;&lt;periodical&gt;&lt;full-title&gt;Journal of Applied Physiology&lt;/full-title&gt;&lt;abbr-1&gt;J. Appl. Physiol.&lt;/abbr-1&gt;&lt;abbr-2&gt;J Appl Physiol&lt;/abbr-2&gt;&lt;/periodical&gt;&lt;pages&gt;2231-2237&lt;/pages&gt;&lt;volume&gt;90&lt;/volume&gt;&lt;dates&gt;&lt;year&gt;2001&lt;/year&gt;&lt;/dates&gt;&lt;urls&gt;&lt;/urls&gt;&lt;/record&gt;&lt;/Cite&gt;&lt;/EndNote&gt;</w:instrText>
      </w:r>
      <w:r w:rsidRPr="00325486">
        <w:rPr>
          <w:rFonts w:asciiTheme="majorHAnsi" w:hAnsiTheme="majorHAnsi" w:cstheme="majorBidi"/>
          <w:sz w:val="24"/>
          <w:szCs w:val="24"/>
        </w:rPr>
        <w:fldChar w:fldCharType="separate"/>
      </w:r>
      <w:r w:rsidR="009D5751" w:rsidRPr="00325486">
        <w:rPr>
          <w:rFonts w:asciiTheme="majorHAnsi" w:hAnsiTheme="majorHAnsi" w:cstheme="majorBidi"/>
          <w:noProof/>
          <w:sz w:val="24"/>
          <w:szCs w:val="24"/>
        </w:rPr>
        <w:t>(</w:t>
      </w:r>
      <w:hyperlink w:anchor="_ENREF_9" w:tooltip="Knight, 2001 #1972" w:history="1">
        <w:r w:rsidR="00C65543" w:rsidRPr="00325486">
          <w:rPr>
            <w:rFonts w:asciiTheme="majorHAnsi" w:hAnsiTheme="majorHAnsi" w:cstheme="majorBidi"/>
            <w:noProof/>
            <w:sz w:val="24"/>
            <w:szCs w:val="24"/>
          </w:rPr>
          <w:t>Knight et al., 2001</w:t>
        </w:r>
      </w:hyperlink>
      <w:r w:rsidR="009D5751" w:rsidRPr="00325486">
        <w:rPr>
          <w:rFonts w:asciiTheme="majorHAnsi" w:hAnsiTheme="majorHAnsi" w:cstheme="majorBidi"/>
          <w:noProof/>
          <w:sz w:val="24"/>
          <w:szCs w:val="24"/>
        </w:rPr>
        <w:t>)</w:t>
      </w:r>
      <w:r w:rsidRPr="00325486">
        <w:rPr>
          <w:rFonts w:asciiTheme="majorHAnsi" w:hAnsiTheme="majorHAnsi" w:cstheme="majorBidi"/>
          <w:sz w:val="24"/>
          <w:szCs w:val="24"/>
        </w:rPr>
        <w:fldChar w:fldCharType="end"/>
      </w:r>
      <w:r w:rsidRPr="00325486">
        <w:rPr>
          <w:rFonts w:asciiTheme="majorHAnsi" w:hAnsiTheme="majorHAnsi" w:cstheme="majorBidi"/>
          <w:sz w:val="24"/>
          <w:szCs w:val="24"/>
        </w:rPr>
        <w:t xml:space="preserve">. Thus the combination of interface pressures and transcutaneous gas values provides considerable insight into the biomechanical cause and physiological effects of tissue loading as a result of a periodic loading on various support surfaces. </w:t>
      </w:r>
    </w:p>
    <w:p w:rsidR="00F20BC8" w:rsidRPr="00325486" w:rsidRDefault="00F20BC8" w:rsidP="00F20BC8">
      <w:pPr>
        <w:spacing w:line="480" w:lineRule="auto"/>
        <w:rPr>
          <w:rFonts w:asciiTheme="majorHAnsi" w:hAnsiTheme="majorHAnsi" w:cstheme="majorBidi"/>
          <w:sz w:val="24"/>
          <w:szCs w:val="24"/>
        </w:rPr>
      </w:pPr>
      <w:r w:rsidRPr="00325486">
        <w:rPr>
          <w:rFonts w:asciiTheme="majorHAnsi" w:hAnsiTheme="majorHAnsi" w:cstheme="majorBidi"/>
          <w:sz w:val="24"/>
          <w:szCs w:val="24"/>
        </w:rPr>
        <w:t xml:space="preserve">There is only limited evidence in the literature to suggest that lateral rotation might prove an effective alternative to manual repositioning, although the specific design of the tilt mechanism will inevitably affect its ability to provide pressure redistribution. More certain is the fact that the characteristics of the individual support surface will influence tissue </w:t>
      </w:r>
      <w:r w:rsidRPr="00325486">
        <w:rPr>
          <w:rFonts w:asciiTheme="majorHAnsi" w:hAnsiTheme="majorHAnsi" w:cstheme="majorBidi"/>
          <w:sz w:val="24"/>
          <w:szCs w:val="24"/>
        </w:rPr>
        <w:lastRenderedPageBreak/>
        <w:t>response. In addition, patient satisfaction and perceived safety are paramount to ensure clinical translation and compliance with pressure redistributing devices. Accordingly, the current study has been designed to combine objective physiological and biomechanical measurements with critical subjective parameters to evaluate a prototype automated lateral rotation system. Its performance was compared to a manual tilt commonly performed in the clinical setting.</w:t>
      </w:r>
    </w:p>
    <w:p w:rsidR="00F20BC8" w:rsidRPr="00325486" w:rsidRDefault="00F20BC8" w:rsidP="00F20BC8">
      <w:pPr>
        <w:spacing w:line="480" w:lineRule="auto"/>
        <w:rPr>
          <w:rFonts w:asciiTheme="majorHAnsi" w:hAnsiTheme="majorHAnsi" w:cstheme="majorBidi"/>
          <w:sz w:val="24"/>
          <w:szCs w:val="24"/>
        </w:rPr>
      </w:pPr>
    </w:p>
    <w:p w:rsidR="00F20BC8" w:rsidRPr="00325486" w:rsidRDefault="00F20BC8" w:rsidP="00F20BC8">
      <w:pPr>
        <w:spacing w:line="480" w:lineRule="auto"/>
        <w:rPr>
          <w:rFonts w:asciiTheme="majorHAnsi" w:hAnsiTheme="majorHAnsi" w:cstheme="majorBidi"/>
          <w:sz w:val="24"/>
          <w:szCs w:val="24"/>
        </w:rPr>
      </w:pPr>
    </w:p>
    <w:p w:rsidR="00F20BC8" w:rsidRPr="00325486" w:rsidRDefault="00F20BC8" w:rsidP="00F20BC8">
      <w:pPr>
        <w:spacing w:line="480" w:lineRule="auto"/>
        <w:rPr>
          <w:rFonts w:asciiTheme="majorHAnsi" w:hAnsiTheme="majorHAnsi" w:cstheme="majorBidi"/>
          <w:sz w:val="24"/>
          <w:szCs w:val="24"/>
        </w:rPr>
      </w:pPr>
    </w:p>
    <w:p w:rsidR="00F20BC8" w:rsidRPr="00325486" w:rsidRDefault="00F20BC8" w:rsidP="00F20BC8">
      <w:pPr>
        <w:spacing w:line="480" w:lineRule="auto"/>
        <w:rPr>
          <w:rFonts w:asciiTheme="majorHAnsi" w:hAnsiTheme="majorHAnsi" w:cstheme="majorBidi"/>
          <w:sz w:val="24"/>
          <w:szCs w:val="24"/>
        </w:rPr>
      </w:pPr>
    </w:p>
    <w:p w:rsidR="00F20BC8" w:rsidRPr="00325486" w:rsidRDefault="00F20BC8" w:rsidP="00F20BC8">
      <w:pPr>
        <w:spacing w:line="480" w:lineRule="auto"/>
        <w:rPr>
          <w:rFonts w:asciiTheme="majorHAnsi" w:hAnsiTheme="majorHAnsi" w:cstheme="majorBidi"/>
          <w:sz w:val="24"/>
          <w:szCs w:val="24"/>
        </w:rPr>
      </w:pPr>
    </w:p>
    <w:p w:rsidR="00F20BC8" w:rsidRPr="00325486" w:rsidRDefault="00F20BC8" w:rsidP="00F20BC8">
      <w:pPr>
        <w:spacing w:line="480" w:lineRule="auto"/>
        <w:rPr>
          <w:rFonts w:asciiTheme="majorHAnsi" w:hAnsiTheme="majorHAnsi" w:cstheme="majorBidi"/>
          <w:b/>
          <w:sz w:val="24"/>
          <w:szCs w:val="24"/>
        </w:rPr>
      </w:pPr>
      <w:r w:rsidRPr="00325486">
        <w:rPr>
          <w:rFonts w:asciiTheme="majorHAnsi" w:hAnsiTheme="majorHAnsi" w:cstheme="majorBidi"/>
          <w:b/>
          <w:sz w:val="24"/>
          <w:szCs w:val="24"/>
        </w:rPr>
        <w:t>2. Material and Methods</w:t>
      </w:r>
    </w:p>
    <w:p w:rsidR="00F20BC8" w:rsidRPr="00325486" w:rsidRDefault="00F20BC8" w:rsidP="00F20BC8">
      <w:pPr>
        <w:spacing w:line="480" w:lineRule="auto"/>
        <w:rPr>
          <w:rFonts w:asciiTheme="majorHAnsi" w:hAnsiTheme="majorHAnsi" w:cstheme="majorBidi"/>
          <w:b/>
          <w:sz w:val="24"/>
          <w:szCs w:val="24"/>
        </w:rPr>
      </w:pPr>
    </w:p>
    <w:p w:rsidR="00F20BC8" w:rsidRPr="00325486" w:rsidRDefault="00F20BC8" w:rsidP="00F20BC8">
      <w:pPr>
        <w:spacing w:line="480" w:lineRule="auto"/>
        <w:rPr>
          <w:rFonts w:asciiTheme="majorHAnsi" w:hAnsiTheme="majorHAnsi" w:cstheme="majorBidi"/>
          <w:i/>
          <w:iCs/>
          <w:sz w:val="24"/>
          <w:szCs w:val="24"/>
        </w:rPr>
      </w:pPr>
      <w:r w:rsidRPr="00325486">
        <w:rPr>
          <w:rFonts w:asciiTheme="majorHAnsi" w:hAnsiTheme="majorHAnsi" w:cstheme="majorBidi"/>
          <w:i/>
          <w:iCs/>
          <w:sz w:val="24"/>
          <w:szCs w:val="24"/>
        </w:rPr>
        <w:t>2.1 Description of Support Surface and Tilting Mechanisms</w:t>
      </w:r>
    </w:p>
    <w:p w:rsidR="00F20BC8" w:rsidRPr="00325486" w:rsidRDefault="00F20BC8" w:rsidP="00664DDB">
      <w:pPr>
        <w:spacing w:line="480" w:lineRule="auto"/>
        <w:rPr>
          <w:rFonts w:asciiTheme="majorHAnsi" w:hAnsiTheme="majorHAnsi" w:cstheme="majorBidi"/>
          <w:sz w:val="24"/>
          <w:szCs w:val="24"/>
        </w:rPr>
      </w:pPr>
      <w:r w:rsidRPr="00325486">
        <w:rPr>
          <w:rFonts w:asciiTheme="majorHAnsi" w:hAnsiTheme="majorHAnsi" w:cstheme="majorBidi"/>
          <w:sz w:val="24"/>
          <w:szCs w:val="24"/>
        </w:rPr>
        <w:t xml:space="preserve">The prototype tilting mattress designed by Hill-Rom, </w:t>
      </w:r>
      <w:r w:rsidRPr="00325486">
        <w:rPr>
          <w:rFonts w:asciiTheme="majorHAnsi" w:hAnsiTheme="majorHAnsi" w:cstheme="majorBidi"/>
          <w:color w:val="000000" w:themeColor="text1"/>
          <w:sz w:val="24"/>
          <w:szCs w:val="24"/>
        </w:rPr>
        <w:t xml:space="preserve">or </w:t>
      </w:r>
      <w:r w:rsidRPr="00325486">
        <w:rPr>
          <w:rFonts w:asciiTheme="majorHAnsi" w:hAnsiTheme="majorHAnsi"/>
          <w:color w:val="000000" w:themeColor="text1"/>
          <w:sz w:val="24"/>
          <w:szCs w:val="24"/>
          <w:lang w:val="en-US"/>
        </w:rPr>
        <w:t xml:space="preserve">Lateral Pressure Redistribution </w:t>
      </w:r>
      <w:r w:rsidRPr="00325486">
        <w:rPr>
          <w:rFonts w:asciiTheme="majorHAnsi" w:hAnsiTheme="majorHAnsi" w:cstheme="majorBidi"/>
          <w:sz w:val="24"/>
          <w:szCs w:val="24"/>
        </w:rPr>
        <w:t xml:space="preserve">(LPR), utilised an air-cell design, which provided continuous low pressure (CLP) support. The LPR mattress incorporated an automated tilting </w:t>
      </w:r>
      <w:r w:rsidRPr="00325486">
        <w:rPr>
          <w:rFonts w:asciiTheme="majorHAnsi" w:hAnsiTheme="majorHAnsi" w:cstheme="majorBidi"/>
          <w:sz w:val="24"/>
          <w:szCs w:val="24"/>
        </w:rPr>
        <w:lastRenderedPageBreak/>
        <w:t xml:space="preserve">mechanism through inflatable side bellows under the full length of the LPR mattress (Figure 1A).  </w:t>
      </w:r>
      <w:r w:rsidR="00664DDB" w:rsidRPr="00325486">
        <w:rPr>
          <w:rFonts w:asciiTheme="majorHAnsi" w:hAnsiTheme="majorHAnsi"/>
          <w:sz w:val="24"/>
          <w:szCs w:val="24"/>
        </w:rPr>
        <w:t xml:space="preserve">In order to tilt the participant, the opposing side bellow of the LPR mattress was inflated to provide a tilt in the transverse plane, which was maintained throughout the relevant tilt phase of the test session. </w:t>
      </w:r>
      <w:r w:rsidR="00807FD1" w:rsidRPr="00325486">
        <w:t>The inflatable bellows provided an additional 20cm in lateral height, which translated to the bed being tilted 14°.</w:t>
      </w:r>
      <w:r w:rsidR="00807FD1" w:rsidRPr="00325486">
        <w:rPr>
          <w:i/>
          <w:iCs/>
        </w:rPr>
        <w:t xml:space="preserve"> </w:t>
      </w:r>
      <w:r w:rsidRPr="00325486">
        <w:rPr>
          <w:rFonts w:asciiTheme="majorHAnsi" w:hAnsiTheme="majorHAnsi" w:cstheme="majorBidi"/>
          <w:sz w:val="24"/>
          <w:szCs w:val="24"/>
        </w:rPr>
        <w:t xml:space="preserve">This tilting mechanism was compared to a manual tilt performed by a registered nurse (MW) on the same LPR mattress (Figure 1B). During the manual tilt, postures were maintained with pillow support at </w:t>
      </w:r>
      <w:r w:rsidR="009536DF" w:rsidRPr="00325486">
        <w:rPr>
          <w:rFonts w:asciiTheme="majorHAnsi" w:hAnsiTheme="majorHAnsi" w:cstheme="majorBidi"/>
          <w:sz w:val="24"/>
          <w:szCs w:val="24"/>
        </w:rPr>
        <w:t>the back</w:t>
      </w:r>
      <w:r w:rsidRPr="00325486">
        <w:rPr>
          <w:rFonts w:asciiTheme="majorHAnsi" w:hAnsiTheme="majorHAnsi" w:cstheme="majorBidi"/>
          <w:sz w:val="24"/>
          <w:szCs w:val="24"/>
        </w:rPr>
        <w:t xml:space="preserve"> and lengthways under the legs (Figure 1B).  This manual tilt was performed to achieve an approximate 30° elevation angle at the pelvis</w:t>
      </w:r>
      <w:r w:rsidRPr="00325486">
        <w:rPr>
          <w:rFonts w:asciiTheme="majorHAnsi" w:hAnsiTheme="majorHAnsi" w:cs="Verdana"/>
          <w:color w:val="262626"/>
          <w:sz w:val="24"/>
          <w:szCs w:val="24"/>
          <w:lang w:val="en-US" w:eastAsia="zh-CN"/>
        </w:rPr>
        <w:t xml:space="preserve"> </w:t>
      </w:r>
      <w:r w:rsidRPr="00325486">
        <w:rPr>
          <w:rFonts w:asciiTheme="majorHAnsi" w:hAnsiTheme="majorHAnsi" w:cs="Verdana"/>
          <w:color w:val="262626"/>
          <w:sz w:val="24"/>
          <w:szCs w:val="24"/>
          <w:lang w:val="en-US" w:eastAsia="zh-CN"/>
        </w:rPr>
        <w:fldChar w:fldCharType="begin"/>
      </w:r>
      <w:r w:rsidR="009D5751" w:rsidRPr="00325486">
        <w:rPr>
          <w:rFonts w:asciiTheme="majorHAnsi" w:hAnsiTheme="majorHAnsi" w:cs="Verdana"/>
          <w:color w:val="262626"/>
          <w:sz w:val="24"/>
          <w:szCs w:val="24"/>
          <w:lang w:val="en-US" w:eastAsia="zh-CN"/>
        </w:rPr>
        <w:instrText xml:space="preserve"> ADDIN EN.CITE &lt;EndNote&gt;&lt;Cite&gt;&lt;Author&gt;Moore&lt;/Author&gt;&lt;Year&gt;2012&lt;/Year&gt;&lt;RecNum&gt;4370&lt;/RecNum&gt;&lt;DisplayText&gt;(Moore, 2012)&lt;/DisplayText&gt;&lt;record&gt;&lt;rec-number&gt;4370&lt;/rec-number&gt;&lt;foreign-keys&gt;&lt;key app="EN" db-id="ervprze5a95tvoe59pjpvw5gezttve9wxvfs"&gt;4370&lt;/key&gt;&lt;/foreign-keys&gt;&lt;ref-type name="Journal Article"&gt;17&lt;/ref-type&gt;&lt;contributors&gt;&lt;authors&gt;&lt;author&gt;Moore, Z.&lt;/author&gt;&lt;/authors&gt;&lt;/contributors&gt;&lt;titles&gt;&lt;title&gt;&lt;style face="normal" font="default" size="100%"&gt;Using the 30&lt;/style&gt;&lt;style face="superscript" font="default" size="100%"&gt;o &lt;/style&gt;&lt;style face="normal" font="default" size="100%"&gt;tilt to reduce pressure ulcers&lt;/style&gt;&lt;/title&gt;&lt;secondary-title&gt;Nursing Times&lt;/secondary-title&gt;&lt;/titles&gt;&lt;periodical&gt;&lt;full-title&gt;Nursing Times&lt;/full-title&gt;&lt;abbr-1&gt;Nurs. Times&lt;/abbr-1&gt;&lt;abbr-2&gt;Nurs Times&lt;/abbr-2&gt;&lt;/periodical&gt;&lt;pages&gt;22-24&lt;/pages&gt;&lt;volume&gt;108&lt;/volume&gt;&lt;number&gt;4&lt;/number&gt;&lt;dates&gt;&lt;year&gt;2012&lt;/year&gt;&lt;/dates&gt;&lt;urls&gt;&lt;/urls&gt;&lt;/record&gt;&lt;/Cite&gt;&lt;/EndNote&gt;</w:instrText>
      </w:r>
      <w:r w:rsidRPr="00325486">
        <w:rPr>
          <w:rFonts w:asciiTheme="majorHAnsi" w:hAnsiTheme="majorHAnsi" w:cs="Verdana"/>
          <w:color w:val="262626"/>
          <w:sz w:val="24"/>
          <w:szCs w:val="24"/>
          <w:lang w:val="en-US" w:eastAsia="zh-CN"/>
        </w:rPr>
        <w:fldChar w:fldCharType="separate"/>
      </w:r>
      <w:r w:rsidR="009D5751" w:rsidRPr="00325486">
        <w:rPr>
          <w:rFonts w:asciiTheme="majorHAnsi" w:hAnsiTheme="majorHAnsi" w:cs="Verdana"/>
          <w:noProof/>
          <w:color w:val="262626"/>
          <w:sz w:val="24"/>
          <w:szCs w:val="24"/>
          <w:lang w:val="en-US" w:eastAsia="zh-CN"/>
        </w:rPr>
        <w:t>(</w:t>
      </w:r>
      <w:hyperlink w:anchor="_ENREF_13" w:tooltip="Moore, 2012 #4370" w:history="1">
        <w:r w:rsidR="00C65543" w:rsidRPr="00325486">
          <w:rPr>
            <w:rFonts w:asciiTheme="majorHAnsi" w:hAnsiTheme="majorHAnsi" w:cs="Verdana"/>
            <w:noProof/>
            <w:color w:val="262626"/>
            <w:sz w:val="24"/>
            <w:szCs w:val="24"/>
            <w:lang w:val="en-US" w:eastAsia="zh-CN"/>
          </w:rPr>
          <w:t>Moore, 2012</w:t>
        </w:r>
      </w:hyperlink>
      <w:r w:rsidR="009D5751" w:rsidRPr="00325486">
        <w:rPr>
          <w:rFonts w:asciiTheme="majorHAnsi" w:hAnsiTheme="majorHAnsi" w:cs="Verdana"/>
          <w:noProof/>
          <w:color w:val="262626"/>
          <w:sz w:val="24"/>
          <w:szCs w:val="24"/>
          <w:lang w:val="en-US" w:eastAsia="zh-CN"/>
        </w:rPr>
        <w:t>)</w:t>
      </w:r>
      <w:r w:rsidRPr="00325486">
        <w:rPr>
          <w:rFonts w:asciiTheme="majorHAnsi" w:hAnsiTheme="majorHAnsi" w:cs="Verdana"/>
          <w:color w:val="262626"/>
          <w:sz w:val="24"/>
          <w:szCs w:val="24"/>
          <w:lang w:val="en-US" w:eastAsia="zh-CN"/>
        </w:rPr>
        <w:fldChar w:fldCharType="end"/>
      </w:r>
      <w:r w:rsidRPr="00325486">
        <w:rPr>
          <w:rFonts w:asciiTheme="majorHAnsi" w:hAnsiTheme="majorHAnsi" w:cs="Verdana"/>
          <w:color w:val="262626"/>
          <w:sz w:val="24"/>
          <w:szCs w:val="24"/>
          <w:lang w:val="en-US" w:eastAsia="zh-CN"/>
        </w:rPr>
        <w:t xml:space="preserve">. </w:t>
      </w:r>
      <w:r w:rsidRPr="00325486">
        <w:rPr>
          <w:rFonts w:asciiTheme="majorHAnsi" w:hAnsiTheme="majorHAnsi" w:cstheme="majorBidi"/>
          <w:sz w:val="24"/>
          <w:szCs w:val="24"/>
        </w:rPr>
        <w:t xml:space="preserve">The CLP setting on the mattress, used for both manual and automated tilting protocols, was optimised with respect to the Body Mass Index (BMI) for the individual participant </w:t>
      </w:r>
      <w:r w:rsidRPr="00325486">
        <w:rPr>
          <w:rFonts w:asciiTheme="majorHAnsi" w:hAnsiTheme="majorHAnsi" w:cstheme="majorBidi"/>
          <w:sz w:val="24"/>
          <w:szCs w:val="24"/>
        </w:rPr>
        <w:fldChar w:fldCharType="begin"/>
      </w:r>
      <w:r w:rsidR="00C65543" w:rsidRPr="00325486">
        <w:rPr>
          <w:rFonts w:asciiTheme="majorHAnsi" w:hAnsiTheme="majorHAnsi" w:cstheme="majorBidi"/>
          <w:sz w:val="24"/>
          <w:szCs w:val="24"/>
        </w:rPr>
        <w:instrText xml:space="preserve"> ADDIN EN.CITE &lt;EndNote&gt;&lt;Cite&gt;&lt;Author&gt;Chai&lt;/Author&gt;&lt;RecNum&gt;2203&lt;/RecNum&gt;&lt;DisplayText&gt;(Chai and Bader, 2013)&lt;/DisplayText&gt;&lt;record&gt;&lt;rec-number&gt;2203&lt;/rec-number&gt;&lt;foreign-keys&gt;&lt;key app="EN" db-id="ervprze5a95tvoe59pjpvw5gezttve9wxvfs"&gt;2203&lt;/key&gt;&lt;/foreign-keys&gt;&lt;ref-type name="Journal Article"&gt;17&lt;/ref-type&gt;&lt;contributors&gt;&lt;authors&gt;&lt;author&gt;Chai, C. Y.&lt;/author&gt;&lt;author&gt;Bader, D. L.&lt;/author&gt;&lt;/authors&gt;&lt;/contributors&gt;&lt;titles&gt;&lt;title&gt;The physiological response of skin tissues to alternating support pressures in able-bodied subjects&lt;/title&gt;&lt;secondary-title&gt;Journal of the Mechanical Behavior of Biomedical Materials&lt;/secondary-title&gt;&lt;/titles&gt;&lt;periodical&gt;&lt;full-title&gt;Journal of the Mechanical Behavior of Biomedical Materials&lt;/full-title&gt;&lt;/periodical&gt;&lt;pages&gt;427-35&lt;/pages&gt;&lt;volume&gt;28&lt;/volume&gt;&lt;keywords&gt;&lt;keyword&gt;Pressure ulcers&lt;/keyword&gt;&lt;keyword&gt;Tissue viability&lt;/keyword&gt;&lt;keyword&gt;Alternating pressure air mattress&lt;/keyword&gt;&lt;keyword&gt;Supine lying&lt;/keyword&gt;&lt;keyword&gt;Body Mass Index&lt;/keyword&gt;&lt;/keywords&gt;&lt;dates&gt;&lt;year&gt;2013&lt;/year&gt;&lt;/dates&gt;&lt;isbn&gt;1751-6161&lt;/isbn&gt;&lt;urls&gt;&lt;related-urls&gt;&lt;url&gt;http://www.sciencedirect.com/science/article/pii/S1751616113001793&lt;/url&gt;&lt;/related-urls&gt;&lt;/urls&gt;&lt;electronic-resource-num&gt;http://dx.doi.org/10.1016/j.jmbbm.2013.05.014&lt;/electronic-resource-num&gt;&lt;/record&gt;&lt;/Cite&gt;&lt;/EndNote&gt;</w:instrText>
      </w:r>
      <w:r w:rsidRPr="00325486">
        <w:rPr>
          <w:rFonts w:asciiTheme="majorHAnsi" w:hAnsiTheme="majorHAnsi" w:cstheme="majorBidi"/>
          <w:sz w:val="24"/>
          <w:szCs w:val="24"/>
        </w:rPr>
        <w:fldChar w:fldCharType="separate"/>
      </w:r>
      <w:r w:rsidR="00C65543" w:rsidRPr="00325486">
        <w:rPr>
          <w:rFonts w:asciiTheme="majorHAnsi" w:hAnsiTheme="majorHAnsi" w:cstheme="majorBidi"/>
          <w:noProof/>
          <w:sz w:val="24"/>
          <w:szCs w:val="24"/>
        </w:rPr>
        <w:t>(</w:t>
      </w:r>
      <w:hyperlink w:anchor="_ENREF_3" w:tooltip="Chai, 2013 #2203" w:history="1">
        <w:r w:rsidR="00C65543" w:rsidRPr="00325486">
          <w:rPr>
            <w:rFonts w:asciiTheme="majorHAnsi" w:hAnsiTheme="majorHAnsi" w:cstheme="majorBidi"/>
            <w:noProof/>
            <w:sz w:val="24"/>
            <w:szCs w:val="24"/>
          </w:rPr>
          <w:t>Chai and Bader, 2013</w:t>
        </w:r>
      </w:hyperlink>
      <w:r w:rsidR="00C65543" w:rsidRPr="00325486">
        <w:rPr>
          <w:rFonts w:asciiTheme="majorHAnsi" w:hAnsiTheme="majorHAnsi" w:cstheme="majorBidi"/>
          <w:noProof/>
          <w:sz w:val="24"/>
          <w:szCs w:val="24"/>
        </w:rPr>
        <w:t>)</w:t>
      </w:r>
      <w:r w:rsidRPr="00325486">
        <w:rPr>
          <w:rFonts w:asciiTheme="majorHAnsi" w:hAnsiTheme="majorHAnsi" w:cstheme="majorBidi"/>
          <w:sz w:val="24"/>
          <w:szCs w:val="24"/>
        </w:rPr>
        <w:fldChar w:fldCharType="end"/>
      </w:r>
      <w:r w:rsidRPr="00325486">
        <w:rPr>
          <w:rFonts w:asciiTheme="majorHAnsi" w:hAnsiTheme="majorHAnsi" w:cstheme="majorBidi"/>
          <w:sz w:val="24"/>
          <w:szCs w:val="24"/>
        </w:rPr>
        <w:t>.</w:t>
      </w:r>
    </w:p>
    <w:p w:rsidR="00F20BC8" w:rsidRPr="00325486" w:rsidRDefault="00F20BC8" w:rsidP="00F20BC8">
      <w:pPr>
        <w:spacing w:line="480" w:lineRule="auto"/>
        <w:rPr>
          <w:rFonts w:asciiTheme="majorHAnsi" w:hAnsiTheme="majorHAnsi" w:cstheme="majorBidi"/>
          <w:sz w:val="24"/>
          <w:szCs w:val="24"/>
        </w:rPr>
      </w:pPr>
    </w:p>
    <w:p w:rsidR="00F20BC8" w:rsidRDefault="00187183" w:rsidP="00F20BC8">
      <w:pPr>
        <w:spacing w:line="480" w:lineRule="auto"/>
        <w:rPr>
          <w:rFonts w:asciiTheme="majorHAnsi" w:eastAsia="PMingLiU" w:hAnsiTheme="majorHAnsi" w:cstheme="majorBidi"/>
          <w:sz w:val="24"/>
          <w:szCs w:val="24"/>
          <w:lang w:eastAsia="zh-TW"/>
        </w:rPr>
      </w:pPr>
      <w:r>
        <w:rPr>
          <w:rFonts w:eastAsia="PMingLiU"/>
          <w:b/>
          <w:noProof/>
          <w:lang w:eastAsia="zh-CN"/>
        </w:rPr>
        <w:drawing>
          <wp:inline distT="0" distB="0" distL="0" distR="0" wp14:anchorId="420168A8" wp14:editId="4B18DDDB">
            <wp:extent cx="5718810" cy="2169795"/>
            <wp:effectExtent l="0" t="0" r="0" b="1905"/>
            <wp:docPr id="1" name="Picture 1" descr="\\soton.ac.uk\ude\PersonalFiles\Users\prw204\mydocuments\Skin Health\Papers\HillRom turn\Submission 15.09.14\Resubmission\Figure 1A new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ton.ac.uk\ude\PersonalFiles\Users\prw204\mydocuments\Skin Health\Papers\HillRom turn\Submission 15.09.14\Resubmission\Figure 1A new1.t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8810" cy="2169795"/>
                    </a:xfrm>
                    <a:prstGeom prst="rect">
                      <a:avLst/>
                    </a:prstGeom>
                    <a:noFill/>
                    <a:ln>
                      <a:noFill/>
                    </a:ln>
                  </pic:spPr>
                </pic:pic>
              </a:graphicData>
            </a:graphic>
          </wp:inline>
        </w:drawing>
      </w:r>
    </w:p>
    <w:p w:rsidR="009B20FE" w:rsidRDefault="009B20FE" w:rsidP="009B20FE">
      <w:pPr>
        <w:spacing w:after="0" w:line="480" w:lineRule="auto"/>
        <w:rPr>
          <w:rFonts w:asciiTheme="majorHAnsi" w:eastAsia="PMingLiU" w:hAnsiTheme="majorHAnsi" w:cstheme="majorBidi"/>
          <w:i/>
          <w:iCs/>
          <w:sz w:val="24"/>
          <w:szCs w:val="24"/>
          <w:lang w:eastAsia="zh-TW"/>
        </w:rPr>
      </w:pPr>
      <w:r w:rsidRPr="004D211B">
        <w:rPr>
          <w:rFonts w:asciiTheme="majorHAnsi" w:eastAsia="PMingLiU" w:hAnsiTheme="majorHAnsi" w:cstheme="majorBidi"/>
          <w:i/>
          <w:iCs/>
          <w:sz w:val="24"/>
          <w:szCs w:val="24"/>
          <w:lang w:eastAsia="zh-TW"/>
        </w:rPr>
        <w:lastRenderedPageBreak/>
        <w:t xml:space="preserve">Figure 1. </w:t>
      </w:r>
      <w:r>
        <w:rPr>
          <w:rFonts w:asciiTheme="majorHAnsi" w:eastAsia="PMingLiU" w:hAnsiTheme="majorHAnsi" w:cstheme="majorBidi"/>
          <w:i/>
          <w:iCs/>
          <w:sz w:val="24"/>
          <w:szCs w:val="24"/>
          <w:lang w:eastAsia="zh-TW"/>
        </w:rPr>
        <w:t xml:space="preserve">(A) Schematic of the prototype LPR device with air billows to provide tilt. (B) </w:t>
      </w:r>
      <w:r w:rsidRPr="004D211B">
        <w:rPr>
          <w:rFonts w:asciiTheme="majorHAnsi" w:eastAsia="PMingLiU" w:hAnsiTheme="majorHAnsi" w:cstheme="majorBidi"/>
          <w:i/>
          <w:iCs/>
          <w:sz w:val="24"/>
          <w:szCs w:val="24"/>
          <w:lang w:eastAsia="zh-TW"/>
        </w:rPr>
        <w:t xml:space="preserve">Example of manual tilt </w:t>
      </w:r>
      <w:r>
        <w:rPr>
          <w:rFonts w:asciiTheme="majorHAnsi" w:eastAsia="PMingLiU" w:hAnsiTheme="majorHAnsi" w:cstheme="majorBidi"/>
          <w:i/>
          <w:iCs/>
          <w:sz w:val="24"/>
          <w:szCs w:val="24"/>
          <w:lang w:eastAsia="zh-TW"/>
        </w:rPr>
        <w:t>to the left with the individual supported by</w:t>
      </w:r>
      <w:r w:rsidRPr="004D211B">
        <w:rPr>
          <w:rFonts w:asciiTheme="majorHAnsi" w:eastAsia="PMingLiU" w:hAnsiTheme="majorHAnsi" w:cstheme="majorBidi"/>
          <w:i/>
          <w:iCs/>
          <w:sz w:val="24"/>
          <w:szCs w:val="24"/>
          <w:lang w:eastAsia="zh-TW"/>
        </w:rPr>
        <w:t xml:space="preserve"> pillows.</w:t>
      </w:r>
    </w:p>
    <w:p w:rsidR="009B20FE" w:rsidRPr="004D211B" w:rsidRDefault="009B20FE" w:rsidP="009B20FE">
      <w:pPr>
        <w:spacing w:after="0" w:line="480" w:lineRule="auto"/>
        <w:rPr>
          <w:rFonts w:asciiTheme="majorHAnsi" w:eastAsia="PMingLiU" w:hAnsiTheme="majorHAnsi" w:cstheme="majorBidi"/>
          <w:i/>
          <w:iCs/>
          <w:sz w:val="24"/>
          <w:szCs w:val="24"/>
          <w:lang w:eastAsia="zh-TW"/>
        </w:rPr>
      </w:pPr>
    </w:p>
    <w:p w:rsidR="00F20BC8" w:rsidRPr="00325486" w:rsidRDefault="00F20BC8" w:rsidP="00F20BC8">
      <w:pPr>
        <w:spacing w:line="480" w:lineRule="auto"/>
        <w:rPr>
          <w:rFonts w:asciiTheme="majorHAnsi" w:hAnsiTheme="majorHAnsi" w:cstheme="majorBidi"/>
          <w:i/>
          <w:iCs/>
          <w:sz w:val="24"/>
          <w:szCs w:val="24"/>
        </w:rPr>
      </w:pPr>
      <w:r w:rsidRPr="00325486">
        <w:rPr>
          <w:rFonts w:asciiTheme="majorHAnsi" w:eastAsia="PMingLiU" w:hAnsiTheme="majorHAnsi" w:cstheme="majorBidi"/>
          <w:i/>
          <w:iCs/>
          <w:sz w:val="24"/>
          <w:szCs w:val="24"/>
          <w:lang w:eastAsia="zh-TW"/>
        </w:rPr>
        <w:t xml:space="preserve">2.2 Participants </w:t>
      </w:r>
    </w:p>
    <w:p w:rsidR="00F20BC8" w:rsidRPr="00325486" w:rsidRDefault="00F20BC8" w:rsidP="009B20FE">
      <w:pPr>
        <w:spacing w:line="480" w:lineRule="auto"/>
        <w:rPr>
          <w:rFonts w:asciiTheme="majorHAnsi" w:hAnsiTheme="majorHAnsi" w:cstheme="majorBidi"/>
          <w:sz w:val="24"/>
          <w:szCs w:val="24"/>
        </w:rPr>
      </w:pPr>
      <w:r w:rsidRPr="00325486">
        <w:rPr>
          <w:rFonts w:asciiTheme="majorHAnsi" w:hAnsiTheme="majorHAnsi" w:cstheme="majorBidi"/>
          <w:sz w:val="24"/>
          <w:szCs w:val="24"/>
        </w:rPr>
        <w:t xml:space="preserve"> Ten healthy participants (7 male and 3 female) were recruited from the local University population. Participants were aged between 23-66 years of age (mean 41 years) with an average height of 1.75m </w:t>
      </w:r>
      <w:r w:rsidR="003B3800" w:rsidRPr="00325486">
        <w:rPr>
          <w:rFonts w:asciiTheme="majorHAnsi" w:hAnsiTheme="majorHAnsi" w:cstheme="majorBidi"/>
          <w:sz w:val="24"/>
          <w:szCs w:val="24"/>
        </w:rPr>
        <w:t>(</w:t>
      </w:r>
      <w:proofErr w:type="spellStart"/>
      <w:proofErr w:type="gramStart"/>
      <w:r w:rsidR="003B3800" w:rsidRPr="00325486">
        <w:rPr>
          <w:rFonts w:asciiTheme="majorHAnsi" w:hAnsiTheme="majorHAnsi" w:cstheme="majorBidi"/>
          <w:sz w:val="24"/>
          <w:szCs w:val="24"/>
        </w:rPr>
        <w:t>std</w:t>
      </w:r>
      <w:proofErr w:type="spellEnd"/>
      <w:proofErr w:type="gramEnd"/>
      <w:r w:rsidR="003B3800" w:rsidRPr="00325486">
        <w:rPr>
          <w:rFonts w:asciiTheme="majorHAnsi" w:hAnsiTheme="majorHAnsi" w:cstheme="majorBidi"/>
          <w:sz w:val="24"/>
          <w:szCs w:val="24"/>
        </w:rPr>
        <w:t xml:space="preserve"> = </w:t>
      </w:r>
      <w:r w:rsidRPr="00325486">
        <w:rPr>
          <w:rFonts w:asciiTheme="majorHAnsi" w:hAnsiTheme="majorHAnsi" w:cstheme="majorBidi"/>
          <w:sz w:val="24"/>
          <w:szCs w:val="24"/>
        </w:rPr>
        <w:t>0.18m</w:t>
      </w:r>
      <w:r w:rsidR="003B3800" w:rsidRPr="00325486">
        <w:rPr>
          <w:rFonts w:asciiTheme="majorHAnsi" w:hAnsiTheme="majorHAnsi" w:cstheme="majorBidi"/>
          <w:sz w:val="24"/>
          <w:szCs w:val="24"/>
        </w:rPr>
        <w:t>)</w:t>
      </w:r>
      <w:r w:rsidRPr="00325486">
        <w:rPr>
          <w:rFonts w:asciiTheme="majorHAnsi" w:hAnsiTheme="majorHAnsi" w:cstheme="majorBidi"/>
          <w:sz w:val="24"/>
          <w:szCs w:val="24"/>
        </w:rPr>
        <w:t xml:space="preserve"> and an average weight of 78.5 </w:t>
      </w:r>
      <w:r w:rsidR="003B3800" w:rsidRPr="00325486">
        <w:rPr>
          <w:rFonts w:asciiTheme="majorHAnsi" w:hAnsiTheme="majorHAnsi" w:cstheme="majorBidi"/>
          <w:sz w:val="24"/>
          <w:szCs w:val="24"/>
        </w:rPr>
        <w:t>(</w:t>
      </w:r>
      <w:proofErr w:type="spellStart"/>
      <w:r w:rsidR="003B3800" w:rsidRPr="00325486">
        <w:rPr>
          <w:rFonts w:asciiTheme="majorHAnsi" w:hAnsiTheme="majorHAnsi" w:cstheme="majorBidi"/>
          <w:sz w:val="24"/>
          <w:szCs w:val="24"/>
        </w:rPr>
        <w:t>std</w:t>
      </w:r>
      <w:proofErr w:type="spellEnd"/>
      <w:r w:rsidR="003B3800" w:rsidRPr="00325486">
        <w:rPr>
          <w:rFonts w:asciiTheme="majorHAnsi" w:hAnsiTheme="majorHAnsi" w:cstheme="majorBidi"/>
          <w:sz w:val="24"/>
          <w:szCs w:val="24"/>
        </w:rPr>
        <w:t xml:space="preserve"> = </w:t>
      </w:r>
      <w:r w:rsidRPr="00325486">
        <w:rPr>
          <w:rFonts w:asciiTheme="majorHAnsi" w:hAnsiTheme="majorHAnsi" w:cstheme="majorBidi"/>
          <w:sz w:val="24"/>
          <w:szCs w:val="24"/>
        </w:rPr>
        <w:t>11.8kg</w:t>
      </w:r>
      <w:r w:rsidR="003B3800" w:rsidRPr="00325486">
        <w:rPr>
          <w:rFonts w:asciiTheme="majorHAnsi" w:hAnsiTheme="majorHAnsi" w:cstheme="majorBidi"/>
          <w:sz w:val="24"/>
          <w:szCs w:val="24"/>
        </w:rPr>
        <w:t>)</w:t>
      </w:r>
      <w:r w:rsidRPr="00325486">
        <w:rPr>
          <w:rFonts w:asciiTheme="majorHAnsi" w:hAnsiTheme="majorHAnsi" w:cstheme="majorBidi"/>
          <w:sz w:val="24"/>
          <w:szCs w:val="24"/>
        </w:rPr>
        <w:t>. Participants were asked to wear a pair of shorts and loose fitting clothing during data collection. The study was approved by the local ethics committee of the University of Southampton and informed consent was obtained from each participant prior to testing. Exclusion criteria included any participant with a history of skin-related conditions, or who were unable to lie in a supine post</w:t>
      </w:r>
      <w:r w:rsidR="009B20FE">
        <w:rPr>
          <w:rFonts w:asciiTheme="majorHAnsi" w:hAnsiTheme="majorHAnsi" w:cstheme="majorBidi"/>
          <w:sz w:val="24"/>
          <w:szCs w:val="24"/>
        </w:rPr>
        <w:t xml:space="preserve">ure for a period of two hours. </w:t>
      </w:r>
    </w:p>
    <w:p w:rsidR="00F20BC8" w:rsidRPr="00325486" w:rsidRDefault="00F20BC8" w:rsidP="00F20BC8">
      <w:pPr>
        <w:spacing w:line="480" w:lineRule="auto"/>
        <w:rPr>
          <w:rFonts w:asciiTheme="majorHAnsi" w:hAnsiTheme="majorHAnsi" w:cstheme="majorBidi"/>
          <w:bCs/>
          <w:i/>
          <w:iCs/>
          <w:sz w:val="24"/>
          <w:szCs w:val="24"/>
        </w:rPr>
      </w:pPr>
      <w:r w:rsidRPr="00325486">
        <w:rPr>
          <w:rFonts w:asciiTheme="majorHAnsi" w:hAnsiTheme="majorHAnsi" w:cstheme="majorBidi"/>
          <w:bCs/>
          <w:i/>
          <w:iCs/>
          <w:sz w:val="24"/>
          <w:szCs w:val="24"/>
        </w:rPr>
        <w:t>2.3 Test Equipment</w:t>
      </w:r>
    </w:p>
    <w:p w:rsidR="00F20BC8" w:rsidRPr="009B20FE" w:rsidRDefault="00F20BC8" w:rsidP="009B20FE">
      <w:pPr>
        <w:spacing w:line="480" w:lineRule="auto"/>
        <w:rPr>
          <w:rFonts w:asciiTheme="majorHAnsi" w:eastAsia="PMingLiU" w:hAnsiTheme="majorHAnsi" w:cstheme="majorBidi"/>
          <w:sz w:val="24"/>
          <w:szCs w:val="24"/>
          <w:lang w:eastAsia="zh-TW"/>
        </w:rPr>
      </w:pPr>
      <w:r w:rsidRPr="00325486">
        <w:rPr>
          <w:rFonts w:asciiTheme="majorHAnsi" w:eastAsia="PMingLiU" w:hAnsiTheme="majorHAnsi" w:cstheme="majorBidi"/>
          <w:sz w:val="24"/>
          <w:szCs w:val="24"/>
          <w:lang w:eastAsia="zh-TW"/>
        </w:rPr>
        <w:t>Physiological measures of transcutaneous oxygen (TcPO</w:t>
      </w:r>
      <w:r w:rsidRPr="00325486">
        <w:rPr>
          <w:rFonts w:asciiTheme="majorHAnsi" w:eastAsia="PMingLiU" w:hAnsiTheme="majorHAnsi" w:cstheme="majorBidi"/>
          <w:sz w:val="24"/>
          <w:szCs w:val="24"/>
          <w:vertAlign w:val="subscript"/>
          <w:lang w:eastAsia="zh-TW"/>
        </w:rPr>
        <w:t>2</w:t>
      </w:r>
      <w:r w:rsidRPr="00325486">
        <w:rPr>
          <w:rFonts w:asciiTheme="majorHAnsi" w:eastAsia="PMingLiU" w:hAnsiTheme="majorHAnsi" w:cstheme="majorBidi"/>
          <w:sz w:val="24"/>
          <w:szCs w:val="24"/>
          <w:lang w:eastAsia="zh-TW"/>
        </w:rPr>
        <w:t>) and carbon dioxide (T</w:t>
      </w:r>
      <w:r w:rsidRPr="00325486">
        <w:rPr>
          <w:rFonts w:asciiTheme="majorHAnsi" w:eastAsia="PMingLiU" w:hAnsiTheme="majorHAnsi" w:cstheme="majorBidi"/>
          <w:sz w:val="24"/>
          <w:szCs w:val="24"/>
          <w:vertAlign w:val="subscript"/>
          <w:lang w:eastAsia="zh-TW"/>
        </w:rPr>
        <w:t>c</w:t>
      </w:r>
      <w:r w:rsidRPr="00325486">
        <w:rPr>
          <w:rFonts w:asciiTheme="majorHAnsi" w:eastAsia="PMingLiU" w:hAnsiTheme="majorHAnsi" w:cstheme="majorBidi"/>
          <w:sz w:val="24"/>
          <w:szCs w:val="24"/>
          <w:lang w:eastAsia="zh-TW"/>
        </w:rPr>
        <w:t>PCO</w:t>
      </w:r>
      <w:r w:rsidRPr="00325486">
        <w:rPr>
          <w:rFonts w:asciiTheme="majorHAnsi" w:eastAsia="PMingLiU" w:hAnsiTheme="majorHAnsi" w:cstheme="majorBidi"/>
          <w:sz w:val="24"/>
          <w:szCs w:val="24"/>
          <w:vertAlign w:val="subscript"/>
          <w:lang w:eastAsia="zh-TW"/>
        </w:rPr>
        <w:t>2</w:t>
      </w:r>
      <w:r w:rsidRPr="00325486">
        <w:rPr>
          <w:rFonts w:asciiTheme="majorHAnsi" w:eastAsia="PMingLiU" w:hAnsiTheme="majorHAnsi" w:cstheme="majorBidi"/>
          <w:sz w:val="24"/>
          <w:szCs w:val="24"/>
          <w:lang w:eastAsia="zh-TW"/>
        </w:rPr>
        <w:t xml:space="preserve">) tensions were monitored at two body sites, the sacrum and the right shoulder, using combined electrodes (E5280 O2 &amp; CO2 combined, Radiometer, Denmark) attached to separate monitors (TCM4, TCM3, Radiometer, Denmark).  Each electrode was heated to 43.5°C to ensure maximum vasodilation </w:t>
      </w:r>
      <w:r w:rsidRPr="00325486">
        <w:rPr>
          <w:rFonts w:asciiTheme="majorHAnsi" w:eastAsia="PMingLiU" w:hAnsiTheme="majorHAnsi" w:cstheme="majorBidi"/>
          <w:sz w:val="24"/>
          <w:szCs w:val="24"/>
          <w:lang w:eastAsia="zh-TW"/>
        </w:rPr>
        <w:fldChar w:fldCharType="begin"/>
      </w:r>
      <w:r w:rsidR="009D5751" w:rsidRPr="00325486">
        <w:rPr>
          <w:rFonts w:asciiTheme="majorHAnsi" w:eastAsia="PMingLiU" w:hAnsiTheme="majorHAnsi" w:cstheme="majorBidi"/>
          <w:sz w:val="24"/>
          <w:szCs w:val="24"/>
          <w:lang w:eastAsia="zh-TW"/>
        </w:rPr>
        <w:instrText xml:space="preserve"> ADDIN EN.CITE &lt;EndNote&gt;&lt;Cite&gt;&lt;Author&gt;Bogie&lt;/Author&gt;&lt;Year&gt;1995&lt;/Year&gt;&lt;RecNum&gt;1943&lt;/RecNum&gt;&lt;DisplayText&gt;(Bogie et al., 1995)&lt;/DisplayText&gt;&lt;record&gt;&lt;rec-number&gt;1943&lt;/rec-number&gt;&lt;foreign-keys&gt;&lt;key app="EN" db-id="ervprze5a95tvoe59pjpvw5gezttve9wxvfs"&gt;1943&lt;/key&gt;&lt;/foreign-keys&gt;&lt;ref-type name="Journal Article"&gt;17&lt;/ref-type&gt;&lt;contributors&gt;&lt;authors&gt;&lt;author&gt;Bogie, K.M.&lt;/author&gt;&lt;author&gt;Nuseibeh, I.&lt;/author&gt;&lt;author&gt;Bader, D.L.&lt;/author&gt;&lt;/authors&gt;&lt;/contributors&gt;&lt;titles&gt;&lt;title&gt;Early progressive changes in tissue viability in the seated spinal cord injured subject&lt;/title&gt;&lt;secondary-title&gt;Paraplegia&lt;/secondary-title&gt;&lt;/titles&gt;&lt;periodical&gt;&lt;full-title&gt;Paraplegia&lt;/full-title&gt;&lt;abbr-1&gt;Paraplegia&lt;/abbr-1&gt;&lt;abbr-2&gt;Paraplegia&lt;/abbr-2&gt;&lt;/periodical&gt;&lt;pages&gt;141-147&lt;/pages&gt;&lt;volume&gt;33&lt;/volume&gt;&lt;dates&gt;&lt;year&gt;1995&lt;/year&gt;&lt;/dates&gt;&lt;urls&gt;&lt;/urls&gt;&lt;/record&gt;&lt;/Cite&gt;&lt;/EndNote&gt;</w:instrText>
      </w:r>
      <w:r w:rsidRPr="00325486">
        <w:rPr>
          <w:rFonts w:asciiTheme="majorHAnsi" w:eastAsia="PMingLiU" w:hAnsiTheme="majorHAnsi" w:cstheme="majorBidi"/>
          <w:sz w:val="24"/>
          <w:szCs w:val="24"/>
          <w:lang w:eastAsia="zh-TW"/>
        </w:rPr>
        <w:fldChar w:fldCharType="separate"/>
      </w:r>
      <w:r w:rsidR="009D5751" w:rsidRPr="00325486">
        <w:rPr>
          <w:rFonts w:asciiTheme="majorHAnsi" w:eastAsia="PMingLiU" w:hAnsiTheme="majorHAnsi" w:cstheme="majorBidi"/>
          <w:noProof/>
          <w:sz w:val="24"/>
          <w:szCs w:val="24"/>
          <w:lang w:eastAsia="zh-TW"/>
        </w:rPr>
        <w:t>(</w:t>
      </w:r>
      <w:hyperlink w:anchor="_ENREF_1" w:tooltip="Bogie, 1995 #1943" w:history="1">
        <w:r w:rsidR="00C65543" w:rsidRPr="00325486">
          <w:rPr>
            <w:rFonts w:asciiTheme="majorHAnsi" w:eastAsia="PMingLiU" w:hAnsiTheme="majorHAnsi" w:cstheme="majorBidi"/>
            <w:noProof/>
            <w:sz w:val="24"/>
            <w:szCs w:val="24"/>
            <w:lang w:eastAsia="zh-TW"/>
          </w:rPr>
          <w:t>Bogie et al., 1995</w:t>
        </w:r>
      </w:hyperlink>
      <w:r w:rsidR="009D5751" w:rsidRPr="00325486">
        <w:rPr>
          <w:rFonts w:asciiTheme="majorHAnsi" w:eastAsia="PMingLiU" w:hAnsiTheme="majorHAnsi" w:cstheme="majorBidi"/>
          <w:noProof/>
          <w:sz w:val="24"/>
          <w:szCs w:val="24"/>
          <w:lang w:eastAsia="zh-TW"/>
        </w:rPr>
        <w:t>)</w:t>
      </w:r>
      <w:r w:rsidRPr="00325486">
        <w:rPr>
          <w:rFonts w:asciiTheme="majorHAnsi" w:eastAsia="PMingLiU" w:hAnsiTheme="majorHAnsi" w:cstheme="majorBidi"/>
          <w:sz w:val="24"/>
          <w:szCs w:val="24"/>
          <w:lang w:eastAsia="zh-TW"/>
        </w:rPr>
        <w:fldChar w:fldCharType="end"/>
      </w:r>
      <w:r w:rsidRPr="00325486">
        <w:rPr>
          <w:rFonts w:asciiTheme="majorHAnsi" w:eastAsia="PMingLiU" w:hAnsiTheme="majorHAnsi" w:cstheme="majorBidi"/>
          <w:sz w:val="24"/>
          <w:szCs w:val="24"/>
          <w:lang w:eastAsia="zh-TW"/>
        </w:rPr>
        <w:t xml:space="preserve">. Interface pressures were recorded via a thin sheet incorporating 96 sensors placed on the support surface and attached to an interface pressure monitoring system (Talley </w:t>
      </w:r>
      <w:proofErr w:type="spellStart"/>
      <w:r w:rsidRPr="00325486">
        <w:rPr>
          <w:rFonts w:asciiTheme="majorHAnsi" w:eastAsia="PMingLiU" w:hAnsiTheme="majorHAnsi" w:cstheme="majorBidi"/>
          <w:sz w:val="24"/>
          <w:szCs w:val="24"/>
          <w:lang w:eastAsia="zh-TW"/>
        </w:rPr>
        <w:t>MkIII</w:t>
      </w:r>
      <w:proofErr w:type="spellEnd"/>
      <w:r w:rsidRPr="00325486">
        <w:rPr>
          <w:rFonts w:asciiTheme="majorHAnsi" w:eastAsia="PMingLiU" w:hAnsiTheme="majorHAnsi" w:cstheme="majorBidi"/>
          <w:sz w:val="24"/>
          <w:szCs w:val="24"/>
          <w:lang w:eastAsia="zh-TW"/>
        </w:rPr>
        <w:t xml:space="preserve"> Pressure </w:t>
      </w:r>
      <w:r w:rsidRPr="00325486">
        <w:rPr>
          <w:rFonts w:asciiTheme="majorHAnsi" w:eastAsia="PMingLiU" w:hAnsiTheme="majorHAnsi" w:cstheme="majorBidi"/>
          <w:sz w:val="24"/>
          <w:szCs w:val="24"/>
          <w:lang w:eastAsia="zh-TW"/>
        </w:rPr>
        <w:lastRenderedPageBreak/>
        <w:t xml:space="preserve">Monitor, Romsey, UK). This pressure mapping array included two 12-sensor arrays, located under the sacral and shoulder areas, at a corresponding spatial resolution of 3cm in both directions. The remaining 72 sensors were positioned along the body with a spatial resolution of 5 cm across the body width and 12 cm along the body length. </w:t>
      </w:r>
      <w:r w:rsidRPr="00325486">
        <w:rPr>
          <w:rFonts w:asciiTheme="majorHAnsi" w:hAnsiTheme="majorHAnsi" w:cstheme="majorBidi"/>
          <w:color w:val="000000"/>
          <w:sz w:val="24"/>
          <w:szCs w:val="24"/>
          <w:lang w:eastAsia="zh-TW"/>
        </w:rPr>
        <w:t xml:space="preserve">The angle at which each participant was tilted was measured by </w:t>
      </w:r>
      <w:r w:rsidR="004A47C3" w:rsidRPr="00325486">
        <w:rPr>
          <w:rFonts w:asciiTheme="majorHAnsi" w:hAnsiTheme="majorHAnsi" w:cstheme="majorBidi"/>
          <w:color w:val="000000"/>
          <w:sz w:val="24"/>
          <w:szCs w:val="24"/>
          <w:lang w:eastAsia="zh-TW"/>
        </w:rPr>
        <w:t>a hand held</w:t>
      </w:r>
      <w:r w:rsidRPr="00325486">
        <w:rPr>
          <w:rFonts w:asciiTheme="majorHAnsi" w:hAnsiTheme="majorHAnsi" w:cstheme="majorBidi"/>
          <w:color w:val="000000"/>
          <w:sz w:val="24"/>
          <w:szCs w:val="24"/>
          <w:lang w:eastAsia="zh-TW"/>
        </w:rPr>
        <w:t xml:space="preserve"> inclinometer (</w:t>
      </w:r>
      <w:r w:rsidRPr="00325486">
        <w:rPr>
          <w:rFonts w:asciiTheme="majorHAnsi" w:hAnsiTheme="majorHAnsi" w:cstheme="majorBidi"/>
          <w:sz w:val="24"/>
          <w:szCs w:val="24"/>
        </w:rPr>
        <w:t xml:space="preserve">SOAR, Digital Level meter 1700). These measurements were recorded </w:t>
      </w:r>
      <w:r w:rsidR="004A47C3" w:rsidRPr="00325486">
        <w:rPr>
          <w:rFonts w:asciiTheme="majorHAnsi" w:hAnsiTheme="majorHAnsi" w:cstheme="majorBidi"/>
          <w:sz w:val="24"/>
          <w:szCs w:val="24"/>
        </w:rPr>
        <w:t xml:space="preserve">in the coronal plane </w:t>
      </w:r>
      <w:r w:rsidRPr="00325486">
        <w:rPr>
          <w:rFonts w:asciiTheme="majorHAnsi" w:hAnsiTheme="majorHAnsi" w:cstheme="majorBidi"/>
          <w:sz w:val="24"/>
          <w:szCs w:val="24"/>
        </w:rPr>
        <w:t xml:space="preserve">at the level of the sternum (chest), pelvis and ankles. </w:t>
      </w:r>
    </w:p>
    <w:p w:rsidR="00F20BC8" w:rsidRPr="00325486" w:rsidRDefault="00F20BC8" w:rsidP="00F20BC8">
      <w:pPr>
        <w:spacing w:line="480" w:lineRule="auto"/>
        <w:rPr>
          <w:rFonts w:asciiTheme="majorHAnsi" w:hAnsiTheme="majorHAnsi" w:cstheme="majorBidi"/>
          <w:bCs/>
          <w:i/>
          <w:iCs/>
          <w:sz w:val="24"/>
          <w:szCs w:val="24"/>
        </w:rPr>
      </w:pPr>
      <w:r w:rsidRPr="00325486">
        <w:rPr>
          <w:rFonts w:asciiTheme="majorHAnsi" w:hAnsiTheme="majorHAnsi" w:cstheme="majorBidi"/>
          <w:bCs/>
          <w:i/>
          <w:iCs/>
          <w:sz w:val="24"/>
          <w:szCs w:val="24"/>
        </w:rPr>
        <w:t>2.4 Test Protocol</w:t>
      </w:r>
    </w:p>
    <w:p w:rsidR="00F20BC8" w:rsidRPr="00325486" w:rsidRDefault="00F20BC8" w:rsidP="00F20BC8">
      <w:pPr>
        <w:spacing w:line="480" w:lineRule="auto"/>
        <w:rPr>
          <w:rFonts w:asciiTheme="majorHAnsi" w:eastAsia="PMingLiU" w:hAnsiTheme="majorHAnsi" w:cstheme="majorBidi"/>
          <w:sz w:val="24"/>
          <w:szCs w:val="24"/>
          <w:lang w:eastAsia="zh-TW"/>
        </w:rPr>
      </w:pPr>
      <w:r w:rsidRPr="00325486">
        <w:rPr>
          <w:rFonts w:asciiTheme="majorHAnsi" w:hAnsiTheme="majorHAnsi" w:cstheme="majorBidi"/>
          <w:sz w:val="24"/>
          <w:szCs w:val="24"/>
        </w:rPr>
        <w:t xml:space="preserve">All test procedures were performed in the Biomechanics Testing Laboratory in the Clinical Academic Facility within Southampton General Hospital, where the room temperature was maintained at 24°C. </w:t>
      </w:r>
      <w:r w:rsidRPr="00325486">
        <w:rPr>
          <w:rFonts w:asciiTheme="majorHAnsi" w:eastAsia="PMingLiU" w:hAnsiTheme="majorHAnsi" w:cstheme="majorBidi"/>
          <w:sz w:val="24"/>
          <w:szCs w:val="24"/>
          <w:lang w:eastAsia="zh-TW"/>
        </w:rPr>
        <w:t>Participants were asked to lie in a prone position for a 20 minute period to attain unloaded basal TcPO</w:t>
      </w:r>
      <w:r w:rsidRPr="00325486">
        <w:rPr>
          <w:rFonts w:asciiTheme="majorHAnsi" w:eastAsia="PMingLiU" w:hAnsiTheme="majorHAnsi" w:cstheme="majorBidi"/>
          <w:sz w:val="24"/>
          <w:szCs w:val="24"/>
          <w:vertAlign w:val="subscript"/>
          <w:lang w:eastAsia="zh-TW"/>
        </w:rPr>
        <w:t xml:space="preserve">2 </w:t>
      </w:r>
      <w:r w:rsidRPr="00325486">
        <w:rPr>
          <w:rFonts w:asciiTheme="majorHAnsi" w:eastAsia="PMingLiU" w:hAnsiTheme="majorHAnsi" w:cstheme="majorBidi"/>
          <w:sz w:val="24"/>
          <w:szCs w:val="24"/>
          <w:lang w:eastAsia="zh-TW"/>
        </w:rPr>
        <w:t>and T</w:t>
      </w:r>
      <w:r w:rsidRPr="00325486">
        <w:rPr>
          <w:rFonts w:asciiTheme="majorHAnsi" w:eastAsia="PMingLiU" w:hAnsiTheme="majorHAnsi" w:cstheme="majorBidi"/>
          <w:sz w:val="24"/>
          <w:szCs w:val="24"/>
          <w:vertAlign w:val="subscript"/>
          <w:lang w:eastAsia="zh-TW"/>
        </w:rPr>
        <w:t>c</w:t>
      </w:r>
      <w:r w:rsidRPr="00325486">
        <w:rPr>
          <w:rFonts w:asciiTheme="majorHAnsi" w:eastAsia="PMingLiU" w:hAnsiTheme="majorHAnsi" w:cstheme="majorBidi"/>
          <w:sz w:val="24"/>
          <w:szCs w:val="24"/>
          <w:lang w:eastAsia="zh-TW"/>
        </w:rPr>
        <w:t>PCO</w:t>
      </w:r>
      <w:r w:rsidRPr="00325486">
        <w:rPr>
          <w:rFonts w:asciiTheme="majorHAnsi" w:eastAsia="PMingLiU" w:hAnsiTheme="majorHAnsi" w:cstheme="majorBidi"/>
          <w:sz w:val="24"/>
          <w:szCs w:val="24"/>
          <w:vertAlign w:val="subscript"/>
          <w:lang w:eastAsia="zh-TW"/>
        </w:rPr>
        <w:t>2</w:t>
      </w:r>
      <w:r w:rsidRPr="00325486">
        <w:rPr>
          <w:rFonts w:asciiTheme="majorHAnsi" w:eastAsia="PMingLiU" w:hAnsiTheme="majorHAnsi" w:cstheme="majorBidi"/>
          <w:sz w:val="24"/>
          <w:szCs w:val="24"/>
          <w:lang w:eastAsia="zh-TW"/>
        </w:rPr>
        <w:t xml:space="preserve"> values. </w:t>
      </w:r>
    </w:p>
    <w:p w:rsidR="00F20BC8" w:rsidRPr="009B20FE" w:rsidRDefault="00F20BC8" w:rsidP="009B20FE">
      <w:pPr>
        <w:spacing w:line="480" w:lineRule="auto"/>
        <w:rPr>
          <w:rFonts w:asciiTheme="majorHAnsi" w:eastAsia="PMingLiU" w:hAnsiTheme="majorHAnsi" w:cstheme="majorBidi"/>
          <w:sz w:val="24"/>
          <w:szCs w:val="24"/>
          <w:lang w:eastAsia="zh-TW"/>
        </w:rPr>
      </w:pPr>
      <w:r w:rsidRPr="00325486">
        <w:rPr>
          <w:rFonts w:asciiTheme="majorHAnsi" w:eastAsia="PMingLiU" w:hAnsiTheme="majorHAnsi" w:cstheme="majorBidi"/>
          <w:sz w:val="24"/>
          <w:szCs w:val="24"/>
          <w:lang w:eastAsia="zh-TW"/>
        </w:rPr>
        <w:t xml:space="preserve"> After this acclimatisation period each participant was then carefully positioned in a supine posture on the prototype mattress for 5 minutes, while the first interface pressure was recorded.  Participants were then positioned into a further four equal 15-minute postures or ‘phases’, which followed the order of; right tilt, supine, left tilt and supine. This was standardised for both LPR and manual tilt protocols. Transcutaneous gas tensions were continually monitored throughout all phases of the test. </w:t>
      </w:r>
      <w:r w:rsidR="00664DDB" w:rsidRPr="00325486">
        <w:rPr>
          <w:rFonts w:asciiTheme="majorHAnsi" w:eastAsia="PMingLiU" w:hAnsiTheme="majorHAnsi" w:cstheme="majorBidi"/>
          <w:sz w:val="24"/>
          <w:szCs w:val="24"/>
          <w:lang w:eastAsia="zh-TW"/>
        </w:rPr>
        <w:t>Three separate interface pressure measurements were recorded after five minutes of each distinct postural phase i.e. right and left tilts, and during the final supine phase. In order to measure the tilt angles, incli</w:t>
      </w:r>
      <w:r w:rsidR="00664DDB" w:rsidRPr="00325486">
        <w:rPr>
          <w:rFonts w:asciiTheme="majorHAnsi" w:eastAsia="PMingLiU" w:hAnsiTheme="majorHAnsi" w:cstheme="majorBidi"/>
          <w:sz w:val="24"/>
          <w:szCs w:val="24"/>
          <w:lang w:eastAsia="zh-TW"/>
        </w:rPr>
        <w:lastRenderedPageBreak/>
        <w:t>nometer measures were taken once for each of the three levels of the body in both tilted postures (right and left).</w:t>
      </w:r>
      <w:r w:rsidRPr="00325486">
        <w:rPr>
          <w:rFonts w:asciiTheme="majorHAnsi" w:eastAsia="PMingLiU" w:hAnsiTheme="majorHAnsi" w:cstheme="majorBidi"/>
          <w:sz w:val="24"/>
          <w:szCs w:val="24"/>
          <w:lang w:eastAsia="zh-TW"/>
        </w:rPr>
        <w:t xml:space="preserve">Participants were also asked to rate their comfort and safety using a five point Likert scale, during each phase of both the LPR and manual tilting protocols. </w:t>
      </w:r>
      <w:r w:rsidRPr="00325486">
        <w:rPr>
          <w:rFonts w:asciiTheme="majorHAnsi" w:hAnsiTheme="majorHAnsi" w:cstheme="majorBidi"/>
          <w:sz w:val="24"/>
          <w:szCs w:val="24"/>
        </w:rPr>
        <w:t xml:space="preserve">For both the LPR and the manual tilt protocols the same measures were performed on two different days (maximum of one week apart). </w:t>
      </w:r>
    </w:p>
    <w:p w:rsidR="00F20BC8" w:rsidRPr="00325486" w:rsidRDefault="00F20BC8" w:rsidP="00F20BC8">
      <w:pPr>
        <w:spacing w:line="480" w:lineRule="auto"/>
        <w:rPr>
          <w:rFonts w:asciiTheme="majorHAnsi" w:hAnsiTheme="majorHAnsi" w:cstheme="majorBidi"/>
          <w:sz w:val="24"/>
          <w:szCs w:val="24"/>
        </w:rPr>
      </w:pPr>
      <w:r w:rsidRPr="00325486">
        <w:rPr>
          <w:rFonts w:asciiTheme="majorHAnsi" w:hAnsiTheme="majorHAnsi" w:cstheme="majorBidi"/>
          <w:bCs/>
          <w:i/>
          <w:iCs/>
          <w:sz w:val="24"/>
          <w:szCs w:val="24"/>
        </w:rPr>
        <w:t>2.4 Data Analysis</w:t>
      </w:r>
    </w:p>
    <w:p w:rsidR="00F20BC8" w:rsidRPr="00325486" w:rsidRDefault="00F20BC8" w:rsidP="00F20BC8">
      <w:pPr>
        <w:widowControl w:val="0"/>
        <w:spacing w:after="0" w:line="480" w:lineRule="auto"/>
        <w:rPr>
          <w:rFonts w:asciiTheme="majorHAnsi" w:eastAsia="PMingLiU" w:hAnsiTheme="majorHAnsi" w:cstheme="majorBidi"/>
          <w:bCs/>
          <w:sz w:val="24"/>
          <w:szCs w:val="24"/>
          <w:lang w:eastAsia="zh-TW"/>
        </w:rPr>
      </w:pPr>
      <w:r w:rsidRPr="00325486">
        <w:rPr>
          <w:rFonts w:asciiTheme="majorHAnsi" w:hAnsiTheme="majorHAnsi" w:cstheme="majorBidi"/>
          <w:sz w:val="24"/>
          <w:szCs w:val="24"/>
        </w:rPr>
        <w:t xml:space="preserve">Data processing of the interface pressures and transcutaneous values were performed using </w:t>
      </w:r>
      <w:proofErr w:type="spellStart"/>
      <w:r w:rsidRPr="00325486">
        <w:rPr>
          <w:rFonts w:asciiTheme="majorHAnsi" w:hAnsiTheme="majorHAnsi" w:cstheme="majorBidi"/>
          <w:sz w:val="24"/>
          <w:szCs w:val="24"/>
        </w:rPr>
        <w:t>Matlab</w:t>
      </w:r>
      <w:proofErr w:type="spellEnd"/>
      <w:r w:rsidRPr="00325486">
        <w:rPr>
          <w:rFonts w:asciiTheme="majorHAnsi" w:hAnsiTheme="majorHAnsi" w:cstheme="majorBidi"/>
          <w:sz w:val="24"/>
          <w:szCs w:val="24"/>
        </w:rPr>
        <w:t xml:space="preserve"> (</w:t>
      </w:r>
      <w:proofErr w:type="spellStart"/>
      <w:r w:rsidRPr="00325486">
        <w:rPr>
          <w:rFonts w:asciiTheme="majorHAnsi" w:hAnsiTheme="majorHAnsi" w:cstheme="majorBidi"/>
          <w:sz w:val="24"/>
          <w:szCs w:val="24"/>
        </w:rPr>
        <w:t>Mathworks</w:t>
      </w:r>
      <w:proofErr w:type="spellEnd"/>
      <w:r w:rsidRPr="00325486">
        <w:rPr>
          <w:rFonts w:asciiTheme="majorHAnsi" w:hAnsiTheme="majorHAnsi" w:cstheme="majorBidi"/>
          <w:sz w:val="24"/>
          <w:szCs w:val="24"/>
        </w:rPr>
        <w:t xml:space="preserve">, USA). Values of peak pressures were estimated from the pressure distributions under the sacrum, shoulder and the remaining body area during each phase.  The trends in the transcutaneous gas </w:t>
      </w:r>
      <w:r w:rsidRPr="00325486">
        <w:rPr>
          <w:rFonts w:asciiTheme="majorHAnsi" w:eastAsia="PMingLiU" w:hAnsiTheme="majorHAnsi" w:cstheme="majorBidi"/>
          <w:bCs/>
          <w:sz w:val="24"/>
          <w:szCs w:val="24"/>
          <w:lang w:eastAsia="zh-TW"/>
        </w:rPr>
        <w:t>tensions were categorised according to the criteria recently published by Chai and Bader (2013).  To review briefly, changes in TcPO</w:t>
      </w:r>
      <w:r w:rsidRPr="00325486">
        <w:rPr>
          <w:rFonts w:asciiTheme="majorHAnsi" w:eastAsia="PMingLiU" w:hAnsiTheme="majorHAnsi" w:cstheme="majorBidi"/>
          <w:bCs/>
          <w:sz w:val="24"/>
          <w:szCs w:val="24"/>
          <w:vertAlign w:val="subscript"/>
          <w:lang w:eastAsia="zh-TW"/>
        </w:rPr>
        <w:t>2</w:t>
      </w:r>
      <w:r w:rsidRPr="00325486">
        <w:rPr>
          <w:rFonts w:asciiTheme="majorHAnsi" w:eastAsia="PMingLiU" w:hAnsiTheme="majorHAnsi" w:cstheme="majorBidi"/>
          <w:bCs/>
          <w:sz w:val="24"/>
          <w:szCs w:val="24"/>
          <w:lang w:eastAsia="zh-TW"/>
        </w:rPr>
        <w:t xml:space="preserve"> and TcPCO</w:t>
      </w:r>
      <w:r w:rsidRPr="00325486">
        <w:rPr>
          <w:rFonts w:asciiTheme="majorHAnsi" w:eastAsia="PMingLiU" w:hAnsiTheme="majorHAnsi" w:cstheme="majorBidi"/>
          <w:bCs/>
          <w:sz w:val="24"/>
          <w:szCs w:val="24"/>
          <w:vertAlign w:val="subscript"/>
          <w:lang w:eastAsia="zh-TW"/>
        </w:rPr>
        <w:t>2</w:t>
      </w:r>
      <w:r w:rsidRPr="00325486">
        <w:rPr>
          <w:rFonts w:asciiTheme="majorHAnsi" w:eastAsia="PMingLiU" w:hAnsiTheme="majorHAnsi" w:cstheme="majorBidi"/>
          <w:bCs/>
          <w:sz w:val="24"/>
          <w:szCs w:val="24"/>
          <w:lang w:eastAsia="zh-TW"/>
        </w:rPr>
        <w:t xml:space="preserve"> from baseline unloaded values were divided into three distinct categories, namely:</w:t>
      </w:r>
    </w:p>
    <w:p w:rsidR="00F20BC8" w:rsidRPr="00325486" w:rsidRDefault="00F20BC8" w:rsidP="00F20BC8">
      <w:pPr>
        <w:pStyle w:val="ListParagraph"/>
        <w:widowControl w:val="0"/>
        <w:spacing w:after="0" w:line="480" w:lineRule="auto"/>
        <w:ind w:left="426" w:hanging="426"/>
        <w:rPr>
          <w:rFonts w:asciiTheme="majorHAnsi" w:eastAsia="PMingLiU" w:hAnsiTheme="majorHAnsi" w:cstheme="majorBidi"/>
          <w:sz w:val="24"/>
          <w:szCs w:val="24"/>
          <w:lang w:eastAsia="zh-TW"/>
        </w:rPr>
      </w:pPr>
      <w:r w:rsidRPr="00325486">
        <w:rPr>
          <w:rFonts w:asciiTheme="majorHAnsi" w:eastAsia="PMingLiU" w:hAnsiTheme="majorHAnsi" w:cstheme="majorBidi"/>
          <w:sz w:val="24"/>
          <w:szCs w:val="24"/>
          <w:lang w:eastAsia="zh-TW"/>
        </w:rPr>
        <w:t xml:space="preserve">Category 1. </w:t>
      </w:r>
      <w:r w:rsidRPr="00325486">
        <w:rPr>
          <w:rFonts w:asciiTheme="majorHAnsi" w:eastAsia="PMingLiU" w:hAnsiTheme="majorHAnsi" w:cstheme="majorBidi"/>
          <w:sz w:val="24"/>
          <w:szCs w:val="24"/>
          <w:lang w:eastAsia="zh-TW"/>
        </w:rPr>
        <w:tab/>
        <w:t>Minimal changes in both TcPO</w:t>
      </w:r>
      <w:r w:rsidRPr="00325486">
        <w:rPr>
          <w:rFonts w:asciiTheme="majorHAnsi" w:eastAsia="PMingLiU" w:hAnsiTheme="majorHAnsi" w:cstheme="majorBidi"/>
          <w:sz w:val="24"/>
          <w:szCs w:val="24"/>
          <w:vertAlign w:val="subscript"/>
          <w:lang w:eastAsia="zh-TW"/>
        </w:rPr>
        <w:t>2</w:t>
      </w:r>
      <w:r w:rsidRPr="00325486">
        <w:rPr>
          <w:rFonts w:asciiTheme="majorHAnsi" w:eastAsia="PMingLiU" w:hAnsiTheme="majorHAnsi" w:cstheme="majorBidi"/>
          <w:sz w:val="24"/>
          <w:szCs w:val="24"/>
          <w:lang w:eastAsia="zh-TW"/>
        </w:rPr>
        <w:t xml:space="preserve"> and TcPCO</w:t>
      </w:r>
      <w:r w:rsidRPr="00325486">
        <w:rPr>
          <w:rFonts w:asciiTheme="majorHAnsi" w:eastAsia="PMingLiU" w:hAnsiTheme="majorHAnsi" w:cstheme="majorBidi"/>
          <w:sz w:val="24"/>
          <w:szCs w:val="24"/>
          <w:vertAlign w:val="subscript"/>
          <w:lang w:eastAsia="zh-TW"/>
        </w:rPr>
        <w:t>2</w:t>
      </w:r>
      <w:r w:rsidRPr="00325486">
        <w:rPr>
          <w:rFonts w:asciiTheme="majorHAnsi" w:eastAsia="PMingLiU" w:hAnsiTheme="majorHAnsi" w:cstheme="majorBidi"/>
          <w:sz w:val="24"/>
          <w:szCs w:val="24"/>
          <w:lang w:eastAsia="zh-TW"/>
        </w:rPr>
        <w:t xml:space="preserve"> values.</w:t>
      </w:r>
    </w:p>
    <w:p w:rsidR="00F20BC8" w:rsidRPr="00325486" w:rsidRDefault="00F20BC8" w:rsidP="00F20BC8">
      <w:pPr>
        <w:widowControl w:val="0"/>
        <w:spacing w:after="0" w:line="480" w:lineRule="auto"/>
        <w:rPr>
          <w:rFonts w:asciiTheme="majorHAnsi" w:eastAsia="PMingLiU" w:hAnsiTheme="majorHAnsi" w:cstheme="majorBidi"/>
          <w:sz w:val="24"/>
          <w:szCs w:val="24"/>
          <w:lang w:eastAsia="zh-TW"/>
        </w:rPr>
      </w:pPr>
      <w:r w:rsidRPr="00325486">
        <w:rPr>
          <w:rFonts w:asciiTheme="majorHAnsi" w:eastAsia="PMingLiU" w:hAnsiTheme="majorHAnsi" w:cstheme="majorBidi"/>
          <w:sz w:val="24"/>
          <w:szCs w:val="24"/>
          <w:lang w:eastAsia="zh-TW"/>
        </w:rPr>
        <w:t>Category 2.</w:t>
      </w:r>
      <w:r w:rsidRPr="00325486">
        <w:rPr>
          <w:rFonts w:asciiTheme="majorHAnsi" w:eastAsia="PMingLiU" w:hAnsiTheme="majorHAnsi" w:cstheme="majorBidi"/>
          <w:sz w:val="24"/>
          <w:szCs w:val="24"/>
          <w:lang w:eastAsia="zh-TW"/>
        </w:rPr>
        <w:tab/>
        <w:t>&gt;25% Decrease in TcPO</w:t>
      </w:r>
      <w:r w:rsidRPr="00325486">
        <w:rPr>
          <w:rFonts w:asciiTheme="majorHAnsi" w:eastAsia="PMingLiU" w:hAnsiTheme="majorHAnsi" w:cstheme="majorBidi"/>
          <w:sz w:val="24"/>
          <w:szCs w:val="24"/>
          <w:vertAlign w:val="subscript"/>
          <w:lang w:eastAsia="zh-TW"/>
        </w:rPr>
        <w:t>2</w:t>
      </w:r>
      <w:r w:rsidRPr="00325486">
        <w:rPr>
          <w:rFonts w:asciiTheme="majorHAnsi" w:eastAsia="PMingLiU" w:hAnsiTheme="majorHAnsi" w:cstheme="majorBidi"/>
          <w:sz w:val="24"/>
          <w:szCs w:val="24"/>
          <w:lang w:eastAsia="zh-TW"/>
        </w:rPr>
        <w:t xml:space="preserve"> with minimal change in TcPCO</w:t>
      </w:r>
      <w:r w:rsidRPr="00325486">
        <w:rPr>
          <w:rFonts w:asciiTheme="majorHAnsi" w:eastAsia="PMingLiU" w:hAnsiTheme="majorHAnsi" w:cstheme="majorBidi"/>
          <w:sz w:val="24"/>
          <w:szCs w:val="24"/>
          <w:vertAlign w:val="subscript"/>
          <w:lang w:eastAsia="zh-TW"/>
        </w:rPr>
        <w:t>2</w:t>
      </w:r>
    </w:p>
    <w:p w:rsidR="00F20BC8" w:rsidRPr="00325486" w:rsidRDefault="00F20BC8" w:rsidP="00F20BC8">
      <w:pPr>
        <w:widowControl w:val="0"/>
        <w:spacing w:after="0" w:line="480" w:lineRule="auto"/>
        <w:rPr>
          <w:rFonts w:asciiTheme="majorHAnsi" w:eastAsia="PMingLiU" w:hAnsiTheme="majorHAnsi" w:cstheme="majorBidi"/>
          <w:sz w:val="24"/>
          <w:szCs w:val="24"/>
          <w:lang w:eastAsia="zh-TW"/>
        </w:rPr>
      </w:pPr>
      <w:r w:rsidRPr="00325486">
        <w:rPr>
          <w:rFonts w:asciiTheme="majorHAnsi" w:eastAsia="PMingLiU" w:hAnsiTheme="majorHAnsi" w:cstheme="majorBidi"/>
          <w:sz w:val="24"/>
          <w:szCs w:val="24"/>
          <w:lang w:eastAsia="zh-TW"/>
        </w:rPr>
        <w:t>Category 3.</w:t>
      </w:r>
      <w:r w:rsidRPr="00325486">
        <w:rPr>
          <w:rFonts w:asciiTheme="majorHAnsi" w:eastAsia="PMingLiU" w:hAnsiTheme="majorHAnsi" w:cstheme="majorBidi"/>
          <w:sz w:val="24"/>
          <w:szCs w:val="24"/>
          <w:lang w:eastAsia="zh-TW"/>
        </w:rPr>
        <w:tab/>
        <w:t>&gt;25% Decrease in TcPO</w:t>
      </w:r>
      <w:r w:rsidRPr="00325486">
        <w:rPr>
          <w:rFonts w:asciiTheme="majorHAnsi" w:eastAsia="PMingLiU" w:hAnsiTheme="majorHAnsi" w:cstheme="majorBidi"/>
          <w:sz w:val="24"/>
          <w:szCs w:val="24"/>
          <w:vertAlign w:val="subscript"/>
          <w:lang w:eastAsia="zh-TW"/>
        </w:rPr>
        <w:t>2</w:t>
      </w:r>
      <w:r w:rsidRPr="00325486">
        <w:rPr>
          <w:rFonts w:asciiTheme="majorHAnsi" w:eastAsia="PMingLiU" w:hAnsiTheme="majorHAnsi" w:cstheme="majorBidi"/>
          <w:sz w:val="24"/>
          <w:szCs w:val="24"/>
          <w:lang w:eastAsia="zh-TW"/>
        </w:rPr>
        <w:t xml:space="preserve"> associated with a &gt;25% increase in TcPCO</w:t>
      </w:r>
      <w:r w:rsidRPr="00325486">
        <w:rPr>
          <w:rFonts w:asciiTheme="majorHAnsi" w:eastAsia="PMingLiU" w:hAnsiTheme="majorHAnsi" w:cstheme="majorBidi"/>
          <w:sz w:val="24"/>
          <w:szCs w:val="24"/>
          <w:vertAlign w:val="subscript"/>
          <w:lang w:eastAsia="zh-TW"/>
        </w:rPr>
        <w:t>2</w:t>
      </w:r>
    </w:p>
    <w:p w:rsidR="00F20BC8" w:rsidRPr="00325486" w:rsidRDefault="00F20BC8" w:rsidP="00F20BC8">
      <w:pPr>
        <w:spacing w:line="480" w:lineRule="auto"/>
        <w:rPr>
          <w:rFonts w:asciiTheme="majorHAnsi" w:hAnsiTheme="majorHAnsi" w:cstheme="majorBidi"/>
          <w:sz w:val="24"/>
          <w:szCs w:val="24"/>
        </w:rPr>
      </w:pPr>
    </w:p>
    <w:p w:rsidR="00F20BC8" w:rsidRPr="00325486" w:rsidRDefault="00F20BC8" w:rsidP="00C65543">
      <w:pPr>
        <w:spacing w:line="480" w:lineRule="auto"/>
        <w:rPr>
          <w:rFonts w:asciiTheme="majorHAnsi" w:hAnsiTheme="majorHAnsi" w:cstheme="majorBidi"/>
          <w:sz w:val="24"/>
          <w:szCs w:val="24"/>
        </w:rPr>
      </w:pPr>
      <w:r w:rsidRPr="00325486">
        <w:rPr>
          <w:rFonts w:asciiTheme="majorHAnsi" w:hAnsiTheme="majorHAnsi" w:cstheme="majorBidi"/>
          <w:sz w:val="24"/>
          <w:szCs w:val="24"/>
        </w:rPr>
        <w:t>Normal unloaded values of transcutaneous gases have been reported in the literature, with TcPO</w:t>
      </w:r>
      <w:r w:rsidRPr="00325486">
        <w:rPr>
          <w:rFonts w:asciiTheme="majorHAnsi" w:hAnsiTheme="majorHAnsi" w:cstheme="majorBidi"/>
          <w:sz w:val="24"/>
          <w:szCs w:val="24"/>
          <w:vertAlign w:val="subscript"/>
        </w:rPr>
        <w:t>2</w:t>
      </w:r>
      <w:r w:rsidRPr="00325486">
        <w:rPr>
          <w:rFonts w:asciiTheme="majorHAnsi" w:hAnsiTheme="majorHAnsi" w:cstheme="majorBidi"/>
          <w:sz w:val="24"/>
          <w:szCs w:val="24"/>
        </w:rPr>
        <w:t xml:space="preserve"> ranging from 50-90mmHg and TcPCO</w:t>
      </w:r>
      <w:r w:rsidRPr="00325486">
        <w:rPr>
          <w:rFonts w:asciiTheme="majorHAnsi" w:hAnsiTheme="majorHAnsi" w:cstheme="majorBidi"/>
          <w:sz w:val="24"/>
          <w:szCs w:val="24"/>
          <w:vertAlign w:val="subscript"/>
        </w:rPr>
        <w:t>2</w:t>
      </w:r>
      <w:r w:rsidRPr="00325486">
        <w:rPr>
          <w:rFonts w:asciiTheme="majorHAnsi" w:hAnsiTheme="majorHAnsi" w:cstheme="majorBidi"/>
          <w:sz w:val="24"/>
          <w:szCs w:val="24"/>
        </w:rPr>
        <w:t xml:space="preserve"> ranging from </w:t>
      </w:r>
      <w:r w:rsidRPr="00325486">
        <w:rPr>
          <w:rFonts w:asciiTheme="majorHAnsi" w:hAnsiTheme="majorHAnsi"/>
          <w:sz w:val="24"/>
          <w:szCs w:val="24"/>
        </w:rPr>
        <w:t xml:space="preserve">38–48 mmHg </w:t>
      </w:r>
      <w:r w:rsidRPr="00325486">
        <w:rPr>
          <w:rFonts w:asciiTheme="majorHAnsi" w:hAnsiTheme="majorHAnsi"/>
          <w:sz w:val="24"/>
          <w:szCs w:val="24"/>
        </w:rPr>
        <w:fldChar w:fldCharType="begin"/>
      </w:r>
      <w:r w:rsidR="009D5751" w:rsidRPr="00325486">
        <w:rPr>
          <w:rFonts w:asciiTheme="majorHAnsi" w:hAnsiTheme="majorHAnsi"/>
          <w:sz w:val="24"/>
          <w:szCs w:val="24"/>
        </w:rPr>
        <w:instrText xml:space="preserve"> ADDIN EN.CITE &lt;EndNote&gt;&lt;Cite&gt;&lt;Author&gt;Knight&lt;/Author&gt;&lt;Year&gt;2001&lt;/Year&gt;&lt;RecNum&gt;1972&lt;/RecNum&gt;&lt;DisplayText&gt;(Knight et al., 2001)&lt;/DisplayText&gt;&lt;record&gt;&lt;rec-number&gt;1972&lt;/rec-number&gt;&lt;foreign-keys&gt;&lt;key app="EN" db-id="ervprze5a95tvoe59pjpvw5gezttve9wxvfs"&gt;1972&lt;/key&gt;&lt;/foreign-keys&gt;&lt;ref-type name="Journal Article"&gt;17&lt;/ref-type&gt;&lt;contributors&gt;&lt;authors&gt;&lt;author&gt;Knight, S.&lt;/author&gt;&lt;author&gt;Taylor, R.&lt;/author&gt;&lt;author&gt;Polliak, A.&lt;/author&gt;&lt;author&gt;Bader, D.L.&lt;/author&gt;&lt;/authors&gt;&lt;/contributors&gt;&lt;titles&gt;&lt;title&gt;Establishing predictive indicators for the status of loaded soft tissues&lt;/title&gt;&lt;secondary-title&gt;Journal of Applied Physiology&lt;/secondary-title&gt;&lt;/titles&gt;&lt;periodical&gt;&lt;full-title&gt;Journal of Applied Physiology&lt;/full-title&gt;&lt;abbr-1&gt;J. Appl. Physiol.&lt;/abbr-1&gt;&lt;abbr-2&gt;J Appl Physiol&lt;/abbr-2&gt;&lt;/periodical&gt;&lt;pages&gt;2231-2237&lt;/pages&gt;&lt;volume&gt;90&lt;/volume&gt;&lt;dates&gt;&lt;year&gt;2001&lt;/year&gt;&lt;/dates&gt;&lt;urls&gt;&lt;/urls&gt;&lt;/record&gt;&lt;/Cite&gt;&lt;/EndNote&gt;</w:instrText>
      </w:r>
      <w:r w:rsidRPr="00325486">
        <w:rPr>
          <w:rFonts w:asciiTheme="majorHAnsi" w:hAnsiTheme="majorHAnsi"/>
          <w:sz w:val="24"/>
          <w:szCs w:val="24"/>
        </w:rPr>
        <w:fldChar w:fldCharType="separate"/>
      </w:r>
      <w:r w:rsidR="009D5751" w:rsidRPr="00325486">
        <w:rPr>
          <w:rFonts w:asciiTheme="majorHAnsi" w:hAnsiTheme="majorHAnsi"/>
          <w:noProof/>
          <w:sz w:val="24"/>
          <w:szCs w:val="24"/>
        </w:rPr>
        <w:t>(</w:t>
      </w:r>
      <w:hyperlink w:anchor="_ENREF_9" w:tooltip="Knight, 2001 #1972" w:history="1">
        <w:r w:rsidR="00C65543" w:rsidRPr="00325486">
          <w:rPr>
            <w:rFonts w:asciiTheme="majorHAnsi" w:hAnsiTheme="majorHAnsi"/>
            <w:noProof/>
            <w:sz w:val="24"/>
            <w:szCs w:val="24"/>
          </w:rPr>
          <w:t>Knight et al., 2001</w:t>
        </w:r>
      </w:hyperlink>
      <w:r w:rsidR="009D5751" w:rsidRPr="00325486">
        <w:rPr>
          <w:rFonts w:asciiTheme="majorHAnsi" w:hAnsiTheme="majorHAnsi"/>
          <w:noProof/>
          <w:sz w:val="24"/>
          <w:szCs w:val="24"/>
        </w:rPr>
        <w:t>)</w:t>
      </w:r>
      <w:r w:rsidRPr="00325486">
        <w:rPr>
          <w:rFonts w:asciiTheme="majorHAnsi" w:hAnsiTheme="majorHAnsi"/>
          <w:sz w:val="24"/>
          <w:szCs w:val="24"/>
        </w:rPr>
        <w:fldChar w:fldCharType="end"/>
      </w:r>
      <w:r w:rsidRPr="00325486">
        <w:rPr>
          <w:rFonts w:asciiTheme="majorHAnsi" w:hAnsiTheme="majorHAnsi" w:cstheme="majorBidi"/>
          <w:sz w:val="24"/>
          <w:szCs w:val="24"/>
        </w:rPr>
        <w:t>.</w:t>
      </w:r>
    </w:p>
    <w:p w:rsidR="00F20BC8" w:rsidRPr="00325486" w:rsidRDefault="00F20BC8" w:rsidP="00237F61">
      <w:pPr>
        <w:pStyle w:val="PlainText"/>
        <w:spacing w:line="480" w:lineRule="auto"/>
        <w:rPr>
          <w:rFonts w:asciiTheme="majorHAnsi" w:hAnsiTheme="majorHAnsi"/>
          <w:sz w:val="24"/>
          <w:szCs w:val="24"/>
        </w:rPr>
      </w:pPr>
      <w:r w:rsidRPr="00325486">
        <w:rPr>
          <w:rFonts w:asciiTheme="majorHAnsi" w:hAnsiTheme="majorHAnsi" w:cstheme="majorBidi"/>
          <w:bCs/>
          <w:i/>
          <w:iCs/>
          <w:sz w:val="24"/>
          <w:szCs w:val="24"/>
        </w:rPr>
        <w:lastRenderedPageBreak/>
        <w:t xml:space="preserve">  </w:t>
      </w:r>
      <w:r w:rsidR="00237F61" w:rsidRPr="00325486">
        <w:rPr>
          <w:rFonts w:asciiTheme="majorHAnsi" w:hAnsiTheme="majorHAnsi" w:cstheme="majorBidi"/>
          <w:sz w:val="24"/>
          <w:szCs w:val="24"/>
        </w:rPr>
        <w:t xml:space="preserve">All data were examined for normal distribution prior to analysis using the Shapiro-Wilk test. This test indicated that parametric statistics (mean, standard deviation) were appropriate for use with the inclinometer tilt angles. However, the data for interface pressures were non-normal in distribution and, as a result non-parametric statistics were employed (median, inter-quartile range). Non-parametric </w:t>
      </w:r>
      <w:r w:rsidR="00237F61" w:rsidRPr="00325486">
        <w:rPr>
          <w:rFonts w:asciiTheme="majorHAnsi" w:hAnsiTheme="majorHAnsi"/>
          <w:sz w:val="24"/>
          <w:szCs w:val="24"/>
        </w:rPr>
        <w:t>inferential statistics</w:t>
      </w:r>
      <w:r w:rsidR="00237F61" w:rsidRPr="00325486">
        <w:rPr>
          <w:rFonts w:asciiTheme="majorHAnsi" w:hAnsiTheme="majorHAnsi" w:cstheme="majorBidi"/>
          <w:sz w:val="24"/>
          <w:szCs w:val="24"/>
        </w:rPr>
        <w:t xml:space="preserve"> were applied to the </w:t>
      </w:r>
      <w:r w:rsidR="00237F61" w:rsidRPr="00325486">
        <w:rPr>
          <w:rFonts w:asciiTheme="majorHAnsi" w:hAnsiTheme="majorHAnsi"/>
          <w:sz w:val="24"/>
          <w:szCs w:val="24"/>
        </w:rPr>
        <w:t>categorical and interval data, associated with the</w:t>
      </w:r>
      <w:r w:rsidR="00237F61" w:rsidRPr="00325486">
        <w:rPr>
          <w:rFonts w:asciiTheme="majorHAnsi" w:hAnsiTheme="majorHAnsi" w:cstheme="majorBidi"/>
          <w:sz w:val="24"/>
          <w:szCs w:val="24"/>
        </w:rPr>
        <w:t xml:space="preserve"> transcutaneous category responses and the comfort scores. </w:t>
      </w:r>
      <w:r w:rsidR="00237F61" w:rsidRPr="00325486">
        <w:rPr>
          <w:rFonts w:asciiTheme="majorHAnsi" w:hAnsiTheme="majorHAnsi"/>
          <w:sz w:val="24"/>
          <w:szCs w:val="24"/>
        </w:rPr>
        <w:t xml:space="preserve"> </w:t>
      </w:r>
      <w:r w:rsidR="00237F61" w:rsidRPr="00325486">
        <w:rPr>
          <w:rFonts w:asciiTheme="majorHAnsi" w:hAnsiTheme="majorHAnsi" w:cstheme="majorBidi"/>
          <w:sz w:val="24"/>
          <w:szCs w:val="24"/>
        </w:rPr>
        <w:t>Comparisons of LPR and manual tilt data involved the non-parametric (</w:t>
      </w:r>
      <w:r w:rsidR="00237F61" w:rsidRPr="00325486">
        <w:rPr>
          <w:rFonts w:asciiTheme="majorHAnsi" w:hAnsiTheme="majorHAnsi"/>
          <w:sz w:val="24"/>
          <w:szCs w:val="24"/>
        </w:rPr>
        <w:t>Wilcoxon signed rank test</w:t>
      </w:r>
      <w:r w:rsidR="00237F61" w:rsidRPr="00325486">
        <w:rPr>
          <w:rFonts w:asciiTheme="majorHAnsi" w:hAnsiTheme="majorHAnsi" w:cstheme="majorBidi"/>
          <w:sz w:val="24"/>
          <w:szCs w:val="24"/>
        </w:rPr>
        <w:t xml:space="preserve">) tests during the different postures with the significance value set </w:t>
      </w:r>
      <w:proofErr w:type="spellStart"/>
      <w:r w:rsidR="00237F61" w:rsidRPr="00325486">
        <w:rPr>
          <w:rFonts w:asciiTheme="majorHAnsi" w:hAnsiTheme="majorHAnsi" w:cstheme="majorBidi"/>
          <w:sz w:val="24"/>
          <w:szCs w:val="24"/>
        </w:rPr>
        <w:t>to p</w:t>
      </w:r>
      <w:proofErr w:type="spellEnd"/>
      <w:r w:rsidR="00237F61" w:rsidRPr="00325486">
        <w:rPr>
          <w:rFonts w:asciiTheme="majorHAnsi" w:hAnsiTheme="majorHAnsi" w:cstheme="majorBidi"/>
          <w:sz w:val="24"/>
          <w:szCs w:val="24"/>
        </w:rPr>
        <w:t>≤0.05.</w:t>
      </w:r>
    </w:p>
    <w:p w:rsidR="00D6792C" w:rsidRPr="00325486" w:rsidRDefault="00D6792C" w:rsidP="00F20BC8">
      <w:pPr>
        <w:spacing w:line="480" w:lineRule="auto"/>
        <w:rPr>
          <w:rFonts w:asciiTheme="majorHAnsi" w:hAnsiTheme="majorHAnsi" w:cstheme="majorBidi"/>
          <w:sz w:val="24"/>
          <w:szCs w:val="24"/>
        </w:rPr>
      </w:pPr>
    </w:p>
    <w:p w:rsidR="00F20BC8" w:rsidRPr="00325486" w:rsidRDefault="00F20BC8" w:rsidP="00F20BC8">
      <w:pPr>
        <w:spacing w:line="480" w:lineRule="auto"/>
        <w:rPr>
          <w:rFonts w:asciiTheme="majorHAnsi" w:hAnsiTheme="majorHAnsi" w:cstheme="majorBidi"/>
          <w:b/>
          <w:sz w:val="24"/>
          <w:szCs w:val="24"/>
        </w:rPr>
      </w:pPr>
      <w:r w:rsidRPr="00325486">
        <w:rPr>
          <w:rFonts w:asciiTheme="majorHAnsi" w:hAnsiTheme="majorHAnsi" w:cstheme="majorBidi"/>
          <w:b/>
          <w:sz w:val="24"/>
          <w:szCs w:val="24"/>
        </w:rPr>
        <w:t>3. Results</w:t>
      </w:r>
    </w:p>
    <w:p w:rsidR="00F20BC8" w:rsidRPr="00325486" w:rsidRDefault="00F20BC8" w:rsidP="00F20BC8">
      <w:pPr>
        <w:spacing w:line="480" w:lineRule="auto"/>
        <w:rPr>
          <w:rFonts w:asciiTheme="majorHAnsi" w:eastAsia="PMingLiU" w:hAnsiTheme="majorHAnsi" w:cstheme="majorBidi"/>
          <w:i/>
          <w:iCs/>
          <w:sz w:val="24"/>
          <w:szCs w:val="24"/>
          <w:lang w:eastAsia="zh-TW"/>
        </w:rPr>
      </w:pPr>
      <w:r w:rsidRPr="00325486">
        <w:rPr>
          <w:rFonts w:asciiTheme="majorHAnsi" w:eastAsia="PMingLiU" w:hAnsiTheme="majorHAnsi" w:cstheme="majorBidi"/>
          <w:i/>
          <w:iCs/>
          <w:sz w:val="24"/>
          <w:szCs w:val="24"/>
          <w:lang w:eastAsia="zh-TW"/>
        </w:rPr>
        <w:t xml:space="preserve">3.1 Monitoring physiological parameters </w:t>
      </w:r>
    </w:p>
    <w:p w:rsidR="00F20BC8" w:rsidRPr="00325486" w:rsidRDefault="00F20BC8" w:rsidP="00D6792C">
      <w:pPr>
        <w:spacing w:line="480" w:lineRule="auto"/>
        <w:rPr>
          <w:rFonts w:asciiTheme="majorHAnsi" w:eastAsia="PMingLiU" w:hAnsiTheme="majorHAnsi" w:cstheme="majorBidi"/>
          <w:sz w:val="24"/>
          <w:szCs w:val="24"/>
          <w:lang w:eastAsia="zh-TW"/>
        </w:rPr>
      </w:pPr>
      <w:r w:rsidRPr="00325486">
        <w:rPr>
          <w:rFonts w:asciiTheme="majorHAnsi" w:eastAsia="PMingLiU" w:hAnsiTheme="majorHAnsi" w:cstheme="majorBidi"/>
          <w:sz w:val="24"/>
          <w:szCs w:val="24"/>
          <w:lang w:eastAsia="zh-TW"/>
        </w:rPr>
        <w:t xml:space="preserve">Physiological tissue responses showed consistency within individuals when tested with both the LPR and Manual protocols, with many participants exhibiting little change in </w:t>
      </w:r>
      <w:r w:rsidRPr="00325486">
        <w:rPr>
          <w:rFonts w:asciiTheme="majorHAnsi" w:eastAsia="PMingLiU" w:hAnsiTheme="majorHAnsi" w:cstheme="majorBidi"/>
          <w:bCs/>
          <w:sz w:val="24"/>
          <w:szCs w:val="24"/>
          <w:lang w:eastAsia="zh-TW"/>
        </w:rPr>
        <w:t>TcPO</w:t>
      </w:r>
      <w:r w:rsidRPr="00325486">
        <w:rPr>
          <w:rFonts w:asciiTheme="majorHAnsi" w:eastAsia="PMingLiU" w:hAnsiTheme="majorHAnsi" w:cstheme="majorBidi"/>
          <w:bCs/>
          <w:sz w:val="24"/>
          <w:szCs w:val="24"/>
          <w:vertAlign w:val="subscript"/>
          <w:lang w:eastAsia="zh-TW"/>
        </w:rPr>
        <w:t>2</w:t>
      </w:r>
      <w:r w:rsidRPr="00325486">
        <w:rPr>
          <w:rFonts w:asciiTheme="majorHAnsi" w:eastAsia="PMingLiU" w:hAnsiTheme="majorHAnsi" w:cstheme="majorBidi"/>
          <w:bCs/>
          <w:sz w:val="24"/>
          <w:szCs w:val="24"/>
          <w:lang w:eastAsia="zh-TW"/>
        </w:rPr>
        <w:t xml:space="preserve"> and TcPCO</w:t>
      </w:r>
      <w:r w:rsidRPr="00325486">
        <w:rPr>
          <w:rFonts w:asciiTheme="majorHAnsi" w:eastAsia="PMingLiU" w:hAnsiTheme="majorHAnsi" w:cstheme="majorBidi"/>
          <w:bCs/>
          <w:sz w:val="24"/>
          <w:szCs w:val="24"/>
          <w:vertAlign w:val="subscript"/>
          <w:lang w:eastAsia="zh-TW"/>
        </w:rPr>
        <w:t>2</w:t>
      </w:r>
      <w:r w:rsidRPr="00325486">
        <w:rPr>
          <w:rFonts w:asciiTheme="majorHAnsi" w:eastAsia="PMingLiU" w:hAnsiTheme="majorHAnsi" w:cstheme="majorBidi"/>
          <w:bCs/>
          <w:sz w:val="24"/>
          <w:szCs w:val="24"/>
          <w:lang w:eastAsia="zh-TW"/>
        </w:rPr>
        <w:t xml:space="preserve"> during the entire test period (</w:t>
      </w:r>
      <w:r w:rsidRPr="00325486">
        <w:rPr>
          <w:rFonts w:asciiTheme="majorHAnsi" w:eastAsia="PMingLiU" w:hAnsiTheme="majorHAnsi" w:cstheme="majorBidi"/>
          <w:sz w:val="24"/>
          <w:szCs w:val="24"/>
          <w:lang w:eastAsia="zh-TW"/>
        </w:rPr>
        <w:t xml:space="preserve">Table 1, </w:t>
      </w:r>
      <w:r w:rsidR="00D6792C" w:rsidRPr="00325486">
        <w:rPr>
          <w:rFonts w:asciiTheme="majorHAnsi" w:eastAsia="PMingLiU" w:hAnsiTheme="majorHAnsi" w:cstheme="majorBidi"/>
          <w:bCs/>
          <w:sz w:val="24"/>
          <w:szCs w:val="24"/>
          <w:lang w:eastAsia="zh-TW"/>
        </w:rPr>
        <w:t>Figure 2</w:t>
      </w:r>
      <w:r w:rsidRPr="00325486">
        <w:rPr>
          <w:rFonts w:asciiTheme="majorHAnsi" w:eastAsia="PMingLiU" w:hAnsiTheme="majorHAnsi" w:cstheme="majorBidi"/>
          <w:bCs/>
          <w:sz w:val="24"/>
          <w:szCs w:val="24"/>
          <w:lang w:eastAsia="zh-TW"/>
        </w:rPr>
        <w:t xml:space="preserve">). </w:t>
      </w:r>
      <w:r w:rsidRPr="00325486">
        <w:rPr>
          <w:rFonts w:asciiTheme="majorHAnsi" w:eastAsia="PMingLiU" w:hAnsiTheme="majorHAnsi" w:cstheme="majorBidi"/>
          <w:sz w:val="24"/>
          <w:szCs w:val="24"/>
          <w:lang w:eastAsia="zh-TW"/>
        </w:rPr>
        <w:t>There were, however, some variations in the tissue response between participants particularly during the latter phases of the test protocol. Thus in the initial supine phase, the participants demonstrated minimal changes in TcPO</w:t>
      </w:r>
      <w:r w:rsidRPr="00325486">
        <w:rPr>
          <w:rFonts w:asciiTheme="majorHAnsi" w:eastAsia="PMingLiU" w:hAnsiTheme="majorHAnsi" w:cstheme="majorBidi"/>
          <w:sz w:val="24"/>
          <w:szCs w:val="24"/>
          <w:vertAlign w:val="subscript"/>
          <w:lang w:eastAsia="zh-TW"/>
        </w:rPr>
        <w:t>2</w:t>
      </w:r>
      <w:r w:rsidRPr="00325486">
        <w:rPr>
          <w:rFonts w:asciiTheme="majorHAnsi" w:eastAsia="PMingLiU" w:hAnsiTheme="majorHAnsi" w:cstheme="majorBidi"/>
          <w:sz w:val="24"/>
          <w:szCs w:val="24"/>
          <w:lang w:eastAsia="zh-TW"/>
        </w:rPr>
        <w:t xml:space="preserve"> and TcPCO</w:t>
      </w:r>
      <w:r w:rsidRPr="00325486">
        <w:rPr>
          <w:rFonts w:asciiTheme="majorHAnsi" w:eastAsia="PMingLiU" w:hAnsiTheme="majorHAnsi" w:cstheme="majorBidi"/>
          <w:sz w:val="24"/>
          <w:szCs w:val="24"/>
          <w:vertAlign w:val="subscript"/>
          <w:lang w:eastAsia="zh-TW"/>
        </w:rPr>
        <w:t>2</w:t>
      </w:r>
      <w:r w:rsidRPr="00325486">
        <w:rPr>
          <w:rFonts w:asciiTheme="majorHAnsi" w:eastAsia="PMingLiU" w:hAnsiTheme="majorHAnsi" w:cstheme="majorBidi"/>
          <w:sz w:val="24"/>
          <w:szCs w:val="24"/>
          <w:lang w:eastAsia="zh-TW"/>
        </w:rPr>
        <w:t xml:space="preserve"> values (Category 1) for 90% of cases for both tissue sites (Table 1).  Whilst the participant was tilted to the left, shoulder and sacral TcPO</w:t>
      </w:r>
      <w:r w:rsidRPr="00325486">
        <w:rPr>
          <w:rFonts w:asciiTheme="majorHAnsi" w:eastAsia="PMingLiU" w:hAnsiTheme="majorHAnsi" w:cstheme="majorBidi"/>
          <w:sz w:val="24"/>
          <w:szCs w:val="24"/>
          <w:vertAlign w:val="subscript"/>
          <w:lang w:eastAsia="zh-TW"/>
        </w:rPr>
        <w:t>2</w:t>
      </w:r>
      <w:r w:rsidRPr="00325486">
        <w:rPr>
          <w:rFonts w:asciiTheme="majorHAnsi" w:eastAsia="PMingLiU" w:hAnsiTheme="majorHAnsi" w:cstheme="majorBidi"/>
          <w:sz w:val="24"/>
          <w:szCs w:val="24"/>
          <w:lang w:eastAsia="zh-TW"/>
        </w:rPr>
        <w:t xml:space="preserve"> and TcPCO</w:t>
      </w:r>
      <w:r w:rsidRPr="00325486">
        <w:rPr>
          <w:rFonts w:asciiTheme="majorHAnsi" w:eastAsia="PMingLiU" w:hAnsiTheme="majorHAnsi" w:cstheme="majorBidi"/>
          <w:sz w:val="24"/>
          <w:szCs w:val="24"/>
          <w:vertAlign w:val="subscript"/>
          <w:lang w:eastAsia="zh-TW"/>
        </w:rPr>
        <w:t>2</w:t>
      </w:r>
      <w:r w:rsidRPr="00325486">
        <w:rPr>
          <w:rFonts w:asciiTheme="majorHAnsi" w:eastAsia="PMingLiU" w:hAnsiTheme="majorHAnsi" w:cstheme="majorBidi"/>
          <w:sz w:val="24"/>
          <w:szCs w:val="24"/>
          <w:lang w:eastAsia="zh-TW"/>
        </w:rPr>
        <w:t xml:space="preserve"> levels remained stable in most cases (&gt;80%). Only one participant (10%) </w:t>
      </w:r>
      <w:r w:rsidRPr="00325486">
        <w:rPr>
          <w:rFonts w:asciiTheme="majorHAnsi" w:eastAsia="PMingLiU" w:hAnsiTheme="majorHAnsi" w:cstheme="majorBidi"/>
          <w:sz w:val="24"/>
          <w:szCs w:val="24"/>
          <w:lang w:eastAsia="zh-TW"/>
        </w:rPr>
        <w:lastRenderedPageBreak/>
        <w:t xml:space="preserve">exhibited a change in sacral category, which was observed during both test protocols.  During the second supine phase, sacral responses remained stable (Category 1-2) for all participants (Table 1). However, one participant on LPR and two participants during manual tilt exhibited a Category 3 response at the shoulder.  The right tilt phase revealed an increasing number of Category 2 (Figure 3A and Figure 3B) and Category 3 observations at the shoulder. During the final supine phase for LPR session, all participants recovered to a Category 1-2 at the shoulder (Figure 3C). By contrast, Category 3 was maintained at the shoulder during manual protocol in 30% of cases (Figure 3D). It is interesting to note that two of these participants demonstrated this Category 3 response for both test protocols (Figure 4A and Figure 4B). During the final supine phase, the response at the sacrum had recovered for both LPR and manual protocols with all participants exhibiting Category 1 or 2 responses. </w:t>
      </w:r>
    </w:p>
    <w:p w:rsidR="00F20BC8" w:rsidRPr="00325486" w:rsidRDefault="00F20BC8" w:rsidP="00F20BC8">
      <w:pPr>
        <w:spacing w:line="480" w:lineRule="auto"/>
        <w:jc w:val="center"/>
        <w:rPr>
          <w:rFonts w:asciiTheme="majorHAnsi" w:eastAsia="PMingLiU" w:hAnsiTheme="majorHAnsi" w:cstheme="majorBidi"/>
          <w:i/>
          <w:iCs/>
          <w:sz w:val="24"/>
          <w:szCs w:val="24"/>
          <w:lang w:eastAsia="zh-TW"/>
        </w:rPr>
      </w:pPr>
    </w:p>
    <w:p w:rsidR="00F20BC8" w:rsidRDefault="00F20BC8" w:rsidP="00F20BC8">
      <w:pPr>
        <w:spacing w:line="480" w:lineRule="auto"/>
        <w:rPr>
          <w:rFonts w:asciiTheme="majorHAnsi" w:hAnsiTheme="majorHAnsi" w:cstheme="majorBidi"/>
          <w:i/>
          <w:iCs/>
          <w:sz w:val="24"/>
          <w:szCs w:val="24"/>
          <w:lang w:eastAsia="fr-FR"/>
        </w:rPr>
      </w:pPr>
    </w:p>
    <w:p w:rsidR="00187183" w:rsidRDefault="00187183" w:rsidP="00F20BC8">
      <w:pPr>
        <w:spacing w:line="480" w:lineRule="auto"/>
        <w:rPr>
          <w:rFonts w:asciiTheme="majorHAnsi" w:hAnsiTheme="majorHAnsi" w:cstheme="majorBidi"/>
          <w:i/>
          <w:iCs/>
          <w:sz w:val="24"/>
          <w:szCs w:val="24"/>
          <w:lang w:eastAsia="fr-FR"/>
        </w:rPr>
      </w:pPr>
    </w:p>
    <w:p w:rsidR="00187183" w:rsidRDefault="00187183" w:rsidP="00F20BC8">
      <w:pPr>
        <w:spacing w:line="480" w:lineRule="auto"/>
        <w:rPr>
          <w:rFonts w:asciiTheme="majorHAnsi" w:hAnsiTheme="majorHAnsi" w:cstheme="majorBidi"/>
          <w:i/>
          <w:iCs/>
          <w:sz w:val="24"/>
          <w:szCs w:val="24"/>
          <w:lang w:eastAsia="fr-FR"/>
        </w:rPr>
      </w:pPr>
    </w:p>
    <w:p w:rsidR="00187183" w:rsidRDefault="00187183" w:rsidP="00187183">
      <w:pPr>
        <w:spacing w:line="480" w:lineRule="auto"/>
        <w:jc w:val="center"/>
        <w:rPr>
          <w:rFonts w:asciiTheme="majorHAnsi" w:eastAsia="PMingLiU" w:hAnsiTheme="majorHAnsi" w:cstheme="majorBidi"/>
          <w:i/>
          <w:iCs/>
          <w:sz w:val="24"/>
          <w:szCs w:val="24"/>
          <w:lang w:eastAsia="zh-TW"/>
        </w:rPr>
        <w:sectPr w:rsidR="00187183" w:rsidSect="00AC099D">
          <w:pgSz w:w="11906" w:h="16838"/>
          <w:pgMar w:top="1440" w:right="1440" w:bottom="1440" w:left="1440" w:header="708" w:footer="708" w:gutter="0"/>
          <w:lnNumType w:countBy="1" w:restart="continuous"/>
          <w:cols w:space="708"/>
          <w:docGrid w:linePitch="360"/>
        </w:sectPr>
      </w:pPr>
    </w:p>
    <w:p w:rsidR="00187183" w:rsidRDefault="00187183" w:rsidP="00187183">
      <w:pPr>
        <w:spacing w:line="480" w:lineRule="auto"/>
        <w:jc w:val="center"/>
        <w:rPr>
          <w:rFonts w:cstheme="majorBidi"/>
          <w:lang w:eastAsia="fr-FR"/>
        </w:rPr>
      </w:pPr>
      <w:r w:rsidRPr="00187183">
        <w:rPr>
          <w:rFonts w:asciiTheme="majorHAnsi" w:eastAsia="PMingLiU" w:hAnsiTheme="majorHAnsi" w:cstheme="majorBidi"/>
          <w:i/>
          <w:iCs/>
          <w:sz w:val="24"/>
          <w:szCs w:val="24"/>
          <w:lang w:eastAsia="zh-TW"/>
        </w:rPr>
        <w:lastRenderedPageBreak/>
        <w:t xml:space="preserve">Table 1.  </w:t>
      </w:r>
      <w:r w:rsidRPr="00187183">
        <w:rPr>
          <w:rFonts w:cstheme="majorBidi"/>
          <w:lang w:eastAsia="fr-FR"/>
        </w:rPr>
        <w:t>Summary of the physiological response from the ten healthy participants as defined by the Chai and Bader 2013 criteria (Section 2.4), for each postural phase of both LPR and Manual protocols.</w:t>
      </w:r>
    </w:p>
    <w:tbl>
      <w:tblPr>
        <w:tblW w:w="14280" w:type="dxa"/>
        <w:tblInd w:w="-106" w:type="dxa"/>
        <w:tblLook w:val="00A0" w:firstRow="1" w:lastRow="0" w:firstColumn="1" w:lastColumn="0" w:noHBand="0" w:noVBand="0"/>
      </w:tblPr>
      <w:tblGrid>
        <w:gridCol w:w="1179"/>
        <w:gridCol w:w="638"/>
        <w:gridCol w:w="559"/>
        <w:gridCol w:w="638"/>
        <w:gridCol w:w="693"/>
        <w:gridCol w:w="637"/>
        <w:gridCol w:w="637"/>
        <w:gridCol w:w="558"/>
        <w:gridCol w:w="637"/>
        <w:gridCol w:w="693"/>
        <w:gridCol w:w="637"/>
        <w:gridCol w:w="225"/>
        <w:gridCol w:w="637"/>
        <w:gridCol w:w="558"/>
        <w:gridCol w:w="637"/>
        <w:gridCol w:w="693"/>
        <w:gridCol w:w="637"/>
        <w:gridCol w:w="637"/>
        <w:gridCol w:w="558"/>
        <w:gridCol w:w="637"/>
        <w:gridCol w:w="693"/>
        <w:gridCol w:w="637"/>
        <w:gridCol w:w="225"/>
      </w:tblGrid>
      <w:tr w:rsidR="00187183" w:rsidRPr="009011EB" w:rsidTr="00187183">
        <w:tc>
          <w:tcPr>
            <w:tcW w:w="0" w:type="auto"/>
            <w:gridSpan w:val="11"/>
            <w:tcBorders>
              <w:top w:val="single" w:sz="4" w:space="0" w:color="auto"/>
              <w:bottom w:val="single" w:sz="4" w:space="0" w:color="auto"/>
              <w:right w:val="single" w:sz="4" w:space="0" w:color="auto"/>
            </w:tcBorders>
          </w:tcPr>
          <w:p w:rsidR="00187183" w:rsidRPr="002F7ACA" w:rsidRDefault="00187183" w:rsidP="00187183">
            <w:pPr>
              <w:jc w:val="center"/>
              <w:rPr>
                <w:rFonts w:ascii="Arial" w:eastAsia="PMingLiU" w:hAnsi="Arial" w:cs="Arial"/>
                <w:b/>
                <w:bCs/>
                <w:sz w:val="20"/>
                <w:szCs w:val="20"/>
                <w:lang w:eastAsia="zh-TW"/>
              </w:rPr>
            </w:pPr>
            <w:r w:rsidRPr="002F7ACA">
              <w:rPr>
                <w:rFonts w:ascii="Arial" w:eastAsia="PMingLiU" w:hAnsi="Arial" w:cs="Arial"/>
                <w:b/>
                <w:bCs/>
                <w:sz w:val="20"/>
                <w:szCs w:val="20"/>
                <w:lang w:eastAsia="zh-TW"/>
              </w:rPr>
              <w:t xml:space="preserve">                              Shoulder</w:t>
            </w:r>
          </w:p>
        </w:tc>
        <w:tc>
          <w:tcPr>
            <w:tcW w:w="0" w:type="auto"/>
            <w:gridSpan w:val="12"/>
            <w:tcBorders>
              <w:top w:val="single" w:sz="4" w:space="0" w:color="auto"/>
              <w:left w:val="single" w:sz="4" w:space="0" w:color="auto"/>
              <w:bottom w:val="single" w:sz="4" w:space="0" w:color="auto"/>
            </w:tcBorders>
          </w:tcPr>
          <w:p w:rsidR="00187183" w:rsidRPr="002F7ACA" w:rsidRDefault="00187183" w:rsidP="00187183">
            <w:pPr>
              <w:jc w:val="center"/>
              <w:rPr>
                <w:rFonts w:ascii="Arial" w:eastAsia="PMingLiU" w:hAnsi="Arial" w:cs="Arial"/>
                <w:b/>
                <w:bCs/>
                <w:sz w:val="20"/>
                <w:szCs w:val="20"/>
                <w:lang w:eastAsia="zh-TW"/>
              </w:rPr>
            </w:pPr>
            <w:r w:rsidRPr="002F7ACA">
              <w:rPr>
                <w:rFonts w:ascii="Arial" w:eastAsia="PMingLiU" w:hAnsi="Arial" w:cs="Arial"/>
                <w:b/>
                <w:bCs/>
                <w:sz w:val="20"/>
                <w:szCs w:val="20"/>
                <w:lang w:eastAsia="zh-TW"/>
              </w:rPr>
              <w:t>Sacrum</w:t>
            </w:r>
          </w:p>
        </w:tc>
      </w:tr>
      <w:tr w:rsidR="00187183" w:rsidRPr="009011EB" w:rsidTr="00187183">
        <w:tc>
          <w:tcPr>
            <w:tcW w:w="0" w:type="auto"/>
            <w:vMerge w:val="restart"/>
            <w:tcBorders>
              <w:top w:val="single" w:sz="4" w:space="0" w:color="auto"/>
              <w:bottom w:val="single" w:sz="4" w:space="0" w:color="auto"/>
              <w:right w:val="single" w:sz="4" w:space="0" w:color="auto"/>
            </w:tcBorders>
            <w:vAlign w:val="center"/>
          </w:tcPr>
          <w:p w:rsidR="00187183" w:rsidRPr="002F7ACA" w:rsidRDefault="00187183" w:rsidP="00187183">
            <w:pPr>
              <w:jc w:val="center"/>
              <w:rPr>
                <w:rFonts w:ascii="Arial" w:eastAsia="PMingLiU" w:hAnsi="Arial"/>
                <w:sz w:val="20"/>
                <w:szCs w:val="20"/>
                <w:lang w:eastAsia="zh-TW"/>
              </w:rPr>
            </w:pPr>
            <w:r w:rsidRPr="002F7ACA">
              <w:rPr>
                <w:rFonts w:ascii="Arial" w:eastAsia="PMingLiU" w:hAnsi="Arial" w:cs="Arial"/>
                <w:sz w:val="20"/>
                <w:szCs w:val="20"/>
                <w:lang w:eastAsia="zh-TW"/>
              </w:rPr>
              <w:t>Participant</w:t>
            </w:r>
          </w:p>
        </w:tc>
        <w:tc>
          <w:tcPr>
            <w:tcW w:w="0" w:type="auto"/>
            <w:gridSpan w:val="5"/>
            <w:tcBorders>
              <w:top w:val="single" w:sz="4" w:space="0" w:color="auto"/>
              <w:bottom w:val="single" w:sz="4" w:space="0" w:color="auto"/>
              <w:right w:val="single" w:sz="12"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LPR</w:t>
            </w:r>
          </w:p>
        </w:tc>
        <w:tc>
          <w:tcPr>
            <w:tcW w:w="0" w:type="auto"/>
            <w:gridSpan w:val="5"/>
            <w:tcBorders>
              <w:top w:val="single" w:sz="4" w:space="0" w:color="auto"/>
              <w:left w:val="single" w:sz="12" w:space="0" w:color="auto"/>
              <w:bottom w:val="single" w:sz="4" w:space="0" w:color="auto"/>
              <w:right w:val="single" w:sz="4"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Manual</w:t>
            </w:r>
          </w:p>
        </w:tc>
        <w:tc>
          <w:tcPr>
            <w:tcW w:w="0" w:type="auto"/>
            <w:tcBorders>
              <w:top w:val="single" w:sz="4" w:space="0" w:color="auto"/>
              <w:left w:val="single" w:sz="4" w:space="0" w:color="auto"/>
              <w:bottom w:val="single" w:sz="4" w:space="0" w:color="auto"/>
            </w:tcBorders>
          </w:tcPr>
          <w:p w:rsidR="00187183" w:rsidRPr="002F7ACA" w:rsidRDefault="00187183" w:rsidP="00187183">
            <w:pPr>
              <w:jc w:val="center"/>
              <w:rPr>
                <w:rFonts w:ascii="Arial" w:eastAsia="PMingLiU" w:hAnsi="Arial" w:cs="Arial"/>
                <w:sz w:val="20"/>
                <w:szCs w:val="20"/>
                <w:lang w:eastAsia="zh-TW"/>
              </w:rPr>
            </w:pPr>
          </w:p>
        </w:tc>
        <w:tc>
          <w:tcPr>
            <w:tcW w:w="0" w:type="auto"/>
            <w:gridSpan w:val="5"/>
            <w:tcBorders>
              <w:top w:val="single" w:sz="4" w:space="0" w:color="auto"/>
              <w:bottom w:val="single" w:sz="4" w:space="0" w:color="auto"/>
              <w:right w:val="single" w:sz="4"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LPR</w:t>
            </w:r>
          </w:p>
        </w:tc>
        <w:tc>
          <w:tcPr>
            <w:tcW w:w="0" w:type="auto"/>
            <w:gridSpan w:val="6"/>
            <w:tcBorders>
              <w:top w:val="single" w:sz="4" w:space="0" w:color="auto"/>
              <w:left w:val="single" w:sz="4" w:space="0" w:color="auto"/>
              <w:bottom w:val="single" w:sz="4"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Manual</w:t>
            </w:r>
          </w:p>
        </w:tc>
      </w:tr>
      <w:tr w:rsidR="00187183" w:rsidRPr="009011EB" w:rsidTr="00187183">
        <w:tc>
          <w:tcPr>
            <w:tcW w:w="0" w:type="auto"/>
            <w:vMerge/>
            <w:tcBorders>
              <w:top w:val="single" w:sz="4" w:space="0" w:color="auto"/>
              <w:bottom w:val="single" w:sz="4" w:space="0" w:color="auto"/>
              <w:right w:val="single" w:sz="4" w:space="0" w:color="auto"/>
            </w:tcBorders>
            <w:vAlign w:val="center"/>
          </w:tcPr>
          <w:p w:rsidR="00187183" w:rsidRPr="002F7ACA" w:rsidRDefault="00187183" w:rsidP="00187183">
            <w:pPr>
              <w:jc w:val="center"/>
              <w:rPr>
                <w:rFonts w:ascii="Arial" w:eastAsia="PMingLiU" w:hAnsi="Arial"/>
                <w:sz w:val="20"/>
                <w:szCs w:val="20"/>
                <w:lang w:eastAsia="zh-TW"/>
              </w:rPr>
            </w:pPr>
          </w:p>
        </w:tc>
        <w:tc>
          <w:tcPr>
            <w:tcW w:w="0" w:type="auto"/>
            <w:tcBorders>
              <w:top w:val="single" w:sz="4" w:space="0" w:color="auto"/>
              <w:bottom w:val="single" w:sz="4"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Sup.</w:t>
            </w:r>
          </w:p>
        </w:tc>
        <w:tc>
          <w:tcPr>
            <w:tcW w:w="0" w:type="auto"/>
            <w:tcBorders>
              <w:top w:val="single" w:sz="4" w:space="0" w:color="auto"/>
              <w:left w:val="nil"/>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Left</w:t>
            </w:r>
          </w:p>
        </w:tc>
        <w:tc>
          <w:tcPr>
            <w:tcW w:w="0" w:type="auto"/>
            <w:tcBorders>
              <w:top w:val="single" w:sz="4" w:space="0" w:color="auto"/>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Sup.</w:t>
            </w:r>
          </w:p>
        </w:tc>
        <w:tc>
          <w:tcPr>
            <w:tcW w:w="0" w:type="auto"/>
            <w:tcBorders>
              <w:top w:val="single" w:sz="4" w:space="0" w:color="auto"/>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Right</w:t>
            </w:r>
          </w:p>
        </w:tc>
        <w:tc>
          <w:tcPr>
            <w:tcW w:w="0" w:type="auto"/>
            <w:tcBorders>
              <w:top w:val="single" w:sz="4" w:space="0" w:color="auto"/>
              <w:bottom w:val="single" w:sz="4" w:space="0" w:color="auto"/>
              <w:right w:val="single" w:sz="12"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Sup.</w:t>
            </w:r>
          </w:p>
        </w:tc>
        <w:tc>
          <w:tcPr>
            <w:tcW w:w="0" w:type="auto"/>
            <w:tcBorders>
              <w:top w:val="single" w:sz="4" w:space="0" w:color="auto"/>
              <w:left w:val="single" w:sz="12" w:space="0" w:color="auto"/>
              <w:bottom w:val="single" w:sz="4"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Sup.</w:t>
            </w:r>
          </w:p>
        </w:tc>
        <w:tc>
          <w:tcPr>
            <w:tcW w:w="0" w:type="auto"/>
            <w:tcBorders>
              <w:top w:val="single" w:sz="4" w:space="0" w:color="auto"/>
              <w:left w:val="nil"/>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Left</w:t>
            </w:r>
          </w:p>
        </w:tc>
        <w:tc>
          <w:tcPr>
            <w:tcW w:w="0" w:type="auto"/>
            <w:tcBorders>
              <w:top w:val="single" w:sz="4" w:space="0" w:color="auto"/>
              <w:left w:val="nil"/>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Sup.</w:t>
            </w:r>
          </w:p>
        </w:tc>
        <w:tc>
          <w:tcPr>
            <w:tcW w:w="0" w:type="auto"/>
            <w:tcBorders>
              <w:top w:val="single" w:sz="4" w:space="0" w:color="auto"/>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Right</w:t>
            </w:r>
          </w:p>
        </w:tc>
        <w:tc>
          <w:tcPr>
            <w:tcW w:w="0" w:type="auto"/>
            <w:tcBorders>
              <w:top w:val="single" w:sz="4" w:space="0" w:color="auto"/>
              <w:bottom w:val="single" w:sz="4" w:space="0" w:color="auto"/>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Sup.</w:t>
            </w:r>
          </w:p>
        </w:tc>
        <w:tc>
          <w:tcPr>
            <w:tcW w:w="0" w:type="auto"/>
            <w:tcBorders>
              <w:top w:val="single" w:sz="4" w:space="0" w:color="auto"/>
              <w:left w:val="single" w:sz="4" w:space="0" w:color="auto"/>
              <w:bottom w:val="single" w:sz="4" w:space="0" w:color="auto"/>
            </w:tcBorders>
          </w:tcPr>
          <w:p w:rsidR="00187183" w:rsidRPr="002F7ACA" w:rsidRDefault="00187183" w:rsidP="00187183">
            <w:pPr>
              <w:jc w:val="center"/>
              <w:rPr>
                <w:rFonts w:ascii="Arial" w:eastAsia="PMingLiU" w:hAnsi="Arial" w:cs="Arial"/>
                <w:sz w:val="20"/>
                <w:szCs w:val="20"/>
                <w:lang w:eastAsia="zh-TW"/>
              </w:rPr>
            </w:pPr>
          </w:p>
        </w:tc>
        <w:tc>
          <w:tcPr>
            <w:tcW w:w="0" w:type="auto"/>
            <w:tcBorders>
              <w:top w:val="single" w:sz="4" w:space="0" w:color="auto"/>
              <w:bottom w:val="single" w:sz="4"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Sup.</w:t>
            </w:r>
          </w:p>
        </w:tc>
        <w:tc>
          <w:tcPr>
            <w:tcW w:w="0" w:type="auto"/>
            <w:tcBorders>
              <w:top w:val="single" w:sz="4" w:space="0" w:color="auto"/>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Left</w:t>
            </w:r>
          </w:p>
        </w:tc>
        <w:tc>
          <w:tcPr>
            <w:tcW w:w="0" w:type="auto"/>
            <w:tcBorders>
              <w:top w:val="single" w:sz="4" w:space="0" w:color="auto"/>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Sup.</w:t>
            </w:r>
          </w:p>
        </w:tc>
        <w:tc>
          <w:tcPr>
            <w:tcW w:w="0" w:type="auto"/>
            <w:tcBorders>
              <w:top w:val="single" w:sz="4" w:space="0" w:color="auto"/>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Right</w:t>
            </w:r>
          </w:p>
        </w:tc>
        <w:tc>
          <w:tcPr>
            <w:tcW w:w="0" w:type="auto"/>
            <w:tcBorders>
              <w:top w:val="single" w:sz="4" w:space="0" w:color="auto"/>
              <w:bottom w:val="single" w:sz="4" w:space="0" w:color="auto"/>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Sup.</w:t>
            </w:r>
          </w:p>
        </w:tc>
        <w:tc>
          <w:tcPr>
            <w:tcW w:w="0" w:type="auto"/>
            <w:tcBorders>
              <w:top w:val="single" w:sz="4" w:space="0" w:color="auto"/>
              <w:left w:val="single" w:sz="4" w:space="0" w:color="auto"/>
              <w:bottom w:val="single" w:sz="4"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Sup.</w:t>
            </w:r>
          </w:p>
        </w:tc>
        <w:tc>
          <w:tcPr>
            <w:tcW w:w="0" w:type="auto"/>
            <w:tcBorders>
              <w:top w:val="single" w:sz="4" w:space="0" w:color="auto"/>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Left</w:t>
            </w:r>
          </w:p>
        </w:tc>
        <w:tc>
          <w:tcPr>
            <w:tcW w:w="0" w:type="auto"/>
            <w:tcBorders>
              <w:top w:val="single" w:sz="4" w:space="0" w:color="auto"/>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Sup.</w:t>
            </w:r>
          </w:p>
        </w:tc>
        <w:tc>
          <w:tcPr>
            <w:tcW w:w="0" w:type="auto"/>
            <w:tcBorders>
              <w:top w:val="single" w:sz="4" w:space="0" w:color="auto"/>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Right</w:t>
            </w:r>
          </w:p>
        </w:tc>
        <w:tc>
          <w:tcPr>
            <w:tcW w:w="0" w:type="auto"/>
            <w:tcBorders>
              <w:top w:val="single" w:sz="4" w:space="0" w:color="auto"/>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Sup.</w:t>
            </w:r>
          </w:p>
        </w:tc>
        <w:tc>
          <w:tcPr>
            <w:tcW w:w="0" w:type="auto"/>
            <w:tcBorders>
              <w:top w:val="single" w:sz="4" w:space="0" w:color="auto"/>
              <w:bottom w:val="single" w:sz="4" w:space="0" w:color="auto"/>
            </w:tcBorders>
          </w:tcPr>
          <w:p w:rsidR="00187183" w:rsidRPr="002F7ACA" w:rsidRDefault="00187183" w:rsidP="00187183">
            <w:pPr>
              <w:jc w:val="center"/>
              <w:rPr>
                <w:rFonts w:ascii="Arial" w:eastAsia="PMingLiU" w:hAnsi="Arial" w:cs="Arial"/>
                <w:sz w:val="20"/>
                <w:szCs w:val="20"/>
                <w:lang w:eastAsia="zh-TW"/>
              </w:rPr>
            </w:pPr>
          </w:p>
        </w:tc>
      </w:tr>
      <w:tr w:rsidR="00187183" w:rsidRPr="009011EB" w:rsidTr="00187183">
        <w:tc>
          <w:tcPr>
            <w:tcW w:w="0" w:type="auto"/>
            <w:tcBorders>
              <w:top w:val="single" w:sz="4" w:space="0" w:color="auto"/>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top w:val="single" w:sz="4"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top w:val="single" w:sz="4" w:space="0" w:color="auto"/>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top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top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3</w:t>
            </w:r>
          </w:p>
        </w:tc>
        <w:tc>
          <w:tcPr>
            <w:tcW w:w="0" w:type="auto"/>
            <w:tcBorders>
              <w:top w:val="single" w:sz="4" w:space="0" w:color="auto"/>
              <w:right w:val="single" w:sz="12"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top w:val="single" w:sz="4" w:space="0" w:color="auto"/>
              <w:left w:val="single" w:sz="12"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top w:val="single" w:sz="4" w:space="0" w:color="auto"/>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top w:val="single" w:sz="4" w:space="0" w:color="auto"/>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top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3</w:t>
            </w:r>
          </w:p>
        </w:tc>
        <w:tc>
          <w:tcPr>
            <w:tcW w:w="0" w:type="auto"/>
            <w:tcBorders>
              <w:top w:val="single" w:sz="4" w:space="0" w:color="auto"/>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top w:val="single" w:sz="4" w:space="0" w:color="auto"/>
              <w:left w:val="single" w:sz="4" w:space="0" w:color="auto"/>
            </w:tcBorders>
          </w:tcPr>
          <w:p w:rsidR="00187183" w:rsidRPr="002F7ACA" w:rsidRDefault="00187183" w:rsidP="00187183">
            <w:pPr>
              <w:jc w:val="center"/>
              <w:rPr>
                <w:rFonts w:ascii="Arial" w:eastAsia="PMingLiU" w:hAnsi="Arial" w:cs="Arial"/>
                <w:sz w:val="20"/>
                <w:szCs w:val="20"/>
                <w:lang w:eastAsia="zh-TW"/>
              </w:rPr>
            </w:pPr>
          </w:p>
        </w:tc>
        <w:tc>
          <w:tcPr>
            <w:tcW w:w="0" w:type="auto"/>
            <w:tcBorders>
              <w:top w:val="single" w:sz="4"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top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top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top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top w:val="single" w:sz="4" w:space="0" w:color="auto"/>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top w:val="single" w:sz="4" w:space="0" w:color="auto"/>
              <w:left w:val="single" w:sz="4"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top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top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top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top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top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p>
        </w:tc>
      </w:tr>
      <w:tr w:rsidR="00187183" w:rsidRPr="009011EB" w:rsidTr="00187183">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3</w:t>
            </w:r>
          </w:p>
        </w:tc>
        <w:tc>
          <w:tcPr>
            <w:tcW w:w="0" w:type="auto"/>
            <w:tcBorders>
              <w:right w:val="single" w:sz="12"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left w:val="single" w:sz="12"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3</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3</w:t>
            </w:r>
          </w:p>
        </w:tc>
        <w:tc>
          <w:tcPr>
            <w:tcW w:w="0" w:type="auto"/>
            <w:tcBorders>
              <w:left w:val="single" w:sz="4" w:space="0" w:color="auto"/>
            </w:tcBorders>
          </w:tcPr>
          <w:p w:rsidR="00187183" w:rsidRPr="002F7ACA" w:rsidRDefault="00187183" w:rsidP="00187183">
            <w:pPr>
              <w:jc w:val="center"/>
              <w:rPr>
                <w:rFonts w:ascii="Arial" w:eastAsia="PMingLiU" w:hAnsi="Arial" w:cs="Arial"/>
                <w:sz w:val="20"/>
                <w:szCs w:val="20"/>
                <w:lang w:eastAsia="zh-TW"/>
              </w:rPr>
            </w:pPr>
          </w:p>
        </w:tc>
        <w:tc>
          <w:tcPr>
            <w:tcW w:w="0" w:type="auto"/>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single" w:sz="4"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vAlign w:val="center"/>
          </w:tcPr>
          <w:p w:rsidR="00187183" w:rsidRPr="002F7ACA" w:rsidRDefault="00187183" w:rsidP="00187183">
            <w:pPr>
              <w:jc w:val="center"/>
              <w:rPr>
                <w:rFonts w:ascii="Arial" w:eastAsia="PMingLiU" w:hAnsi="Arial" w:cs="Arial"/>
                <w:sz w:val="20"/>
                <w:szCs w:val="20"/>
                <w:lang w:eastAsia="zh-TW"/>
              </w:rPr>
            </w:pPr>
          </w:p>
        </w:tc>
      </w:tr>
      <w:tr w:rsidR="00187183" w:rsidRPr="009011EB" w:rsidTr="00187183">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3</w:t>
            </w:r>
          </w:p>
        </w:tc>
        <w:tc>
          <w:tcPr>
            <w:tcW w:w="0" w:type="auto"/>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right w:val="single" w:sz="12"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single" w:sz="12"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single" w:sz="4" w:space="0" w:color="auto"/>
            </w:tcBorders>
          </w:tcPr>
          <w:p w:rsidR="00187183" w:rsidRPr="002F7ACA" w:rsidRDefault="00187183" w:rsidP="00187183">
            <w:pPr>
              <w:jc w:val="center"/>
              <w:rPr>
                <w:rFonts w:ascii="Arial" w:eastAsia="PMingLiU" w:hAnsi="Arial" w:cs="Arial"/>
                <w:sz w:val="20"/>
                <w:szCs w:val="20"/>
                <w:lang w:eastAsia="zh-TW"/>
              </w:rPr>
            </w:pPr>
          </w:p>
        </w:tc>
        <w:tc>
          <w:tcPr>
            <w:tcW w:w="0" w:type="auto"/>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single" w:sz="4"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p>
        </w:tc>
      </w:tr>
      <w:tr w:rsidR="00187183" w:rsidRPr="009011EB" w:rsidTr="00187183">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4</w:t>
            </w:r>
          </w:p>
        </w:tc>
        <w:tc>
          <w:tcPr>
            <w:tcW w:w="0" w:type="auto"/>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3</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right w:val="single" w:sz="12"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left w:val="single" w:sz="12"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3</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left w:val="single" w:sz="4" w:space="0" w:color="auto"/>
            </w:tcBorders>
          </w:tcPr>
          <w:p w:rsidR="00187183" w:rsidRPr="002F7ACA" w:rsidRDefault="00187183" w:rsidP="00187183">
            <w:pPr>
              <w:jc w:val="center"/>
              <w:rPr>
                <w:rFonts w:ascii="Arial" w:eastAsia="PMingLiU" w:hAnsi="Arial" w:cs="Arial"/>
                <w:sz w:val="20"/>
                <w:szCs w:val="20"/>
                <w:lang w:eastAsia="zh-TW"/>
              </w:rPr>
            </w:pPr>
          </w:p>
        </w:tc>
        <w:tc>
          <w:tcPr>
            <w:tcW w:w="0" w:type="auto"/>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3</w:t>
            </w:r>
          </w:p>
        </w:tc>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left w:val="single" w:sz="4"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p>
        </w:tc>
      </w:tr>
      <w:tr w:rsidR="00187183" w:rsidRPr="009011EB" w:rsidTr="00187183">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5</w:t>
            </w:r>
          </w:p>
        </w:tc>
        <w:tc>
          <w:tcPr>
            <w:tcW w:w="0" w:type="auto"/>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3</w:t>
            </w:r>
          </w:p>
        </w:tc>
        <w:tc>
          <w:tcPr>
            <w:tcW w:w="0" w:type="auto"/>
            <w:tcBorders>
              <w:right w:val="single" w:sz="12"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single" w:sz="12"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3</w:t>
            </w:r>
          </w:p>
        </w:tc>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left w:val="single" w:sz="4" w:space="0" w:color="auto"/>
            </w:tcBorders>
          </w:tcPr>
          <w:p w:rsidR="00187183" w:rsidRPr="002F7ACA" w:rsidRDefault="00187183" w:rsidP="00187183">
            <w:pPr>
              <w:jc w:val="center"/>
              <w:rPr>
                <w:rFonts w:ascii="Arial" w:eastAsia="PMingLiU" w:hAnsi="Arial" w:cs="Arial"/>
                <w:sz w:val="20"/>
                <w:szCs w:val="20"/>
                <w:lang w:eastAsia="zh-TW"/>
              </w:rPr>
            </w:pPr>
          </w:p>
        </w:tc>
        <w:tc>
          <w:tcPr>
            <w:tcW w:w="0" w:type="auto"/>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3</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3</w:t>
            </w:r>
          </w:p>
        </w:tc>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left w:val="single" w:sz="4"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vAlign w:val="center"/>
          </w:tcPr>
          <w:p w:rsidR="00187183" w:rsidRPr="002F7ACA" w:rsidRDefault="00187183" w:rsidP="00187183">
            <w:pPr>
              <w:jc w:val="center"/>
              <w:rPr>
                <w:rFonts w:ascii="Arial" w:eastAsia="PMingLiU" w:hAnsi="Arial" w:cs="Arial"/>
                <w:sz w:val="20"/>
                <w:szCs w:val="20"/>
                <w:lang w:eastAsia="zh-TW"/>
              </w:rPr>
            </w:pPr>
          </w:p>
        </w:tc>
      </w:tr>
      <w:tr w:rsidR="00187183" w:rsidRPr="009011EB" w:rsidTr="00187183">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6</w:t>
            </w:r>
          </w:p>
        </w:tc>
        <w:tc>
          <w:tcPr>
            <w:tcW w:w="0" w:type="auto"/>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right w:val="single" w:sz="12"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single" w:sz="12"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3</w:t>
            </w:r>
          </w:p>
        </w:tc>
        <w:tc>
          <w:tcPr>
            <w:tcW w:w="0" w:type="auto"/>
            <w:tcBorders>
              <w:left w:val="single" w:sz="4" w:space="0" w:color="auto"/>
            </w:tcBorders>
          </w:tcPr>
          <w:p w:rsidR="00187183" w:rsidRPr="002F7ACA" w:rsidRDefault="00187183" w:rsidP="00187183">
            <w:pPr>
              <w:jc w:val="center"/>
              <w:rPr>
                <w:rFonts w:ascii="Arial" w:eastAsia="PMingLiU" w:hAnsi="Arial" w:cs="Arial"/>
                <w:sz w:val="20"/>
                <w:szCs w:val="20"/>
                <w:lang w:eastAsia="zh-TW"/>
              </w:rPr>
            </w:pPr>
          </w:p>
        </w:tc>
        <w:tc>
          <w:tcPr>
            <w:tcW w:w="0" w:type="auto"/>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single" w:sz="4"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p>
        </w:tc>
      </w:tr>
      <w:tr w:rsidR="00187183" w:rsidRPr="009011EB" w:rsidTr="00187183">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7</w:t>
            </w:r>
          </w:p>
        </w:tc>
        <w:tc>
          <w:tcPr>
            <w:tcW w:w="0" w:type="auto"/>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right w:val="single" w:sz="12"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single" w:sz="12"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single" w:sz="4" w:space="0" w:color="auto"/>
            </w:tcBorders>
          </w:tcPr>
          <w:p w:rsidR="00187183" w:rsidRPr="002F7ACA" w:rsidRDefault="00187183" w:rsidP="00187183">
            <w:pPr>
              <w:jc w:val="center"/>
              <w:rPr>
                <w:rFonts w:ascii="Arial" w:eastAsia="PMingLiU" w:hAnsi="Arial" w:cs="Arial"/>
                <w:sz w:val="20"/>
                <w:szCs w:val="20"/>
                <w:lang w:eastAsia="zh-TW"/>
              </w:rPr>
            </w:pPr>
          </w:p>
        </w:tc>
        <w:tc>
          <w:tcPr>
            <w:tcW w:w="0" w:type="auto"/>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single" w:sz="4"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p>
        </w:tc>
      </w:tr>
      <w:tr w:rsidR="00187183" w:rsidRPr="009011EB" w:rsidTr="00187183">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8</w:t>
            </w:r>
          </w:p>
        </w:tc>
        <w:tc>
          <w:tcPr>
            <w:tcW w:w="0" w:type="auto"/>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right w:val="single" w:sz="12"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single" w:sz="12"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3</w:t>
            </w:r>
          </w:p>
        </w:tc>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single" w:sz="4" w:space="0" w:color="auto"/>
            </w:tcBorders>
          </w:tcPr>
          <w:p w:rsidR="00187183" w:rsidRPr="002F7ACA" w:rsidRDefault="00187183" w:rsidP="00187183">
            <w:pPr>
              <w:jc w:val="center"/>
              <w:rPr>
                <w:rFonts w:ascii="Arial" w:eastAsia="PMingLiU" w:hAnsi="Arial" w:cs="Arial"/>
                <w:sz w:val="20"/>
                <w:szCs w:val="20"/>
                <w:lang w:eastAsia="zh-TW"/>
              </w:rPr>
            </w:pPr>
          </w:p>
        </w:tc>
        <w:tc>
          <w:tcPr>
            <w:tcW w:w="0" w:type="auto"/>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single" w:sz="4"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p>
        </w:tc>
      </w:tr>
      <w:tr w:rsidR="00187183" w:rsidRPr="009011EB" w:rsidTr="00187183">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9</w:t>
            </w:r>
          </w:p>
        </w:tc>
        <w:tc>
          <w:tcPr>
            <w:tcW w:w="0" w:type="auto"/>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right w:val="single" w:sz="12"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single" w:sz="12"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3</w:t>
            </w:r>
          </w:p>
        </w:tc>
        <w:tc>
          <w:tcPr>
            <w:tcW w:w="0" w:type="auto"/>
            <w:tcBorders>
              <w:left w:val="single" w:sz="4" w:space="0" w:color="auto"/>
            </w:tcBorders>
          </w:tcPr>
          <w:p w:rsidR="00187183" w:rsidRPr="002F7ACA" w:rsidRDefault="00187183" w:rsidP="00187183">
            <w:pPr>
              <w:jc w:val="center"/>
              <w:rPr>
                <w:rFonts w:ascii="Arial" w:eastAsia="PMingLiU" w:hAnsi="Arial" w:cs="Arial"/>
                <w:sz w:val="20"/>
                <w:szCs w:val="20"/>
                <w:lang w:eastAsia="zh-TW"/>
              </w:rPr>
            </w:pPr>
          </w:p>
        </w:tc>
        <w:tc>
          <w:tcPr>
            <w:tcW w:w="0" w:type="auto"/>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single" w:sz="4"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vAlign w:val="center"/>
          </w:tcPr>
          <w:p w:rsidR="00187183" w:rsidRPr="002F7ACA" w:rsidRDefault="00187183" w:rsidP="00187183">
            <w:pPr>
              <w:jc w:val="center"/>
              <w:rPr>
                <w:rFonts w:ascii="Arial" w:eastAsia="PMingLiU" w:hAnsi="Arial" w:cs="Arial"/>
                <w:sz w:val="20"/>
                <w:szCs w:val="20"/>
                <w:lang w:eastAsia="zh-TW"/>
              </w:rPr>
            </w:pPr>
          </w:p>
        </w:tc>
      </w:tr>
      <w:tr w:rsidR="00187183" w:rsidRPr="009011EB" w:rsidTr="00187183">
        <w:tc>
          <w:tcPr>
            <w:tcW w:w="0" w:type="auto"/>
            <w:tcBorders>
              <w:bottom w:val="single" w:sz="4" w:space="0" w:color="auto"/>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10</w:t>
            </w:r>
          </w:p>
        </w:tc>
        <w:tc>
          <w:tcPr>
            <w:tcW w:w="0" w:type="auto"/>
            <w:tcBorders>
              <w:bottom w:val="single" w:sz="4"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bottom w:val="single" w:sz="4" w:space="0" w:color="auto"/>
              <w:right w:val="single" w:sz="12"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single" w:sz="12" w:space="0" w:color="auto"/>
              <w:bottom w:val="single" w:sz="4"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nil"/>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bottom w:val="single" w:sz="4" w:space="0" w:color="auto"/>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2</w:t>
            </w:r>
          </w:p>
        </w:tc>
        <w:tc>
          <w:tcPr>
            <w:tcW w:w="0" w:type="auto"/>
            <w:tcBorders>
              <w:left w:val="single" w:sz="4" w:space="0" w:color="auto"/>
              <w:bottom w:val="single" w:sz="4" w:space="0" w:color="auto"/>
            </w:tcBorders>
          </w:tcPr>
          <w:p w:rsidR="00187183" w:rsidRPr="002F7ACA" w:rsidRDefault="00187183" w:rsidP="00187183">
            <w:pPr>
              <w:jc w:val="center"/>
              <w:rPr>
                <w:rFonts w:ascii="Arial" w:eastAsia="PMingLiU" w:hAnsi="Arial" w:cs="Arial"/>
                <w:sz w:val="20"/>
                <w:szCs w:val="20"/>
                <w:lang w:eastAsia="zh-TW"/>
              </w:rPr>
            </w:pPr>
          </w:p>
        </w:tc>
        <w:tc>
          <w:tcPr>
            <w:tcW w:w="0" w:type="auto"/>
            <w:tcBorders>
              <w:bottom w:val="single" w:sz="4"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bottom w:val="single" w:sz="4" w:space="0" w:color="auto"/>
              <w:right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left w:val="single" w:sz="4" w:space="0" w:color="auto"/>
              <w:bottom w:val="single" w:sz="4" w:space="0" w:color="auto"/>
            </w:tcBorders>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r w:rsidRPr="002F7ACA">
              <w:rPr>
                <w:rFonts w:ascii="Arial" w:eastAsia="PMingLiU" w:hAnsi="Arial" w:cs="Arial"/>
                <w:sz w:val="20"/>
                <w:szCs w:val="20"/>
                <w:lang w:eastAsia="zh-TW"/>
              </w:rPr>
              <w:t>1</w:t>
            </w:r>
          </w:p>
        </w:tc>
        <w:tc>
          <w:tcPr>
            <w:tcW w:w="0" w:type="auto"/>
            <w:tcBorders>
              <w:bottom w:val="single" w:sz="4" w:space="0" w:color="auto"/>
            </w:tcBorders>
            <w:vAlign w:val="center"/>
          </w:tcPr>
          <w:p w:rsidR="00187183" w:rsidRPr="002F7ACA" w:rsidRDefault="00187183" w:rsidP="00187183">
            <w:pPr>
              <w:jc w:val="center"/>
              <w:rPr>
                <w:rFonts w:ascii="Arial" w:eastAsia="PMingLiU" w:hAnsi="Arial" w:cs="Arial"/>
                <w:sz w:val="20"/>
                <w:szCs w:val="20"/>
                <w:lang w:eastAsia="zh-TW"/>
              </w:rPr>
            </w:pPr>
          </w:p>
        </w:tc>
      </w:tr>
    </w:tbl>
    <w:p w:rsidR="00187183" w:rsidRPr="004D211B" w:rsidRDefault="00187183" w:rsidP="00187183">
      <w:pPr>
        <w:spacing w:line="480" w:lineRule="auto"/>
        <w:rPr>
          <w:rFonts w:asciiTheme="majorHAnsi" w:eastAsia="PMingLiU" w:hAnsiTheme="majorHAnsi" w:cstheme="majorBidi"/>
          <w:i/>
          <w:iCs/>
          <w:sz w:val="24"/>
          <w:szCs w:val="24"/>
          <w:lang w:eastAsia="zh-TW"/>
        </w:rPr>
      </w:pPr>
      <w:r w:rsidRPr="004D211B">
        <w:rPr>
          <w:rFonts w:asciiTheme="majorHAnsi" w:eastAsia="PMingLiU" w:hAnsiTheme="majorHAnsi" w:cstheme="majorBidi"/>
          <w:i/>
          <w:iCs/>
          <w:sz w:val="24"/>
          <w:szCs w:val="24"/>
          <w:lang w:eastAsia="zh-TW"/>
        </w:rPr>
        <w:t xml:space="preserve"> </w:t>
      </w:r>
    </w:p>
    <w:p w:rsidR="00187183" w:rsidRDefault="00187183" w:rsidP="00187183"/>
    <w:p w:rsidR="00187183" w:rsidRDefault="00187183" w:rsidP="00F20BC8">
      <w:pPr>
        <w:spacing w:line="480" w:lineRule="auto"/>
        <w:rPr>
          <w:rFonts w:asciiTheme="majorHAnsi" w:hAnsiTheme="majorHAnsi" w:cstheme="majorBidi"/>
          <w:i/>
          <w:iCs/>
          <w:sz w:val="24"/>
          <w:szCs w:val="24"/>
          <w:lang w:eastAsia="fr-FR"/>
        </w:rPr>
      </w:pPr>
    </w:p>
    <w:p w:rsidR="00187183" w:rsidRDefault="00187183" w:rsidP="00F20BC8">
      <w:pPr>
        <w:spacing w:line="480" w:lineRule="auto"/>
        <w:rPr>
          <w:rFonts w:asciiTheme="majorHAnsi" w:hAnsiTheme="majorHAnsi" w:cstheme="majorBidi"/>
          <w:i/>
          <w:iCs/>
          <w:sz w:val="24"/>
          <w:szCs w:val="24"/>
          <w:lang w:eastAsia="fr-FR"/>
        </w:rPr>
        <w:sectPr w:rsidR="00187183" w:rsidSect="00187183">
          <w:pgSz w:w="16838" w:h="11906" w:orient="landscape"/>
          <w:pgMar w:top="1440" w:right="1440" w:bottom="1440" w:left="1440" w:header="709" w:footer="709" w:gutter="0"/>
          <w:lnNumType w:countBy="1" w:restart="continuous"/>
          <w:cols w:space="708"/>
          <w:docGrid w:linePitch="360"/>
        </w:sectPr>
      </w:pPr>
    </w:p>
    <w:p w:rsidR="00187183" w:rsidRDefault="00187183" w:rsidP="00F20BC8">
      <w:pPr>
        <w:spacing w:line="480" w:lineRule="auto"/>
        <w:rPr>
          <w:rFonts w:ascii="Times New Roman" w:eastAsia="Times New Roman" w:hAnsi="Times New Roman"/>
          <w:snapToGrid w:val="0"/>
          <w:color w:val="000000"/>
          <w:w w:val="0"/>
          <w:sz w:val="0"/>
          <w:szCs w:val="0"/>
          <w:u w:color="000000"/>
          <w:bdr w:val="none" w:sz="0" w:space="0" w:color="000000"/>
          <w:shd w:val="clear" w:color="000000" w:fill="000000"/>
          <w:lang w:eastAsia="x-none" w:bidi="x-none"/>
        </w:rPr>
      </w:pPr>
      <w:r>
        <w:rPr>
          <w:rFonts w:asciiTheme="majorHAnsi" w:eastAsia="PMingLiU" w:hAnsiTheme="majorHAnsi" w:cstheme="majorBidi"/>
          <w:i/>
          <w:iCs/>
          <w:noProof/>
          <w:sz w:val="24"/>
          <w:szCs w:val="24"/>
          <w:lang w:eastAsia="zh-CN"/>
        </w:rPr>
        <w:lastRenderedPageBreak/>
        <w:drawing>
          <wp:inline distT="0" distB="0" distL="0" distR="0" wp14:anchorId="42FD7EAB" wp14:editId="11F142E3">
            <wp:extent cx="2762698" cy="2151529"/>
            <wp:effectExtent l="0" t="0" r="0" b="1270"/>
            <wp:docPr id="2" name="Picture 2" descr="\\soton.ac.uk\ude\PersonalFiles\Users\prw204\mydocuments\Skin Health\Papers\HillRom turn\Submission 15.09.14\Resubmission\New_Figure 2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ton.ac.uk\ude\PersonalFiles\Users\prw204\mydocuments\Skin Health\Papers\HillRom turn\Submission 15.09.14\Resubmission\New_Figure 2A.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4707" cy="2153094"/>
                    </a:xfrm>
                    <a:prstGeom prst="rect">
                      <a:avLst/>
                    </a:prstGeom>
                    <a:noFill/>
                    <a:ln>
                      <a:noFill/>
                    </a:ln>
                  </pic:spPr>
                </pic:pic>
              </a:graphicData>
            </a:graphic>
          </wp:inline>
        </w:drawing>
      </w:r>
      <w:r w:rsidR="009B20FE" w:rsidRPr="009B20FE">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9B20FE">
        <w:rPr>
          <w:rFonts w:asciiTheme="majorHAnsi" w:eastAsia="PMingLiU" w:hAnsiTheme="majorHAnsi" w:cstheme="majorBidi"/>
          <w:i/>
          <w:iCs/>
          <w:noProof/>
          <w:sz w:val="24"/>
          <w:szCs w:val="24"/>
          <w:lang w:eastAsia="zh-CN"/>
        </w:rPr>
        <w:drawing>
          <wp:inline distT="0" distB="0" distL="0" distR="0" wp14:anchorId="6F9FACFE" wp14:editId="5BBC84C2">
            <wp:extent cx="2851881" cy="2218765"/>
            <wp:effectExtent l="0" t="0" r="5715" b="0"/>
            <wp:docPr id="3" name="Picture 3" descr="\\soton.ac.uk\ude\PersonalFiles\Users\prw204\mydocuments\Skin Health\Papers\HillRom turn\Submission 15.09.14\Resubmission\New_Figure 2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ton.ac.uk\ude\PersonalFiles\Users\prw204\mydocuments\Skin Health\Papers\HillRom turn\Submission 15.09.14\Resubmission\New_Figure 2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1122" cy="2225955"/>
                    </a:xfrm>
                    <a:prstGeom prst="rect">
                      <a:avLst/>
                    </a:prstGeom>
                    <a:noFill/>
                    <a:ln>
                      <a:noFill/>
                    </a:ln>
                  </pic:spPr>
                </pic:pic>
              </a:graphicData>
            </a:graphic>
          </wp:inline>
        </w:drawing>
      </w:r>
    </w:p>
    <w:p w:rsidR="009B20FE" w:rsidRPr="009F6C9F" w:rsidRDefault="009B20FE" w:rsidP="009B20FE">
      <w:pPr>
        <w:spacing w:after="0" w:line="480" w:lineRule="auto"/>
        <w:rPr>
          <w:rFonts w:asciiTheme="majorHAnsi" w:hAnsiTheme="majorHAnsi" w:cstheme="majorBidi"/>
          <w:i/>
          <w:iCs/>
          <w:sz w:val="24"/>
          <w:szCs w:val="24"/>
        </w:rPr>
      </w:pPr>
      <w:r w:rsidRPr="009F6C9F">
        <w:rPr>
          <w:rFonts w:asciiTheme="majorHAnsi" w:hAnsiTheme="majorHAnsi" w:cstheme="majorBidi"/>
          <w:i/>
          <w:iCs/>
          <w:sz w:val="24"/>
          <w:szCs w:val="24"/>
        </w:rPr>
        <w:t>Figure 2. Category One Response at the sacrum (participant 4), (A) LPR protocol (B) manual protocol</w:t>
      </w:r>
    </w:p>
    <w:p w:rsidR="009B20FE" w:rsidRDefault="009B20FE" w:rsidP="00F20BC8">
      <w:pPr>
        <w:spacing w:line="480" w:lineRule="auto"/>
        <w:rPr>
          <w:rFonts w:asciiTheme="majorHAnsi" w:eastAsia="PMingLiU" w:hAnsiTheme="majorHAnsi" w:cstheme="majorBidi"/>
          <w:i/>
          <w:iCs/>
          <w:sz w:val="24"/>
          <w:szCs w:val="24"/>
          <w:lang w:eastAsia="zh-TW"/>
        </w:rPr>
      </w:pPr>
      <w:r>
        <w:rPr>
          <w:rFonts w:asciiTheme="majorHAnsi" w:eastAsia="PMingLiU" w:hAnsiTheme="majorHAnsi" w:cstheme="majorBidi"/>
          <w:i/>
          <w:iCs/>
          <w:noProof/>
          <w:sz w:val="24"/>
          <w:szCs w:val="24"/>
          <w:lang w:eastAsia="zh-CN"/>
        </w:rPr>
        <w:drawing>
          <wp:inline distT="0" distB="0" distL="0" distR="0">
            <wp:extent cx="2675965" cy="2081902"/>
            <wp:effectExtent l="0" t="0" r="0" b="0"/>
            <wp:docPr id="4" name="Picture 4" descr="\\soton.ac.uk\ude\PersonalFiles\Users\prw204\mydocuments\Skin Health\Papers\HillRom turn\Submission 15.09.14\Resubmission\Figure_3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ton.ac.uk\ude\PersonalFiles\Users\prw204\mydocuments\Skin Health\Papers\HillRom turn\Submission 15.09.14\Resubmission\Figure_3A.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0854" cy="2085706"/>
                    </a:xfrm>
                    <a:prstGeom prst="rect">
                      <a:avLst/>
                    </a:prstGeom>
                    <a:noFill/>
                    <a:ln>
                      <a:noFill/>
                    </a:ln>
                  </pic:spPr>
                </pic:pic>
              </a:graphicData>
            </a:graphic>
          </wp:inline>
        </w:drawing>
      </w:r>
      <w:r w:rsidRPr="009B20FE">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rFonts w:asciiTheme="majorHAnsi" w:eastAsia="PMingLiU" w:hAnsiTheme="majorHAnsi" w:cstheme="majorBidi"/>
          <w:i/>
          <w:iCs/>
          <w:noProof/>
          <w:sz w:val="24"/>
          <w:szCs w:val="24"/>
          <w:lang w:eastAsia="zh-CN"/>
        </w:rPr>
        <w:drawing>
          <wp:inline distT="0" distB="0" distL="0" distR="0">
            <wp:extent cx="2810435" cy="2186519"/>
            <wp:effectExtent l="0" t="0" r="9525" b="4445"/>
            <wp:docPr id="5" name="Picture 5" descr="\\soton.ac.uk\ude\PersonalFiles\Users\prw204\mydocuments\Skin Health\Papers\HillRom turn\Submission 15.09.14\Resubmission\Figure_3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ton.ac.uk\ude\PersonalFiles\Users\prw204\mydocuments\Skin Health\Papers\HillRom turn\Submission 15.09.14\Resubmission\Figure_3B.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1937" cy="2187688"/>
                    </a:xfrm>
                    <a:prstGeom prst="rect">
                      <a:avLst/>
                    </a:prstGeom>
                    <a:noFill/>
                    <a:ln>
                      <a:noFill/>
                    </a:ln>
                  </pic:spPr>
                </pic:pic>
              </a:graphicData>
            </a:graphic>
          </wp:inline>
        </w:drawing>
      </w:r>
    </w:p>
    <w:p w:rsidR="009B20FE" w:rsidRDefault="009B20FE" w:rsidP="009B20FE">
      <w:pPr>
        <w:spacing w:line="480" w:lineRule="auto"/>
        <w:rPr>
          <w:rFonts w:asciiTheme="majorHAnsi" w:hAnsiTheme="majorHAnsi" w:cstheme="majorBidi"/>
          <w:i/>
          <w:iCs/>
          <w:sz w:val="24"/>
          <w:szCs w:val="24"/>
        </w:rPr>
      </w:pPr>
      <w:r w:rsidRPr="009F6C9F">
        <w:rPr>
          <w:rFonts w:asciiTheme="majorHAnsi" w:hAnsiTheme="majorHAnsi" w:cstheme="majorBidi"/>
          <w:i/>
          <w:iCs/>
          <w:sz w:val="24"/>
          <w:szCs w:val="24"/>
        </w:rPr>
        <w:t>Figure 3. (A) Category Two Response at the sacrum during the (A) LPR protocol and (B) Manual protocol whilst the individual is tilted to the left and subsequent postures (Participant 1).</w:t>
      </w:r>
    </w:p>
    <w:p w:rsidR="009B20FE" w:rsidRDefault="009B20FE" w:rsidP="009B20FE">
      <w:pPr>
        <w:spacing w:line="480" w:lineRule="auto"/>
        <w:rPr>
          <w:rFonts w:asciiTheme="majorHAnsi" w:eastAsia="PMingLiU" w:hAnsiTheme="majorHAnsi" w:cstheme="majorBidi"/>
          <w:i/>
          <w:iCs/>
          <w:sz w:val="24"/>
          <w:szCs w:val="24"/>
          <w:lang w:eastAsia="zh-TW"/>
        </w:rPr>
      </w:pPr>
      <w:r w:rsidRPr="009F6C9F">
        <w:rPr>
          <w:rFonts w:asciiTheme="majorHAnsi" w:hAnsiTheme="majorHAnsi" w:cstheme="majorBidi"/>
          <w:i/>
          <w:iCs/>
          <w:sz w:val="24"/>
          <w:szCs w:val="24"/>
        </w:rPr>
        <w:lastRenderedPageBreak/>
        <w:t xml:space="preserve"> </w:t>
      </w:r>
      <w:r>
        <w:rPr>
          <w:rFonts w:asciiTheme="majorHAnsi" w:eastAsia="PMingLiU" w:hAnsiTheme="majorHAnsi" w:cstheme="majorBidi"/>
          <w:i/>
          <w:iCs/>
          <w:noProof/>
          <w:sz w:val="24"/>
          <w:szCs w:val="24"/>
          <w:lang w:eastAsia="zh-CN"/>
        </w:rPr>
        <w:drawing>
          <wp:inline distT="0" distB="0" distL="0" distR="0" wp14:anchorId="2BA33336" wp14:editId="2EF06041">
            <wp:extent cx="2756647" cy="2144673"/>
            <wp:effectExtent l="0" t="0" r="5715" b="8255"/>
            <wp:docPr id="7" name="Picture 7" descr="\\soton.ac.uk\ude\PersonalFiles\Users\prw204\mydocuments\Skin Health\Papers\HillRom turn\Submission 15.09.14\Resubmission\Figure 4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ton.ac.uk\ude\PersonalFiles\Users\prw204\mydocuments\Skin Health\Papers\HillRom turn\Submission 15.09.14\Resubmission\Figure 4B.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6943" cy="2160463"/>
                    </a:xfrm>
                    <a:prstGeom prst="rect">
                      <a:avLst/>
                    </a:prstGeom>
                    <a:noFill/>
                    <a:ln>
                      <a:noFill/>
                    </a:ln>
                  </pic:spPr>
                </pic:pic>
              </a:graphicData>
            </a:graphic>
          </wp:inline>
        </w:drawing>
      </w:r>
      <w:r>
        <w:rPr>
          <w:rFonts w:asciiTheme="majorHAnsi" w:eastAsia="PMingLiU" w:hAnsiTheme="majorHAnsi" w:cstheme="majorBidi"/>
          <w:i/>
          <w:iCs/>
          <w:noProof/>
          <w:sz w:val="24"/>
          <w:szCs w:val="24"/>
          <w:lang w:eastAsia="zh-CN"/>
        </w:rPr>
        <w:drawing>
          <wp:inline distT="0" distB="0" distL="0" distR="0" wp14:anchorId="2E725204" wp14:editId="72C121A4">
            <wp:extent cx="2691312" cy="2093843"/>
            <wp:effectExtent l="0" t="0" r="0" b="1905"/>
            <wp:docPr id="6" name="Picture 6" descr="\\soton.ac.uk\ude\PersonalFiles\Users\prw204\mydocuments\Skin Health\Papers\HillRom turn\Submission 15.09.14\Resubmission\Figure 4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ton.ac.uk\ude\PersonalFiles\Users\prw204\mydocuments\Skin Health\Papers\HillRom turn\Submission 15.09.14\Resubmission\Figure 4A.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6238" cy="2105456"/>
                    </a:xfrm>
                    <a:prstGeom prst="rect">
                      <a:avLst/>
                    </a:prstGeom>
                    <a:noFill/>
                    <a:ln>
                      <a:noFill/>
                    </a:ln>
                  </pic:spPr>
                </pic:pic>
              </a:graphicData>
            </a:graphic>
          </wp:inline>
        </w:drawing>
      </w:r>
    </w:p>
    <w:p w:rsidR="009B20FE" w:rsidRPr="009F6C9F" w:rsidRDefault="009B20FE" w:rsidP="009B20FE">
      <w:pPr>
        <w:spacing w:after="0" w:line="480" w:lineRule="auto"/>
        <w:rPr>
          <w:rFonts w:asciiTheme="majorHAnsi" w:hAnsiTheme="majorHAnsi" w:cstheme="majorBidi"/>
          <w:i/>
          <w:iCs/>
          <w:sz w:val="24"/>
          <w:szCs w:val="24"/>
        </w:rPr>
      </w:pPr>
      <w:r w:rsidRPr="009F6C9F">
        <w:rPr>
          <w:rFonts w:asciiTheme="majorHAnsi" w:hAnsiTheme="majorHAnsi" w:cstheme="majorBidi"/>
          <w:i/>
          <w:iCs/>
          <w:sz w:val="24"/>
          <w:szCs w:val="24"/>
        </w:rPr>
        <w:t>Figure 4. Category T</w:t>
      </w:r>
      <w:r>
        <w:rPr>
          <w:rFonts w:asciiTheme="majorHAnsi" w:hAnsiTheme="majorHAnsi" w:cstheme="majorBidi"/>
          <w:i/>
          <w:iCs/>
          <w:sz w:val="24"/>
          <w:szCs w:val="24"/>
        </w:rPr>
        <w:t>hree</w:t>
      </w:r>
      <w:r w:rsidRPr="009F6C9F">
        <w:rPr>
          <w:rFonts w:asciiTheme="majorHAnsi" w:hAnsiTheme="majorHAnsi" w:cstheme="majorBidi"/>
          <w:i/>
          <w:iCs/>
          <w:sz w:val="24"/>
          <w:szCs w:val="24"/>
        </w:rPr>
        <w:t xml:space="preserve"> Response during the (A) LPR protocol and (B)  Manual protocol at the </w:t>
      </w:r>
      <w:r>
        <w:rPr>
          <w:rFonts w:asciiTheme="majorHAnsi" w:hAnsiTheme="majorHAnsi" w:cstheme="majorBidi"/>
          <w:i/>
          <w:iCs/>
          <w:sz w:val="24"/>
          <w:szCs w:val="24"/>
        </w:rPr>
        <w:t>shoulder</w:t>
      </w:r>
      <w:r w:rsidRPr="009F6C9F">
        <w:rPr>
          <w:rFonts w:asciiTheme="majorHAnsi" w:hAnsiTheme="majorHAnsi" w:cstheme="majorBidi"/>
          <w:i/>
          <w:iCs/>
          <w:sz w:val="24"/>
          <w:szCs w:val="24"/>
        </w:rPr>
        <w:t xml:space="preserve"> whilst the individual is tilted to the </w:t>
      </w:r>
      <w:r>
        <w:rPr>
          <w:rFonts w:asciiTheme="majorHAnsi" w:hAnsiTheme="majorHAnsi" w:cstheme="majorBidi"/>
          <w:i/>
          <w:iCs/>
          <w:sz w:val="24"/>
          <w:szCs w:val="24"/>
        </w:rPr>
        <w:t xml:space="preserve">right, with a </w:t>
      </w:r>
      <w:r w:rsidRPr="009F6C9F">
        <w:rPr>
          <w:rFonts w:asciiTheme="majorHAnsi" w:hAnsiTheme="majorHAnsi" w:cstheme="majorBidi"/>
          <w:i/>
          <w:iCs/>
          <w:sz w:val="24"/>
          <w:szCs w:val="24"/>
        </w:rPr>
        <w:t xml:space="preserve">subsequent </w:t>
      </w:r>
      <w:r>
        <w:rPr>
          <w:rFonts w:asciiTheme="majorHAnsi" w:hAnsiTheme="majorHAnsi" w:cstheme="majorBidi"/>
          <w:i/>
          <w:iCs/>
          <w:sz w:val="24"/>
          <w:szCs w:val="24"/>
        </w:rPr>
        <w:t>recovery to Category One during the final supine posture</w:t>
      </w:r>
      <w:r w:rsidRPr="009F6C9F">
        <w:rPr>
          <w:rFonts w:asciiTheme="majorHAnsi" w:hAnsiTheme="majorHAnsi" w:cstheme="majorBidi"/>
          <w:i/>
          <w:iCs/>
          <w:sz w:val="24"/>
          <w:szCs w:val="24"/>
        </w:rPr>
        <w:t xml:space="preserve"> (</w:t>
      </w:r>
      <w:r>
        <w:rPr>
          <w:rFonts w:asciiTheme="majorHAnsi" w:hAnsiTheme="majorHAnsi" w:cstheme="majorBidi"/>
          <w:i/>
          <w:iCs/>
          <w:sz w:val="24"/>
          <w:szCs w:val="24"/>
        </w:rPr>
        <w:t>p</w:t>
      </w:r>
      <w:r w:rsidRPr="009F6C9F">
        <w:rPr>
          <w:rFonts w:asciiTheme="majorHAnsi" w:hAnsiTheme="majorHAnsi" w:cstheme="majorBidi"/>
          <w:i/>
          <w:iCs/>
          <w:sz w:val="24"/>
          <w:szCs w:val="24"/>
        </w:rPr>
        <w:t>articipant 1).</w:t>
      </w:r>
    </w:p>
    <w:p w:rsidR="009B20FE" w:rsidRDefault="009B20FE" w:rsidP="00F20BC8">
      <w:pPr>
        <w:spacing w:line="480" w:lineRule="auto"/>
        <w:rPr>
          <w:rFonts w:asciiTheme="majorHAnsi" w:eastAsia="PMingLiU" w:hAnsiTheme="majorHAnsi" w:cstheme="majorBidi"/>
          <w:i/>
          <w:iCs/>
          <w:sz w:val="24"/>
          <w:szCs w:val="24"/>
          <w:lang w:eastAsia="zh-TW"/>
        </w:rPr>
      </w:pPr>
    </w:p>
    <w:p w:rsidR="00F20BC8" w:rsidRPr="00325486" w:rsidRDefault="00F20BC8" w:rsidP="00F20BC8">
      <w:pPr>
        <w:spacing w:line="480" w:lineRule="auto"/>
        <w:rPr>
          <w:rFonts w:asciiTheme="majorHAnsi" w:eastAsia="PMingLiU" w:hAnsiTheme="majorHAnsi" w:cstheme="majorBidi"/>
          <w:i/>
          <w:iCs/>
          <w:sz w:val="24"/>
          <w:szCs w:val="24"/>
          <w:lang w:eastAsia="zh-TW"/>
        </w:rPr>
      </w:pPr>
      <w:r w:rsidRPr="00325486">
        <w:rPr>
          <w:rFonts w:asciiTheme="majorHAnsi" w:eastAsia="PMingLiU" w:hAnsiTheme="majorHAnsi" w:cstheme="majorBidi"/>
          <w:i/>
          <w:iCs/>
          <w:sz w:val="24"/>
          <w:szCs w:val="24"/>
          <w:lang w:eastAsia="zh-TW"/>
        </w:rPr>
        <w:t>3.2 Biomechanical Assessment</w:t>
      </w:r>
    </w:p>
    <w:p w:rsidR="00F20BC8" w:rsidRPr="00325486" w:rsidRDefault="00F20BC8" w:rsidP="00F20BC8">
      <w:pPr>
        <w:spacing w:line="480" w:lineRule="auto"/>
        <w:rPr>
          <w:rFonts w:asciiTheme="majorHAnsi" w:eastAsia="PMingLiU" w:hAnsiTheme="majorHAnsi" w:cstheme="majorBidi"/>
          <w:b/>
          <w:bCs/>
          <w:color w:val="FF0000"/>
          <w:sz w:val="24"/>
          <w:szCs w:val="24"/>
          <w:lang w:eastAsia="zh-TW"/>
        </w:rPr>
      </w:pPr>
      <w:r w:rsidRPr="00325486">
        <w:rPr>
          <w:rFonts w:asciiTheme="majorHAnsi" w:eastAsia="PMingLiU" w:hAnsiTheme="majorHAnsi" w:cstheme="majorBidi"/>
          <w:sz w:val="24"/>
          <w:szCs w:val="24"/>
          <w:lang w:eastAsia="zh-TW"/>
        </w:rPr>
        <w:t xml:space="preserve">Table 2 illustrates the median values of peak interface pressure for both LPR and manual tilts. The results showed no significant differences between values in both test sessions (p&gt;0.05). </w:t>
      </w:r>
      <w:r w:rsidRPr="00325486">
        <w:rPr>
          <w:rFonts w:asciiTheme="majorHAnsi" w:hAnsiTheme="majorHAnsi" w:cstheme="majorBidi"/>
          <w:sz w:val="24"/>
          <w:szCs w:val="24"/>
        </w:rPr>
        <w:t>Furthermore, these mean values did not exceed 66mmHg (8.8kPa) for any of the body sites (shoulder, sacrum, body) and the inter-site differences were not significantly different (p&gt;0.05). There were also no significant differences in the peak interface pressures (p&gt;0.05) between postures (supine, left tilt and right tilt), for both the LPR and Manual tilt protocols.</w:t>
      </w:r>
      <w:r w:rsidRPr="00325486">
        <w:rPr>
          <w:rFonts w:asciiTheme="majorHAnsi" w:hAnsiTheme="majorHAnsi" w:cstheme="majorBidi"/>
          <w:b/>
          <w:bCs/>
          <w:sz w:val="24"/>
          <w:szCs w:val="24"/>
        </w:rPr>
        <w:t xml:space="preserve"> </w:t>
      </w:r>
    </w:p>
    <w:p w:rsidR="00F20BC8" w:rsidRDefault="00F20BC8" w:rsidP="00F20BC8">
      <w:pPr>
        <w:spacing w:line="480" w:lineRule="auto"/>
        <w:jc w:val="center"/>
        <w:rPr>
          <w:rFonts w:asciiTheme="majorHAnsi" w:eastAsia="PMingLiU" w:hAnsiTheme="majorHAnsi" w:cstheme="majorBidi"/>
          <w:i/>
          <w:iCs/>
          <w:sz w:val="24"/>
          <w:szCs w:val="24"/>
          <w:lang w:eastAsia="zh-TW"/>
        </w:rPr>
      </w:pPr>
    </w:p>
    <w:p w:rsidR="009B20FE" w:rsidRDefault="009B20FE" w:rsidP="00F20BC8">
      <w:pPr>
        <w:spacing w:line="480" w:lineRule="auto"/>
        <w:jc w:val="center"/>
        <w:rPr>
          <w:rFonts w:asciiTheme="majorHAnsi" w:eastAsia="PMingLiU" w:hAnsiTheme="majorHAnsi" w:cstheme="majorBidi"/>
          <w:i/>
          <w:iCs/>
          <w:sz w:val="24"/>
          <w:szCs w:val="24"/>
          <w:lang w:eastAsia="zh-TW"/>
        </w:rPr>
      </w:pPr>
    </w:p>
    <w:p w:rsidR="009B20FE" w:rsidRDefault="009B20FE" w:rsidP="00F20BC8">
      <w:pPr>
        <w:spacing w:line="480" w:lineRule="auto"/>
        <w:jc w:val="center"/>
        <w:rPr>
          <w:rFonts w:asciiTheme="majorHAnsi" w:eastAsia="PMingLiU" w:hAnsiTheme="majorHAnsi" w:cstheme="majorBidi"/>
          <w:i/>
          <w:iCs/>
          <w:sz w:val="24"/>
          <w:szCs w:val="24"/>
          <w:lang w:eastAsia="zh-TW"/>
        </w:rPr>
      </w:pPr>
    </w:p>
    <w:p w:rsidR="009B20FE" w:rsidRDefault="009B20FE" w:rsidP="00F20BC8">
      <w:pPr>
        <w:spacing w:line="480" w:lineRule="auto"/>
        <w:jc w:val="center"/>
        <w:rPr>
          <w:rFonts w:asciiTheme="majorHAnsi" w:eastAsia="PMingLiU" w:hAnsiTheme="majorHAnsi" w:cstheme="majorBidi"/>
          <w:i/>
          <w:iCs/>
          <w:sz w:val="24"/>
          <w:szCs w:val="24"/>
          <w:lang w:eastAsia="zh-TW"/>
        </w:rPr>
      </w:pPr>
    </w:p>
    <w:p w:rsidR="009B20FE" w:rsidRDefault="009B20FE" w:rsidP="00F20BC8">
      <w:pPr>
        <w:spacing w:line="480" w:lineRule="auto"/>
        <w:jc w:val="center"/>
        <w:rPr>
          <w:rFonts w:asciiTheme="majorHAnsi" w:eastAsia="PMingLiU" w:hAnsiTheme="majorHAnsi" w:cstheme="majorBidi"/>
          <w:i/>
          <w:iCs/>
          <w:sz w:val="24"/>
          <w:szCs w:val="24"/>
          <w:lang w:eastAsia="zh-TW"/>
        </w:rPr>
      </w:pPr>
    </w:p>
    <w:p w:rsidR="009B20FE" w:rsidRDefault="009B20FE" w:rsidP="00F20BC8">
      <w:pPr>
        <w:spacing w:line="480" w:lineRule="auto"/>
        <w:jc w:val="center"/>
        <w:rPr>
          <w:rFonts w:asciiTheme="majorHAnsi" w:eastAsia="PMingLiU" w:hAnsiTheme="majorHAnsi" w:cstheme="majorBidi"/>
          <w:i/>
          <w:iCs/>
          <w:sz w:val="24"/>
          <w:szCs w:val="24"/>
          <w:lang w:eastAsia="zh-TW"/>
        </w:rPr>
      </w:pPr>
    </w:p>
    <w:p w:rsidR="009B20FE" w:rsidRDefault="009B20FE" w:rsidP="00F20BC8">
      <w:pPr>
        <w:spacing w:line="480" w:lineRule="auto"/>
        <w:jc w:val="center"/>
        <w:rPr>
          <w:rFonts w:asciiTheme="majorHAnsi" w:eastAsia="PMingLiU" w:hAnsiTheme="majorHAnsi" w:cstheme="majorBidi"/>
          <w:i/>
          <w:iCs/>
          <w:sz w:val="24"/>
          <w:szCs w:val="24"/>
          <w:lang w:eastAsia="zh-TW"/>
        </w:rPr>
      </w:pPr>
    </w:p>
    <w:p w:rsidR="009B20FE" w:rsidRPr="00325486" w:rsidRDefault="009B20FE" w:rsidP="00F20BC8">
      <w:pPr>
        <w:spacing w:line="480" w:lineRule="auto"/>
        <w:jc w:val="center"/>
        <w:rPr>
          <w:rFonts w:asciiTheme="majorHAnsi" w:eastAsia="PMingLiU" w:hAnsiTheme="majorHAnsi" w:cstheme="majorBidi"/>
          <w:i/>
          <w:iCs/>
          <w:sz w:val="24"/>
          <w:szCs w:val="24"/>
          <w:lang w:eastAsia="zh-TW"/>
        </w:rPr>
      </w:pPr>
    </w:p>
    <w:p w:rsidR="009B20FE" w:rsidRPr="004D211B" w:rsidRDefault="009B20FE" w:rsidP="009B20FE">
      <w:pPr>
        <w:spacing w:line="480" w:lineRule="auto"/>
        <w:rPr>
          <w:rFonts w:asciiTheme="majorHAnsi" w:eastAsia="PMingLiU" w:hAnsiTheme="majorHAnsi" w:cstheme="majorBidi"/>
          <w:i/>
          <w:iCs/>
          <w:sz w:val="24"/>
          <w:szCs w:val="24"/>
          <w:lang w:eastAsia="zh-TW"/>
        </w:rPr>
      </w:pPr>
      <w:r w:rsidRPr="004D211B">
        <w:rPr>
          <w:rFonts w:asciiTheme="majorHAnsi" w:eastAsia="PMingLiU" w:hAnsiTheme="majorHAnsi" w:cstheme="majorBidi"/>
          <w:i/>
          <w:iCs/>
          <w:sz w:val="24"/>
          <w:szCs w:val="24"/>
          <w:lang w:eastAsia="zh-TW"/>
        </w:rPr>
        <w:t>Table 2. Summary of Peak Pressure data (mmHg) for all participants at Optimum IP during the LPR and M</w:t>
      </w:r>
      <w:r>
        <w:rPr>
          <w:rFonts w:asciiTheme="majorHAnsi" w:eastAsia="PMingLiU" w:hAnsiTheme="majorHAnsi" w:cstheme="majorBidi"/>
          <w:i/>
          <w:iCs/>
          <w:sz w:val="24"/>
          <w:szCs w:val="24"/>
          <w:lang w:eastAsia="zh-TW"/>
        </w:rPr>
        <w:t>anual</w:t>
      </w:r>
      <w:r w:rsidRPr="004D211B">
        <w:rPr>
          <w:rFonts w:asciiTheme="majorHAnsi" w:eastAsia="PMingLiU" w:hAnsiTheme="majorHAnsi" w:cstheme="majorBidi"/>
          <w:i/>
          <w:iCs/>
          <w:sz w:val="24"/>
          <w:szCs w:val="24"/>
          <w:lang w:eastAsia="zh-TW"/>
        </w:rPr>
        <w:t xml:space="preserve"> tilt </w:t>
      </w:r>
      <w:r>
        <w:rPr>
          <w:rFonts w:asciiTheme="majorHAnsi" w:eastAsia="PMingLiU" w:hAnsiTheme="majorHAnsi" w:cstheme="majorBidi"/>
          <w:i/>
          <w:iCs/>
          <w:sz w:val="24"/>
          <w:szCs w:val="24"/>
          <w:lang w:eastAsia="zh-TW"/>
        </w:rPr>
        <w:t xml:space="preserve">phases </w:t>
      </w:r>
      <w:r w:rsidRPr="004D211B">
        <w:rPr>
          <w:rFonts w:asciiTheme="majorHAnsi" w:eastAsia="PMingLiU" w:hAnsiTheme="majorHAnsi" w:cstheme="majorBidi"/>
          <w:i/>
          <w:iCs/>
          <w:sz w:val="24"/>
          <w:szCs w:val="24"/>
          <w:lang w:eastAsia="zh-TW"/>
        </w:rPr>
        <w:t xml:space="preserve">(Median and interquartile range IQR presented).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1537"/>
        <w:gridCol w:w="978"/>
        <w:gridCol w:w="1082"/>
        <w:gridCol w:w="998"/>
        <w:gridCol w:w="949"/>
        <w:gridCol w:w="998"/>
        <w:gridCol w:w="949"/>
      </w:tblGrid>
      <w:tr w:rsidR="009B20FE" w:rsidRPr="004D211B" w:rsidTr="002A6348">
        <w:tc>
          <w:tcPr>
            <w:tcW w:w="1944" w:type="dxa"/>
            <w:tcBorders>
              <w:top w:val="single" w:sz="4" w:space="0" w:color="auto"/>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p>
        </w:tc>
        <w:tc>
          <w:tcPr>
            <w:tcW w:w="1706" w:type="dxa"/>
            <w:tcBorders>
              <w:top w:val="single" w:sz="4" w:space="0" w:color="auto"/>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p>
        </w:tc>
        <w:tc>
          <w:tcPr>
            <w:tcW w:w="1862" w:type="dxa"/>
            <w:gridSpan w:val="2"/>
            <w:tcBorders>
              <w:top w:val="single" w:sz="4" w:space="0" w:color="auto"/>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Supine</w:t>
            </w:r>
          </w:p>
        </w:tc>
        <w:tc>
          <w:tcPr>
            <w:tcW w:w="1865" w:type="dxa"/>
            <w:gridSpan w:val="2"/>
            <w:tcBorders>
              <w:top w:val="single" w:sz="4" w:space="0" w:color="auto"/>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Left</w:t>
            </w:r>
          </w:p>
        </w:tc>
        <w:tc>
          <w:tcPr>
            <w:tcW w:w="1865" w:type="dxa"/>
            <w:gridSpan w:val="2"/>
            <w:tcBorders>
              <w:top w:val="single" w:sz="4" w:space="0" w:color="auto"/>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Right</w:t>
            </w:r>
          </w:p>
        </w:tc>
      </w:tr>
      <w:tr w:rsidR="009B20FE" w:rsidRPr="004D211B" w:rsidTr="002A6348">
        <w:tc>
          <w:tcPr>
            <w:tcW w:w="1944" w:type="dxa"/>
            <w:tcBorders>
              <w:top w:val="single" w:sz="4" w:space="0" w:color="auto"/>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Pr>
                <w:rFonts w:asciiTheme="majorHAnsi" w:eastAsia="PMingLiU" w:hAnsiTheme="majorHAnsi" w:cstheme="majorBidi"/>
                <w:sz w:val="24"/>
                <w:szCs w:val="24"/>
                <w:lang w:eastAsia="zh-TW"/>
              </w:rPr>
              <w:t>Parameter</w:t>
            </w:r>
          </w:p>
        </w:tc>
        <w:tc>
          <w:tcPr>
            <w:tcW w:w="1706" w:type="dxa"/>
            <w:tcBorders>
              <w:top w:val="single" w:sz="4" w:space="0" w:color="auto"/>
              <w:bottom w:val="single" w:sz="4" w:space="0" w:color="auto"/>
            </w:tcBorders>
          </w:tcPr>
          <w:p w:rsidR="009B20FE" w:rsidRPr="004D211B" w:rsidRDefault="009B20FE" w:rsidP="002A6348">
            <w:pPr>
              <w:spacing w:line="480" w:lineRule="auto"/>
              <w:ind w:hanging="247"/>
              <w:rPr>
                <w:rFonts w:asciiTheme="majorHAnsi" w:eastAsia="PMingLiU" w:hAnsiTheme="majorHAnsi" w:cstheme="majorBidi"/>
                <w:sz w:val="24"/>
                <w:szCs w:val="24"/>
                <w:lang w:eastAsia="zh-TW"/>
              </w:rPr>
            </w:pPr>
            <w:r>
              <w:rPr>
                <w:rFonts w:asciiTheme="majorHAnsi" w:eastAsia="PMingLiU" w:hAnsiTheme="majorHAnsi" w:cstheme="majorBidi"/>
                <w:sz w:val="24"/>
                <w:szCs w:val="24"/>
                <w:lang w:eastAsia="zh-TW"/>
              </w:rPr>
              <w:t xml:space="preserve">    Mechanism</w:t>
            </w:r>
          </w:p>
        </w:tc>
        <w:tc>
          <w:tcPr>
            <w:tcW w:w="885" w:type="dxa"/>
            <w:tcBorders>
              <w:top w:val="single" w:sz="4" w:space="0" w:color="auto"/>
              <w:bottom w:val="single" w:sz="4" w:space="0" w:color="auto"/>
            </w:tcBorders>
          </w:tcPr>
          <w:p w:rsidR="009B20FE" w:rsidRPr="004D211B" w:rsidRDefault="009B20FE" w:rsidP="002A6348">
            <w:pPr>
              <w:spacing w:line="480" w:lineRule="auto"/>
              <w:ind w:left="-332" w:firstLine="38"/>
              <w:rPr>
                <w:rFonts w:asciiTheme="majorHAnsi" w:eastAsia="PMingLiU" w:hAnsiTheme="majorHAnsi" w:cstheme="majorBidi"/>
                <w:sz w:val="24"/>
                <w:szCs w:val="24"/>
                <w:lang w:eastAsia="zh-TW"/>
              </w:rPr>
            </w:pPr>
            <w:proofErr w:type="spellStart"/>
            <w:r w:rsidRPr="004D211B">
              <w:rPr>
                <w:rFonts w:asciiTheme="majorHAnsi" w:eastAsia="PMingLiU" w:hAnsiTheme="majorHAnsi" w:cstheme="majorBidi"/>
                <w:sz w:val="24"/>
                <w:szCs w:val="24"/>
                <w:lang w:eastAsia="zh-TW"/>
              </w:rPr>
              <w:t>M</w:t>
            </w:r>
            <w:r>
              <w:rPr>
                <w:rFonts w:asciiTheme="majorHAnsi" w:eastAsia="PMingLiU" w:hAnsiTheme="majorHAnsi" w:cstheme="majorBidi"/>
                <w:sz w:val="24"/>
                <w:szCs w:val="24"/>
                <w:lang w:eastAsia="zh-TW"/>
              </w:rPr>
              <w:t>M</w:t>
            </w:r>
            <w:r w:rsidRPr="004D211B">
              <w:rPr>
                <w:rFonts w:asciiTheme="majorHAnsi" w:eastAsia="PMingLiU" w:hAnsiTheme="majorHAnsi" w:cstheme="majorBidi"/>
                <w:sz w:val="24"/>
                <w:szCs w:val="24"/>
                <w:lang w:eastAsia="zh-TW"/>
              </w:rPr>
              <w:t>edia</w:t>
            </w:r>
            <w:r>
              <w:rPr>
                <w:rFonts w:asciiTheme="majorHAnsi" w:eastAsia="PMingLiU" w:hAnsiTheme="majorHAnsi" w:cstheme="majorBidi"/>
                <w:sz w:val="24"/>
                <w:szCs w:val="24"/>
                <w:lang w:eastAsia="zh-TW"/>
              </w:rPr>
              <w:t>n</w:t>
            </w:r>
            <w:r w:rsidRPr="004D211B">
              <w:rPr>
                <w:rFonts w:asciiTheme="majorHAnsi" w:eastAsia="PMingLiU" w:hAnsiTheme="majorHAnsi" w:cstheme="majorBidi"/>
                <w:sz w:val="24"/>
                <w:szCs w:val="24"/>
                <w:lang w:eastAsia="zh-TW"/>
              </w:rPr>
              <w:t>n</w:t>
            </w:r>
            <w:proofErr w:type="spellEnd"/>
          </w:p>
        </w:tc>
        <w:tc>
          <w:tcPr>
            <w:tcW w:w="977" w:type="dxa"/>
            <w:tcBorders>
              <w:top w:val="single" w:sz="4" w:space="0" w:color="auto"/>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IQR</w:t>
            </w:r>
          </w:p>
        </w:tc>
        <w:tc>
          <w:tcPr>
            <w:tcW w:w="1005" w:type="dxa"/>
            <w:tcBorders>
              <w:top w:val="single" w:sz="4" w:space="0" w:color="auto"/>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Media</w:t>
            </w:r>
            <w:r>
              <w:rPr>
                <w:rFonts w:asciiTheme="majorHAnsi" w:eastAsia="PMingLiU" w:hAnsiTheme="majorHAnsi" w:cstheme="majorBidi"/>
                <w:sz w:val="24"/>
                <w:szCs w:val="24"/>
                <w:lang w:eastAsia="zh-TW"/>
              </w:rPr>
              <w:t>n</w:t>
            </w:r>
          </w:p>
        </w:tc>
        <w:tc>
          <w:tcPr>
            <w:tcW w:w="860" w:type="dxa"/>
            <w:tcBorders>
              <w:top w:val="single" w:sz="4" w:space="0" w:color="auto"/>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IQR</w:t>
            </w:r>
          </w:p>
        </w:tc>
        <w:tc>
          <w:tcPr>
            <w:tcW w:w="1005" w:type="dxa"/>
            <w:tcBorders>
              <w:top w:val="single" w:sz="4" w:space="0" w:color="auto"/>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Media</w:t>
            </w:r>
            <w:r>
              <w:rPr>
                <w:rFonts w:asciiTheme="majorHAnsi" w:eastAsia="PMingLiU" w:hAnsiTheme="majorHAnsi" w:cstheme="majorBidi"/>
                <w:sz w:val="24"/>
                <w:szCs w:val="24"/>
                <w:lang w:eastAsia="zh-TW"/>
              </w:rPr>
              <w:t>n</w:t>
            </w:r>
          </w:p>
        </w:tc>
        <w:tc>
          <w:tcPr>
            <w:tcW w:w="860" w:type="dxa"/>
            <w:tcBorders>
              <w:top w:val="single" w:sz="4" w:space="0" w:color="auto"/>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IQR</w:t>
            </w:r>
          </w:p>
        </w:tc>
      </w:tr>
      <w:tr w:rsidR="009B20FE" w:rsidRPr="004D211B" w:rsidTr="002A6348">
        <w:tc>
          <w:tcPr>
            <w:tcW w:w="1944" w:type="dxa"/>
            <w:vMerge w:val="restart"/>
            <w:tcBorders>
              <w:top w:val="single" w:sz="4" w:space="0" w:color="auto"/>
            </w:tcBorders>
            <w:vAlign w:val="center"/>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Peak Body</w:t>
            </w:r>
            <w:r w:rsidRPr="003B206C">
              <w:rPr>
                <w:rFonts w:asciiTheme="majorHAnsi" w:eastAsia="PMingLiU" w:hAnsiTheme="majorHAnsi" w:cstheme="majorBidi"/>
                <w:sz w:val="24"/>
                <w:szCs w:val="24"/>
                <w:vertAlign w:val="superscript"/>
                <w:lang w:eastAsia="zh-TW"/>
              </w:rPr>
              <w:t>#</w:t>
            </w:r>
          </w:p>
        </w:tc>
        <w:tc>
          <w:tcPr>
            <w:tcW w:w="1706"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LPR</w:t>
            </w:r>
          </w:p>
        </w:tc>
        <w:tc>
          <w:tcPr>
            <w:tcW w:w="885"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hAnsiTheme="majorHAnsi" w:cstheme="majorBidi"/>
                <w:color w:val="000000"/>
                <w:sz w:val="24"/>
                <w:szCs w:val="24"/>
              </w:rPr>
              <w:t>46</w:t>
            </w:r>
          </w:p>
        </w:tc>
        <w:tc>
          <w:tcPr>
            <w:tcW w:w="977"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color w:val="000000"/>
                <w:sz w:val="24"/>
                <w:szCs w:val="24"/>
                <w:lang w:eastAsia="zh-TW"/>
              </w:rPr>
              <w:t>41→52</w:t>
            </w:r>
          </w:p>
        </w:tc>
        <w:tc>
          <w:tcPr>
            <w:tcW w:w="1005"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51</w:t>
            </w:r>
          </w:p>
        </w:tc>
        <w:tc>
          <w:tcPr>
            <w:tcW w:w="860"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color w:val="000000"/>
                <w:sz w:val="24"/>
                <w:szCs w:val="24"/>
                <w:lang w:eastAsia="zh-TW"/>
              </w:rPr>
              <w:t>44→59</w:t>
            </w:r>
          </w:p>
        </w:tc>
        <w:tc>
          <w:tcPr>
            <w:tcW w:w="1005"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49</w:t>
            </w:r>
          </w:p>
        </w:tc>
        <w:tc>
          <w:tcPr>
            <w:tcW w:w="860"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color w:val="000000"/>
                <w:sz w:val="24"/>
                <w:szCs w:val="24"/>
                <w:lang w:eastAsia="zh-TW"/>
              </w:rPr>
              <w:t>38→72</w:t>
            </w:r>
          </w:p>
        </w:tc>
      </w:tr>
      <w:tr w:rsidR="009B20FE" w:rsidRPr="004D211B" w:rsidTr="002A6348">
        <w:tc>
          <w:tcPr>
            <w:tcW w:w="1944" w:type="dxa"/>
            <w:vMerge/>
            <w:tcBorders>
              <w:bottom w:val="single" w:sz="4" w:space="0" w:color="auto"/>
            </w:tcBorders>
            <w:vAlign w:val="center"/>
          </w:tcPr>
          <w:p w:rsidR="009B20FE" w:rsidRPr="004D211B" w:rsidRDefault="009B20FE" w:rsidP="002A6348">
            <w:pPr>
              <w:spacing w:line="480" w:lineRule="auto"/>
              <w:rPr>
                <w:rFonts w:asciiTheme="majorHAnsi" w:eastAsia="PMingLiU" w:hAnsiTheme="majorHAnsi" w:cstheme="majorBidi"/>
                <w:sz w:val="24"/>
                <w:szCs w:val="24"/>
                <w:lang w:eastAsia="zh-TW"/>
              </w:rPr>
            </w:pPr>
          </w:p>
        </w:tc>
        <w:tc>
          <w:tcPr>
            <w:tcW w:w="1706"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M</w:t>
            </w:r>
            <w:r>
              <w:rPr>
                <w:rFonts w:asciiTheme="majorHAnsi" w:eastAsia="PMingLiU" w:hAnsiTheme="majorHAnsi" w:cstheme="majorBidi"/>
                <w:sz w:val="24"/>
                <w:szCs w:val="24"/>
                <w:lang w:eastAsia="zh-TW"/>
              </w:rPr>
              <w:t>anual</w:t>
            </w:r>
          </w:p>
        </w:tc>
        <w:tc>
          <w:tcPr>
            <w:tcW w:w="885"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 xml:space="preserve">53 </w:t>
            </w:r>
          </w:p>
        </w:tc>
        <w:tc>
          <w:tcPr>
            <w:tcW w:w="977"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color w:val="000000"/>
                <w:sz w:val="24"/>
                <w:szCs w:val="24"/>
                <w:lang w:eastAsia="zh-TW"/>
              </w:rPr>
              <w:t>49→62</w:t>
            </w:r>
          </w:p>
        </w:tc>
        <w:tc>
          <w:tcPr>
            <w:tcW w:w="1005"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48</w:t>
            </w:r>
          </w:p>
        </w:tc>
        <w:tc>
          <w:tcPr>
            <w:tcW w:w="860"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color w:val="000000"/>
                <w:sz w:val="24"/>
                <w:szCs w:val="24"/>
                <w:lang w:eastAsia="zh-TW"/>
              </w:rPr>
              <w:t>44→61</w:t>
            </w:r>
          </w:p>
        </w:tc>
        <w:tc>
          <w:tcPr>
            <w:tcW w:w="1005"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40</w:t>
            </w:r>
          </w:p>
        </w:tc>
        <w:tc>
          <w:tcPr>
            <w:tcW w:w="860"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color w:val="000000"/>
                <w:sz w:val="24"/>
                <w:szCs w:val="24"/>
                <w:lang w:eastAsia="zh-TW"/>
              </w:rPr>
              <w:t>38→60</w:t>
            </w:r>
          </w:p>
        </w:tc>
      </w:tr>
      <w:tr w:rsidR="009B20FE" w:rsidRPr="004D211B" w:rsidTr="002A6348">
        <w:tc>
          <w:tcPr>
            <w:tcW w:w="1944" w:type="dxa"/>
            <w:vMerge w:val="restart"/>
            <w:tcBorders>
              <w:top w:val="single" w:sz="4" w:space="0" w:color="auto"/>
            </w:tcBorders>
            <w:vAlign w:val="center"/>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Peak Shoulder*</w:t>
            </w:r>
          </w:p>
        </w:tc>
        <w:tc>
          <w:tcPr>
            <w:tcW w:w="1706"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LPR</w:t>
            </w:r>
          </w:p>
        </w:tc>
        <w:tc>
          <w:tcPr>
            <w:tcW w:w="885"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 xml:space="preserve">42 </w:t>
            </w:r>
          </w:p>
        </w:tc>
        <w:tc>
          <w:tcPr>
            <w:tcW w:w="977"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color w:val="000000"/>
                <w:sz w:val="24"/>
                <w:szCs w:val="24"/>
                <w:lang w:eastAsia="zh-TW"/>
              </w:rPr>
              <w:t>34→66</w:t>
            </w:r>
          </w:p>
        </w:tc>
        <w:tc>
          <w:tcPr>
            <w:tcW w:w="1005"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48</w:t>
            </w:r>
          </w:p>
        </w:tc>
        <w:tc>
          <w:tcPr>
            <w:tcW w:w="860"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color w:val="000000"/>
                <w:sz w:val="24"/>
                <w:szCs w:val="24"/>
                <w:lang w:eastAsia="zh-TW"/>
              </w:rPr>
              <w:t>40→87</w:t>
            </w:r>
          </w:p>
        </w:tc>
        <w:tc>
          <w:tcPr>
            <w:tcW w:w="1005"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51</w:t>
            </w:r>
          </w:p>
        </w:tc>
        <w:tc>
          <w:tcPr>
            <w:tcW w:w="860"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color w:val="000000"/>
                <w:sz w:val="24"/>
                <w:szCs w:val="24"/>
                <w:lang w:eastAsia="zh-TW"/>
              </w:rPr>
              <w:t>40→</w:t>
            </w:r>
            <w:r>
              <w:rPr>
                <w:rFonts w:asciiTheme="majorHAnsi" w:eastAsia="PMingLiU" w:hAnsiTheme="majorHAnsi" w:cstheme="majorBidi"/>
                <w:color w:val="000000"/>
                <w:sz w:val="24"/>
                <w:szCs w:val="24"/>
                <w:lang w:eastAsia="zh-TW"/>
              </w:rPr>
              <w:t>72</w:t>
            </w:r>
          </w:p>
        </w:tc>
      </w:tr>
      <w:tr w:rsidR="009B20FE" w:rsidRPr="004D211B" w:rsidTr="002A6348">
        <w:tc>
          <w:tcPr>
            <w:tcW w:w="1944" w:type="dxa"/>
            <w:vMerge/>
            <w:tcBorders>
              <w:bottom w:val="single" w:sz="4" w:space="0" w:color="auto"/>
            </w:tcBorders>
            <w:vAlign w:val="center"/>
          </w:tcPr>
          <w:p w:rsidR="009B20FE" w:rsidRPr="004D211B" w:rsidRDefault="009B20FE" w:rsidP="002A6348">
            <w:pPr>
              <w:spacing w:line="480" w:lineRule="auto"/>
              <w:rPr>
                <w:rFonts w:asciiTheme="majorHAnsi" w:eastAsia="PMingLiU" w:hAnsiTheme="majorHAnsi" w:cstheme="majorBidi"/>
                <w:sz w:val="24"/>
                <w:szCs w:val="24"/>
                <w:lang w:eastAsia="zh-TW"/>
              </w:rPr>
            </w:pPr>
          </w:p>
        </w:tc>
        <w:tc>
          <w:tcPr>
            <w:tcW w:w="1706"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M</w:t>
            </w:r>
            <w:r>
              <w:rPr>
                <w:rFonts w:asciiTheme="majorHAnsi" w:eastAsia="PMingLiU" w:hAnsiTheme="majorHAnsi" w:cstheme="majorBidi"/>
                <w:sz w:val="24"/>
                <w:szCs w:val="24"/>
                <w:lang w:eastAsia="zh-TW"/>
              </w:rPr>
              <w:t>anual</w:t>
            </w:r>
          </w:p>
        </w:tc>
        <w:tc>
          <w:tcPr>
            <w:tcW w:w="885"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42</w:t>
            </w:r>
          </w:p>
        </w:tc>
        <w:tc>
          <w:tcPr>
            <w:tcW w:w="977"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color w:val="000000"/>
                <w:sz w:val="24"/>
                <w:szCs w:val="24"/>
                <w:lang w:eastAsia="zh-TW"/>
              </w:rPr>
              <w:t>38→74</w:t>
            </w:r>
          </w:p>
        </w:tc>
        <w:tc>
          <w:tcPr>
            <w:tcW w:w="1005"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30</w:t>
            </w:r>
          </w:p>
        </w:tc>
        <w:tc>
          <w:tcPr>
            <w:tcW w:w="860"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color w:val="000000"/>
                <w:sz w:val="24"/>
                <w:szCs w:val="24"/>
                <w:lang w:eastAsia="zh-TW"/>
              </w:rPr>
              <w:t>29→37</w:t>
            </w:r>
          </w:p>
        </w:tc>
        <w:tc>
          <w:tcPr>
            <w:tcW w:w="1005"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46</w:t>
            </w:r>
          </w:p>
        </w:tc>
        <w:tc>
          <w:tcPr>
            <w:tcW w:w="860"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color w:val="000000"/>
                <w:sz w:val="24"/>
                <w:szCs w:val="24"/>
                <w:lang w:eastAsia="zh-TW"/>
              </w:rPr>
              <w:t>37→</w:t>
            </w:r>
            <w:r>
              <w:rPr>
                <w:rFonts w:asciiTheme="majorHAnsi" w:eastAsia="PMingLiU" w:hAnsiTheme="majorHAnsi" w:cstheme="majorBidi"/>
                <w:color w:val="000000"/>
                <w:sz w:val="24"/>
                <w:szCs w:val="24"/>
                <w:lang w:eastAsia="zh-TW"/>
              </w:rPr>
              <w:t>60</w:t>
            </w:r>
          </w:p>
        </w:tc>
      </w:tr>
      <w:tr w:rsidR="009B20FE" w:rsidRPr="004D211B" w:rsidTr="002A6348">
        <w:tc>
          <w:tcPr>
            <w:tcW w:w="1944" w:type="dxa"/>
            <w:vMerge w:val="restart"/>
            <w:tcBorders>
              <w:top w:val="single" w:sz="4" w:space="0" w:color="auto"/>
            </w:tcBorders>
            <w:vAlign w:val="center"/>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Peak Sacrum*</w:t>
            </w:r>
          </w:p>
        </w:tc>
        <w:tc>
          <w:tcPr>
            <w:tcW w:w="1706"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LPR</w:t>
            </w:r>
          </w:p>
        </w:tc>
        <w:tc>
          <w:tcPr>
            <w:tcW w:w="885"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 xml:space="preserve">46 </w:t>
            </w:r>
          </w:p>
        </w:tc>
        <w:tc>
          <w:tcPr>
            <w:tcW w:w="977"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color w:val="000000"/>
                <w:sz w:val="24"/>
                <w:szCs w:val="24"/>
                <w:lang w:eastAsia="zh-TW"/>
              </w:rPr>
              <w:t>42→48</w:t>
            </w:r>
          </w:p>
        </w:tc>
        <w:tc>
          <w:tcPr>
            <w:tcW w:w="1005"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48</w:t>
            </w:r>
          </w:p>
        </w:tc>
        <w:tc>
          <w:tcPr>
            <w:tcW w:w="860"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color w:val="000000"/>
                <w:sz w:val="24"/>
                <w:szCs w:val="24"/>
                <w:lang w:eastAsia="zh-TW"/>
              </w:rPr>
              <w:t>46→49</w:t>
            </w:r>
          </w:p>
        </w:tc>
        <w:tc>
          <w:tcPr>
            <w:tcW w:w="1005"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47</w:t>
            </w:r>
          </w:p>
        </w:tc>
        <w:tc>
          <w:tcPr>
            <w:tcW w:w="860"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color w:val="000000"/>
                <w:sz w:val="24"/>
                <w:szCs w:val="24"/>
                <w:lang w:eastAsia="zh-TW"/>
              </w:rPr>
              <w:t>41→52</w:t>
            </w:r>
          </w:p>
        </w:tc>
      </w:tr>
      <w:tr w:rsidR="009B20FE" w:rsidRPr="004D211B" w:rsidTr="002A6348">
        <w:tc>
          <w:tcPr>
            <w:tcW w:w="1944" w:type="dxa"/>
            <w:vMerge/>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p>
        </w:tc>
        <w:tc>
          <w:tcPr>
            <w:tcW w:w="1706"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M</w:t>
            </w:r>
            <w:r>
              <w:rPr>
                <w:rFonts w:asciiTheme="majorHAnsi" w:eastAsia="PMingLiU" w:hAnsiTheme="majorHAnsi" w:cstheme="majorBidi"/>
                <w:sz w:val="24"/>
                <w:szCs w:val="24"/>
                <w:lang w:eastAsia="zh-TW"/>
              </w:rPr>
              <w:t>anual</w:t>
            </w:r>
          </w:p>
        </w:tc>
        <w:tc>
          <w:tcPr>
            <w:tcW w:w="885"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66</w:t>
            </w:r>
          </w:p>
        </w:tc>
        <w:tc>
          <w:tcPr>
            <w:tcW w:w="977"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color w:val="000000"/>
                <w:sz w:val="24"/>
                <w:szCs w:val="24"/>
                <w:lang w:eastAsia="zh-TW"/>
              </w:rPr>
              <w:t>48→100</w:t>
            </w:r>
          </w:p>
        </w:tc>
        <w:tc>
          <w:tcPr>
            <w:tcW w:w="1005"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51</w:t>
            </w:r>
          </w:p>
        </w:tc>
        <w:tc>
          <w:tcPr>
            <w:tcW w:w="860"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color w:val="000000"/>
                <w:sz w:val="24"/>
                <w:szCs w:val="24"/>
                <w:lang w:eastAsia="zh-TW"/>
              </w:rPr>
              <w:t>48→60</w:t>
            </w:r>
          </w:p>
        </w:tc>
        <w:tc>
          <w:tcPr>
            <w:tcW w:w="1005"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52</w:t>
            </w:r>
          </w:p>
        </w:tc>
        <w:tc>
          <w:tcPr>
            <w:tcW w:w="860"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color w:val="000000"/>
                <w:sz w:val="24"/>
                <w:szCs w:val="24"/>
                <w:lang w:eastAsia="zh-TW"/>
              </w:rPr>
              <w:t>48→60</w:t>
            </w:r>
          </w:p>
        </w:tc>
      </w:tr>
    </w:tbl>
    <w:p w:rsidR="00F20BC8" w:rsidRPr="00325486" w:rsidRDefault="009B20FE" w:rsidP="009B20FE">
      <w:pPr>
        <w:spacing w:line="480" w:lineRule="auto"/>
        <w:rPr>
          <w:rFonts w:asciiTheme="majorHAnsi" w:eastAsia="PMingLiU" w:hAnsiTheme="majorHAnsi" w:cstheme="majorBidi"/>
          <w:sz w:val="24"/>
          <w:szCs w:val="24"/>
          <w:lang w:eastAsia="zh-TW"/>
        </w:rPr>
      </w:pPr>
      <w:r w:rsidRPr="003B206C">
        <w:rPr>
          <w:rFonts w:asciiTheme="majorHAnsi" w:eastAsia="PMingLiU" w:hAnsiTheme="majorHAnsi" w:cstheme="majorBidi"/>
          <w:sz w:val="24"/>
          <w:szCs w:val="24"/>
          <w:vertAlign w:val="superscript"/>
          <w:lang w:eastAsia="zh-TW"/>
        </w:rPr>
        <w:t>#</w:t>
      </w:r>
      <w:r>
        <w:rPr>
          <w:rFonts w:asciiTheme="majorHAnsi" w:eastAsia="PMingLiU" w:hAnsiTheme="majorHAnsi" w:cstheme="majorBidi"/>
          <w:sz w:val="24"/>
          <w:szCs w:val="24"/>
          <w:lang w:eastAsia="zh-TW"/>
        </w:rPr>
        <w:t>Estimated over 72 sensors   * Estimated over a</w:t>
      </w:r>
      <w:r w:rsidRPr="004D211B">
        <w:rPr>
          <w:rFonts w:asciiTheme="majorHAnsi" w:eastAsia="PMingLiU" w:hAnsiTheme="majorHAnsi" w:cstheme="majorBidi"/>
          <w:sz w:val="24"/>
          <w:szCs w:val="24"/>
          <w:lang w:eastAsia="zh-TW"/>
        </w:rPr>
        <w:t xml:space="preserve"> 12 sensor array </w:t>
      </w:r>
    </w:p>
    <w:p w:rsidR="00F20BC8" w:rsidRPr="00325486" w:rsidRDefault="00F20BC8" w:rsidP="00F20BC8">
      <w:pPr>
        <w:pStyle w:val="Heading2"/>
        <w:spacing w:line="480" w:lineRule="auto"/>
        <w:rPr>
          <w:b w:val="0"/>
          <w:bCs w:val="0"/>
          <w:color w:val="auto"/>
          <w:sz w:val="24"/>
          <w:szCs w:val="24"/>
        </w:rPr>
      </w:pPr>
      <w:r w:rsidRPr="00325486">
        <w:rPr>
          <w:b w:val="0"/>
          <w:bCs w:val="0"/>
          <w:color w:val="auto"/>
          <w:sz w:val="24"/>
          <w:szCs w:val="24"/>
        </w:rPr>
        <w:t>The results from the inclinometer indicated that</w:t>
      </w:r>
      <w:r w:rsidRPr="00325486">
        <w:rPr>
          <w:rFonts w:eastAsia="PMingLiU"/>
          <w:b w:val="0"/>
          <w:bCs w:val="0"/>
          <w:color w:val="auto"/>
          <w:sz w:val="24"/>
          <w:szCs w:val="24"/>
          <w:lang w:eastAsia="zh-TW"/>
        </w:rPr>
        <w:t xml:space="preserve"> the LPR tilt proportionally reduced from the head to the ankles, with a trend of greater angles associated with left tilt compared to right tilt. </w:t>
      </w:r>
      <w:r w:rsidRPr="00325486">
        <w:rPr>
          <w:b w:val="0"/>
          <w:bCs w:val="0"/>
          <w:color w:val="auto"/>
          <w:sz w:val="24"/>
          <w:szCs w:val="24"/>
        </w:rPr>
        <w:t xml:space="preserve">For both the sternum and pelvis the LPR tilt angles were significantly lower than the corresponding values for the manual tilt protocol (mean difference = 9.4 to 11.5°, p&lt;0.001). By contrast, at the level of the ankles, the LPR device produced greater tilt than for the manual protocol by a mean difference of approximately 5° (Table 3). </w:t>
      </w:r>
    </w:p>
    <w:p w:rsidR="00F20BC8" w:rsidRPr="00325486" w:rsidRDefault="00F20BC8" w:rsidP="00F20BC8">
      <w:pPr>
        <w:spacing w:line="480" w:lineRule="auto"/>
        <w:rPr>
          <w:rFonts w:asciiTheme="majorHAnsi" w:hAnsiTheme="majorHAnsi" w:cstheme="majorBidi"/>
          <w:sz w:val="24"/>
          <w:szCs w:val="24"/>
          <w:lang w:eastAsia="zh-TW"/>
        </w:rPr>
      </w:pPr>
    </w:p>
    <w:p w:rsidR="00F20BC8" w:rsidRDefault="00F20BC8" w:rsidP="00F20BC8">
      <w:pPr>
        <w:spacing w:line="480" w:lineRule="auto"/>
        <w:jc w:val="center"/>
        <w:rPr>
          <w:rFonts w:asciiTheme="majorHAnsi" w:hAnsiTheme="majorHAnsi" w:cstheme="majorBidi"/>
          <w:sz w:val="24"/>
          <w:szCs w:val="24"/>
          <w:lang w:eastAsia="zh-TW"/>
        </w:rPr>
      </w:pPr>
    </w:p>
    <w:p w:rsidR="009B20FE" w:rsidRPr="00325486" w:rsidRDefault="009B20FE" w:rsidP="00F20BC8">
      <w:pPr>
        <w:spacing w:line="480" w:lineRule="auto"/>
        <w:jc w:val="center"/>
        <w:rPr>
          <w:rFonts w:asciiTheme="majorHAnsi" w:hAnsiTheme="majorHAnsi" w:cstheme="majorBidi"/>
          <w:sz w:val="24"/>
          <w:szCs w:val="24"/>
          <w:lang w:eastAsia="zh-TW"/>
        </w:rPr>
      </w:pPr>
    </w:p>
    <w:p w:rsidR="009B20FE" w:rsidRPr="004D211B" w:rsidRDefault="009B20FE" w:rsidP="009B20FE">
      <w:pPr>
        <w:spacing w:line="480" w:lineRule="auto"/>
        <w:rPr>
          <w:rFonts w:asciiTheme="majorHAnsi" w:eastAsia="PMingLiU" w:hAnsiTheme="majorHAnsi" w:cstheme="majorBidi"/>
          <w:i/>
          <w:iCs/>
          <w:sz w:val="24"/>
          <w:szCs w:val="24"/>
          <w:lang w:eastAsia="zh-TW"/>
        </w:rPr>
      </w:pPr>
      <w:r w:rsidRPr="004D211B">
        <w:rPr>
          <w:rFonts w:asciiTheme="majorHAnsi" w:eastAsia="PMingLiU" w:hAnsiTheme="majorHAnsi" w:cstheme="majorBidi"/>
          <w:i/>
          <w:iCs/>
          <w:sz w:val="24"/>
          <w:szCs w:val="24"/>
          <w:lang w:eastAsia="zh-TW"/>
        </w:rPr>
        <w:t xml:space="preserve">Table 3. Summary of segmental tilt angles </w:t>
      </w:r>
      <w:r>
        <w:rPr>
          <w:rFonts w:asciiTheme="majorHAnsi" w:eastAsia="PMingLiU" w:hAnsiTheme="majorHAnsi" w:cstheme="majorBidi"/>
          <w:i/>
          <w:iCs/>
          <w:sz w:val="24"/>
          <w:szCs w:val="24"/>
          <w:lang w:eastAsia="zh-TW"/>
        </w:rPr>
        <w:t xml:space="preserve">(degrees) </w:t>
      </w:r>
      <w:r w:rsidRPr="004D211B">
        <w:rPr>
          <w:rFonts w:asciiTheme="majorHAnsi" w:eastAsia="PMingLiU" w:hAnsiTheme="majorHAnsi" w:cstheme="majorBidi"/>
          <w:i/>
          <w:iCs/>
          <w:sz w:val="24"/>
          <w:szCs w:val="24"/>
          <w:lang w:eastAsia="zh-TW"/>
        </w:rPr>
        <w:t>during the LPR and M</w:t>
      </w:r>
      <w:r>
        <w:rPr>
          <w:rFonts w:asciiTheme="majorHAnsi" w:eastAsia="PMingLiU" w:hAnsiTheme="majorHAnsi" w:cstheme="majorBidi"/>
          <w:i/>
          <w:iCs/>
          <w:sz w:val="24"/>
          <w:szCs w:val="24"/>
          <w:lang w:eastAsia="zh-TW"/>
        </w:rPr>
        <w:t>anual tilt cycles mean and (standard deviation</w:t>
      </w:r>
      <w:r w:rsidRPr="004D211B">
        <w:rPr>
          <w:rFonts w:asciiTheme="majorHAnsi" w:eastAsia="PMingLiU" w:hAnsiTheme="majorHAnsi" w:cstheme="majorBidi"/>
          <w:i/>
          <w:iCs/>
          <w:sz w:val="24"/>
          <w:szCs w:val="24"/>
          <w:lang w:eastAsia="zh-TW"/>
        </w:rPr>
        <w:t xml:space="preserve">). </w:t>
      </w:r>
    </w:p>
    <w:tbl>
      <w:tblPr>
        <w:tblW w:w="0" w:type="auto"/>
        <w:jc w:val="center"/>
        <w:tblLook w:val="00A0" w:firstRow="1" w:lastRow="0" w:firstColumn="1" w:lastColumn="0" w:noHBand="0" w:noVBand="0"/>
      </w:tblPr>
      <w:tblGrid>
        <w:gridCol w:w="1337"/>
        <w:gridCol w:w="1317"/>
        <w:gridCol w:w="1318"/>
        <w:gridCol w:w="1317"/>
        <w:gridCol w:w="1318"/>
        <w:gridCol w:w="1317"/>
        <w:gridCol w:w="1318"/>
      </w:tblGrid>
      <w:tr w:rsidR="009B20FE" w:rsidRPr="004D211B" w:rsidTr="002A6348">
        <w:trPr>
          <w:jc w:val="center"/>
        </w:trPr>
        <w:tc>
          <w:tcPr>
            <w:tcW w:w="1320" w:type="dxa"/>
            <w:tcBorders>
              <w:top w:val="single" w:sz="4" w:space="0" w:color="auto"/>
              <w:bottom w:val="single" w:sz="4" w:space="0" w:color="auto"/>
            </w:tcBorders>
          </w:tcPr>
          <w:p w:rsidR="009B20FE" w:rsidRPr="004D211B" w:rsidRDefault="009B20FE" w:rsidP="002A6348">
            <w:pPr>
              <w:spacing w:line="480" w:lineRule="auto"/>
              <w:rPr>
                <w:rFonts w:asciiTheme="majorHAnsi" w:eastAsia="PMingLiU" w:hAnsiTheme="majorHAnsi" w:cstheme="majorBidi"/>
                <w:i/>
                <w:iCs/>
                <w:sz w:val="24"/>
                <w:szCs w:val="24"/>
                <w:lang w:eastAsia="zh-TW"/>
              </w:rPr>
            </w:pPr>
          </w:p>
        </w:tc>
        <w:tc>
          <w:tcPr>
            <w:tcW w:w="2640" w:type="dxa"/>
            <w:gridSpan w:val="2"/>
            <w:tcBorders>
              <w:top w:val="single" w:sz="4" w:space="0" w:color="auto"/>
              <w:bottom w:val="single" w:sz="4" w:space="0" w:color="auto"/>
            </w:tcBorders>
          </w:tcPr>
          <w:p w:rsidR="009B20FE" w:rsidRPr="004D211B" w:rsidRDefault="009B20FE" w:rsidP="002A6348">
            <w:pPr>
              <w:spacing w:line="480" w:lineRule="auto"/>
              <w:rPr>
                <w:rFonts w:asciiTheme="majorHAnsi" w:eastAsia="PMingLiU" w:hAnsiTheme="majorHAnsi" w:cstheme="majorBidi"/>
                <w:b/>
                <w:bCs/>
                <w:sz w:val="24"/>
                <w:szCs w:val="24"/>
                <w:lang w:eastAsia="zh-TW"/>
              </w:rPr>
            </w:pPr>
            <w:r w:rsidRPr="004D211B">
              <w:rPr>
                <w:rFonts w:asciiTheme="majorHAnsi" w:eastAsia="PMingLiU" w:hAnsiTheme="majorHAnsi" w:cstheme="majorBidi"/>
                <w:b/>
                <w:bCs/>
                <w:sz w:val="24"/>
                <w:szCs w:val="24"/>
                <w:lang w:eastAsia="zh-TW"/>
              </w:rPr>
              <w:t>Sternum (chest)</w:t>
            </w:r>
          </w:p>
        </w:tc>
        <w:tc>
          <w:tcPr>
            <w:tcW w:w="2640" w:type="dxa"/>
            <w:gridSpan w:val="2"/>
            <w:tcBorders>
              <w:top w:val="single" w:sz="4" w:space="0" w:color="auto"/>
              <w:bottom w:val="single" w:sz="4" w:space="0" w:color="auto"/>
            </w:tcBorders>
          </w:tcPr>
          <w:p w:rsidR="009B20FE" w:rsidRPr="004D211B" w:rsidRDefault="009B20FE" w:rsidP="002A6348">
            <w:pPr>
              <w:spacing w:line="480" w:lineRule="auto"/>
              <w:rPr>
                <w:rFonts w:asciiTheme="majorHAnsi" w:eastAsia="PMingLiU" w:hAnsiTheme="majorHAnsi" w:cstheme="majorBidi"/>
                <w:b/>
                <w:bCs/>
                <w:sz w:val="24"/>
                <w:szCs w:val="24"/>
                <w:lang w:eastAsia="zh-TW"/>
              </w:rPr>
            </w:pPr>
            <w:r w:rsidRPr="004D211B">
              <w:rPr>
                <w:rFonts w:asciiTheme="majorHAnsi" w:eastAsia="PMingLiU" w:hAnsiTheme="majorHAnsi" w:cstheme="majorBidi"/>
                <w:b/>
                <w:bCs/>
                <w:sz w:val="24"/>
                <w:szCs w:val="24"/>
                <w:lang w:eastAsia="zh-TW"/>
              </w:rPr>
              <w:t>Pelvis</w:t>
            </w:r>
          </w:p>
        </w:tc>
        <w:tc>
          <w:tcPr>
            <w:tcW w:w="2640" w:type="dxa"/>
            <w:gridSpan w:val="2"/>
            <w:tcBorders>
              <w:top w:val="single" w:sz="4" w:space="0" w:color="auto"/>
              <w:bottom w:val="single" w:sz="4" w:space="0" w:color="auto"/>
            </w:tcBorders>
          </w:tcPr>
          <w:p w:rsidR="009B20FE" w:rsidRPr="004D211B" w:rsidRDefault="009B20FE" w:rsidP="002A6348">
            <w:pPr>
              <w:spacing w:line="480" w:lineRule="auto"/>
              <w:rPr>
                <w:rFonts w:asciiTheme="majorHAnsi" w:eastAsia="PMingLiU" w:hAnsiTheme="majorHAnsi" w:cstheme="majorBidi"/>
                <w:b/>
                <w:bCs/>
                <w:sz w:val="24"/>
                <w:szCs w:val="24"/>
                <w:lang w:eastAsia="zh-TW"/>
              </w:rPr>
            </w:pPr>
            <w:r w:rsidRPr="004D211B">
              <w:rPr>
                <w:rFonts w:asciiTheme="majorHAnsi" w:eastAsia="PMingLiU" w:hAnsiTheme="majorHAnsi" w:cstheme="majorBidi"/>
                <w:b/>
                <w:bCs/>
                <w:sz w:val="24"/>
                <w:szCs w:val="24"/>
                <w:lang w:eastAsia="zh-TW"/>
              </w:rPr>
              <w:t>Ankles</w:t>
            </w:r>
          </w:p>
        </w:tc>
      </w:tr>
      <w:tr w:rsidR="009B20FE" w:rsidRPr="004D211B" w:rsidTr="002A6348">
        <w:trPr>
          <w:jc w:val="center"/>
        </w:trPr>
        <w:tc>
          <w:tcPr>
            <w:tcW w:w="1320" w:type="dxa"/>
            <w:tcBorders>
              <w:top w:val="single" w:sz="4" w:space="0" w:color="auto"/>
              <w:bottom w:val="single" w:sz="4" w:space="0" w:color="auto"/>
            </w:tcBorders>
          </w:tcPr>
          <w:p w:rsidR="009B20FE" w:rsidRPr="004D211B" w:rsidRDefault="009B20FE" w:rsidP="002A6348">
            <w:pPr>
              <w:spacing w:line="480" w:lineRule="auto"/>
              <w:rPr>
                <w:rFonts w:asciiTheme="majorHAnsi" w:eastAsia="PMingLiU" w:hAnsiTheme="majorHAnsi" w:cstheme="majorBidi"/>
                <w:i/>
                <w:iCs/>
                <w:sz w:val="24"/>
                <w:szCs w:val="24"/>
                <w:lang w:eastAsia="zh-TW"/>
              </w:rPr>
            </w:pPr>
          </w:p>
        </w:tc>
        <w:tc>
          <w:tcPr>
            <w:tcW w:w="1320" w:type="dxa"/>
            <w:tcBorders>
              <w:top w:val="single" w:sz="4" w:space="0" w:color="auto"/>
              <w:bottom w:val="single" w:sz="4" w:space="0" w:color="auto"/>
            </w:tcBorders>
          </w:tcPr>
          <w:p w:rsidR="009B20FE" w:rsidRPr="004D211B" w:rsidRDefault="009B20FE" w:rsidP="002A6348">
            <w:pPr>
              <w:spacing w:line="480" w:lineRule="auto"/>
              <w:rPr>
                <w:rFonts w:asciiTheme="majorHAnsi" w:eastAsia="PMingLiU" w:hAnsiTheme="majorHAnsi" w:cstheme="majorBidi"/>
                <w:b/>
                <w:bCs/>
                <w:sz w:val="24"/>
                <w:szCs w:val="24"/>
                <w:lang w:eastAsia="zh-TW"/>
              </w:rPr>
            </w:pPr>
            <w:r w:rsidRPr="004D211B">
              <w:rPr>
                <w:rFonts w:asciiTheme="majorHAnsi" w:eastAsia="PMingLiU" w:hAnsiTheme="majorHAnsi" w:cstheme="majorBidi"/>
                <w:b/>
                <w:bCs/>
                <w:sz w:val="24"/>
                <w:szCs w:val="24"/>
                <w:lang w:eastAsia="zh-TW"/>
              </w:rPr>
              <w:t>LPR</w:t>
            </w:r>
          </w:p>
        </w:tc>
        <w:tc>
          <w:tcPr>
            <w:tcW w:w="1320" w:type="dxa"/>
            <w:tcBorders>
              <w:top w:val="single" w:sz="4" w:space="0" w:color="auto"/>
              <w:bottom w:val="single" w:sz="4" w:space="0" w:color="auto"/>
            </w:tcBorders>
          </w:tcPr>
          <w:p w:rsidR="009B20FE" w:rsidRPr="004D211B" w:rsidRDefault="009B20FE" w:rsidP="002A6348">
            <w:pPr>
              <w:spacing w:line="480" w:lineRule="auto"/>
              <w:rPr>
                <w:rFonts w:asciiTheme="majorHAnsi" w:eastAsia="PMingLiU" w:hAnsiTheme="majorHAnsi" w:cstheme="majorBidi"/>
                <w:b/>
                <w:bCs/>
                <w:sz w:val="24"/>
                <w:szCs w:val="24"/>
                <w:lang w:eastAsia="zh-TW"/>
              </w:rPr>
            </w:pPr>
            <w:r w:rsidRPr="004D211B">
              <w:rPr>
                <w:rFonts w:asciiTheme="majorHAnsi" w:eastAsia="PMingLiU" w:hAnsiTheme="majorHAnsi" w:cstheme="majorBidi"/>
                <w:b/>
                <w:bCs/>
                <w:sz w:val="24"/>
                <w:szCs w:val="24"/>
                <w:lang w:eastAsia="zh-TW"/>
              </w:rPr>
              <w:t>Manual</w:t>
            </w:r>
          </w:p>
        </w:tc>
        <w:tc>
          <w:tcPr>
            <w:tcW w:w="1320" w:type="dxa"/>
            <w:tcBorders>
              <w:top w:val="single" w:sz="4" w:space="0" w:color="auto"/>
              <w:bottom w:val="single" w:sz="4" w:space="0" w:color="auto"/>
            </w:tcBorders>
          </w:tcPr>
          <w:p w:rsidR="009B20FE" w:rsidRPr="004D211B" w:rsidRDefault="009B20FE" w:rsidP="002A6348">
            <w:pPr>
              <w:spacing w:line="480" w:lineRule="auto"/>
              <w:rPr>
                <w:rFonts w:asciiTheme="majorHAnsi" w:eastAsia="PMingLiU" w:hAnsiTheme="majorHAnsi" w:cstheme="majorBidi"/>
                <w:b/>
                <w:bCs/>
                <w:sz w:val="24"/>
                <w:szCs w:val="24"/>
                <w:lang w:eastAsia="zh-TW"/>
              </w:rPr>
            </w:pPr>
            <w:r w:rsidRPr="004D211B">
              <w:rPr>
                <w:rFonts w:asciiTheme="majorHAnsi" w:eastAsia="PMingLiU" w:hAnsiTheme="majorHAnsi" w:cstheme="majorBidi"/>
                <w:b/>
                <w:bCs/>
                <w:sz w:val="24"/>
                <w:szCs w:val="24"/>
                <w:lang w:eastAsia="zh-TW"/>
              </w:rPr>
              <w:t>LPR</w:t>
            </w:r>
          </w:p>
        </w:tc>
        <w:tc>
          <w:tcPr>
            <w:tcW w:w="1320" w:type="dxa"/>
            <w:tcBorders>
              <w:top w:val="single" w:sz="4" w:space="0" w:color="auto"/>
              <w:bottom w:val="single" w:sz="4" w:space="0" w:color="auto"/>
            </w:tcBorders>
          </w:tcPr>
          <w:p w:rsidR="009B20FE" w:rsidRPr="004D211B" w:rsidRDefault="009B20FE" w:rsidP="002A6348">
            <w:pPr>
              <w:spacing w:line="480" w:lineRule="auto"/>
              <w:rPr>
                <w:rFonts w:asciiTheme="majorHAnsi" w:eastAsia="PMingLiU" w:hAnsiTheme="majorHAnsi" w:cstheme="majorBidi"/>
                <w:b/>
                <w:bCs/>
                <w:sz w:val="24"/>
                <w:szCs w:val="24"/>
                <w:lang w:eastAsia="zh-TW"/>
              </w:rPr>
            </w:pPr>
            <w:r w:rsidRPr="004D211B">
              <w:rPr>
                <w:rFonts w:asciiTheme="majorHAnsi" w:eastAsia="PMingLiU" w:hAnsiTheme="majorHAnsi" w:cstheme="majorBidi"/>
                <w:b/>
                <w:bCs/>
                <w:sz w:val="24"/>
                <w:szCs w:val="24"/>
                <w:lang w:eastAsia="zh-TW"/>
              </w:rPr>
              <w:t>Manual</w:t>
            </w:r>
          </w:p>
        </w:tc>
        <w:tc>
          <w:tcPr>
            <w:tcW w:w="1320" w:type="dxa"/>
            <w:tcBorders>
              <w:top w:val="single" w:sz="4" w:space="0" w:color="auto"/>
              <w:bottom w:val="single" w:sz="4" w:space="0" w:color="auto"/>
            </w:tcBorders>
          </w:tcPr>
          <w:p w:rsidR="009B20FE" w:rsidRPr="004D211B" w:rsidRDefault="009B20FE" w:rsidP="002A6348">
            <w:pPr>
              <w:spacing w:line="480" w:lineRule="auto"/>
              <w:rPr>
                <w:rFonts w:asciiTheme="majorHAnsi" w:eastAsia="PMingLiU" w:hAnsiTheme="majorHAnsi" w:cstheme="majorBidi"/>
                <w:b/>
                <w:bCs/>
                <w:sz w:val="24"/>
                <w:szCs w:val="24"/>
                <w:lang w:eastAsia="zh-TW"/>
              </w:rPr>
            </w:pPr>
            <w:r w:rsidRPr="004D211B">
              <w:rPr>
                <w:rFonts w:asciiTheme="majorHAnsi" w:eastAsia="PMingLiU" w:hAnsiTheme="majorHAnsi" w:cstheme="majorBidi"/>
                <w:b/>
                <w:bCs/>
                <w:sz w:val="24"/>
                <w:szCs w:val="24"/>
                <w:lang w:eastAsia="zh-TW"/>
              </w:rPr>
              <w:t>LPR</w:t>
            </w:r>
          </w:p>
        </w:tc>
        <w:tc>
          <w:tcPr>
            <w:tcW w:w="1320" w:type="dxa"/>
            <w:tcBorders>
              <w:top w:val="single" w:sz="4" w:space="0" w:color="auto"/>
              <w:bottom w:val="single" w:sz="4" w:space="0" w:color="auto"/>
            </w:tcBorders>
          </w:tcPr>
          <w:p w:rsidR="009B20FE" w:rsidRPr="004D211B" w:rsidRDefault="009B20FE" w:rsidP="002A6348">
            <w:pPr>
              <w:spacing w:line="480" w:lineRule="auto"/>
              <w:rPr>
                <w:rFonts w:asciiTheme="majorHAnsi" w:eastAsia="PMingLiU" w:hAnsiTheme="majorHAnsi" w:cstheme="majorBidi"/>
                <w:b/>
                <w:bCs/>
                <w:sz w:val="24"/>
                <w:szCs w:val="24"/>
                <w:lang w:eastAsia="zh-TW"/>
              </w:rPr>
            </w:pPr>
            <w:r w:rsidRPr="004D211B">
              <w:rPr>
                <w:rFonts w:asciiTheme="majorHAnsi" w:eastAsia="PMingLiU" w:hAnsiTheme="majorHAnsi" w:cstheme="majorBidi"/>
                <w:b/>
                <w:bCs/>
                <w:sz w:val="24"/>
                <w:szCs w:val="24"/>
                <w:lang w:eastAsia="zh-TW"/>
              </w:rPr>
              <w:t>Manual</w:t>
            </w:r>
          </w:p>
        </w:tc>
      </w:tr>
      <w:tr w:rsidR="009B20FE" w:rsidRPr="004D211B" w:rsidTr="002A6348">
        <w:trPr>
          <w:jc w:val="center"/>
        </w:trPr>
        <w:tc>
          <w:tcPr>
            <w:tcW w:w="1320"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b/>
                <w:bCs/>
                <w:sz w:val="24"/>
                <w:szCs w:val="24"/>
                <w:lang w:eastAsia="zh-TW"/>
              </w:rPr>
            </w:pPr>
            <w:r w:rsidRPr="004D211B">
              <w:rPr>
                <w:rFonts w:asciiTheme="majorHAnsi" w:eastAsia="PMingLiU" w:hAnsiTheme="majorHAnsi" w:cstheme="majorBidi"/>
                <w:b/>
                <w:bCs/>
                <w:sz w:val="24"/>
                <w:szCs w:val="24"/>
                <w:lang w:eastAsia="zh-TW"/>
              </w:rPr>
              <w:t>Right</w:t>
            </w:r>
          </w:p>
        </w:tc>
        <w:tc>
          <w:tcPr>
            <w:tcW w:w="1320"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 xml:space="preserve">21.4 </w:t>
            </w:r>
            <w:r>
              <w:rPr>
                <w:rFonts w:asciiTheme="majorHAnsi" w:eastAsia="PMingLiU" w:hAnsiTheme="majorHAnsi" w:cstheme="majorBidi"/>
                <w:sz w:val="24"/>
                <w:szCs w:val="24"/>
                <w:lang w:eastAsia="zh-TW"/>
              </w:rPr>
              <w:t>(</w:t>
            </w:r>
            <w:r w:rsidRPr="004D211B">
              <w:rPr>
                <w:rFonts w:asciiTheme="majorHAnsi" w:eastAsia="PMingLiU" w:hAnsiTheme="majorHAnsi" w:cstheme="majorBidi"/>
                <w:sz w:val="24"/>
                <w:szCs w:val="24"/>
                <w:lang w:eastAsia="zh-TW"/>
              </w:rPr>
              <w:t>4.4</w:t>
            </w:r>
            <w:r>
              <w:rPr>
                <w:rFonts w:asciiTheme="majorHAnsi" w:eastAsia="PMingLiU" w:hAnsiTheme="majorHAnsi" w:cstheme="majorBidi"/>
                <w:sz w:val="24"/>
                <w:szCs w:val="24"/>
                <w:lang w:eastAsia="zh-TW"/>
              </w:rPr>
              <w:t>)</w:t>
            </w:r>
          </w:p>
        </w:tc>
        <w:tc>
          <w:tcPr>
            <w:tcW w:w="1320"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 xml:space="preserve">30.8 </w:t>
            </w:r>
            <w:r>
              <w:rPr>
                <w:rFonts w:asciiTheme="majorHAnsi" w:eastAsia="PMingLiU" w:hAnsiTheme="majorHAnsi" w:cstheme="majorBidi"/>
                <w:sz w:val="24"/>
                <w:szCs w:val="24"/>
                <w:lang w:eastAsia="zh-TW"/>
              </w:rPr>
              <w:t>(</w:t>
            </w:r>
            <w:r w:rsidRPr="004D211B">
              <w:rPr>
                <w:rFonts w:asciiTheme="majorHAnsi" w:eastAsia="PMingLiU" w:hAnsiTheme="majorHAnsi" w:cstheme="majorBidi"/>
                <w:sz w:val="24"/>
                <w:szCs w:val="24"/>
                <w:lang w:eastAsia="zh-TW"/>
              </w:rPr>
              <w:t>6.5</w:t>
            </w:r>
            <w:r>
              <w:rPr>
                <w:rFonts w:asciiTheme="majorHAnsi" w:eastAsia="PMingLiU" w:hAnsiTheme="majorHAnsi" w:cstheme="majorBidi"/>
                <w:sz w:val="24"/>
                <w:szCs w:val="24"/>
                <w:lang w:eastAsia="zh-TW"/>
              </w:rPr>
              <w:t>)</w:t>
            </w:r>
          </w:p>
        </w:tc>
        <w:tc>
          <w:tcPr>
            <w:tcW w:w="1320"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 xml:space="preserve">17.8 </w:t>
            </w:r>
            <w:r>
              <w:rPr>
                <w:rFonts w:asciiTheme="majorHAnsi" w:eastAsia="PMingLiU" w:hAnsiTheme="majorHAnsi" w:cstheme="majorBidi"/>
                <w:sz w:val="24"/>
                <w:szCs w:val="24"/>
                <w:lang w:eastAsia="zh-TW"/>
              </w:rPr>
              <w:t>(</w:t>
            </w:r>
            <w:r w:rsidRPr="004D211B">
              <w:rPr>
                <w:rFonts w:asciiTheme="majorHAnsi" w:eastAsia="PMingLiU" w:hAnsiTheme="majorHAnsi" w:cstheme="majorBidi"/>
                <w:sz w:val="24"/>
                <w:szCs w:val="24"/>
                <w:lang w:eastAsia="zh-TW"/>
              </w:rPr>
              <w:t>5.6</w:t>
            </w:r>
            <w:r>
              <w:rPr>
                <w:rFonts w:asciiTheme="majorHAnsi" w:eastAsia="PMingLiU" w:hAnsiTheme="majorHAnsi" w:cstheme="majorBidi"/>
                <w:sz w:val="24"/>
                <w:szCs w:val="24"/>
                <w:lang w:eastAsia="zh-TW"/>
              </w:rPr>
              <w:t>)</w:t>
            </w:r>
          </w:p>
        </w:tc>
        <w:tc>
          <w:tcPr>
            <w:tcW w:w="1320"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 xml:space="preserve">23.6 </w:t>
            </w:r>
            <w:r>
              <w:rPr>
                <w:rFonts w:asciiTheme="majorHAnsi" w:eastAsia="PMingLiU" w:hAnsiTheme="majorHAnsi" w:cstheme="majorBidi"/>
                <w:sz w:val="24"/>
                <w:szCs w:val="24"/>
                <w:lang w:eastAsia="zh-TW"/>
              </w:rPr>
              <w:t>(</w:t>
            </w:r>
            <w:r w:rsidRPr="004D211B">
              <w:rPr>
                <w:rFonts w:asciiTheme="majorHAnsi" w:eastAsia="PMingLiU" w:hAnsiTheme="majorHAnsi" w:cstheme="majorBidi"/>
                <w:sz w:val="24"/>
                <w:szCs w:val="24"/>
                <w:lang w:eastAsia="zh-TW"/>
              </w:rPr>
              <w:t>5.4</w:t>
            </w:r>
            <w:r>
              <w:rPr>
                <w:rFonts w:asciiTheme="majorHAnsi" w:eastAsia="PMingLiU" w:hAnsiTheme="majorHAnsi" w:cstheme="majorBidi"/>
                <w:sz w:val="24"/>
                <w:szCs w:val="24"/>
                <w:lang w:eastAsia="zh-TW"/>
              </w:rPr>
              <w:t>)</w:t>
            </w:r>
          </w:p>
        </w:tc>
        <w:tc>
          <w:tcPr>
            <w:tcW w:w="1320"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 xml:space="preserve">9.8 </w:t>
            </w:r>
            <w:r>
              <w:rPr>
                <w:rFonts w:asciiTheme="majorHAnsi" w:eastAsia="PMingLiU" w:hAnsiTheme="majorHAnsi" w:cstheme="majorBidi"/>
                <w:sz w:val="24"/>
                <w:szCs w:val="24"/>
                <w:lang w:eastAsia="zh-TW"/>
              </w:rPr>
              <w:t>(</w:t>
            </w:r>
            <w:r w:rsidRPr="004D211B">
              <w:rPr>
                <w:rFonts w:asciiTheme="majorHAnsi" w:eastAsia="PMingLiU" w:hAnsiTheme="majorHAnsi" w:cstheme="majorBidi"/>
                <w:sz w:val="24"/>
                <w:szCs w:val="24"/>
                <w:lang w:eastAsia="zh-TW"/>
              </w:rPr>
              <w:t>4.1</w:t>
            </w:r>
            <w:r>
              <w:rPr>
                <w:rFonts w:asciiTheme="majorHAnsi" w:eastAsia="PMingLiU" w:hAnsiTheme="majorHAnsi" w:cstheme="majorBidi"/>
                <w:sz w:val="24"/>
                <w:szCs w:val="24"/>
                <w:lang w:eastAsia="zh-TW"/>
              </w:rPr>
              <w:t>)</w:t>
            </w:r>
          </w:p>
        </w:tc>
        <w:tc>
          <w:tcPr>
            <w:tcW w:w="1320" w:type="dxa"/>
            <w:tcBorders>
              <w:top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 xml:space="preserve">4.7 </w:t>
            </w:r>
            <w:r>
              <w:rPr>
                <w:rFonts w:asciiTheme="majorHAnsi" w:eastAsia="PMingLiU" w:hAnsiTheme="majorHAnsi" w:cstheme="majorBidi"/>
                <w:sz w:val="24"/>
                <w:szCs w:val="24"/>
                <w:lang w:eastAsia="zh-TW"/>
              </w:rPr>
              <w:t>(</w:t>
            </w:r>
            <w:r w:rsidRPr="004D211B">
              <w:rPr>
                <w:rFonts w:asciiTheme="majorHAnsi" w:eastAsia="PMingLiU" w:hAnsiTheme="majorHAnsi" w:cstheme="majorBidi"/>
                <w:sz w:val="24"/>
                <w:szCs w:val="24"/>
                <w:lang w:eastAsia="zh-TW"/>
              </w:rPr>
              <w:t>4.6</w:t>
            </w:r>
            <w:r>
              <w:rPr>
                <w:rFonts w:asciiTheme="majorHAnsi" w:eastAsia="PMingLiU" w:hAnsiTheme="majorHAnsi" w:cstheme="majorBidi"/>
                <w:sz w:val="24"/>
                <w:szCs w:val="24"/>
                <w:lang w:eastAsia="zh-TW"/>
              </w:rPr>
              <w:t>)</w:t>
            </w:r>
          </w:p>
        </w:tc>
      </w:tr>
      <w:tr w:rsidR="009B20FE" w:rsidRPr="004D211B" w:rsidTr="002A6348">
        <w:trPr>
          <w:jc w:val="center"/>
        </w:trPr>
        <w:tc>
          <w:tcPr>
            <w:tcW w:w="1320" w:type="dxa"/>
          </w:tcPr>
          <w:p w:rsidR="009B20FE" w:rsidRPr="004D211B" w:rsidRDefault="009B20FE" w:rsidP="002A6348">
            <w:pPr>
              <w:spacing w:line="480" w:lineRule="auto"/>
              <w:rPr>
                <w:rFonts w:asciiTheme="majorHAnsi" w:eastAsia="PMingLiU" w:hAnsiTheme="majorHAnsi" w:cstheme="majorBidi"/>
                <w:b/>
                <w:bCs/>
                <w:sz w:val="24"/>
                <w:szCs w:val="24"/>
                <w:lang w:eastAsia="zh-TW"/>
              </w:rPr>
            </w:pPr>
            <w:r w:rsidRPr="004D211B">
              <w:rPr>
                <w:rFonts w:asciiTheme="majorHAnsi" w:eastAsia="PMingLiU" w:hAnsiTheme="majorHAnsi" w:cstheme="majorBidi"/>
                <w:b/>
                <w:bCs/>
                <w:sz w:val="24"/>
                <w:szCs w:val="24"/>
                <w:lang w:eastAsia="zh-TW"/>
              </w:rPr>
              <w:lastRenderedPageBreak/>
              <w:t>Left</w:t>
            </w:r>
            <w:r w:rsidRPr="004D211B" w:rsidDel="0001080C">
              <w:rPr>
                <w:rFonts w:asciiTheme="majorHAnsi" w:eastAsia="PMingLiU" w:hAnsiTheme="majorHAnsi" w:cstheme="majorBidi"/>
                <w:b/>
                <w:bCs/>
                <w:sz w:val="24"/>
                <w:szCs w:val="24"/>
                <w:lang w:eastAsia="zh-TW"/>
              </w:rPr>
              <w:t xml:space="preserve"> </w:t>
            </w:r>
          </w:p>
        </w:tc>
        <w:tc>
          <w:tcPr>
            <w:tcW w:w="1320" w:type="dxa"/>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 xml:space="preserve">17.5 </w:t>
            </w:r>
            <w:r>
              <w:rPr>
                <w:rFonts w:asciiTheme="majorHAnsi" w:eastAsia="PMingLiU" w:hAnsiTheme="majorHAnsi" w:cstheme="majorBidi"/>
                <w:sz w:val="24"/>
                <w:szCs w:val="24"/>
                <w:lang w:eastAsia="zh-TW"/>
              </w:rPr>
              <w:t>(</w:t>
            </w:r>
            <w:r w:rsidRPr="004D211B">
              <w:rPr>
                <w:rFonts w:asciiTheme="majorHAnsi" w:eastAsia="PMingLiU" w:hAnsiTheme="majorHAnsi" w:cstheme="majorBidi"/>
                <w:sz w:val="24"/>
                <w:szCs w:val="24"/>
                <w:lang w:eastAsia="zh-TW"/>
              </w:rPr>
              <w:t>5.5</w:t>
            </w:r>
            <w:r>
              <w:rPr>
                <w:rFonts w:asciiTheme="majorHAnsi" w:eastAsia="PMingLiU" w:hAnsiTheme="majorHAnsi" w:cstheme="majorBidi"/>
                <w:sz w:val="24"/>
                <w:szCs w:val="24"/>
                <w:lang w:eastAsia="zh-TW"/>
              </w:rPr>
              <w:t>)</w:t>
            </w:r>
          </w:p>
        </w:tc>
        <w:tc>
          <w:tcPr>
            <w:tcW w:w="1320" w:type="dxa"/>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 xml:space="preserve">31.1 </w:t>
            </w:r>
            <w:r>
              <w:rPr>
                <w:rFonts w:asciiTheme="majorHAnsi" w:eastAsia="PMingLiU" w:hAnsiTheme="majorHAnsi" w:cstheme="majorBidi"/>
                <w:sz w:val="24"/>
                <w:szCs w:val="24"/>
                <w:lang w:eastAsia="zh-TW"/>
              </w:rPr>
              <w:t>(</w:t>
            </w:r>
            <w:r w:rsidRPr="004D211B">
              <w:rPr>
                <w:rFonts w:asciiTheme="majorHAnsi" w:eastAsia="PMingLiU" w:hAnsiTheme="majorHAnsi" w:cstheme="majorBidi"/>
                <w:sz w:val="24"/>
                <w:szCs w:val="24"/>
                <w:lang w:eastAsia="zh-TW"/>
              </w:rPr>
              <w:t>5.9</w:t>
            </w:r>
            <w:r>
              <w:rPr>
                <w:rFonts w:asciiTheme="majorHAnsi" w:eastAsia="PMingLiU" w:hAnsiTheme="majorHAnsi" w:cstheme="majorBidi"/>
                <w:sz w:val="24"/>
                <w:szCs w:val="24"/>
                <w:lang w:eastAsia="zh-TW"/>
              </w:rPr>
              <w:t>)</w:t>
            </w:r>
          </w:p>
        </w:tc>
        <w:tc>
          <w:tcPr>
            <w:tcW w:w="1320" w:type="dxa"/>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 xml:space="preserve">12.6 </w:t>
            </w:r>
            <w:r>
              <w:rPr>
                <w:rFonts w:asciiTheme="majorHAnsi" w:eastAsia="PMingLiU" w:hAnsiTheme="majorHAnsi" w:cstheme="majorBidi"/>
                <w:sz w:val="24"/>
                <w:szCs w:val="24"/>
                <w:lang w:eastAsia="zh-TW"/>
              </w:rPr>
              <w:t>(</w:t>
            </w:r>
            <w:r w:rsidRPr="004D211B">
              <w:rPr>
                <w:rFonts w:asciiTheme="majorHAnsi" w:eastAsia="PMingLiU" w:hAnsiTheme="majorHAnsi" w:cstheme="majorBidi"/>
                <w:sz w:val="24"/>
                <w:szCs w:val="24"/>
                <w:lang w:eastAsia="zh-TW"/>
              </w:rPr>
              <w:t>3.3</w:t>
            </w:r>
            <w:r>
              <w:rPr>
                <w:rFonts w:asciiTheme="majorHAnsi" w:eastAsia="PMingLiU" w:hAnsiTheme="majorHAnsi" w:cstheme="majorBidi"/>
                <w:sz w:val="24"/>
                <w:szCs w:val="24"/>
                <w:lang w:eastAsia="zh-TW"/>
              </w:rPr>
              <w:t>)</w:t>
            </w:r>
          </w:p>
        </w:tc>
        <w:tc>
          <w:tcPr>
            <w:tcW w:w="1320" w:type="dxa"/>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 xml:space="preserve">25.6 </w:t>
            </w:r>
            <w:r>
              <w:rPr>
                <w:rFonts w:asciiTheme="majorHAnsi" w:eastAsia="PMingLiU" w:hAnsiTheme="majorHAnsi" w:cstheme="majorBidi"/>
                <w:sz w:val="24"/>
                <w:szCs w:val="24"/>
                <w:lang w:eastAsia="zh-TW"/>
              </w:rPr>
              <w:t>(</w:t>
            </w:r>
            <w:r w:rsidRPr="004D211B">
              <w:rPr>
                <w:rFonts w:asciiTheme="majorHAnsi" w:eastAsia="PMingLiU" w:hAnsiTheme="majorHAnsi" w:cstheme="majorBidi"/>
                <w:sz w:val="24"/>
                <w:szCs w:val="24"/>
                <w:lang w:eastAsia="zh-TW"/>
              </w:rPr>
              <w:t>6.3</w:t>
            </w:r>
            <w:r>
              <w:rPr>
                <w:rFonts w:asciiTheme="majorHAnsi" w:eastAsia="PMingLiU" w:hAnsiTheme="majorHAnsi" w:cstheme="majorBidi"/>
                <w:sz w:val="24"/>
                <w:szCs w:val="24"/>
                <w:lang w:eastAsia="zh-TW"/>
              </w:rPr>
              <w:t>)</w:t>
            </w:r>
          </w:p>
        </w:tc>
        <w:tc>
          <w:tcPr>
            <w:tcW w:w="1320" w:type="dxa"/>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 xml:space="preserve">7.6 </w:t>
            </w:r>
            <w:r>
              <w:rPr>
                <w:rFonts w:asciiTheme="majorHAnsi" w:eastAsia="PMingLiU" w:hAnsiTheme="majorHAnsi" w:cstheme="majorBidi"/>
                <w:sz w:val="24"/>
                <w:szCs w:val="24"/>
                <w:lang w:eastAsia="zh-TW"/>
              </w:rPr>
              <w:t>(</w:t>
            </w:r>
            <w:r w:rsidRPr="004D211B">
              <w:rPr>
                <w:rFonts w:asciiTheme="majorHAnsi" w:eastAsia="PMingLiU" w:hAnsiTheme="majorHAnsi" w:cstheme="majorBidi"/>
                <w:sz w:val="24"/>
                <w:szCs w:val="24"/>
                <w:lang w:eastAsia="zh-TW"/>
              </w:rPr>
              <w:t>3.2</w:t>
            </w:r>
            <w:r>
              <w:rPr>
                <w:rFonts w:asciiTheme="majorHAnsi" w:eastAsia="PMingLiU" w:hAnsiTheme="majorHAnsi" w:cstheme="majorBidi"/>
                <w:sz w:val="24"/>
                <w:szCs w:val="24"/>
                <w:lang w:eastAsia="zh-TW"/>
              </w:rPr>
              <w:t>)</w:t>
            </w:r>
          </w:p>
        </w:tc>
        <w:tc>
          <w:tcPr>
            <w:tcW w:w="1320" w:type="dxa"/>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 xml:space="preserve">3.0 </w:t>
            </w:r>
            <w:r>
              <w:rPr>
                <w:rFonts w:asciiTheme="majorHAnsi" w:eastAsia="PMingLiU" w:hAnsiTheme="majorHAnsi" w:cstheme="majorBidi"/>
                <w:sz w:val="24"/>
                <w:szCs w:val="24"/>
                <w:lang w:eastAsia="zh-TW"/>
              </w:rPr>
              <w:t>(</w:t>
            </w:r>
            <w:r w:rsidRPr="004D211B">
              <w:rPr>
                <w:rFonts w:asciiTheme="majorHAnsi" w:eastAsia="PMingLiU" w:hAnsiTheme="majorHAnsi" w:cstheme="majorBidi"/>
                <w:sz w:val="24"/>
                <w:szCs w:val="24"/>
                <w:lang w:eastAsia="zh-TW"/>
              </w:rPr>
              <w:t>2.1</w:t>
            </w:r>
            <w:r>
              <w:rPr>
                <w:rFonts w:asciiTheme="majorHAnsi" w:eastAsia="PMingLiU" w:hAnsiTheme="majorHAnsi" w:cstheme="majorBidi"/>
                <w:sz w:val="24"/>
                <w:szCs w:val="24"/>
                <w:lang w:eastAsia="zh-TW"/>
              </w:rPr>
              <w:t>)</w:t>
            </w:r>
          </w:p>
        </w:tc>
      </w:tr>
      <w:tr w:rsidR="009B20FE" w:rsidRPr="004D211B" w:rsidTr="002A6348">
        <w:trPr>
          <w:jc w:val="center"/>
        </w:trPr>
        <w:tc>
          <w:tcPr>
            <w:tcW w:w="1320"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b/>
                <w:bCs/>
                <w:sz w:val="24"/>
                <w:szCs w:val="24"/>
                <w:lang w:eastAsia="zh-TW"/>
              </w:rPr>
            </w:pPr>
            <w:r w:rsidRPr="004D211B">
              <w:rPr>
                <w:rFonts w:asciiTheme="majorHAnsi" w:eastAsia="PMingLiU" w:hAnsiTheme="majorHAnsi" w:cstheme="majorBidi"/>
                <w:b/>
                <w:bCs/>
                <w:sz w:val="24"/>
                <w:szCs w:val="24"/>
                <w:lang w:eastAsia="zh-TW"/>
              </w:rPr>
              <w:t>Combined</w:t>
            </w:r>
          </w:p>
        </w:tc>
        <w:tc>
          <w:tcPr>
            <w:tcW w:w="1320"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 xml:space="preserve">19.4 </w:t>
            </w:r>
            <w:r>
              <w:rPr>
                <w:rFonts w:asciiTheme="majorHAnsi" w:eastAsia="PMingLiU" w:hAnsiTheme="majorHAnsi" w:cstheme="majorBidi"/>
                <w:sz w:val="24"/>
                <w:szCs w:val="24"/>
                <w:lang w:eastAsia="zh-TW"/>
              </w:rPr>
              <w:t>(</w:t>
            </w:r>
            <w:r w:rsidRPr="004D211B">
              <w:rPr>
                <w:rFonts w:asciiTheme="majorHAnsi" w:eastAsia="PMingLiU" w:hAnsiTheme="majorHAnsi" w:cstheme="majorBidi"/>
                <w:sz w:val="24"/>
                <w:szCs w:val="24"/>
                <w:lang w:eastAsia="zh-TW"/>
              </w:rPr>
              <w:t>5.0</w:t>
            </w:r>
            <w:r>
              <w:rPr>
                <w:rFonts w:asciiTheme="majorHAnsi" w:eastAsia="PMingLiU" w:hAnsiTheme="majorHAnsi" w:cstheme="majorBidi"/>
                <w:sz w:val="24"/>
                <w:szCs w:val="24"/>
                <w:lang w:eastAsia="zh-TW"/>
              </w:rPr>
              <w:t>)</w:t>
            </w:r>
          </w:p>
        </w:tc>
        <w:tc>
          <w:tcPr>
            <w:tcW w:w="1320"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 xml:space="preserve">31.0 </w:t>
            </w:r>
            <w:r>
              <w:rPr>
                <w:rFonts w:asciiTheme="majorHAnsi" w:eastAsia="PMingLiU" w:hAnsiTheme="majorHAnsi" w:cstheme="majorBidi"/>
                <w:sz w:val="24"/>
                <w:szCs w:val="24"/>
                <w:lang w:eastAsia="zh-TW"/>
              </w:rPr>
              <w:t>(</w:t>
            </w:r>
            <w:r w:rsidRPr="004D211B">
              <w:rPr>
                <w:rFonts w:asciiTheme="majorHAnsi" w:eastAsia="PMingLiU" w:hAnsiTheme="majorHAnsi" w:cstheme="majorBidi"/>
                <w:sz w:val="24"/>
                <w:szCs w:val="24"/>
                <w:lang w:eastAsia="zh-TW"/>
              </w:rPr>
              <w:t>6.2</w:t>
            </w:r>
            <w:r>
              <w:rPr>
                <w:rFonts w:asciiTheme="majorHAnsi" w:eastAsia="PMingLiU" w:hAnsiTheme="majorHAnsi" w:cstheme="majorBidi"/>
                <w:sz w:val="24"/>
                <w:szCs w:val="24"/>
                <w:lang w:eastAsia="zh-TW"/>
              </w:rPr>
              <w:t>)</w:t>
            </w:r>
          </w:p>
        </w:tc>
        <w:tc>
          <w:tcPr>
            <w:tcW w:w="1320"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 xml:space="preserve">15.2 </w:t>
            </w:r>
            <w:r>
              <w:rPr>
                <w:rFonts w:asciiTheme="majorHAnsi" w:eastAsia="PMingLiU" w:hAnsiTheme="majorHAnsi" w:cstheme="majorBidi"/>
                <w:sz w:val="24"/>
                <w:szCs w:val="24"/>
                <w:lang w:eastAsia="zh-TW"/>
              </w:rPr>
              <w:t>(</w:t>
            </w:r>
            <w:r w:rsidRPr="004D211B">
              <w:rPr>
                <w:rFonts w:asciiTheme="majorHAnsi" w:eastAsia="PMingLiU" w:hAnsiTheme="majorHAnsi" w:cstheme="majorBidi"/>
                <w:sz w:val="24"/>
                <w:szCs w:val="24"/>
                <w:lang w:eastAsia="zh-TW"/>
              </w:rPr>
              <w:t>4.2</w:t>
            </w:r>
            <w:r>
              <w:rPr>
                <w:rFonts w:asciiTheme="majorHAnsi" w:eastAsia="PMingLiU" w:hAnsiTheme="majorHAnsi" w:cstheme="majorBidi"/>
                <w:sz w:val="24"/>
                <w:szCs w:val="24"/>
                <w:lang w:eastAsia="zh-TW"/>
              </w:rPr>
              <w:t>)</w:t>
            </w:r>
          </w:p>
        </w:tc>
        <w:tc>
          <w:tcPr>
            <w:tcW w:w="1320"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 xml:space="preserve">24.6 </w:t>
            </w:r>
            <w:r>
              <w:rPr>
                <w:rFonts w:asciiTheme="majorHAnsi" w:eastAsia="PMingLiU" w:hAnsiTheme="majorHAnsi" w:cstheme="majorBidi"/>
                <w:sz w:val="24"/>
                <w:szCs w:val="24"/>
                <w:lang w:eastAsia="zh-TW"/>
              </w:rPr>
              <w:t>(</w:t>
            </w:r>
            <w:r w:rsidRPr="004D211B">
              <w:rPr>
                <w:rFonts w:asciiTheme="majorHAnsi" w:eastAsia="PMingLiU" w:hAnsiTheme="majorHAnsi" w:cstheme="majorBidi"/>
                <w:sz w:val="24"/>
                <w:szCs w:val="24"/>
                <w:lang w:eastAsia="zh-TW"/>
              </w:rPr>
              <w:t>5.9</w:t>
            </w:r>
            <w:r>
              <w:rPr>
                <w:rFonts w:asciiTheme="majorHAnsi" w:eastAsia="PMingLiU" w:hAnsiTheme="majorHAnsi" w:cstheme="majorBidi"/>
                <w:sz w:val="24"/>
                <w:szCs w:val="24"/>
                <w:lang w:eastAsia="zh-TW"/>
              </w:rPr>
              <w:t>)</w:t>
            </w:r>
          </w:p>
        </w:tc>
        <w:tc>
          <w:tcPr>
            <w:tcW w:w="1320"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 xml:space="preserve">8.7 </w:t>
            </w:r>
            <w:r>
              <w:rPr>
                <w:rFonts w:asciiTheme="majorHAnsi" w:eastAsia="PMingLiU" w:hAnsiTheme="majorHAnsi" w:cstheme="majorBidi"/>
                <w:sz w:val="24"/>
                <w:szCs w:val="24"/>
                <w:lang w:eastAsia="zh-TW"/>
              </w:rPr>
              <w:t>(</w:t>
            </w:r>
            <w:r w:rsidRPr="004D211B">
              <w:rPr>
                <w:rFonts w:asciiTheme="majorHAnsi" w:eastAsia="PMingLiU" w:hAnsiTheme="majorHAnsi" w:cstheme="majorBidi"/>
                <w:sz w:val="24"/>
                <w:szCs w:val="24"/>
                <w:lang w:eastAsia="zh-TW"/>
              </w:rPr>
              <w:t>3.7</w:t>
            </w:r>
            <w:r>
              <w:rPr>
                <w:rFonts w:asciiTheme="majorHAnsi" w:eastAsia="PMingLiU" w:hAnsiTheme="majorHAnsi" w:cstheme="majorBidi"/>
                <w:sz w:val="24"/>
                <w:szCs w:val="24"/>
                <w:lang w:eastAsia="zh-TW"/>
              </w:rPr>
              <w:t>)</w:t>
            </w:r>
          </w:p>
        </w:tc>
        <w:tc>
          <w:tcPr>
            <w:tcW w:w="1320" w:type="dxa"/>
            <w:tcBorders>
              <w:bottom w:val="single" w:sz="4" w:space="0" w:color="auto"/>
            </w:tcBorders>
          </w:tcPr>
          <w:p w:rsidR="009B20FE" w:rsidRPr="004D211B" w:rsidRDefault="009B20FE" w:rsidP="002A6348">
            <w:pPr>
              <w:spacing w:line="480" w:lineRule="auto"/>
              <w:rPr>
                <w:rFonts w:asciiTheme="majorHAnsi" w:eastAsia="PMingLiU" w:hAnsiTheme="majorHAnsi" w:cstheme="majorBidi"/>
                <w:sz w:val="24"/>
                <w:szCs w:val="24"/>
                <w:lang w:eastAsia="zh-TW"/>
              </w:rPr>
            </w:pPr>
            <w:r w:rsidRPr="004D211B">
              <w:rPr>
                <w:rFonts w:asciiTheme="majorHAnsi" w:eastAsia="PMingLiU" w:hAnsiTheme="majorHAnsi" w:cstheme="majorBidi"/>
                <w:sz w:val="24"/>
                <w:szCs w:val="24"/>
                <w:lang w:eastAsia="zh-TW"/>
              </w:rPr>
              <w:t xml:space="preserve">3.8 </w:t>
            </w:r>
            <w:r>
              <w:rPr>
                <w:rFonts w:asciiTheme="majorHAnsi" w:eastAsia="PMingLiU" w:hAnsiTheme="majorHAnsi" w:cstheme="majorBidi"/>
                <w:sz w:val="24"/>
                <w:szCs w:val="24"/>
                <w:lang w:eastAsia="zh-TW"/>
              </w:rPr>
              <w:t>(</w:t>
            </w:r>
            <w:r w:rsidRPr="004D211B">
              <w:rPr>
                <w:rFonts w:asciiTheme="majorHAnsi" w:eastAsia="PMingLiU" w:hAnsiTheme="majorHAnsi" w:cstheme="majorBidi"/>
                <w:sz w:val="24"/>
                <w:szCs w:val="24"/>
                <w:lang w:eastAsia="zh-TW"/>
              </w:rPr>
              <w:t>3.6</w:t>
            </w:r>
            <w:r>
              <w:rPr>
                <w:rFonts w:asciiTheme="majorHAnsi" w:eastAsia="PMingLiU" w:hAnsiTheme="majorHAnsi" w:cstheme="majorBidi"/>
                <w:sz w:val="24"/>
                <w:szCs w:val="24"/>
                <w:lang w:eastAsia="zh-TW"/>
              </w:rPr>
              <w:t>)</w:t>
            </w:r>
          </w:p>
        </w:tc>
      </w:tr>
    </w:tbl>
    <w:p w:rsidR="009B20FE" w:rsidRPr="004D211B" w:rsidRDefault="009B20FE" w:rsidP="009B20FE">
      <w:pPr>
        <w:spacing w:line="480" w:lineRule="auto"/>
        <w:rPr>
          <w:rFonts w:asciiTheme="majorHAnsi" w:eastAsia="PMingLiU" w:hAnsiTheme="majorHAnsi" w:cstheme="majorBidi"/>
          <w:i/>
          <w:iCs/>
          <w:sz w:val="24"/>
          <w:szCs w:val="24"/>
          <w:lang w:eastAsia="zh-TW"/>
        </w:rPr>
      </w:pPr>
    </w:p>
    <w:p w:rsidR="00F20BC8" w:rsidRPr="00325486" w:rsidRDefault="00F20BC8" w:rsidP="00F20BC8">
      <w:pPr>
        <w:spacing w:line="480" w:lineRule="auto"/>
        <w:rPr>
          <w:rFonts w:asciiTheme="majorHAnsi" w:eastAsia="PMingLiU" w:hAnsiTheme="majorHAnsi" w:cstheme="majorBidi"/>
          <w:i/>
          <w:iCs/>
          <w:sz w:val="24"/>
          <w:szCs w:val="24"/>
          <w:lang w:eastAsia="zh-TW"/>
        </w:rPr>
      </w:pPr>
      <w:r w:rsidRPr="00325486">
        <w:rPr>
          <w:rFonts w:asciiTheme="majorHAnsi" w:eastAsia="PMingLiU" w:hAnsiTheme="majorHAnsi" w:cstheme="majorBidi"/>
          <w:i/>
          <w:iCs/>
          <w:sz w:val="24"/>
          <w:szCs w:val="24"/>
          <w:lang w:eastAsia="zh-TW"/>
        </w:rPr>
        <w:t>3.2 Comfort and Safety Feedback</w:t>
      </w:r>
    </w:p>
    <w:p w:rsidR="00F20BC8" w:rsidRPr="00325486" w:rsidRDefault="00F20BC8" w:rsidP="00F20BC8">
      <w:pPr>
        <w:spacing w:line="480" w:lineRule="auto"/>
        <w:rPr>
          <w:rFonts w:asciiTheme="majorHAnsi" w:hAnsiTheme="majorHAnsi" w:cstheme="majorBidi"/>
          <w:sz w:val="24"/>
          <w:szCs w:val="24"/>
        </w:rPr>
      </w:pPr>
      <w:r w:rsidRPr="00325486">
        <w:rPr>
          <w:rFonts w:asciiTheme="majorHAnsi" w:hAnsiTheme="majorHAnsi" w:cstheme="majorBidi"/>
          <w:sz w:val="24"/>
          <w:szCs w:val="24"/>
        </w:rPr>
        <w:t xml:space="preserve">The results from the comfort survey suggested that during the supine phase participants reported to be ‘comfortable’ or ‘very comfortable’ in the majority of cases (17/20, pooled for both LPR and manual tilt protocols). However, during the tilted phases the comfort scores varied considerably, with feedback ranging from ‘very comfortable’ to ‘uncomfortable’. The effective decrease in comfort levels compared with the supine posture was evident for both LPR and manual protocols.  It was also observed that some subjects felt ‘unsafe’ whilst being tilted during both LPR and manual protocols. This was reported more frequently during the LPR protocol with 5/10 reporting ‘unsafe’ compared to one individual during the manual tilt protocol, a difference which was shown to be significant (p&lt;0.05). </w:t>
      </w:r>
    </w:p>
    <w:p w:rsidR="003B3800" w:rsidRDefault="003B3800" w:rsidP="00F20BC8">
      <w:pPr>
        <w:spacing w:line="480" w:lineRule="auto"/>
        <w:rPr>
          <w:rFonts w:asciiTheme="majorHAnsi" w:hAnsiTheme="majorHAnsi" w:cstheme="majorBidi"/>
          <w:sz w:val="24"/>
          <w:szCs w:val="24"/>
        </w:rPr>
      </w:pPr>
    </w:p>
    <w:p w:rsidR="009B20FE" w:rsidRPr="00325486" w:rsidRDefault="009B20FE" w:rsidP="00F20BC8">
      <w:pPr>
        <w:spacing w:line="480" w:lineRule="auto"/>
        <w:rPr>
          <w:rFonts w:asciiTheme="majorHAnsi" w:hAnsiTheme="majorHAnsi" w:cstheme="majorBidi"/>
          <w:sz w:val="24"/>
          <w:szCs w:val="24"/>
        </w:rPr>
      </w:pPr>
    </w:p>
    <w:p w:rsidR="00F20BC8" w:rsidRPr="00325486" w:rsidRDefault="00F20BC8" w:rsidP="00F20BC8">
      <w:pPr>
        <w:spacing w:line="480" w:lineRule="auto"/>
        <w:rPr>
          <w:rFonts w:asciiTheme="majorHAnsi" w:hAnsiTheme="majorHAnsi" w:cstheme="majorBidi"/>
          <w:b/>
          <w:sz w:val="24"/>
          <w:szCs w:val="24"/>
        </w:rPr>
      </w:pPr>
      <w:r w:rsidRPr="00325486">
        <w:rPr>
          <w:rFonts w:asciiTheme="majorHAnsi" w:hAnsiTheme="majorHAnsi" w:cstheme="majorBidi"/>
          <w:b/>
          <w:sz w:val="24"/>
          <w:szCs w:val="24"/>
        </w:rPr>
        <w:t xml:space="preserve">4. Discussion </w:t>
      </w:r>
    </w:p>
    <w:p w:rsidR="00F20BC8" w:rsidRPr="00325486" w:rsidRDefault="00F20BC8" w:rsidP="00F20BC8">
      <w:pPr>
        <w:spacing w:line="480" w:lineRule="auto"/>
        <w:rPr>
          <w:rFonts w:asciiTheme="majorHAnsi" w:hAnsiTheme="majorHAnsi" w:cstheme="majorBidi"/>
          <w:bCs/>
          <w:sz w:val="24"/>
          <w:szCs w:val="24"/>
        </w:rPr>
      </w:pPr>
      <w:r w:rsidRPr="00325486">
        <w:rPr>
          <w:rFonts w:asciiTheme="majorHAnsi" w:hAnsiTheme="majorHAnsi" w:cstheme="majorBidi"/>
          <w:bCs/>
          <w:sz w:val="24"/>
          <w:szCs w:val="24"/>
        </w:rPr>
        <w:lastRenderedPageBreak/>
        <w:t xml:space="preserve">  This study has combined a range of objective measures in association with subjective perception to compare a prototype lateral rotation (LPR) mattress to a standard manual tilt. This revealed that the responses were in general similar for both tilting protocols, although some distinct differences were noted between protocols in a small proportion of the healthy cohort. Thus, results of the physiological measures of transcutaneous gas tensions indicate characteristic trends in tissue response associated with equivalent interface pressures for both tilting protocols. In addition, comfort scores were similar between the two protocols. However, the participants reported some safety concerns whilst being tilted, particularly during the LPR protocol, despite the fact that the angle of tilt achieved at the sternum and pelvis were significantly lower using the LPR mattress. </w:t>
      </w:r>
    </w:p>
    <w:p w:rsidR="00F20BC8" w:rsidRPr="00325486" w:rsidRDefault="00F20BC8" w:rsidP="00F20BC8">
      <w:pPr>
        <w:spacing w:line="480" w:lineRule="auto"/>
        <w:rPr>
          <w:rFonts w:asciiTheme="majorHAnsi" w:hAnsiTheme="majorHAnsi" w:cstheme="majorBidi"/>
          <w:bCs/>
          <w:sz w:val="24"/>
          <w:szCs w:val="24"/>
        </w:rPr>
      </w:pPr>
    </w:p>
    <w:p w:rsidR="00F20BC8" w:rsidRPr="00325486" w:rsidRDefault="00F20BC8" w:rsidP="00664DDB">
      <w:pPr>
        <w:spacing w:after="0" w:line="480" w:lineRule="auto"/>
        <w:rPr>
          <w:rFonts w:asciiTheme="majorHAnsi" w:eastAsia="PMingLiU" w:hAnsiTheme="majorHAnsi" w:cstheme="majorBidi"/>
          <w:sz w:val="24"/>
          <w:szCs w:val="24"/>
          <w:lang w:eastAsia="zh-TW"/>
        </w:rPr>
      </w:pPr>
      <w:r w:rsidRPr="00325486">
        <w:rPr>
          <w:rFonts w:asciiTheme="majorHAnsi" w:hAnsiTheme="majorHAnsi" w:cstheme="majorBidi"/>
          <w:sz w:val="24"/>
          <w:szCs w:val="24"/>
          <w:lang w:eastAsia="zh-CN"/>
        </w:rPr>
        <w:t xml:space="preserve">  The present study revealed that during supine lying there are relatively low interface pressures across the body and sacral tissue gas tensions remain stable, with the majority of participants exhibiting a Category 1 response. This result was also shown by Kim et al (2012) who reported values for interfaces pressures that are similar in magnitude and distribution to the present study (median =46, range 27-84mmHg). In addition, their evaluation of transcutaneous tissue oxygen values at the sacrum were reported to remain stable during 20 minutes of static supine lying, with mean values of </w:t>
      </w:r>
      <w:r w:rsidRPr="00325486">
        <w:rPr>
          <w:rFonts w:asciiTheme="majorHAnsi" w:eastAsia="PMingLiU" w:hAnsiTheme="majorHAnsi" w:cstheme="majorBidi"/>
          <w:sz w:val="24"/>
          <w:szCs w:val="24"/>
          <w:lang w:eastAsia="zh-TW"/>
        </w:rPr>
        <w:t>TcPO2  between 31-37mmHg.   An interesting finding of the present study was that some individuals exhibited a re</w:t>
      </w:r>
      <w:r w:rsidRPr="00325486">
        <w:rPr>
          <w:rFonts w:asciiTheme="majorHAnsi" w:eastAsia="PMingLiU" w:hAnsiTheme="majorHAnsi" w:cstheme="majorBidi"/>
          <w:sz w:val="24"/>
          <w:szCs w:val="24"/>
          <w:lang w:eastAsia="zh-TW"/>
        </w:rPr>
        <w:lastRenderedPageBreak/>
        <w:t>duction in TcPO</w:t>
      </w:r>
      <w:r w:rsidRPr="00325486">
        <w:rPr>
          <w:rFonts w:asciiTheme="majorHAnsi" w:eastAsia="PMingLiU" w:hAnsiTheme="majorHAnsi" w:cstheme="majorBidi"/>
          <w:sz w:val="24"/>
          <w:szCs w:val="24"/>
          <w:vertAlign w:val="subscript"/>
          <w:lang w:eastAsia="zh-TW"/>
        </w:rPr>
        <w:t>2</w:t>
      </w:r>
      <w:r w:rsidRPr="00325486">
        <w:rPr>
          <w:rFonts w:asciiTheme="majorHAnsi" w:eastAsia="PMingLiU" w:hAnsiTheme="majorHAnsi" w:cstheme="majorBidi"/>
          <w:sz w:val="24"/>
          <w:szCs w:val="24"/>
          <w:lang w:eastAsia="zh-TW"/>
        </w:rPr>
        <w:t xml:space="preserve"> values (Category 2 response, Figure 3A-B) at the shoulder and in a small number of cases when individuals were tilted towards the right, this was associated with an increase in TcPCO</w:t>
      </w:r>
      <w:r w:rsidRPr="00325486">
        <w:rPr>
          <w:rFonts w:asciiTheme="majorHAnsi" w:eastAsia="PMingLiU" w:hAnsiTheme="majorHAnsi" w:cstheme="majorBidi"/>
          <w:sz w:val="24"/>
          <w:szCs w:val="24"/>
          <w:vertAlign w:val="subscript"/>
          <w:lang w:eastAsia="zh-TW"/>
        </w:rPr>
        <w:t>2</w:t>
      </w:r>
      <w:r w:rsidRPr="00325486">
        <w:rPr>
          <w:rFonts w:asciiTheme="majorHAnsi" w:eastAsia="PMingLiU" w:hAnsiTheme="majorHAnsi" w:cstheme="majorBidi"/>
          <w:sz w:val="24"/>
          <w:szCs w:val="24"/>
          <w:lang w:eastAsia="zh-TW"/>
        </w:rPr>
        <w:t xml:space="preserve"> values (Category 3 response, Figure 4A-B). These responses were also reported in healthy individuals by Chai and Bader (2013) at the sacrum, when the head of the bed angle was raised in the supine position.  The difference in body site response could be associated with the differing methods of bed tilt employed by the two studies, with Chai and Bader (2013) tilting the head up in the sagittal plane and the present study tilting the whole body in the transverse plane. </w:t>
      </w:r>
      <w:r w:rsidR="00664DDB" w:rsidRPr="00325486">
        <w:rPr>
          <w:rFonts w:asciiTheme="majorHAnsi" w:eastAsia="PMingLiU" w:hAnsiTheme="majorHAnsi" w:cstheme="majorBidi"/>
          <w:sz w:val="24"/>
          <w:szCs w:val="24"/>
          <w:lang w:eastAsia="zh-TW"/>
        </w:rPr>
        <w:t>The presence of the transcutaneous gas tension electrode did not influence the soft tissue responses in the shoulder, with corresponding peak interface pressure values matching those at the sacrum and the remaining body sites (Table 2).</w:t>
      </w:r>
      <w:r w:rsidRPr="00325486">
        <w:rPr>
          <w:rFonts w:asciiTheme="majorHAnsi" w:eastAsia="PMingLiU" w:hAnsiTheme="majorHAnsi" w:cstheme="majorBidi"/>
          <w:sz w:val="24"/>
          <w:szCs w:val="24"/>
          <w:lang w:eastAsia="zh-TW"/>
        </w:rPr>
        <w:t xml:space="preserve">The Category 2 and 3 responses in tissue gas tensions are indicative of localised tissue ischemia, which is commonly regarded as one of the main mechanisms of pressure ulcer aetiology </w:t>
      </w:r>
      <w:r w:rsidRPr="00325486">
        <w:rPr>
          <w:rFonts w:asciiTheme="majorHAnsi" w:eastAsia="PMingLiU" w:hAnsiTheme="majorHAnsi" w:cstheme="majorBidi"/>
          <w:sz w:val="24"/>
          <w:szCs w:val="24"/>
          <w:lang w:eastAsia="zh-TW"/>
        </w:rPr>
        <w:fldChar w:fldCharType="begin"/>
      </w:r>
      <w:r w:rsidR="009D5751" w:rsidRPr="00325486">
        <w:rPr>
          <w:rFonts w:asciiTheme="majorHAnsi" w:eastAsia="PMingLiU" w:hAnsiTheme="majorHAnsi" w:cstheme="majorBidi"/>
          <w:sz w:val="24"/>
          <w:szCs w:val="24"/>
          <w:lang w:eastAsia="zh-TW"/>
        </w:rPr>
        <w:instrText xml:space="preserve"> ADDIN EN.CITE &lt;EndNote&gt;&lt;Cite&gt;&lt;Author&gt;Bouten&lt;/Author&gt;&lt;Year&gt;2003&lt;/Year&gt;&lt;RecNum&gt;2020&lt;/RecNum&gt;&lt;DisplayText&gt;(Bouten et al., 2003)&lt;/DisplayText&gt;&lt;record&gt;&lt;rec-number&gt;2020&lt;/rec-number&gt;&lt;foreign-keys&gt;&lt;key app="EN" db-id="ervprze5a95tvoe59pjpvw5gezttve9wxvfs"&gt;2020&lt;/key&gt;&lt;/foreign-keys&gt;&lt;ref-type name="Journal Article"&gt;17&lt;/ref-type&gt;&lt;contributors&gt;&lt;authors&gt;&lt;author&gt;Bouten, C.&lt;/author&gt;&lt;author&gt;Oomens, C.&lt;/author&gt;&lt;author&gt;Baaijens, F.&lt;/author&gt;&lt;author&gt;Bader, D.&lt;/author&gt;&lt;/authors&gt;&lt;/contributors&gt;&lt;titles&gt;&lt;title&gt;The Etiology of Pressure Ulcers: Skin Deep or Muscle Bound?&lt;/title&gt;&lt;secondary-title&gt;Archives of Physical Medicine and Rehabilitation&lt;/secondary-title&gt;&lt;/titles&gt;&lt;periodical&gt;&lt;full-title&gt;Archives of Physical Medicine and Rehabilitation&lt;/full-title&gt;&lt;abbr-1&gt;Arch. Phys. Med. Rehabil.&lt;/abbr-1&gt;&lt;abbr-2&gt;Arch Phys Med Rehabil&lt;/abbr-2&gt;&lt;abbr-3&gt;Archives of Physical Medicine &amp;amp; Rehabilitation&lt;/abbr-3&gt;&lt;/periodical&gt;&lt;pages&gt;616-9&lt;/pages&gt;&lt;volume&gt;84&lt;/volume&gt;&lt;dates&gt;&lt;year&gt;2003&lt;/year&gt;&lt;/dates&gt;&lt;urls&gt;&lt;/urls&gt;&lt;/record&gt;&lt;/Cite&gt;&lt;/EndNote&gt;</w:instrText>
      </w:r>
      <w:r w:rsidRPr="00325486">
        <w:rPr>
          <w:rFonts w:asciiTheme="majorHAnsi" w:eastAsia="PMingLiU" w:hAnsiTheme="majorHAnsi" w:cstheme="majorBidi"/>
          <w:sz w:val="24"/>
          <w:szCs w:val="24"/>
          <w:lang w:eastAsia="zh-TW"/>
        </w:rPr>
        <w:fldChar w:fldCharType="separate"/>
      </w:r>
      <w:r w:rsidR="009D5751" w:rsidRPr="00325486">
        <w:rPr>
          <w:rFonts w:asciiTheme="majorHAnsi" w:eastAsia="PMingLiU" w:hAnsiTheme="majorHAnsi" w:cstheme="majorBidi"/>
          <w:noProof/>
          <w:sz w:val="24"/>
          <w:szCs w:val="24"/>
          <w:lang w:eastAsia="zh-TW"/>
        </w:rPr>
        <w:t>(</w:t>
      </w:r>
      <w:hyperlink w:anchor="_ENREF_2" w:tooltip="Bouten, 2003 #2020" w:history="1">
        <w:r w:rsidR="00C65543" w:rsidRPr="00325486">
          <w:rPr>
            <w:rFonts w:asciiTheme="majorHAnsi" w:eastAsia="PMingLiU" w:hAnsiTheme="majorHAnsi" w:cstheme="majorBidi"/>
            <w:noProof/>
            <w:sz w:val="24"/>
            <w:szCs w:val="24"/>
            <w:lang w:eastAsia="zh-TW"/>
          </w:rPr>
          <w:t>Bouten et al., 2003</w:t>
        </w:r>
      </w:hyperlink>
      <w:r w:rsidR="009D5751" w:rsidRPr="00325486">
        <w:rPr>
          <w:rFonts w:asciiTheme="majorHAnsi" w:eastAsia="PMingLiU" w:hAnsiTheme="majorHAnsi" w:cstheme="majorBidi"/>
          <w:noProof/>
          <w:sz w:val="24"/>
          <w:szCs w:val="24"/>
          <w:lang w:eastAsia="zh-TW"/>
        </w:rPr>
        <w:t>)</w:t>
      </w:r>
      <w:r w:rsidRPr="00325486">
        <w:rPr>
          <w:rFonts w:asciiTheme="majorHAnsi" w:eastAsia="PMingLiU" w:hAnsiTheme="majorHAnsi" w:cstheme="majorBidi"/>
          <w:sz w:val="24"/>
          <w:szCs w:val="24"/>
          <w:lang w:eastAsia="zh-TW"/>
        </w:rPr>
        <w:fldChar w:fldCharType="end"/>
      </w:r>
      <w:r w:rsidRPr="00325486">
        <w:rPr>
          <w:rFonts w:asciiTheme="majorHAnsi" w:eastAsia="PMingLiU" w:hAnsiTheme="majorHAnsi" w:cstheme="majorBidi"/>
          <w:sz w:val="24"/>
          <w:szCs w:val="24"/>
          <w:lang w:eastAsia="zh-TW"/>
        </w:rPr>
        <w:t>.  When the oxygen supply to the cell niche is compromised, the metabolic state of the tissue will change from aerobic to anaerobic respiration. This will result in anaerobic glycolysis and the potential build-up of metabolites associated with this process, namely lactate.   Indeed, previous research has correlated lactate concentrations found in sweat in loaded tissues, with a decrease in TcPO</w:t>
      </w:r>
      <w:r w:rsidRPr="00325486">
        <w:rPr>
          <w:rFonts w:asciiTheme="majorHAnsi" w:eastAsia="PMingLiU" w:hAnsiTheme="majorHAnsi" w:cstheme="majorBidi"/>
          <w:sz w:val="24"/>
          <w:szCs w:val="24"/>
          <w:vertAlign w:val="subscript"/>
          <w:lang w:eastAsia="zh-TW"/>
        </w:rPr>
        <w:t>2</w:t>
      </w:r>
      <w:r w:rsidRPr="00325486">
        <w:rPr>
          <w:rFonts w:asciiTheme="majorHAnsi" w:eastAsia="PMingLiU" w:hAnsiTheme="majorHAnsi" w:cstheme="majorBidi"/>
          <w:sz w:val="24"/>
          <w:szCs w:val="24"/>
          <w:lang w:eastAsia="zh-TW"/>
        </w:rPr>
        <w:t xml:space="preserve"> and an associated increase in T</w:t>
      </w:r>
      <w:r w:rsidRPr="00325486">
        <w:rPr>
          <w:rFonts w:asciiTheme="majorHAnsi" w:eastAsia="PMingLiU" w:hAnsiTheme="majorHAnsi" w:cstheme="majorBidi"/>
          <w:sz w:val="24"/>
          <w:szCs w:val="24"/>
          <w:vertAlign w:val="subscript"/>
          <w:lang w:eastAsia="zh-TW"/>
        </w:rPr>
        <w:t>c</w:t>
      </w:r>
      <w:r w:rsidRPr="00325486">
        <w:rPr>
          <w:rFonts w:asciiTheme="majorHAnsi" w:eastAsia="PMingLiU" w:hAnsiTheme="majorHAnsi" w:cstheme="majorBidi"/>
          <w:sz w:val="24"/>
          <w:szCs w:val="24"/>
          <w:lang w:eastAsia="zh-TW"/>
        </w:rPr>
        <w:t>PCO</w:t>
      </w:r>
      <w:r w:rsidRPr="00325486">
        <w:rPr>
          <w:rFonts w:asciiTheme="majorHAnsi" w:eastAsia="PMingLiU" w:hAnsiTheme="majorHAnsi" w:cstheme="majorBidi"/>
          <w:sz w:val="24"/>
          <w:szCs w:val="24"/>
          <w:vertAlign w:val="subscript"/>
          <w:lang w:eastAsia="zh-TW"/>
        </w:rPr>
        <w:t xml:space="preserve">2 </w:t>
      </w:r>
      <w:r w:rsidRPr="00325486">
        <w:rPr>
          <w:rFonts w:asciiTheme="majorHAnsi" w:eastAsia="PMingLiU" w:hAnsiTheme="majorHAnsi" w:cstheme="majorBidi"/>
          <w:sz w:val="24"/>
          <w:szCs w:val="24"/>
          <w:lang w:eastAsia="zh-TW"/>
        </w:rPr>
        <w:t xml:space="preserve"> </w:t>
      </w:r>
      <w:r w:rsidRPr="00325486">
        <w:rPr>
          <w:rFonts w:asciiTheme="majorHAnsi" w:eastAsia="PMingLiU" w:hAnsiTheme="majorHAnsi" w:cstheme="majorBidi"/>
          <w:sz w:val="24"/>
          <w:szCs w:val="24"/>
          <w:lang w:eastAsia="zh-TW"/>
        </w:rPr>
        <w:fldChar w:fldCharType="begin"/>
      </w:r>
      <w:r w:rsidR="009D5751" w:rsidRPr="00325486">
        <w:rPr>
          <w:rFonts w:asciiTheme="majorHAnsi" w:eastAsia="PMingLiU" w:hAnsiTheme="majorHAnsi" w:cstheme="majorBidi"/>
          <w:sz w:val="24"/>
          <w:szCs w:val="24"/>
          <w:lang w:eastAsia="zh-TW"/>
        </w:rPr>
        <w:instrText xml:space="preserve"> ADDIN EN.CITE &lt;EndNote&gt;&lt;Cite&gt;&lt;Author&gt;Knight&lt;/Author&gt;&lt;Year&gt;2001&lt;/Year&gt;&lt;RecNum&gt;1972&lt;/RecNum&gt;&lt;DisplayText&gt;(Knight et al., 2001)&lt;/DisplayText&gt;&lt;record&gt;&lt;rec-number&gt;1972&lt;/rec-number&gt;&lt;foreign-keys&gt;&lt;key app="EN" db-id="ervprze5a95tvoe59pjpvw5gezttve9wxvfs"&gt;1972&lt;/key&gt;&lt;/foreign-keys&gt;&lt;ref-type name="Journal Article"&gt;17&lt;/ref-type&gt;&lt;contributors&gt;&lt;authors&gt;&lt;author&gt;Knight, S.&lt;/author&gt;&lt;author&gt;Taylor, R.&lt;/author&gt;&lt;author&gt;Polliak, A.&lt;/author&gt;&lt;author&gt;Bader, D.L.&lt;/author&gt;&lt;/authors&gt;&lt;/contributors&gt;&lt;titles&gt;&lt;title&gt;Establishing predictive indicators for the status of loaded soft tissues&lt;/title&gt;&lt;secondary-title&gt;Journal of Applied Physiology&lt;/secondary-title&gt;&lt;/titles&gt;&lt;periodical&gt;&lt;full-title&gt;Journal of Applied Physiology&lt;/full-title&gt;&lt;abbr-1&gt;J. Appl. Physiol.&lt;/abbr-1&gt;&lt;abbr-2&gt;J Appl Physiol&lt;/abbr-2&gt;&lt;/periodical&gt;&lt;pages&gt;2231-2237&lt;/pages&gt;&lt;volume&gt;90&lt;/volume&gt;&lt;dates&gt;&lt;year&gt;2001&lt;/year&gt;&lt;/dates&gt;&lt;urls&gt;&lt;/urls&gt;&lt;/record&gt;&lt;/Cite&gt;&lt;/EndNote&gt;</w:instrText>
      </w:r>
      <w:r w:rsidRPr="00325486">
        <w:rPr>
          <w:rFonts w:asciiTheme="majorHAnsi" w:eastAsia="PMingLiU" w:hAnsiTheme="majorHAnsi" w:cstheme="majorBidi"/>
          <w:sz w:val="24"/>
          <w:szCs w:val="24"/>
          <w:lang w:eastAsia="zh-TW"/>
        </w:rPr>
        <w:fldChar w:fldCharType="separate"/>
      </w:r>
      <w:r w:rsidR="009D5751" w:rsidRPr="00325486">
        <w:rPr>
          <w:rFonts w:asciiTheme="majorHAnsi" w:eastAsia="PMingLiU" w:hAnsiTheme="majorHAnsi" w:cstheme="majorBidi"/>
          <w:noProof/>
          <w:sz w:val="24"/>
          <w:szCs w:val="24"/>
          <w:lang w:eastAsia="zh-TW"/>
        </w:rPr>
        <w:t>(</w:t>
      </w:r>
      <w:hyperlink w:anchor="_ENREF_9" w:tooltip="Knight, 2001 #1972" w:history="1">
        <w:r w:rsidR="00C65543" w:rsidRPr="00325486">
          <w:rPr>
            <w:rFonts w:asciiTheme="majorHAnsi" w:eastAsia="PMingLiU" w:hAnsiTheme="majorHAnsi" w:cstheme="majorBidi"/>
            <w:noProof/>
            <w:sz w:val="24"/>
            <w:szCs w:val="24"/>
            <w:lang w:eastAsia="zh-TW"/>
          </w:rPr>
          <w:t>Knight et al., 2001</w:t>
        </w:r>
      </w:hyperlink>
      <w:r w:rsidR="009D5751" w:rsidRPr="00325486">
        <w:rPr>
          <w:rFonts w:asciiTheme="majorHAnsi" w:eastAsia="PMingLiU" w:hAnsiTheme="majorHAnsi" w:cstheme="majorBidi"/>
          <w:noProof/>
          <w:sz w:val="24"/>
          <w:szCs w:val="24"/>
          <w:lang w:eastAsia="zh-TW"/>
        </w:rPr>
        <w:t>)</w:t>
      </w:r>
      <w:r w:rsidRPr="00325486">
        <w:rPr>
          <w:rFonts w:asciiTheme="majorHAnsi" w:eastAsia="PMingLiU" w:hAnsiTheme="majorHAnsi" w:cstheme="majorBidi"/>
          <w:sz w:val="24"/>
          <w:szCs w:val="24"/>
          <w:lang w:eastAsia="zh-TW"/>
        </w:rPr>
        <w:fldChar w:fldCharType="end"/>
      </w:r>
      <w:r w:rsidRPr="00325486">
        <w:rPr>
          <w:rFonts w:asciiTheme="majorHAnsi" w:eastAsia="PMingLiU" w:hAnsiTheme="majorHAnsi" w:cstheme="majorBidi"/>
          <w:sz w:val="24"/>
          <w:szCs w:val="24"/>
          <w:lang w:eastAsia="zh-TW"/>
        </w:rPr>
        <w:t xml:space="preserve">. </w:t>
      </w:r>
    </w:p>
    <w:p w:rsidR="00F20BC8" w:rsidRPr="00325486" w:rsidRDefault="00F20BC8" w:rsidP="00F20BC8">
      <w:pPr>
        <w:spacing w:after="0" w:line="480" w:lineRule="auto"/>
        <w:rPr>
          <w:rFonts w:asciiTheme="majorHAnsi" w:eastAsia="PMingLiU" w:hAnsiTheme="majorHAnsi" w:cstheme="majorBidi"/>
          <w:sz w:val="24"/>
          <w:szCs w:val="24"/>
          <w:lang w:eastAsia="zh-TW"/>
        </w:rPr>
      </w:pPr>
    </w:p>
    <w:p w:rsidR="00F20BC8" w:rsidRPr="00325486" w:rsidRDefault="00F20BC8" w:rsidP="00C35C59">
      <w:pPr>
        <w:spacing w:after="0" w:line="480" w:lineRule="auto"/>
        <w:rPr>
          <w:rFonts w:asciiTheme="majorHAnsi" w:hAnsiTheme="majorHAnsi" w:cstheme="majorBidi"/>
          <w:sz w:val="24"/>
          <w:szCs w:val="24"/>
        </w:rPr>
      </w:pPr>
      <w:r w:rsidRPr="00325486">
        <w:rPr>
          <w:rFonts w:asciiTheme="majorHAnsi" w:eastAsia="PMingLiU" w:hAnsiTheme="majorHAnsi" w:cstheme="majorBidi"/>
          <w:sz w:val="24"/>
          <w:szCs w:val="24"/>
          <w:lang w:eastAsia="zh-TW"/>
        </w:rPr>
        <w:lastRenderedPageBreak/>
        <w:t xml:space="preserve">The present study indicated similar physiological responses at the shoulder and sacrum despite a significant reduction in the magnitude of tilt angle when comparing the LPR and manual protocols. The reduction in tilt magnitude may have resulted from the mechanism of the prototype mattress involving a single segment, single axis design (Figure 1A).   </w:t>
      </w:r>
      <w:r w:rsidR="00C35C59" w:rsidRPr="00325486">
        <w:rPr>
          <w:rFonts w:asciiTheme="majorHAnsi" w:eastAsia="PMingLiU" w:hAnsiTheme="majorHAnsi" w:cstheme="majorBidi"/>
          <w:sz w:val="24"/>
          <w:szCs w:val="24"/>
          <w:lang w:eastAsia="zh-TW"/>
        </w:rPr>
        <w:t xml:space="preserve">It is also of note that the degree of tilt the bed produced without an individual lying on it (14°) differed to the angles of tilt measured on the participant at the ankles (3.8°) and sternum (19.4°). However, pelvis tilt angles were similar in magnitude (15.2°). </w:t>
      </w:r>
      <w:r w:rsidRPr="00325486">
        <w:rPr>
          <w:rFonts w:asciiTheme="majorHAnsi" w:eastAsia="PMingLiU" w:hAnsiTheme="majorHAnsi" w:cstheme="majorBidi"/>
          <w:sz w:val="24"/>
          <w:szCs w:val="24"/>
          <w:lang w:eastAsia="zh-TW"/>
        </w:rPr>
        <w:t xml:space="preserve">Yi et al (2009) reported higher tilting angles with a two segmented bed rotating about a single axis, with an associated </w:t>
      </w:r>
      <w:r w:rsidRPr="00325486">
        <w:rPr>
          <w:rFonts w:asciiTheme="majorHAnsi" w:hAnsiTheme="majorHAnsi" w:cstheme="majorBidi"/>
          <w:sz w:val="24"/>
          <w:szCs w:val="24"/>
        </w:rPr>
        <w:t xml:space="preserve">reduction in peak interface pressure from the supine position. However, larger tilt angles (up to 40°) may also increase the risk of PU formation </w:t>
      </w:r>
      <w:r w:rsidRPr="00325486">
        <w:rPr>
          <w:rFonts w:asciiTheme="majorHAnsi" w:hAnsiTheme="majorHAnsi" w:cstheme="majorBidi"/>
          <w:sz w:val="24"/>
          <w:szCs w:val="24"/>
        </w:rPr>
        <w:fldChar w:fldCharType="begin"/>
      </w:r>
      <w:r w:rsidR="009D5751" w:rsidRPr="00325486">
        <w:rPr>
          <w:rFonts w:asciiTheme="majorHAnsi" w:hAnsiTheme="majorHAnsi" w:cstheme="majorBidi"/>
          <w:sz w:val="24"/>
          <w:szCs w:val="24"/>
        </w:rPr>
        <w:instrText xml:space="preserve"> ADDIN EN.CITE &lt;EndNote&gt;&lt;Cite&gt;&lt;Author&gt;Russell&lt;/Author&gt;&lt;Year&gt;2003&lt;/Year&gt;&lt;RecNum&gt;4353&lt;/RecNum&gt;&lt;DisplayText&gt;(Russell and Logsdon, 2003)&lt;/DisplayText&gt;&lt;record&gt;&lt;rec-number&gt;4353&lt;/rec-number&gt;&lt;foreign-keys&gt;&lt;key app="EN" db-id="ervprze5a95tvoe59pjpvw5gezttve9wxvfs"&gt;4353&lt;/key&gt;&lt;/foreign-keys&gt;&lt;ref-type name="Journal Article"&gt;17&lt;/ref-type&gt;&lt;contributors&gt;&lt;authors&gt;&lt;author&gt;Russell, T.&lt;/author&gt;&lt;author&gt;Logsdon, A.&lt;/author&gt;&lt;/authors&gt;&lt;/contributors&gt;&lt;titles&gt;&lt;title&gt;Pressure Ulcers and Lateral Rotation Beds: A Case Study.&lt;/title&gt;&lt;secondary-title&gt;Journal of Wound, Ostomy &amp;amp; Continence Nursing&lt;/secondary-title&gt;&lt;/titles&gt;&lt;periodical&gt;&lt;full-title&gt;Journal of Wound, Ostomy and Continence Nursing&lt;/full-title&gt;&lt;abbr-1&gt;J. Wound. Ostomy Continence Nurs.&lt;/abbr-1&gt;&lt;abbr-2&gt;J Wound Ostomy Continence Nurs&lt;/abbr-2&gt;&lt;abbr-3&gt;Journal of Wound, Ostomy &amp;amp; Continence Nursing&lt;/abbr-3&gt;&lt;/periodical&gt;&lt;pages&gt;143-145&lt;/pages&gt;&lt;volume&gt;30&lt;/volume&gt;&lt;number&gt;3&lt;/number&gt;&lt;dates&gt;&lt;year&gt;2003&lt;/year&gt;&lt;/dates&gt;&lt;urls&gt;&lt;/urls&gt;&lt;/record&gt;&lt;/Cite&gt;&lt;/EndNote&gt;</w:instrText>
      </w:r>
      <w:r w:rsidRPr="00325486">
        <w:rPr>
          <w:rFonts w:asciiTheme="majorHAnsi" w:hAnsiTheme="majorHAnsi" w:cstheme="majorBidi"/>
          <w:sz w:val="24"/>
          <w:szCs w:val="24"/>
        </w:rPr>
        <w:fldChar w:fldCharType="separate"/>
      </w:r>
      <w:r w:rsidR="009D5751" w:rsidRPr="00325486">
        <w:rPr>
          <w:rFonts w:asciiTheme="majorHAnsi" w:hAnsiTheme="majorHAnsi" w:cstheme="majorBidi"/>
          <w:noProof/>
          <w:sz w:val="24"/>
          <w:szCs w:val="24"/>
        </w:rPr>
        <w:t>(</w:t>
      </w:r>
      <w:hyperlink w:anchor="_ENREF_20" w:tooltip="Russell, 2003 #4353" w:history="1">
        <w:r w:rsidR="00C65543" w:rsidRPr="00325486">
          <w:rPr>
            <w:rFonts w:asciiTheme="majorHAnsi" w:hAnsiTheme="majorHAnsi" w:cstheme="majorBidi"/>
            <w:noProof/>
            <w:sz w:val="24"/>
            <w:szCs w:val="24"/>
          </w:rPr>
          <w:t>Russell and Logsdon, 2003</w:t>
        </w:r>
      </w:hyperlink>
      <w:r w:rsidR="009D5751" w:rsidRPr="00325486">
        <w:rPr>
          <w:rFonts w:asciiTheme="majorHAnsi" w:hAnsiTheme="majorHAnsi" w:cstheme="majorBidi"/>
          <w:noProof/>
          <w:sz w:val="24"/>
          <w:szCs w:val="24"/>
        </w:rPr>
        <w:t>)</w:t>
      </w:r>
      <w:r w:rsidRPr="00325486">
        <w:rPr>
          <w:rFonts w:asciiTheme="majorHAnsi" w:hAnsiTheme="majorHAnsi" w:cstheme="majorBidi"/>
          <w:sz w:val="24"/>
          <w:szCs w:val="24"/>
        </w:rPr>
        <w:fldChar w:fldCharType="end"/>
      </w:r>
      <w:r w:rsidRPr="00325486">
        <w:rPr>
          <w:rFonts w:asciiTheme="majorHAnsi" w:hAnsiTheme="majorHAnsi" w:cstheme="majorBidi"/>
          <w:sz w:val="24"/>
          <w:szCs w:val="24"/>
        </w:rPr>
        <w:t xml:space="preserve">, with the potential increase of shear on the skin and soft tissues </w:t>
      </w:r>
      <w:r w:rsidRPr="00325486">
        <w:rPr>
          <w:rFonts w:asciiTheme="majorHAnsi" w:hAnsiTheme="majorHAnsi" w:cstheme="majorBidi"/>
          <w:sz w:val="24"/>
          <w:szCs w:val="24"/>
        </w:rPr>
        <w:fldChar w:fldCharType="begin"/>
      </w:r>
      <w:r w:rsidR="009D5751" w:rsidRPr="00325486">
        <w:rPr>
          <w:rFonts w:asciiTheme="majorHAnsi" w:hAnsiTheme="majorHAnsi" w:cstheme="majorBidi"/>
          <w:sz w:val="24"/>
          <w:szCs w:val="24"/>
        </w:rPr>
        <w:instrText xml:space="preserve"> ADDIN EN.CITE &lt;EndNote&gt;&lt;Cite&gt;&lt;Author&gt;Turpin&lt;/Author&gt;&lt;Year&gt;2006&lt;/Year&gt;&lt;RecNum&gt;4354&lt;/RecNum&gt;&lt;DisplayText&gt;(Turpin and Pemberton, 2006)&lt;/DisplayText&gt;&lt;record&gt;&lt;rec-number&gt;4354&lt;/rec-number&gt;&lt;foreign-keys&gt;&lt;key app="EN" db-id="ervprze5a95tvoe59pjpvw5gezttve9wxvfs"&gt;4354&lt;/key&gt;&lt;/foreign-keys&gt;&lt;ref-type name="Journal Article"&gt;17&lt;/ref-type&gt;&lt;contributors&gt;&lt;authors&gt;&lt;author&gt;Turpin, P.&lt;/author&gt;&lt;author&gt;Pemberton, V.&lt;/author&gt;&lt;/authors&gt;&lt;/contributors&gt;&lt;titles&gt;&lt;title&gt;Prevention of Pressure Ulcers in Patients Being Managed on CLRT: Is Supplemental Repositioning Needed?&lt;/title&gt;&lt;secondary-title&gt;Journal of Wound and Ostomy Continence Nursing&lt;/secondary-title&gt;&lt;/titles&gt;&lt;periodical&gt;&lt;full-title&gt;Journal of Wound and Ostomy Continence Nursing&lt;/full-title&gt;&lt;/periodical&gt;&lt;pages&gt;381-388&lt;/pages&gt;&lt;volume&gt;33&lt;/volume&gt;&lt;number&gt;4&lt;/number&gt;&lt;dates&gt;&lt;year&gt;2006&lt;/year&gt;&lt;/dates&gt;&lt;urls&gt;&lt;/urls&gt;&lt;/record&gt;&lt;/Cite&gt;&lt;/EndNote&gt;</w:instrText>
      </w:r>
      <w:r w:rsidRPr="00325486">
        <w:rPr>
          <w:rFonts w:asciiTheme="majorHAnsi" w:hAnsiTheme="majorHAnsi" w:cstheme="majorBidi"/>
          <w:sz w:val="24"/>
          <w:szCs w:val="24"/>
        </w:rPr>
        <w:fldChar w:fldCharType="separate"/>
      </w:r>
      <w:r w:rsidR="009D5751" w:rsidRPr="00325486">
        <w:rPr>
          <w:rFonts w:asciiTheme="majorHAnsi" w:hAnsiTheme="majorHAnsi" w:cstheme="majorBidi"/>
          <w:noProof/>
          <w:sz w:val="24"/>
          <w:szCs w:val="24"/>
        </w:rPr>
        <w:t>(</w:t>
      </w:r>
      <w:hyperlink w:anchor="_ENREF_22" w:tooltip="Turpin, 2006 #4354" w:history="1">
        <w:r w:rsidR="00C65543" w:rsidRPr="00325486">
          <w:rPr>
            <w:rFonts w:asciiTheme="majorHAnsi" w:hAnsiTheme="majorHAnsi" w:cstheme="majorBidi"/>
            <w:noProof/>
            <w:sz w:val="24"/>
            <w:szCs w:val="24"/>
          </w:rPr>
          <w:t>Turpin and Pemberton, 2006</w:t>
        </w:r>
      </w:hyperlink>
      <w:r w:rsidR="009D5751" w:rsidRPr="00325486">
        <w:rPr>
          <w:rFonts w:asciiTheme="majorHAnsi" w:hAnsiTheme="majorHAnsi" w:cstheme="majorBidi"/>
          <w:noProof/>
          <w:sz w:val="24"/>
          <w:szCs w:val="24"/>
        </w:rPr>
        <w:t>)</w:t>
      </w:r>
      <w:r w:rsidRPr="00325486">
        <w:rPr>
          <w:rFonts w:asciiTheme="majorHAnsi" w:hAnsiTheme="majorHAnsi" w:cstheme="majorBidi"/>
          <w:sz w:val="24"/>
          <w:szCs w:val="24"/>
        </w:rPr>
        <w:fldChar w:fldCharType="end"/>
      </w:r>
      <w:r w:rsidRPr="00325486">
        <w:rPr>
          <w:rFonts w:asciiTheme="majorHAnsi" w:hAnsiTheme="majorHAnsi" w:cstheme="majorBidi"/>
          <w:sz w:val="24"/>
          <w:szCs w:val="24"/>
        </w:rPr>
        <w:t xml:space="preserve">. Both the present study and that of Yi et al (2009) reported that participant comfort and stability were, in some cases, reduced with an automated tilting protocol.  </w:t>
      </w:r>
      <w:r w:rsidRPr="00325486">
        <w:rPr>
          <w:rFonts w:asciiTheme="majorHAnsi" w:eastAsia="PMingLiU" w:hAnsiTheme="majorHAnsi" w:cstheme="majorBidi"/>
          <w:sz w:val="24"/>
          <w:szCs w:val="24"/>
          <w:lang w:eastAsia="zh-TW"/>
        </w:rPr>
        <w:t xml:space="preserve">However, neither of the studies incorporated a period of familiarisation on the automated tilting mattress. If participants were conditioned to repositioning by means of lateral rotation devices, perceived comfort and </w:t>
      </w:r>
      <w:r w:rsidR="00F67090" w:rsidRPr="00325486">
        <w:rPr>
          <w:rFonts w:asciiTheme="majorHAnsi" w:eastAsia="PMingLiU" w:hAnsiTheme="majorHAnsi" w:cstheme="majorBidi"/>
          <w:sz w:val="24"/>
          <w:szCs w:val="24"/>
          <w:lang w:eastAsia="zh-TW"/>
        </w:rPr>
        <w:t>safety may</w:t>
      </w:r>
      <w:r w:rsidRPr="00325486">
        <w:rPr>
          <w:rFonts w:asciiTheme="majorHAnsi" w:eastAsia="PMingLiU" w:hAnsiTheme="majorHAnsi" w:cstheme="majorBidi"/>
          <w:sz w:val="24"/>
          <w:szCs w:val="24"/>
          <w:lang w:eastAsia="zh-TW"/>
        </w:rPr>
        <w:t xml:space="preserve"> have improved.</w:t>
      </w:r>
    </w:p>
    <w:p w:rsidR="00F20BC8" w:rsidRPr="00325486" w:rsidRDefault="00F20BC8" w:rsidP="00F20BC8">
      <w:pPr>
        <w:spacing w:line="480" w:lineRule="auto"/>
        <w:rPr>
          <w:rFonts w:asciiTheme="majorHAnsi" w:hAnsiTheme="majorHAnsi" w:cstheme="majorBidi"/>
          <w:sz w:val="24"/>
          <w:szCs w:val="24"/>
        </w:rPr>
      </w:pPr>
    </w:p>
    <w:p w:rsidR="00F20BC8" w:rsidRPr="00325486" w:rsidRDefault="00F20BC8" w:rsidP="00C65543">
      <w:pPr>
        <w:spacing w:after="0" w:line="480" w:lineRule="auto"/>
        <w:rPr>
          <w:rFonts w:asciiTheme="majorHAnsi" w:eastAsia="PMingLiU" w:hAnsiTheme="majorHAnsi" w:cstheme="majorBidi"/>
          <w:sz w:val="24"/>
          <w:szCs w:val="24"/>
          <w:lang w:eastAsia="zh-TW"/>
        </w:rPr>
      </w:pPr>
      <w:r w:rsidRPr="00325486">
        <w:rPr>
          <w:rFonts w:asciiTheme="majorHAnsi" w:eastAsia="PMingLiU" w:hAnsiTheme="majorHAnsi" w:cstheme="majorBidi"/>
          <w:sz w:val="24"/>
          <w:szCs w:val="24"/>
          <w:lang w:eastAsia="zh-TW"/>
        </w:rPr>
        <w:t xml:space="preserve">  The predominant limitation of the current study was the use of a cohort of able-bodied individuals, which limits the ability to generalise the results across differing sub-populations who may demonstrate distinct responses and recovery </w:t>
      </w:r>
      <w:r w:rsidRPr="00325486">
        <w:rPr>
          <w:rFonts w:asciiTheme="majorHAnsi" w:eastAsia="PMingLiU" w:hAnsiTheme="majorHAnsi" w:cstheme="majorBidi"/>
          <w:sz w:val="24"/>
          <w:szCs w:val="24"/>
          <w:lang w:eastAsia="zh-TW"/>
        </w:rPr>
        <w:lastRenderedPageBreak/>
        <w:t xml:space="preserve">time </w:t>
      </w:r>
      <w:r w:rsidRPr="00325486">
        <w:rPr>
          <w:rFonts w:asciiTheme="majorHAnsi" w:hAnsiTheme="majorHAnsi" w:cstheme="majorBidi"/>
          <w:sz w:val="24"/>
          <w:szCs w:val="24"/>
        </w:rPr>
        <w:fldChar w:fldCharType="begin"/>
      </w:r>
      <w:r w:rsidR="009D5751" w:rsidRPr="00325486">
        <w:rPr>
          <w:rFonts w:asciiTheme="majorHAnsi" w:hAnsiTheme="majorHAnsi" w:cstheme="majorBidi"/>
          <w:sz w:val="24"/>
          <w:szCs w:val="24"/>
        </w:rPr>
        <w:instrText xml:space="preserve"> ADDIN EN.CITE &lt;EndNote&gt;&lt;Cite&gt;&lt;Author&gt;Makhsous&lt;/Author&gt;&lt;Year&gt;2007&lt;/Year&gt;&lt;RecNum&gt;2071&lt;/RecNum&gt;&lt;DisplayText&gt;(Makhsous et al., 2007)&lt;/DisplayText&gt;&lt;record&gt;&lt;rec-number&gt;2071&lt;/rec-number&gt;&lt;foreign-keys&gt;&lt;key app="EN" db-id="ervprze5a95tvoe59pjpvw5gezttve9wxvfs"&gt;2071&lt;/key&gt;&lt;/foreign-keys&gt;&lt;ref-type name="Journal Article"&gt;17&lt;/ref-type&gt;&lt;contributors&gt;&lt;authors&gt;&lt;author&gt;Makhsous, M.&lt;/author&gt;&lt;author&gt;Priebe, M.&lt;/author&gt;&lt;author&gt;Bankard, J.&lt;/author&gt;&lt;author&gt;Rowles, D.&lt;/author&gt;&lt;author&gt;Zeigler, M.&lt;/author&gt;&lt;author&gt;Chen, D.&lt;/author&gt;&lt;author&gt;Lin, F.&lt;/author&gt;&lt;/authors&gt;&lt;/contributors&gt;&lt;titles&gt;&lt;title&gt;Measuring tissue perfusion during pressure relief maneuvers: insights into preventing pressure ulcers&lt;/title&gt;&lt;secondary-title&gt;The Journal of Spinal Cord Injury&lt;/secondary-title&gt;&lt;/titles&gt;&lt;pages&gt;497-507&lt;/pages&gt;&lt;volume&gt;30&lt;/volume&gt;&lt;number&gt;5&lt;/number&gt;&lt;dates&gt;&lt;year&gt;2007&lt;/year&gt;&lt;/dates&gt;&lt;urls&gt;&lt;/urls&gt;&lt;/record&gt;&lt;/Cite&gt;&lt;/EndNote&gt;</w:instrText>
      </w:r>
      <w:r w:rsidRPr="00325486">
        <w:rPr>
          <w:rFonts w:asciiTheme="majorHAnsi" w:hAnsiTheme="majorHAnsi" w:cstheme="majorBidi"/>
          <w:sz w:val="24"/>
          <w:szCs w:val="24"/>
        </w:rPr>
        <w:fldChar w:fldCharType="separate"/>
      </w:r>
      <w:r w:rsidR="009D5751" w:rsidRPr="00325486">
        <w:rPr>
          <w:rFonts w:asciiTheme="majorHAnsi" w:hAnsiTheme="majorHAnsi" w:cstheme="majorBidi"/>
          <w:noProof/>
          <w:sz w:val="24"/>
          <w:szCs w:val="24"/>
        </w:rPr>
        <w:t>(</w:t>
      </w:r>
      <w:hyperlink w:anchor="_ENREF_11" w:tooltip="Makhsous, 2007 #2071" w:history="1">
        <w:r w:rsidR="00C65543" w:rsidRPr="00325486">
          <w:rPr>
            <w:rFonts w:asciiTheme="majorHAnsi" w:hAnsiTheme="majorHAnsi" w:cstheme="majorBidi"/>
            <w:noProof/>
            <w:sz w:val="24"/>
            <w:szCs w:val="24"/>
          </w:rPr>
          <w:t>Makhsous et al., 2007</w:t>
        </w:r>
      </w:hyperlink>
      <w:r w:rsidR="009D5751" w:rsidRPr="00325486">
        <w:rPr>
          <w:rFonts w:asciiTheme="majorHAnsi" w:hAnsiTheme="majorHAnsi" w:cstheme="majorBidi"/>
          <w:noProof/>
          <w:sz w:val="24"/>
          <w:szCs w:val="24"/>
        </w:rPr>
        <w:t>)</w:t>
      </w:r>
      <w:r w:rsidRPr="00325486">
        <w:rPr>
          <w:rFonts w:asciiTheme="majorHAnsi" w:hAnsiTheme="majorHAnsi" w:cstheme="majorBidi"/>
          <w:sz w:val="24"/>
          <w:szCs w:val="24"/>
        </w:rPr>
        <w:fldChar w:fldCharType="end"/>
      </w:r>
      <w:r w:rsidRPr="00325486">
        <w:rPr>
          <w:rFonts w:asciiTheme="majorHAnsi" w:hAnsiTheme="majorHAnsi" w:cstheme="majorBidi"/>
          <w:sz w:val="24"/>
          <w:szCs w:val="24"/>
        </w:rPr>
        <w:t xml:space="preserve">. In addition, the present </w:t>
      </w:r>
      <w:r w:rsidRPr="00325486">
        <w:rPr>
          <w:rFonts w:asciiTheme="majorHAnsi" w:eastAsia="PMingLiU" w:hAnsiTheme="majorHAnsi" w:cstheme="majorBidi"/>
          <w:sz w:val="24"/>
          <w:szCs w:val="24"/>
          <w:lang w:eastAsia="zh-TW"/>
        </w:rPr>
        <w:t xml:space="preserve">participants were instructed to lay supine in the centre of the mattress, which may not reflect the actual positioning encountered in the clinical setting.  Furthermore, the order of the phases was standardised, which may have resulted in tissue responses that are influenced by the state experienced in a previous phase. This is exemplified in a few cases where tissue viability compromised in the tilt phase did not recover in the supine phase (Figure 4B). It must also be recognised that automatic devices can not completely replace individual patient care. </w:t>
      </w:r>
      <w:r w:rsidRPr="00325486">
        <w:rPr>
          <w:rFonts w:asciiTheme="majorHAnsi" w:hAnsiTheme="majorHAnsi"/>
          <w:sz w:val="24"/>
          <w:szCs w:val="24"/>
        </w:rPr>
        <w:t xml:space="preserve">Indeed regular skin checks performed by a  trained healthcare professional is still recommended in international guidelines for pressure ulcer prevention </w:t>
      </w:r>
      <w:r w:rsidRPr="00325486">
        <w:rPr>
          <w:rFonts w:asciiTheme="majorHAnsi" w:hAnsiTheme="majorHAnsi"/>
          <w:sz w:val="24"/>
          <w:szCs w:val="24"/>
        </w:rPr>
        <w:fldChar w:fldCharType="begin"/>
      </w:r>
      <w:r w:rsidR="009D5751" w:rsidRPr="00325486">
        <w:rPr>
          <w:rFonts w:asciiTheme="majorHAnsi" w:hAnsiTheme="majorHAnsi"/>
          <w:sz w:val="24"/>
          <w:szCs w:val="24"/>
        </w:rPr>
        <w:instrText xml:space="preserve"> ADDIN EN.CITE &lt;EndNote&gt;&lt;Cite&gt;&lt;Author&gt;European Pressure Ulcer Advisory&lt;/Author&gt;&lt;Year&gt;2009&lt;/Year&gt;&lt;RecNum&gt;2722&lt;/RecNum&gt;&lt;DisplayText&gt;(European Pressure Ulcer Advisory, 2009)&lt;/DisplayText&gt;&lt;record&gt;&lt;rec-number&gt;2722&lt;/rec-number&gt;&lt;foreign-keys&gt;&lt;key app="EN" db-id="ervprze5a95tvoe59pjpvw5gezttve9wxvfs"&gt;2722&lt;/key&gt;&lt;/foreign-keys&gt;&lt;ref-type name="Book"&gt;6&lt;/ref-type&gt;&lt;contributors&gt;&lt;authors&gt;&lt;author&gt;European Pressure Ulcer Advisory, Panel&lt;/author&gt;&lt;/authors&gt;&lt;/contributors&gt;&lt;titles&gt;&lt;title&gt;Prevention of Pressure Ulcers: Quick Reference Guide&lt;/title&gt;&lt;/titles&gt;&lt;dates&gt;&lt;year&gt;2009&lt;/year&gt;&lt;/dates&gt;&lt;urls&gt;&lt;/urls&gt;&lt;/record&gt;&lt;/Cite&gt;&lt;/EndNote&gt;</w:instrText>
      </w:r>
      <w:r w:rsidRPr="00325486">
        <w:rPr>
          <w:rFonts w:asciiTheme="majorHAnsi" w:hAnsiTheme="majorHAnsi"/>
          <w:sz w:val="24"/>
          <w:szCs w:val="24"/>
        </w:rPr>
        <w:fldChar w:fldCharType="separate"/>
      </w:r>
      <w:r w:rsidR="009D5751" w:rsidRPr="00325486">
        <w:rPr>
          <w:rFonts w:asciiTheme="majorHAnsi" w:hAnsiTheme="majorHAnsi"/>
          <w:noProof/>
          <w:sz w:val="24"/>
          <w:szCs w:val="24"/>
        </w:rPr>
        <w:t>(</w:t>
      </w:r>
      <w:hyperlink w:anchor="_ENREF_7" w:tooltip="European Pressure Ulcer Advisory, 2009 #2722" w:history="1">
        <w:r w:rsidR="00C65543" w:rsidRPr="00325486">
          <w:rPr>
            <w:rFonts w:asciiTheme="majorHAnsi" w:hAnsiTheme="majorHAnsi"/>
            <w:noProof/>
            <w:sz w:val="24"/>
            <w:szCs w:val="24"/>
          </w:rPr>
          <w:t>European Pressure Ulcer Advisory, 2009</w:t>
        </w:r>
      </w:hyperlink>
      <w:r w:rsidR="009D5751" w:rsidRPr="00325486">
        <w:rPr>
          <w:rFonts w:asciiTheme="majorHAnsi" w:hAnsiTheme="majorHAnsi"/>
          <w:noProof/>
          <w:sz w:val="24"/>
          <w:szCs w:val="24"/>
        </w:rPr>
        <w:t>)</w:t>
      </w:r>
      <w:r w:rsidRPr="00325486">
        <w:rPr>
          <w:rFonts w:asciiTheme="majorHAnsi" w:hAnsiTheme="majorHAnsi"/>
          <w:sz w:val="24"/>
          <w:szCs w:val="24"/>
        </w:rPr>
        <w:fldChar w:fldCharType="end"/>
      </w:r>
    </w:p>
    <w:p w:rsidR="00F20BC8" w:rsidRPr="00325486" w:rsidRDefault="00F20BC8" w:rsidP="00F20BC8">
      <w:pPr>
        <w:spacing w:after="0" w:line="480" w:lineRule="auto"/>
        <w:rPr>
          <w:rFonts w:asciiTheme="majorHAnsi" w:eastAsia="PMingLiU" w:hAnsiTheme="majorHAnsi" w:cstheme="majorBidi"/>
          <w:sz w:val="24"/>
          <w:szCs w:val="24"/>
          <w:lang w:eastAsia="zh-TW"/>
        </w:rPr>
      </w:pPr>
    </w:p>
    <w:p w:rsidR="00F20BC8" w:rsidRPr="00325486" w:rsidRDefault="00F20BC8" w:rsidP="00664DDB">
      <w:pPr>
        <w:spacing w:after="0" w:line="480" w:lineRule="auto"/>
        <w:rPr>
          <w:rFonts w:asciiTheme="majorHAnsi" w:eastAsia="PMingLiU" w:hAnsiTheme="majorHAnsi" w:cstheme="majorBidi"/>
          <w:sz w:val="24"/>
          <w:szCs w:val="24"/>
          <w:lang w:eastAsia="zh-TW"/>
        </w:rPr>
      </w:pPr>
      <w:r w:rsidRPr="00325486">
        <w:rPr>
          <w:rFonts w:asciiTheme="majorHAnsi" w:eastAsia="PMingLiU" w:hAnsiTheme="majorHAnsi" w:cstheme="majorBidi"/>
          <w:sz w:val="24"/>
          <w:szCs w:val="24"/>
          <w:lang w:eastAsia="zh-TW"/>
        </w:rPr>
        <w:t xml:space="preserve"> In the context of current budgetary cuts and staffing constraints within the National Health Service (NHS) there is limited scope to provide conventional repositioning to all those in need of this intervention. Indeed, recent literature has shown t</w:t>
      </w:r>
      <w:r w:rsidRPr="00325486">
        <w:rPr>
          <w:rFonts w:asciiTheme="majorHAnsi" w:hAnsiTheme="majorHAnsi"/>
          <w:sz w:val="24"/>
          <w:szCs w:val="24"/>
        </w:rPr>
        <w:t>he cost of pressure ulcer prevention and management has a major impact on the healthcare system</w:t>
      </w:r>
      <w:r w:rsidR="003355E4" w:rsidRPr="00325486">
        <w:rPr>
          <w:rFonts w:asciiTheme="majorHAnsi" w:hAnsiTheme="majorHAnsi"/>
          <w:sz w:val="24"/>
          <w:szCs w:val="24"/>
        </w:rPr>
        <w:t xml:space="preserve">, with manual patient </w:t>
      </w:r>
      <w:r w:rsidR="003355E4" w:rsidRPr="00325486">
        <w:rPr>
          <w:rFonts w:asciiTheme="majorHAnsi" w:hAnsiTheme="majorHAnsi" w:cstheme="majorBidi"/>
          <w:sz w:val="24"/>
          <w:szCs w:val="24"/>
        </w:rPr>
        <w:t>repositioning costing between €200-250 per patient over a four week period</w:t>
      </w:r>
      <w:r w:rsidRPr="00325486">
        <w:rPr>
          <w:rFonts w:asciiTheme="majorHAnsi" w:hAnsiTheme="majorHAnsi"/>
          <w:sz w:val="24"/>
          <w:szCs w:val="24"/>
        </w:rPr>
        <w:t xml:space="preserve"> </w:t>
      </w:r>
      <w:r w:rsidRPr="00325486">
        <w:rPr>
          <w:rFonts w:asciiTheme="majorHAnsi" w:hAnsiTheme="majorHAnsi"/>
          <w:sz w:val="24"/>
          <w:szCs w:val="24"/>
        </w:rPr>
        <w:fldChar w:fldCharType="begin"/>
      </w:r>
      <w:r w:rsidR="009D5751" w:rsidRPr="00325486">
        <w:rPr>
          <w:rFonts w:asciiTheme="majorHAnsi" w:hAnsiTheme="majorHAnsi"/>
          <w:sz w:val="24"/>
          <w:szCs w:val="24"/>
        </w:rPr>
        <w:instrText xml:space="preserve"> ADDIN EN.CITE &lt;EndNote&gt;&lt;Cite&gt;&lt;Author&gt;Moore&lt;/Author&gt;&lt;Year&gt;2013&lt;/Year&gt;&lt;RecNum&gt;4307&lt;/RecNum&gt;&lt;DisplayText&gt;(Moore et al., 2013)&lt;/DisplayText&gt;&lt;record&gt;&lt;rec-number&gt;4307&lt;/rec-number&gt;&lt;foreign-keys&gt;&lt;key app="EN" db-id="ervprze5a95tvoe59pjpvw5gezttve9wxvfs"&gt;4307&lt;/key&gt;&lt;/foreign-keys&gt;&lt;ref-type name="Journal Article"&gt;17&lt;/ref-type&gt;&lt;contributors&gt;&lt;authors&gt;&lt;author&gt;Moore, Zena&lt;/author&gt;&lt;author&gt;Cowman, Seamus&lt;/author&gt;&lt;author&gt;Posnett, John&lt;/author&gt;&lt;/authors&gt;&lt;/contributors&gt;&lt;titles&gt;&lt;title&gt;An economic analysis of repositioning for the prevention of pressure ulcers&lt;/title&gt;&lt;secondary-title&gt;Journal of Clinical Nursing&lt;/secondary-title&gt;&lt;/titles&gt;&lt;periodical&gt;&lt;full-title&gt;Journal of Clinical Nursing&lt;/full-title&gt;&lt;abbr-1&gt;J. Clin. Nurs.&lt;/abbr-1&gt;&lt;abbr-2&gt;J Clin Nurs&lt;/abbr-2&gt;&lt;/periodical&gt;&lt;pages&gt;2354-2360&lt;/pages&gt;&lt;volume&gt;22&lt;/volume&gt;&lt;number&gt;15-16&lt;/number&gt;&lt;keywords&gt;&lt;keyword&gt;pressure ulcer&lt;/keyword&gt;&lt;keyword&gt;econometrics&lt;/keyword&gt;&lt;keyword&gt;older patients&lt;/keyword&gt;&lt;/keywords&gt;&lt;dates&gt;&lt;year&gt;2013&lt;/year&gt;&lt;/dates&gt;&lt;isbn&gt;1365-2702&lt;/isbn&gt;&lt;urls&gt;&lt;related-urls&gt;&lt;url&gt;http://dx.doi.org/10.1111/j.1365-2702.2012.04310.x&lt;/url&gt;&lt;/related-urls&gt;&lt;/urls&gt;&lt;electronic-resource-num&gt;10.1111/j.1365-2702.2012.04310.x&lt;/electronic-resource-num&gt;&lt;/record&gt;&lt;/Cite&gt;&lt;/EndNote&gt;</w:instrText>
      </w:r>
      <w:r w:rsidRPr="00325486">
        <w:rPr>
          <w:rFonts w:asciiTheme="majorHAnsi" w:hAnsiTheme="majorHAnsi"/>
          <w:sz w:val="24"/>
          <w:szCs w:val="24"/>
        </w:rPr>
        <w:fldChar w:fldCharType="separate"/>
      </w:r>
      <w:r w:rsidR="009D5751" w:rsidRPr="00325486">
        <w:rPr>
          <w:rFonts w:asciiTheme="majorHAnsi" w:hAnsiTheme="majorHAnsi"/>
          <w:noProof/>
          <w:sz w:val="24"/>
          <w:szCs w:val="24"/>
        </w:rPr>
        <w:t>(</w:t>
      </w:r>
      <w:hyperlink w:anchor="_ENREF_14" w:tooltip="Moore, 2013 #4307" w:history="1">
        <w:r w:rsidR="00C65543" w:rsidRPr="00325486">
          <w:rPr>
            <w:rFonts w:asciiTheme="majorHAnsi" w:hAnsiTheme="majorHAnsi"/>
            <w:noProof/>
            <w:sz w:val="24"/>
            <w:szCs w:val="24"/>
          </w:rPr>
          <w:t>Moore et al., 2013</w:t>
        </w:r>
      </w:hyperlink>
      <w:r w:rsidR="009D5751" w:rsidRPr="00325486">
        <w:rPr>
          <w:rFonts w:asciiTheme="majorHAnsi" w:hAnsiTheme="majorHAnsi"/>
          <w:noProof/>
          <w:sz w:val="24"/>
          <w:szCs w:val="24"/>
        </w:rPr>
        <w:t>)</w:t>
      </w:r>
      <w:r w:rsidRPr="00325486">
        <w:rPr>
          <w:rFonts w:asciiTheme="majorHAnsi" w:hAnsiTheme="majorHAnsi"/>
          <w:sz w:val="24"/>
          <w:szCs w:val="24"/>
        </w:rPr>
        <w:fldChar w:fldCharType="end"/>
      </w:r>
      <w:r w:rsidRPr="00325486">
        <w:rPr>
          <w:rFonts w:asciiTheme="majorHAnsi" w:hAnsiTheme="majorHAnsi"/>
          <w:sz w:val="24"/>
          <w:szCs w:val="24"/>
        </w:rPr>
        <w:t xml:space="preserve">.  </w:t>
      </w:r>
      <w:r w:rsidR="00664DDB" w:rsidRPr="00325486">
        <w:rPr>
          <w:rFonts w:asciiTheme="majorHAnsi" w:hAnsiTheme="majorHAnsi"/>
          <w:sz w:val="24"/>
          <w:szCs w:val="24"/>
        </w:rPr>
        <w:t xml:space="preserve">Although providing an automated tilting mattresses may represent a larger initial cost compared to a conventional support surface, the system offers the potential to reduce this financial burden over the long-term, provided it delivers an </w:t>
      </w:r>
      <w:r w:rsidR="00664DDB" w:rsidRPr="00325486">
        <w:rPr>
          <w:rFonts w:asciiTheme="majorHAnsi" w:eastAsia="PMingLiU" w:hAnsiTheme="majorHAnsi" w:cstheme="majorBidi"/>
          <w:sz w:val="24"/>
          <w:szCs w:val="24"/>
          <w:lang w:eastAsia="zh-TW"/>
        </w:rPr>
        <w:t>equivalent</w:t>
      </w:r>
      <w:r w:rsidR="00664DDB" w:rsidRPr="00325486">
        <w:rPr>
          <w:rFonts w:asciiTheme="majorHAnsi" w:hAnsiTheme="majorHAnsi"/>
          <w:sz w:val="24"/>
          <w:szCs w:val="24"/>
        </w:rPr>
        <w:t xml:space="preserve"> performance in terms of pressure relief to compromised soft tissues when compared to standard clinical </w:t>
      </w:r>
      <w:proofErr w:type="spellStart"/>
      <w:r w:rsidR="00664DDB" w:rsidRPr="00325486">
        <w:rPr>
          <w:rFonts w:asciiTheme="majorHAnsi" w:hAnsiTheme="majorHAnsi"/>
          <w:sz w:val="24"/>
          <w:szCs w:val="24"/>
        </w:rPr>
        <w:t>practice.</w:t>
      </w:r>
      <w:r w:rsidRPr="00325486">
        <w:rPr>
          <w:rFonts w:asciiTheme="majorHAnsi" w:hAnsiTheme="majorHAnsi"/>
          <w:sz w:val="24"/>
          <w:szCs w:val="24"/>
        </w:rPr>
        <w:t>Such</w:t>
      </w:r>
      <w:proofErr w:type="spellEnd"/>
      <w:r w:rsidRPr="00325486">
        <w:rPr>
          <w:rFonts w:asciiTheme="majorHAnsi" w:hAnsiTheme="majorHAnsi"/>
          <w:sz w:val="24"/>
          <w:szCs w:val="24"/>
        </w:rPr>
        <w:t xml:space="preserve"> devices may further enable personalised tilt cycle times, and optimised internal air cell pressures within the </w:t>
      </w:r>
      <w:r w:rsidRPr="00325486">
        <w:rPr>
          <w:rFonts w:asciiTheme="majorHAnsi" w:hAnsiTheme="majorHAnsi"/>
          <w:sz w:val="24"/>
          <w:szCs w:val="24"/>
        </w:rPr>
        <w:lastRenderedPageBreak/>
        <w:t xml:space="preserve">mattress, thus providing optimal levels of management for vulnerable skin tissues. </w:t>
      </w:r>
      <w:r w:rsidR="009D5751" w:rsidRPr="00325486">
        <w:rPr>
          <w:rFonts w:asciiTheme="majorHAnsi" w:hAnsiTheme="majorHAnsi"/>
          <w:sz w:val="24"/>
          <w:szCs w:val="24"/>
        </w:rPr>
        <w:t xml:space="preserve">In order to provide guidance on tilting regimes, movement patterns of healthy individuals lying in bed could be monitored to identify repositioning strategies which could be implemented with the automated device </w:t>
      </w:r>
      <w:r w:rsidR="009D5751" w:rsidRPr="00325486">
        <w:rPr>
          <w:rFonts w:asciiTheme="majorHAnsi" w:hAnsiTheme="majorHAnsi"/>
          <w:sz w:val="24"/>
          <w:szCs w:val="24"/>
        </w:rPr>
        <w:fldChar w:fldCharType="begin"/>
      </w:r>
      <w:r w:rsidR="009D5751" w:rsidRPr="00325486">
        <w:rPr>
          <w:rFonts w:asciiTheme="majorHAnsi" w:hAnsiTheme="majorHAnsi"/>
          <w:sz w:val="24"/>
          <w:szCs w:val="24"/>
        </w:rPr>
        <w:instrText xml:space="preserve"> ADDIN EN.CITE &lt;EndNote&gt;&lt;Cite&gt;&lt;Author&gt;Linder-Ganz&lt;/Author&gt;&lt;Year&gt;2007&lt;/Year&gt;&lt;RecNum&gt;2755&lt;/RecNum&gt;&lt;DisplayText&gt;(Linder-Ganz et al., 2007)&lt;/DisplayText&gt;&lt;record&gt;&lt;rec-number&gt;2755&lt;/rec-number&gt;&lt;foreign-keys&gt;&lt;key app="EN" db-id="ervprze5a95tvoe59pjpvw5gezttve9wxvfs"&gt;2755&lt;/key&gt;&lt;/foreign-keys&gt;&lt;ref-type name="Journal Article"&gt;17&lt;/ref-type&gt;&lt;contributors&gt;&lt;authors&gt;&lt;author&gt;Linder-Ganz, E.&lt;/author&gt;&lt;author&gt;Scheinowitz, M.&lt;/author&gt;&lt;author&gt;Yizhar, Z.&lt;/author&gt;&lt;author&gt;Margulies, S. S.&lt;/author&gt;&lt;author&gt;Gefen, A.&lt;/author&gt;&lt;/authors&gt;&lt;/contributors&gt;&lt;titles&gt;&lt;title&gt;How do normals move during prolonged wheelchair-sitting?&lt;/title&gt;&lt;secondary-title&gt;Technology and Health Care&lt;/secondary-title&gt;&lt;/titles&gt;&lt;periodical&gt;&lt;full-title&gt;Technology and Health Care&lt;/full-title&gt;&lt;abbr-1&gt;Technol. Health Care&lt;/abbr-1&gt;&lt;abbr-2&gt;Technol Health Care&lt;/abbr-2&gt;&lt;abbr-3&gt;Technology &amp;amp; Health Care&lt;/abbr-3&gt;&lt;/periodical&gt;&lt;pages&gt;195-202&lt;/pages&gt;&lt;volume&gt;15&lt;/volume&gt;&lt;number&gt;3&lt;/number&gt;&lt;dates&gt;&lt;year&gt;2007&lt;/year&gt;&lt;pub-dates&gt;&lt;date&gt;01/01/&lt;/date&gt;&lt;/pub-dates&gt;&lt;/dates&gt;&lt;urls&gt;&lt;related-urls&gt;&lt;url&gt;http://iospress.metapress.com/content/Q654322476J08324&lt;/url&gt;&lt;/related-urls&gt;&lt;/urls&gt;&lt;/record&gt;&lt;/Cite&gt;&lt;/EndNote&gt;</w:instrText>
      </w:r>
      <w:r w:rsidR="009D5751" w:rsidRPr="00325486">
        <w:rPr>
          <w:rFonts w:asciiTheme="majorHAnsi" w:hAnsiTheme="majorHAnsi"/>
          <w:sz w:val="24"/>
          <w:szCs w:val="24"/>
        </w:rPr>
        <w:fldChar w:fldCharType="separate"/>
      </w:r>
      <w:r w:rsidR="009D5751" w:rsidRPr="00325486">
        <w:rPr>
          <w:rFonts w:asciiTheme="majorHAnsi" w:hAnsiTheme="majorHAnsi"/>
          <w:noProof/>
          <w:sz w:val="24"/>
          <w:szCs w:val="24"/>
        </w:rPr>
        <w:t>(</w:t>
      </w:r>
      <w:hyperlink w:anchor="_ENREF_10" w:tooltip="Linder-Ganz, 2007 #2755" w:history="1">
        <w:r w:rsidR="00C65543" w:rsidRPr="00325486">
          <w:rPr>
            <w:rFonts w:asciiTheme="majorHAnsi" w:hAnsiTheme="majorHAnsi"/>
            <w:noProof/>
            <w:sz w:val="24"/>
            <w:szCs w:val="24"/>
          </w:rPr>
          <w:t>Linder-Ganz et al., 2007</w:t>
        </w:r>
      </w:hyperlink>
      <w:r w:rsidR="009D5751" w:rsidRPr="00325486">
        <w:rPr>
          <w:rFonts w:asciiTheme="majorHAnsi" w:hAnsiTheme="majorHAnsi"/>
          <w:noProof/>
          <w:sz w:val="24"/>
          <w:szCs w:val="24"/>
        </w:rPr>
        <w:t>)</w:t>
      </w:r>
      <w:r w:rsidR="009D5751" w:rsidRPr="00325486">
        <w:rPr>
          <w:rFonts w:asciiTheme="majorHAnsi" w:hAnsiTheme="majorHAnsi"/>
          <w:sz w:val="24"/>
          <w:szCs w:val="24"/>
        </w:rPr>
        <w:fldChar w:fldCharType="end"/>
      </w:r>
      <w:r w:rsidR="009D5751" w:rsidRPr="00325486">
        <w:rPr>
          <w:rFonts w:asciiTheme="majorHAnsi" w:hAnsiTheme="majorHAnsi"/>
          <w:sz w:val="24"/>
          <w:szCs w:val="24"/>
        </w:rPr>
        <w:t>.</w:t>
      </w:r>
    </w:p>
    <w:p w:rsidR="00F20BC8" w:rsidRPr="00325486" w:rsidRDefault="00F20BC8" w:rsidP="00F20BC8">
      <w:pPr>
        <w:spacing w:after="0" w:line="480" w:lineRule="auto"/>
        <w:rPr>
          <w:rFonts w:asciiTheme="majorHAnsi" w:eastAsia="PMingLiU" w:hAnsiTheme="majorHAnsi" w:cstheme="majorBidi"/>
          <w:sz w:val="24"/>
          <w:szCs w:val="24"/>
          <w:lang w:eastAsia="zh-TW"/>
        </w:rPr>
      </w:pPr>
      <w:r w:rsidRPr="00325486">
        <w:rPr>
          <w:rFonts w:asciiTheme="majorHAnsi" w:eastAsia="PMingLiU" w:hAnsiTheme="majorHAnsi" w:cstheme="majorBidi"/>
          <w:sz w:val="24"/>
          <w:szCs w:val="24"/>
          <w:lang w:eastAsia="zh-TW"/>
        </w:rPr>
        <w:t xml:space="preserve"> </w:t>
      </w:r>
    </w:p>
    <w:p w:rsidR="00F20BC8" w:rsidRPr="00325486" w:rsidRDefault="00F20BC8" w:rsidP="00F20BC8">
      <w:pPr>
        <w:spacing w:line="480" w:lineRule="auto"/>
        <w:rPr>
          <w:rFonts w:asciiTheme="majorHAnsi" w:hAnsiTheme="majorHAnsi" w:cstheme="majorBidi"/>
          <w:b/>
          <w:sz w:val="24"/>
          <w:szCs w:val="24"/>
        </w:rPr>
      </w:pPr>
      <w:r w:rsidRPr="00325486">
        <w:rPr>
          <w:rFonts w:asciiTheme="majorHAnsi" w:hAnsiTheme="majorHAnsi" w:cstheme="majorBidi"/>
          <w:b/>
          <w:sz w:val="24"/>
          <w:szCs w:val="24"/>
        </w:rPr>
        <w:t>5. Conclusions</w:t>
      </w:r>
    </w:p>
    <w:p w:rsidR="00F20BC8" w:rsidRPr="00325486" w:rsidRDefault="00F20BC8" w:rsidP="00F20BC8">
      <w:pPr>
        <w:autoSpaceDE w:val="0"/>
        <w:autoSpaceDN w:val="0"/>
        <w:adjustRightInd w:val="0"/>
        <w:spacing w:after="0" w:line="480" w:lineRule="auto"/>
        <w:rPr>
          <w:rFonts w:asciiTheme="majorHAnsi" w:hAnsiTheme="majorHAnsi" w:cstheme="majorBidi"/>
          <w:sz w:val="24"/>
          <w:szCs w:val="24"/>
        </w:rPr>
      </w:pPr>
      <w:r w:rsidRPr="00325486">
        <w:rPr>
          <w:rFonts w:asciiTheme="majorHAnsi" w:hAnsiTheme="majorHAnsi" w:cstheme="majorBidi"/>
          <w:sz w:val="24"/>
          <w:szCs w:val="24"/>
        </w:rPr>
        <w:t xml:space="preserve"> This study has shown that an automated tilting mattress has comparable performance to a manual tilt in terms of both interface pressures and physiological responses, as measured by transcutaneous gas tensions. However, differences did exist between the two techniques involving the degree of tilt angle achieved and perceived safety. Automated tilting mattresses offer the potential to reduce the burden of manually turning patients and could provide personalised care for individuals who are at risk of developing pressure ulcers. </w:t>
      </w:r>
    </w:p>
    <w:p w:rsidR="00F20BC8" w:rsidRPr="00325486" w:rsidRDefault="00F20BC8" w:rsidP="00F20BC8">
      <w:pPr>
        <w:autoSpaceDE w:val="0"/>
        <w:autoSpaceDN w:val="0"/>
        <w:adjustRightInd w:val="0"/>
        <w:spacing w:after="0" w:line="480" w:lineRule="auto"/>
        <w:rPr>
          <w:rFonts w:asciiTheme="majorHAnsi" w:hAnsiTheme="majorHAnsi" w:cstheme="majorBidi"/>
          <w:sz w:val="24"/>
          <w:szCs w:val="24"/>
        </w:rPr>
      </w:pPr>
    </w:p>
    <w:p w:rsidR="00F20BC8" w:rsidRPr="00325486" w:rsidRDefault="00F20BC8" w:rsidP="00F20BC8">
      <w:pPr>
        <w:autoSpaceDE w:val="0"/>
        <w:autoSpaceDN w:val="0"/>
        <w:adjustRightInd w:val="0"/>
        <w:spacing w:after="0" w:line="480" w:lineRule="auto"/>
        <w:rPr>
          <w:rFonts w:asciiTheme="majorHAnsi" w:hAnsiTheme="majorHAnsi" w:cstheme="majorBidi"/>
          <w:b/>
          <w:bCs/>
          <w:sz w:val="24"/>
          <w:szCs w:val="24"/>
        </w:rPr>
      </w:pPr>
      <w:r w:rsidRPr="00325486">
        <w:rPr>
          <w:rFonts w:asciiTheme="majorHAnsi" w:hAnsiTheme="majorHAnsi" w:cstheme="majorBidi"/>
          <w:b/>
          <w:bCs/>
          <w:sz w:val="24"/>
          <w:szCs w:val="24"/>
        </w:rPr>
        <w:t>Conflict of Interest</w:t>
      </w:r>
    </w:p>
    <w:p w:rsidR="00F20BC8" w:rsidRPr="00325486" w:rsidRDefault="00F20BC8" w:rsidP="00F20BC8">
      <w:pPr>
        <w:autoSpaceDE w:val="0"/>
        <w:autoSpaceDN w:val="0"/>
        <w:adjustRightInd w:val="0"/>
        <w:spacing w:after="0" w:line="480" w:lineRule="auto"/>
        <w:rPr>
          <w:rFonts w:asciiTheme="majorHAnsi" w:hAnsiTheme="majorHAnsi" w:cstheme="majorBidi"/>
          <w:sz w:val="24"/>
          <w:szCs w:val="24"/>
        </w:rPr>
      </w:pPr>
      <w:r w:rsidRPr="00325486">
        <w:rPr>
          <w:rFonts w:asciiTheme="majorHAnsi" w:hAnsiTheme="majorHAnsi" w:cstheme="majorBidi"/>
          <w:sz w:val="24"/>
          <w:szCs w:val="24"/>
        </w:rPr>
        <w:t>The prototype mattress was kindly provided by Hill-Rom.</w:t>
      </w:r>
    </w:p>
    <w:p w:rsidR="00F20BC8" w:rsidRPr="00325486" w:rsidRDefault="00F20BC8" w:rsidP="00F20BC8">
      <w:pPr>
        <w:autoSpaceDE w:val="0"/>
        <w:autoSpaceDN w:val="0"/>
        <w:adjustRightInd w:val="0"/>
        <w:spacing w:after="0" w:line="480" w:lineRule="auto"/>
        <w:rPr>
          <w:rFonts w:asciiTheme="majorHAnsi" w:hAnsiTheme="majorHAnsi" w:cstheme="majorBidi"/>
          <w:sz w:val="24"/>
          <w:szCs w:val="24"/>
        </w:rPr>
      </w:pPr>
    </w:p>
    <w:p w:rsidR="00F20BC8" w:rsidRPr="00325486" w:rsidRDefault="00F20BC8" w:rsidP="00F20BC8">
      <w:pPr>
        <w:autoSpaceDE w:val="0"/>
        <w:autoSpaceDN w:val="0"/>
        <w:adjustRightInd w:val="0"/>
        <w:spacing w:after="0" w:line="480" w:lineRule="auto"/>
        <w:rPr>
          <w:rFonts w:asciiTheme="majorHAnsi" w:hAnsiTheme="majorHAnsi" w:cstheme="majorBidi"/>
          <w:b/>
          <w:sz w:val="24"/>
          <w:szCs w:val="24"/>
        </w:rPr>
      </w:pPr>
      <w:r w:rsidRPr="00325486">
        <w:rPr>
          <w:rFonts w:asciiTheme="majorHAnsi" w:hAnsiTheme="majorHAnsi" w:cstheme="majorBidi"/>
          <w:b/>
          <w:sz w:val="24"/>
          <w:szCs w:val="24"/>
        </w:rPr>
        <w:t>Acknowledgements</w:t>
      </w:r>
    </w:p>
    <w:p w:rsidR="00F20BC8" w:rsidRPr="00325486" w:rsidRDefault="00F20BC8" w:rsidP="00C452F7">
      <w:pPr>
        <w:autoSpaceDE w:val="0"/>
        <w:autoSpaceDN w:val="0"/>
        <w:adjustRightInd w:val="0"/>
        <w:spacing w:after="0" w:line="480" w:lineRule="auto"/>
        <w:rPr>
          <w:rFonts w:asciiTheme="majorHAnsi" w:hAnsiTheme="majorHAnsi" w:cstheme="majorBidi"/>
          <w:color w:val="343434"/>
          <w:sz w:val="24"/>
          <w:szCs w:val="24"/>
          <w:lang w:val="en-US" w:eastAsia="zh-CN"/>
        </w:rPr>
      </w:pPr>
      <w:r w:rsidRPr="00325486">
        <w:rPr>
          <w:rFonts w:asciiTheme="majorHAnsi" w:hAnsiTheme="majorHAnsi" w:cstheme="majorBidi"/>
          <w:sz w:val="24"/>
          <w:szCs w:val="24"/>
        </w:rPr>
        <w:lastRenderedPageBreak/>
        <w:t xml:space="preserve">The prototype mattress and funding support was provided by Hill-Rom. </w:t>
      </w:r>
      <w:r w:rsidR="00E00277" w:rsidRPr="00325486">
        <w:rPr>
          <w:rFonts w:asciiTheme="majorHAnsi" w:hAnsiTheme="majorHAnsi" w:cstheme="majorBidi"/>
          <w:sz w:val="24"/>
          <w:szCs w:val="24"/>
        </w:rPr>
        <w:t xml:space="preserve">Investigator (MW) funding support was also provided by Solent </w:t>
      </w:r>
      <w:r w:rsidR="00C452F7" w:rsidRPr="00325486">
        <w:rPr>
          <w:rFonts w:asciiTheme="majorHAnsi" w:hAnsiTheme="majorHAnsi" w:cstheme="majorBidi"/>
          <w:sz w:val="24"/>
          <w:szCs w:val="24"/>
        </w:rPr>
        <w:t>NHS Trust</w:t>
      </w:r>
      <w:r w:rsidR="00E00277" w:rsidRPr="00325486">
        <w:rPr>
          <w:rFonts w:asciiTheme="majorHAnsi" w:hAnsiTheme="majorHAnsi" w:cstheme="majorBidi"/>
          <w:sz w:val="24"/>
          <w:szCs w:val="24"/>
        </w:rPr>
        <w:t xml:space="preserve">. </w:t>
      </w:r>
      <w:r w:rsidRPr="00325486">
        <w:rPr>
          <w:rFonts w:asciiTheme="majorHAnsi" w:hAnsiTheme="majorHAnsi" w:cstheme="majorBidi"/>
          <w:color w:val="343434"/>
          <w:sz w:val="24"/>
          <w:szCs w:val="24"/>
          <w:lang w:val="en-US" w:eastAsia="zh-CN"/>
        </w:rPr>
        <w:t xml:space="preserve">We would also like to thank all the participants for taking part in the study. </w:t>
      </w:r>
    </w:p>
    <w:p w:rsidR="003B3800" w:rsidRPr="00325486" w:rsidRDefault="003B3800" w:rsidP="00F20BC8">
      <w:pPr>
        <w:autoSpaceDE w:val="0"/>
        <w:autoSpaceDN w:val="0"/>
        <w:adjustRightInd w:val="0"/>
        <w:spacing w:after="0" w:line="480" w:lineRule="auto"/>
        <w:rPr>
          <w:rFonts w:asciiTheme="majorHAnsi" w:hAnsiTheme="majorHAnsi" w:cstheme="majorBidi"/>
          <w:sz w:val="24"/>
          <w:szCs w:val="24"/>
        </w:rPr>
      </w:pPr>
    </w:p>
    <w:p w:rsidR="00F20BC8" w:rsidRPr="00325486" w:rsidRDefault="00F20BC8" w:rsidP="00F20BC8">
      <w:pPr>
        <w:spacing w:line="480" w:lineRule="auto"/>
        <w:rPr>
          <w:rFonts w:asciiTheme="majorHAnsi" w:hAnsiTheme="majorHAnsi" w:cstheme="majorBidi"/>
          <w:b/>
          <w:sz w:val="24"/>
          <w:szCs w:val="24"/>
          <w:lang w:val="de-DE"/>
        </w:rPr>
      </w:pPr>
      <w:r w:rsidRPr="00325486">
        <w:rPr>
          <w:rFonts w:asciiTheme="majorHAnsi" w:hAnsiTheme="majorHAnsi" w:cstheme="majorBidi"/>
          <w:b/>
          <w:sz w:val="24"/>
          <w:szCs w:val="24"/>
          <w:lang w:val="de-DE"/>
        </w:rPr>
        <w:t>References</w:t>
      </w:r>
    </w:p>
    <w:p w:rsidR="00F20BC8" w:rsidRPr="00325486" w:rsidRDefault="00F20BC8" w:rsidP="009D5751">
      <w:pPr>
        <w:spacing w:after="0" w:line="480" w:lineRule="auto"/>
        <w:rPr>
          <w:rFonts w:asciiTheme="majorHAnsi" w:hAnsiTheme="majorHAnsi" w:cstheme="majorBidi"/>
          <w:sz w:val="24"/>
          <w:szCs w:val="24"/>
          <w:lang w:val="de-DE"/>
        </w:rPr>
      </w:pPr>
    </w:p>
    <w:p w:rsidR="00C65543" w:rsidRPr="00325486" w:rsidRDefault="00F20BC8" w:rsidP="00C452F7">
      <w:pPr>
        <w:pStyle w:val="EndNoteBibliography"/>
        <w:spacing w:after="0" w:line="480" w:lineRule="auto"/>
        <w:rPr>
          <w:rFonts w:asciiTheme="majorHAnsi" w:hAnsiTheme="majorHAnsi"/>
          <w:sz w:val="24"/>
          <w:szCs w:val="24"/>
        </w:rPr>
      </w:pPr>
      <w:r w:rsidRPr="00325486">
        <w:rPr>
          <w:rFonts w:asciiTheme="majorHAnsi" w:hAnsiTheme="majorHAnsi" w:cstheme="majorBidi"/>
          <w:sz w:val="24"/>
          <w:szCs w:val="24"/>
        </w:rPr>
        <w:fldChar w:fldCharType="begin"/>
      </w:r>
      <w:r w:rsidRPr="00325486">
        <w:rPr>
          <w:rFonts w:asciiTheme="majorHAnsi" w:hAnsiTheme="majorHAnsi" w:cstheme="majorBidi"/>
          <w:sz w:val="24"/>
          <w:szCs w:val="24"/>
          <w:lang w:val="de-DE"/>
        </w:rPr>
        <w:instrText xml:space="preserve"> ADDIN EN.REFLIST </w:instrText>
      </w:r>
      <w:r w:rsidRPr="00325486">
        <w:rPr>
          <w:rFonts w:asciiTheme="majorHAnsi" w:hAnsiTheme="majorHAnsi" w:cstheme="majorBidi"/>
          <w:sz w:val="24"/>
          <w:szCs w:val="24"/>
        </w:rPr>
        <w:fldChar w:fldCharType="separate"/>
      </w:r>
      <w:bookmarkStart w:id="1" w:name="_ENREF_1"/>
      <w:r w:rsidR="00C65543" w:rsidRPr="00325486">
        <w:rPr>
          <w:rFonts w:asciiTheme="majorHAnsi" w:hAnsiTheme="majorHAnsi"/>
          <w:sz w:val="24"/>
          <w:szCs w:val="24"/>
          <w:lang w:val="de-DE"/>
        </w:rPr>
        <w:t xml:space="preserve">Bogie, K.M., Nuseibeh, I., Bader, D.L., 1995. </w:t>
      </w:r>
      <w:r w:rsidR="00C65543" w:rsidRPr="00325486">
        <w:rPr>
          <w:rFonts w:asciiTheme="majorHAnsi" w:hAnsiTheme="majorHAnsi"/>
          <w:sz w:val="24"/>
          <w:szCs w:val="24"/>
        </w:rPr>
        <w:t>Early progressive changes in tissue viability in the seated spinal cord injured subject. Paraplegia 33, 141-147.</w:t>
      </w:r>
      <w:bookmarkEnd w:id="1"/>
    </w:p>
    <w:p w:rsidR="00C65543" w:rsidRPr="00325486" w:rsidRDefault="00C65543" w:rsidP="00C452F7">
      <w:pPr>
        <w:pStyle w:val="EndNoteBibliography"/>
        <w:spacing w:after="0" w:line="480" w:lineRule="auto"/>
        <w:rPr>
          <w:rFonts w:asciiTheme="majorHAnsi" w:hAnsiTheme="majorHAnsi"/>
          <w:sz w:val="24"/>
          <w:szCs w:val="24"/>
        </w:rPr>
      </w:pPr>
      <w:bookmarkStart w:id="2" w:name="_ENREF_2"/>
      <w:r w:rsidRPr="00325486">
        <w:rPr>
          <w:rFonts w:asciiTheme="majorHAnsi" w:hAnsiTheme="majorHAnsi"/>
          <w:sz w:val="24"/>
          <w:szCs w:val="24"/>
        </w:rPr>
        <w:t>Bouten, C., Oomens, C., Baaijens, F., Bader, D., 2003. The Etiology of Pressure Ulcers: Skin Deep or Muscle Bound? Arch. Phys. Med. Rehabil. 84, 616-619.</w:t>
      </w:r>
      <w:bookmarkEnd w:id="2"/>
    </w:p>
    <w:p w:rsidR="00C65543" w:rsidRPr="00325486" w:rsidRDefault="00C65543" w:rsidP="00C452F7">
      <w:pPr>
        <w:pStyle w:val="EndNoteBibliography"/>
        <w:spacing w:after="0" w:line="480" w:lineRule="auto"/>
        <w:rPr>
          <w:rFonts w:asciiTheme="majorHAnsi" w:hAnsiTheme="majorHAnsi"/>
          <w:sz w:val="24"/>
          <w:szCs w:val="24"/>
        </w:rPr>
      </w:pPr>
      <w:bookmarkStart w:id="3" w:name="_ENREF_3"/>
      <w:r w:rsidRPr="00325486">
        <w:rPr>
          <w:rFonts w:asciiTheme="majorHAnsi" w:hAnsiTheme="majorHAnsi"/>
          <w:sz w:val="24"/>
          <w:szCs w:val="24"/>
        </w:rPr>
        <w:t>Chai, C.Y., Bader, D.L., 2013. The physiological response of skin tissues to alternating support pressures in able-bodied subjects. Journal of the Mechanical Behavior of Biomedical Materials 28, 427-435.</w:t>
      </w:r>
      <w:bookmarkEnd w:id="3"/>
    </w:p>
    <w:p w:rsidR="00C65543" w:rsidRPr="00325486" w:rsidRDefault="00C65543" w:rsidP="00C452F7">
      <w:pPr>
        <w:pStyle w:val="EndNoteBibliography"/>
        <w:spacing w:after="0" w:line="480" w:lineRule="auto"/>
        <w:rPr>
          <w:rFonts w:asciiTheme="majorHAnsi" w:hAnsiTheme="majorHAnsi"/>
          <w:sz w:val="24"/>
          <w:szCs w:val="24"/>
        </w:rPr>
      </w:pPr>
      <w:bookmarkStart w:id="4" w:name="_ENREF_4"/>
      <w:r w:rsidRPr="00325486">
        <w:rPr>
          <w:rFonts w:asciiTheme="majorHAnsi" w:hAnsiTheme="majorHAnsi"/>
          <w:sz w:val="24"/>
          <w:szCs w:val="24"/>
        </w:rPr>
        <w:t>Dealey, C., Posnett, J., Walker, A., 2012. The Cost of Pressure Ulcers in the United Kingdom. J. Wound Care 21, 261-266.</w:t>
      </w:r>
      <w:bookmarkEnd w:id="4"/>
    </w:p>
    <w:p w:rsidR="00C65543" w:rsidRPr="00325486" w:rsidRDefault="00C65543" w:rsidP="00C452F7">
      <w:pPr>
        <w:pStyle w:val="EndNoteBibliography"/>
        <w:spacing w:after="0" w:line="480" w:lineRule="auto"/>
        <w:rPr>
          <w:rFonts w:asciiTheme="majorHAnsi" w:hAnsiTheme="majorHAnsi"/>
          <w:sz w:val="24"/>
          <w:szCs w:val="24"/>
        </w:rPr>
      </w:pPr>
      <w:bookmarkStart w:id="5" w:name="_ENREF_5"/>
      <w:r w:rsidRPr="00325486">
        <w:rPr>
          <w:rFonts w:asciiTheme="majorHAnsi" w:hAnsiTheme="majorHAnsi"/>
          <w:sz w:val="24"/>
          <w:szCs w:val="24"/>
        </w:rPr>
        <w:t>Department of Health, 2010. Essence of Care 2010; Benchmarks for Prevention and Management of Pressure Ulcers, in: Department of Health (Ed.). The Stationery Office, United Kingdom,.</w:t>
      </w:r>
      <w:bookmarkEnd w:id="5"/>
    </w:p>
    <w:p w:rsidR="00C65543" w:rsidRPr="00325486" w:rsidRDefault="00C65543" w:rsidP="00C452F7">
      <w:pPr>
        <w:pStyle w:val="EndNoteBibliography"/>
        <w:spacing w:after="0" w:line="480" w:lineRule="auto"/>
        <w:rPr>
          <w:rFonts w:asciiTheme="majorHAnsi" w:hAnsiTheme="majorHAnsi"/>
          <w:sz w:val="24"/>
          <w:szCs w:val="24"/>
        </w:rPr>
      </w:pPr>
      <w:bookmarkStart w:id="6" w:name="_ENREF_6"/>
      <w:r w:rsidRPr="00325486">
        <w:rPr>
          <w:rFonts w:asciiTheme="majorHAnsi" w:hAnsiTheme="majorHAnsi"/>
          <w:sz w:val="24"/>
          <w:szCs w:val="24"/>
        </w:rPr>
        <w:t>EPUAP-NPUAP, 2009. Prevention and treatment of pressure ulcers: quick reference guide., in: Panel., E.P.U.A.P. (Ed.), Washington DC.</w:t>
      </w:r>
      <w:bookmarkEnd w:id="6"/>
    </w:p>
    <w:p w:rsidR="00C65543" w:rsidRPr="00325486" w:rsidRDefault="00C65543" w:rsidP="00C452F7">
      <w:pPr>
        <w:pStyle w:val="EndNoteBibliography"/>
        <w:spacing w:after="0" w:line="480" w:lineRule="auto"/>
        <w:rPr>
          <w:rFonts w:asciiTheme="majorHAnsi" w:hAnsiTheme="majorHAnsi"/>
          <w:sz w:val="24"/>
          <w:szCs w:val="24"/>
        </w:rPr>
      </w:pPr>
      <w:bookmarkStart w:id="7" w:name="_ENREF_7"/>
      <w:r w:rsidRPr="00325486">
        <w:rPr>
          <w:rFonts w:asciiTheme="majorHAnsi" w:hAnsiTheme="majorHAnsi"/>
          <w:sz w:val="24"/>
          <w:szCs w:val="24"/>
        </w:rPr>
        <w:lastRenderedPageBreak/>
        <w:t>European Pressure Ulcer Advisory, P., 2009. Prevention of Pressure Ulcers: Quick Reference Guide.</w:t>
      </w:r>
      <w:bookmarkEnd w:id="7"/>
    </w:p>
    <w:p w:rsidR="00C65543" w:rsidRPr="00325486" w:rsidRDefault="00C65543" w:rsidP="00C452F7">
      <w:pPr>
        <w:pStyle w:val="EndNoteBibliography"/>
        <w:spacing w:after="0" w:line="480" w:lineRule="auto"/>
        <w:rPr>
          <w:rFonts w:asciiTheme="majorHAnsi" w:hAnsiTheme="majorHAnsi"/>
          <w:sz w:val="24"/>
          <w:szCs w:val="24"/>
        </w:rPr>
      </w:pPr>
      <w:bookmarkStart w:id="8" w:name="_ENREF_8"/>
      <w:r w:rsidRPr="00325486">
        <w:rPr>
          <w:rFonts w:asciiTheme="majorHAnsi" w:hAnsiTheme="majorHAnsi"/>
          <w:sz w:val="24"/>
          <w:szCs w:val="24"/>
        </w:rPr>
        <w:t>Kim, J.H., Wang, X.L., Ho, C.H., Bogie, K.M., 2012. Physiological measurements of tissue health; implications for clinical practice. International Wound Journal Jan 30.</w:t>
      </w:r>
      <w:bookmarkEnd w:id="8"/>
    </w:p>
    <w:p w:rsidR="00C65543" w:rsidRPr="00325486" w:rsidRDefault="00C65543" w:rsidP="00C452F7">
      <w:pPr>
        <w:pStyle w:val="EndNoteBibliography"/>
        <w:spacing w:after="0" w:line="480" w:lineRule="auto"/>
        <w:rPr>
          <w:rFonts w:asciiTheme="majorHAnsi" w:hAnsiTheme="majorHAnsi"/>
          <w:sz w:val="24"/>
          <w:szCs w:val="24"/>
          <w:lang w:val="de-DE"/>
        </w:rPr>
      </w:pPr>
      <w:bookmarkStart w:id="9" w:name="_ENREF_9"/>
      <w:r w:rsidRPr="00325486">
        <w:rPr>
          <w:rFonts w:asciiTheme="majorHAnsi" w:hAnsiTheme="majorHAnsi"/>
          <w:sz w:val="24"/>
          <w:szCs w:val="24"/>
        </w:rPr>
        <w:t xml:space="preserve">Knight, S., Taylor, R., Polliak, A., Bader, D.L., 2001. Establishing predictive indicators for the status of loaded soft tissues. </w:t>
      </w:r>
      <w:r w:rsidRPr="00325486">
        <w:rPr>
          <w:rFonts w:asciiTheme="majorHAnsi" w:hAnsiTheme="majorHAnsi"/>
          <w:sz w:val="24"/>
          <w:szCs w:val="24"/>
          <w:lang w:val="de-DE"/>
        </w:rPr>
        <w:t>J. Appl. Physiol. 90, 2231-2237.</w:t>
      </w:r>
      <w:bookmarkEnd w:id="9"/>
    </w:p>
    <w:p w:rsidR="00C65543" w:rsidRPr="00325486" w:rsidRDefault="00C65543" w:rsidP="00C452F7">
      <w:pPr>
        <w:pStyle w:val="EndNoteBibliography"/>
        <w:spacing w:after="0" w:line="480" w:lineRule="auto"/>
        <w:rPr>
          <w:rFonts w:asciiTheme="majorHAnsi" w:hAnsiTheme="majorHAnsi"/>
          <w:sz w:val="24"/>
          <w:szCs w:val="24"/>
        </w:rPr>
      </w:pPr>
      <w:bookmarkStart w:id="10" w:name="_ENREF_10"/>
      <w:r w:rsidRPr="00325486">
        <w:rPr>
          <w:rFonts w:asciiTheme="majorHAnsi" w:hAnsiTheme="majorHAnsi"/>
          <w:sz w:val="24"/>
          <w:szCs w:val="24"/>
          <w:lang w:val="de-DE"/>
        </w:rPr>
        <w:t xml:space="preserve">Linder-Ganz, E., Scheinowitz, M., Yizhar, Z., Margulies, S.S., Gefen, A., 2007. </w:t>
      </w:r>
      <w:r w:rsidRPr="00325486">
        <w:rPr>
          <w:rFonts w:asciiTheme="majorHAnsi" w:hAnsiTheme="majorHAnsi"/>
          <w:sz w:val="24"/>
          <w:szCs w:val="24"/>
        </w:rPr>
        <w:t>How do normals move during prolonged wheelchair-sitting? Technol. Health Care 15, 195-202.</w:t>
      </w:r>
      <w:bookmarkEnd w:id="10"/>
    </w:p>
    <w:p w:rsidR="00C65543" w:rsidRPr="00325486" w:rsidRDefault="00C65543" w:rsidP="00C452F7">
      <w:pPr>
        <w:pStyle w:val="EndNoteBibliography"/>
        <w:spacing w:after="0" w:line="480" w:lineRule="auto"/>
        <w:rPr>
          <w:rFonts w:asciiTheme="majorHAnsi" w:hAnsiTheme="majorHAnsi"/>
          <w:sz w:val="24"/>
          <w:szCs w:val="24"/>
        </w:rPr>
      </w:pPr>
      <w:bookmarkStart w:id="11" w:name="_ENREF_11"/>
      <w:r w:rsidRPr="00325486">
        <w:rPr>
          <w:rFonts w:asciiTheme="majorHAnsi" w:hAnsiTheme="majorHAnsi"/>
          <w:sz w:val="24"/>
          <w:szCs w:val="24"/>
          <w:lang w:val="de-DE"/>
        </w:rPr>
        <w:t xml:space="preserve">Makhsous, M., Priebe, M., Bankard, J., Rowles, D., Zeigler, M., Chen, D., Lin, F., 2007. </w:t>
      </w:r>
      <w:r w:rsidRPr="00325486">
        <w:rPr>
          <w:rFonts w:asciiTheme="majorHAnsi" w:hAnsiTheme="majorHAnsi"/>
          <w:sz w:val="24"/>
          <w:szCs w:val="24"/>
        </w:rPr>
        <w:t>Measuring tissue perfusion during pressure relief maneuvers: insights into preventing pressure ulcers. The Journal of Spinal Cord Injury 30, 497-507.</w:t>
      </w:r>
      <w:bookmarkEnd w:id="11"/>
    </w:p>
    <w:p w:rsidR="00C65543" w:rsidRPr="00325486" w:rsidRDefault="00C65543" w:rsidP="00C452F7">
      <w:pPr>
        <w:pStyle w:val="EndNoteBibliography"/>
        <w:spacing w:after="0" w:line="480" w:lineRule="auto"/>
        <w:rPr>
          <w:rFonts w:asciiTheme="majorHAnsi" w:hAnsiTheme="majorHAnsi"/>
          <w:sz w:val="24"/>
          <w:szCs w:val="24"/>
        </w:rPr>
      </w:pPr>
      <w:bookmarkStart w:id="12" w:name="_ENREF_12"/>
      <w:r w:rsidRPr="00325486">
        <w:rPr>
          <w:rFonts w:asciiTheme="majorHAnsi" w:hAnsiTheme="majorHAnsi"/>
          <w:sz w:val="24"/>
          <w:szCs w:val="24"/>
        </w:rPr>
        <w:t>Melland, H.I., Langemo, D., Hanson, D., Olson, B., Hunter, S., 1999. Clinical evaluation of an automated turning bed. Orthop Nurs 18, 65-70.</w:t>
      </w:r>
      <w:bookmarkEnd w:id="12"/>
    </w:p>
    <w:p w:rsidR="00C65543" w:rsidRPr="00325486" w:rsidRDefault="00C65543" w:rsidP="00C452F7">
      <w:pPr>
        <w:pStyle w:val="EndNoteBibliography"/>
        <w:spacing w:after="0" w:line="480" w:lineRule="auto"/>
        <w:rPr>
          <w:rFonts w:asciiTheme="majorHAnsi" w:hAnsiTheme="majorHAnsi"/>
          <w:sz w:val="24"/>
          <w:szCs w:val="24"/>
        </w:rPr>
      </w:pPr>
      <w:bookmarkStart w:id="13" w:name="_ENREF_13"/>
      <w:r w:rsidRPr="00325486">
        <w:rPr>
          <w:rFonts w:asciiTheme="majorHAnsi" w:hAnsiTheme="majorHAnsi"/>
          <w:sz w:val="24"/>
          <w:szCs w:val="24"/>
        </w:rPr>
        <w:t>Moore, Z., 2012. Using the 30</w:t>
      </w:r>
      <w:r w:rsidRPr="00325486">
        <w:rPr>
          <w:rFonts w:asciiTheme="majorHAnsi" w:hAnsiTheme="majorHAnsi"/>
          <w:sz w:val="24"/>
          <w:szCs w:val="24"/>
          <w:vertAlign w:val="superscript"/>
        </w:rPr>
        <w:t xml:space="preserve">o </w:t>
      </w:r>
      <w:r w:rsidRPr="00325486">
        <w:rPr>
          <w:rFonts w:asciiTheme="majorHAnsi" w:hAnsiTheme="majorHAnsi"/>
          <w:sz w:val="24"/>
          <w:szCs w:val="24"/>
        </w:rPr>
        <w:t>tilt to reduce pressure ulcers. Nurs. Times 108, 22-24.</w:t>
      </w:r>
      <w:bookmarkEnd w:id="13"/>
    </w:p>
    <w:p w:rsidR="00C65543" w:rsidRPr="00325486" w:rsidRDefault="00C65543" w:rsidP="00C452F7">
      <w:pPr>
        <w:pStyle w:val="EndNoteBibliography"/>
        <w:spacing w:after="0" w:line="480" w:lineRule="auto"/>
        <w:rPr>
          <w:rFonts w:asciiTheme="majorHAnsi" w:hAnsiTheme="majorHAnsi"/>
          <w:sz w:val="24"/>
          <w:szCs w:val="24"/>
        </w:rPr>
      </w:pPr>
      <w:bookmarkStart w:id="14" w:name="_ENREF_14"/>
      <w:r w:rsidRPr="00325486">
        <w:rPr>
          <w:rFonts w:asciiTheme="majorHAnsi" w:hAnsiTheme="majorHAnsi"/>
          <w:sz w:val="24"/>
          <w:szCs w:val="24"/>
        </w:rPr>
        <w:t>Moore, Z., Cowman, S., Posnett, J., 2013. An economic analysis of repositioning for the prevention of pressure ulcers. J. Clin. Nurs. 22, 2354-2360.</w:t>
      </w:r>
      <w:bookmarkEnd w:id="14"/>
    </w:p>
    <w:p w:rsidR="00C65543" w:rsidRPr="00325486" w:rsidRDefault="00C65543" w:rsidP="00C452F7">
      <w:pPr>
        <w:pStyle w:val="EndNoteBibliography"/>
        <w:spacing w:after="0" w:line="480" w:lineRule="auto"/>
        <w:rPr>
          <w:rFonts w:asciiTheme="majorHAnsi" w:hAnsiTheme="majorHAnsi"/>
          <w:sz w:val="24"/>
          <w:szCs w:val="24"/>
        </w:rPr>
      </w:pPr>
      <w:bookmarkStart w:id="15" w:name="_ENREF_15"/>
      <w:r w:rsidRPr="00325486">
        <w:rPr>
          <w:rFonts w:asciiTheme="majorHAnsi" w:hAnsiTheme="majorHAnsi"/>
          <w:sz w:val="24"/>
          <w:szCs w:val="24"/>
        </w:rPr>
        <w:t>National Institute for Health and Clinical Excellence, 2005. The prevention and treatment of pressure ulcers, in: NICE (Ed.). Royal College of Nursing.</w:t>
      </w:r>
      <w:bookmarkEnd w:id="15"/>
    </w:p>
    <w:p w:rsidR="00C65543" w:rsidRPr="00325486" w:rsidRDefault="00C65543" w:rsidP="00C452F7">
      <w:pPr>
        <w:pStyle w:val="EndNoteBibliography"/>
        <w:spacing w:after="0" w:line="480" w:lineRule="auto"/>
        <w:rPr>
          <w:rFonts w:asciiTheme="majorHAnsi" w:hAnsiTheme="majorHAnsi"/>
          <w:sz w:val="24"/>
          <w:szCs w:val="24"/>
        </w:rPr>
      </w:pPr>
      <w:bookmarkStart w:id="16" w:name="_ENREF_16"/>
      <w:r w:rsidRPr="00325486">
        <w:rPr>
          <w:rFonts w:asciiTheme="majorHAnsi" w:hAnsiTheme="majorHAnsi"/>
          <w:sz w:val="24"/>
          <w:szCs w:val="24"/>
        </w:rPr>
        <w:lastRenderedPageBreak/>
        <w:t>National Patient Safety Agency, 2010. npsa.nhs.uk, in: Health, D.o. (Ed.).</w:t>
      </w:r>
      <w:bookmarkEnd w:id="16"/>
    </w:p>
    <w:p w:rsidR="00C65543" w:rsidRPr="00325486" w:rsidRDefault="00C65543" w:rsidP="00C452F7">
      <w:pPr>
        <w:pStyle w:val="EndNoteBibliography"/>
        <w:spacing w:after="0" w:line="480" w:lineRule="auto"/>
        <w:rPr>
          <w:rFonts w:asciiTheme="majorHAnsi" w:hAnsiTheme="majorHAnsi"/>
          <w:sz w:val="24"/>
          <w:szCs w:val="24"/>
        </w:rPr>
      </w:pPr>
      <w:bookmarkStart w:id="17" w:name="_ENREF_17"/>
      <w:r w:rsidRPr="00325486">
        <w:rPr>
          <w:rFonts w:asciiTheme="majorHAnsi" w:hAnsiTheme="majorHAnsi"/>
          <w:sz w:val="24"/>
          <w:szCs w:val="24"/>
        </w:rPr>
        <w:t>National Pressure Ulcer Advisor Panel, 2007. Support Surfaces Standards Initiative, Washington, DC, USA.</w:t>
      </w:r>
      <w:bookmarkEnd w:id="17"/>
    </w:p>
    <w:p w:rsidR="00C65543" w:rsidRPr="00325486" w:rsidRDefault="00C65543" w:rsidP="00C452F7">
      <w:pPr>
        <w:pStyle w:val="EndNoteBibliography"/>
        <w:spacing w:after="0" w:line="480" w:lineRule="auto"/>
        <w:rPr>
          <w:rFonts w:asciiTheme="majorHAnsi" w:hAnsiTheme="majorHAnsi"/>
          <w:sz w:val="24"/>
          <w:szCs w:val="24"/>
        </w:rPr>
      </w:pPr>
      <w:bookmarkStart w:id="18" w:name="_ENREF_18"/>
      <w:r w:rsidRPr="00325486">
        <w:rPr>
          <w:rFonts w:asciiTheme="majorHAnsi" w:hAnsiTheme="majorHAnsi"/>
          <w:sz w:val="24"/>
          <w:szCs w:val="24"/>
        </w:rPr>
        <w:t>National Pressure Ulcer Advisory Panel, 2007. Support Surface Standards Initiative - Terms and Definitions Related to Support Surfaces.</w:t>
      </w:r>
      <w:bookmarkEnd w:id="18"/>
    </w:p>
    <w:p w:rsidR="00C65543" w:rsidRPr="00325486" w:rsidRDefault="00C65543" w:rsidP="00C452F7">
      <w:pPr>
        <w:pStyle w:val="EndNoteBibliography"/>
        <w:spacing w:after="0" w:line="480" w:lineRule="auto"/>
        <w:rPr>
          <w:rFonts w:asciiTheme="majorHAnsi" w:hAnsiTheme="majorHAnsi"/>
          <w:sz w:val="24"/>
          <w:szCs w:val="24"/>
        </w:rPr>
      </w:pPr>
      <w:bookmarkStart w:id="19" w:name="_ENREF_19"/>
      <w:r w:rsidRPr="00325486">
        <w:rPr>
          <w:rFonts w:asciiTheme="majorHAnsi" w:hAnsiTheme="majorHAnsi"/>
          <w:sz w:val="24"/>
          <w:szCs w:val="24"/>
        </w:rPr>
        <w:t>Reenalda, J., Jannink, M., Nederhand, M., Ijzerman, M., 2009. Clinical Use of Interface Pressure to Predict Pressure Ulcer Development: A Systematic Review. Assist. Technol. 21, 76-85.</w:t>
      </w:r>
      <w:bookmarkEnd w:id="19"/>
    </w:p>
    <w:p w:rsidR="00C65543" w:rsidRPr="00325486" w:rsidRDefault="00C65543" w:rsidP="00C452F7">
      <w:pPr>
        <w:pStyle w:val="EndNoteBibliography"/>
        <w:spacing w:after="0" w:line="480" w:lineRule="auto"/>
        <w:rPr>
          <w:rFonts w:asciiTheme="majorHAnsi" w:hAnsiTheme="majorHAnsi"/>
          <w:sz w:val="24"/>
          <w:szCs w:val="24"/>
        </w:rPr>
      </w:pPr>
      <w:bookmarkStart w:id="20" w:name="_ENREF_20"/>
      <w:r w:rsidRPr="00325486">
        <w:rPr>
          <w:rFonts w:asciiTheme="majorHAnsi" w:hAnsiTheme="majorHAnsi"/>
          <w:sz w:val="24"/>
          <w:szCs w:val="24"/>
        </w:rPr>
        <w:t>Russell, T., Logsdon, A., 2003. Pressure Ulcers and Lateral Rotation Beds: A Case Study. J. Wound. Ostomy Continence Nurs. 30, 143-145.</w:t>
      </w:r>
      <w:bookmarkEnd w:id="20"/>
    </w:p>
    <w:p w:rsidR="00C65543" w:rsidRPr="00325486" w:rsidRDefault="00C65543" w:rsidP="00C452F7">
      <w:pPr>
        <w:pStyle w:val="EndNoteBibliography"/>
        <w:spacing w:after="0" w:line="480" w:lineRule="auto"/>
        <w:rPr>
          <w:rFonts w:asciiTheme="majorHAnsi" w:hAnsiTheme="majorHAnsi"/>
          <w:sz w:val="24"/>
          <w:szCs w:val="24"/>
        </w:rPr>
      </w:pPr>
      <w:bookmarkStart w:id="21" w:name="_ENREF_21"/>
      <w:r w:rsidRPr="00325486">
        <w:rPr>
          <w:rFonts w:asciiTheme="majorHAnsi" w:hAnsiTheme="majorHAnsi"/>
          <w:sz w:val="24"/>
          <w:szCs w:val="24"/>
        </w:rPr>
        <w:t>Spilsbury, K., Nelson, A., Cullum, N., Nixon, J., Mason, S., 2007. Pressure ulcers and their treatment and effects on quality of life: hospital inpatient perspectives. J. Adv. Nurs. 57, 494-504.</w:t>
      </w:r>
      <w:bookmarkEnd w:id="21"/>
    </w:p>
    <w:p w:rsidR="00C65543" w:rsidRPr="00325486" w:rsidRDefault="00C65543" w:rsidP="00C452F7">
      <w:pPr>
        <w:pStyle w:val="EndNoteBibliography"/>
        <w:spacing w:after="0" w:line="480" w:lineRule="auto"/>
        <w:rPr>
          <w:rFonts w:asciiTheme="majorHAnsi" w:hAnsiTheme="majorHAnsi"/>
          <w:sz w:val="24"/>
          <w:szCs w:val="24"/>
        </w:rPr>
      </w:pPr>
      <w:bookmarkStart w:id="22" w:name="_ENREF_22"/>
      <w:r w:rsidRPr="00325486">
        <w:rPr>
          <w:rFonts w:asciiTheme="majorHAnsi" w:hAnsiTheme="majorHAnsi"/>
          <w:sz w:val="24"/>
          <w:szCs w:val="24"/>
        </w:rPr>
        <w:t>Turpin, P., Pemberton, V., 2006. Prevention of Pressure Ulcers in Patients Being Managed on CLRT: Is Supplemental Repositioning Needed? Journal of Wound and Ostomy Continence Nursing 33, 381-388.</w:t>
      </w:r>
      <w:bookmarkEnd w:id="22"/>
    </w:p>
    <w:p w:rsidR="00C65543" w:rsidRPr="00325486" w:rsidRDefault="00C65543" w:rsidP="00C452F7">
      <w:pPr>
        <w:pStyle w:val="EndNoteBibliography"/>
        <w:spacing w:after="0" w:line="480" w:lineRule="auto"/>
        <w:rPr>
          <w:rFonts w:asciiTheme="majorHAnsi" w:hAnsiTheme="majorHAnsi"/>
          <w:sz w:val="24"/>
          <w:szCs w:val="24"/>
        </w:rPr>
      </w:pPr>
      <w:bookmarkStart w:id="23" w:name="_ENREF_23"/>
      <w:r w:rsidRPr="00325486">
        <w:rPr>
          <w:rFonts w:asciiTheme="majorHAnsi" w:hAnsiTheme="majorHAnsi"/>
          <w:sz w:val="24"/>
          <w:szCs w:val="24"/>
        </w:rPr>
        <w:t>Vanderwee, K., Grypdonck, M.H.F., De Bacquer, D., Defloor, T., 2007. Effectiveness of turning with unequal time intervals on the incidence of pressure ulcer lesions. J. Adv. Nurs. 57, 59-68.</w:t>
      </w:r>
      <w:bookmarkEnd w:id="23"/>
    </w:p>
    <w:p w:rsidR="00C65543" w:rsidRPr="00325486" w:rsidRDefault="00C65543" w:rsidP="00C452F7">
      <w:pPr>
        <w:pStyle w:val="EndNoteBibliography"/>
        <w:spacing w:line="480" w:lineRule="auto"/>
        <w:rPr>
          <w:rFonts w:asciiTheme="majorHAnsi" w:hAnsiTheme="majorHAnsi"/>
          <w:sz w:val="24"/>
          <w:szCs w:val="24"/>
        </w:rPr>
      </w:pPr>
      <w:bookmarkStart w:id="24" w:name="_ENREF_24"/>
      <w:r w:rsidRPr="00325486">
        <w:rPr>
          <w:rFonts w:asciiTheme="majorHAnsi" w:hAnsiTheme="majorHAnsi"/>
          <w:sz w:val="24"/>
          <w:szCs w:val="24"/>
        </w:rPr>
        <w:t>Yi, C.-H., Kim, H.-S., Yoo, W.-G., Kim, M.-H., Kwon, O.-Y., 2009. The effects of different types of automated inclining bed and tilt angle on body-pressure redistribution. Advances in Skin &amp; Wound Care 22, 259-264.</w:t>
      </w:r>
      <w:bookmarkEnd w:id="24"/>
    </w:p>
    <w:p w:rsidR="00F20BC8" w:rsidRPr="00C452F7" w:rsidRDefault="00F20BC8" w:rsidP="00E00277">
      <w:pPr>
        <w:spacing w:after="0" w:line="480" w:lineRule="auto"/>
        <w:rPr>
          <w:rFonts w:asciiTheme="majorHAnsi" w:hAnsiTheme="majorHAnsi" w:cstheme="majorBidi"/>
          <w:sz w:val="24"/>
          <w:szCs w:val="24"/>
        </w:rPr>
      </w:pPr>
      <w:r w:rsidRPr="00325486">
        <w:rPr>
          <w:rFonts w:asciiTheme="majorHAnsi" w:hAnsiTheme="majorHAnsi" w:cstheme="majorBidi"/>
          <w:sz w:val="24"/>
          <w:szCs w:val="24"/>
        </w:rPr>
        <w:lastRenderedPageBreak/>
        <w:fldChar w:fldCharType="end"/>
      </w:r>
    </w:p>
    <w:p w:rsidR="00187183" w:rsidRPr="00C452F7" w:rsidRDefault="00187183" w:rsidP="00E00277">
      <w:pPr>
        <w:spacing w:line="480" w:lineRule="auto"/>
        <w:rPr>
          <w:rFonts w:asciiTheme="majorHAnsi" w:hAnsiTheme="majorHAnsi"/>
          <w:sz w:val="24"/>
          <w:szCs w:val="24"/>
        </w:rPr>
      </w:pPr>
    </w:p>
    <w:sectPr w:rsidR="00187183" w:rsidRPr="00C452F7" w:rsidSect="00187183">
      <w:pgSz w:w="11906" w:h="16838"/>
      <w:pgMar w:top="1440" w:right="1440" w:bottom="1440"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E09B5"/>
    <w:multiLevelType w:val="hybridMultilevel"/>
    <w:tmpl w:val="3BF8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55DD7"/>
    <w:multiLevelType w:val="hybridMultilevel"/>
    <w:tmpl w:val="99364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F11BF"/>
    <w:multiLevelType w:val="hybridMultilevel"/>
    <w:tmpl w:val="E90E7350"/>
    <w:lvl w:ilvl="0" w:tplc="1BE2F27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C350F6"/>
    <w:multiLevelType w:val="hybridMultilevel"/>
    <w:tmpl w:val="49301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B0789E"/>
    <w:multiLevelType w:val="hybridMultilevel"/>
    <w:tmpl w:val="12B8A0F6"/>
    <w:lvl w:ilvl="0" w:tplc="0809000F">
      <w:start w:val="1"/>
      <w:numFmt w:val="decimal"/>
      <w:lvlText w:val="%1."/>
      <w:lvlJc w:val="left"/>
      <w:pPr>
        <w:ind w:left="1070" w:hanging="360"/>
      </w:pPr>
      <w:rPr>
        <w:rFonts w:cs="Times New Roman"/>
      </w:rPr>
    </w:lvl>
    <w:lvl w:ilvl="1" w:tplc="08090019" w:tentative="1">
      <w:start w:val="1"/>
      <w:numFmt w:val="lowerLetter"/>
      <w:lvlText w:val="%2."/>
      <w:lvlJc w:val="left"/>
      <w:pPr>
        <w:ind w:left="1790" w:hanging="360"/>
      </w:pPr>
      <w:rPr>
        <w:rFonts w:cs="Times New Roman"/>
      </w:rPr>
    </w:lvl>
    <w:lvl w:ilvl="2" w:tplc="0809001B" w:tentative="1">
      <w:start w:val="1"/>
      <w:numFmt w:val="lowerRoman"/>
      <w:lvlText w:val="%3."/>
      <w:lvlJc w:val="right"/>
      <w:pPr>
        <w:ind w:left="2510" w:hanging="180"/>
      </w:pPr>
      <w:rPr>
        <w:rFonts w:cs="Times New Roman"/>
      </w:rPr>
    </w:lvl>
    <w:lvl w:ilvl="3" w:tplc="0809000F" w:tentative="1">
      <w:start w:val="1"/>
      <w:numFmt w:val="decimal"/>
      <w:lvlText w:val="%4."/>
      <w:lvlJc w:val="left"/>
      <w:pPr>
        <w:ind w:left="3230" w:hanging="360"/>
      </w:pPr>
      <w:rPr>
        <w:rFonts w:cs="Times New Roman"/>
      </w:rPr>
    </w:lvl>
    <w:lvl w:ilvl="4" w:tplc="08090019" w:tentative="1">
      <w:start w:val="1"/>
      <w:numFmt w:val="lowerLetter"/>
      <w:lvlText w:val="%5."/>
      <w:lvlJc w:val="left"/>
      <w:pPr>
        <w:ind w:left="3950" w:hanging="360"/>
      </w:pPr>
      <w:rPr>
        <w:rFonts w:cs="Times New Roman"/>
      </w:rPr>
    </w:lvl>
    <w:lvl w:ilvl="5" w:tplc="0809001B" w:tentative="1">
      <w:start w:val="1"/>
      <w:numFmt w:val="lowerRoman"/>
      <w:lvlText w:val="%6."/>
      <w:lvlJc w:val="right"/>
      <w:pPr>
        <w:ind w:left="4670" w:hanging="180"/>
      </w:pPr>
      <w:rPr>
        <w:rFonts w:cs="Times New Roman"/>
      </w:rPr>
    </w:lvl>
    <w:lvl w:ilvl="6" w:tplc="0809000F" w:tentative="1">
      <w:start w:val="1"/>
      <w:numFmt w:val="decimal"/>
      <w:lvlText w:val="%7."/>
      <w:lvlJc w:val="left"/>
      <w:pPr>
        <w:ind w:left="5390" w:hanging="360"/>
      </w:pPr>
      <w:rPr>
        <w:rFonts w:cs="Times New Roman"/>
      </w:rPr>
    </w:lvl>
    <w:lvl w:ilvl="7" w:tplc="08090019" w:tentative="1">
      <w:start w:val="1"/>
      <w:numFmt w:val="lowerLetter"/>
      <w:lvlText w:val="%8."/>
      <w:lvlJc w:val="left"/>
      <w:pPr>
        <w:ind w:left="6110" w:hanging="360"/>
      </w:pPr>
      <w:rPr>
        <w:rFonts w:cs="Times New Roman"/>
      </w:rPr>
    </w:lvl>
    <w:lvl w:ilvl="8" w:tplc="0809001B" w:tentative="1">
      <w:start w:val="1"/>
      <w:numFmt w:val="lowerRoman"/>
      <w:lvlText w:val="%9."/>
      <w:lvlJc w:val="right"/>
      <w:pPr>
        <w:ind w:left="6830" w:hanging="180"/>
      </w:pPr>
      <w:rPr>
        <w:rFonts w:cs="Times New Roman"/>
      </w:rPr>
    </w:lvl>
  </w:abstractNum>
  <w:abstractNum w:abstractNumId="5" w15:restartNumberingAfterBreak="0">
    <w:nsid w:val="772D582A"/>
    <w:multiLevelType w:val="hybridMultilevel"/>
    <w:tmpl w:val="34C0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ical Biomechanics&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rvprze5a95tvoe59pjpvw5gezttve9wxvfs&quot;&gt;research&lt;record-ids&gt;&lt;item&gt;1865&lt;/item&gt;&lt;item&gt;1881&lt;/item&gt;&lt;item&gt;1943&lt;/item&gt;&lt;item&gt;1972&lt;/item&gt;&lt;item&gt;2009&lt;/item&gt;&lt;item&gt;2020&lt;/item&gt;&lt;item&gt;2070&lt;/item&gt;&lt;item&gt;2071&lt;/item&gt;&lt;item&gt;2084&lt;/item&gt;&lt;item&gt;2203&lt;/item&gt;&lt;item&gt;2722&lt;/item&gt;&lt;item&gt;2755&lt;/item&gt;&lt;/record-ids&gt;&lt;/item&gt;&lt;/Libraries&gt;"/>
  </w:docVars>
  <w:rsids>
    <w:rsidRoot w:val="00F20BC8"/>
    <w:rsid w:val="00040985"/>
    <w:rsid w:val="000C0003"/>
    <w:rsid w:val="00187183"/>
    <w:rsid w:val="00196AE3"/>
    <w:rsid w:val="002200EB"/>
    <w:rsid w:val="002251DA"/>
    <w:rsid w:val="00237F61"/>
    <w:rsid w:val="00240E7C"/>
    <w:rsid w:val="002446F0"/>
    <w:rsid w:val="002B2403"/>
    <w:rsid w:val="002E7D19"/>
    <w:rsid w:val="00325486"/>
    <w:rsid w:val="003355E4"/>
    <w:rsid w:val="003747E6"/>
    <w:rsid w:val="003B3800"/>
    <w:rsid w:val="003D5FDA"/>
    <w:rsid w:val="004A47C3"/>
    <w:rsid w:val="00664DDB"/>
    <w:rsid w:val="006E785C"/>
    <w:rsid w:val="00716E5C"/>
    <w:rsid w:val="007C0128"/>
    <w:rsid w:val="00807FD1"/>
    <w:rsid w:val="00827096"/>
    <w:rsid w:val="008A184F"/>
    <w:rsid w:val="008F2104"/>
    <w:rsid w:val="009536DF"/>
    <w:rsid w:val="009B20FE"/>
    <w:rsid w:val="009D5751"/>
    <w:rsid w:val="00AC099D"/>
    <w:rsid w:val="00C35C59"/>
    <w:rsid w:val="00C452F7"/>
    <w:rsid w:val="00C65543"/>
    <w:rsid w:val="00C776EA"/>
    <w:rsid w:val="00D62B2A"/>
    <w:rsid w:val="00D6792C"/>
    <w:rsid w:val="00E00277"/>
    <w:rsid w:val="00E0602D"/>
    <w:rsid w:val="00F12A6C"/>
    <w:rsid w:val="00F20BC8"/>
    <w:rsid w:val="00F54614"/>
    <w:rsid w:val="00F63231"/>
    <w:rsid w:val="00F67090"/>
    <w:rsid w:val="00F903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AA65E6-2702-44E0-97C1-9D782473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BC8"/>
    <w:rPr>
      <w:rFonts w:ascii="Cambria" w:eastAsia="Calibri" w:hAnsi="Cambria" w:cs="Times New Roman"/>
      <w:lang w:eastAsia="en-US"/>
    </w:rPr>
  </w:style>
  <w:style w:type="paragraph" w:styleId="Heading1">
    <w:name w:val="heading 1"/>
    <w:basedOn w:val="Normal"/>
    <w:next w:val="Normal"/>
    <w:link w:val="Heading1Char"/>
    <w:uiPriority w:val="9"/>
    <w:qFormat/>
    <w:rsid w:val="003254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20B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20BC8"/>
    <w:pPr>
      <w:keepNext/>
      <w:keepLines/>
      <w:spacing w:before="200" w:after="0" w:line="360" w:lineRule="auto"/>
      <w:jc w:val="both"/>
      <w:outlineLvl w:val="2"/>
    </w:pPr>
    <w:rPr>
      <w:rFonts w:eastAsia="SimSu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0BC8"/>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9"/>
    <w:rsid w:val="00F20BC8"/>
    <w:rPr>
      <w:rFonts w:ascii="Cambria" w:eastAsia="SimSun" w:hAnsi="Cambria" w:cs="Times New Roman"/>
      <w:b/>
      <w:bCs/>
      <w:sz w:val="24"/>
      <w:lang w:eastAsia="en-US"/>
    </w:rPr>
  </w:style>
  <w:style w:type="character" w:styleId="CommentReference">
    <w:name w:val="annotation reference"/>
    <w:uiPriority w:val="99"/>
    <w:semiHidden/>
    <w:rsid w:val="00F20BC8"/>
    <w:rPr>
      <w:rFonts w:cs="Times New Roman"/>
      <w:sz w:val="16"/>
      <w:szCs w:val="16"/>
    </w:rPr>
  </w:style>
  <w:style w:type="paragraph" w:styleId="CommentText">
    <w:name w:val="annotation text"/>
    <w:basedOn w:val="Normal"/>
    <w:link w:val="CommentTextChar"/>
    <w:uiPriority w:val="99"/>
    <w:semiHidden/>
    <w:rsid w:val="00F20BC8"/>
    <w:pPr>
      <w:spacing w:line="240" w:lineRule="auto"/>
    </w:pPr>
    <w:rPr>
      <w:sz w:val="20"/>
      <w:szCs w:val="20"/>
    </w:rPr>
  </w:style>
  <w:style w:type="character" w:customStyle="1" w:styleId="CommentTextChar">
    <w:name w:val="Comment Text Char"/>
    <w:basedOn w:val="DefaultParagraphFont"/>
    <w:link w:val="CommentText"/>
    <w:uiPriority w:val="99"/>
    <w:semiHidden/>
    <w:rsid w:val="00F20BC8"/>
    <w:rPr>
      <w:rFonts w:ascii="Cambria" w:eastAsia="Calibri" w:hAnsi="Cambria" w:cs="Times New Roman"/>
      <w:sz w:val="20"/>
      <w:szCs w:val="20"/>
      <w:lang w:eastAsia="en-US"/>
    </w:rPr>
  </w:style>
  <w:style w:type="paragraph" w:styleId="BalloonText">
    <w:name w:val="Balloon Text"/>
    <w:basedOn w:val="Normal"/>
    <w:link w:val="BalloonTextChar"/>
    <w:uiPriority w:val="99"/>
    <w:semiHidden/>
    <w:rsid w:val="00F20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BC8"/>
    <w:rPr>
      <w:rFonts w:ascii="Tahoma" w:eastAsia="Calibri" w:hAnsi="Tahoma" w:cs="Tahoma"/>
      <w:sz w:val="16"/>
      <w:szCs w:val="16"/>
      <w:lang w:eastAsia="en-US"/>
    </w:rPr>
  </w:style>
  <w:style w:type="table" w:styleId="TableGrid">
    <w:name w:val="Table Grid"/>
    <w:basedOn w:val="TableNormal"/>
    <w:uiPriority w:val="59"/>
    <w:rsid w:val="00F20BC8"/>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rsid w:val="00F20BC8"/>
    <w:pPr>
      <w:spacing w:after="0" w:line="240" w:lineRule="auto"/>
    </w:pPr>
    <w:rPr>
      <w:rFonts w:ascii="Consolas" w:hAnsi="Consolas" w:cs="Arial"/>
      <w:sz w:val="21"/>
      <w:szCs w:val="21"/>
    </w:rPr>
  </w:style>
  <w:style w:type="character" w:customStyle="1" w:styleId="PlainTextChar">
    <w:name w:val="Plain Text Char"/>
    <w:basedOn w:val="DefaultParagraphFont"/>
    <w:link w:val="PlainText"/>
    <w:uiPriority w:val="99"/>
    <w:rsid w:val="00F20BC8"/>
    <w:rPr>
      <w:rFonts w:ascii="Consolas" w:eastAsia="Calibri" w:hAnsi="Consolas" w:cs="Arial"/>
      <w:sz w:val="21"/>
      <w:szCs w:val="21"/>
      <w:lang w:eastAsia="en-US"/>
    </w:rPr>
  </w:style>
  <w:style w:type="paragraph" w:styleId="ListParagraph">
    <w:name w:val="List Paragraph"/>
    <w:basedOn w:val="Normal"/>
    <w:uiPriority w:val="34"/>
    <w:qFormat/>
    <w:rsid w:val="00F20BC8"/>
    <w:pPr>
      <w:ind w:left="720"/>
      <w:contextualSpacing/>
    </w:pPr>
  </w:style>
  <w:style w:type="character" w:customStyle="1" w:styleId="apple-style-span">
    <w:name w:val="apple-style-span"/>
    <w:uiPriority w:val="99"/>
    <w:rsid w:val="00F20BC8"/>
    <w:rPr>
      <w:rFonts w:cs="Times New Roman"/>
    </w:rPr>
  </w:style>
  <w:style w:type="character" w:styleId="PlaceholderText">
    <w:name w:val="Placeholder Text"/>
    <w:uiPriority w:val="99"/>
    <w:semiHidden/>
    <w:rsid w:val="00F20BC8"/>
    <w:rPr>
      <w:rFonts w:cs="Times New Roman"/>
      <w:color w:val="808080"/>
    </w:rPr>
  </w:style>
  <w:style w:type="paragraph" w:styleId="CommentSubject">
    <w:name w:val="annotation subject"/>
    <w:basedOn w:val="CommentText"/>
    <w:next w:val="CommentText"/>
    <w:link w:val="CommentSubjectChar"/>
    <w:uiPriority w:val="99"/>
    <w:semiHidden/>
    <w:rsid w:val="00F20BC8"/>
    <w:rPr>
      <w:b/>
      <w:bCs/>
    </w:rPr>
  </w:style>
  <w:style w:type="character" w:customStyle="1" w:styleId="CommentSubjectChar">
    <w:name w:val="Comment Subject Char"/>
    <w:basedOn w:val="CommentTextChar"/>
    <w:link w:val="CommentSubject"/>
    <w:uiPriority w:val="99"/>
    <w:semiHidden/>
    <w:rsid w:val="00F20BC8"/>
    <w:rPr>
      <w:rFonts w:ascii="Cambria" w:eastAsia="Calibri" w:hAnsi="Cambria" w:cs="Times New Roman"/>
      <w:b/>
      <w:bCs/>
      <w:sz w:val="20"/>
      <w:szCs w:val="20"/>
      <w:lang w:eastAsia="en-US"/>
    </w:rPr>
  </w:style>
  <w:style w:type="paragraph" w:styleId="Caption">
    <w:name w:val="caption"/>
    <w:basedOn w:val="Normal"/>
    <w:next w:val="Normal"/>
    <w:autoRedefine/>
    <w:uiPriority w:val="35"/>
    <w:qFormat/>
    <w:rsid w:val="00F20BC8"/>
    <w:pPr>
      <w:spacing w:line="480" w:lineRule="auto"/>
    </w:pPr>
    <w:rPr>
      <w:rFonts w:cs="Arial"/>
      <w:szCs w:val="18"/>
    </w:rPr>
  </w:style>
  <w:style w:type="character" w:styleId="Hyperlink">
    <w:name w:val="Hyperlink"/>
    <w:uiPriority w:val="99"/>
    <w:rsid w:val="00F20BC8"/>
    <w:rPr>
      <w:rFonts w:cs="Times New Roman"/>
      <w:color w:val="0000FF"/>
      <w:u w:val="single"/>
    </w:rPr>
  </w:style>
  <w:style w:type="character" w:styleId="LineNumber">
    <w:name w:val="line number"/>
    <w:uiPriority w:val="99"/>
    <w:semiHidden/>
    <w:rsid w:val="00F20BC8"/>
    <w:rPr>
      <w:rFonts w:cs="Times New Roman"/>
    </w:rPr>
  </w:style>
  <w:style w:type="paragraph" w:styleId="Header">
    <w:name w:val="header"/>
    <w:basedOn w:val="Normal"/>
    <w:link w:val="HeaderChar"/>
    <w:uiPriority w:val="99"/>
    <w:unhideWhenUsed/>
    <w:rsid w:val="00F20BC8"/>
    <w:pPr>
      <w:tabs>
        <w:tab w:val="center" w:pos="4513"/>
        <w:tab w:val="right" w:pos="9026"/>
      </w:tabs>
    </w:pPr>
  </w:style>
  <w:style w:type="character" w:customStyle="1" w:styleId="HeaderChar">
    <w:name w:val="Header Char"/>
    <w:basedOn w:val="DefaultParagraphFont"/>
    <w:link w:val="Header"/>
    <w:uiPriority w:val="99"/>
    <w:rsid w:val="00F20BC8"/>
    <w:rPr>
      <w:rFonts w:ascii="Cambria" w:eastAsia="Calibri" w:hAnsi="Cambria" w:cs="Times New Roman"/>
      <w:lang w:eastAsia="en-US"/>
    </w:rPr>
  </w:style>
  <w:style w:type="paragraph" w:styleId="Footer">
    <w:name w:val="footer"/>
    <w:basedOn w:val="Normal"/>
    <w:link w:val="FooterChar"/>
    <w:uiPriority w:val="99"/>
    <w:unhideWhenUsed/>
    <w:rsid w:val="00F20BC8"/>
    <w:pPr>
      <w:tabs>
        <w:tab w:val="center" w:pos="4513"/>
        <w:tab w:val="right" w:pos="9026"/>
      </w:tabs>
    </w:pPr>
  </w:style>
  <w:style w:type="character" w:customStyle="1" w:styleId="FooterChar">
    <w:name w:val="Footer Char"/>
    <w:basedOn w:val="DefaultParagraphFont"/>
    <w:link w:val="Footer"/>
    <w:uiPriority w:val="99"/>
    <w:rsid w:val="00F20BC8"/>
    <w:rPr>
      <w:rFonts w:ascii="Cambria" w:eastAsia="Calibri" w:hAnsi="Cambria" w:cs="Times New Roman"/>
      <w:lang w:eastAsia="en-US"/>
    </w:rPr>
  </w:style>
  <w:style w:type="character" w:customStyle="1" w:styleId="hit">
    <w:name w:val="hit"/>
    <w:basedOn w:val="DefaultParagraphFont"/>
    <w:rsid w:val="00F20BC8"/>
  </w:style>
  <w:style w:type="paragraph" w:styleId="NormalWeb">
    <w:name w:val="Normal (Web)"/>
    <w:basedOn w:val="Normal"/>
    <w:uiPriority w:val="99"/>
    <w:semiHidden/>
    <w:unhideWhenUsed/>
    <w:rsid w:val="00F20BC8"/>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qFormat/>
    <w:rsid w:val="00F20BC8"/>
    <w:rPr>
      <w:i/>
      <w:iCs/>
    </w:rPr>
  </w:style>
  <w:style w:type="paragraph" w:customStyle="1" w:styleId="EndNoteBibliographyTitle">
    <w:name w:val="EndNote Bibliography Title"/>
    <w:basedOn w:val="Normal"/>
    <w:link w:val="EndNoteBibliographyTitleChar"/>
    <w:rsid w:val="00F20BC8"/>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F20BC8"/>
    <w:rPr>
      <w:rFonts w:ascii="Cambria" w:eastAsia="Calibri" w:hAnsi="Cambria" w:cs="Times New Roman"/>
      <w:noProof/>
      <w:lang w:val="en-US" w:eastAsia="en-US"/>
    </w:rPr>
  </w:style>
  <w:style w:type="paragraph" w:customStyle="1" w:styleId="EndNoteBibliography">
    <w:name w:val="EndNote Bibliography"/>
    <w:basedOn w:val="Normal"/>
    <w:link w:val="EndNoteBibliographyChar"/>
    <w:rsid w:val="00F20BC8"/>
    <w:pPr>
      <w:spacing w:line="240" w:lineRule="auto"/>
      <w:jc w:val="both"/>
    </w:pPr>
    <w:rPr>
      <w:noProof/>
      <w:lang w:val="en-US"/>
    </w:rPr>
  </w:style>
  <w:style w:type="character" w:customStyle="1" w:styleId="EndNoteBibliographyChar">
    <w:name w:val="EndNote Bibliography Char"/>
    <w:basedOn w:val="DefaultParagraphFont"/>
    <w:link w:val="EndNoteBibliography"/>
    <w:rsid w:val="00F20BC8"/>
    <w:rPr>
      <w:rFonts w:ascii="Cambria" w:eastAsia="Calibri" w:hAnsi="Cambria" w:cs="Times New Roman"/>
      <w:noProof/>
      <w:lang w:val="en-US" w:eastAsia="en-US"/>
    </w:rPr>
  </w:style>
  <w:style w:type="character" w:customStyle="1" w:styleId="singlehighlightclass">
    <w:name w:val="single_highlight_class"/>
    <w:basedOn w:val="DefaultParagraphFont"/>
    <w:rsid w:val="00F20BC8"/>
  </w:style>
  <w:style w:type="paragraph" w:styleId="Revision">
    <w:name w:val="Revision"/>
    <w:hidden/>
    <w:uiPriority w:val="99"/>
    <w:semiHidden/>
    <w:rsid w:val="00F20BC8"/>
    <w:pPr>
      <w:spacing w:after="0" w:line="240" w:lineRule="auto"/>
    </w:pPr>
    <w:rPr>
      <w:rFonts w:ascii="Cambria" w:eastAsia="Calibri" w:hAnsi="Cambria" w:cs="Times New Roman"/>
      <w:lang w:eastAsia="en-US"/>
    </w:rPr>
  </w:style>
  <w:style w:type="character" w:styleId="Strong">
    <w:name w:val="Strong"/>
    <w:basedOn w:val="DefaultParagraphFont"/>
    <w:uiPriority w:val="22"/>
    <w:qFormat/>
    <w:rsid w:val="008A184F"/>
    <w:rPr>
      <w:b/>
      <w:bCs/>
    </w:rPr>
  </w:style>
  <w:style w:type="character" w:customStyle="1" w:styleId="Heading1Char">
    <w:name w:val="Heading 1 Char"/>
    <w:basedOn w:val="DefaultParagraphFont"/>
    <w:link w:val="Heading1"/>
    <w:uiPriority w:val="9"/>
    <w:rsid w:val="00325486"/>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tiff"/><Relationship Id="rId12" Type="http://schemas.openxmlformats.org/officeDocument/2006/relationships/image" Target="media/image7.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11" Type="http://schemas.openxmlformats.org/officeDocument/2006/relationships/image" Target="media/image6.tiff"/><Relationship Id="rId5" Type="http://schemas.openxmlformats.org/officeDocument/2006/relationships/hyperlink" Target="mailto:p.r.worsley@soton.ac.uk" TargetMode="External"/><Relationship Id="rId10" Type="http://schemas.openxmlformats.org/officeDocument/2006/relationships/image" Target="media/image5.tiff"/><Relationship Id="rId4" Type="http://schemas.openxmlformats.org/officeDocument/2006/relationships/webSettings" Target="webSettings.xml"/><Relationship Id="rId9" Type="http://schemas.openxmlformats.org/officeDocument/2006/relationships/image" Target="media/image4.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8878</Words>
  <Characters>50609</Characters>
  <Application>Microsoft Office Word</Application>
  <DocSecurity>4</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59369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Worsley P.R.</dc:creator>
  <cp:lastModifiedBy>Bush M.</cp:lastModifiedBy>
  <cp:revision>2</cp:revision>
  <dcterms:created xsi:type="dcterms:W3CDTF">2015-08-19T13:00:00Z</dcterms:created>
  <dcterms:modified xsi:type="dcterms:W3CDTF">2015-08-19T13:00:00Z</dcterms:modified>
</cp:coreProperties>
</file>